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48E84B20" w14:textId="77777777" w:rsidTr="005B51C4">
        <w:trPr>
          <w:trHeight w:hRule="exact" w:val="851"/>
        </w:trPr>
        <w:tc>
          <w:tcPr>
            <w:tcW w:w="1274" w:type="dxa"/>
            <w:tcBorders>
              <w:bottom w:val="single" w:sz="4" w:space="0" w:color="auto"/>
            </w:tcBorders>
            <w:shd w:val="clear" w:color="auto" w:fill="auto"/>
          </w:tcPr>
          <w:p w14:paraId="1153EA67" w14:textId="77777777" w:rsidR="006B3E27" w:rsidRPr="00C175A6" w:rsidRDefault="006B3E27" w:rsidP="008E7F9E">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B543C92"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9A48DFF" w14:textId="77777777" w:rsidR="006B3E27" w:rsidRPr="0000140A" w:rsidRDefault="0000140A" w:rsidP="0000140A">
            <w:pPr>
              <w:bidi w:val="0"/>
              <w:rPr>
                <w:szCs w:val="20"/>
              </w:rPr>
            </w:pPr>
            <w:r w:rsidRPr="0000140A">
              <w:rPr>
                <w:sz w:val="40"/>
                <w:szCs w:val="20"/>
              </w:rPr>
              <w:t>CCPR</w:t>
            </w:r>
            <w:r>
              <w:rPr>
                <w:szCs w:val="20"/>
              </w:rPr>
              <w:t>/C/</w:t>
            </w:r>
            <w:r w:rsidRPr="008D25E3">
              <w:rPr>
                <w:szCs w:val="20"/>
                <w:highlight w:val="yellow"/>
              </w:rPr>
              <w:t>130</w:t>
            </w:r>
            <w:r>
              <w:rPr>
                <w:szCs w:val="20"/>
              </w:rPr>
              <w:t>/</w:t>
            </w:r>
            <w:r w:rsidRPr="008D25E3">
              <w:rPr>
                <w:szCs w:val="20"/>
                <w:highlight w:val="yellow"/>
              </w:rPr>
              <w:t>2</w:t>
            </w:r>
            <w:r>
              <w:rPr>
                <w:szCs w:val="20"/>
              </w:rPr>
              <w:t>/Add.</w:t>
            </w:r>
            <w:r w:rsidRPr="008D25E3">
              <w:rPr>
                <w:szCs w:val="20"/>
                <w:highlight w:val="yellow"/>
              </w:rPr>
              <w:t>3</w:t>
            </w:r>
          </w:p>
        </w:tc>
      </w:tr>
      <w:tr w:rsidR="006B3E27" w:rsidRPr="00C175A6" w14:paraId="3E03B6B9" w14:textId="77777777" w:rsidTr="005B51C4">
        <w:trPr>
          <w:trHeight w:hRule="exact" w:val="2835"/>
        </w:trPr>
        <w:tc>
          <w:tcPr>
            <w:tcW w:w="1274" w:type="dxa"/>
            <w:tcBorders>
              <w:top w:val="single" w:sz="4" w:space="0" w:color="auto"/>
              <w:bottom w:val="single" w:sz="12" w:space="0" w:color="auto"/>
            </w:tcBorders>
            <w:shd w:val="clear" w:color="auto" w:fill="auto"/>
          </w:tcPr>
          <w:p w14:paraId="1296DC26"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530EB5CB" wp14:editId="7660FD5E">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0886942" w14:textId="77777777" w:rsidR="006B3E27" w:rsidRPr="008D25E3" w:rsidRDefault="00ED7442" w:rsidP="00730446">
            <w:pPr>
              <w:spacing w:before="120" w:after="40" w:line="640" w:lineRule="exact"/>
              <w:ind w:left="57"/>
              <w:rPr>
                <w:b/>
                <w:bCs/>
                <w:sz w:val="46"/>
                <w:szCs w:val="46"/>
                <w:highlight w:val="lightGray"/>
              </w:rPr>
            </w:pPr>
            <w:r w:rsidRPr="008D25E3">
              <w:rPr>
                <w:rFonts w:hint="cs"/>
                <w:b/>
                <w:bCs/>
                <w:sz w:val="46"/>
                <w:szCs w:val="46"/>
                <w:highlight w:val="lightGray"/>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D13A21B" w14:textId="77777777" w:rsidR="00660EE2" w:rsidRPr="00660EE2" w:rsidRDefault="00660EE2" w:rsidP="00660EE2">
            <w:pPr>
              <w:bidi w:val="0"/>
              <w:spacing w:before="240"/>
              <w:jc w:val="both"/>
              <w:rPr>
                <w:rFonts w:eastAsia="Times New Roman" w:cs="Times New Roman"/>
                <w:szCs w:val="20"/>
                <w:lang w:val="en-GB"/>
              </w:rPr>
            </w:pPr>
            <w:r w:rsidRPr="00660EE2">
              <w:rPr>
                <w:rFonts w:eastAsia="Times New Roman" w:cs="Times New Roman"/>
                <w:szCs w:val="20"/>
                <w:lang w:val="en-GB"/>
              </w:rPr>
              <w:t>Distr.: General</w:t>
            </w:r>
          </w:p>
          <w:p w14:paraId="453EA63F" w14:textId="77777777" w:rsidR="00660EE2" w:rsidRPr="00660EE2" w:rsidRDefault="00660EE2" w:rsidP="00660EE2">
            <w:pPr>
              <w:bidi w:val="0"/>
              <w:jc w:val="both"/>
              <w:rPr>
                <w:rFonts w:eastAsia="Times New Roman" w:cs="Times New Roman"/>
                <w:szCs w:val="20"/>
                <w:lang w:val="en-GB"/>
              </w:rPr>
            </w:pPr>
            <w:r w:rsidRPr="00660EE2">
              <w:rPr>
                <w:rFonts w:eastAsia="Times New Roman" w:cs="Times New Roman"/>
                <w:szCs w:val="20"/>
                <w:highlight w:val="yellow"/>
                <w:lang w:val="en-GB"/>
              </w:rPr>
              <w:t>22</w:t>
            </w:r>
            <w:r w:rsidRPr="00660EE2">
              <w:rPr>
                <w:rFonts w:eastAsia="Times New Roman" w:cs="Times New Roman"/>
                <w:szCs w:val="20"/>
                <w:lang w:val="en-GB"/>
              </w:rPr>
              <w:t xml:space="preserve"> February </w:t>
            </w:r>
            <w:r w:rsidRPr="00660EE2">
              <w:rPr>
                <w:rFonts w:eastAsia="Times New Roman" w:cs="Times New Roman"/>
                <w:szCs w:val="20"/>
                <w:highlight w:val="yellow"/>
                <w:lang w:val="en-GB"/>
              </w:rPr>
              <w:t>2021</w:t>
            </w:r>
          </w:p>
          <w:p w14:paraId="0F7CA0D2" w14:textId="282922A8" w:rsidR="00660EE2" w:rsidRPr="00660EE2" w:rsidRDefault="00660EE2" w:rsidP="00660EE2">
            <w:pPr>
              <w:bidi w:val="0"/>
              <w:jc w:val="both"/>
              <w:rPr>
                <w:rFonts w:eastAsia="Times New Roman" w:cs="Times New Roman"/>
                <w:szCs w:val="20"/>
                <w:lang w:val="en-GB"/>
              </w:rPr>
            </w:pPr>
            <w:r>
              <w:rPr>
                <w:rFonts w:eastAsia="Times New Roman" w:cs="Times New Roman"/>
                <w:szCs w:val="20"/>
                <w:lang w:val="en-GB"/>
              </w:rPr>
              <w:t>Arabic</w:t>
            </w:r>
          </w:p>
          <w:p w14:paraId="3B325B47" w14:textId="77777777" w:rsidR="00660EE2" w:rsidRPr="00660EE2" w:rsidRDefault="00660EE2" w:rsidP="00660EE2">
            <w:pPr>
              <w:bidi w:val="0"/>
              <w:jc w:val="both"/>
              <w:rPr>
                <w:rFonts w:eastAsia="Times New Roman" w:cs="Times New Roman"/>
                <w:szCs w:val="20"/>
                <w:lang w:val="en-GB"/>
              </w:rPr>
            </w:pPr>
            <w:r w:rsidRPr="00660EE2">
              <w:rPr>
                <w:rFonts w:eastAsia="Times New Roman" w:cs="Times New Roman"/>
                <w:szCs w:val="20"/>
                <w:lang w:val="en-GB"/>
              </w:rPr>
              <w:t>Original: English</w:t>
            </w:r>
          </w:p>
          <w:p w14:paraId="7E5FD88E" w14:textId="4829F7C8" w:rsidR="0000140A" w:rsidRPr="0000140A" w:rsidRDefault="0000140A" w:rsidP="0000140A">
            <w:pPr>
              <w:bidi w:val="0"/>
              <w:spacing w:line="240" w:lineRule="exact"/>
              <w:jc w:val="left"/>
              <w:rPr>
                <w:szCs w:val="20"/>
              </w:rPr>
            </w:pPr>
          </w:p>
        </w:tc>
      </w:tr>
    </w:tbl>
    <w:p w14:paraId="4A6A0379" w14:textId="77777777" w:rsidR="00660EE2" w:rsidRPr="008D25E3" w:rsidRDefault="00660EE2" w:rsidP="00D658E9">
      <w:pPr>
        <w:pStyle w:val="SingleTxtGA"/>
        <w:spacing w:before="120"/>
        <w:ind w:left="0"/>
        <w:rPr>
          <w:rFonts w:hint="cs"/>
          <w:b/>
          <w:bCs/>
          <w:sz w:val="30"/>
          <w:szCs w:val="30"/>
          <w:highlight w:val="lightGray"/>
          <w:rtl/>
        </w:rPr>
      </w:pPr>
      <w:r w:rsidRPr="008D25E3">
        <w:rPr>
          <w:b/>
          <w:bCs/>
          <w:sz w:val="30"/>
          <w:szCs w:val="30"/>
          <w:highlight w:val="lightGray"/>
          <w:rtl/>
        </w:rPr>
        <w:t>اللجنة المعنية بحقوق الإنسان</w:t>
      </w:r>
    </w:p>
    <w:p w14:paraId="601402D6" w14:textId="67876DBF" w:rsidR="00660EE2" w:rsidRPr="008D25E3" w:rsidRDefault="00660EE2" w:rsidP="00660EE2">
      <w:pPr>
        <w:pStyle w:val="HChGA"/>
        <w:rPr>
          <w:highlight w:val="lightGray"/>
          <w:rtl/>
        </w:rPr>
      </w:pPr>
      <w:r w:rsidRPr="008D25E3">
        <w:rPr>
          <w:highlight w:val="lightGray"/>
          <w:rtl/>
        </w:rPr>
        <w:tab/>
      </w:r>
      <w:r w:rsidRPr="008D25E3">
        <w:rPr>
          <w:highlight w:val="lightGray"/>
          <w:rtl/>
        </w:rPr>
        <w:tab/>
        <w:t>تقريرُ متابعةِ ملاحظاتٍ ختامية للجنة المعنية بحقوق الإنسان</w:t>
      </w:r>
      <w:r w:rsidR="00C65A36" w:rsidRPr="003D045C">
        <w:rPr>
          <w:rStyle w:val="FootnoteReference"/>
          <w:sz w:val="28"/>
          <w:szCs w:val="28"/>
          <w:highlight w:val="lightGray"/>
          <w:vertAlign w:val="baseline"/>
          <w:rtl/>
        </w:rPr>
        <w:footnoteReference w:customMarkFollows="1" w:id="1"/>
        <w:t>*</w:t>
      </w:r>
    </w:p>
    <w:p w14:paraId="7ABDA953" w14:textId="77777777" w:rsidR="00660EE2" w:rsidRPr="008D25E3" w:rsidRDefault="00660EE2" w:rsidP="00660EE2">
      <w:pPr>
        <w:pStyle w:val="H23GA"/>
        <w:rPr>
          <w:highlight w:val="lightGray"/>
          <w:rtl/>
        </w:rPr>
      </w:pPr>
      <w:r w:rsidRPr="008D25E3">
        <w:rPr>
          <w:highlight w:val="lightGray"/>
          <w:rtl/>
        </w:rPr>
        <w:tab/>
      </w:r>
      <w:r w:rsidRPr="008D25E3">
        <w:rPr>
          <w:highlight w:val="lightGray"/>
          <w:rtl/>
        </w:rPr>
        <w:tab/>
        <w:t>إضافة</w:t>
      </w:r>
    </w:p>
    <w:p w14:paraId="5915D055" w14:textId="77777777" w:rsidR="00660EE2" w:rsidRPr="008D25E3" w:rsidRDefault="00660EE2" w:rsidP="00660EE2">
      <w:pPr>
        <w:pStyle w:val="HChGA"/>
        <w:rPr>
          <w:highlight w:val="lightGray"/>
          <w:rtl/>
        </w:rPr>
      </w:pPr>
      <w:r w:rsidRPr="008D25E3">
        <w:rPr>
          <w:highlight w:val="lightGray"/>
          <w:rtl/>
        </w:rPr>
        <w:tab/>
      </w:r>
      <w:r w:rsidRPr="008D25E3">
        <w:rPr>
          <w:highlight w:val="lightGray"/>
          <w:rtl/>
        </w:rPr>
        <w:tab/>
        <w:t>تقييم المعلومات المتعلقة بمتابعة الملاحظات الختامية بشأن هندوراس</w:t>
      </w:r>
    </w:p>
    <w:tbl>
      <w:tblPr>
        <w:tblStyle w:val="TableGrid"/>
        <w:bidiVisual/>
        <w:tblW w:w="0" w:type="auto"/>
        <w:tblInd w:w="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4538"/>
      </w:tblGrid>
      <w:tr w:rsidR="00660EE2" w:rsidRPr="00660EE2" w14:paraId="61FBAD5B" w14:textId="77777777" w:rsidTr="00E33BC7">
        <w:tc>
          <w:tcPr>
            <w:tcW w:w="2687" w:type="dxa"/>
          </w:tcPr>
          <w:p w14:paraId="4DED19E6" w14:textId="77777777" w:rsidR="00660EE2" w:rsidRPr="008D25E3" w:rsidRDefault="00660EE2" w:rsidP="00660EE2">
            <w:pPr>
              <w:pStyle w:val="SingleTxtGA"/>
              <w:tabs>
                <w:tab w:val="clear" w:pos="1928"/>
                <w:tab w:val="clear" w:pos="2608"/>
                <w:tab w:val="clear" w:pos="3289"/>
                <w:tab w:val="clear" w:pos="3969"/>
                <w:tab w:val="clear" w:pos="4649"/>
                <w:tab w:val="clear" w:pos="5330"/>
              </w:tabs>
              <w:ind w:left="0" w:right="0"/>
              <w:rPr>
                <w:i/>
                <w:iCs/>
                <w:rtl/>
              </w:rPr>
            </w:pPr>
            <w:r w:rsidRPr="008D25E3">
              <w:rPr>
                <w:i/>
                <w:iCs/>
                <w:rtl/>
              </w:rPr>
              <w:t xml:space="preserve">الملاحظات الختامية (الدورة </w:t>
            </w:r>
            <w:r w:rsidRPr="008D25E3">
              <w:rPr>
                <w:i/>
                <w:iCs/>
                <w:highlight w:val="yellow"/>
                <w:rtl/>
              </w:rPr>
              <w:t>120</w:t>
            </w:r>
            <w:r w:rsidRPr="008D25E3">
              <w:rPr>
                <w:i/>
                <w:iCs/>
                <w:rtl/>
              </w:rPr>
              <w:t>):</w:t>
            </w:r>
          </w:p>
        </w:tc>
        <w:tc>
          <w:tcPr>
            <w:tcW w:w="4538" w:type="dxa"/>
          </w:tcPr>
          <w:p w14:paraId="1C076007" w14:textId="0A0BECB0" w:rsidR="00660EE2" w:rsidRPr="00660EE2" w:rsidRDefault="00197FB4" w:rsidP="00660EE2">
            <w:pPr>
              <w:pStyle w:val="SingleTxtGA"/>
              <w:tabs>
                <w:tab w:val="clear" w:pos="1928"/>
                <w:tab w:val="clear" w:pos="2608"/>
                <w:tab w:val="clear" w:pos="3289"/>
                <w:tab w:val="clear" w:pos="3969"/>
                <w:tab w:val="clear" w:pos="4649"/>
                <w:tab w:val="clear" w:pos="5330"/>
              </w:tabs>
              <w:ind w:left="0" w:right="0"/>
              <w:rPr>
                <w:rtl/>
              </w:rPr>
            </w:pPr>
            <w:hyperlink r:id="rId9" w:history="1">
              <w:r w:rsidRPr="0086769F">
                <w:rPr>
                  <w:rStyle w:val="Hyperlink"/>
                </w:rPr>
                <w:t>CCPR/C/HND/CO/2</w:t>
              </w:r>
            </w:hyperlink>
            <w:r w:rsidR="00660EE2" w:rsidRPr="00660EE2">
              <w:rPr>
                <w:rtl/>
              </w:rPr>
              <w:t xml:space="preserve">، </w:t>
            </w:r>
            <w:r w:rsidR="00660EE2" w:rsidRPr="008D25E3">
              <w:rPr>
                <w:highlight w:val="yellow"/>
                <w:rtl/>
              </w:rPr>
              <w:t>24</w:t>
            </w:r>
            <w:r w:rsidR="00660EE2" w:rsidRPr="00660EE2">
              <w:rPr>
                <w:rtl/>
              </w:rPr>
              <w:t xml:space="preserve"> تموز/يوليه </w:t>
            </w:r>
            <w:r w:rsidR="00660EE2" w:rsidRPr="008D25E3">
              <w:rPr>
                <w:highlight w:val="yellow"/>
                <w:rtl/>
              </w:rPr>
              <w:t>2017</w:t>
            </w:r>
          </w:p>
        </w:tc>
      </w:tr>
      <w:tr w:rsidR="00660EE2" w:rsidRPr="00660EE2" w14:paraId="404A07CA" w14:textId="77777777" w:rsidTr="00E33BC7">
        <w:tc>
          <w:tcPr>
            <w:tcW w:w="2687" w:type="dxa"/>
          </w:tcPr>
          <w:p w14:paraId="0F365A79" w14:textId="77777777" w:rsidR="00660EE2" w:rsidRPr="00660EE2" w:rsidRDefault="00660EE2" w:rsidP="00660EE2">
            <w:pPr>
              <w:pStyle w:val="SingleTxtGA"/>
              <w:tabs>
                <w:tab w:val="clear" w:pos="1928"/>
                <w:tab w:val="clear" w:pos="2608"/>
                <w:tab w:val="clear" w:pos="3289"/>
                <w:tab w:val="clear" w:pos="3969"/>
                <w:tab w:val="clear" w:pos="4649"/>
                <w:tab w:val="clear" w:pos="5330"/>
              </w:tabs>
              <w:ind w:left="0" w:right="0"/>
              <w:rPr>
                <w:rtl/>
              </w:rPr>
            </w:pPr>
            <w:r w:rsidRPr="008D25E3">
              <w:rPr>
                <w:i/>
                <w:iCs/>
                <w:highlight w:val="cyan"/>
                <w:rtl/>
              </w:rPr>
              <w:t>الفقرات المشمولة بالمتابعة:</w:t>
            </w:r>
          </w:p>
        </w:tc>
        <w:tc>
          <w:tcPr>
            <w:tcW w:w="4538" w:type="dxa"/>
          </w:tcPr>
          <w:p w14:paraId="33398257" w14:textId="77777777" w:rsidR="00660EE2" w:rsidRPr="00660EE2" w:rsidRDefault="00660EE2" w:rsidP="00660EE2">
            <w:pPr>
              <w:pStyle w:val="SingleTxtGA"/>
              <w:tabs>
                <w:tab w:val="clear" w:pos="1928"/>
                <w:tab w:val="clear" w:pos="2608"/>
                <w:tab w:val="clear" w:pos="3289"/>
                <w:tab w:val="clear" w:pos="3969"/>
                <w:tab w:val="clear" w:pos="4649"/>
                <w:tab w:val="clear" w:pos="5330"/>
              </w:tabs>
              <w:ind w:left="0" w:right="0"/>
              <w:rPr>
                <w:rtl/>
              </w:rPr>
            </w:pPr>
            <w:r w:rsidRPr="008D25E3">
              <w:rPr>
                <w:highlight w:val="yellow"/>
                <w:rtl/>
              </w:rPr>
              <w:t>17</w:t>
            </w:r>
            <w:r w:rsidRPr="00660EE2">
              <w:rPr>
                <w:rtl/>
              </w:rPr>
              <w:t xml:space="preserve"> و</w:t>
            </w:r>
            <w:r w:rsidRPr="008D25E3">
              <w:rPr>
                <w:highlight w:val="yellow"/>
                <w:rtl/>
              </w:rPr>
              <w:t>21</w:t>
            </w:r>
            <w:r w:rsidRPr="00660EE2">
              <w:rPr>
                <w:rtl/>
              </w:rPr>
              <w:t xml:space="preserve"> و</w:t>
            </w:r>
            <w:r w:rsidRPr="008D25E3">
              <w:rPr>
                <w:highlight w:val="yellow"/>
                <w:rtl/>
              </w:rPr>
              <w:t>41</w:t>
            </w:r>
            <w:r w:rsidRPr="00660EE2">
              <w:rPr>
                <w:rtl/>
              </w:rPr>
              <w:t xml:space="preserve"> و</w:t>
            </w:r>
            <w:r w:rsidRPr="008D25E3">
              <w:rPr>
                <w:highlight w:val="yellow"/>
                <w:rtl/>
              </w:rPr>
              <w:t>47</w:t>
            </w:r>
          </w:p>
        </w:tc>
      </w:tr>
      <w:tr w:rsidR="00660EE2" w:rsidRPr="00660EE2" w14:paraId="6270543A" w14:textId="77777777" w:rsidTr="00E33BC7">
        <w:tc>
          <w:tcPr>
            <w:tcW w:w="2687" w:type="dxa"/>
          </w:tcPr>
          <w:p w14:paraId="7319B575" w14:textId="77777777" w:rsidR="00660EE2" w:rsidRPr="00660EE2" w:rsidRDefault="00660EE2" w:rsidP="00660EE2">
            <w:pPr>
              <w:pStyle w:val="SingleTxtGA"/>
              <w:tabs>
                <w:tab w:val="clear" w:pos="1928"/>
                <w:tab w:val="clear" w:pos="2608"/>
                <w:tab w:val="clear" w:pos="3289"/>
                <w:tab w:val="clear" w:pos="3969"/>
                <w:tab w:val="clear" w:pos="4649"/>
                <w:tab w:val="clear" w:pos="5330"/>
              </w:tabs>
              <w:ind w:left="0" w:right="0"/>
              <w:rPr>
                <w:rtl/>
              </w:rPr>
            </w:pPr>
            <w:r w:rsidRPr="008D25E3">
              <w:rPr>
                <w:i/>
                <w:iCs/>
                <w:highlight w:val="cyan"/>
                <w:rtl/>
              </w:rPr>
              <w:t>الرد الوارد في إطار المتابعة:</w:t>
            </w:r>
          </w:p>
        </w:tc>
        <w:tc>
          <w:tcPr>
            <w:tcW w:w="4538" w:type="dxa"/>
          </w:tcPr>
          <w:p w14:paraId="3C534AFB" w14:textId="014BC8B7" w:rsidR="00660EE2" w:rsidRPr="00660EE2" w:rsidRDefault="00E33BC7" w:rsidP="00660EE2">
            <w:pPr>
              <w:pStyle w:val="SingleTxtGA"/>
              <w:tabs>
                <w:tab w:val="clear" w:pos="1928"/>
                <w:tab w:val="clear" w:pos="2608"/>
                <w:tab w:val="clear" w:pos="3289"/>
                <w:tab w:val="clear" w:pos="3969"/>
                <w:tab w:val="clear" w:pos="4649"/>
                <w:tab w:val="clear" w:pos="5330"/>
              </w:tabs>
              <w:ind w:left="0" w:right="0"/>
              <w:rPr>
                <w:rtl/>
              </w:rPr>
            </w:pPr>
            <w:hyperlink r:id="rId10" w:history="1">
              <w:r w:rsidRPr="00513AA8">
                <w:rPr>
                  <w:rStyle w:val="Hyperlink"/>
                  <w:rFonts w:eastAsia="SimSun"/>
                </w:rPr>
                <w:t>CCPR/C/HND/CO/</w:t>
              </w:r>
              <w:r w:rsidRPr="008D25E3">
                <w:rPr>
                  <w:rStyle w:val="Hyperlink"/>
                  <w:rFonts w:eastAsia="SimSun"/>
                  <w:highlight w:val="yellow"/>
                </w:rPr>
                <w:t>2</w:t>
              </w:r>
              <w:r w:rsidRPr="00513AA8">
                <w:rPr>
                  <w:rStyle w:val="Hyperlink"/>
                  <w:rFonts w:eastAsia="SimSun"/>
                </w:rPr>
                <w:t>/Add.</w:t>
              </w:r>
              <w:r w:rsidRPr="008D25E3">
                <w:rPr>
                  <w:rStyle w:val="Hyperlink"/>
                  <w:rFonts w:eastAsia="SimSun"/>
                  <w:highlight w:val="yellow"/>
                </w:rPr>
                <w:t>1</w:t>
              </w:r>
            </w:hyperlink>
            <w:r w:rsidR="00660EE2" w:rsidRPr="00660EE2">
              <w:rPr>
                <w:rtl/>
              </w:rPr>
              <w:t xml:space="preserve">، </w:t>
            </w:r>
            <w:r w:rsidR="00660EE2" w:rsidRPr="008D25E3">
              <w:rPr>
                <w:highlight w:val="yellow"/>
                <w:rtl/>
              </w:rPr>
              <w:t>15</w:t>
            </w:r>
            <w:r w:rsidR="00660EE2" w:rsidRPr="00660EE2">
              <w:rPr>
                <w:rtl/>
              </w:rPr>
              <w:t xml:space="preserve"> آب/أغسطس </w:t>
            </w:r>
            <w:r w:rsidR="00660EE2" w:rsidRPr="008D25E3">
              <w:rPr>
                <w:highlight w:val="yellow"/>
                <w:rtl/>
              </w:rPr>
              <w:t>2018</w:t>
            </w:r>
          </w:p>
        </w:tc>
      </w:tr>
      <w:tr w:rsidR="00660EE2" w:rsidRPr="00660EE2" w14:paraId="5CC99BBD" w14:textId="77777777" w:rsidTr="00E33BC7">
        <w:tc>
          <w:tcPr>
            <w:tcW w:w="2687" w:type="dxa"/>
          </w:tcPr>
          <w:p w14:paraId="0A5C1522" w14:textId="77777777" w:rsidR="00660EE2" w:rsidRPr="00660EE2" w:rsidRDefault="00660EE2" w:rsidP="00E33BC7">
            <w:pPr>
              <w:pStyle w:val="SingleTxtGA"/>
              <w:tabs>
                <w:tab w:val="clear" w:pos="1928"/>
                <w:tab w:val="clear" w:pos="2608"/>
                <w:tab w:val="clear" w:pos="3289"/>
                <w:tab w:val="clear" w:pos="3969"/>
                <w:tab w:val="clear" w:pos="4649"/>
                <w:tab w:val="clear" w:pos="5330"/>
              </w:tabs>
              <w:ind w:left="0" w:right="0"/>
              <w:jc w:val="left"/>
              <w:rPr>
                <w:rtl/>
              </w:rPr>
            </w:pPr>
            <w:r w:rsidRPr="008D25E3">
              <w:rPr>
                <w:i/>
                <w:iCs/>
                <w:highlight w:val="cyan"/>
                <w:rtl/>
              </w:rPr>
              <w:t>المعلومات الواردة من المنظمات غير الحكومية:</w:t>
            </w:r>
          </w:p>
        </w:tc>
        <w:tc>
          <w:tcPr>
            <w:tcW w:w="4538" w:type="dxa"/>
          </w:tcPr>
          <w:p w14:paraId="09A36796" w14:textId="2F152BF5" w:rsidR="00660EE2" w:rsidRPr="00660EE2" w:rsidRDefault="00197FB4" w:rsidP="00660EE2">
            <w:pPr>
              <w:pStyle w:val="SingleTxtGA"/>
              <w:tabs>
                <w:tab w:val="clear" w:pos="1928"/>
                <w:tab w:val="clear" w:pos="2608"/>
                <w:tab w:val="clear" w:pos="3289"/>
                <w:tab w:val="clear" w:pos="3969"/>
                <w:tab w:val="clear" w:pos="4649"/>
                <w:tab w:val="clear" w:pos="5330"/>
              </w:tabs>
              <w:ind w:left="0" w:right="0"/>
              <w:rPr>
                <w:rFonts w:hint="cs"/>
                <w:rtl/>
              </w:rPr>
            </w:pPr>
            <w:hyperlink r:id="rId11" w:history="1">
              <w:r w:rsidR="00660EE2" w:rsidRPr="00197FB4">
                <w:rPr>
                  <w:rStyle w:val="Hyperlink"/>
                  <w:rtl/>
                </w:rPr>
                <w:t>ائتلاف الدفاع عن حرية المرأة وحياتها (</w:t>
              </w:r>
              <w:proofErr w:type="spellStart"/>
              <w:r w:rsidR="00660EE2" w:rsidRPr="00197FB4">
                <w:rPr>
                  <w:rStyle w:val="Hyperlink"/>
                </w:rPr>
                <w:t>Plataforma</w:t>
              </w:r>
              <w:proofErr w:type="spellEnd"/>
              <w:r w:rsidR="00660EE2" w:rsidRPr="00197FB4">
                <w:rPr>
                  <w:rStyle w:val="Hyperlink"/>
                </w:rPr>
                <w:t xml:space="preserve"> “</w:t>
              </w:r>
              <w:proofErr w:type="spellStart"/>
              <w:r w:rsidR="00660EE2" w:rsidRPr="00197FB4">
                <w:rPr>
                  <w:rStyle w:val="Hyperlink"/>
                </w:rPr>
                <w:t>Somos</w:t>
              </w:r>
              <w:proofErr w:type="spellEnd"/>
              <w:r w:rsidR="00660EE2" w:rsidRPr="00197FB4">
                <w:rPr>
                  <w:rStyle w:val="Hyperlink"/>
                </w:rPr>
                <w:t xml:space="preserve"> </w:t>
              </w:r>
              <w:proofErr w:type="spellStart"/>
              <w:r w:rsidR="00660EE2" w:rsidRPr="00197FB4">
                <w:rPr>
                  <w:rStyle w:val="Hyperlink"/>
                </w:rPr>
                <w:t>Muchas</w:t>
              </w:r>
              <w:proofErr w:type="spellEnd"/>
              <w:r w:rsidR="00660EE2" w:rsidRPr="00197FB4">
                <w:rPr>
                  <w:rStyle w:val="Hyperlink"/>
                </w:rPr>
                <w:t xml:space="preserve">, por la Libertad y la Vida de las </w:t>
              </w:r>
              <w:proofErr w:type="spellStart"/>
              <w:r w:rsidR="00660EE2" w:rsidRPr="00197FB4">
                <w:rPr>
                  <w:rStyle w:val="Hyperlink"/>
                </w:rPr>
                <w:t>Mujeres</w:t>
              </w:r>
              <w:proofErr w:type="spellEnd"/>
              <w:r w:rsidR="00660EE2" w:rsidRPr="00197FB4">
                <w:rPr>
                  <w:rStyle w:val="Hyperlink"/>
                  <w:rtl/>
                </w:rPr>
                <w:t>)، ومجموعة الدفاع عن استعمال حبوب منع الحمل التداركي (</w:t>
              </w:r>
              <w:r w:rsidR="00660EE2" w:rsidRPr="00197FB4">
                <w:rPr>
                  <w:rStyle w:val="Hyperlink"/>
                </w:rPr>
                <w:t xml:space="preserve">Grupo </w:t>
              </w:r>
              <w:proofErr w:type="spellStart"/>
              <w:r w:rsidR="00660EE2" w:rsidRPr="00197FB4">
                <w:rPr>
                  <w:rStyle w:val="Hyperlink"/>
                </w:rPr>
                <w:t>Estratégico</w:t>
              </w:r>
              <w:proofErr w:type="spellEnd"/>
              <w:r w:rsidR="00660EE2" w:rsidRPr="00197FB4">
                <w:rPr>
                  <w:rStyle w:val="Hyperlink"/>
                </w:rPr>
                <w:t xml:space="preserve"> de la </w:t>
              </w:r>
              <w:proofErr w:type="spellStart"/>
              <w:r w:rsidR="00660EE2" w:rsidRPr="00197FB4">
                <w:rPr>
                  <w:rStyle w:val="Hyperlink"/>
                </w:rPr>
                <w:t>Píldora</w:t>
              </w:r>
              <w:proofErr w:type="spellEnd"/>
              <w:r w:rsidR="00660EE2" w:rsidRPr="00197FB4">
                <w:rPr>
                  <w:rStyle w:val="Hyperlink"/>
                </w:rPr>
                <w:t xml:space="preserve"> de </w:t>
              </w:r>
              <w:proofErr w:type="spellStart"/>
              <w:r w:rsidR="00660EE2" w:rsidRPr="00197FB4">
                <w:rPr>
                  <w:rStyle w:val="Hyperlink"/>
                </w:rPr>
                <w:t>Anticoncepción</w:t>
              </w:r>
              <w:proofErr w:type="spellEnd"/>
              <w:r w:rsidR="00660EE2" w:rsidRPr="00197FB4">
                <w:rPr>
                  <w:rStyle w:val="Hyperlink"/>
                </w:rPr>
                <w:t xml:space="preserve"> de </w:t>
              </w:r>
              <w:proofErr w:type="spellStart"/>
              <w:r w:rsidR="00660EE2" w:rsidRPr="00197FB4">
                <w:rPr>
                  <w:rStyle w:val="Hyperlink"/>
                </w:rPr>
                <w:t>Emergencia</w:t>
              </w:r>
              <w:proofErr w:type="spellEnd"/>
              <w:r w:rsidR="00660EE2" w:rsidRPr="00197FB4">
                <w:rPr>
                  <w:rStyle w:val="Hyperlink"/>
                  <w:rtl/>
                </w:rPr>
                <w:t xml:space="preserve">)، ومركز التنمية </w:t>
              </w:r>
              <w:r w:rsidR="00660EE2" w:rsidRPr="00197FB4">
                <w:rPr>
                  <w:rStyle w:val="Hyperlink"/>
                  <w:spacing w:val="-4"/>
                  <w:rtl/>
                </w:rPr>
                <w:t xml:space="preserve">والتعاون </w:t>
              </w:r>
              <w:proofErr w:type="spellStart"/>
              <w:r w:rsidR="00660EE2" w:rsidRPr="00197FB4">
                <w:rPr>
                  <w:rStyle w:val="Hyperlink"/>
                  <w:spacing w:val="-4"/>
                  <w:rtl/>
                </w:rPr>
                <w:t>سوموس</w:t>
              </w:r>
              <w:proofErr w:type="spellEnd"/>
              <w:r w:rsidR="00660EE2" w:rsidRPr="00197FB4">
                <w:rPr>
                  <w:rStyle w:val="Hyperlink"/>
                  <w:spacing w:val="-4"/>
                  <w:rtl/>
                </w:rPr>
                <w:t xml:space="preserve"> لمجتمع الميم (</w:t>
              </w:r>
              <w:r w:rsidR="00660EE2" w:rsidRPr="00197FB4">
                <w:rPr>
                  <w:rStyle w:val="Hyperlink"/>
                  <w:spacing w:val="-4"/>
                </w:rPr>
                <w:t xml:space="preserve">Centro para el Desarrollo y la </w:t>
              </w:r>
              <w:proofErr w:type="spellStart"/>
              <w:r w:rsidR="00660EE2" w:rsidRPr="00197FB4">
                <w:rPr>
                  <w:rStyle w:val="Hyperlink"/>
                  <w:spacing w:val="-4"/>
                </w:rPr>
                <w:t>Cooperación</w:t>
              </w:r>
              <w:proofErr w:type="spellEnd"/>
              <w:r w:rsidR="00660EE2" w:rsidRPr="00197FB4">
                <w:rPr>
                  <w:rStyle w:val="Hyperlink"/>
                  <w:spacing w:val="-4"/>
                </w:rPr>
                <w:t xml:space="preserve"> LGTBI</w:t>
              </w:r>
              <w:r w:rsidR="00660EE2" w:rsidRPr="00197FB4">
                <w:rPr>
                  <w:rStyle w:val="Hyperlink"/>
                </w:rPr>
                <w:t xml:space="preserve"> – SOMOS CDC</w:t>
              </w:r>
              <w:r w:rsidR="00660EE2" w:rsidRPr="00197FB4">
                <w:rPr>
                  <w:rStyle w:val="Hyperlink"/>
                  <w:rtl/>
                </w:rPr>
                <w:t>)</w:t>
              </w:r>
            </w:hyperlink>
          </w:p>
        </w:tc>
      </w:tr>
      <w:tr w:rsidR="00660EE2" w:rsidRPr="00660EE2" w14:paraId="540E8FF2" w14:textId="77777777" w:rsidTr="00E33BC7">
        <w:tc>
          <w:tcPr>
            <w:tcW w:w="2687" w:type="dxa"/>
          </w:tcPr>
          <w:p w14:paraId="3D688EFB" w14:textId="77777777" w:rsidR="00660EE2" w:rsidRPr="00660EE2" w:rsidRDefault="00660EE2" w:rsidP="00660EE2">
            <w:pPr>
              <w:pStyle w:val="SingleTxtGA"/>
              <w:tabs>
                <w:tab w:val="clear" w:pos="1928"/>
                <w:tab w:val="clear" w:pos="2608"/>
                <w:tab w:val="clear" w:pos="3289"/>
                <w:tab w:val="clear" w:pos="3969"/>
                <w:tab w:val="clear" w:pos="4649"/>
                <w:tab w:val="clear" w:pos="5330"/>
              </w:tabs>
              <w:ind w:left="0" w:right="0"/>
              <w:rPr>
                <w:rtl/>
              </w:rPr>
            </w:pPr>
            <w:r w:rsidRPr="008D25E3">
              <w:rPr>
                <w:i/>
                <w:iCs/>
                <w:highlight w:val="cyan"/>
                <w:rtl/>
              </w:rPr>
              <w:t>تقييم اللجنة:</w:t>
            </w:r>
          </w:p>
        </w:tc>
        <w:tc>
          <w:tcPr>
            <w:tcW w:w="4538" w:type="dxa"/>
          </w:tcPr>
          <w:p w14:paraId="6F420D8B" w14:textId="77777777" w:rsidR="00660EE2" w:rsidRPr="00660EE2" w:rsidRDefault="00660EE2" w:rsidP="00660EE2">
            <w:pPr>
              <w:pStyle w:val="SingleTxtGA"/>
              <w:tabs>
                <w:tab w:val="clear" w:pos="1928"/>
                <w:tab w:val="clear" w:pos="2608"/>
                <w:tab w:val="clear" w:pos="3289"/>
                <w:tab w:val="clear" w:pos="3969"/>
                <w:tab w:val="clear" w:pos="4649"/>
                <w:tab w:val="clear" w:pos="5330"/>
              </w:tabs>
              <w:ind w:left="0" w:right="0"/>
              <w:rPr>
                <w:rtl/>
              </w:rPr>
            </w:pPr>
            <w:r w:rsidRPr="008D25E3">
              <w:rPr>
                <w:spacing w:val="-4"/>
                <w:rtl/>
              </w:rPr>
              <w:t xml:space="preserve">يلزم تقديم معلومات إضافية بشأن الفقرات </w:t>
            </w:r>
            <w:r w:rsidRPr="008D25E3">
              <w:rPr>
                <w:spacing w:val="-4"/>
                <w:highlight w:val="yellow"/>
                <w:rtl/>
              </w:rPr>
              <w:t>17</w:t>
            </w:r>
            <w:r w:rsidRPr="008D25E3">
              <w:rPr>
                <w:b/>
                <w:bCs/>
                <w:spacing w:val="-4"/>
                <w:rtl/>
              </w:rPr>
              <w:t>[جيم]</w:t>
            </w:r>
            <w:r w:rsidRPr="008D25E3">
              <w:rPr>
                <w:spacing w:val="-4"/>
                <w:rtl/>
              </w:rPr>
              <w:t>، و</w:t>
            </w:r>
            <w:r w:rsidRPr="008D25E3">
              <w:rPr>
                <w:spacing w:val="-4"/>
                <w:highlight w:val="yellow"/>
                <w:rtl/>
              </w:rPr>
              <w:t>21</w:t>
            </w:r>
            <w:r w:rsidRPr="008D25E3">
              <w:rPr>
                <w:spacing w:val="-4"/>
                <w:rtl/>
              </w:rPr>
              <w:t xml:space="preserve"> </w:t>
            </w:r>
            <w:r w:rsidRPr="008D25E3">
              <w:rPr>
                <w:b/>
                <w:bCs/>
                <w:spacing w:val="-4"/>
                <w:rtl/>
              </w:rPr>
              <w:t>[باء]</w:t>
            </w:r>
            <w:r w:rsidRPr="008D25E3">
              <w:rPr>
                <w:spacing w:val="-4"/>
                <w:rtl/>
              </w:rPr>
              <w:t>،</w:t>
            </w:r>
            <w:r w:rsidRPr="00660EE2">
              <w:rPr>
                <w:rtl/>
              </w:rPr>
              <w:t xml:space="preserve"> و</w:t>
            </w:r>
            <w:r w:rsidRPr="008D25E3">
              <w:rPr>
                <w:highlight w:val="yellow"/>
                <w:rtl/>
              </w:rPr>
              <w:t>41</w:t>
            </w:r>
            <w:r w:rsidRPr="008D25E3">
              <w:rPr>
                <w:b/>
                <w:bCs/>
                <w:rtl/>
              </w:rPr>
              <w:t>[باء][جيم]</w:t>
            </w:r>
            <w:r w:rsidRPr="00660EE2">
              <w:rPr>
                <w:rtl/>
              </w:rPr>
              <w:t>، و</w:t>
            </w:r>
            <w:r w:rsidRPr="008D25E3">
              <w:rPr>
                <w:highlight w:val="yellow"/>
                <w:rtl/>
              </w:rPr>
              <w:t>47</w:t>
            </w:r>
            <w:r w:rsidRPr="008D25E3">
              <w:rPr>
                <w:b/>
                <w:bCs/>
                <w:rtl/>
              </w:rPr>
              <w:t>[باء]</w:t>
            </w:r>
          </w:p>
        </w:tc>
      </w:tr>
    </w:tbl>
    <w:p w14:paraId="38BE6D92" w14:textId="2D434909" w:rsidR="00660EE2" w:rsidRPr="008D25E3" w:rsidRDefault="00660EE2" w:rsidP="00660EE2">
      <w:pPr>
        <w:pStyle w:val="H23GA"/>
        <w:rPr>
          <w:highlight w:val="lightGray"/>
          <w:rtl/>
        </w:rPr>
      </w:pPr>
      <w:r w:rsidRPr="008D25E3">
        <w:rPr>
          <w:highlight w:val="lightGray"/>
          <w:rtl/>
        </w:rPr>
        <w:tab/>
      </w:r>
      <w:r w:rsidRPr="008D25E3">
        <w:rPr>
          <w:highlight w:val="lightGray"/>
          <w:rtl/>
        </w:rPr>
        <w:tab/>
      </w:r>
      <w:r w:rsidRPr="008D25E3">
        <w:rPr>
          <w:highlight w:val="lightGray"/>
          <w:rtl/>
        </w:rPr>
        <w:t xml:space="preserve">الفقرة </w:t>
      </w:r>
      <w:r w:rsidRPr="008D25E3">
        <w:rPr>
          <w:highlight w:val="yellow"/>
          <w:rtl/>
        </w:rPr>
        <w:t>17</w:t>
      </w:r>
      <w:r w:rsidRPr="008D25E3">
        <w:rPr>
          <w:highlight w:val="lightGray"/>
          <w:rtl/>
        </w:rPr>
        <w:t>: الإنهاء الطوعي للحمل والحقوق الإنجابية</w:t>
      </w:r>
    </w:p>
    <w:p w14:paraId="7C7E4929" w14:textId="6352FCD1" w:rsidR="00660EE2" w:rsidRPr="008D25E3" w:rsidRDefault="00C65A36" w:rsidP="00660EE2">
      <w:pPr>
        <w:pStyle w:val="SingleTxtGA"/>
        <w:rPr>
          <w:b/>
          <w:bCs/>
          <w:highlight w:val="lightGray"/>
          <w:rtl/>
        </w:rPr>
      </w:pPr>
      <w:r w:rsidRPr="008D25E3">
        <w:rPr>
          <w:b/>
          <w:bCs/>
          <w:highlight w:val="lightGray"/>
          <w:rtl/>
        </w:rPr>
        <w:tab/>
      </w:r>
      <w:r w:rsidR="00660EE2" w:rsidRPr="008D25E3">
        <w:rPr>
          <w:b/>
          <w:bCs/>
          <w:spacing w:val="-2"/>
          <w:highlight w:val="lightGray"/>
          <w:rtl/>
        </w:rPr>
        <w:t xml:space="preserve">ينبغي للدولة الطرف أن تعدِّل، على وجه الاستعجال، تشريعاتها لمساعدة النساء على تجنب حالات الحمل غير المرغوب فيه وضمان عدم الحاجة إلى اللجوء إلى الإجهاض السري الذي يمكن أن يعرض حياتهن وصحتهن للخطر. وفي هذا الصدد، ينبغي للدولة الطرف أن تكفل إمكانية الوصول إلى خدمة الإجهاض المأمون والقانوني، لا سيما في الحالات التي تكون فيها حياة المرأة أو صحتها في خطر </w:t>
      </w:r>
      <w:r w:rsidR="00660EE2" w:rsidRPr="008D25E3">
        <w:rPr>
          <w:rFonts w:ascii="Times New Roman Bold" w:hAnsi="Times New Roman Bold"/>
          <w:b/>
          <w:bCs/>
          <w:spacing w:val="-2"/>
          <w:highlight w:val="lightGray"/>
          <w:rtl/>
        </w:rPr>
        <w:t xml:space="preserve">وفي حالات الاغتصاب أو سفاح المحارم أو عند حدوث تشوه للجنين يمنع إتمام الحمل، وأن تنظر في إلغاء تجريم الإجهاض. وينبغي للدولة الطرف أن ترفع الحظر المفروض على حبوب منع الحمل التداركي. </w:t>
      </w:r>
      <w:r w:rsidR="00660EE2" w:rsidRPr="008D25E3">
        <w:rPr>
          <w:b/>
          <w:bCs/>
          <w:highlight w:val="lightGray"/>
          <w:rtl/>
        </w:rPr>
        <w:t>وينبغي لها أيضا</w:t>
      </w:r>
      <w:r w:rsidRPr="008D25E3">
        <w:rPr>
          <w:rFonts w:hint="cs"/>
          <w:b/>
          <w:bCs/>
          <w:highlight w:val="lightGray"/>
          <w:rtl/>
        </w:rPr>
        <w:t>ً</w:t>
      </w:r>
      <w:r w:rsidR="00660EE2" w:rsidRPr="008D25E3">
        <w:rPr>
          <w:b/>
          <w:bCs/>
          <w:highlight w:val="lightGray"/>
          <w:rtl/>
        </w:rPr>
        <w:t xml:space="preserve"> أن تحتفظ بإحصاءات دقيقة عن تأثر حياة وصحة النساء والفتيات بالقيود المفروضة على الإجهاض وحبوب منع الحمل التداركي، وتزيد من عدد البرامج المصممة من أجل توفير إمكانية الوصول الكامل إلى خدمات الصحة الجنسية والإنجابية ووسائل منع الحمل، وتعزز الوعي بالصحة الجنسية والإنجابية في صفوف الرجال والنساء والأطفال في جميع أنحاء البلد.</w:t>
      </w:r>
    </w:p>
    <w:p w14:paraId="13C9A2E8" w14:textId="23394D46" w:rsidR="00660EE2" w:rsidRPr="008D25E3" w:rsidRDefault="002B551F" w:rsidP="004710F9">
      <w:pPr>
        <w:pStyle w:val="H23GA"/>
        <w:spacing w:line="350" w:lineRule="exact"/>
        <w:rPr>
          <w:highlight w:val="lightGray"/>
          <w:rtl/>
        </w:rPr>
      </w:pPr>
      <w:r w:rsidRPr="008D25E3">
        <w:rPr>
          <w:highlight w:val="lightGray"/>
          <w:rtl/>
        </w:rPr>
        <w:tab/>
      </w:r>
      <w:r w:rsidRPr="008D25E3">
        <w:rPr>
          <w:highlight w:val="lightGray"/>
          <w:rtl/>
        </w:rPr>
        <w:tab/>
      </w:r>
      <w:r w:rsidR="00660EE2" w:rsidRPr="008D25E3">
        <w:rPr>
          <w:highlight w:val="lightGray"/>
          <w:rtl/>
        </w:rPr>
        <w:t xml:space="preserve">ملخص ردّ الدولة الطرف </w:t>
      </w:r>
    </w:p>
    <w:p w14:paraId="397B5F3F" w14:textId="16C3D68E" w:rsidR="00660EE2" w:rsidRDefault="00C65A36" w:rsidP="004710F9">
      <w:pPr>
        <w:pStyle w:val="SingleTxtGA"/>
        <w:spacing w:line="350" w:lineRule="exact"/>
        <w:rPr>
          <w:rtl/>
        </w:rPr>
      </w:pPr>
      <w:r>
        <w:rPr>
          <w:rtl/>
        </w:rPr>
        <w:tab/>
      </w:r>
      <w:r w:rsidR="00660EE2">
        <w:rPr>
          <w:rtl/>
        </w:rPr>
        <w:t xml:space="preserve">لم تُدخل أي تعديلات على التشريعات. وأوردت الدولة الطرف إنجازاتها فيما يتعلق بمنع الحمل في الفترة بين عامي </w:t>
      </w:r>
      <w:r w:rsidR="00660EE2" w:rsidRPr="008D25E3">
        <w:rPr>
          <w:highlight w:val="yellow"/>
          <w:rtl/>
        </w:rPr>
        <w:t>2014</w:t>
      </w:r>
      <w:r w:rsidR="00660EE2">
        <w:rPr>
          <w:rtl/>
        </w:rPr>
        <w:t xml:space="preserve"> و</w:t>
      </w:r>
      <w:r w:rsidR="00660EE2" w:rsidRPr="008D25E3">
        <w:rPr>
          <w:highlight w:val="yellow"/>
          <w:rtl/>
        </w:rPr>
        <w:t>2018</w:t>
      </w:r>
      <w:r w:rsidR="00660EE2">
        <w:rPr>
          <w:rtl/>
        </w:rPr>
        <w:t xml:space="preserve">. </w:t>
      </w:r>
    </w:p>
    <w:p w14:paraId="4D01B9DF" w14:textId="1ACB8A36" w:rsidR="00660EE2" w:rsidRDefault="00C65A36" w:rsidP="004710F9">
      <w:pPr>
        <w:pStyle w:val="SingleTxtGA"/>
        <w:spacing w:line="350" w:lineRule="exact"/>
        <w:rPr>
          <w:rtl/>
        </w:rPr>
      </w:pPr>
      <w:r>
        <w:rPr>
          <w:rtl/>
        </w:rPr>
        <w:tab/>
      </w:r>
      <w:r w:rsidR="00660EE2">
        <w:rPr>
          <w:rtl/>
        </w:rPr>
        <w:t>ودافع المعهد الوطني للمرأة في سياق تواصله مع وزارة الصحة عن مسألة إجراء دراسة تقنية</w:t>
      </w:r>
      <w:r w:rsidR="004710F9">
        <w:rPr>
          <w:rFonts w:hint="cs"/>
          <w:rtl/>
        </w:rPr>
        <w:t> </w:t>
      </w:r>
      <w:r w:rsidR="00660EE2">
        <w:rPr>
          <w:rtl/>
        </w:rPr>
        <w:t>وعلمية بشأن استخدام حبوب منع الحمل التداركي واعتماد بروتوكول طبي لضحايا العنف الجنسي/الناجيات منه.</w:t>
      </w:r>
    </w:p>
    <w:p w14:paraId="56446C83" w14:textId="0CBBF6C5" w:rsidR="00660EE2" w:rsidRDefault="00C65A36" w:rsidP="004710F9">
      <w:pPr>
        <w:pStyle w:val="SingleTxtGA"/>
        <w:spacing w:line="350" w:lineRule="exact"/>
        <w:rPr>
          <w:rtl/>
        </w:rPr>
      </w:pPr>
      <w:r>
        <w:rPr>
          <w:rtl/>
        </w:rPr>
        <w:tab/>
      </w:r>
      <w:r w:rsidR="00660EE2">
        <w:rPr>
          <w:rtl/>
        </w:rPr>
        <w:t>وفيما يتعلق بالإحصاءات، تحتفظ وزارة الصحة حالي</w:t>
      </w:r>
      <w:r w:rsidR="00CA796D">
        <w:rPr>
          <w:rtl/>
        </w:rPr>
        <w:t xml:space="preserve">اً </w:t>
      </w:r>
      <w:r w:rsidR="00660EE2">
        <w:rPr>
          <w:rtl/>
        </w:rPr>
        <w:t>بسجلات إدارية عن المرضى الذين يتلقون العلاج في المستشفيات بسبب الإجهاض.</w:t>
      </w:r>
    </w:p>
    <w:p w14:paraId="1A03C8E4" w14:textId="54B44789" w:rsidR="00660EE2" w:rsidRDefault="00C65A36" w:rsidP="004710F9">
      <w:pPr>
        <w:pStyle w:val="SingleTxtGA"/>
        <w:spacing w:line="350" w:lineRule="exact"/>
        <w:rPr>
          <w:rtl/>
        </w:rPr>
      </w:pPr>
      <w:r>
        <w:rPr>
          <w:rtl/>
        </w:rPr>
        <w:tab/>
      </w:r>
      <w:r w:rsidR="00660EE2">
        <w:rPr>
          <w:rtl/>
        </w:rPr>
        <w:t>وفيما يتعلق ببرامج التوعية، عقد المعهد الوطني للمرأة حلقات عمل تدريبية لتعزيز المهارات التقنية للموظفين الذين يعملون في اتصال مباشر مع المراهقين.</w:t>
      </w:r>
    </w:p>
    <w:p w14:paraId="1E3E8A81" w14:textId="77777777" w:rsidR="00660EE2" w:rsidRPr="008D25E3" w:rsidRDefault="00660EE2" w:rsidP="004710F9">
      <w:pPr>
        <w:pStyle w:val="H23GA"/>
        <w:spacing w:line="350" w:lineRule="exact"/>
        <w:rPr>
          <w:highlight w:val="lightGray"/>
          <w:rtl/>
        </w:rPr>
      </w:pPr>
      <w:r w:rsidRPr="008D25E3">
        <w:rPr>
          <w:highlight w:val="lightGray"/>
          <w:rtl/>
        </w:rPr>
        <w:tab/>
      </w:r>
      <w:r w:rsidRPr="008D25E3">
        <w:rPr>
          <w:highlight w:val="lightGray"/>
          <w:rtl/>
        </w:rPr>
        <w:tab/>
        <w:t>المعلومات الواردة من المنظمات غير الحكومية:</w:t>
      </w:r>
    </w:p>
    <w:p w14:paraId="605428C4" w14:textId="77777777" w:rsidR="00660EE2" w:rsidRPr="008D25E3" w:rsidRDefault="00660EE2" w:rsidP="004710F9">
      <w:pPr>
        <w:pStyle w:val="H4GA"/>
        <w:spacing w:line="350" w:lineRule="exact"/>
        <w:rPr>
          <w:highlight w:val="cyan"/>
          <w:rtl/>
        </w:rPr>
      </w:pPr>
      <w:r w:rsidRPr="008D25E3">
        <w:rPr>
          <w:highlight w:val="cyan"/>
          <w:rtl/>
        </w:rPr>
        <w:tab/>
      </w:r>
      <w:r w:rsidRPr="008D25E3">
        <w:rPr>
          <w:highlight w:val="cyan"/>
          <w:rtl/>
        </w:rPr>
        <w:tab/>
        <w:t>ائتلاف الدفاع عن حرية المرأة وحياتها</w:t>
      </w:r>
    </w:p>
    <w:p w14:paraId="17ACBFFF" w14:textId="23293E85" w:rsidR="00660EE2" w:rsidRDefault="00C65A36" w:rsidP="004710F9">
      <w:pPr>
        <w:pStyle w:val="SingleTxtGA"/>
        <w:spacing w:line="350" w:lineRule="exact"/>
        <w:rPr>
          <w:rtl/>
        </w:rPr>
      </w:pPr>
      <w:r>
        <w:rPr>
          <w:rtl/>
        </w:rPr>
        <w:tab/>
      </w:r>
      <w:r w:rsidR="00660EE2">
        <w:rPr>
          <w:rtl/>
        </w:rPr>
        <w:t xml:space="preserve">أتيحت للدولة الطرف فرصة لتعديل قانون العقوبات الجديد والنظر في إلغاء تجريم الإجهاض. </w:t>
      </w:r>
    </w:p>
    <w:p w14:paraId="594E567A" w14:textId="77777777" w:rsidR="00660EE2" w:rsidRPr="008D25E3" w:rsidRDefault="00660EE2" w:rsidP="004710F9">
      <w:pPr>
        <w:pStyle w:val="H4GA"/>
        <w:spacing w:line="350" w:lineRule="exact"/>
        <w:rPr>
          <w:highlight w:val="cyan"/>
          <w:rtl/>
        </w:rPr>
      </w:pPr>
      <w:r w:rsidRPr="008D25E3">
        <w:rPr>
          <w:highlight w:val="cyan"/>
          <w:rtl/>
        </w:rPr>
        <w:tab/>
      </w:r>
      <w:r w:rsidRPr="008D25E3">
        <w:rPr>
          <w:highlight w:val="cyan"/>
          <w:rtl/>
        </w:rPr>
        <w:tab/>
        <w:t>مجموعة الدفاع عن استعمال حبوب منع الحمل التداركي</w:t>
      </w:r>
    </w:p>
    <w:p w14:paraId="2D58730B" w14:textId="0BE2349C" w:rsidR="00660EE2" w:rsidRPr="00C65A36" w:rsidRDefault="00C65A36" w:rsidP="004710F9">
      <w:pPr>
        <w:pStyle w:val="SingleTxtGA"/>
        <w:spacing w:line="350" w:lineRule="exact"/>
        <w:rPr>
          <w:spacing w:val="-2"/>
          <w:rtl/>
        </w:rPr>
      </w:pPr>
      <w:r>
        <w:rPr>
          <w:rtl/>
        </w:rPr>
        <w:tab/>
      </w:r>
      <w:r w:rsidR="00660EE2" w:rsidRPr="00C65A36">
        <w:rPr>
          <w:spacing w:val="-2"/>
          <w:rtl/>
        </w:rPr>
        <w:t xml:space="preserve">أبلغ أكثر من </w:t>
      </w:r>
      <w:r w:rsidR="00660EE2" w:rsidRPr="008D25E3">
        <w:rPr>
          <w:spacing w:val="-2"/>
          <w:highlight w:val="yellow"/>
          <w:rtl/>
        </w:rPr>
        <w:t>000</w:t>
      </w:r>
      <w:r w:rsidR="00660EE2" w:rsidRPr="00C65A36">
        <w:rPr>
          <w:spacing w:val="-2"/>
          <w:rtl/>
        </w:rPr>
        <w:t xml:space="preserve"> </w:t>
      </w:r>
      <w:r w:rsidR="00660EE2" w:rsidRPr="008D25E3">
        <w:rPr>
          <w:spacing w:val="-2"/>
          <w:highlight w:val="yellow"/>
          <w:rtl/>
        </w:rPr>
        <w:t>21</w:t>
      </w:r>
      <w:r w:rsidR="00660EE2" w:rsidRPr="00C65A36">
        <w:rPr>
          <w:spacing w:val="-2"/>
          <w:rtl/>
        </w:rPr>
        <w:t xml:space="preserve"> فتاة وامرأة عن تعرضهن للعنف الجنسي؛ وفي </w:t>
      </w:r>
      <w:r w:rsidR="00660EE2" w:rsidRPr="008D25E3">
        <w:rPr>
          <w:spacing w:val="-2"/>
          <w:highlight w:val="yellow"/>
          <w:rtl/>
        </w:rPr>
        <w:t>54</w:t>
      </w:r>
      <w:r w:rsidR="00660EE2" w:rsidRPr="00C65A36">
        <w:rPr>
          <w:spacing w:val="-2"/>
          <w:rtl/>
        </w:rPr>
        <w:t xml:space="preserve"> في المائة من الإفادات، أوردت فتيات في سن </w:t>
      </w:r>
      <w:r w:rsidR="00660EE2" w:rsidRPr="008D25E3">
        <w:rPr>
          <w:spacing w:val="-2"/>
          <w:highlight w:val="yellow"/>
          <w:rtl/>
        </w:rPr>
        <w:t>14</w:t>
      </w:r>
      <w:r w:rsidR="00660EE2" w:rsidRPr="00C65A36">
        <w:rPr>
          <w:spacing w:val="-2"/>
          <w:rtl/>
        </w:rPr>
        <w:t xml:space="preserve"> سنة أو أقل أنهن أُجبرن جميع</w:t>
      </w:r>
      <w:r w:rsidR="00CA796D">
        <w:rPr>
          <w:spacing w:val="-2"/>
          <w:rtl/>
        </w:rPr>
        <w:t xml:space="preserve">اً </w:t>
      </w:r>
      <w:r w:rsidR="00660EE2" w:rsidRPr="00C65A36">
        <w:rPr>
          <w:spacing w:val="-2"/>
          <w:rtl/>
        </w:rPr>
        <w:t xml:space="preserve">على الاحتفاظ بحملهن إلى نهاية مدته. </w:t>
      </w:r>
    </w:p>
    <w:p w14:paraId="354235FA" w14:textId="77777777" w:rsidR="00660EE2" w:rsidRPr="008D25E3" w:rsidRDefault="00660EE2" w:rsidP="004710F9">
      <w:pPr>
        <w:pStyle w:val="H23GA"/>
        <w:spacing w:line="350" w:lineRule="exact"/>
        <w:rPr>
          <w:highlight w:val="lightGray"/>
          <w:rtl/>
        </w:rPr>
      </w:pPr>
      <w:r w:rsidRPr="008D25E3">
        <w:rPr>
          <w:highlight w:val="lightGray"/>
          <w:rtl/>
        </w:rPr>
        <w:tab/>
      </w:r>
      <w:r w:rsidRPr="008D25E3">
        <w:rPr>
          <w:highlight w:val="lightGray"/>
          <w:rtl/>
        </w:rPr>
        <w:tab/>
        <w:t>تقييم اللجنة</w:t>
      </w:r>
    </w:p>
    <w:p w14:paraId="481D8E83" w14:textId="530BD4B2" w:rsidR="00660EE2" w:rsidRDefault="004710F9" w:rsidP="004710F9">
      <w:pPr>
        <w:pStyle w:val="SingleTxtGA"/>
        <w:spacing w:line="350" w:lineRule="exact"/>
        <w:rPr>
          <w:rtl/>
        </w:rPr>
      </w:pPr>
      <w:r w:rsidRPr="008D25E3">
        <w:rPr>
          <w:b/>
          <w:bCs/>
          <w:highlight w:val="lightGray"/>
          <w:rtl/>
        </w:rPr>
        <w:tab/>
      </w:r>
      <w:r w:rsidR="00660EE2" w:rsidRPr="008D25E3">
        <w:rPr>
          <w:b/>
          <w:bCs/>
          <w:highlight w:val="lightGray"/>
          <w:rtl/>
        </w:rPr>
        <w:t>[ج]</w:t>
      </w:r>
      <w:r w:rsidR="00660EE2">
        <w:rPr>
          <w:rtl/>
        </w:rPr>
        <w:t>:</w:t>
      </w:r>
      <w:r w:rsidR="00660EE2">
        <w:rPr>
          <w:rtl/>
        </w:rPr>
        <w:tab/>
        <w:t>تأسف اللجنة لعدم اتخاذ الدولة الطرف تدابير لتعديل تشريعاتها بما يتيح مساعدة النساء على تجنب الحمل غير المرغوب فيه أو ضمان إمكانية الوصول إلى خدمات الإجهاض المأمون والقانوني، لا</w:t>
      </w:r>
      <w:r w:rsidR="002B551F">
        <w:rPr>
          <w:rFonts w:hint="cs"/>
          <w:rtl/>
        </w:rPr>
        <w:t> </w:t>
      </w:r>
      <w:r w:rsidR="00660EE2">
        <w:rPr>
          <w:rtl/>
        </w:rPr>
        <w:t xml:space="preserve">سيما في الحالات التي تكون فيها حياة المرأة أو صحتها في خطر وفي حالات الاغتصاب أو سفاح المحارم أو عند حدوث تشوه للجنين يمنع إتمام الحمل، وعدم نظرها في إلغاء تجريم الإجهاض. </w:t>
      </w:r>
    </w:p>
    <w:p w14:paraId="30F11780" w14:textId="769713C5" w:rsidR="00660EE2" w:rsidRDefault="004710F9" w:rsidP="004710F9">
      <w:pPr>
        <w:pStyle w:val="SingleTxtGA"/>
        <w:spacing w:line="350" w:lineRule="exact"/>
        <w:rPr>
          <w:rtl/>
        </w:rPr>
      </w:pPr>
      <w:r>
        <w:rPr>
          <w:rtl/>
        </w:rPr>
        <w:tab/>
      </w:r>
      <w:r w:rsidR="00660EE2">
        <w:rPr>
          <w:rtl/>
        </w:rPr>
        <w:t>وتحيط اللجنة علماً بالمعلومات المقدمة من المعهد الوطني للمرأة الذي تواصل مع وزارة الصحة دفاع</w:t>
      </w:r>
      <w:r w:rsidR="00CA796D">
        <w:rPr>
          <w:rtl/>
        </w:rPr>
        <w:t xml:space="preserve">اً </w:t>
      </w:r>
      <w:r w:rsidR="00660EE2">
        <w:rPr>
          <w:rtl/>
        </w:rPr>
        <w:t xml:space="preserve">عن إجراء دراسة تقنية وعلمية بشأن استخدام حبوب منع الحمل التداركي واعتماد بروتوكول طبي لضحايا العنف الجنسي/الناجيات منه. وتطلب اللجنة معلومات محدّثة في هذا الصدد. </w:t>
      </w:r>
    </w:p>
    <w:p w14:paraId="2C1F5029" w14:textId="717270F0" w:rsidR="00660EE2" w:rsidRPr="004710F9" w:rsidRDefault="004710F9" w:rsidP="004710F9">
      <w:pPr>
        <w:pStyle w:val="SingleTxtGA"/>
        <w:spacing w:line="350" w:lineRule="exact"/>
        <w:rPr>
          <w:spacing w:val="-4"/>
          <w:rtl/>
        </w:rPr>
      </w:pPr>
      <w:r>
        <w:rPr>
          <w:spacing w:val="-4"/>
          <w:rtl/>
        </w:rPr>
        <w:tab/>
      </w:r>
      <w:r w:rsidR="00660EE2" w:rsidRPr="00C65A36">
        <w:rPr>
          <w:spacing w:val="-4"/>
          <w:rtl/>
        </w:rPr>
        <w:t>وتحيط اللجنة علماً أيضاً بالمعلومات المقدمة عن زيادة الوعي والإحصاءات التي جمعتها وزارة الصحة بشأن المرضى الذين يتلقون العلاج في المستشفيات جراء مضاعفات الإجهاض. غير أنها تطلب معلومات</w:t>
      </w:r>
      <w:r w:rsidR="00660EE2">
        <w:rPr>
          <w:rtl/>
        </w:rPr>
        <w:t xml:space="preserve"> عن الإجراءات المتخذة منذ اعتماد اللجنة ملاحظاتها الختامية من أجل ‘</w:t>
      </w:r>
      <w:proofErr w:type="gramStart"/>
      <w:r w:rsidR="00660EE2" w:rsidRPr="008D25E3">
        <w:rPr>
          <w:highlight w:val="yellow"/>
          <w:rtl/>
        </w:rPr>
        <w:t>1</w:t>
      </w:r>
      <w:r w:rsidR="00660EE2">
        <w:rPr>
          <w:rtl/>
        </w:rPr>
        <w:t>‘ الاحتفاظ</w:t>
      </w:r>
      <w:proofErr w:type="gramEnd"/>
      <w:r w:rsidR="00660EE2">
        <w:rPr>
          <w:rtl/>
        </w:rPr>
        <w:t xml:space="preserve"> بإحصاءات </w:t>
      </w:r>
      <w:r w:rsidR="00660EE2" w:rsidRPr="004710F9">
        <w:rPr>
          <w:spacing w:val="-4"/>
          <w:rtl/>
        </w:rPr>
        <w:t>دقيقة عن تأثر حياة النساء والفتيات وصحتهن بالقيود المفروضة على الإجهاض وحبوب منع الحمل التداركي؛</w:t>
      </w:r>
      <w:r w:rsidR="00660EE2">
        <w:rPr>
          <w:rtl/>
        </w:rPr>
        <w:t xml:space="preserve"> ‘</w:t>
      </w:r>
      <w:r w:rsidR="00660EE2" w:rsidRPr="008D25E3">
        <w:rPr>
          <w:highlight w:val="yellow"/>
          <w:rtl/>
        </w:rPr>
        <w:t>2</w:t>
      </w:r>
      <w:r w:rsidR="00660EE2">
        <w:rPr>
          <w:rtl/>
        </w:rPr>
        <w:t xml:space="preserve">‘ زيادة عدد البرامج الرامية إلى توفير فرص الوصول الكامل إلى خدمات الصحة الجنسية والإنجابية </w:t>
      </w:r>
      <w:r w:rsidR="00660EE2" w:rsidRPr="004710F9">
        <w:rPr>
          <w:spacing w:val="-4"/>
          <w:rtl/>
        </w:rPr>
        <w:t>ووسائل منع الحمل؛ ‘</w:t>
      </w:r>
      <w:r w:rsidR="00660EE2" w:rsidRPr="008D25E3">
        <w:rPr>
          <w:spacing w:val="-4"/>
          <w:highlight w:val="yellow"/>
          <w:rtl/>
        </w:rPr>
        <w:t>3</w:t>
      </w:r>
      <w:r w:rsidR="00660EE2" w:rsidRPr="004710F9">
        <w:rPr>
          <w:spacing w:val="-4"/>
          <w:rtl/>
        </w:rPr>
        <w:t>‘ إذكاء وعي الرجال والنساء والأطفال في جميع أنحاء البلد بالصحة الجنسية والإنجابية.</w:t>
      </w:r>
    </w:p>
    <w:p w14:paraId="4852F362" w14:textId="77777777" w:rsidR="00660EE2" w:rsidRPr="008D25E3" w:rsidRDefault="00660EE2" w:rsidP="002B551F">
      <w:pPr>
        <w:pStyle w:val="H23GA"/>
        <w:rPr>
          <w:highlight w:val="lightGray"/>
          <w:rtl/>
        </w:rPr>
      </w:pPr>
      <w:r w:rsidRPr="008D25E3">
        <w:rPr>
          <w:highlight w:val="lightGray"/>
          <w:rtl/>
        </w:rPr>
        <w:tab/>
      </w:r>
      <w:r w:rsidRPr="008D25E3">
        <w:rPr>
          <w:highlight w:val="lightGray"/>
          <w:rtl/>
        </w:rPr>
        <w:tab/>
        <w:t xml:space="preserve">الفقرة </w:t>
      </w:r>
      <w:r w:rsidRPr="008D25E3">
        <w:rPr>
          <w:highlight w:val="yellow"/>
          <w:rtl/>
        </w:rPr>
        <w:t>21</w:t>
      </w:r>
      <w:r w:rsidRPr="008D25E3">
        <w:rPr>
          <w:highlight w:val="lightGray"/>
          <w:rtl/>
        </w:rPr>
        <w:t>: حق الفرد في الحياة وفي الأمان على شخصه</w:t>
      </w:r>
    </w:p>
    <w:p w14:paraId="314FE32D" w14:textId="4E63A644" w:rsidR="00660EE2" w:rsidRPr="008D25E3" w:rsidRDefault="004710F9" w:rsidP="00660EE2">
      <w:pPr>
        <w:pStyle w:val="SingleTxtGA"/>
        <w:rPr>
          <w:b/>
          <w:bCs/>
          <w:rtl/>
        </w:rPr>
      </w:pPr>
      <w:r w:rsidRPr="008D25E3">
        <w:rPr>
          <w:b/>
          <w:bCs/>
          <w:rtl/>
        </w:rPr>
        <w:tab/>
      </w:r>
      <w:r w:rsidR="00660EE2" w:rsidRPr="008D25E3">
        <w:rPr>
          <w:b/>
          <w:bCs/>
          <w:rtl/>
        </w:rPr>
        <w:t xml:space="preserve">ينبغي للدولة الطرف أن تواصل تعزيز الشرطة الوطنية بغية تمكينها من استلام مهام إنفاذ القانون من القوات المسلحة. وينبغي للدولة الطرف أيضاً أن تواصل عملية منح شهادات تدريب لأفراد الشرطة الوطنية، بما يكفل تنفيذها بطريقة شفافة ونزيهة. وإضافة إلى ذلك، ينبغي للدولة الطرف أن تعتمد إطاراً تشريعياً يضمن عمل شركات الأمن الخاص وفقاً للعهد؛ وتحسين إشراف الدولة على أنشطة هذه الشركات؛ وتعزيز الوظيفة الإشرافية لوحدة الرقابة على شركات الأمن الخاص وزيادة ميزانيتها. وينبغي للدولة الطرف أن تمارس رقابة فعالة على حيازة الأسلحة النارية واستخدامها وأن تحد من عدد الأسلحة المتداولة، بما في ذلك عن طريق اعتماد القوانين ذات الصلة. </w:t>
      </w:r>
    </w:p>
    <w:p w14:paraId="60CAF064" w14:textId="0CFF7428" w:rsidR="00660EE2" w:rsidRPr="008D25E3" w:rsidRDefault="002B551F" w:rsidP="002B551F">
      <w:pPr>
        <w:pStyle w:val="H23GA"/>
        <w:rPr>
          <w:highlight w:val="lightGray"/>
          <w:rtl/>
        </w:rPr>
      </w:pPr>
      <w:r w:rsidRPr="008D25E3">
        <w:rPr>
          <w:highlight w:val="lightGray"/>
          <w:rtl/>
        </w:rPr>
        <w:tab/>
      </w:r>
      <w:r w:rsidRPr="008D25E3">
        <w:rPr>
          <w:highlight w:val="lightGray"/>
          <w:rtl/>
        </w:rPr>
        <w:tab/>
      </w:r>
      <w:r w:rsidR="00660EE2" w:rsidRPr="008D25E3">
        <w:rPr>
          <w:highlight w:val="lightGray"/>
          <w:rtl/>
        </w:rPr>
        <w:t>ملخص ردّ الدولة الطرف</w:t>
      </w:r>
    </w:p>
    <w:p w14:paraId="64750B43" w14:textId="77777777" w:rsidR="00660EE2" w:rsidRDefault="00660EE2" w:rsidP="00660EE2">
      <w:pPr>
        <w:pStyle w:val="SingleTxtGA"/>
        <w:rPr>
          <w:rtl/>
        </w:rPr>
      </w:pPr>
      <w:r w:rsidRPr="00D658E9">
        <w:rPr>
          <w:spacing w:val="-2"/>
          <w:rtl/>
        </w:rPr>
        <w:tab/>
        <w:t xml:space="preserve">فيما يتعلق بتعزيز الشرطة الوطنية، اعتُمد في عام </w:t>
      </w:r>
      <w:r w:rsidRPr="008D25E3">
        <w:rPr>
          <w:spacing w:val="-2"/>
          <w:highlight w:val="yellow"/>
          <w:rtl/>
        </w:rPr>
        <w:t>2017</w:t>
      </w:r>
      <w:r w:rsidRPr="00D658E9">
        <w:rPr>
          <w:spacing w:val="-2"/>
          <w:rtl/>
        </w:rPr>
        <w:t xml:space="preserve"> قانون جهاز الشرطة والقانون الأساسي</w:t>
      </w:r>
      <w:r>
        <w:rPr>
          <w:rtl/>
        </w:rPr>
        <w:t xml:space="preserve"> لوزارة الأمن والشرطة الوطنية.</w:t>
      </w:r>
    </w:p>
    <w:p w14:paraId="793DE87F" w14:textId="5CB4D466" w:rsidR="00660EE2" w:rsidRPr="00D658E9" w:rsidRDefault="004710F9" w:rsidP="00660EE2">
      <w:pPr>
        <w:pStyle w:val="SingleTxtGA"/>
        <w:rPr>
          <w:spacing w:val="-2"/>
          <w:rtl/>
        </w:rPr>
      </w:pPr>
      <w:r>
        <w:rPr>
          <w:spacing w:val="-2"/>
          <w:rtl/>
        </w:rPr>
        <w:tab/>
      </w:r>
      <w:r w:rsidR="00660EE2" w:rsidRPr="00D658E9">
        <w:rPr>
          <w:spacing w:val="-2"/>
          <w:rtl/>
        </w:rPr>
        <w:t>وأدت التدابير الأمنية المتخذة إلى انخفاض تدريجي في نسبة حوادث القتل. وأوردت الدولة الطرف بعض التدابير المتخذة لتعزيز الشرطة الوطنية وللحد تدريجياً من مشاركة الأفراد العسكريين في أنشطة إنفاذ</w:t>
      </w:r>
      <w:r>
        <w:rPr>
          <w:rFonts w:hint="cs"/>
          <w:spacing w:val="-2"/>
          <w:rtl/>
        </w:rPr>
        <w:t> </w:t>
      </w:r>
      <w:r w:rsidR="00660EE2" w:rsidRPr="00D658E9">
        <w:rPr>
          <w:spacing w:val="-2"/>
          <w:rtl/>
        </w:rPr>
        <w:t>القانون.</w:t>
      </w:r>
    </w:p>
    <w:p w14:paraId="570D4433" w14:textId="56239A07" w:rsidR="00660EE2" w:rsidRDefault="004710F9" w:rsidP="00660EE2">
      <w:pPr>
        <w:pStyle w:val="SingleTxtGA"/>
        <w:rPr>
          <w:rtl/>
        </w:rPr>
      </w:pPr>
      <w:r>
        <w:rPr>
          <w:rtl/>
        </w:rPr>
        <w:tab/>
      </w:r>
      <w:r w:rsidR="00660EE2" w:rsidRPr="004710F9">
        <w:rPr>
          <w:spacing w:val="-2"/>
          <w:rtl/>
        </w:rPr>
        <w:t xml:space="preserve">ويجري تنفيذ عملية إصدار شهادات تدريب للشرطة الوطنية. ففي العامين </w:t>
      </w:r>
      <w:r w:rsidR="00660EE2" w:rsidRPr="008D25E3">
        <w:rPr>
          <w:spacing w:val="-2"/>
          <w:highlight w:val="yellow"/>
          <w:rtl/>
        </w:rPr>
        <w:t>2017</w:t>
      </w:r>
      <w:r w:rsidR="00660EE2" w:rsidRPr="004710F9">
        <w:rPr>
          <w:spacing w:val="-2"/>
          <w:rtl/>
        </w:rPr>
        <w:t xml:space="preserve"> و</w:t>
      </w:r>
      <w:r w:rsidR="00660EE2" w:rsidRPr="008D25E3">
        <w:rPr>
          <w:spacing w:val="-2"/>
          <w:highlight w:val="yellow"/>
          <w:rtl/>
        </w:rPr>
        <w:t>2018</w:t>
      </w:r>
      <w:r w:rsidR="00660EE2" w:rsidRPr="004710F9">
        <w:rPr>
          <w:spacing w:val="-2"/>
          <w:rtl/>
        </w:rPr>
        <w:t>، تولت</w:t>
      </w:r>
      <w:r w:rsidR="00660EE2">
        <w:rPr>
          <w:rtl/>
        </w:rPr>
        <w:t xml:space="preserve"> إدارة حقوق الإنسان التابعة لوزارة الأمن تدريب </w:t>
      </w:r>
      <w:r w:rsidR="00660EE2" w:rsidRPr="008D25E3">
        <w:rPr>
          <w:highlight w:val="yellow"/>
          <w:rtl/>
        </w:rPr>
        <w:t>849</w:t>
      </w:r>
      <w:r w:rsidR="00660EE2">
        <w:rPr>
          <w:rtl/>
        </w:rPr>
        <w:t xml:space="preserve"> فرداً من أفراد الشرطة الوطنية.</w:t>
      </w:r>
    </w:p>
    <w:p w14:paraId="32FE404E" w14:textId="60F7F058" w:rsidR="00660EE2" w:rsidRDefault="004710F9" w:rsidP="00660EE2">
      <w:pPr>
        <w:pStyle w:val="SingleTxtGA"/>
        <w:rPr>
          <w:rtl/>
        </w:rPr>
      </w:pPr>
      <w:r>
        <w:rPr>
          <w:rtl/>
        </w:rPr>
        <w:tab/>
      </w:r>
      <w:r w:rsidR="00660EE2">
        <w:rPr>
          <w:rtl/>
        </w:rPr>
        <w:t>وينظر الكونغرس الوطني حالي</w:t>
      </w:r>
      <w:r w:rsidR="00CA796D">
        <w:rPr>
          <w:rtl/>
        </w:rPr>
        <w:t xml:space="preserve">اً </w:t>
      </w:r>
      <w:r w:rsidR="00660EE2">
        <w:rPr>
          <w:rtl/>
        </w:rPr>
        <w:t xml:space="preserve">في مشروع قانون يحدد اللوائح المتعلقة بخدمات الأمن الخاص </w:t>
      </w:r>
      <w:r w:rsidR="00660EE2" w:rsidRPr="004710F9">
        <w:rPr>
          <w:spacing w:val="-5"/>
          <w:rtl/>
        </w:rPr>
        <w:t>ووكالات التحقيق. وتضطلع وزارة الأمن بعمليات على الصعيد الوطني للحد من انتشار الأسلحة غير المشروعة.</w:t>
      </w:r>
      <w:r w:rsidR="00660EE2">
        <w:rPr>
          <w:rtl/>
        </w:rPr>
        <w:t xml:space="preserve"> </w:t>
      </w:r>
      <w:r w:rsidR="00660EE2" w:rsidRPr="00D658E9">
        <w:rPr>
          <w:spacing w:val="-2"/>
          <w:rtl/>
        </w:rPr>
        <w:t>ويناقش الكونغرس الوطني حالي</w:t>
      </w:r>
      <w:r w:rsidR="00CA796D">
        <w:rPr>
          <w:spacing w:val="-2"/>
          <w:rtl/>
        </w:rPr>
        <w:t xml:space="preserve">اً </w:t>
      </w:r>
      <w:r w:rsidR="00660EE2" w:rsidRPr="00D658E9">
        <w:rPr>
          <w:spacing w:val="-2"/>
          <w:rtl/>
        </w:rPr>
        <w:t>مشروع قانون جديد بشأن الأسلحة والذخائر والمتفجرات والمواد ذات الصلة.</w:t>
      </w:r>
      <w:r w:rsidR="00660EE2">
        <w:rPr>
          <w:rtl/>
        </w:rPr>
        <w:t xml:space="preserve"> </w:t>
      </w:r>
    </w:p>
    <w:p w14:paraId="5EF5B9C4" w14:textId="77777777" w:rsidR="00660EE2" w:rsidRPr="008D25E3" w:rsidRDefault="00660EE2" w:rsidP="002B551F">
      <w:pPr>
        <w:pStyle w:val="H23GA"/>
        <w:rPr>
          <w:highlight w:val="lightGray"/>
          <w:rtl/>
        </w:rPr>
      </w:pPr>
      <w:r w:rsidRPr="008D25E3">
        <w:rPr>
          <w:highlight w:val="lightGray"/>
          <w:rtl/>
        </w:rPr>
        <w:tab/>
      </w:r>
      <w:r w:rsidRPr="008D25E3">
        <w:rPr>
          <w:highlight w:val="lightGray"/>
          <w:rtl/>
        </w:rPr>
        <w:tab/>
        <w:t>تقييم اللجنة</w:t>
      </w:r>
    </w:p>
    <w:p w14:paraId="13E46E58" w14:textId="531C94CD" w:rsidR="00660EE2" w:rsidRDefault="004710F9" w:rsidP="00660EE2">
      <w:pPr>
        <w:pStyle w:val="SingleTxtGA"/>
        <w:rPr>
          <w:rtl/>
        </w:rPr>
      </w:pPr>
      <w:r w:rsidRPr="008D25E3">
        <w:rPr>
          <w:b/>
          <w:bCs/>
          <w:highlight w:val="lightGray"/>
          <w:rtl/>
        </w:rPr>
        <w:tab/>
      </w:r>
      <w:r w:rsidR="00660EE2" w:rsidRPr="008D25E3">
        <w:rPr>
          <w:b/>
          <w:bCs/>
          <w:highlight w:val="lightGray"/>
          <w:rtl/>
        </w:rPr>
        <w:t>[ب]</w:t>
      </w:r>
      <w:r w:rsidR="00660EE2">
        <w:rPr>
          <w:rtl/>
        </w:rPr>
        <w:t>:</w:t>
      </w:r>
      <w:r w:rsidR="00660EE2">
        <w:rPr>
          <w:rtl/>
        </w:rPr>
        <w:tab/>
        <w:t xml:space="preserve">تلاحظ اللجنة اعتماد قانون جهاز الشرطة والقانون الأساسي لوزارة الأمن والشرطة </w:t>
      </w:r>
      <w:r w:rsidR="00660EE2" w:rsidRPr="003D045C">
        <w:rPr>
          <w:spacing w:val="-2"/>
          <w:rtl/>
        </w:rPr>
        <w:t xml:space="preserve">الوطنية في عام </w:t>
      </w:r>
      <w:r w:rsidR="00660EE2" w:rsidRPr="003D045C">
        <w:rPr>
          <w:spacing w:val="-2"/>
          <w:highlight w:val="yellow"/>
          <w:rtl/>
        </w:rPr>
        <w:t>2017</w:t>
      </w:r>
      <w:r w:rsidR="00660EE2" w:rsidRPr="003D045C">
        <w:rPr>
          <w:spacing w:val="-2"/>
          <w:rtl/>
        </w:rPr>
        <w:t>، والتدابير المتخذة لتعزيز الشرطة الوطنية. وتطلب اللجنة معلومات عن مدى تأثير</w:t>
      </w:r>
      <w:r w:rsidR="00660EE2">
        <w:rPr>
          <w:rtl/>
        </w:rPr>
        <w:t xml:space="preserve"> هذه التدابير وما إذا كان هناك تراجع لمشاركة الأفراد العسكريين في أنشطة إنفاذ القانون. </w:t>
      </w:r>
    </w:p>
    <w:p w14:paraId="3D69ED27" w14:textId="0A8570FD" w:rsidR="00660EE2" w:rsidRDefault="004710F9" w:rsidP="00660EE2">
      <w:pPr>
        <w:pStyle w:val="SingleTxtGA"/>
        <w:rPr>
          <w:rtl/>
        </w:rPr>
      </w:pPr>
      <w:r>
        <w:rPr>
          <w:rtl/>
        </w:rPr>
        <w:tab/>
      </w:r>
      <w:r w:rsidR="00660EE2" w:rsidRPr="003D045C">
        <w:rPr>
          <w:spacing w:val="-4"/>
          <w:rtl/>
        </w:rPr>
        <w:t xml:space="preserve">وترحب اللجنة بالمعلومات المقدمة التي تفيد بأن الدولة تواصل عملية إصدار شهادات تدريب لأفراد </w:t>
      </w:r>
      <w:r w:rsidR="00660EE2">
        <w:rPr>
          <w:rtl/>
        </w:rPr>
        <w:t xml:space="preserve">الشرطة الوطنية؛ وتطلب اللجنة معلومات محدّثة في هذا الصدد. </w:t>
      </w:r>
    </w:p>
    <w:p w14:paraId="23BBBA13" w14:textId="0FA76DD0" w:rsidR="00660EE2" w:rsidRDefault="004710F9" w:rsidP="00660EE2">
      <w:pPr>
        <w:pStyle w:val="SingleTxtGA"/>
        <w:rPr>
          <w:rtl/>
        </w:rPr>
      </w:pPr>
      <w:r>
        <w:rPr>
          <w:rtl/>
        </w:rPr>
        <w:tab/>
      </w:r>
      <w:r w:rsidR="00660EE2">
        <w:rPr>
          <w:rtl/>
        </w:rPr>
        <w:t>وتحيط اللجنة علماً بالمعلومات المقدمة التي تفيد بأن الكونغرس الوطني ينظر حالياً في مشروع قانون يحدد اللوائح التنظيمية لخدمات الأمن الخاص ووكالات التحقيق. وتطلب اللجنة معلومات محدّثة عن مضمون مشروع القانون، بما في ذلك ما إذا كان يتوخى إشراف الدولة على أنشطة الشركات المعنية. وتطلب اللجنة أيض</w:t>
      </w:r>
      <w:r w:rsidR="00CA796D">
        <w:rPr>
          <w:rtl/>
        </w:rPr>
        <w:t xml:space="preserve">اً </w:t>
      </w:r>
      <w:r w:rsidR="00660EE2">
        <w:rPr>
          <w:rtl/>
        </w:rPr>
        <w:t>معلومات عن وحدة الرقابة على شركات الأمن الخاص، وما إذا كانت لديها ميزانية كافية لأداء وظيفتها.</w:t>
      </w:r>
    </w:p>
    <w:p w14:paraId="73DE3AA0" w14:textId="2A95920C" w:rsidR="00660EE2" w:rsidRDefault="004710F9" w:rsidP="00660EE2">
      <w:pPr>
        <w:pStyle w:val="SingleTxtGA"/>
        <w:rPr>
          <w:rtl/>
        </w:rPr>
      </w:pPr>
      <w:r>
        <w:rPr>
          <w:rtl/>
        </w:rPr>
        <w:tab/>
      </w:r>
      <w:r w:rsidR="00660EE2">
        <w:rPr>
          <w:rtl/>
        </w:rPr>
        <w:t>وتحيط اللجنة علم</w:t>
      </w:r>
      <w:r w:rsidR="00CA796D">
        <w:rPr>
          <w:rtl/>
        </w:rPr>
        <w:t xml:space="preserve">اً </w:t>
      </w:r>
      <w:r w:rsidR="00660EE2">
        <w:rPr>
          <w:rtl/>
        </w:rPr>
        <w:t>بالمعلومات المقدمة التي تفيد بأن الكونغرس الوطني يناقش حالي</w:t>
      </w:r>
      <w:r w:rsidR="00CA796D">
        <w:rPr>
          <w:rtl/>
        </w:rPr>
        <w:t xml:space="preserve">اً </w:t>
      </w:r>
      <w:r w:rsidR="00660EE2">
        <w:rPr>
          <w:rtl/>
        </w:rPr>
        <w:t>مشروع قانون جديد بشأن الأسلحة والذخائر والمتفجرات والمواد ذات الصلة، وتطلب معلومات محدثة في هذا</w:t>
      </w:r>
      <w:r>
        <w:rPr>
          <w:rFonts w:hint="cs"/>
          <w:rtl/>
        </w:rPr>
        <w:t> </w:t>
      </w:r>
      <w:r w:rsidR="00660EE2">
        <w:rPr>
          <w:rtl/>
        </w:rPr>
        <w:t xml:space="preserve">الصدد. </w:t>
      </w:r>
    </w:p>
    <w:p w14:paraId="2F7BF028" w14:textId="77777777" w:rsidR="00660EE2" w:rsidRPr="008D25E3" w:rsidRDefault="00660EE2" w:rsidP="002B551F">
      <w:pPr>
        <w:pStyle w:val="H23GA"/>
        <w:rPr>
          <w:highlight w:val="lightGray"/>
          <w:rtl/>
        </w:rPr>
      </w:pPr>
      <w:r w:rsidRPr="008D25E3">
        <w:rPr>
          <w:highlight w:val="lightGray"/>
          <w:rtl/>
        </w:rPr>
        <w:tab/>
      </w:r>
      <w:r w:rsidRPr="008D25E3">
        <w:rPr>
          <w:highlight w:val="lightGray"/>
          <w:rtl/>
        </w:rPr>
        <w:tab/>
        <w:t xml:space="preserve">الفقرة </w:t>
      </w:r>
      <w:r w:rsidRPr="008D25E3">
        <w:rPr>
          <w:highlight w:val="yellow"/>
          <w:rtl/>
        </w:rPr>
        <w:t>41</w:t>
      </w:r>
      <w:r w:rsidRPr="008D25E3">
        <w:rPr>
          <w:highlight w:val="lightGray"/>
          <w:rtl/>
        </w:rPr>
        <w:t>: حرية التعبير وتكوين الجمعيات والعنف ضد المدافعين عن حقوق الإنسان</w:t>
      </w:r>
    </w:p>
    <w:p w14:paraId="40B8F4E4" w14:textId="3045F359" w:rsidR="00660EE2" w:rsidRPr="008D25E3" w:rsidRDefault="004710F9" w:rsidP="00FE7299">
      <w:pPr>
        <w:pStyle w:val="SingleTxtGA"/>
        <w:spacing w:line="346" w:lineRule="exact"/>
        <w:rPr>
          <w:b/>
          <w:bCs/>
          <w:highlight w:val="lightGray"/>
          <w:rtl/>
        </w:rPr>
      </w:pPr>
      <w:r w:rsidRPr="008D25E3">
        <w:rPr>
          <w:b/>
          <w:bCs/>
          <w:highlight w:val="lightGray"/>
          <w:rtl/>
        </w:rPr>
        <w:tab/>
      </w:r>
      <w:r w:rsidR="00660EE2" w:rsidRPr="008D25E3">
        <w:rPr>
          <w:b/>
          <w:bCs/>
          <w:highlight w:val="lightGray"/>
          <w:rtl/>
        </w:rPr>
        <w:t>ينبغي للدولة الطرف أن تتخذ على نحو عاجل تدابير فعالة من أجل ما يلي:</w:t>
      </w:r>
    </w:p>
    <w:p w14:paraId="129797D0" w14:textId="1353FB8D" w:rsidR="00660EE2" w:rsidRPr="008D25E3" w:rsidRDefault="002B551F" w:rsidP="00FE7299">
      <w:pPr>
        <w:pStyle w:val="SingleTxtGA"/>
        <w:spacing w:line="346" w:lineRule="exact"/>
        <w:rPr>
          <w:b/>
          <w:bCs/>
          <w:highlight w:val="lightGray"/>
          <w:rtl/>
        </w:rPr>
      </w:pPr>
      <w:r w:rsidRPr="004710F9">
        <w:rPr>
          <w:rtl/>
        </w:rPr>
        <w:tab/>
      </w:r>
      <w:r w:rsidR="00660EE2" w:rsidRPr="004710F9">
        <w:rPr>
          <w:rtl/>
        </w:rPr>
        <w:t>(أ)</w:t>
      </w:r>
      <w:r w:rsidR="00660EE2" w:rsidRPr="004710F9">
        <w:rPr>
          <w:rtl/>
        </w:rPr>
        <w:tab/>
      </w:r>
      <w:r w:rsidR="00660EE2" w:rsidRPr="008D25E3">
        <w:rPr>
          <w:b/>
          <w:bCs/>
          <w:highlight w:val="lightGray"/>
          <w:rtl/>
        </w:rPr>
        <w:t xml:space="preserve">توفير حماية فعالة، في جملة أمور، للمدافعين عن حقوق الإنسان والصحفيين </w:t>
      </w:r>
      <w:r w:rsidR="00660EE2" w:rsidRPr="008D25E3">
        <w:rPr>
          <w:rFonts w:ascii="Times New Roman Bold" w:hAnsi="Times New Roman Bold"/>
          <w:b/>
          <w:bCs/>
          <w:spacing w:val="-4"/>
          <w:highlight w:val="lightGray"/>
          <w:rtl/>
        </w:rPr>
        <w:t xml:space="preserve">والنقابيين والناشطين في مجال البيئة وأفراد الشعوب الأصلية </w:t>
      </w:r>
      <w:proofErr w:type="spellStart"/>
      <w:r w:rsidR="00660EE2" w:rsidRPr="008D25E3">
        <w:rPr>
          <w:rFonts w:ascii="Times New Roman Bold" w:hAnsi="Times New Roman Bold"/>
          <w:b/>
          <w:bCs/>
          <w:spacing w:val="-4"/>
          <w:highlight w:val="lightGray"/>
          <w:rtl/>
        </w:rPr>
        <w:t>والمثليات</w:t>
      </w:r>
      <w:proofErr w:type="spellEnd"/>
      <w:r w:rsidR="00660EE2" w:rsidRPr="008D25E3">
        <w:rPr>
          <w:rFonts w:ascii="Times New Roman Bold" w:hAnsi="Times New Roman Bold"/>
          <w:b/>
          <w:bCs/>
          <w:spacing w:val="-4"/>
          <w:highlight w:val="lightGray"/>
          <w:rtl/>
        </w:rPr>
        <w:t xml:space="preserve"> والمثليين ومزدوجي الميل الجنسي </w:t>
      </w:r>
      <w:r w:rsidR="00660EE2" w:rsidRPr="008D25E3">
        <w:rPr>
          <w:b/>
          <w:bCs/>
          <w:highlight w:val="lightGray"/>
          <w:rtl/>
        </w:rPr>
        <w:t>ومغايري الهوية الجنسانية وحاملي صفات الجنسين الذين يتعرضون لأعمال العنف والتخويف؛</w:t>
      </w:r>
    </w:p>
    <w:p w14:paraId="5CA7B6E4" w14:textId="17E61EAD" w:rsidR="00660EE2" w:rsidRPr="008D25E3" w:rsidRDefault="002B551F" w:rsidP="00FE7299">
      <w:pPr>
        <w:pStyle w:val="SingleTxtGA"/>
        <w:spacing w:line="346" w:lineRule="exact"/>
        <w:rPr>
          <w:b/>
          <w:bCs/>
          <w:highlight w:val="lightGray"/>
          <w:rtl/>
        </w:rPr>
      </w:pPr>
      <w:r w:rsidRPr="004710F9">
        <w:rPr>
          <w:rtl/>
        </w:rPr>
        <w:tab/>
      </w:r>
      <w:r w:rsidR="00660EE2" w:rsidRPr="004710F9">
        <w:rPr>
          <w:rtl/>
        </w:rPr>
        <w:t>(ب)</w:t>
      </w:r>
      <w:r w:rsidR="00660EE2" w:rsidRPr="004710F9">
        <w:rPr>
          <w:rtl/>
        </w:rPr>
        <w:tab/>
      </w:r>
      <w:r w:rsidR="00660EE2" w:rsidRPr="008D25E3">
        <w:rPr>
          <w:b/>
          <w:bCs/>
          <w:highlight w:val="lightGray"/>
          <w:rtl/>
        </w:rPr>
        <w:t>تعزيز برامج التدريب والتثقيف من أجل توعية موظفي إنفاذ القانون والأفراد العسكريين وموظفي شركات الأمن الخاص والقضاة ووكلاء النيابة بأهمية حرية التعبير وحرية تكوين الجمعيات وحرية التجمع؛</w:t>
      </w:r>
    </w:p>
    <w:p w14:paraId="292028BD" w14:textId="631CAA8A" w:rsidR="00660EE2" w:rsidRPr="008D25E3" w:rsidRDefault="002B551F" w:rsidP="00FE7299">
      <w:pPr>
        <w:pStyle w:val="SingleTxtGA"/>
        <w:spacing w:line="346" w:lineRule="exact"/>
        <w:rPr>
          <w:b/>
          <w:bCs/>
          <w:highlight w:val="lightGray"/>
          <w:rtl/>
        </w:rPr>
      </w:pPr>
      <w:r w:rsidRPr="004710F9">
        <w:rPr>
          <w:rtl/>
        </w:rPr>
        <w:tab/>
      </w:r>
      <w:r w:rsidR="00660EE2" w:rsidRPr="004710F9">
        <w:rPr>
          <w:rtl/>
        </w:rPr>
        <w:t>(ج)</w:t>
      </w:r>
      <w:r w:rsidR="00660EE2" w:rsidRPr="004710F9">
        <w:rPr>
          <w:rtl/>
        </w:rPr>
        <w:tab/>
      </w:r>
      <w:r w:rsidR="00660EE2" w:rsidRPr="008D25E3">
        <w:rPr>
          <w:b/>
          <w:bCs/>
          <w:highlight w:val="lightGray"/>
          <w:rtl/>
        </w:rPr>
        <w:t>ضمان التحقيق السريع والشامل والمستقل والحيادي في جميع الادعاءات المتعلقة بالتخويف والتهديد والاعتداء، وتقديم الجناة إلى العدالة ومعاقبتهم حسب الأصول وفق</w:t>
      </w:r>
      <w:r w:rsidR="00CA796D">
        <w:rPr>
          <w:b/>
          <w:bCs/>
          <w:highlight w:val="lightGray"/>
          <w:rtl/>
        </w:rPr>
        <w:t xml:space="preserve">اً </w:t>
      </w:r>
      <w:r w:rsidR="00660EE2" w:rsidRPr="008D25E3">
        <w:rPr>
          <w:b/>
          <w:bCs/>
          <w:highlight w:val="lightGray"/>
          <w:rtl/>
        </w:rPr>
        <w:t>لخطورة الجريمة، وضمان حصول الضحايا على جبر كامل للضرر؛</w:t>
      </w:r>
    </w:p>
    <w:p w14:paraId="51C7A151" w14:textId="3EBA840E" w:rsidR="00660EE2" w:rsidRPr="008D25E3" w:rsidRDefault="002B551F" w:rsidP="00FE7299">
      <w:pPr>
        <w:pStyle w:val="SingleTxtGA"/>
        <w:spacing w:line="346" w:lineRule="exact"/>
        <w:rPr>
          <w:b/>
          <w:bCs/>
          <w:highlight w:val="lightGray"/>
          <w:rtl/>
        </w:rPr>
      </w:pPr>
      <w:r w:rsidRPr="004710F9">
        <w:rPr>
          <w:rtl/>
        </w:rPr>
        <w:tab/>
      </w:r>
      <w:r w:rsidR="00660EE2" w:rsidRPr="004710F9">
        <w:rPr>
          <w:rtl/>
        </w:rPr>
        <w:t>(د)</w:t>
      </w:r>
      <w:r w:rsidR="00660EE2" w:rsidRPr="004710F9">
        <w:rPr>
          <w:rtl/>
        </w:rPr>
        <w:tab/>
      </w:r>
      <w:r w:rsidR="00660EE2" w:rsidRPr="008D25E3">
        <w:rPr>
          <w:rFonts w:ascii="Times New Roman Bold" w:hAnsi="Times New Roman Bold"/>
          <w:b/>
          <w:bCs/>
          <w:spacing w:val="-4"/>
          <w:highlight w:val="lightGray"/>
          <w:rtl/>
        </w:rPr>
        <w:t>إنشاء آلية لضمان التحقيق على النحو الواجب في أعمال العنف والتهديدات الموجهة</w:t>
      </w:r>
      <w:r w:rsidR="00660EE2" w:rsidRPr="008D25E3">
        <w:rPr>
          <w:b/>
          <w:bCs/>
          <w:highlight w:val="lightGray"/>
          <w:rtl/>
        </w:rPr>
        <w:t xml:space="preserve"> ضد المدافعين عن حقوق الإنسان ولضمان عدم معالجتها كجرائم عادية؛ والنظر في وضع بروتوكول </w:t>
      </w:r>
      <w:r w:rsidR="00660EE2" w:rsidRPr="008D25E3">
        <w:rPr>
          <w:rFonts w:ascii="Times New Roman Bold" w:hAnsi="Times New Roman Bold"/>
          <w:b/>
          <w:bCs/>
          <w:spacing w:val="-4"/>
          <w:highlight w:val="lightGray"/>
          <w:rtl/>
        </w:rPr>
        <w:t>للنيابة العامة بشأن التحقيق في هذه الجرائم؛ وتوسيع نطاق اختصاص وحدة حماية المدافعين عن حقوق</w:t>
      </w:r>
      <w:r w:rsidR="00660EE2" w:rsidRPr="008D25E3">
        <w:rPr>
          <w:b/>
          <w:bCs/>
          <w:highlight w:val="lightGray"/>
          <w:rtl/>
        </w:rPr>
        <w:t xml:space="preserve"> الإنسان ليشمل الجرائم التي يرتكبها الأفراد بصفتهم الخاصة؛</w:t>
      </w:r>
    </w:p>
    <w:p w14:paraId="72848547" w14:textId="1468EF2C" w:rsidR="00660EE2" w:rsidRPr="008D25E3" w:rsidRDefault="002B551F" w:rsidP="00FE7299">
      <w:pPr>
        <w:pStyle w:val="SingleTxtGA"/>
        <w:spacing w:line="346" w:lineRule="exact"/>
        <w:rPr>
          <w:b/>
          <w:bCs/>
          <w:highlight w:val="lightGray"/>
          <w:rtl/>
        </w:rPr>
      </w:pPr>
      <w:r w:rsidRPr="004710F9">
        <w:rPr>
          <w:rtl/>
        </w:rPr>
        <w:tab/>
      </w:r>
      <w:r w:rsidR="00660EE2" w:rsidRPr="004710F9">
        <w:rPr>
          <w:rtl/>
        </w:rPr>
        <w:t>(هـ)</w:t>
      </w:r>
      <w:r w:rsidR="00660EE2" w:rsidRPr="004710F9">
        <w:rPr>
          <w:rtl/>
        </w:rPr>
        <w:tab/>
      </w:r>
      <w:r w:rsidR="00660EE2" w:rsidRPr="008D25E3">
        <w:rPr>
          <w:rFonts w:ascii="Times New Roman Bold" w:hAnsi="Times New Roman Bold"/>
          <w:b/>
          <w:bCs/>
          <w:spacing w:val="-4"/>
          <w:highlight w:val="lightGray"/>
          <w:rtl/>
        </w:rPr>
        <w:t xml:space="preserve">النظر في إلغاء الصفة الجنائية للتشهير، والعمل في جميع الأحوال على قصر تطبيق </w:t>
      </w:r>
      <w:r w:rsidR="00660EE2" w:rsidRPr="008D25E3">
        <w:rPr>
          <w:b/>
          <w:bCs/>
          <w:highlight w:val="lightGray"/>
          <w:rtl/>
        </w:rPr>
        <w:t>القانون الجنائي على أشد الحالات خطورة وعدم إعمال عقوبة السجن في هذا الصدد؛</w:t>
      </w:r>
    </w:p>
    <w:p w14:paraId="60F9E15D" w14:textId="18AC158C" w:rsidR="00660EE2" w:rsidRPr="008D25E3" w:rsidRDefault="002B551F" w:rsidP="00FE7299">
      <w:pPr>
        <w:pStyle w:val="SingleTxtGA"/>
        <w:spacing w:line="346" w:lineRule="exact"/>
        <w:rPr>
          <w:b/>
          <w:bCs/>
          <w:highlight w:val="lightGray"/>
          <w:rtl/>
        </w:rPr>
      </w:pPr>
      <w:r w:rsidRPr="004710F9">
        <w:rPr>
          <w:rtl/>
        </w:rPr>
        <w:tab/>
      </w:r>
      <w:r w:rsidR="00660EE2" w:rsidRPr="004710F9">
        <w:rPr>
          <w:rtl/>
        </w:rPr>
        <w:t>(و)</w:t>
      </w:r>
      <w:r w:rsidR="00660EE2" w:rsidRPr="004710F9">
        <w:rPr>
          <w:rtl/>
        </w:rPr>
        <w:tab/>
      </w:r>
      <w:r w:rsidR="00660EE2" w:rsidRPr="008D25E3">
        <w:rPr>
          <w:b/>
          <w:bCs/>
          <w:highlight w:val="lightGray"/>
          <w:rtl/>
        </w:rPr>
        <w:t xml:space="preserve">جمع بيانات مصنفة بشأن الاعتداءات وجرائم القتل التي يتعرض لها المدافعون عن </w:t>
      </w:r>
      <w:r w:rsidR="00660EE2" w:rsidRPr="008D25E3">
        <w:rPr>
          <w:rFonts w:ascii="Times New Roman Bold" w:hAnsi="Times New Roman Bold"/>
          <w:b/>
          <w:bCs/>
          <w:spacing w:val="-4"/>
          <w:highlight w:val="lightGray"/>
          <w:rtl/>
        </w:rPr>
        <w:t xml:space="preserve">حقوق الإنسان، والصحفيون، والنقابيون، والناشطون في مجال البيئة، وأفراد الشعوب الأصلية، </w:t>
      </w:r>
      <w:proofErr w:type="spellStart"/>
      <w:r w:rsidR="00660EE2" w:rsidRPr="008D25E3">
        <w:rPr>
          <w:rFonts w:ascii="Times New Roman Bold" w:hAnsi="Times New Roman Bold"/>
          <w:b/>
          <w:bCs/>
          <w:spacing w:val="-4"/>
          <w:highlight w:val="lightGray"/>
          <w:rtl/>
        </w:rPr>
        <w:t>والمثليات</w:t>
      </w:r>
      <w:proofErr w:type="spellEnd"/>
      <w:r w:rsidR="00660EE2" w:rsidRPr="008D25E3">
        <w:rPr>
          <w:b/>
          <w:bCs/>
          <w:highlight w:val="lightGray"/>
          <w:rtl/>
        </w:rPr>
        <w:t xml:space="preserve"> </w:t>
      </w:r>
      <w:proofErr w:type="spellStart"/>
      <w:r w:rsidR="00660EE2" w:rsidRPr="008D25E3">
        <w:rPr>
          <w:b/>
          <w:bCs/>
          <w:highlight w:val="lightGray"/>
          <w:rtl/>
        </w:rPr>
        <w:t>والمثليون</w:t>
      </w:r>
      <w:proofErr w:type="spellEnd"/>
      <w:r w:rsidR="00660EE2" w:rsidRPr="008D25E3">
        <w:rPr>
          <w:b/>
          <w:bCs/>
          <w:highlight w:val="lightGray"/>
          <w:rtl/>
        </w:rPr>
        <w:t xml:space="preserve"> ومزدوجو الميل الجنسي ومغايرو الهوية الجنسانية وحاملو صفات الجنسين.</w:t>
      </w:r>
    </w:p>
    <w:p w14:paraId="6D478E44" w14:textId="77777777" w:rsidR="00660EE2" w:rsidRPr="008D25E3" w:rsidRDefault="00660EE2" w:rsidP="00FE7299">
      <w:pPr>
        <w:pStyle w:val="H23GA"/>
        <w:spacing w:line="346" w:lineRule="exact"/>
        <w:rPr>
          <w:highlight w:val="lightGray"/>
          <w:rtl/>
        </w:rPr>
      </w:pPr>
      <w:r w:rsidRPr="008D25E3">
        <w:rPr>
          <w:highlight w:val="lightGray"/>
          <w:rtl/>
        </w:rPr>
        <w:tab/>
      </w:r>
      <w:r w:rsidRPr="008D25E3">
        <w:rPr>
          <w:highlight w:val="lightGray"/>
          <w:rtl/>
        </w:rPr>
        <w:tab/>
        <w:t xml:space="preserve">ملخص ردّ الدولة الطرف </w:t>
      </w:r>
    </w:p>
    <w:p w14:paraId="6D29AC9A" w14:textId="13BA00FD" w:rsidR="00660EE2" w:rsidRDefault="002B551F" w:rsidP="00FE7299">
      <w:pPr>
        <w:pStyle w:val="SingleTxtGA"/>
        <w:spacing w:line="346" w:lineRule="exact"/>
        <w:rPr>
          <w:rtl/>
        </w:rPr>
      </w:pPr>
      <w:r>
        <w:rPr>
          <w:rtl/>
        </w:rPr>
        <w:tab/>
      </w:r>
      <w:r w:rsidR="00660EE2">
        <w:rPr>
          <w:rtl/>
        </w:rPr>
        <w:t>(أ)</w:t>
      </w:r>
      <w:r w:rsidR="00660EE2">
        <w:rPr>
          <w:rtl/>
        </w:rPr>
        <w:tab/>
        <w:t xml:space="preserve">عقدت لجنة فنية </w:t>
      </w:r>
      <w:r w:rsidR="00660EE2" w:rsidRPr="008D25E3">
        <w:rPr>
          <w:highlight w:val="yellow"/>
          <w:rtl/>
        </w:rPr>
        <w:t>103</w:t>
      </w:r>
      <w:r w:rsidR="00660EE2">
        <w:rPr>
          <w:rtl/>
        </w:rPr>
        <w:t xml:space="preserve"> اجتماعات في عام </w:t>
      </w:r>
      <w:r w:rsidR="00660EE2" w:rsidRPr="008D25E3">
        <w:rPr>
          <w:highlight w:val="yellow"/>
          <w:rtl/>
        </w:rPr>
        <w:t>2018</w:t>
      </w:r>
      <w:r w:rsidR="00660EE2">
        <w:rPr>
          <w:rtl/>
        </w:rPr>
        <w:t xml:space="preserve"> بشأن قانون حماية المدافعين عن حقوق الإنسان. وبين نيسان/أبريل </w:t>
      </w:r>
      <w:r w:rsidR="00660EE2" w:rsidRPr="008D25E3">
        <w:rPr>
          <w:highlight w:val="yellow"/>
          <w:rtl/>
        </w:rPr>
        <w:t>2017</w:t>
      </w:r>
      <w:r w:rsidR="00660EE2">
        <w:rPr>
          <w:rtl/>
        </w:rPr>
        <w:t xml:space="preserve"> وحزيران/</w:t>
      </w:r>
      <w:proofErr w:type="gramStart"/>
      <w:r w:rsidR="00660EE2">
        <w:rPr>
          <w:rtl/>
        </w:rPr>
        <w:t>يونيه</w:t>
      </w:r>
      <w:proofErr w:type="gramEnd"/>
      <w:r w:rsidR="00660EE2">
        <w:rPr>
          <w:rtl/>
        </w:rPr>
        <w:t xml:space="preserve"> </w:t>
      </w:r>
      <w:r w:rsidR="00660EE2" w:rsidRPr="008D25E3">
        <w:rPr>
          <w:highlight w:val="yellow"/>
          <w:rtl/>
        </w:rPr>
        <w:t>2018</w:t>
      </w:r>
      <w:r w:rsidR="00660EE2">
        <w:rPr>
          <w:rtl/>
        </w:rPr>
        <w:t xml:space="preserve">، نفذت السلطات </w:t>
      </w:r>
      <w:r w:rsidR="00660EE2" w:rsidRPr="008D25E3">
        <w:rPr>
          <w:highlight w:val="yellow"/>
          <w:rtl/>
        </w:rPr>
        <w:t>242</w:t>
      </w:r>
      <w:r w:rsidR="00660EE2">
        <w:rPr>
          <w:rtl/>
        </w:rPr>
        <w:t xml:space="preserve"> </w:t>
      </w:r>
      <w:r w:rsidR="003D045C" w:rsidRPr="008D25E3">
        <w:rPr>
          <w:highlight w:val="yellow"/>
          <w:rtl/>
        </w:rPr>
        <w:t>1</w:t>
      </w:r>
      <w:r w:rsidR="003D045C">
        <w:rPr>
          <w:rFonts w:hint="cs"/>
          <w:rtl/>
        </w:rPr>
        <w:t xml:space="preserve"> </w:t>
      </w:r>
      <w:r w:rsidR="00660EE2">
        <w:rPr>
          <w:rtl/>
        </w:rPr>
        <w:t xml:space="preserve">إجراءً وقائياً في </w:t>
      </w:r>
      <w:r w:rsidR="00660EE2" w:rsidRPr="00FE7299">
        <w:rPr>
          <w:spacing w:val="-2"/>
          <w:rtl/>
        </w:rPr>
        <w:t xml:space="preserve">إطار متفق عليه بين اللجنة الفنية لآلية الحماية والأشخاص المتضررين، وعالجت ما مجموعه </w:t>
      </w:r>
      <w:r w:rsidR="00660EE2" w:rsidRPr="008D25E3">
        <w:rPr>
          <w:spacing w:val="-2"/>
          <w:highlight w:val="yellow"/>
          <w:rtl/>
        </w:rPr>
        <w:t>044</w:t>
      </w:r>
      <w:r w:rsidR="00660EE2" w:rsidRPr="00FE7299">
        <w:rPr>
          <w:spacing w:val="-2"/>
          <w:rtl/>
        </w:rPr>
        <w:t xml:space="preserve"> </w:t>
      </w:r>
      <w:r w:rsidR="00FE7299" w:rsidRPr="008D25E3">
        <w:rPr>
          <w:spacing w:val="-2"/>
          <w:highlight w:val="yellow"/>
          <w:rtl/>
        </w:rPr>
        <w:t>1</w:t>
      </w:r>
      <w:r w:rsidR="00FE7299">
        <w:rPr>
          <w:rFonts w:hint="cs"/>
          <w:spacing w:val="-2"/>
          <w:rtl/>
        </w:rPr>
        <w:t xml:space="preserve"> </w:t>
      </w:r>
      <w:r w:rsidR="00660EE2" w:rsidRPr="00FE7299">
        <w:rPr>
          <w:spacing w:val="-2"/>
          <w:rtl/>
        </w:rPr>
        <w:t>حالة</w:t>
      </w:r>
      <w:r w:rsidR="00660EE2">
        <w:rPr>
          <w:rtl/>
        </w:rPr>
        <w:t xml:space="preserve">. وقد حصل تراجع في عدد وفيات المدافعين عن حقوق الإنسان؛ </w:t>
      </w:r>
    </w:p>
    <w:p w14:paraId="72CF9158" w14:textId="0CC45C89" w:rsidR="00660EE2" w:rsidRDefault="002B551F" w:rsidP="00FE7299">
      <w:pPr>
        <w:pStyle w:val="SingleTxtGA"/>
        <w:spacing w:line="346" w:lineRule="exact"/>
        <w:rPr>
          <w:rtl/>
        </w:rPr>
      </w:pPr>
      <w:r>
        <w:rPr>
          <w:rtl/>
        </w:rPr>
        <w:tab/>
      </w:r>
      <w:r w:rsidR="00660EE2">
        <w:rPr>
          <w:rtl/>
        </w:rPr>
        <w:t>(ب)</w:t>
      </w:r>
      <w:r w:rsidR="00660EE2">
        <w:rPr>
          <w:rtl/>
        </w:rPr>
        <w:tab/>
      </w:r>
      <w:r w:rsidR="00660EE2" w:rsidRPr="00FE7299">
        <w:rPr>
          <w:spacing w:val="-4"/>
          <w:rtl/>
        </w:rPr>
        <w:t>تولت النيابة العامة تدريب وكلاء النيابة العامة والقضاة وأفراد الشرطة وغيرهم من خلال</w:t>
      </w:r>
      <w:r w:rsidR="00660EE2">
        <w:rPr>
          <w:rtl/>
        </w:rPr>
        <w:t xml:space="preserve"> حلقات دراسية وحلقات عمل؛</w:t>
      </w:r>
    </w:p>
    <w:p w14:paraId="2007D17C" w14:textId="641EBBC6" w:rsidR="00660EE2" w:rsidRDefault="002B551F" w:rsidP="00FE7299">
      <w:pPr>
        <w:pStyle w:val="SingleTxtGA"/>
        <w:spacing w:line="346" w:lineRule="exact"/>
        <w:rPr>
          <w:rtl/>
        </w:rPr>
      </w:pPr>
      <w:r>
        <w:rPr>
          <w:rtl/>
        </w:rPr>
        <w:tab/>
      </w:r>
      <w:r w:rsidR="00660EE2">
        <w:rPr>
          <w:rtl/>
        </w:rPr>
        <w:t>(ج)</w:t>
      </w:r>
      <w:r w:rsidR="00660EE2">
        <w:rPr>
          <w:rtl/>
        </w:rPr>
        <w:tab/>
      </w:r>
      <w:r w:rsidR="00660EE2" w:rsidRPr="00FE7299">
        <w:rPr>
          <w:spacing w:val="-4"/>
          <w:rtl/>
        </w:rPr>
        <w:t xml:space="preserve">في عام </w:t>
      </w:r>
      <w:r w:rsidR="00660EE2" w:rsidRPr="008D25E3">
        <w:rPr>
          <w:spacing w:val="-4"/>
          <w:highlight w:val="yellow"/>
          <w:rtl/>
        </w:rPr>
        <w:t>2018</w:t>
      </w:r>
      <w:r w:rsidR="00660EE2" w:rsidRPr="00FE7299">
        <w:rPr>
          <w:spacing w:val="-4"/>
          <w:rtl/>
        </w:rPr>
        <w:t xml:space="preserve">، زيدت ميزانية النيابة العامة بنسبة </w:t>
      </w:r>
      <w:r w:rsidR="00660EE2" w:rsidRPr="008D25E3">
        <w:rPr>
          <w:spacing w:val="-4"/>
          <w:highlight w:val="yellow"/>
          <w:rtl/>
        </w:rPr>
        <w:t>8</w:t>
      </w:r>
      <w:r w:rsidR="00660EE2" w:rsidRPr="00FE7299">
        <w:rPr>
          <w:spacing w:val="-4"/>
          <w:rtl/>
        </w:rPr>
        <w:t xml:space="preserve"> في المائة مقارنة بميزانية عام </w:t>
      </w:r>
      <w:r w:rsidR="00660EE2" w:rsidRPr="008D25E3">
        <w:rPr>
          <w:spacing w:val="-4"/>
          <w:highlight w:val="yellow"/>
          <w:rtl/>
        </w:rPr>
        <w:t>2017</w:t>
      </w:r>
      <w:r w:rsidR="00660EE2" w:rsidRPr="00FE7299">
        <w:rPr>
          <w:spacing w:val="-4"/>
          <w:rtl/>
        </w:rPr>
        <w:t>.</w:t>
      </w:r>
      <w:r w:rsidR="00660EE2">
        <w:rPr>
          <w:rtl/>
        </w:rPr>
        <w:t xml:space="preserve"> </w:t>
      </w:r>
      <w:r w:rsidR="00660EE2" w:rsidRPr="008D25E3">
        <w:rPr>
          <w:spacing w:val="2"/>
          <w:rtl/>
        </w:rPr>
        <w:t xml:space="preserve">وفي آذار/مارس </w:t>
      </w:r>
      <w:r w:rsidR="00660EE2" w:rsidRPr="008D25E3">
        <w:rPr>
          <w:spacing w:val="2"/>
          <w:highlight w:val="yellow"/>
          <w:rtl/>
        </w:rPr>
        <w:t>2018</w:t>
      </w:r>
      <w:r w:rsidR="00660EE2" w:rsidRPr="008D25E3">
        <w:rPr>
          <w:spacing w:val="2"/>
          <w:rtl/>
        </w:rPr>
        <w:t>، أنشئ مكتب المدعي الخاص المعني بحماية المدافعين عن حقوق الإنسان والصحفيين</w:t>
      </w:r>
      <w:r w:rsidR="00660EE2">
        <w:rPr>
          <w:rtl/>
        </w:rPr>
        <w:t xml:space="preserve"> والعاملين في مجال التواصل الاجتماعي ومسؤولي العدالة. ويتولى المكتب التحقيق في الجرائم المرتكبة ضد المدافعين عن حقوق الإنسان والصحفيين والعاملين في مجال التواصل الاجتماعي وموظفي العدالة، بما يشمل التحقيق في التهديدات؛</w:t>
      </w:r>
    </w:p>
    <w:p w14:paraId="66FC46E7" w14:textId="2FEC44AF" w:rsidR="00660EE2" w:rsidRDefault="002B551F" w:rsidP="00FE7299">
      <w:pPr>
        <w:pStyle w:val="SingleTxtGA"/>
        <w:spacing w:line="346" w:lineRule="exact"/>
        <w:rPr>
          <w:rtl/>
        </w:rPr>
      </w:pPr>
      <w:r>
        <w:rPr>
          <w:rtl/>
        </w:rPr>
        <w:tab/>
      </w:r>
      <w:r w:rsidR="00660EE2">
        <w:rPr>
          <w:rtl/>
        </w:rPr>
        <w:t>(د)</w:t>
      </w:r>
      <w:r w:rsidR="00660EE2">
        <w:rPr>
          <w:rtl/>
        </w:rPr>
        <w:tab/>
      </w:r>
      <w:dir w:val="rtl">
        <w:r w:rsidR="00660EE2" w:rsidRPr="00FE7299">
          <w:rPr>
            <w:rFonts w:ascii="Simplified Arabic" w:hAnsi="Simplified Arabic" w:hint="cs"/>
            <w:spacing w:val="-4"/>
            <w:rtl/>
          </w:rPr>
          <w:t>انظر</w:t>
        </w:r>
        <w:r w:rsidR="00660EE2" w:rsidRPr="00FE7299">
          <w:rPr>
            <w:spacing w:val="-4"/>
            <w:rtl/>
          </w:rPr>
          <w:t xml:space="preserve"> </w:t>
        </w:r>
        <w:r w:rsidR="00660EE2" w:rsidRPr="00FE7299">
          <w:rPr>
            <w:rFonts w:hint="cs"/>
            <w:spacing w:val="-4"/>
            <w:rtl/>
          </w:rPr>
          <w:t>الرد</w:t>
        </w:r>
        <w:r w:rsidR="00660EE2" w:rsidRPr="00FE7299">
          <w:rPr>
            <w:spacing w:val="-4"/>
            <w:rtl/>
          </w:rPr>
          <w:t xml:space="preserve"> </w:t>
        </w:r>
        <w:r w:rsidR="00660EE2" w:rsidRPr="00FE7299">
          <w:rPr>
            <w:rFonts w:hint="cs"/>
            <w:spacing w:val="-4"/>
            <w:rtl/>
          </w:rPr>
          <w:t>المتعلق</w:t>
        </w:r>
        <w:r w:rsidR="00660EE2" w:rsidRPr="00FE7299">
          <w:rPr>
            <w:spacing w:val="-4"/>
            <w:rtl/>
          </w:rPr>
          <w:t xml:space="preserve"> </w:t>
        </w:r>
        <w:r w:rsidR="00660EE2" w:rsidRPr="00FE7299">
          <w:rPr>
            <w:rFonts w:hint="cs"/>
            <w:spacing w:val="-4"/>
            <w:rtl/>
          </w:rPr>
          <w:t>بالفقرة</w:t>
        </w:r>
        <w:r w:rsidR="00660EE2" w:rsidRPr="00FE7299">
          <w:rPr>
            <w:spacing w:val="-4"/>
            <w:rtl/>
          </w:rPr>
          <w:t xml:space="preserve"> </w:t>
        </w:r>
        <w:r w:rsidR="00660EE2" w:rsidRPr="00FE7299">
          <w:rPr>
            <w:rFonts w:hint="cs"/>
            <w:spacing w:val="-4"/>
            <w:rtl/>
          </w:rPr>
          <w:t>الفرعية</w:t>
        </w:r>
        <w:r w:rsidR="00660EE2" w:rsidRPr="00FE7299">
          <w:rPr>
            <w:spacing w:val="-4"/>
            <w:rtl/>
          </w:rPr>
          <w:t xml:space="preserve"> (</w:t>
        </w:r>
        <w:r w:rsidR="00660EE2" w:rsidRPr="00FE7299">
          <w:rPr>
            <w:rFonts w:hint="cs"/>
            <w:spacing w:val="-4"/>
            <w:rtl/>
          </w:rPr>
          <w:t>ج</w:t>
        </w:r>
        <w:r w:rsidR="00660EE2" w:rsidRPr="00FE7299">
          <w:rPr>
            <w:spacing w:val="-4"/>
            <w:rtl/>
          </w:rPr>
          <w:t xml:space="preserve">). </w:t>
        </w:r>
        <w:r w:rsidR="00660EE2" w:rsidRPr="00FE7299">
          <w:rPr>
            <w:rFonts w:hint="cs"/>
            <w:spacing w:val="-4"/>
            <w:rtl/>
          </w:rPr>
          <w:t>وأعدت</w:t>
        </w:r>
        <w:r w:rsidR="00660EE2" w:rsidRPr="00FE7299">
          <w:rPr>
            <w:spacing w:val="-4"/>
            <w:rtl/>
          </w:rPr>
          <w:t xml:space="preserve"> </w:t>
        </w:r>
        <w:r w:rsidR="00660EE2" w:rsidRPr="00FE7299">
          <w:rPr>
            <w:rFonts w:hint="cs"/>
            <w:spacing w:val="-4"/>
            <w:rtl/>
          </w:rPr>
          <w:t>النيابة</w:t>
        </w:r>
        <w:r w:rsidR="00660EE2" w:rsidRPr="00FE7299">
          <w:rPr>
            <w:spacing w:val="-4"/>
            <w:rtl/>
          </w:rPr>
          <w:t xml:space="preserve"> </w:t>
        </w:r>
        <w:r w:rsidR="00660EE2" w:rsidRPr="00FE7299">
          <w:rPr>
            <w:rFonts w:hint="cs"/>
            <w:spacing w:val="-4"/>
            <w:rtl/>
          </w:rPr>
          <w:t>العامة</w:t>
        </w:r>
        <w:r w:rsidR="00660EE2" w:rsidRPr="00FE7299">
          <w:rPr>
            <w:spacing w:val="-4"/>
            <w:rtl/>
          </w:rPr>
          <w:t xml:space="preserve"> </w:t>
        </w:r>
        <w:r w:rsidR="00660EE2" w:rsidRPr="00FE7299">
          <w:rPr>
            <w:rFonts w:hint="cs"/>
            <w:spacing w:val="-4"/>
            <w:rtl/>
          </w:rPr>
          <w:t>كتيبات</w:t>
        </w:r>
        <w:r w:rsidR="00660EE2" w:rsidRPr="00FE7299">
          <w:rPr>
            <w:spacing w:val="-4"/>
            <w:rtl/>
          </w:rPr>
          <w:t xml:space="preserve"> </w:t>
        </w:r>
        <w:r w:rsidR="00660EE2" w:rsidRPr="00FE7299">
          <w:rPr>
            <w:rFonts w:hint="cs"/>
            <w:spacing w:val="-4"/>
            <w:rtl/>
          </w:rPr>
          <w:t>عملية</w:t>
        </w:r>
        <w:r w:rsidR="00660EE2" w:rsidRPr="00FE7299">
          <w:rPr>
            <w:spacing w:val="-4"/>
            <w:rtl/>
          </w:rPr>
          <w:t xml:space="preserve"> </w:t>
        </w:r>
        <w:r w:rsidR="00660EE2" w:rsidRPr="00FE7299">
          <w:rPr>
            <w:rFonts w:hint="cs"/>
            <w:spacing w:val="-4"/>
            <w:rtl/>
          </w:rPr>
          <w:t>بشأن</w:t>
        </w:r>
        <w:r w:rsidR="00660EE2" w:rsidRPr="00FE7299">
          <w:rPr>
            <w:spacing w:val="-4"/>
            <w:rtl/>
          </w:rPr>
          <w:t xml:space="preserve"> </w:t>
        </w:r>
        <w:r w:rsidR="00660EE2" w:rsidRPr="00FE7299">
          <w:rPr>
            <w:rFonts w:hint="cs"/>
            <w:spacing w:val="-4"/>
            <w:rtl/>
          </w:rPr>
          <w:t>التحقيق</w:t>
        </w:r>
        <w:r w:rsidR="00660EE2">
          <w:rPr>
            <w:rtl/>
          </w:rPr>
          <w:t xml:space="preserve"> </w:t>
        </w:r>
        <w:r w:rsidR="00660EE2">
          <w:rPr>
            <w:rFonts w:ascii="Simplified Arabic" w:hAnsi="Simplified Arabic" w:hint="cs"/>
            <w:rtl/>
          </w:rPr>
          <w:t>في</w:t>
        </w:r>
        <w:r w:rsidR="00660EE2">
          <w:rPr>
            <w:rtl/>
          </w:rPr>
          <w:t xml:space="preserve"> </w:t>
        </w:r>
        <w:r w:rsidR="00660EE2">
          <w:rPr>
            <w:rFonts w:ascii="Simplified Arabic" w:hAnsi="Simplified Arabic" w:hint="cs"/>
            <w:rtl/>
          </w:rPr>
          <w:t>الجرائم</w:t>
        </w:r>
        <w:r w:rsidR="00660EE2">
          <w:rPr>
            <w:rtl/>
          </w:rPr>
          <w:t xml:space="preserve"> </w:t>
        </w:r>
        <w:r w:rsidR="00660EE2">
          <w:rPr>
            <w:rFonts w:ascii="Simplified Arabic" w:hAnsi="Simplified Arabic" w:hint="cs"/>
            <w:rtl/>
          </w:rPr>
          <w:t>المرتكبة</w:t>
        </w:r>
        <w:r w:rsidR="00660EE2">
          <w:rPr>
            <w:rtl/>
          </w:rPr>
          <w:t xml:space="preserve"> </w:t>
        </w:r>
        <w:r w:rsidR="00660EE2">
          <w:rPr>
            <w:rFonts w:ascii="Simplified Arabic" w:hAnsi="Simplified Arabic" w:hint="cs"/>
            <w:rtl/>
          </w:rPr>
          <w:t>ضد</w:t>
        </w:r>
        <w:r w:rsidR="00660EE2">
          <w:rPr>
            <w:rtl/>
          </w:rPr>
          <w:t xml:space="preserve"> </w:t>
        </w:r>
        <w:r w:rsidR="00660EE2">
          <w:rPr>
            <w:rFonts w:ascii="Simplified Arabic" w:hAnsi="Simplified Arabic" w:hint="cs"/>
            <w:rtl/>
          </w:rPr>
          <w:t>حرية</w:t>
        </w:r>
        <w:r w:rsidR="00660EE2">
          <w:rPr>
            <w:rtl/>
          </w:rPr>
          <w:t xml:space="preserve"> </w:t>
        </w:r>
        <w:r w:rsidR="00660EE2">
          <w:rPr>
            <w:rFonts w:ascii="Simplified Arabic" w:hAnsi="Simplified Arabic" w:hint="cs"/>
            <w:rtl/>
          </w:rPr>
          <w:t>التعبير</w:t>
        </w:r>
        <w:r w:rsidR="00660EE2">
          <w:rPr>
            <w:rtl/>
          </w:rPr>
          <w:t xml:space="preserve"> </w:t>
        </w:r>
        <w:r w:rsidR="00660EE2">
          <w:rPr>
            <w:rFonts w:ascii="Simplified Arabic" w:hAnsi="Simplified Arabic" w:hint="cs"/>
            <w:rtl/>
          </w:rPr>
          <w:t>وبشأن</w:t>
        </w:r>
        <w:r w:rsidR="00660EE2">
          <w:rPr>
            <w:rtl/>
          </w:rPr>
          <w:t xml:space="preserve"> </w:t>
        </w:r>
        <w:r w:rsidR="00660EE2">
          <w:rPr>
            <w:rFonts w:ascii="Simplified Arabic" w:hAnsi="Simplified Arabic" w:hint="cs"/>
            <w:rtl/>
          </w:rPr>
          <w:t>التحقيق</w:t>
        </w:r>
        <w:r w:rsidR="00660EE2">
          <w:rPr>
            <w:rtl/>
          </w:rPr>
          <w:t xml:space="preserve"> </w:t>
        </w:r>
        <w:r w:rsidR="00660EE2">
          <w:rPr>
            <w:rFonts w:ascii="Simplified Arabic" w:hAnsi="Simplified Arabic" w:hint="cs"/>
            <w:rtl/>
          </w:rPr>
          <w:t>الجنائي</w:t>
        </w:r>
        <w:r w:rsidR="00660EE2">
          <w:rPr>
            <w:rtl/>
          </w:rPr>
          <w:t xml:space="preserve"> </w:t>
        </w:r>
        <w:r w:rsidR="00660EE2">
          <w:rPr>
            <w:rFonts w:ascii="Simplified Arabic" w:hAnsi="Simplified Arabic" w:hint="cs"/>
            <w:rtl/>
          </w:rPr>
          <w:t>عموما</w:t>
        </w:r>
        <w:r w:rsidR="00D658E9">
          <w:rPr>
            <w:rFonts w:ascii="Simplified Arabic" w:hAnsi="Simplified Arabic" w:hint="cs"/>
            <w:rtl/>
          </w:rPr>
          <w:t>ً</w:t>
        </w:r>
        <w:r w:rsidR="00660EE2">
          <w:rPr>
            <w:rFonts w:ascii="Simplified Arabic" w:hAnsi="Simplified Arabic" w:hint="cs"/>
            <w:rtl/>
          </w:rPr>
          <w:t>؛</w:t>
        </w:r>
      </w:dir>
    </w:p>
    <w:p w14:paraId="77390958" w14:textId="0DF0350A" w:rsidR="00660EE2" w:rsidRPr="00D658E9" w:rsidRDefault="002B551F" w:rsidP="00FE7299">
      <w:pPr>
        <w:pStyle w:val="SingleTxtGA"/>
        <w:spacing w:line="346" w:lineRule="exact"/>
        <w:rPr>
          <w:spacing w:val="-2"/>
          <w:rtl/>
        </w:rPr>
      </w:pPr>
      <w:r>
        <w:rPr>
          <w:rtl/>
        </w:rPr>
        <w:tab/>
      </w:r>
      <w:r w:rsidR="00660EE2">
        <w:rPr>
          <w:rtl/>
        </w:rPr>
        <w:t>(هـ)</w:t>
      </w:r>
      <w:r w:rsidR="00660EE2">
        <w:rPr>
          <w:rtl/>
        </w:rPr>
        <w:tab/>
        <w:t xml:space="preserve">ينص القانون الجنائي الجديد، المعتمد في عام </w:t>
      </w:r>
      <w:r w:rsidR="00660EE2" w:rsidRPr="008D25E3">
        <w:rPr>
          <w:highlight w:val="yellow"/>
          <w:rtl/>
        </w:rPr>
        <w:t>2018</w:t>
      </w:r>
      <w:r w:rsidR="00660EE2">
        <w:rPr>
          <w:rtl/>
        </w:rPr>
        <w:t xml:space="preserve">، على أن عقوبة التشهير يجب </w:t>
      </w:r>
      <w:r w:rsidR="00660EE2" w:rsidRPr="00D658E9">
        <w:rPr>
          <w:spacing w:val="-2"/>
          <w:rtl/>
        </w:rPr>
        <w:t>أن تقتصر على الغرامة، وأن يعاقب على القذف بعقوبة سجنية يمكن تخفيفها إلى غرامة أو خدمة مجتمعية</w:t>
      </w:r>
      <w:r w:rsidR="00D658E9">
        <w:rPr>
          <w:rFonts w:hint="cs"/>
          <w:spacing w:val="-2"/>
          <w:rtl/>
        </w:rPr>
        <w:t>؛</w:t>
      </w:r>
    </w:p>
    <w:p w14:paraId="622877B8" w14:textId="120A8F64" w:rsidR="00660EE2" w:rsidRDefault="002B551F" w:rsidP="00660EE2">
      <w:pPr>
        <w:pStyle w:val="SingleTxtGA"/>
        <w:rPr>
          <w:rtl/>
        </w:rPr>
      </w:pPr>
      <w:r>
        <w:rPr>
          <w:rtl/>
        </w:rPr>
        <w:tab/>
      </w:r>
      <w:r w:rsidR="00660EE2">
        <w:rPr>
          <w:rtl/>
        </w:rPr>
        <w:t>(و)</w:t>
      </w:r>
      <w:r w:rsidR="00660EE2">
        <w:rPr>
          <w:rtl/>
        </w:rPr>
        <w:tab/>
      </w:r>
      <w:r w:rsidR="00660EE2" w:rsidRPr="006579F6">
        <w:rPr>
          <w:spacing w:val="-2"/>
          <w:rtl/>
        </w:rPr>
        <w:t>لدى النيابة العامة قسم للتحقيق في وفاة الأشخاص المنتمين إلى فئات هشة، وهو يتولى الاحتفاظ بسجل لحالات القتل والاغتيال ومحاولات الاغتيال. وقدمت الدولة الطرف بيانات عن الشكاوى</w:t>
      </w:r>
      <w:r w:rsidR="00660EE2">
        <w:rPr>
          <w:rtl/>
        </w:rPr>
        <w:t xml:space="preserve"> </w:t>
      </w:r>
      <w:r w:rsidR="00660EE2" w:rsidRPr="008D25E3">
        <w:rPr>
          <w:spacing w:val="-4"/>
          <w:rtl/>
        </w:rPr>
        <w:t xml:space="preserve">المتعلقة بوفاة الصحفيين أو العاملين في مجال التواصل الاجتماعي أو الأشخاص المثليين </w:t>
      </w:r>
      <w:proofErr w:type="spellStart"/>
      <w:r w:rsidR="00660EE2" w:rsidRPr="008D25E3">
        <w:rPr>
          <w:spacing w:val="-4"/>
          <w:rtl/>
        </w:rPr>
        <w:t>والمثليات</w:t>
      </w:r>
      <w:proofErr w:type="spellEnd"/>
      <w:r w:rsidR="00660EE2" w:rsidRPr="008D25E3">
        <w:rPr>
          <w:spacing w:val="-4"/>
          <w:rtl/>
        </w:rPr>
        <w:t xml:space="preserve"> ومزدوجي</w:t>
      </w:r>
      <w:r w:rsidR="00660EE2" w:rsidRPr="006579F6">
        <w:rPr>
          <w:spacing w:val="-2"/>
          <w:rtl/>
        </w:rPr>
        <w:t xml:space="preserve"> الميل الجنسي ومغايري الهوية الجنسانية وحاملي صفات الجنسين في عام </w:t>
      </w:r>
      <w:r w:rsidR="00660EE2" w:rsidRPr="008D25E3">
        <w:rPr>
          <w:spacing w:val="-2"/>
          <w:highlight w:val="yellow"/>
          <w:rtl/>
        </w:rPr>
        <w:t>2018</w:t>
      </w:r>
      <w:r w:rsidR="00660EE2" w:rsidRPr="006579F6">
        <w:rPr>
          <w:spacing w:val="-2"/>
          <w:rtl/>
        </w:rPr>
        <w:t>. وتعمل النيابة</w:t>
      </w:r>
      <w:r w:rsidR="00660EE2">
        <w:rPr>
          <w:rtl/>
        </w:rPr>
        <w:t xml:space="preserve"> العامة على إنشاء قاعدة بيانات تضمن احترام الهوية الجنسانية للمشتكين.</w:t>
      </w:r>
    </w:p>
    <w:p w14:paraId="4585A656" w14:textId="77777777" w:rsidR="00660EE2" w:rsidRPr="008D25E3" w:rsidRDefault="00660EE2" w:rsidP="002B551F">
      <w:pPr>
        <w:pStyle w:val="H23GA"/>
        <w:rPr>
          <w:highlight w:val="lightGray"/>
          <w:rtl/>
        </w:rPr>
      </w:pPr>
      <w:r w:rsidRPr="008D25E3">
        <w:rPr>
          <w:highlight w:val="lightGray"/>
          <w:rtl/>
        </w:rPr>
        <w:tab/>
      </w:r>
      <w:r w:rsidRPr="008D25E3">
        <w:rPr>
          <w:highlight w:val="lightGray"/>
          <w:rtl/>
        </w:rPr>
        <w:tab/>
        <w:t>المعلومات الواردة من المنظمات غير الحكومية</w:t>
      </w:r>
    </w:p>
    <w:p w14:paraId="334AF893" w14:textId="77777777" w:rsidR="00660EE2" w:rsidRPr="008D25E3" w:rsidRDefault="00660EE2" w:rsidP="002B551F">
      <w:pPr>
        <w:pStyle w:val="H4GA"/>
        <w:rPr>
          <w:highlight w:val="cyan"/>
          <w:rtl/>
        </w:rPr>
      </w:pPr>
      <w:r w:rsidRPr="008D25E3">
        <w:rPr>
          <w:highlight w:val="cyan"/>
          <w:rtl/>
        </w:rPr>
        <w:tab/>
      </w:r>
      <w:r w:rsidRPr="008D25E3">
        <w:rPr>
          <w:highlight w:val="cyan"/>
          <w:rtl/>
        </w:rPr>
        <w:tab/>
        <w:t xml:space="preserve">مركز التنمية والتعاون </w:t>
      </w:r>
      <w:proofErr w:type="spellStart"/>
      <w:r w:rsidRPr="008D25E3">
        <w:rPr>
          <w:highlight w:val="cyan"/>
          <w:rtl/>
        </w:rPr>
        <w:t>سوموس</w:t>
      </w:r>
      <w:proofErr w:type="spellEnd"/>
      <w:r w:rsidRPr="008D25E3">
        <w:rPr>
          <w:highlight w:val="cyan"/>
          <w:rtl/>
        </w:rPr>
        <w:t xml:space="preserve"> لمجتمع الميم </w:t>
      </w:r>
    </w:p>
    <w:p w14:paraId="5E2EF63E" w14:textId="4297C421" w:rsidR="00660EE2" w:rsidRDefault="002B551F" w:rsidP="00660EE2">
      <w:pPr>
        <w:pStyle w:val="SingleTxtGA"/>
        <w:rPr>
          <w:rtl/>
        </w:rPr>
      </w:pPr>
      <w:r>
        <w:rPr>
          <w:rtl/>
        </w:rPr>
        <w:tab/>
      </w:r>
      <w:r w:rsidR="00660EE2">
        <w:rPr>
          <w:rtl/>
        </w:rPr>
        <w:t>(أ)</w:t>
      </w:r>
      <w:r w:rsidR="00660EE2">
        <w:rPr>
          <w:rtl/>
        </w:rPr>
        <w:tab/>
        <w:t xml:space="preserve">في أيار/مايو </w:t>
      </w:r>
      <w:r w:rsidR="00660EE2" w:rsidRPr="008D25E3">
        <w:rPr>
          <w:highlight w:val="yellow"/>
          <w:rtl/>
        </w:rPr>
        <w:t>2019</w:t>
      </w:r>
      <w:r w:rsidR="00660EE2">
        <w:rPr>
          <w:rtl/>
        </w:rPr>
        <w:t xml:space="preserve">، لم تكن عملية إنشاء المؤسسات التي نص عليها قانون حماية المدافعين عن حقوق الإنسان والصحفيين والعاملين في مجال التواصل الاجتماعي وموظفي العدالة قد اكتملت إلا بنسبة </w:t>
      </w:r>
      <w:r w:rsidR="00660EE2" w:rsidRPr="008D25E3">
        <w:rPr>
          <w:highlight w:val="yellow"/>
          <w:rtl/>
        </w:rPr>
        <w:t>55</w:t>
      </w:r>
      <w:r w:rsidR="00660EE2">
        <w:rPr>
          <w:rtl/>
        </w:rPr>
        <w:t xml:space="preserve"> في المائة فقط. وأُبلغ عما مجموعه </w:t>
      </w:r>
      <w:r w:rsidR="00660EE2" w:rsidRPr="008D25E3">
        <w:rPr>
          <w:highlight w:val="yellow"/>
          <w:rtl/>
        </w:rPr>
        <w:t>109</w:t>
      </w:r>
      <w:r w:rsidR="00660EE2">
        <w:rPr>
          <w:rtl/>
        </w:rPr>
        <w:t xml:space="preserve"> حالات وفاة عنيفة في </w:t>
      </w:r>
      <w:r w:rsidR="008D25E3">
        <w:rPr>
          <w:rFonts w:hint="cs"/>
          <w:rtl/>
        </w:rPr>
        <w:t>صفوف</w:t>
      </w:r>
      <w:r w:rsidR="00660EE2">
        <w:rPr>
          <w:rtl/>
        </w:rPr>
        <w:t xml:space="preserve"> </w:t>
      </w:r>
      <w:proofErr w:type="spellStart"/>
      <w:r w:rsidR="00660EE2">
        <w:rPr>
          <w:rtl/>
        </w:rPr>
        <w:t>المثليات</w:t>
      </w:r>
      <w:proofErr w:type="spellEnd"/>
      <w:r w:rsidR="00660EE2">
        <w:rPr>
          <w:rtl/>
        </w:rPr>
        <w:t xml:space="preserve"> والمثليين ومزدوجي الميل الجنسي ومغايري الهوية الجنسية منذ التقرير السابق للجنة (أي بين عام </w:t>
      </w:r>
      <w:r w:rsidR="00660EE2" w:rsidRPr="008D25E3">
        <w:rPr>
          <w:highlight w:val="yellow"/>
          <w:rtl/>
        </w:rPr>
        <w:t>2017</w:t>
      </w:r>
      <w:r w:rsidR="00660EE2">
        <w:rPr>
          <w:rtl/>
        </w:rPr>
        <w:t xml:space="preserve"> وآذار/مارس </w:t>
      </w:r>
      <w:r w:rsidR="00660EE2" w:rsidRPr="008D25E3">
        <w:rPr>
          <w:highlight w:val="yellow"/>
          <w:rtl/>
        </w:rPr>
        <w:t>2020</w:t>
      </w:r>
      <w:r w:rsidR="00660EE2">
        <w:rPr>
          <w:rtl/>
        </w:rPr>
        <w:t>)؛</w:t>
      </w:r>
    </w:p>
    <w:p w14:paraId="4AA9965E" w14:textId="39D4AAB2" w:rsidR="00660EE2" w:rsidRDefault="002B551F" w:rsidP="00660EE2">
      <w:pPr>
        <w:pStyle w:val="SingleTxtGA"/>
        <w:rPr>
          <w:rtl/>
        </w:rPr>
      </w:pPr>
      <w:r>
        <w:rPr>
          <w:rtl/>
        </w:rPr>
        <w:tab/>
      </w:r>
      <w:r w:rsidR="00660EE2">
        <w:rPr>
          <w:rtl/>
        </w:rPr>
        <w:t>(ب)</w:t>
      </w:r>
      <w:r w:rsidR="00660EE2">
        <w:rPr>
          <w:rtl/>
        </w:rPr>
        <w:tab/>
      </w:r>
      <w:r w:rsidR="00660EE2" w:rsidRPr="006579F6">
        <w:rPr>
          <w:spacing w:val="-2"/>
          <w:rtl/>
        </w:rPr>
        <w:t xml:space="preserve">لم يؤد مكتب المدعي الخاص، الذي أنشئ في آذار/مارس </w:t>
      </w:r>
      <w:r w:rsidR="00660EE2" w:rsidRPr="008D25E3">
        <w:rPr>
          <w:spacing w:val="-2"/>
          <w:highlight w:val="yellow"/>
          <w:rtl/>
        </w:rPr>
        <w:t>2018</w:t>
      </w:r>
      <w:r w:rsidR="00660EE2" w:rsidRPr="006579F6">
        <w:rPr>
          <w:spacing w:val="-2"/>
          <w:rtl/>
        </w:rPr>
        <w:t>، إلى النتائج المتوقعة</w:t>
      </w:r>
      <w:r w:rsidR="00660EE2">
        <w:rPr>
          <w:rtl/>
        </w:rPr>
        <w:t xml:space="preserve">. ففي عام </w:t>
      </w:r>
      <w:r w:rsidR="00660EE2" w:rsidRPr="008D25E3">
        <w:rPr>
          <w:highlight w:val="yellow"/>
          <w:rtl/>
        </w:rPr>
        <w:t>2019</w:t>
      </w:r>
      <w:r w:rsidR="00660EE2">
        <w:rPr>
          <w:rtl/>
        </w:rPr>
        <w:t xml:space="preserve">، تلقى المكتب </w:t>
      </w:r>
      <w:r w:rsidR="00660EE2" w:rsidRPr="008D25E3">
        <w:rPr>
          <w:highlight w:val="yellow"/>
          <w:rtl/>
        </w:rPr>
        <w:t>201</w:t>
      </w:r>
      <w:r w:rsidR="00660EE2">
        <w:rPr>
          <w:rtl/>
        </w:rPr>
        <w:t xml:space="preserve"> شكوى، لم يتوصل فيها إلى نتيجة إلا في حالة </w:t>
      </w:r>
      <w:r w:rsidR="00660EE2" w:rsidRPr="008D25E3">
        <w:rPr>
          <w:highlight w:val="yellow"/>
          <w:rtl/>
        </w:rPr>
        <w:t>15</w:t>
      </w:r>
      <w:r w:rsidR="00660EE2">
        <w:rPr>
          <w:rtl/>
        </w:rPr>
        <w:t xml:space="preserve"> حالة فقط؛</w:t>
      </w:r>
    </w:p>
    <w:p w14:paraId="66FA78ED" w14:textId="2EA537B8" w:rsidR="00660EE2" w:rsidRDefault="002B551F" w:rsidP="00660EE2">
      <w:pPr>
        <w:pStyle w:val="SingleTxtGA"/>
        <w:rPr>
          <w:rtl/>
        </w:rPr>
      </w:pPr>
      <w:r>
        <w:rPr>
          <w:rtl/>
        </w:rPr>
        <w:tab/>
      </w:r>
      <w:r w:rsidR="00660EE2">
        <w:rPr>
          <w:rtl/>
        </w:rPr>
        <w:t>(د)</w:t>
      </w:r>
      <w:r w:rsidR="00660EE2">
        <w:rPr>
          <w:rtl/>
        </w:rPr>
        <w:tab/>
        <w:t>لا يوجد بروتوكول خاص للتحقيق في الجرائم المتعلقة بالمدافعين عن حقوق الإنسان؛</w:t>
      </w:r>
    </w:p>
    <w:p w14:paraId="31FE01B4" w14:textId="13576B82" w:rsidR="00660EE2" w:rsidRDefault="002B551F" w:rsidP="00660EE2">
      <w:pPr>
        <w:pStyle w:val="SingleTxtGA"/>
        <w:rPr>
          <w:rtl/>
        </w:rPr>
      </w:pPr>
      <w:r>
        <w:rPr>
          <w:rtl/>
        </w:rPr>
        <w:tab/>
      </w:r>
      <w:r w:rsidR="00660EE2">
        <w:rPr>
          <w:rtl/>
        </w:rPr>
        <w:t>(و)</w:t>
      </w:r>
      <w:r w:rsidR="00660EE2">
        <w:rPr>
          <w:rtl/>
        </w:rPr>
        <w:tab/>
        <w:t xml:space="preserve">أفادت منظمة آسي </w:t>
      </w:r>
      <w:proofErr w:type="spellStart"/>
      <w:r w:rsidR="00660EE2">
        <w:rPr>
          <w:rtl/>
        </w:rPr>
        <w:t>بارتيسيبا</w:t>
      </w:r>
      <w:proofErr w:type="spellEnd"/>
      <w:r w:rsidR="00660EE2">
        <w:rPr>
          <w:rtl/>
        </w:rPr>
        <w:t xml:space="preserve"> (</w:t>
      </w:r>
      <w:proofErr w:type="spellStart"/>
      <w:r w:rsidR="00660EE2">
        <w:t>Aci</w:t>
      </w:r>
      <w:proofErr w:type="spellEnd"/>
      <w:r w:rsidR="00660EE2">
        <w:t xml:space="preserve"> </w:t>
      </w:r>
      <w:proofErr w:type="spellStart"/>
      <w:r w:rsidR="00660EE2">
        <w:t>Participa</w:t>
      </w:r>
      <w:proofErr w:type="spellEnd"/>
      <w:r w:rsidR="00660EE2">
        <w:rPr>
          <w:rtl/>
        </w:rPr>
        <w:t xml:space="preserve">)، وهي منظمة من المجتمع المدني، بوقوع </w:t>
      </w:r>
      <w:r w:rsidR="00660EE2" w:rsidRPr="008D25E3">
        <w:rPr>
          <w:highlight w:val="yellow"/>
          <w:rtl/>
        </w:rPr>
        <w:t>384</w:t>
      </w:r>
      <w:r w:rsidR="00660EE2">
        <w:rPr>
          <w:rtl/>
        </w:rPr>
        <w:t xml:space="preserve"> حالة اعتداء على المدافعين عن حقوق الإنسان في عام </w:t>
      </w:r>
      <w:r w:rsidR="00660EE2" w:rsidRPr="008D25E3">
        <w:rPr>
          <w:highlight w:val="yellow"/>
          <w:rtl/>
        </w:rPr>
        <w:t>2018</w:t>
      </w:r>
      <w:r w:rsidR="00660EE2">
        <w:rPr>
          <w:rtl/>
        </w:rPr>
        <w:t xml:space="preserve"> و</w:t>
      </w:r>
      <w:r w:rsidR="00660EE2" w:rsidRPr="008D25E3">
        <w:rPr>
          <w:highlight w:val="yellow"/>
          <w:rtl/>
        </w:rPr>
        <w:t>499</w:t>
      </w:r>
      <w:r w:rsidR="00660EE2">
        <w:rPr>
          <w:rtl/>
        </w:rPr>
        <w:t xml:space="preserve"> حالة في عام </w:t>
      </w:r>
      <w:r w:rsidR="00660EE2" w:rsidRPr="008D25E3">
        <w:rPr>
          <w:highlight w:val="yellow"/>
          <w:rtl/>
        </w:rPr>
        <w:t>2019</w:t>
      </w:r>
      <w:r w:rsidR="00660EE2">
        <w:rPr>
          <w:rtl/>
        </w:rPr>
        <w:t>.</w:t>
      </w:r>
    </w:p>
    <w:p w14:paraId="7894158D" w14:textId="4B9940B3" w:rsidR="00660EE2" w:rsidRPr="008D25E3" w:rsidRDefault="002B551F" w:rsidP="002B551F">
      <w:pPr>
        <w:pStyle w:val="H23GA"/>
        <w:rPr>
          <w:highlight w:val="lightGray"/>
          <w:rtl/>
        </w:rPr>
      </w:pPr>
      <w:r w:rsidRPr="008D25E3">
        <w:rPr>
          <w:highlight w:val="lightGray"/>
          <w:rtl/>
        </w:rPr>
        <w:tab/>
      </w:r>
      <w:r w:rsidRPr="008D25E3">
        <w:rPr>
          <w:highlight w:val="lightGray"/>
          <w:rtl/>
        </w:rPr>
        <w:tab/>
      </w:r>
      <w:r w:rsidR="00660EE2" w:rsidRPr="008D25E3">
        <w:rPr>
          <w:highlight w:val="lightGray"/>
          <w:rtl/>
        </w:rPr>
        <w:t>تقييم اللجنة</w:t>
      </w:r>
    </w:p>
    <w:p w14:paraId="640BC725" w14:textId="2EC4A7C3" w:rsidR="00660EE2" w:rsidRPr="004710F9" w:rsidRDefault="004710F9" w:rsidP="004710F9">
      <w:pPr>
        <w:pStyle w:val="H23GA"/>
        <w:rPr>
          <w:b w:val="0"/>
          <w:bCs w:val="0"/>
          <w:rtl/>
        </w:rPr>
      </w:pPr>
      <w:r w:rsidRPr="008D25E3">
        <w:rPr>
          <w:highlight w:val="lightGray"/>
          <w:rtl/>
        </w:rPr>
        <w:tab/>
      </w:r>
      <w:r w:rsidRPr="008D25E3">
        <w:rPr>
          <w:highlight w:val="lightGray"/>
          <w:rtl/>
        </w:rPr>
        <w:tab/>
      </w:r>
      <w:r w:rsidR="00660EE2" w:rsidRPr="008D25E3">
        <w:rPr>
          <w:b w:val="0"/>
          <w:bCs w:val="0"/>
          <w:highlight w:val="lightGray"/>
          <w:rtl/>
        </w:rPr>
        <w:t>[</w:t>
      </w:r>
      <w:r w:rsidR="00660EE2" w:rsidRPr="008D25E3">
        <w:rPr>
          <w:highlight w:val="lightGray"/>
          <w:rtl/>
        </w:rPr>
        <w:t>باء</w:t>
      </w:r>
      <w:r w:rsidR="00660EE2" w:rsidRPr="008D25E3">
        <w:rPr>
          <w:b w:val="0"/>
          <w:bCs w:val="0"/>
          <w:highlight w:val="lightGray"/>
          <w:rtl/>
        </w:rPr>
        <w:t>]</w:t>
      </w:r>
      <w:r w:rsidR="00660EE2" w:rsidRPr="008D25E3">
        <w:rPr>
          <w:highlight w:val="lightGray"/>
          <w:rtl/>
        </w:rPr>
        <w:t xml:space="preserve">: </w:t>
      </w:r>
      <w:r w:rsidR="00660EE2" w:rsidRPr="004710F9">
        <w:rPr>
          <w:b w:val="0"/>
          <w:bCs w:val="0"/>
          <w:rtl/>
        </w:rPr>
        <w:t xml:space="preserve">(أ)، (د)، (و) </w:t>
      </w:r>
    </w:p>
    <w:p w14:paraId="32E3B946" w14:textId="4964AD0B" w:rsidR="00660EE2" w:rsidRDefault="004710F9" w:rsidP="00660EE2">
      <w:pPr>
        <w:pStyle w:val="SingleTxtGA"/>
        <w:rPr>
          <w:rtl/>
        </w:rPr>
      </w:pPr>
      <w:r>
        <w:rPr>
          <w:rtl/>
        </w:rPr>
        <w:tab/>
      </w:r>
      <w:r w:rsidR="00660EE2">
        <w:rPr>
          <w:rtl/>
        </w:rPr>
        <w:t xml:space="preserve">ترحب اللجنة بالاجتماعات التي عقدتها اللجنة الفنية في إطار الجهود الرامية إلى تنفيذ قانون حماية المدافعين عن حقوق الإنسان والصحفيين والعاملين في مجال التواصل الاجتماعي وموظفي العدالة، وتلاحظ انخفاض عدد الوفيات في صفوف المدافعين عن حقوق الإنسان. وتطلب اللجنة معلومات عن </w:t>
      </w:r>
      <w:r w:rsidR="00660EE2" w:rsidRPr="006579F6">
        <w:rPr>
          <w:spacing w:val="-2"/>
          <w:rtl/>
        </w:rPr>
        <w:t>التدابير المتخذة من أجل (أ) مواصلة تنفيذ قانون المدافعين عن حقوق الإنسان، بما في ذلك عن طريق إنشاء المؤسسات اللازمة؛ و(ب) توفير المزيد من الحماية للمدافعين عن حقوق الإنسان والصحفيين والنقابيين</w:t>
      </w:r>
      <w:r w:rsidR="00660EE2">
        <w:rPr>
          <w:rtl/>
        </w:rPr>
        <w:t xml:space="preserve"> </w:t>
      </w:r>
      <w:r w:rsidR="00660EE2" w:rsidRPr="006579F6">
        <w:rPr>
          <w:spacing w:val="-4"/>
          <w:rtl/>
        </w:rPr>
        <w:t xml:space="preserve">والناشطين في مجال البيئة وأفراد الشعوب الأصلية </w:t>
      </w:r>
      <w:proofErr w:type="spellStart"/>
      <w:r w:rsidR="00660EE2" w:rsidRPr="006579F6">
        <w:rPr>
          <w:spacing w:val="-4"/>
          <w:rtl/>
        </w:rPr>
        <w:t>والمثليات</w:t>
      </w:r>
      <w:proofErr w:type="spellEnd"/>
      <w:r w:rsidR="00660EE2" w:rsidRPr="006579F6">
        <w:rPr>
          <w:spacing w:val="-4"/>
          <w:rtl/>
        </w:rPr>
        <w:t xml:space="preserve"> والمثليين ومزدوجي الميل الجنسي ومغايري الهوية</w:t>
      </w:r>
      <w:r w:rsidR="00660EE2">
        <w:rPr>
          <w:rtl/>
        </w:rPr>
        <w:t xml:space="preserve"> الجنسانية وحاملي صفات الجنسين الذين يتعرضون لأعمال العنف والتخويف. </w:t>
      </w:r>
    </w:p>
    <w:p w14:paraId="65477C4F" w14:textId="712116FB" w:rsidR="00660EE2" w:rsidRDefault="004710F9" w:rsidP="00660EE2">
      <w:pPr>
        <w:pStyle w:val="SingleTxtGA"/>
        <w:rPr>
          <w:rtl/>
        </w:rPr>
      </w:pPr>
      <w:r>
        <w:rPr>
          <w:rtl/>
        </w:rPr>
        <w:tab/>
      </w:r>
      <w:r w:rsidR="00660EE2" w:rsidRPr="006579F6">
        <w:rPr>
          <w:spacing w:val="-5"/>
          <w:rtl/>
        </w:rPr>
        <w:t>وترحب اللجنة بإنشاء مكتب المدعي الخاص المعني بحماية المدافعين عن حقوق الإنسان والصحفيين</w:t>
      </w:r>
      <w:r w:rsidR="00660EE2">
        <w:rPr>
          <w:rtl/>
        </w:rPr>
        <w:t xml:space="preserve"> </w:t>
      </w:r>
      <w:r w:rsidR="00660EE2" w:rsidRPr="00D658E9">
        <w:rPr>
          <w:spacing w:val="-4"/>
          <w:rtl/>
        </w:rPr>
        <w:t xml:space="preserve">والعاملين في مجال التواصل الاجتماعي وموظفي العدالة في آذار/مارس </w:t>
      </w:r>
      <w:r w:rsidR="00660EE2" w:rsidRPr="008D25E3">
        <w:rPr>
          <w:spacing w:val="-4"/>
          <w:highlight w:val="yellow"/>
          <w:rtl/>
        </w:rPr>
        <w:t>2018</w:t>
      </w:r>
      <w:r w:rsidR="00660EE2" w:rsidRPr="00D658E9">
        <w:rPr>
          <w:spacing w:val="-4"/>
          <w:rtl/>
        </w:rPr>
        <w:t>، وبزيادة الميزانية المخصصة</w:t>
      </w:r>
      <w:r w:rsidR="00660EE2">
        <w:rPr>
          <w:rtl/>
        </w:rPr>
        <w:t xml:space="preserve"> للنيابة العامة. غير أنها تطلب معلومات عن التدابير التي اتخذها مكتب المدعي الخاص، بما</w:t>
      </w:r>
      <w:r w:rsidR="006579F6">
        <w:rPr>
          <w:rFonts w:hint="cs"/>
          <w:rtl/>
        </w:rPr>
        <w:t> </w:t>
      </w:r>
      <w:r w:rsidR="00660EE2">
        <w:rPr>
          <w:rtl/>
        </w:rPr>
        <w:t xml:space="preserve">في ذلك معلومات عن عدد القضايا التي أُنجز فيها تحقيق وعن الملاحقات المنفذة والإدانات والعقوبات الصادرة. </w:t>
      </w:r>
    </w:p>
    <w:p w14:paraId="0278C04A" w14:textId="1FB91CC4" w:rsidR="00660EE2" w:rsidRPr="006579F6" w:rsidRDefault="004710F9" w:rsidP="00660EE2">
      <w:pPr>
        <w:pStyle w:val="SingleTxtGA"/>
        <w:rPr>
          <w:spacing w:val="-5"/>
          <w:rtl/>
        </w:rPr>
      </w:pPr>
      <w:r>
        <w:rPr>
          <w:spacing w:val="-2"/>
          <w:rtl/>
        </w:rPr>
        <w:tab/>
      </w:r>
      <w:r w:rsidR="00660EE2" w:rsidRPr="00D658E9">
        <w:rPr>
          <w:spacing w:val="-2"/>
          <w:rtl/>
        </w:rPr>
        <w:t>وتحيط اللجنة علماً بالبيانات المتعلقة بالاعتداءات على المدافعين عن حقوق الإنسان والصحفيين والنقابيين</w:t>
      </w:r>
      <w:r w:rsidR="00660EE2">
        <w:rPr>
          <w:rtl/>
        </w:rPr>
        <w:t xml:space="preserve"> والناشطين في مجال البيئة وأفراد الشعوب الأصلية </w:t>
      </w:r>
      <w:proofErr w:type="spellStart"/>
      <w:r w:rsidR="00660EE2">
        <w:rPr>
          <w:rtl/>
        </w:rPr>
        <w:t>والمثليات</w:t>
      </w:r>
      <w:proofErr w:type="spellEnd"/>
      <w:r w:rsidR="00660EE2">
        <w:rPr>
          <w:rtl/>
        </w:rPr>
        <w:t xml:space="preserve"> والمثليين ومزدوجي الميل الجنسي </w:t>
      </w:r>
      <w:r w:rsidR="00660EE2" w:rsidRPr="006579F6">
        <w:rPr>
          <w:spacing w:val="-5"/>
          <w:rtl/>
        </w:rPr>
        <w:t xml:space="preserve">ومغايري الهوية الجنسانية وحاملي صفات الجنسين، وبالاغتيالات التي حدثت في صفوفهم. وتطلب معلومات محدّثة عن إنشاء النيابة العامة قاعدة بيانات تضمن احترام الهوية الجنسانية للمشتكين منذ لحظة تقديم شكواهم. </w:t>
      </w:r>
    </w:p>
    <w:p w14:paraId="6D758556" w14:textId="1C8151DD" w:rsidR="00660EE2" w:rsidRPr="008D25E3" w:rsidRDefault="004710F9" w:rsidP="004710F9">
      <w:pPr>
        <w:pStyle w:val="H23GA"/>
        <w:rPr>
          <w:highlight w:val="lightGray"/>
          <w:rtl/>
        </w:rPr>
      </w:pPr>
      <w:r w:rsidRPr="008D25E3">
        <w:rPr>
          <w:highlight w:val="lightGray"/>
          <w:rtl/>
        </w:rPr>
        <w:tab/>
      </w:r>
      <w:r w:rsidRPr="008D25E3">
        <w:rPr>
          <w:highlight w:val="lightGray"/>
          <w:rtl/>
        </w:rPr>
        <w:tab/>
      </w:r>
      <w:r w:rsidR="00660EE2" w:rsidRPr="008D25E3">
        <w:rPr>
          <w:b w:val="0"/>
          <w:bCs w:val="0"/>
          <w:highlight w:val="lightGray"/>
          <w:rtl/>
        </w:rPr>
        <w:t>[</w:t>
      </w:r>
      <w:r w:rsidR="00660EE2" w:rsidRPr="008D25E3">
        <w:rPr>
          <w:highlight w:val="lightGray"/>
          <w:rtl/>
        </w:rPr>
        <w:t>جيم</w:t>
      </w:r>
      <w:r w:rsidR="00660EE2" w:rsidRPr="008D25E3">
        <w:rPr>
          <w:b w:val="0"/>
          <w:bCs w:val="0"/>
          <w:highlight w:val="lightGray"/>
          <w:rtl/>
        </w:rPr>
        <w:t>]</w:t>
      </w:r>
      <w:r w:rsidR="00660EE2" w:rsidRPr="008D25E3">
        <w:rPr>
          <w:highlight w:val="lightGray"/>
          <w:rtl/>
        </w:rPr>
        <w:t xml:space="preserve">: </w:t>
      </w:r>
      <w:r w:rsidR="00660EE2" w:rsidRPr="004710F9">
        <w:rPr>
          <w:b w:val="0"/>
          <w:bCs w:val="0"/>
          <w:rtl/>
        </w:rPr>
        <w:t>(ب)، (ج)، (ه)</w:t>
      </w:r>
    </w:p>
    <w:p w14:paraId="508925C3" w14:textId="282E4BF3" w:rsidR="00660EE2" w:rsidRDefault="004710F9" w:rsidP="006579F6">
      <w:pPr>
        <w:pStyle w:val="SingleTxtGA"/>
        <w:spacing w:line="346" w:lineRule="exact"/>
        <w:rPr>
          <w:rtl/>
        </w:rPr>
      </w:pPr>
      <w:r>
        <w:rPr>
          <w:rtl/>
        </w:rPr>
        <w:tab/>
      </w:r>
      <w:r w:rsidR="00660EE2" w:rsidRPr="006579F6">
        <w:rPr>
          <w:spacing w:val="-5"/>
          <w:rtl/>
        </w:rPr>
        <w:t>تحيط اللجنة علماً بالمعلومات التي قدمتها الدولة، لكنها تطلب معلومات دقيقة عن برامج التدريب</w:t>
      </w:r>
      <w:r w:rsidR="00660EE2">
        <w:rPr>
          <w:rtl/>
        </w:rPr>
        <w:t xml:space="preserve"> والتثقيف التي نُفذت منذ اعتماد اللجنة ملاحظاتها الختامية. وتكرر اللجنة توصياتها. </w:t>
      </w:r>
    </w:p>
    <w:p w14:paraId="387A7B70" w14:textId="4C8C881C" w:rsidR="00660EE2" w:rsidRDefault="004710F9" w:rsidP="006579F6">
      <w:pPr>
        <w:pStyle w:val="SingleTxtGA"/>
        <w:spacing w:line="346" w:lineRule="exact"/>
        <w:rPr>
          <w:rtl/>
        </w:rPr>
      </w:pPr>
      <w:r>
        <w:rPr>
          <w:rtl/>
        </w:rPr>
        <w:tab/>
      </w:r>
      <w:r w:rsidR="00660EE2">
        <w:rPr>
          <w:rtl/>
        </w:rPr>
        <w:t>وتشير اللجنة إلى أنه من غير الواضح ما إذا كانت كتيبات النيابة العامة قد نُشرت بعد اعتماد اللجنة لملاحظاتها الختامية، ولذلك تطلب معلومات في هذا الصدد. وتطلب أيضاً معلومات عن التدابير المتخذة من أجل ‘</w:t>
      </w:r>
      <w:proofErr w:type="gramStart"/>
      <w:r w:rsidR="00660EE2" w:rsidRPr="008D25E3">
        <w:rPr>
          <w:highlight w:val="yellow"/>
          <w:rtl/>
        </w:rPr>
        <w:t>1</w:t>
      </w:r>
      <w:r w:rsidR="00660EE2">
        <w:rPr>
          <w:rtl/>
        </w:rPr>
        <w:t>‘ ضمان</w:t>
      </w:r>
      <w:proofErr w:type="gramEnd"/>
      <w:r w:rsidR="00660EE2">
        <w:rPr>
          <w:rtl/>
        </w:rPr>
        <w:t xml:space="preserve"> التحقيق على النحو الواجب في أعمال العنف والتهديدات التي يتعرض لها المدافعون عن حقوق الإنسان وعدم معالجتها كجرائم عادية؛ و‘</w:t>
      </w:r>
      <w:r w:rsidR="00660EE2" w:rsidRPr="008D25E3">
        <w:rPr>
          <w:highlight w:val="yellow"/>
          <w:rtl/>
        </w:rPr>
        <w:t>2</w:t>
      </w:r>
      <w:r w:rsidR="00660EE2">
        <w:rPr>
          <w:rtl/>
        </w:rPr>
        <w:t>‘ توسيع نطاق اختصاص وحدة حماية المدافعين عن حقوق الإنسان ليشمل الجرائم التي يرتكبها الأفراد بصفتهم الخاصة</w:t>
      </w:r>
      <w:r w:rsidR="00075536">
        <w:rPr>
          <w:rFonts w:hint="cs"/>
          <w:rtl/>
        </w:rPr>
        <w:t>.</w:t>
      </w:r>
    </w:p>
    <w:p w14:paraId="4DDE4A1C" w14:textId="795F97BC" w:rsidR="00660EE2" w:rsidRDefault="004710F9" w:rsidP="006579F6">
      <w:pPr>
        <w:pStyle w:val="SingleTxtGA"/>
        <w:spacing w:line="346" w:lineRule="exact"/>
        <w:rPr>
          <w:rtl/>
        </w:rPr>
      </w:pPr>
      <w:r>
        <w:rPr>
          <w:rtl/>
        </w:rPr>
        <w:tab/>
      </w:r>
      <w:r w:rsidR="00660EE2">
        <w:rPr>
          <w:rtl/>
        </w:rPr>
        <w:t>وتأسف اللجنة لعدم اتخاذ تدابير لإلغاء الصفة الجنائية للتشهير و/أو ضمان قصر اللجوء إلى القانون الجنائي في أشد الحالات خطورة. وتكرر اللجنة توصياتها.</w:t>
      </w:r>
    </w:p>
    <w:p w14:paraId="63CDE684" w14:textId="77777777" w:rsidR="00660EE2" w:rsidRPr="008D25E3" w:rsidRDefault="00660EE2" w:rsidP="006579F6">
      <w:pPr>
        <w:pStyle w:val="H23GA"/>
        <w:spacing w:line="346" w:lineRule="exact"/>
        <w:rPr>
          <w:highlight w:val="lightGray"/>
          <w:rtl/>
        </w:rPr>
      </w:pPr>
      <w:r w:rsidRPr="008D25E3">
        <w:rPr>
          <w:highlight w:val="lightGray"/>
          <w:rtl/>
        </w:rPr>
        <w:tab/>
      </w:r>
      <w:r w:rsidRPr="008D25E3">
        <w:rPr>
          <w:highlight w:val="lightGray"/>
          <w:rtl/>
        </w:rPr>
        <w:tab/>
        <w:t xml:space="preserve">الفقرة </w:t>
      </w:r>
      <w:r w:rsidRPr="008D25E3">
        <w:rPr>
          <w:highlight w:val="yellow"/>
          <w:rtl/>
        </w:rPr>
        <w:t>47</w:t>
      </w:r>
      <w:r w:rsidRPr="008D25E3">
        <w:rPr>
          <w:highlight w:val="lightGray"/>
          <w:rtl/>
        </w:rPr>
        <w:t>: حقوق الأشخاص المنتمين إلى أقليات</w:t>
      </w:r>
    </w:p>
    <w:p w14:paraId="6D1147B1" w14:textId="426D7B9E" w:rsidR="00660EE2" w:rsidRPr="00CA796D" w:rsidRDefault="004710F9" w:rsidP="006579F6">
      <w:pPr>
        <w:pStyle w:val="SingleTxtGA"/>
        <w:spacing w:line="346" w:lineRule="exact"/>
        <w:rPr>
          <w:rFonts w:ascii="Times New Roman Bold" w:hAnsi="Times New Roman Bold"/>
          <w:b/>
          <w:bCs/>
          <w:spacing w:val="2"/>
          <w:highlight w:val="lightGray"/>
          <w:rtl/>
        </w:rPr>
      </w:pPr>
      <w:r w:rsidRPr="008D25E3">
        <w:rPr>
          <w:b/>
          <w:bCs/>
          <w:highlight w:val="lightGray"/>
          <w:rtl/>
        </w:rPr>
        <w:tab/>
      </w:r>
      <w:r w:rsidR="00660EE2" w:rsidRPr="008D25E3">
        <w:rPr>
          <w:b/>
          <w:bCs/>
          <w:highlight w:val="lightGray"/>
          <w:rtl/>
        </w:rPr>
        <w:t xml:space="preserve">ينبغي للدولة الطرف أن تعجل بسن تشريع وطني يوجب إجراء مشاورات مع الشعوب الأصلية وسكان هندوراس المنحدرين من أصل أفريقي للحصول على موافقتهم الحرة والمستنيرة قبل اعتماد وتطبيق أي تدبير قد يكون له تأثير كبير على أسلوب حياتهم وثقافتهم، وضمان أن يكون القانون منسجما تماماً مع العهد والمعايير الدولية الأخرى ذات الصلة. وإضافة إلى ذلك، ينبغي للدولة الطرف أن توفر الحماية الفعالة للشعوب الأصلية من جميع أعمال العنف وأن تكفل تمتعها الكامل بحقوقها، بما في ذلك حقوقها المتعلقة بالأراضي. وفي هذا الصدد، ينبغي للدولة الطرف أن تعزز قدرة مكتب المدعي الخاص المعني بالجماعات الإثنية وأن توفر التدريب في مجال حقوق الشعوب الأصلية للموظفين المكلفين بإنفاذ القوانين والأفراد العسكريين وموظفي شركات الأمن الخاص والقضاة ووكلاء </w:t>
      </w:r>
      <w:r w:rsidR="00660EE2" w:rsidRPr="00CA796D">
        <w:rPr>
          <w:rFonts w:ascii="Times New Roman Bold" w:hAnsi="Times New Roman Bold"/>
          <w:b/>
          <w:bCs/>
          <w:spacing w:val="2"/>
          <w:highlight w:val="lightGray"/>
          <w:rtl/>
        </w:rPr>
        <w:t>النيابة. وينبغي للدولة الطرف أن تقدم جبر</w:t>
      </w:r>
      <w:r w:rsidR="00CA796D" w:rsidRPr="00CA796D">
        <w:rPr>
          <w:rFonts w:ascii="Times New Roman Bold" w:hAnsi="Times New Roman Bold"/>
          <w:b/>
          <w:bCs/>
          <w:spacing w:val="2"/>
          <w:highlight w:val="lightGray"/>
          <w:rtl/>
        </w:rPr>
        <w:t xml:space="preserve">اً </w:t>
      </w:r>
      <w:r w:rsidR="00660EE2" w:rsidRPr="00CA796D">
        <w:rPr>
          <w:rFonts w:ascii="Times New Roman Bold" w:hAnsi="Times New Roman Bold"/>
          <w:b/>
          <w:bCs/>
          <w:spacing w:val="2"/>
          <w:highlight w:val="lightGray"/>
          <w:rtl/>
        </w:rPr>
        <w:t xml:space="preserve">كاملاً إلى مجتمعات بونتا </w:t>
      </w:r>
      <w:proofErr w:type="spellStart"/>
      <w:r w:rsidR="00660EE2" w:rsidRPr="00CA796D">
        <w:rPr>
          <w:rFonts w:ascii="Times New Roman Bold" w:hAnsi="Times New Roman Bold"/>
          <w:b/>
          <w:bCs/>
          <w:spacing w:val="2"/>
          <w:highlight w:val="lightGray"/>
          <w:rtl/>
        </w:rPr>
        <w:t>بييدرا</w:t>
      </w:r>
      <w:proofErr w:type="spellEnd"/>
      <w:r w:rsidR="00660EE2" w:rsidRPr="00CA796D">
        <w:rPr>
          <w:rFonts w:ascii="Times New Roman Bold" w:hAnsi="Times New Roman Bold"/>
          <w:b/>
          <w:bCs/>
          <w:spacing w:val="2"/>
          <w:highlight w:val="lightGray"/>
          <w:rtl/>
        </w:rPr>
        <w:t xml:space="preserve"> </w:t>
      </w:r>
      <w:proofErr w:type="spellStart"/>
      <w:r w:rsidR="00660EE2" w:rsidRPr="00CA796D">
        <w:rPr>
          <w:rFonts w:ascii="Times New Roman Bold" w:hAnsi="Times New Roman Bold"/>
          <w:b/>
          <w:bCs/>
          <w:spacing w:val="2"/>
          <w:highlight w:val="lightGray"/>
          <w:rtl/>
        </w:rPr>
        <w:t>وتريونفو</w:t>
      </w:r>
      <w:proofErr w:type="spellEnd"/>
      <w:r w:rsidR="00660EE2" w:rsidRPr="00CA796D">
        <w:rPr>
          <w:rFonts w:ascii="Times New Roman Bold" w:hAnsi="Times New Roman Bold"/>
          <w:b/>
          <w:bCs/>
          <w:spacing w:val="2"/>
          <w:highlight w:val="lightGray"/>
          <w:rtl/>
        </w:rPr>
        <w:t xml:space="preserve"> دي لا كروث.</w:t>
      </w:r>
    </w:p>
    <w:p w14:paraId="4AF8472A" w14:textId="77777777" w:rsidR="00660EE2" w:rsidRPr="008D25E3" w:rsidRDefault="00660EE2" w:rsidP="006579F6">
      <w:pPr>
        <w:pStyle w:val="H23GA"/>
        <w:spacing w:line="346" w:lineRule="exact"/>
        <w:rPr>
          <w:highlight w:val="lightGray"/>
          <w:rtl/>
        </w:rPr>
      </w:pPr>
      <w:r w:rsidRPr="008D25E3">
        <w:rPr>
          <w:highlight w:val="lightGray"/>
          <w:rtl/>
        </w:rPr>
        <w:tab/>
      </w:r>
      <w:r w:rsidRPr="008D25E3">
        <w:rPr>
          <w:highlight w:val="lightGray"/>
          <w:rtl/>
        </w:rPr>
        <w:tab/>
        <w:t xml:space="preserve">ملخص ردّ الدولة الطرف </w:t>
      </w:r>
    </w:p>
    <w:p w14:paraId="31CEE575" w14:textId="19CA11D8" w:rsidR="00660EE2" w:rsidRPr="006579F6" w:rsidRDefault="004710F9" w:rsidP="006579F6">
      <w:pPr>
        <w:pStyle w:val="SingleTxtGA"/>
        <w:spacing w:line="346" w:lineRule="exact"/>
        <w:rPr>
          <w:spacing w:val="-2"/>
          <w:rtl/>
        </w:rPr>
      </w:pPr>
      <w:r>
        <w:rPr>
          <w:rtl/>
        </w:rPr>
        <w:tab/>
      </w:r>
      <w:r w:rsidR="00660EE2">
        <w:rPr>
          <w:rtl/>
        </w:rPr>
        <w:t xml:space="preserve">في أيار/مايو </w:t>
      </w:r>
      <w:r w:rsidR="00660EE2" w:rsidRPr="008D25E3">
        <w:rPr>
          <w:highlight w:val="yellow"/>
          <w:rtl/>
        </w:rPr>
        <w:t>2018</w:t>
      </w:r>
      <w:r w:rsidR="00660EE2">
        <w:rPr>
          <w:rtl/>
        </w:rPr>
        <w:t xml:space="preserve">، قدم مكتب الرئيس مشروع مرسوم بشأن قانون التشاور الحر والمسبق </w:t>
      </w:r>
      <w:r w:rsidR="00660EE2" w:rsidRPr="006579F6">
        <w:rPr>
          <w:spacing w:val="-2"/>
          <w:rtl/>
        </w:rPr>
        <w:t xml:space="preserve">والمستنير إلى الكونغرس الوطني لمناقشته وإقراره. وأدلى الكونغرس الوطني بتعليقات بشأن مشروع القانون. </w:t>
      </w:r>
    </w:p>
    <w:p w14:paraId="6945931E" w14:textId="781B4310" w:rsidR="00660EE2" w:rsidRDefault="004710F9" w:rsidP="006579F6">
      <w:pPr>
        <w:pStyle w:val="SingleTxtGA"/>
        <w:spacing w:line="346" w:lineRule="exact"/>
        <w:rPr>
          <w:rtl/>
        </w:rPr>
      </w:pPr>
      <w:r>
        <w:rPr>
          <w:rtl/>
        </w:rPr>
        <w:tab/>
      </w:r>
      <w:r w:rsidR="00660EE2">
        <w:rPr>
          <w:rtl/>
        </w:rPr>
        <w:t xml:space="preserve">وفيما يتعلق بحماية الشعوب الأصلية والسكان </w:t>
      </w:r>
      <w:proofErr w:type="spellStart"/>
      <w:r w:rsidR="00660EE2">
        <w:rPr>
          <w:rtl/>
        </w:rPr>
        <w:t>الهندوراسيين</w:t>
      </w:r>
      <w:proofErr w:type="spellEnd"/>
      <w:r w:rsidR="00660EE2">
        <w:rPr>
          <w:rtl/>
        </w:rPr>
        <w:t xml:space="preserve"> من أصل أفريقي، وجّهت النيابة العامة تهماً جنائية إلى موظفين عموميين انتهكوا الحق في التشاور المسبق مع الشعوب الأصلية والسكان </w:t>
      </w:r>
      <w:proofErr w:type="spellStart"/>
      <w:r w:rsidR="00660EE2">
        <w:rPr>
          <w:rtl/>
        </w:rPr>
        <w:t>الهندوراسيين</w:t>
      </w:r>
      <w:proofErr w:type="spellEnd"/>
      <w:r w:rsidR="00660EE2">
        <w:rPr>
          <w:rtl/>
        </w:rPr>
        <w:t xml:space="preserve"> من أصل أفريقي. ووردت </w:t>
      </w:r>
      <w:r w:rsidR="00660EE2" w:rsidRPr="008D25E3">
        <w:rPr>
          <w:highlight w:val="yellow"/>
          <w:rtl/>
        </w:rPr>
        <w:t>11</w:t>
      </w:r>
      <w:r w:rsidR="00660EE2">
        <w:rPr>
          <w:rtl/>
        </w:rPr>
        <w:t xml:space="preserve"> شكوى في الفترة </w:t>
      </w:r>
      <w:r w:rsidR="00660EE2" w:rsidRPr="008D25E3">
        <w:rPr>
          <w:highlight w:val="yellow"/>
          <w:rtl/>
        </w:rPr>
        <w:t>2017</w:t>
      </w:r>
      <w:r w:rsidR="00660EE2">
        <w:rPr>
          <w:rtl/>
        </w:rPr>
        <w:t>-</w:t>
      </w:r>
      <w:r w:rsidR="00660EE2" w:rsidRPr="008D25E3">
        <w:rPr>
          <w:highlight w:val="yellow"/>
          <w:rtl/>
        </w:rPr>
        <w:t>2018</w:t>
      </w:r>
      <w:r w:rsidR="00660EE2">
        <w:rPr>
          <w:rtl/>
        </w:rPr>
        <w:t xml:space="preserve">. </w:t>
      </w:r>
    </w:p>
    <w:p w14:paraId="2D29C908" w14:textId="48E8B479" w:rsidR="00660EE2" w:rsidRDefault="004710F9" w:rsidP="006579F6">
      <w:pPr>
        <w:pStyle w:val="SingleTxtGA"/>
        <w:spacing w:line="346" w:lineRule="exact"/>
        <w:rPr>
          <w:rtl/>
        </w:rPr>
      </w:pPr>
      <w:r>
        <w:rPr>
          <w:rtl/>
        </w:rPr>
        <w:tab/>
      </w:r>
      <w:r w:rsidR="00660EE2">
        <w:rPr>
          <w:rtl/>
        </w:rPr>
        <w:t xml:space="preserve">وأشارت الدولة الطرف إلى إجراء تدريب متعلق بموضوع اتفاقية منظمة العمل الدولية بشأن الشعوب الأصلية والقبلية لعام </w:t>
      </w:r>
      <w:r w:rsidR="00660EE2" w:rsidRPr="008D25E3">
        <w:rPr>
          <w:highlight w:val="yellow"/>
          <w:rtl/>
        </w:rPr>
        <w:t>1989</w:t>
      </w:r>
      <w:r w:rsidR="00660EE2">
        <w:rPr>
          <w:rtl/>
        </w:rPr>
        <w:t xml:space="preserve"> (رقم </w:t>
      </w:r>
      <w:r w:rsidR="00660EE2" w:rsidRPr="008D25E3">
        <w:rPr>
          <w:highlight w:val="yellow"/>
          <w:rtl/>
        </w:rPr>
        <w:t>169</w:t>
      </w:r>
      <w:r w:rsidR="00660EE2">
        <w:rPr>
          <w:rtl/>
        </w:rPr>
        <w:t xml:space="preserve">)، وتلقى التدريب </w:t>
      </w:r>
      <w:r w:rsidR="00660EE2" w:rsidRPr="008D25E3">
        <w:rPr>
          <w:highlight w:val="yellow"/>
          <w:rtl/>
        </w:rPr>
        <w:t>50</w:t>
      </w:r>
      <w:r w:rsidR="00660EE2">
        <w:rPr>
          <w:rtl/>
        </w:rPr>
        <w:t xml:space="preserve"> ممثلاً عن المؤسسات والسلطات المحلية في مقاطعة </w:t>
      </w:r>
      <w:proofErr w:type="spellStart"/>
      <w:r w:rsidR="00660EE2">
        <w:rPr>
          <w:rtl/>
        </w:rPr>
        <w:t>لاباث</w:t>
      </w:r>
      <w:proofErr w:type="spellEnd"/>
      <w:r w:rsidR="00660EE2">
        <w:rPr>
          <w:rtl/>
        </w:rPr>
        <w:t xml:space="preserve"> في عام </w:t>
      </w:r>
      <w:r w:rsidR="00660EE2" w:rsidRPr="008D25E3">
        <w:rPr>
          <w:highlight w:val="yellow"/>
          <w:rtl/>
        </w:rPr>
        <w:t>2017</w:t>
      </w:r>
      <w:r w:rsidR="00660EE2">
        <w:rPr>
          <w:rtl/>
        </w:rPr>
        <w:t xml:space="preserve"> وأفراد من القوات المسلحة في مقاطعة </w:t>
      </w:r>
      <w:proofErr w:type="spellStart"/>
      <w:r w:rsidR="00660EE2">
        <w:rPr>
          <w:rtl/>
        </w:rPr>
        <w:t>غراسياس</w:t>
      </w:r>
      <w:proofErr w:type="spellEnd"/>
      <w:r w:rsidR="00660EE2">
        <w:rPr>
          <w:rtl/>
        </w:rPr>
        <w:t xml:space="preserve"> </w:t>
      </w:r>
      <w:proofErr w:type="spellStart"/>
      <w:r w:rsidR="00660EE2">
        <w:rPr>
          <w:rtl/>
        </w:rPr>
        <w:t>أديوس</w:t>
      </w:r>
      <w:proofErr w:type="spellEnd"/>
      <w:r w:rsidR="00660EE2">
        <w:rPr>
          <w:rtl/>
        </w:rPr>
        <w:t xml:space="preserve"> في عام </w:t>
      </w:r>
      <w:r w:rsidR="00660EE2" w:rsidRPr="008D25E3">
        <w:rPr>
          <w:highlight w:val="yellow"/>
          <w:rtl/>
        </w:rPr>
        <w:t>2018</w:t>
      </w:r>
      <w:r w:rsidR="00660EE2">
        <w:rPr>
          <w:rtl/>
        </w:rPr>
        <w:t xml:space="preserve">. </w:t>
      </w:r>
    </w:p>
    <w:p w14:paraId="3711F74C" w14:textId="226062F2" w:rsidR="00660EE2" w:rsidRDefault="004710F9" w:rsidP="006579F6">
      <w:pPr>
        <w:pStyle w:val="SingleTxtGA"/>
        <w:spacing w:line="346" w:lineRule="exact"/>
        <w:rPr>
          <w:rtl/>
        </w:rPr>
      </w:pPr>
      <w:r>
        <w:rPr>
          <w:rtl/>
        </w:rPr>
        <w:tab/>
      </w:r>
      <w:r w:rsidR="00660EE2">
        <w:rPr>
          <w:rtl/>
        </w:rPr>
        <w:t xml:space="preserve">وفيما يتعلق بجبر الضرر الذي تعرضت له مجتمعات بونتا </w:t>
      </w:r>
      <w:proofErr w:type="spellStart"/>
      <w:r w:rsidR="00660EE2">
        <w:rPr>
          <w:rtl/>
        </w:rPr>
        <w:t>بييدرا</w:t>
      </w:r>
      <w:proofErr w:type="spellEnd"/>
      <w:r w:rsidR="00660EE2">
        <w:rPr>
          <w:rtl/>
        </w:rPr>
        <w:t xml:space="preserve"> </w:t>
      </w:r>
      <w:proofErr w:type="spellStart"/>
      <w:r w:rsidR="00660EE2">
        <w:rPr>
          <w:rtl/>
        </w:rPr>
        <w:t>وتريونفو</w:t>
      </w:r>
      <w:proofErr w:type="spellEnd"/>
      <w:r w:rsidR="00660EE2">
        <w:rPr>
          <w:rtl/>
        </w:rPr>
        <w:t xml:space="preserve"> دي لا كروث، أعدت اللجنة المشتركة بين الوكالات المعنية بإنفاذ الأحكام الدولية، في كانون الأول/ديسمبر </w:t>
      </w:r>
      <w:r w:rsidR="00660EE2" w:rsidRPr="008D25E3">
        <w:rPr>
          <w:highlight w:val="yellow"/>
          <w:rtl/>
        </w:rPr>
        <w:t>2017</w:t>
      </w:r>
      <w:r w:rsidR="00660EE2">
        <w:rPr>
          <w:rtl/>
        </w:rPr>
        <w:t xml:space="preserve">، خطة عمل جديدة قُدِّمت إلى محكمة البلدان الأمريكية لحقوق الإنسان، ومن ثم أحيلت إلى المجتمع المعني. وأوردت الدولة الطرف عدداً من تدابير الجبر التي نفذت بالفعل. </w:t>
      </w:r>
    </w:p>
    <w:p w14:paraId="4748EBB6" w14:textId="66C0A159" w:rsidR="00660EE2" w:rsidRDefault="004710F9" w:rsidP="006579F6">
      <w:pPr>
        <w:pStyle w:val="SingleTxtGA"/>
        <w:spacing w:line="346" w:lineRule="exact"/>
        <w:rPr>
          <w:rtl/>
        </w:rPr>
      </w:pPr>
      <w:r>
        <w:rPr>
          <w:rtl/>
        </w:rPr>
        <w:tab/>
      </w:r>
      <w:r w:rsidR="00660EE2">
        <w:rPr>
          <w:rtl/>
        </w:rPr>
        <w:t xml:space="preserve">وعُلِّقت في الوقت الراهن جميع الأنشطة التي نُفذت دون تشاور مسبق في سياق مشروع بونتا </w:t>
      </w:r>
      <w:proofErr w:type="spellStart"/>
      <w:r w:rsidR="00660EE2">
        <w:rPr>
          <w:rtl/>
        </w:rPr>
        <w:t>بييدرا</w:t>
      </w:r>
      <w:proofErr w:type="spellEnd"/>
      <w:r w:rsidR="00660EE2">
        <w:rPr>
          <w:rtl/>
        </w:rPr>
        <w:t xml:space="preserve"> الثاني. وأطلع المجتمع المعني على هذا القرار في أيار/مايو </w:t>
      </w:r>
      <w:r w:rsidR="00660EE2" w:rsidRPr="008D25E3">
        <w:rPr>
          <w:highlight w:val="yellow"/>
          <w:rtl/>
        </w:rPr>
        <w:t>2017</w:t>
      </w:r>
      <w:r w:rsidR="00660EE2">
        <w:rPr>
          <w:rtl/>
        </w:rPr>
        <w:t>.</w:t>
      </w:r>
    </w:p>
    <w:p w14:paraId="53877B6F" w14:textId="77777777" w:rsidR="00660EE2" w:rsidRPr="008D25E3" w:rsidRDefault="00660EE2" w:rsidP="002B551F">
      <w:pPr>
        <w:pStyle w:val="H23GA"/>
        <w:rPr>
          <w:rFonts w:hint="cs"/>
          <w:highlight w:val="lightGray"/>
          <w:rtl/>
        </w:rPr>
      </w:pPr>
      <w:r w:rsidRPr="008D25E3">
        <w:rPr>
          <w:highlight w:val="lightGray"/>
          <w:rtl/>
        </w:rPr>
        <w:tab/>
      </w:r>
      <w:r w:rsidRPr="008D25E3">
        <w:rPr>
          <w:highlight w:val="lightGray"/>
          <w:rtl/>
        </w:rPr>
        <w:tab/>
        <w:t>تقييم اللجنة</w:t>
      </w:r>
    </w:p>
    <w:p w14:paraId="0F9734C2" w14:textId="06FABF75" w:rsidR="00660EE2" w:rsidRDefault="004710F9" w:rsidP="00660EE2">
      <w:pPr>
        <w:pStyle w:val="SingleTxtGA"/>
        <w:rPr>
          <w:rtl/>
        </w:rPr>
      </w:pPr>
      <w:r w:rsidRPr="008D25E3">
        <w:rPr>
          <w:b/>
          <w:bCs/>
          <w:highlight w:val="lightGray"/>
          <w:rtl/>
        </w:rPr>
        <w:tab/>
      </w:r>
      <w:r w:rsidR="00660EE2" w:rsidRPr="008D25E3">
        <w:rPr>
          <w:highlight w:val="lightGray"/>
          <w:rtl/>
        </w:rPr>
        <w:t>[</w:t>
      </w:r>
      <w:r w:rsidR="00660EE2" w:rsidRPr="008D25E3">
        <w:rPr>
          <w:b/>
          <w:bCs/>
          <w:highlight w:val="lightGray"/>
          <w:rtl/>
        </w:rPr>
        <w:t>ب</w:t>
      </w:r>
      <w:r w:rsidR="00660EE2" w:rsidRPr="008D25E3">
        <w:rPr>
          <w:highlight w:val="lightGray"/>
          <w:rtl/>
        </w:rPr>
        <w:t>]</w:t>
      </w:r>
      <w:r w:rsidR="00660EE2">
        <w:rPr>
          <w:rtl/>
        </w:rPr>
        <w:t>:</w:t>
      </w:r>
      <w:r w:rsidR="00660EE2">
        <w:rPr>
          <w:rtl/>
        </w:rPr>
        <w:tab/>
        <w:t xml:space="preserve">تلاحظ اللجنة أنه في أيار/مايو </w:t>
      </w:r>
      <w:r w:rsidR="00660EE2" w:rsidRPr="008D25E3">
        <w:rPr>
          <w:highlight w:val="yellow"/>
          <w:rtl/>
        </w:rPr>
        <w:t>2018</w:t>
      </w:r>
      <w:r w:rsidR="00660EE2">
        <w:rPr>
          <w:rtl/>
        </w:rPr>
        <w:t xml:space="preserve"> قُدِّم مشروع مرسوم بشأن قانون التشاور الحر </w:t>
      </w:r>
      <w:r w:rsidR="00660EE2" w:rsidRPr="006579F6">
        <w:rPr>
          <w:spacing w:val="-4"/>
          <w:rtl/>
        </w:rPr>
        <w:t>والمسبق والمستنير إلى الكونغرس الوطني لمناقشته والموافقة عليه. وتطلب اللجنة معلومات محدّثة عن عملية</w:t>
      </w:r>
      <w:r w:rsidR="00660EE2">
        <w:rPr>
          <w:rtl/>
        </w:rPr>
        <w:t xml:space="preserve"> اعتماد مشروع القانون وما إذا كان يمتثل للعهد وغيره من المعايير الدولية ذات الصلة. </w:t>
      </w:r>
    </w:p>
    <w:p w14:paraId="36CFAB60" w14:textId="5C8FA319" w:rsidR="00660EE2" w:rsidRDefault="004710F9" w:rsidP="00660EE2">
      <w:pPr>
        <w:pStyle w:val="SingleTxtGA"/>
        <w:rPr>
          <w:rtl/>
        </w:rPr>
      </w:pPr>
      <w:r>
        <w:rPr>
          <w:rtl/>
        </w:rPr>
        <w:tab/>
      </w:r>
      <w:r w:rsidR="00660EE2">
        <w:rPr>
          <w:rtl/>
        </w:rPr>
        <w:t xml:space="preserve">وتحيط اللجنة علماً بالمعلومات المتعلقة بالتدابير المتخذة لحماية الشعوب الأصلية. وتطلب </w:t>
      </w:r>
      <w:r w:rsidR="00660EE2" w:rsidRPr="006579F6">
        <w:rPr>
          <w:spacing w:val="-4"/>
          <w:rtl/>
        </w:rPr>
        <w:t>معلومات إضافية عن التدابير التي اتخذتها النيابة العامة منذ اعتماد اللجنة ملاحظاتها الختامية، ومعلومات</w:t>
      </w:r>
      <w:r w:rsidR="00660EE2">
        <w:rPr>
          <w:rtl/>
        </w:rPr>
        <w:t xml:space="preserve"> </w:t>
      </w:r>
      <w:r w:rsidR="00660EE2" w:rsidRPr="006579F6">
        <w:rPr>
          <w:spacing w:val="-4"/>
          <w:rtl/>
        </w:rPr>
        <w:t xml:space="preserve">محدثة عن الشكاوى الواردة في عامي </w:t>
      </w:r>
      <w:r w:rsidR="00660EE2" w:rsidRPr="008D25E3">
        <w:rPr>
          <w:spacing w:val="-4"/>
          <w:highlight w:val="yellow"/>
          <w:rtl/>
        </w:rPr>
        <w:t>2017</w:t>
      </w:r>
      <w:r w:rsidR="00660EE2" w:rsidRPr="006579F6">
        <w:rPr>
          <w:spacing w:val="-4"/>
          <w:rtl/>
        </w:rPr>
        <w:t xml:space="preserve"> و</w:t>
      </w:r>
      <w:r w:rsidR="00660EE2" w:rsidRPr="008D25E3">
        <w:rPr>
          <w:spacing w:val="-4"/>
          <w:highlight w:val="yellow"/>
          <w:rtl/>
        </w:rPr>
        <w:t>2018</w:t>
      </w:r>
      <w:r w:rsidR="00660EE2" w:rsidRPr="006579F6">
        <w:rPr>
          <w:spacing w:val="-4"/>
          <w:rtl/>
        </w:rPr>
        <w:t>، بما في ذلك عدد القضايا التي قُدّمَت إلى المحكمة.</w:t>
      </w:r>
      <w:r w:rsidR="00660EE2">
        <w:rPr>
          <w:rtl/>
        </w:rPr>
        <w:t xml:space="preserve"> </w:t>
      </w:r>
    </w:p>
    <w:p w14:paraId="57EE64DB" w14:textId="0D70EDBF" w:rsidR="00660EE2" w:rsidRPr="006579F6" w:rsidRDefault="004710F9" w:rsidP="00660EE2">
      <w:pPr>
        <w:pStyle w:val="SingleTxtGA"/>
        <w:rPr>
          <w:spacing w:val="-4"/>
          <w:rtl/>
        </w:rPr>
      </w:pPr>
      <w:r>
        <w:rPr>
          <w:rtl/>
        </w:rPr>
        <w:tab/>
      </w:r>
      <w:r w:rsidR="00660EE2">
        <w:rPr>
          <w:rtl/>
        </w:rPr>
        <w:t xml:space="preserve">وترحب اللجنة بالمعلومات المقدمة بشأن التدريب الذي أجري. وتطلب معلومات محدثة عن </w:t>
      </w:r>
      <w:r w:rsidR="00660EE2" w:rsidRPr="006579F6">
        <w:rPr>
          <w:spacing w:val="-4"/>
          <w:rtl/>
        </w:rPr>
        <w:t>تواتر هذا التدريب وأثره وعن التدابير المتخذ</w:t>
      </w:r>
      <w:bookmarkStart w:id="0" w:name="_GoBack"/>
      <w:bookmarkEnd w:id="0"/>
      <w:r w:rsidR="00660EE2" w:rsidRPr="006579F6">
        <w:rPr>
          <w:spacing w:val="-4"/>
          <w:rtl/>
        </w:rPr>
        <w:t xml:space="preserve">ة لتعزيز قدرة مكتب المدعي الخاص المعني بالجماعات الإثنية. </w:t>
      </w:r>
    </w:p>
    <w:p w14:paraId="6F9FFD5F" w14:textId="269F1783" w:rsidR="00660EE2" w:rsidRDefault="004710F9" w:rsidP="00660EE2">
      <w:pPr>
        <w:pStyle w:val="SingleTxtGA"/>
        <w:rPr>
          <w:rtl/>
        </w:rPr>
      </w:pPr>
      <w:r>
        <w:rPr>
          <w:rtl/>
        </w:rPr>
        <w:tab/>
      </w:r>
      <w:r w:rsidR="00660EE2">
        <w:rPr>
          <w:rtl/>
        </w:rPr>
        <w:t xml:space="preserve">وتحيط اللجنة علماً بالمعلومات المقدمة بشأن تنفيذ الحكم الصادر عن محكمة البلدان الأمريكية لحقوق الإنسان بشأن مجتمعي بونتا </w:t>
      </w:r>
      <w:proofErr w:type="spellStart"/>
      <w:r w:rsidR="00660EE2">
        <w:rPr>
          <w:rtl/>
        </w:rPr>
        <w:t>بييدرا</w:t>
      </w:r>
      <w:proofErr w:type="spellEnd"/>
      <w:r w:rsidR="00660EE2">
        <w:rPr>
          <w:rtl/>
        </w:rPr>
        <w:t xml:space="preserve"> </w:t>
      </w:r>
      <w:proofErr w:type="spellStart"/>
      <w:r w:rsidR="00660EE2">
        <w:rPr>
          <w:rtl/>
        </w:rPr>
        <w:t>وتريونفو</w:t>
      </w:r>
      <w:proofErr w:type="spellEnd"/>
      <w:r w:rsidR="00660EE2">
        <w:rPr>
          <w:rtl/>
        </w:rPr>
        <w:t xml:space="preserve"> دي لا كروث. وتطلب معلومات محدّثة عما إذا كانت الدولة الطرف قد قدّمت جبر</w:t>
      </w:r>
      <w:r w:rsidR="00CA796D">
        <w:rPr>
          <w:rtl/>
        </w:rPr>
        <w:t xml:space="preserve">اً </w:t>
      </w:r>
      <w:r w:rsidR="00660EE2">
        <w:rPr>
          <w:rtl/>
        </w:rPr>
        <w:t>كاملاً لتلك المجتمعات وعن عدد الأشخاص المشمولين بهذه التدابير.</w:t>
      </w:r>
    </w:p>
    <w:p w14:paraId="67C82137" w14:textId="77777777" w:rsidR="00660EE2" w:rsidRDefault="00660EE2" w:rsidP="00660EE2">
      <w:pPr>
        <w:pStyle w:val="SingleTxtGA"/>
        <w:rPr>
          <w:rFonts w:hint="cs"/>
          <w:rtl/>
        </w:rPr>
      </w:pPr>
      <w:r w:rsidRPr="008D25E3">
        <w:rPr>
          <w:b/>
          <w:bCs/>
          <w:highlight w:val="lightGray"/>
          <w:rtl/>
        </w:rPr>
        <w:t xml:space="preserve">الإجراء </w:t>
      </w:r>
      <w:proofErr w:type="spellStart"/>
      <w:r w:rsidRPr="008D25E3">
        <w:rPr>
          <w:b/>
          <w:bCs/>
          <w:highlight w:val="lightGray"/>
          <w:rtl/>
        </w:rPr>
        <w:t>الموصى</w:t>
      </w:r>
      <w:proofErr w:type="spellEnd"/>
      <w:r w:rsidRPr="008D25E3">
        <w:rPr>
          <w:b/>
          <w:bCs/>
          <w:highlight w:val="lightGray"/>
          <w:rtl/>
        </w:rPr>
        <w:t xml:space="preserve"> به</w:t>
      </w:r>
      <w:r w:rsidRPr="00C65A36">
        <w:rPr>
          <w:rtl/>
        </w:rPr>
        <w:t xml:space="preserve">: </w:t>
      </w:r>
      <w:r>
        <w:rPr>
          <w:rtl/>
        </w:rPr>
        <w:t xml:space="preserve">ينبغي توجيه رسالة إلى الدولة الطرف لإبلاغها بوقف إجراء المتابعة. وينبغي إدراج المعلومات المطلوبة في التقرير الدوري المقبل للدولة الطرف. </w:t>
      </w:r>
    </w:p>
    <w:p w14:paraId="35D1F773" w14:textId="03AF36FE" w:rsidR="00B54045" w:rsidRDefault="00660EE2" w:rsidP="00660EE2">
      <w:pPr>
        <w:pStyle w:val="SingleTxtGA"/>
        <w:rPr>
          <w:rtl/>
        </w:rPr>
      </w:pPr>
      <w:r w:rsidRPr="008D25E3">
        <w:rPr>
          <w:b/>
          <w:bCs/>
          <w:highlight w:val="lightGray"/>
          <w:rtl/>
        </w:rPr>
        <w:t>التاريخ المقرر للتقرير الدوري المقبل</w:t>
      </w:r>
      <w:r w:rsidRPr="00C65A36">
        <w:rPr>
          <w:rtl/>
        </w:rPr>
        <w:t xml:space="preserve">: </w:t>
      </w:r>
      <w:r w:rsidRPr="008D25E3">
        <w:rPr>
          <w:highlight w:val="yellow"/>
          <w:rtl/>
        </w:rPr>
        <w:t>28</w:t>
      </w:r>
      <w:r>
        <w:rPr>
          <w:rtl/>
        </w:rPr>
        <w:t xml:space="preserve"> تموز/يوليه </w:t>
      </w:r>
      <w:r w:rsidRPr="008D25E3">
        <w:rPr>
          <w:highlight w:val="yellow"/>
          <w:rtl/>
        </w:rPr>
        <w:t>2021</w:t>
      </w:r>
      <w:r>
        <w:rPr>
          <w:rtl/>
        </w:rPr>
        <w:t>.</w:t>
      </w:r>
    </w:p>
    <w:p w14:paraId="52DEA3DF" w14:textId="49BCCA3F" w:rsidR="00660EE2" w:rsidRPr="002B551F" w:rsidRDefault="002B551F" w:rsidP="002B551F">
      <w:pPr>
        <w:pStyle w:val="SingleTxtGA"/>
        <w:jc w:val="center"/>
        <w:rPr>
          <w:u w:val="single"/>
          <w:rtl/>
        </w:rPr>
      </w:pPr>
      <w:r>
        <w:rPr>
          <w:u w:val="single"/>
          <w:rtl/>
        </w:rPr>
        <w:tab/>
      </w:r>
      <w:r>
        <w:rPr>
          <w:u w:val="single"/>
          <w:rtl/>
        </w:rPr>
        <w:tab/>
      </w:r>
      <w:r>
        <w:rPr>
          <w:u w:val="single"/>
          <w:rtl/>
        </w:rPr>
        <w:tab/>
      </w:r>
    </w:p>
    <w:sectPr w:rsidR="00660EE2" w:rsidRPr="002B551F" w:rsidSect="0000140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9D052" w14:textId="77777777" w:rsidR="00A609C3" w:rsidRPr="002901D9" w:rsidRDefault="00A609C3" w:rsidP="00DC4D4B">
      <w:pPr>
        <w:spacing w:after="60" w:line="240" w:lineRule="auto"/>
        <w:ind w:left="57"/>
        <w:rPr>
          <w:i/>
          <w:iCs/>
        </w:rPr>
      </w:pPr>
      <w:r>
        <w:rPr>
          <w:rFonts w:hint="cs"/>
          <w:i/>
          <w:iCs/>
          <w:rtl/>
        </w:rPr>
        <w:t>الحواشي</w:t>
      </w:r>
    </w:p>
  </w:endnote>
  <w:endnote w:type="continuationSeparator" w:id="0">
    <w:p w14:paraId="6E019AC8" w14:textId="77777777" w:rsidR="00A609C3" w:rsidRDefault="00A609C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35BB" w14:textId="77777777" w:rsidR="008E7F9E" w:rsidRPr="008E7F9E" w:rsidRDefault="008E7F9E" w:rsidP="008E7F9E">
    <w:pPr>
      <w:pStyle w:val="Footer"/>
      <w:tabs>
        <w:tab w:val="right" w:pos="9638"/>
      </w:tabs>
      <w:rPr>
        <w:b/>
        <w:sz w:val="18"/>
        <w:lang w:val="en-US"/>
      </w:rPr>
    </w:pPr>
    <w:r>
      <w:rPr>
        <w:lang w:val="en-US"/>
      </w:rPr>
      <w:t>GE.21-02128</w:t>
    </w:r>
    <w:r>
      <w:rPr>
        <w:lang w:val="en-US"/>
      </w:rPr>
      <w:tab/>
    </w:r>
    <w:r w:rsidRPr="008E7F9E">
      <w:rPr>
        <w:b/>
        <w:sz w:val="18"/>
        <w:lang w:val="en-US"/>
      </w:rPr>
      <w:fldChar w:fldCharType="begin"/>
    </w:r>
    <w:r w:rsidRPr="008E7F9E">
      <w:rPr>
        <w:b/>
        <w:sz w:val="18"/>
        <w:lang w:val="en-US"/>
      </w:rPr>
      <w:instrText xml:space="preserve"> PAGE  \* MERGEFORMAT </w:instrText>
    </w:r>
    <w:r w:rsidRPr="008E7F9E">
      <w:rPr>
        <w:b/>
        <w:sz w:val="18"/>
        <w:lang w:val="en-US"/>
      </w:rPr>
      <w:fldChar w:fldCharType="separate"/>
    </w:r>
    <w:r w:rsidRPr="008E7F9E">
      <w:rPr>
        <w:b/>
        <w:noProof/>
        <w:sz w:val="18"/>
        <w:lang w:val="en-US"/>
      </w:rPr>
      <w:t>2</w:t>
    </w:r>
    <w:r w:rsidRPr="008E7F9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AAA6" w14:textId="77777777" w:rsidR="006959B0" w:rsidRPr="008E7F9E" w:rsidRDefault="008E7F9E" w:rsidP="008E7F9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GE.21-02128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FF5C" w14:textId="77777777" w:rsidR="00DE50B1" w:rsidRPr="008E7F9E" w:rsidRDefault="008E7F9E" w:rsidP="008E7F9E">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6621F49B" wp14:editId="3FB1BBA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21-02128 (A)</w:t>
    </w:r>
    <w:r>
      <w:rPr>
        <w:noProof/>
        <w:sz w:val="20"/>
        <w:lang w:val="en-US"/>
      </w:rPr>
      <w:drawing>
        <wp:anchor distT="0" distB="0" distL="114300" distR="114300" simplePos="0" relativeHeight="251659264" behindDoc="0" locked="0" layoutInCell="1" allowOverlap="1" wp14:anchorId="20797567" wp14:editId="6E99A192">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8220B" w14:textId="77777777" w:rsidR="00A609C3" w:rsidRPr="000437B8" w:rsidRDefault="00A609C3" w:rsidP="00F10DAB">
      <w:pPr>
        <w:pStyle w:val="Footer"/>
        <w:bidi/>
        <w:spacing w:after="80" w:line="200" w:lineRule="exact"/>
        <w:ind w:left="680"/>
      </w:pPr>
      <w:r>
        <w:rPr>
          <w:rtl/>
        </w:rPr>
        <w:t>__________</w:t>
      </w:r>
    </w:p>
  </w:footnote>
  <w:footnote w:type="continuationSeparator" w:id="0">
    <w:p w14:paraId="4948F363" w14:textId="77777777" w:rsidR="00A609C3" w:rsidRDefault="00A609C3" w:rsidP="00656392">
      <w:pPr>
        <w:spacing w:line="240" w:lineRule="auto"/>
      </w:pPr>
      <w:r>
        <w:continuationSeparator/>
      </w:r>
    </w:p>
  </w:footnote>
  <w:footnote w:id="1">
    <w:p w14:paraId="518A2E40" w14:textId="6A152B0A" w:rsidR="00C65A36" w:rsidRPr="00C65A36" w:rsidRDefault="00C65A36" w:rsidP="00C65A36">
      <w:pPr>
        <w:pStyle w:val="FootnoteText1"/>
        <w:rPr>
          <w:rFonts w:hint="cs"/>
          <w:rtl/>
        </w:rPr>
      </w:pPr>
      <w:r>
        <w:rPr>
          <w:rtl/>
        </w:rPr>
        <w:t>*</w:t>
      </w:r>
      <w:r>
        <w:rPr>
          <w:rtl/>
        </w:rPr>
        <w:tab/>
      </w:r>
      <w:r w:rsidRPr="00C65A36">
        <w:rPr>
          <w:rtl/>
        </w:rPr>
        <w:t xml:space="preserve">اعتمدته اللجنة في دورتها </w:t>
      </w:r>
      <w:r w:rsidRPr="008D25E3">
        <w:rPr>
          <w:highlight w:val="yellow"/>
          <w:rtl/>
        </w:rPr>
        <w:t>130</w:t>
      </w:r>
      <w:r w:rsidRPr="00C65A36">
        <w:rPr>
          <w:rtl/>
        </w:rPr>
        <w:t xml:space="preserve"> (</w:t>
      </w:r>
      <w:r w:rsidRPr="008D25E3">
        <w:rPr>
          <w:highlight w:val="yellow"/>
          <w:rtl/>
        </w:rPr>
        <w:t>12</w:t>
      </w:r>
      <w:r w:rsidRPr="00C65A36">
        <w:rPr>
          <w:rtl/>
        </w:rPr>
        <w:t xml:space="preserve"> تشرين الأول/أكتوبر </w:t>
      </w:r>
      <w:proofErr w:type="gramStart"/>
      <w:r w:rsidRPr="00C65A36">
        <w:rPr>
          <w:rtl/>
        </w:rPr>
        <w:t>-</w:t>
      </w:r>
      <w:r>
        <w:rPr>
          <w:rFonts w:hint="cs"/>
          <w:rtl/>
        </w:rPr>
        <w:t xml:space="preserve"> </w:t>
      </w:r>
      <w:r w:rsidRPr="00C65A36">
        <w:rPr>
          <w:rtl/>
        </w:rPr>
        <w:t xml:space="preserve"> </w:t>
      </w:r>
      <w:r w:rsidRPr="008D25E3">
        <w:rPr>
          <w:highlight w:val="yellow"/>
          <w:rtl/>
        </w:rPr>
        <w:t>6</w:t>
      </w:r>
      <w:proofErr w:type="gramEnd"/>
      <w:r w:rsidRPr="00C65A36">
        <w:rPr>
          <w:rtl/>
        </w:rPr>
        <w:t xml:space="preserve"> تشرين الثاني/نوفمبر </w:t>
      </w:r>
      <w:r w:rsidRPr="008D25E3">
        <w:rPr>
          <w:highlight w:val="yellow"/>
          <w:rtl/>
        </w:rPr>
        <w:t>2020</w:t>
      </w:r>
      <w:r w:rsidRPr="00C65A3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D0D7" w14:textId="77777777" w:rsidR="008E7F9E" w:rsidRPr="008E7F9E" w:rsidRDefault="008E7F9E" w:rsidP="008E7F9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CCPR/C/130/2/Add.3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93AC" w14:textId="77777777" w:rsidR="008E7F9E" w:rsidRPr="008E7F9E" w:rsidRDefault="008E7F9E" w:rsidP="008E7F9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CCPR/C/130/2/Add.3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C3"/>
    <w:rsid w:val="0000140A"/>
    <w:rsid w:val="000076D5"/>
    <w:rsid w:val="00043663"/>
    <w:rsid w:val="000437B8"/>
    <w:rsid w:val="000505CF"/>
    <w:rsid w:val="00075536"/>
    <w:rsid w:val="000D701C"/>
    <w:rsid w:val="000E2A71"/>
    <w:rsid w:val="00145577"/>
    <w:rsid w:val="00160263"/>
    <w:rsid w:val="00181F96"/>
    <w:rsid w:val="001872B1"/>
    <w:rsid w:val="00197FB4"/>
    <w:rsid w:val="001A1371"/>
    <w:rsid w:val="001B043F"/>
    <w:rsid w:val="001B346A"/>
    <w:rsid w:val="001E1CAD"/>
    <w:rsid w:val="001E290D"/>
    <w:rsid w:val="002144FA"/>
    <w:rsid w:val="0023469A"/>
    <w:rsid w:val="00243C8A"/>
    <w:rsid w:val="00267A0E"/>
    <w:rsid w:val="002901D9"/>
    <w:rsid w:val="002976C2"/>
    <w:rsid w:val="002B551F"/>
    <w:rsid w:val="003068BC"/>
    <w:rsid w:val="003260FF"/>
    <w:rsid w:val="00343D95"/>
    <w:rsid w:val="00363A18"/>
    <w:rsid w:val="00374341"/>
    <w:rsid w:val="003D045C"/>
    <w:rsid w:val="003D1062"/>
    <w:rsid w:val="00402051"/>
    <w:rsid w:val="00420D7B"/>
    <w:rsid w:val="00450B21"/>
    <w:rsid w:val="00453B63"/>
    <w:rsid w:val="00455780"/>
    <w:rsid w:val="004710F9"/>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579F6"/>
    <w:rsid w:val="00660EE2"/>
    <w:rsid w:val="006645EC"/>
    <w:rsid w:val="0068781D"/>
    <w:rsid w:val="006959B0"/>
    <w:rsid w:val="006B3E27"/>
    <w:rsid w:val="006B6507"/>
    <w:rsid w:val="006C104C"/>
    <w:rsid w:val="006C632E"/>
    <w:rsid w:val="00717FB3"/>
    <w:rsid w:val="00730446"/>
    <w:rsid w:val="00733704"/>
    <w:rsid w:val="0078071A"/>
    <w:rsid w:val="00787022"/>
    <w:rsid w:val="00787E1E"/>
    <w:rsid w:val="00830591"/>
    <w:rsid w:val="00852A9A"/>
    <w:rsid w:val="008979A0"/>
    <w:rsid w:val="008D25E3"/>
    <w:rsid w:val="008E7F9E"/>
    <w:rsid w:val="008F49E1"/>
    <w:rsid w:val="0090370F"/>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609C3"/>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65A36"/>
    <w:rsid w:val="00C81B50"/>
    <w:rsid w:val="00C902EF"/>
    <w:rsid w:val="00CA796D"/>
    <w:rsid w:val="00CB0011"/>
    <w:rsid w:val="00CB6622"/>
    <w:rsid w:val="00CD1801"/>
    <w:rsid w:val="00CF56F9"/>
    <w:rsid w:val="00CF65C6"/>
    <w:rsid w:val="00D00A89"/>
    <w:rsid w:val="00D10EF1"/>
    <w:rsid w:val="00D42810"/>
    <w:rsid w:val="00D60DD5"/>
    <w:rsid w:val="00D658E9"/>
    <w:rsid w:val="00D914A7"/>
    <w:rsid w:val="00DC4D4B"/>
    <w:rsid w:val="00DD13C3"/>
    <w:rsid w:val="00DD596E"/>
    <w:rsid w:val="00DD621E"/>
    <w:rsid w:val="00DE50B1"/>
    <w:rsid w:val="00DF0138"/>
    <w:rsid w:val="00DF0575"/>
    <w:rsid w:val="00E2228E"/>
    <w:rsid w:val="00E33BC7"/>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E72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D83DE0"/>
  <w15:docId w15:val="{3C63EC45-6329-4132-993C-526DFAC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HND%2f32946&amp;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CCPR/C/HND/CO/2/Add.1" TargetMode="External"/><Relationship Id="rId4" Type="http://schemas.openxmlformats.org/officeDocument/2006/relationships/settings" Target="settings.xml"/><Relationship Id="rId9" Type="http://schemas.openxmlformats.org/officeDocument/2006/relationships/hyperlink" Target="https://undocs.org/sp/CCPR/C/HND/CO/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9E32-9B7B-49E3-B000-7EB16914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1903</Words>
  <Characters>14429</Characters>
  <Application>Microsoft Office Word</Application>
  <DocSecurity>0</DocSecurity>
  <Lines>1603</Lines>
  <Paragraphs>1020</Paragraphs>
  <ScaleCrop>false</ScaleCrop>
  <HeadingPairs>
    <vt:vector size="2" baseType="variant">
      <vt:variant>
        <vt:lpstr>Title</vt:lpstr>
      </vt:variant>
      <vt:variant>
        <vt:i4>1</vt:i4>
      </vt:variant>
    </vt:vector>
  </HeadingPairs>
  <TitlesOfParts>
    <vt:vector size="1" baseType="lpstr">
      <vt:lpstr>CCPR/C/130/2/Add.3</vt:lpstr>
    </vt:vector>
  </TitlesOfParts>
  <Company>DCM</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CCPR/C/130/2/Add.3</dc:title>
  <dc:subject>GE.2102128(A)</dc:subject>
  <dc:creator>Gamal MAHMOUD - MEL</dc:creator>
  <cp:keywords>GE.2104540(A)</cp:keywords>
  <dc:description>Distr.: General_x000d_
22 February 2021_x000d_
Original: English</dc:description>
  <cp:lastModifiedBy>Gamal MAHMOUD</cp:lastModifiedBy>
  <cp:revision>2</cp:revision>
  <dcterms:created xsi:type="dcterms:W3CDTF">2021-03-30T10:23:00Z</dcterms:created>
  <dcterms:modified xsi:type="dcterms:W3CDTF">2021-03-30T10:23:00Z</dcterms:modified>
  <cp:category>Finale</cp:category>
</cp:coreProperties>
</file>