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37B36CE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24D9C8F" w14:textId="77777777" w:rsidR="002D5AAC" w:rsidRDefault="002D5AAC" w:rsidP="00B47D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67BDC42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8BDC6AA" w14:textId="4530CDED" w:rsidR="002D5AAC" w:rsidRDefault="00B47D2F" w:rsidP="00B47D2F">
            <w:pPr>
              <w:jc w:val="right"/>
            </w:pPr>
            <w:r w:rsidRPr="00D0110E">
              <w:rPr>
                <w:sz w:val="40"/>
              </w:rPr>
              <w:t>CCPR</w:t>
            </w:r>
            <w:r w:rsidRPr="00D0110E">
              <w:t>/C/131/D/2622/2015</w:t>
            </w:r>
          </w:p>
        </w:tc>
      </w:tr>
      <w:tr w:rsidR="002D5AAC" w:rsidRPr="0038207F" w14:paraId="0C80467A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F26EE1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FC89D1" wp14:editId="0F3FEA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9472BF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D7D1663" w14:textId="77777777" w:rsidR="002D5AAC" w:rsidRPr="0038207F" w:rsidRDefault="00B47D2F" w:rsidP="00BC3629">
            <w:pPr>
              <w:spacing w:before="240"/>
              <w:rPr>
                <w:lang w:val="en-US"/>
              </w:rPr>
            </w:pPr>
            <w:r w:rsidRPr="0038207F">
              <w:rPr>
                <w:lang w:val="en-US"/>
              </w:rPr>
              <w:t>Distr.: General</w:t>
            </w:r>
          </w:p>
          <w:p w14:paraId="1453FE16" w14:textId="77777777" w:rsidR="00B47D2F" w:rsidRPr="0038207F" w:rsidRDefault="00B47D2F" w:rsidP="00B47D2F">
            <w:pPr>
              <w:spacing w:line="240" w:lineRule="exact"/>
              <w:rPr>
                <w:lang w:val="en-US"/>
              </w:rPr>
            </w:pPr>
            <w:r w:rsidRPr="0038207F">
              <w:rPr>
                <w:lang w:val="en-US"/>
              </w:rPr>
              <w:t>24 February 2022</w:t>
            </w:r>
          </w:p>
          <w:p w14:paraId="3B6F7977" w14:textId="77777777" w:rsidR="00B47D2F" w:rsidRPr="0038207F" w:rsidRDefault="00B47D2F" w:rsidP="00B47D2F">
            <w:pPr>
              <w:spacing w:line="240" w:lineRule="exact"/>
              <w:rPr>
                <w:lang w:val="en-US"/>
              </w:rPr>
            </w:pPr>
            <w:r w:rsidRPr="0038207F">
              <w:rPr>
                <w:lang w:val="en-US"/>
              </w:rPr>
              <w:t>Russian</w:t>
            </w:r>
          </w:p>
          <w:p w14:paraId="7502EE63" w14:textId="42C1E46D" w:rsidR="00B47D2F" w:rsidRPr="0038207F" w:rsidRDefault="00B47D2F" w:rsidP="00B47D2F">
            <w:pPr>
              <w:spacing w:line="240" w:lineRule="exact"/>
              <w:rPr>
                <w:lang w:val="en-US"/>
              </w:rPr>
            </w:pPr>
            <w:r w:rsidRPr="0038207F">
              <w:rPr>
                <w:lang w:val="en-US"/>
              </w:rPr>
              <w:t>Original: English</w:t>
            </w:r>
          </w:p>
        </w:tc>
      </w:tr>
    </w:tbl>
    <w:p w14:paraId="64F897AB" w14:textId="77777777" w:rsidR="00B47D2F" w:rsidRPr="00862074" w:rsidRDefault="00B47D2F" w:rsidP="00B47D2F">
      <w:pPr>
        <w:spacing w:before="120"/>
        <w:rPr>
          <w:b/>
          <w:bCs/>
          <w:color w:val="000000" w:themeColor="text1"/>
          <w:sz w:val="24"/>
          <w:szCs w:val="24"/>
        </w:rPr>
      </w:pPr>
      <w:r w:rsidRPr="00862074">
        <w:rPr>
          <w:b/>
          <w:bCs/>
          <w:sz w:val="24"/>
          <w:szCs w:val="24"/>
        </w:rPr>
        <w:t>Комитет по правам человека</w:t>
      </w:r>
    </w:p>
    <w:p w14:paraId="2C7E0034" w14:textId="0CF344D7" w:rsidR="00B47D2F" w:rsidRPr="0064331C" w:rsidRDefault="00B47D2F" w:rsidP="00B47D2F">
      <w:pPr>
        <w:pStyle w:val="HChG"/>
      </w:pPr>
      <w:r>
        <w:tab/>
      </w:r>
      <w:r>
        <w:tab/>
        <w:t>Соображения, принятые Комитетом в соответствии со</w:t>
      </w:r>
      <w:r>
        <w:rPr>
          <w:lang w:val="fr-CH"/>
        </w:rPr>
        <w:t> </w:t>
      </w:r>
      <w:r>
        <w:t>статьей 5</w:t>
      </w:r>
      <w:r w:rsidRPr="001C3DE2">
        <w:t xml:space="preserve"> </w:t>
      </w:r>
      <w:r>
        <w:t>(пункт 4) Факультативного протокола относительно сообщения № 2622/2015</w:t>
      </w:r>
      <w:r w:rsidRPr="00353CEB">
        <w:rPr>
          <w:b w:val="0"/>
          <w:bCs/>
          <w:sz w:val="20"/>
          <w:szCs w:val="14"/>
        </w:rPr>
        <w:footnoteReference w:customMarkFollows="1" w:id="1"/>
        <w:t>*</w:t>
      </w:r>
      <w:r w:rsidRPr="00B47D2F">
        <w:rPr>
          <w:szCs w:val="28"/>
        </w:rPr>
        <w:t xml:space="preserve"> </w:t>
      </w:r>
      <w:r w:rsidRPr="00353CEB">
        <w:rPr>
          <w:b w:val="0"/>
          <w:bCs/>
          <w:sz w:val="20"/>
          <w:szCs w:val="14"/>
        </w:rPr>
        <w:footnoteReference w:customMarkFollows="1" w:id="2"/>
        <w:t>**</w:t>
      </w:r>
      <w:r>
        <w:t xml:space="preserve"> 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B47D2F" w:rsidRPr="0064331C" w14:paraId="60D6CD99" w14:textId="77777777" w:rsidTr="00A85105">
        <w:tc>
          <w:tcPr>
            <w:tcW w:w="2933" w:type="dxa"/>
            <w:hideMark/>
          </w:tcPr>
          <w:p w14:paraId="78DAA853" w14:textId="54167561" w:rsidR="00B47D2F" w:rsidRPr="0064331C" w:rsidRDefault="00B47D2F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  <w:iCs/>
              </w:rPr>
              <w:t>Сообщение представлено:</w:t>
            </w:r>
          </w:p>
        </w:tc>
        <w:tc>
          <w:tcPr>
            <w:tcW w:w="3871" w:type="dxa"/>
          </w:tcPr>
          <w:p w14:paraId="77786565" w14:textId="11A1A52C" w:rsidR="00B47D2F" w:rsidRPr="0064331C" w:rsidRDefault="00B47D2F">
            <w:pPr>
              <w:spacing w:after="120"/>
            </w:pPr>
            <w:r>
              <w:t xml:space="preserve">Ильей Добротвором </w:t>
            </w:r>
            <w:r w:rsidR="00C70279">
              <w:br/>
            </w:r>
            <w:r>
              <w:t>(не представлен адвокатом)</w:t>
            </w:r>
          </w:p>
        </w:tc>
      </w:tr>
      <w:tr w:rsidR="00B47D2F" w:rsidRPr="0064331C" w14:paraId="4AE55FEE" w14:textId="77777777" w:rsidTr="00A85105">
        <w:tc>
          <w:tcPr>
            <w:tcW w:w="2933" w:type="dxa"/>
            <w:hideMark/>
          </w:tcPr>
          <w:p w14:paraId="2B9A54CE" w14:textId="77777777" w:rsidR="00B47D2F" w:rsidRPr="0064331C" w:rsidRDefault="00B47D2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1" w:type="dxa"/>
          </w:tcPr>
          <w:p w14:paraId="5AB41DBA" w14:textId="0ACA573B" w:rsidR="00B47D2F" w:rsidRPr="0064331C" w:rsidRDefault="00B47D2F">
            <w:pPr>
              <w:spacing w:after="120"/>
            </w:pPr>
            <w:r>
              <w:t>автор сообщения</w:t>
            </w:r>
          </w:p>
        </w:tc>
      </w:tr>
      <w:tr w:rsidR="00B47D2F" w:rsidRPr="0064331C" w14:paraId="2487FF8B" w14:textId="77777777" w:rsidTr="00A85105">
        <w:tc>
          <w:tcPr>
            <w:tcW w:w="2933" w:type="dxa"/>
            <w:hideMark/>
          </w:tcPr>
          <w:p w14:paraId="5C9E14DC" w14:textId="77777777" w:rsidR="00B47D2F" w:rsidRPr="0064331C" w:rsidRDefault="00B47D2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1" w:type="dxa"/>
          </w:tcPr>
          <w:p w14:paraId="37932F3D" w14:textId="7EB7F22D" w:rsidR="00B47D2F" w:rsidRPr="0064331C" w:rsidRDefault="00B47D2F">
            <w:pPr>
              <w:spacing w:after="120"/>
            </w:pPr>
            <w:r>
              <w:t>Беларусь</w:t>
            </w:r>
          </w:p>
        </w:tc>
      </w:tr>
      <w:tr w:rsidR="00B47D2F" w:rsidRPr="0064331C" w14:paraId="5CA8915B" w14:textId="77777777" w:rsidTr="00A85105">
        <w:tc>
          <w:tcPr>
            <w:tcW w:w="2933" w:type="dxa"/>
            <w:hideMark/>
          </w:tcPr>
          <w:p w14:paraId="10633CCF" w14:textId="77777777" w:rsidR="00B47D2F" w:rsidRPr="0064331C" w:rsidRDefault="00B47D2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1" w:type="dxa"/>
          </w:tcPr>
          <w:p w14:paraId="4A208559" w14:textId="06BBB0AA" w:rsidR="00B47D2F" w:rsidRPr="0064331C" w:rsidRDefault="00B47D2F">
            <w:pPr>
              <w:spacing w:after="120"/>
            </w:pPr>
            <w:r>
              <w:t xml:space="preserve">9 сентября 2014 года </w:t>
            </w:r>
            <w:r>
              <w:br/>
              <w:t>(первоначальное представление)</w:t>
            </w:r>
          </w:p>
        </w:tc>
      </w:tr>
      <w:tr w:rsidR="00B47D2F" w:rsidRPr="0064331C" w14:paraId="1A09CD42" w14:textId="77777777" w:rsidTr="00A85105">
        <w:tc>
          <w:tcPr>
            <w:tcW w:w="2933" w:type="dxa"/>
            <w:hideMark/>
          </w:tcPr>
          <w:p w14:paraId="49DD2AB9" w14:textId="77777777" w:rsidR="00B47D2F" w:rsidRPr="0064331C" w:rsidRDefault="00B47D2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1" w:type="dxa"/>
          </w:tcPr>
          <w:p w14:paraId="44BCCCCE" w14:textId="21054D9E" w:rsidR="00B47D2F" w:rsidRPr="0064331C" w:rsidRDefault="00B47D2F">
            <w:pPr>
              <w:spacing w:after="120"/>
            </w:pPr>
            <w:r>
              <w:t>решение, принятое в соответствии с</w:t>
            </w:r>
            <w:r w:rsidR="00C70279">
              <w:rPr>
                <w:lang w:val="fr-CH"/>
              </w:rPr>
              <w:t> </w:t>
            </w:r>
            <w:r>
              <w:t>правилом 92 правил процедуры Комитета и</w:t>
            </w:r>
            <w:r w:rsidR="00C70279">
              <w:rPr>
                <w:lang w:val="fr-CH"/>
              </w:rPr>
              <w:t> </w:t>
            </w:r>
            <w:r>
              <w:t>препровожденное государству-участнику 23</w:t>
            </w:r>
            <w:r w:rsidR="00C70279">
              <w:rPr>
                <w:lang w:val="fr-CH"/>
              </w:rPr>
              <w:t> </w:t>
            </w:r>
            <w:r>
              <w:t xml:space="preserve">июня 2015 года </w:t>
            </w:r>
            <w:r w:rsidR="00C70279">
              <w:br/>
            </w:r>
            <w:r>
              <w:t>(в виде документа не издавалось)</w:t>
            </w:r>
          </w:p>
        </w:tc>
      </w:tr>
      <w:tr w:rsidR="00B47D2F" w:rsidRPr="0064331C" w14:paraId="269986E8" w14:textId="77777777" w:rsidTr="00A85105">
        <w:tc>
          <w:tcPr>
            <w:tcW w:w="2933" w:type="dxa"/>
            <w:hideMark/>
          </w:tcPr>
          <w:p w14:paraId="05142F54" w14:textId="2B5A7289" w:rsidR="00B47D2F" w:rsidRPr="0064331C" w:rsidRDefault="00B47D2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 xml:space="preserve">Дата принятия </w:t>
            </w:r>
            <w:r w:rsidR="00C70279" w:rsidRPr="0064331C">
              <w:rPr>
                <w:i/>
              </w:rPr>
              <w:t>Соображений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  <w:vAlign w:val="bottom"/>
          </w:tcPr>
          <w:p w14:paraId="72684E87" w14:textId="21E1CA3F" w:rsidR="00B47D2F" w:rsidRPr="0064331C" w:rsidRDefault="00B47D2F">
            <w:pPr>
              <w:spacing w:after="120"/>
            </w:pPr>
            <w:r>
              <w:t>25 марта 2021 года</w:t>
            </w:r>
          </w:p>
        </w:tc>
      </w:tr>
      <w:tr w:rsidR="00B47D2F" w:rsidRPr="0064331C" w14:paraId="62B677BD" w14:textId="77777777" w:rsidTr="00A85105">
        <w:tc>
          <w:tcPr>
            <w:tcW w:w="2933" w:type="dxa"/>
            <w:hideMark/>
          </w:tcPr>
          <w:p w14:paraId="6AD9417A" w14:textId="77777777" w:rsidR="00B47D2F" w:rsidRPr="0064331C" w:rsidRDefault="00B47D2F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1" w:type="dxa"/>
          </w:tcPr>
          <w:p w14:paraId="2BB1E54D" w14:textId="69E520AB" w:rsidR="00B47D2F" w:rsidRPr="0064331C" w:rsidRDefault="00B47D2F">
            <w:pPr>
              <w:spacing w:after="120"/>
            </w:pPr>
            <w:r>
              <w:t>проведение несанкционированного одиночного пикета</w:t>
            </w:r>
          </w:p>
        </w:tc>
      </w:tr>
      <w:tr w:rsidR="00B47D2F" w:rsidRPr="0064331C" w14:paraId="4FC714FD" w14:textId="77777777" w:rsidTr="00A85105">
        <w:tc>
          <w:tcPr>
            <w:tcW w:w="2933" w:type="dxa"/>
            <w:hideMark/>
          </w:tcPr>
          <w:p w14:paraId="0D1C736B" w14:textId="42084A60" w:rsidR="00B47D2F" w:rsidRPr="0064331C" w:rsidRDefault="00B47D2F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 w:rsidR="00C70279"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1784769D" w14:textId="2D4CB651" w:rsidR="00B47D2F" w:rsidRPr="0064331C" w:rsidRDefault="00B47D2F">
            <w:pPr>
              <w:spacing w:after="120"/>
            </w:pPr>
            <w:r>
              <w:t>отсутству</w:t>
            </w:r>
            <w:r w:rsidR="00C70279">
              <w:t>е</w:t>
            </w:r>
            <w:r>
              <w:t>т</w:t>
            </w:r>
          </w:p>
        </w:tc>
      </w:tr>
      <w:tr w:rsidR="00B47D2F" w:rsidRPr="0064331C" w14:paraId="2D2D54A1" w14:textId="77777777" w:rsidTr="00A85105">
        <w:tc>
          <w:tcPr>
            <w:tcW w:w="2933" w:type="dxa"/>
            <w:hideMark/>
          </w:tcPr>
          <w:p w14:paraId="237D1158" w14:textId="2B3FD125" w:rsidR="00B47D2F" w:rsidRPr="0064331C" w:rsidRDefault="00B47D2F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1" w:type="dxa"/>
          </w:tcPr>
          <w:p w14:paraId="100F11DF" w14:textId="217BF3AC" w:rsidR="00B47D2F" w:rsidRPr="0064331C" w:rsidRDefault="00B47D2F">
            <w:pPr>
              <w:spacing w:after="120"/>
            </w:pPr>
            <w:r>
              <w:t>необоснованное ограничение права на свободу выражения мнений</w:t>
            </w:r>
          </w:p>
        </w:tc>
      </w:tr>
      <w:tr w:rsidR="00B47D2F" w:rsidRPr="0064331C" w14:paraId="416E95C7" w14:textId="77777777" w:rsidTr="00A85105">
        <w:tc>
          <w:tcPr>
            <w:tcW w:w="2933" w:type="dxa"/>
            <w:hideMark/>
          </w:tcPr>
          <w:p w14:paraId="3F147C4E" w14:textId="77777777" w:rsidR="00B47D2F" w:rsidRPr="0064331C" w:rsidRDefault="00B47D2F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1" w:type="dxa"/>
          </w:tcPr>
          <w:p w14:paraId="0FF191AF" w14:textId="5779893C" w:rsidR="00B47D2F" w:rsidRPr="0064331C" w:rsidRDefault="00B47D2F">
            <w:pPr>
              <w:spacing w:after="120"/>
            </w:pPr>
            <w:r>
              <w:t>19 и 21</w:t>
            </w:r>
          </w:p>
        </w:tc>
      </w:tr>
      <w:tr w:rsidR="00B47D2F" w:rsidRPr="0064331C" w14:paraId="5E698A4B" w14:textId="77777777" w:rsidTr="00A85105">
        <w:tc>
          <w:tcPr>
            <w:tcW w:w="2933" w:type="dxa"/>
            <w:hideMark/>
          </w:tcPr>
          <w:p w14:paraId="4A74DDC4" w14:textId="236952DF" w:rsidR="00B47D2F" w:rsidRPr="0064331C" w:rsidRDefault="00B47D2F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 w:rsidR="00C70279"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1" w:type="dxa"/>
          </w:tcPr>
          <w:p w14:paraId="006C8651" w14:textId="1A9D07A9" w:rsidR="00B47D2F" w:rsidRPr="0064331C" w:rsidRDefault="00B47D2F">
            <w:pPr>
              <w:spacing w:after="120"/>
            </w:pPr>
            <w:r>
              <w:t>отсутствуе</w:t>
            </w:r>
            <w:r w:rsidR="00C70279">
              <w:t>т</w:t>
            </w:r>
          </w:p>
        </w:tc>
      </w:tr>
    </w:tbl>
    <w:p w14:paraId="1A8F4C70" w14:textId="77777777" w:rsidR="00B47D2F" w:rsidRPr="00862074" w:rsidRDefault="00B47D2F" w:rsidP="00B47D2F">
      <w:pPr>
        <w:pStyle w:val="SingleTxtG"/>
        <w:spacing w:before="120"/>
      </w:pPr>
      <w:r>
        <w:t>1.</w:t>
      </w:r>
      <w:r>
        <w:tab/>
        <w:t>Автором сообщения является Илья Добротвор, гражданин Беларуси 1981 года рождения. Он утверждает, что государство-участник нарушило его права, предусмотренные в статьях 19 и 21 Пакта. Факультативный протокол вступил в силу для государства-участника 30 декабря 1992 года. Автор не представлен адвокатом.</w:t>
      </w:r>
    </w:p>
    <w:p w14:paraId="06742D86" w14:textId="77777777" w:rsidR="00B47D2F" w:rsidRPr="00862074" w:rsidRDefault="00B47D2F" w:rsidP="00B47D2F">
      <w:pPr>
        <w:pStyle w:val="H23G"/>
        <w:rPr>
          <w:rFonts w:eastAsia="Verdana"/>
        </w:rPr>
      </w:pPr>
      <w:r>
        <w:lastRenderedPageBreak/>
        <w:tab/>
      </w:r>
      <w:r>
        <w:tab/>
      </w:r>
      <w:r>
        <w:rPr>
          <w:bCs/>
        </w:rPr>
        <w:t>Факты в изложении автора</w:t>
      </w:r>
    </w:p>
    <w:p w14:paraId="32031013" w14:textId="74875F7C" w:rsidR="00B47D2F" w:rsidRPr="00862074" w:rsidRDefault="00B47D2F" w:rsidP="00B47D2F">
      <w:pPr>
        <w:pStyle w:val="SingleTxtG"/>
      </w:pPr>
      <w:r>
        <w:t>2.1</w:t>
      </w:r>
      <w:r>
        <w:tab/>
        <w:t>30 ноября 2013 года с 16 ч 00 мин до 16 ч 10 мин автор стоял перед посольством Украины в Минске, держа в руках украинский флаг. Он хотел выразить свою солидарность с украинским народом и продемонстрировать свою поддержку выбора, сделанного правительством Украины в направлении европейской интеграции.</w:t>
      </w:r>
    </w:p>
    <w:p w14:paraId="3A8C6AB1" w14:textId="77777777" w:rsidR="00B47D2F" w:rsidRPr="00862074" w:rsidRDefault="00B47D2F" w:rsidP="00B47D2F">
      <w:pPr>
        <w:pStyle w:val="SingleTxtG"/>
      </w:pPr>
      <w:r>
        <w:t>2.2</w:t>
      </w:r>
      <w:r>
        <w:tab/>
        <w:t xml:space="preserve">10 декабря 2013 года автор был арестован милицией в связи с пикетом, проведенным им 30 ноября 2013 года, и всю ночь провел в милицейском изоляторе. Милиция предъявила ему обвинение в административном правонарушении за нарушение порядка организации и проведения массовых мероприятий (собраний, уличных митингов, демонстраций и пикетов). </w:t>
      </w:r>
    </w:p>
    <w:p w14:paraId="37E5CE36" w14:textId="0C8B2C87" w:rsidR="00B47D2F" w:rsidRPr="00862074" w:rsidRDefault="00B47D2F" w:rsidP="00B47D2F">
      <w:pPr>
        <w:pStyle w:val="SingleTxtG"/>
      </w:pPr>
      <w:r>
        <w:t>2.3</w:t>
      </w:r>
      <w:r>
        <w:tab/>
        <w:t>12 декабря 2013 года суд Центрального района Минска признал автора виновным в нарушении статьи 23.34 (1) Кодекса об административных правонарушениях и оштрафовал его на 1</w:t>
      </w:r>
      <w:r w:rsidR="00D32EBA">
        <w:t> </w:t>
      </w:r>
      <w:r>
        <w:t>040</w:t>
      </w:r>
      <w:r w:rsidR="00D32EBA">
        <w:t> </w:t>
      </w:r>
      <w:r>
        <w:t xml:space="preserve">000 белорусских рублей (что равно примерно 76 евро). Автор был признан виновным, поскольку он не получил от местных властей предварительного разрешения на проведение пикета. </w:t>
      </w:r>
    </w:p>
    <w:p w14:paraId="0624B328" w14:textId="09013DE6" w:rsidR="00B47D2F" w:rsidRPr="00862074" w:rsidRDefault="00B47D2F" w:rsidP="00B47D2F">
      <w:pPr>
        <w:pStyle w:val="SingleTxtG"/>
      </w:pPr>
      <w:r>
        <w:t>2.4</w:t>
      </w:r>
      <w:r>
        <w:tab/>
        <w:t xml:space="preserve">Автор подал апелляцию в Минский городской суд, утверждая, что его действия не представляли собой никакой угрозы и что он просто выражал свое политическое мнение. 28 января 2014 года Минский городской суд отклонил его апелляцию и оставил в силе решение нижестоящего суда. Автор подал еще одну апелляцию </w:t>
      </w:r>
      <w:r w:rsidR="00D32EBA">
        <w:t>—</w:t>
      </w:r>
      <w:r>
        <w:t xml:space="preserve"> на имя председателя Минского городского суда, который отклонил его апелляцию 18</w:t>
      </w:r>
      <w:r w:rsidR="00D32EBA">
        <w:t> </w:t>
      </w:r>
      <w:r>
        <w:t>апреля 2014 года. Тогда автор обратился в Верховный суд. Заместитель председателя Верховного суда отклонил его апелляцию 27 июня 2014 года.</w:t>
      </w:r>
    </w:p>
    <w:p w14:paraId="48F9A839" w14:textId="77777777" w:rsidR="00B47D2F" w:rsidRPr="00862074" w:rsidRDefault="00B47D2F" w:rsidP="00B47D2F">
      <w:pPr>
        <w:pStyle w:val="H23G"/>
        <w:rPr>
          <w:rFonts w:eastAsia="Verdana"/>
        </w:rPr>
      </w:pPr>
      <w:r>
        <w:tab/>
      </w:r>
      <w:r>
        <w:tab/>
      </w:r>
      <w:r>
        <w:rPr>
          <w:bCs/>
        </w:rPr>
        <w:t>Жалоба</w:t>
      </w:r>
    </w:p>
    <w:p w14:paraId="2CB7705E" w14:textId="77777777" w:rsidR="00B47D2F" w:rsidRPr="00862074" w:rsidRDefault="00B47D2F" w:rsidP="00B47D2F">
      <w:pPr>
        <w:pStyle w:val="SingleTxtG"/>
      </w:pPr>
      <w:r>
        <w:t>3.1</w:t>
      </w:r>
      <w:r>
        <w:tab/>
        <w:t xml:space="preserve">Автор утверждает, что его права на свободу выражения мнений и мирных собраний, закрепленные в статьях 19 и 21 Пакта, были нарушены из-за ненужных ограничений, установленных законом, его административного ареста через 10 дней после пикета и несоразмерных санкций, наложенных на него судами. </w:t>
      </w:r>
    </w:p>
    <w:p w14:paraId="145EA1F0" w14:textId="77777777" w:rsidR="00B47D2F" w:rsidRPr="00862074" w:rsidRDefault="00B47D2F" w:rsidP="00B47D2F">
      <w:pPr>
        <w:pStyle w:val="SingleTxtG"/>
      </w:pPr>
      <w:r>
        <w:t>3.2</w:t>
      </w:r>
      <w:r>
        <w:tab/>
        <w:t xml:space="preserve">Автор просит Комитет настоятельно призвать государство-участник пересмотреть решение об административном взыскании и выплатить ему компенсацию в размере штрафа или больше. Кроме того, Комитету следует настоятельно призвать государство-участник привести свое законодательство о праве на свободу мирных собраний в соответствие с требованиями Пакта и не допускать подобных нарушений в будущем. </w:t>
      </w:r>
    </w:p>
    <w:p w14:paraId="0D773B39" w14:textId="77777777" w:rsidR="00B47D2F" w:rsidRPr="00862074" w:rsidRDefault="00B47D2F" w:rsidP="00B47D2F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относительно приемлемости и существа сообщения</w:t>
      </w:r>
    </w:p>
    <w:p w14:paraId="3227B4AD" w14:textId="68650485" w:rsidR="00B47D2F" w:rsidRPr="00862074" w:rsidRDefault="00B47D2F" w:rsidP="00B47D2F">
      <w:pPr>
        <w:pStyle w:val="SingleTxtG"/>
      </w:pPr>
      <w:r>
        <w:t>4.</w:t>
      </w:r>
      <w:r>
        <w:tab/>
        <w:t>Государство-участник представило свои замечания относительно приемлемости и существа сообщения посредством вербальной ноты от 28 августа 2015</w:t>
      </w:r>
      <w:r w:rsidR="00D32EBA">
        <w:t> </w:t>
      </w:r>
      <w:r>
        <w:t>года. Оно напоминает факты по делу: 12 декабря 2013 года суд Центрального района Минска оштрафовал автора на 1</w:t>
      </w:r>
      <w:r w:rsidR="00D32EBA">
        <w:t> </w:t>
      </w:r>
      <w:r>
        <w:t>040</w:t>
      </w:r>
      <w:r w:rsidR="00D32EBA">
        <w:t> </w:t>
      </w:r>
      <w:r>
        <w:t>000 белорусских рублей за нарушение статьи 23.34 (1) Кодекса об административных правонарушениях; 28 января 2014 года Минский городской суд отклонил его апелляцию и оставил в силе решение нижестоящего суда; вина автора была доказана; и судьи, приняв во внимание смягчающие обстоятельства, назначили штраф, соразмерный правонарушению, а не самый суровый, который мог быть назначен. Государство-участник не согласно с аргументами, выдвинутыми автором. В заключение государство-участник считает, что, признав автора виновным в совершении административного правонарушения, его власти соблюли нормы права и положения Пакта. В этой связи государство-участник просит Комитет признать это сообщение неприемлемым.</w:t>
      </w:r>
    </w:p>
    <w:p w14:paraId="384B28D0" w14:textId="77777777" w:rsidR="00B47D2F" w:rsidRPr="00862074" w:rsidRDefault="00B47D2F" w:rsidP="00B47D2F">
      <w:pPr>
        <w:pStyle w:val="H23G"/>
      </w:pPr>
      <w:r>
        <w:tab/>
      </w:r>
      <w:r>
        <w:tab/>
      </w:r>
      <w:r>
        <w:rPr>
          <w:bCs/>
        </w:rPr>
        <w:t>Комментарии автора к замечаниям государства-участника относительно приемлемости и существа сообщения</w:t>
      </w:r>
    </w:p>
    <w:p w14:paraId="366996D8" w14:textId="066B4B12" w:rsidR="00B47D2F" w:rsidRPr="00862074" w:rsidRDefault="00B47D2F" w:rsidP="00B47D2F">
      <w:pPr>
        <w:pStyle w:val="SingleTxtG"/>
      </w:pPr>
      <w:r>
        <w:t>5.1</w:t>
      </w:r>
      <w:r>
        <w:tab/>
        <w:t xml:space="preserve">17 января 2019 года автор сообщения представил комментарии к замечаниям государства-участника. Он утверждает, что государство-участник признало факты по </w:t>
      </w:r>
      <w:r>
        <w:lastRenderedPageBreak/>
        <w:t xml:space="preserve">его делу, в частности то, что он был оштрафован за мирное выражение своего мнения и что впоследствии для обжалования решения суда он использовал все доступные ему средства правовой защиты. Автор отмечает, что государство-участник не оспаривает, что, выражая свое мнение, он не нарушил общественный порядок и нравственность, а также не оспаривает, что его задержание милицией нарушило его право на свободу выражения мнения, гарантированное Пактом. </w:t>
      </w:r>
    </w:p>
    <w:p w14:paraId="0BCCA9CC" w14:textId="77777777" w:rsidR="00B47D2F" w:rsidRPr="00862074" w:rsidRDefault="00B47D2F" w:rsidP="00B47D2F">
      <w:pPr>
        <w:pStyle w:val="SingleTxtG"/>
      </w:pPr>
      <w:r>
        <w:t>5.2</w:t>
      </w:r>
      <w:r>
        <w:tab/>
        <w:t>Автор отмечает, что государство-участник не ссылается на Пакт как на норму, определяющую объем его гражданских прав. Он утверждает, что государство-участник посчитало его пикет (организованный как форма выражения своего мнения о политических событиях) собранием и потребовало от него соблюдения несоразмерно сложных требований. Эти требования, изложенные в законе о массовых мероприятиях, включают необходимость получения разрешения от местных властей и одновременного выполнения других формальностей, связанных с запросом разрешения, таких как оплата расходов, связанных с охраной общественного порядка милицией, уборкой территории, где будет проводиться пикет, и оплата услуг скорой помощи, дежурящей во время пикета.</w:t>
      </w:r>
    </w:p>
    <w:p w14:paraId="459ABBF8" w14:textId="77777777" w:rsidR="00B47D2F" w:rsidRPr="00862074" w:rsidRDefault="00B47D2F" w:rsidP="00B47D2F">
      <w:pPr>
        <w:pStyle w:val="H23G"/>
      </w:pP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5C29F029" w14:textId="77777777" w:rsidR="00B47D2F" w:rsidRPr="00862074" w:rsidRDefault="00B47D2F" w:rsidP="00B47D2F">
      <w:pPr>
        <w:pStyle w:val="H4G"/>
      </w:pPr>
      <w:r>
        <w:tab/>
      </w:r>
      <w:r>
        <w:tab/>
      </w:r>
      <w:r>
        <w:rPr>
          <w:iCs/>
        </w:rPr>
        <w:t>Рассмотрение вопроса о приемлемости</w:t>
      </w:r>
    </w:p>
    <w:p w14:paraId="4FEF3148" w14:textId="77777777" w:rsidR="00B47D2F" w:rsidRPr="00862074" w:rsidRDefault="00B47D2F" w:rsidP="00B47D2F">
      <w:pPr>
        <w:pStyle w:val="SingleTxtG"/>
      </w:pPr>
      <w:r>
        <w:t>6.1</w:t>
      </w:r>
      <w:r>
        <w:tab/>
        <w:t>Прежде чем рассматривать любую жалобу, содержащуюся в сообщении, Комитет по правам человека должен в соответствии с правилом 97 своих правил процедуры решить, является ли сообщение приемлемым согласно Факультативному протоколу.</w:t>
      </w:r>
    </w:p>
    <w:p w14:paraId="26426F93" w14:textId="77777777" w:rsidR="00B47D2F" w:rsidRPr="00862074" w:rsidRDefault="00B47D2F" w:rsidP="00B47D2F">
      <w:pPr>
        <w:pStyle w:val="SingleTxtG"/>
      </w:pPr>
      <w:r>
        <w:t>6.2</w:t>
      </w:r>
      <w:r>
        <w:tab/>
        <w:t>Согласно требованиям статьи 5 (пункт 2 а))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5DBF1AC4" w14:textId="77777777" w:rsidR="00B47D2F" w:rsidRPr="00862074" w:rsidRDefault="00B47D2F" w:rsidP="00B47D2F">
      <w:pPr>
        <w:pStyle w:val="SingleTxtG"/>
      </w:pPr>
      <w:r>
        <w:t>6.3</w:t>
      </w:r>
      <w:r>
        <w:tab/>
        <w:t>Комитет принимает к сведению утверждение автора о том, что все доступные внутренние средства правовой защиты были им исчерпаны. Он также принимает к сведению то обстоятельство, что государство-участник не оспаривает сообщение на этом основании. Соответственно, Комитет приходит к выводу о том, что положения статьи 5 (пункт 2 b)) Факультативного протокола не препятствуют рассмотрению им данного сообщения.</w:t>
      </w:r>
    </w:p>
    <w:p w14:paraId="0772AC2B" w14:textId="60ACE679" w:rsidR="00B47D2F" w:rsidRPr="00862074" w:rsidRDefault="00B47D2F" w:rsidP="00B47D2F">
      <w:pPr>
        <w:pStyle w:val="SingleTxtG"/>
      </w:pPr>
      <w:r>
        <w:t>6.4</w:t>
      </w:r>
      <w:r>
        <w:tab/>
        <w:t xml:space="preserve">Комитет принимает к сведению утверждения автора о том, что его право на свободу собраний в соответствии со статьей 21 Пакта было ограничено произвольно, поскольку за проведение несанкционированного пикета он был оштрафован. В то же время Комитет отмечает, что автор, как следует из его собственного представления, провел этот пикет в одиночку. Понятие </w:t>
      </w:r>
      <w:r w:rsidR="00D32EBA">
        <w:t>«</w:t>
      </w:r>
      <w:r>
        <w:t>собрание</w:t>
      </w:r>
      <w:r w:rsidR="00D32EBA">
        <w:t>»</w:t>
      </w:r>
      <w:r>
        <w:t>, подлежащее защите по смыслу статьи 21, подразумевает, что в собрании участвует более одного человека, в то время как одиночный протестующий пользуется сопоставимой защитой по Пакту, например, в соответствии со статьей 19</w:t>
      </w:r>
      <w:r w:rsidRPr="00353CEB">
        <w:rPr>
          <w:rStyle w:val="aa"/>
        </w:rPr>
        <w:footnoteReference w:id="3"/>
      </w:r>
      <w:r>
        <w:t>. По мнению Комитета, автор не привел достаточных доводов, подтверждающих, что в данном случае «собрание» по смыслу статьи</w:t>
      </w:r>
      <w:r w:rsidR="00D32EBA">
        <w:t> </w:t>
      </w:r>
      <w:r>
        <w:t>21 действительно имело место. Поэтому, учитывая обстоятельства данного дела, Комитет считает, что автор не обосновал в достаточной степени для целей приемлемости данную конкретную претензию, и объявляет эту часть сообщения неприемлемой согласно статье 2 Факультативного протокола</w:t>
      </w:r>
      <w:r w:rsidRPr="00353CEB">
        <w:rPr>
          <w:rStyle w:val="aa"/>
        </w:rPr>
        <w:footnoteReference w:id="4"/>
      </w:r>
      <w:r>
        <w:t>.</w:t>
      </w:r>
    </w:p>
    <w:p w14:paraId="5543B4BA" w14:textId="77777777" w:rsidR="00B47D2F" w:rsidRPr="00862074" w:rsidRDefault="00B47D2F" w:rsidP="00B47D2F">
      <w:pPr>
        <w:pStyle w:val="SingleTxtG"/>
      </w:pPr>
      <w:r>
        <w:t>6.5</w:t>
      </w:r>
      <w:r>
        <w:tab/>
        <w:t>Что касается утверждения автора о нарушении его прав по статье 19 Пакта, то Комитет считает его достаточно обоснованным для целей приемлемости, объявляет его приемлемым и приступает к его рассмотрению по существу.</w:t>
      </w:r>
    </w:p>
    <w:p w14:paraId="21792BDF" w14:textId="77777777" w:rsidR="00B47D2F" w:rsidRPr="00862074" w:rsidRDefault="00B47D2F" w:rsidP="00B47D2F">
      <w:pPr>
        <w:pStyle w:val="H4G"/>
      </w:pPr>
      <w:r>
        <w:lastRenderedPageBreak/>
        <w:tab/>
      </w:r>
      <w:r>
        <w:tab/>
      </w:r>
      <w:r>
        <w:rPr>
          <w:iCs/>
        </w:rPr>
        <w:t>Рассмотрение вопроса по существу</w:t>
      </w:r>
    </w:p>
    <w:p w14:paraId="4094DDDB" w14:textId="77777777" w:rsidR="00B47D2F" w:rsidRPr="00862074" w:rsidRDefault="00B47D2F" w:rsidP="00B47D2F">
      <w:pPr>
        <w:pStyle w:val="SingleTxtG"/>
      </w:pPr>
      <w:r>
        <w:t>7.1</w:t>
      </w:r>
      <w:r>
        <w:tab/>
        <w:t>В соответствии со статьей 5</w:t>
      </w:r>
      <w:r w:rsidRPr="007558D7">
        <w:t xml:space="preserve"> </w:t>
      </w:r>
      <w:r>
        <w:t>(пункт 1) Факультативного протокола Комитет по правам человека рассмотрел настоящее сообщение с учетом всей информации, предоставленной ему сторонами.</w:t>
      </w:r>
    </w:p>
    <w:p w14:paraId="2A0FFE37" w14:textId="77777777" w:rsidR="00B47D2F" w:rsidRPr="00862074" w:rsidRDefault="00B47D2F" w:rsidP="00B47D2F">
      <w:pPr>
        <w:pStyle w:val="SingleTxtG"/>
      </w:pPr>
      <w:r>
        <w:t>7.2</w:t>
      </w:r>
      <w:r>
        <w:tab/>
        <w:t>Комитет принимает к сведению утверждение автора о том, что его право на свободу выражения мнения было ограничено в нарушение статьи 19</w:t>
      </w:r>
      <w:r w:rsidRPr="007558D7">
        <w:t xml:space="preserve"> </w:t>
      </w:r>
      <w:r>
        <w:t xml:space="preserve">(пункт 2) Пакта, поскольку он был подвергнут санкциям за проведение одиночного пикета с целью публичного выражения своего мнения и поддержки европейской интеграции Украины. </w:t>
      </w:r>
    </w:p>
    <w:p w14:paraId="42984DC9" w14:textId="77777777" w:rsidR="00B47D2F" w:rsidRPr="00862074" w:rsidRDefault="00B47D2F" w:rsidP="00B47D2F">
      <w:pPr>
        <w:pStyle w:val="SingleTxtG"/>
      </w:pPr>
      <w:r>
        <w:t>7.3</w:t>
      </w:r>
      <w:r>
        <w:tab/>
        <w:t>Комитет должен рассмотреть вопрос о том, могут ли быть оправданы ограничения на свободу выражения мнений автором по каким-либо критериям, изложенным в статье 19</w:t>
      </w:r>
      <w:r w:rsidRPr="007558D7">
        <w:t xml:space="preserve"> </w:t>
      </w:r>
      <w:r>
        <w:t xml:space="preserve">(пункт 3) Пакта. </w:t>
      </w:r>
    </w:p>
    <w:p w14:paraId="67ECEEA2" w14:textId="57EF0B71" w:rsidR="00B47D2F" w:rsidRPr="00862074" w:rsidRDefault="00B47D2F" w:rsidP="00B47D2F">
      <w:pPr>
        <w:pStyle w:val="SingleTxtG"/>
      </w:pPr>
      <w:r>
        <w:t>7.4</w:t>
      </w:r>
      <w:r>
        <w:tab/>
        <w:t>Комитет напоминает, что свобода мнений и свобода их выражения имеют ключевое значение для любого общества и являются основополагающим элементом любого свободного и демократического общества</w:t>
      </w:r>
      <w:r w:rsidRPr="00353CEB">
        <w:rPr>
          <w:rStyle w:val="aa"/>
        </w:rPr>
        <w:footnoteReference w:id="5"/>
      </w:r>
      <w:r>
        <w:t>. Он отмечает, что статьей 19</w:t>
      </w:r>
      <w:r w:rsidRPr="007558D7">
        <w:t xml:space="preserve"> </w:t>
      </w:r>
      <w:r>
        <w:t>(пункт</w:t>
      </w:r>
      <w:r w:rsidR="00D32EBA">
        <w:t> </w:t>
      </w:r>
      <w:r>
        <w:t xml:space="preserve">3) допускаются некоторые ограничения свободы выражения мнений, включая свободу распространять информацию и идеи, только при том условии, что они установлены законом и являются необходимыми: а) для уважения прав и репутации других лиц; или b) для охраны государственной безопасности, общественного порядка, здоровья или нравственности населения. Наконец, любое ограничение свободы выражения мнений не должно быть чрезмерно широким, т. е. </w:t>
      </w:r>
      <w:r w:rsidRPr="00681C53">
        <w:t>он</w:t>
      </w:r>
      <w:r>
        <w:t>о</w:t>
      </w:r>
      <w:r w:rsidRPr="00681C53">
        <w:t xml:space="preserve"> должн</w:t>
      </w:r>
      <w:r>
        <w:t>о</w:t>
      </w:r>
      <w:r w:rsidRPr="00681C53">
        <w:t xml:space="preserve"> представлять собой наименее ограничительное средство из числа тех, с помощью которых может быть достигнут желаемый результат</w:t>
      </w:r>
      <w:r>
        <w:t>,</w:t>
      </w:r>
      <w:r w:rsidRPr="00681C53">
        <w:t xml:space="preserve"> и он</w:t>
      </w:r>
      <w:r>
        <w:t>о</w:t>
      </w:r>
      <w:r w:rsidRPr="00681C53">
        <w:t xml:space="preserve"> должн</w:t>
      </w:r>
      <w:r>
        <w:t>о</w:t>
      </w:r>
      <w:r w:rsidRPr="00681C53">
        <w:t xml:space="preserve"> являться соразмерным защищаемому интересу</w:t>
      </w:r>
      <w:r w:rsidRPr="00353CEB">
        <w:rPr>
          <w:rStyle w:val="aa"/>
        </w:rPr>
        <w:footnoteReference w:id="6"/>
      </w:r>
      <w:r>
        <w:t>. Комитет напоминает, что именно государство-участник должно продемонстрировать, что ограничения прав автора, предусмотренных статьей 19 Пакта, были необходимы и соразмерны</w:t>
      </w:r>
      <w:r w:rsidRPr="00353CEB">
        <w:rPr>
          <w:rStyle w:val="aa"/>
        </w:rPr>
        <w:footnoteReference w:id="7"/>
      </w:r>
      <w:r>
        <w:t xml:space="preserve">. </w:t>
      </w:r>
    </w:p>
    <w:p w14:paraId="078BBC29" w14:textId="11604F95" w:rsidR="00B47D2F" w:rsidRPr="00862074" w:rsidRDefault="00B47D2F" w:rsidP="00B47D2F">
      <w:pPr>
        <w:pStyle w:val="SingleTxtG"/>
      </w:pPr>
      <w:r>
        <w:t>7.5</w:t>
      </w:r>
      <w:r>
        <w:tab/>
        <w:t>Комитет отмечает, что в данном случае вынесение автору наказания за проведение мирного пикета автора из-за того, что он не получил предварительного разрешения от местных исполнительных органов, и, в частности, наложение на автора штрафа вызывают серьезные сомнения в необходимости и соразмерности ограничений прав автора, защищаемых статьей 19 Пакта. Комитет также отмечает, что государство-участник не привело конкретных оснований в поддержку довода о необходимости ограничений, наложенных на автора, как этого требуют положения статьи 19</w:t>
      </w:r>
      <w:r w:rsidRPr="007558D7">
        <w:t xml:space="preserve"> </w:t>
      </w:r>
      <w:r>
        <w:t>(пункт</w:t>
      </w:r>
      <w:r w:rsidR="00367D53">
        <w:t> </w:t>
      </w:r>
      <w:r>
        <w:t>3) Пакта</w:t>
      </w:r>
      <w:r w:rsidRPr="00353CEB">
        <w:rPr>
          <w:rStyle w:val="aa"/>
        </w:rPr>
        <w:footnoteReference w:id="8"/>
      </w:r>
      <w:r>
        <w:t xml:space="preserve">. Не продемонстрировало государство-участник и того, что </w:t>
      </w:r>
      <w:bookmarkStart w:id="1" w:name="_Hlk98790556"/>
      <w:r>
        <w:t>избранное средство является наименее ограничительным или соразмерным защищаемому интересу</w:t>
      </w:r>
      <w:bookmarkEnd w:id="1"/>
      <w:r>
        <w:t>. Комитет считает, что с учетом обстоятельств данного дела санкции и ограничения, наложенные на автора, хотя они и были основаны на отечественном праве, не были оправданны согласно условиям, изложенным в статье 19 (пункт 3) Пакта. Поэтому он приходит к выводу о том, что права автора, предусмотренные статьей 19 (пункт 2) Пакта, были нарушены</w:t>
      </w:r>
      <w:r w:rsidRPr="00353CEB">
        <w:rPr>
          <w:rStyle w:val="aa"/>
        </w:rPr>
        <w:footnoteReference w:id="9"/>
      </w:r>
      <w:r>
        <w:t xml:space="preserve">. </w:t>
      </w:r>
    </w:p>
    <w:p w14:paraId="16BE1550" w14:textId="77777777" w:rsidR="00B47D2F" w:rsidRPr="00862074" w:rsidRDefault="00B47D2F" w:rsidP="00B47D2F">
      <w:pPr>
        <w:pStyle w:val="SingleTxtG"/>
      </w:pPr>
      <w:r>
        <w:t>8.</w:t>
      </w:r>
      <w:r>
        <w:tab/>
        <w:t>Действуя в соответствии с пунктом 4 статьи 5 Факультативного протокола, Комитет заключает, что представленные ему факты свидетельствуют о нарушении государством-участником прав автора, предусмотренных статьей 19</w:t>
      </w:r>
      <w:r w:rsidRPr="006D4D3F">
        <w:t xml:space="preserve"> </w:t>
      </w:r>
      <w:r>
        <w:t xml:space="preserve">(пункт 2). </w:t>
      </w:r>
    </w:p>
    <w:p w14:paraId="15445C2E" w14:textId="77777777" w:rsidR="00B47D2F" w:rsidRPr="00862074" w:rsidRDefault="00B47D2F" w:rsidP="00B47D2F">
      <w:pPr>
        <w:pStyle w:val="SingleTxtG"/>
      </w:pPr>
      <w:r>
        <w:t>9.</w:t>
      </w:r>
      <w:r>
        <w:tab/>
        <w:t xml:space="preserve">В соответствии с статьей 2 (пункт 3 а)) Пакта государство-участник обязано обеспечить автору эффективное средство правовой защиты. Это требует от него полного возмещения ущерба лицам, чьи права, закрепленные в Пакте, были нарушены. Соответственно, государство-участник обязано, в частности, предоставить автору надлежащую компенсацию, в том числе возместить ему наложенный штраф и любые </w:t>
      </w:r>
      <w:r>
        <w:lastRenderedPageBreak/>
        <w:t>судебные издержки, понесенные автором в связи с внутренним разбирательством. Государство-участник также обязано принять все необходимые меры для предотвращения подобных нарушений в будущем.</w:t>
      </w:r>
    </w:p>
    <w:p w14:paraId="7A911A70" w14:textId="77777777" w:rsidR="00B47D2F" w:rsidRPr="00862074" w:rsidRDefault="00B47D2F" w:rsidP="00B47D2F">
      <w:pPr>
        <w:pStyle w:val="SingleTxtG"/>
      </w:pPr>
      <w:r>
        <w:t>10.</w:t>
      </w:r>
      <w:r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нарушения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также предлагается опубликовать настоящие Соображения и широко распространить их на официальных языках государства-участника.</w:t>
      </w:r>
    </w:p>
    <w:p w14:paraId="69DDDF0D" w14:textId="389D7AAA" w:rsidR="00381C24" w:rsidRPr="00BC18B2" w:rsidRDefault="00B47D2F" w:rsidP="00B47D2F">
      <w:pPr>
        <w:spacing w:before="240"/>
        <w:jc w:val="center"/>
      </w:pPr>
      <w:r w:rsidRPr="00862074">
        <w:rPr>
          <w:u w:val="single"/>
        </w:rPr>
        <w:tab/>
      </w:r>
      <w:r w:rsidRPr="00862074">
        <w:rPr>
          <w:u w:val="single"/>
        </w:rPr>
        <w:tab/>
      </w:r>
      <w:r w:rsidRPr="00862074">
        <w:rPr>
          <w:u w:val="single"/>
        </w:rPr>
        <w:tab/>
      </w:r>
    </w:p>
    <w:sectPr w:rsidR="00381C24" w:rsidRPr="00BC18B2" w:rsidSect="00B47D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67C1" w14:textId="77777777" w:rsidR="00FF33FF" w:rsidRPr="00A312BC" w:rsidRDefault="00FF33FF" w:rsidP="00A312BC"/>
  </w:endnote>
  <w:endnote w:type="continuationSeparator" w:id="0">
    <w:p w14:paraId="3CB4B97C" w14:textId="77777777" w:rsidR="00FF33FF" w:rsidRPr="00A312BC" w:rsidRDefault="00FF33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29C5" w14:textId="318EE73B" w:rsidR="00B47D2F" w:rsidRPr="00B47D2F" w:rsidRDefault="00B47D2F">
    <w:pPr>
      <w:pStyle w:val="a8"/>
    </w:pPr>
    <w:r w:rsidRPr="00B47D2F">
      <w:rPr>
        <w:b/>
        <w:sz w:val="18"/>
      </w:rPr>
      <w:fldChar w:fldCharType="begin"/>
    </w:r>
    <w:r w:rsidRPr="00B47D2F">
      <w:rPr>
        <w:b/>
        <w:sz w:val="18"/>
      </w:rPr>
      <w:instrText xml:space="preserve"> PAGE  \* MERGEFORMAT </w:instrText>
    </w:r>
    <w:r w:rsidRPr="00B47D2F">
      <w:rPr>
        <w:b/>
        <w:sz w:val="18"/>
      </w:rPr>
      <w:fldChar w:fldCharType="separate"/>
    </w:r>
    <w:r w:rsidRPr="00B47D2F">
      <w:rPr>
        <w:b/>
        <w:noProof/>
        <w:sz w:val="18"/>
      </w:rPr>
      <w:t>2</w:t>
    </w:r>
    <w:r w:rsidRPr="00B47D2F">
      <w:rPr>
        <w:b/>
        <w:sz w:val="18"/>
      </w:rPr>
      <w:fldChar w:fldCharType="end"/>
    </w:r>
    <w:r>
      <w:rPr>
        <w:b/>
        <w:sz w:val="18"/>
      </w:rPr>
      <w:tab/>
    </w:r>
    <w:r>
      <w:t>GE.22-02673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31BB" w14:textId="3DF8EA57" w:rsidR="00B47D2F" w:rsidRPr="00B47D2F" w:rsidRDefault="00B47D2F" w:rsidP="00B47D2F">
    <w:pPr>
      <w:pStyle w:val="a8"/>
      <w:tabs>
        <w:tab w:val="clear" w:pos="9639"/>
        <w:tab w:val="right" w:pos="9638"/>
      </w:tabs>
      <w:rPr>
        <w:b/>
        <w:sz w:val="18"/>
      </w:rPr>
    </w:pPr>
    <w:r>
      <w:t>GE.22-02673</w:t>
    </w:r>
    <w:r>
      <w:tab/>
    </w:r>
    <w:r w:rsidRPr="00B47D2F">
      <w:rPr>
        <w:b/>
        <w:sz w:val="18"/>
      </w:rPr>
      <w:fldChar w:fldCharType="begin"/>
    </w:r>
    <w:r w:rsidRPr="00B47D2F">
      <w:rPr>
        <w:b/>
        <w:sz w:val="18"/>
      </w:rPr>
      <w:instrText xml:space="preserve"> PAGE  \* MERGEFORMAT </w:instrText>
    </w:r>
    <w:r w:rsidRPr="00B47D2F">
      <w:rPr>
        <w:b/>
        <w:sz w:val="18"/>
      </w:rPr>
      <w:fldChar w:fldCharType="separate"/>
    </w:r>
    <w:r w:rsidRPr="00B47D2F">
      <w:rPr>
        <w:b/>
        <w:noProof/>
        <w:sz w:val="18"/>
      </w:rPr>
      <w:t>3</w:t>
    </w:r>
    <w:r w:rsidRPr="00B47D2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F74C" w14:textId="0750ED6F" w:rsidR="00042B72" w:rsidRPr="00B47D2F" w:rsidRDefault="00B47D2F" w:rsidP="00B47D2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D42DE1" wp14:editId="1C8DC0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22-02673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46FDFF" wp14:editId="14FF36F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220322  300322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2AF7" w14:textId="77777777" w:rsidR="00FF33FF" w:rsidRPr="001075E9" w:rsidRDefault="00FF33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D19F9D" w14:textId="77777777" w:rsidR="00FF33FF" w:rsidRDefault="00FF33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49202A" w14:textId="21A9C2BD" w:rsidR="00B47D2F" w:rsidRPr="00862074" w:rsidRDefault="00B47D2F" w:rsidP="00B47D2F">
      <w:pPr>
        <w:pStyle w:val="ad"/>
      </w:pPr>
      <w:r>
        <w:tab/>
      </w:r>
      <w:r w:rsidRPr="007D28B4">
        <w:rPr>
          <w:sz w:val="20"/>
        </w:rPr>
        <w:t>*</w:t>
      </w:r>
      <w:r>
        <w:tab/>
        <w:t xml:space="preserve">Приняты Комитетом на его </w:t>
      </w:r>
      <w:r w:rsidR="00367D53">
        <w:t>сто тридцать первой</w:t>
      </w:r>
      <w:r>
        <w:t xml:space="preserve"> сессии (1</w:t>
      </w:r>
      <w:r w:rsidRPr="00B47D2F">
        <w:t>–</w:t>
      </w:r>
      <w:r>
        <w:t>26 марта 2021 года).</w:t>
      </w:r>
    </w:p>
  </w:footnote>
  <w:footnote w:id="2">
    <w:p w14:paraId="0D63BCA2" w14:textId="6DBB8735" w:rsidR="00B47D2F" w:rsidRPr="00D0110E" w:rsidRDefault="00B47D2F" w:rsidP="00B47D2F">
      <w:pPr>
        <w:pStyle w:val="ad"/>
        <w:rPr>
          <w:color w:val="000000" w:themeColor="text1"/>
        </w:rPr>
      </w:pPr>
      <w:r>
        <w:tab/>
      </w:r>
      <w:r w:rsidRPr="007D28B4">
        <w:rPr>
          <w:sz w:val="20"/>
        </w:rPr>
        <w:t>**</w:t>
      </w:r>
      <w:r>
        <w:tab/>
        <w:t xml:space="preserve">В рассмотрении настоящего сообщения приняли участие следующие члены Комитета: </w:t>
      </w:r>
      <w:r w:rsidRPr="00D0110E">
        <w:rPr>
          <w:color w:val="000000" w:themeColor="text1"/>
        </w:rPr>
        <w:t>Тан</w:t>
      </w:r>
      <w:r w:rsidR="00D0110E">
        <w:rPr>
          <w:color w:val="000000" w:themeColor="text1"/>
        </w:rPr>
        <w:t>и</w:t>
      </w:r>
      <w:r w:rsidRPr="00D0110E">
        <w:rPr>
          <w:color w:val="000000" w:themeColor="text1"/>
        </w:rPr>
        <w:t xml:space="preserve">я Мария Абдо Рочоль, Вафа Ашраф Мохаррам Бассим, </w:t>
      </w:r>
      <w:r w:rsidR="00D0110E" w:rsidRPr="00D0110E">
        <w:rPr>
          <w:color w:val="000000" w:themeColor="text1"/>
        </w:rPr>
        <w:t xml:space="preserve">Яд Бен Ашур, </w:t>
      </w:r>
      <w:r w:rsidRPr="00D0110E">
        <w:rPr>
          <w:color w:val="000000" w:themeColor="text1"/>
        </w:rPr>
        <w:t xml:space="preserve">Ариф Балкан, </w:t>
      </w:r>
      <w:r w:rsidR="00D0110E" w:rsidRPr="00D0110E">
        <w:rPr>
          <w:color w:val="000000" w:themeColor="text1"/>
        </w:rPr>
        <w:t xml:space="preserve">Махджуб эль-Хайба, Сюити Фуруя, </w:t>
      </w:r>
      <w:r w:rsidRPr="00D0110E">
        <w:rPr>
          <w:color w:val="000000" w:themeColor="text1"/>
        </w:rPr>
        <w:t xml:space="preserve">Карлос Гомес Мартинес, </w:t>
      </w:r>
      <w:r w:rsidR="00D0110E" w:rsidRPr="00D0110E">
        <w:rPr>
          <w:color w:val="000000" w:themeColor="text1"/>
        </w:rPr>
        <w:t>Марсия В.</w:t>
      </w:r>
      <w:r w:rsidR="00D0110E" w:rsidRPr="00D0110E">
        <w:rPr>
          <w:color w:val="000000" w:themeColor="text1"/>
          <w:lang w:val="fr-CH"/>
        </w:rPr>
        <w:t> </w:t>
      </w:r>
      <w:r w:rsidR="00D0110E" w:rsidRPr="00D0110E">
        <w:rPr>
          <w:color w:val="000000" w:themeColor="text1"/>
        </w:rPr>
        <w:t>Дж. Кран, Данкан Лаки Мухумуза, Фотини Пазардзис, Эрнан Кесада Кабрера, Василька Санцин, Жозе Мануэл Сантуш Паиш, Ч</w:t>
      </w:r>
      <w:r w:rsidR="00D0110E">
        <w:rPr>
          <w:color w:val="000000" w:themeColor="text1"/>
        </w:rPr>
        <w:t>х</w:t>
      </w:r>
      <w:r w:rsidR="00D0110E" w:rsidRPr="00D0110E">
        <w:rPr>
          <w:color w:val="000000" w:themeColor="text1"/>
        </w:rPr>
        <w:t>ан</w:t>
      </w:r>
      <w:r w:rsidR="00D0110E">
        <w:rPr>
          <w:color w:val="000000" w:themeColor="text1"/>
        </w:rPr>
        <w:t>г</w:t>
      </w:r>
      <w:r w:rsidR="00D0110E" w:rsidRPr="00D0110E">
        <w:rPr>
          <w:color w:val="000000" w:themeColor="text1"/>
        </w:rPr>
        <w:t>рок Со</w:t>
      </w:r>
      <w:r w:rsidR="00D0110E">
        <w:rPr>
          <w:color w:val="000000" w:themeColor="text1"/>
        </w:rPr>
        <w:t>х</w:t>
      </w:r>
      <w:r w:rsidR="00D0110E" w:rsidRPr="00D0110E">
        <w:rPr>
          <w:color w:val="000000" w:themeColor="text1"/>
        </w:rPr>
        <w:t>, Кобойя Чамджа Кпача, Элен Тигруджа, Имэру Тэмэрэт Йыгэзу и</w:t>
      </w:r>
      <w:r w:rsidR="00D0110E">
        <w:rPr>
          <w:color w:val="000000" w:themeColor="text1"/>
        </w:rPr>
        <w:t> </w:t>
      </w:r>
      <w:r w:rsidRPr="00D0110E">
        <w:rPr>
          <w:color w:val="000000" w:themeColor="text1"/>
        </w:rPr>
        <w:t>Гентиан Зюбери.</w:t>
      </w:r>
      <w:bookmarkStart w:id="0" w:name="_Hlk66359926"/>
      <w:bookmarkEnd w:id="0"/>
    </w:p>
  </w:footnote>
  <w:footnote w:id="3">
    <w:p w14:paraId="4648505E" w14:textId="77777777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  <w:t>Замечание общего порядка № 37 (2020), п. 13.</w:t>
      </w:r>
    </w:p>
  </w:footnote>
  <w:footnote w:id="4">
    <w:p w14:paraId="5F4004DB" w14:textId="611D3527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</w:r>
      <w:r>
        <w:rPr>
          <w:i/>
          <w:iCs/>
        </w:rPr>
        <w:t>Коулмен против Австралии</w:t>
      </w:r>
      <w:r>
        <w:t xml:space="preserve"> (</w:t>
      </w:r>
      <w:hyperlink r:id="rId1" w:history="1">
        <w:r w:rsidRPr="00D0110E">
          <w:rPr>
            <w:rStyle w:val="af1"/>
          </w:rPr>
          <w:t>CCPR/C/87/D/1157/2003</w:t>
        </w:r>
      </w:hyperlink>
      <w:r>
        <w:t xml:space="preserve">), п. 6.4; </w:t>
      </w:r>
      <w:r>
        <w:rPr>
          <w:i/>
          <w:iCs/>
        </w:rPr>
        <w:t>Левинов против Беларуси</w:t>
      </w:r>
      <w:r>
        <w:t xml:space="preserve"> (</w:t>
      </w:r>
      <w:hyperlink r:id="rId2" w:history="1">
        <w:r w:rsidRPr="00D0110E">
          <w:rPr>
            <w:rStyle w:val="af1"/>
          </w:rPr>
          <w:t>CCPR/C/117/D/2082/2011</w:t>
        </w:r>
      </w:hyperlink>
      <w:r>
        <w:t xml:space="preserve">), п. 7.7; </w:t>
      </w:r>
      <w:r>
        <w:rPr>
          <w:i/>
          <w:iCs/>
        </w:rPr>
        <w:t>Левинов против Беларуси</w:t>
      </w:r>
      <w:r>
        <w:t xml:space="preserve"> (</w:t>
      </w:r>
      <w:hyperlink r:id="rId3" w:history="1">
        <w:r w:rsidRPr="00D0110E">
          <w:rPr>
            <w:rStyle w:val="af1"/>
          </w:rPr>
          <w:t>CCPR/C/105/D/1867/2009</w:t>
        </w:r>
      </w:hyperlink>
      <w:r>
        <w:t xml:space="preserve">, 1936, 1975, 1977–1981, 2010/2010), п. 9.7; и </w:t>
      </w:r>
      <w:r>
        <w:rPr>
          <w:i/>
          <w:iCs/>
        </w:rPr>
        <w:t>Левинов против Беларуси</w:t>
      </w:r>
      <w:r>
        <w:t xml:space="preserve"> (</w:t>
      </w:r>
      <w:hyperlink r:id="rId4" w:history="1">
        <w:r w:rsidRPr="00D0110E">
          <w:rPr>
            <w:rStyle w:val="af1"/>
          </w:rPr>
          <w:t>CCPR/C/123/D/2235/2013</w:t>
        </w:r>
      </w:hyperlink>
      <w:r>
        <w:t>), п.</w:t>
      </w:r>
      <w:r w:rsidR="00D0110E">
        <w:t> </w:t>
      </w:r>
      <w:r>
        <w:t>5.7</w:t>
      </w:r>
      <w:r w:rsidR="0038207F">
        <w:t>.</w:t>
      </w:r>
    </w:p>
  </w:footnote>
  <w:footnote w:id="5">
    <w:p w14:paraId="3607362D" w14:textId="77777777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  <w:t>Замечание общего порядка № 34 (2011), п. 2.</w:t>
      </w:r>
    </w:p>
  </w:footnote>
  <w:footnote w:id="6">
    <w:p w14:paraId="4DB63669" w14:textId="77777777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  <w:t>Замечание общего порядка № 27 (1999), п. 14.</w:t>
      </w:r>
    </w:p>
  </w:footnote>
  <w:footnote w:id="7">
    <w:p w14:paraId="625240B8" w14:textId="1292994C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</w:r>
      <w:r>
        <w:rPr>
          <w:i/>
          <w:iCs/>
        </w:rPr>
        <w:t>Андросенко против Беларуси</w:t>
      </w:r>
      <w:r>
        <w:t xml:space="preserve"> (</w:t>
      </w:r>
      <w:hyperlink r:id="rId5" w:history="1">
        <w:r w:rsidRPr="00D0110E">
          <w:rPr>
            <w:rStyle w:val="af1"/>
          </w:rPr>
          <w:t>CCPR/C/116/D/2092/2011</w:t>
        </w:r>
      </w:hyperlink>
      <w:r>
        <w:t xml:space="preserve">), п. 7.3; и </w:t>
      </w:r>
      <w:r>
        <w:rPr>
          <w:i/>
          <w:iCs/>
        </w:rPr>
        <w:t>Андреев против Беларуси</w:t>
      </w:r>
      <w:r>
        <w:t xml:space="preserve"> (</w:t>
      </w:r>
      <w:hyperlink r:id="rId6" w:history="1">
        <w:r w:rsidRPr="00D0110E">
          <w:rPr>
            <w:rStyle w:val="af1"/>
          </w:rPr>
          <w:t>CCPR/C/131/D/2863/2016</w:t>
        </w:r>
      </w:hyperlink>
      <w:r>
        <w:t>), п. 7.4.</w:t>
      </w:r>
    </w:p>
  </w:footnote>
  <w:footnote w:id="8">
    <w:p w14:paraId="0889C63D" w14:textId="6D0DA3C0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  <w:t xml:space="preserve">См., например, </w:t>
      </w:r>
      <w:r>
        <w:rPr>
          <w:i/>
          <w:iCs/>
        </w:rPr>
        <w:t>Залесская против Беларуси</w:t>
      </w:r>
      <w:r>
        <w:t xml:space="preserve"> (</w:t>
      </w:r>
      <w:hyperlink r:id="rId7" w:history="1">
        <w:r w:rsidRPr="00D0110E">
          <w:rPr>
            <w:rStyle w:val="af1"/>
          </w:rPr>
          <w:t>CCPR/C/101/D/1604/2007</w:t>
        </w:r>
      </w:hyperlink>
      <w:r>
        <w:t xml:space="preserve">), п. 10.5. </w:t>
      </w:r>
    </w:p>
  </w:footnote>
  <w:footnote w:id="9">
    <w:p w14:paraId="2886BB26" w14:textId="4BD172A9" w:rsidR="00B47D2F" w:rsidRPr="00862074" w:rsidRDefault="00B47D2F" w:rsidP="00B47D2F">
      <w:pPr>
        <w:pStyle w:val="ad"/>
      </w:pPr>
      <w:r w:rsidRPr="00D64F21">
        <w:tab/>
      </w:r>
      <w:r w:rsidRPr="00D64F21">
        <w:rPr>
          <w:rStyle w:val="aa"/>
        </w:rPr>
        <w:footnoteRef/>
      </w:r>
      <w:r>
        <w:tab/>
        <w:t xml:space="preserve">См., например, </w:t>
      </w:r>
      <w:r>
        <w:rPr>
          <w:i/>
          <w:iCs/>
        </w:rPr>
        <w:t>Светик против Беларуси</w:t>
      </w:r>
      <w:r>
        <w:t xml:space="preserve"> (</w:t>
      </w:r>
      <w:hyperlink r:id="rId8" w:history="1">
        <w:r w:rsidRPr="00D0110E">
          <w:rPr>
            <w:rStyle w:val="af1"/>
          </w:rPr>
          <w:t>CCPR/C/81/D/927/2000</w:t>
        </w:r>
      </w:hyperlink>
      <w:r>
        <w:t xml:space="preserve">), п. 7.3; и </w:t>
      </w:r>
      <w:r>
        <w:rPr>
          <w:i/>
          <w:iCs/>
        </w:rPr>
        <w:t>Щетко и Щетко против Беларуси</w:t>
      </w:r>
      <w:r>
        <w:t xml:space="preserve"> (</w:t>
      </w:r>
      <w:hyperlink r:id="rId9" w:history="1">
        <w:r w:rsidRPr="00D0110E">
          <w:rPr>
            <w:rStyle w:val="af1"/>
          </w:rPr>
          <w:t>CCPR/C/87/D/1009/2001</w:t>
        </w:r>
      </w:hyperlink>
      <w:r>
        <w:t xml:space="preserve">), п. 7.5.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D53A" w14:textId="127EA5D1" w:rsidR="00B47D2F" w:rsidRPr="00B47D2F" w:rsidRDefault="00CF2203">
    <w:pPr>
      <w:pStyle w:val="a5"/>
    </w:pPr>
    <w:fldSimple w:instr=" TITLE  \* MERGEFORMAT ">
      <w:r w:rsidR="00510497">
        <w:t>CCPR/C/131/D/2622/2015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098" w14:textId="25C4C050" w:rsidR="00B47D2F" w:rsidRPr="00B47D2F" w:rsidRDefault="00CF2203" w:rsidP="00B47D2F">
    <w:pPr>
      <w:pStyle w:val="a5"/>
      <w:jc w:val="right"/>
    </w:pPr>
    <w:fldSimple w:instr=" TITLE  \* MERGEFORMAT ">
      <w:r w:rsidR="00510497">
        <w:t>CCPR/C/131/D/2622/2015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169" w14:textId="77777777" w:rsidR="00B47D2F" w:rsidRDefault="00B47D2F" w:rsidP="00B47D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FF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7339"/>
    <w:rsid w:val="00322004"/>
    <w:rsid w:val="003225C9"/>
    <w:rsid w:val="0032326A"/>
    <w:rsid w:val="003402C2"/>
    <w:rsid w:val="00367D53"/>
    <w:rsid w:val="00375E63"/>
    <w:rsid w:val="00375F01"/>
    <w:rsid w:val="00381C24"/>
    <w:rsid w:val="0038207F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0497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475EC"/>
    <w:rsid w:val="0075523D"/>
    <w:rsid w:val="00757357"/>
    <w:rsid w:val="00787D3A"/>
    <w:rsid w:val="00791B9D"/>
    <w:rsid w:val="007D28B4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47D2F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70279"/>
    <w:rsid w:val="00C805C9"/>
    <w:rsid w:val="00C92939"/>
    <w:rsid w:val="00CA1679"/>
    <w:rsid w:val="00CB151C"/>
    <w:rsid w:val="00CE5A1A"/>
    <w:rsid w:val="00CF2203"/>
    <w:rsid w:val="00CF55F6"/>
    <w:rsid w:val="00D0110E"/>
    <w:rsid w:val="00D32EBA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9F177F"/>
  <w15:docId w15:val="{CF241828-6630-4877-A911-0F2EC81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D0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CCPR/C/81/D/927/2000" TargetMode="External"/><Relationship Id="rId3" Type="http://schemas.openxmlformats.org/officeDocument/2006/relationships/hyperlink" Target="http://undocs.org/en/CCPR/C/105/D/1867/2009" TargetMode="External"/><Relationship Id="rId7" Type="http://schemas.openxmlformats.org/officeDocument/2006/relationships/hyperlink" Target="http://undocs.org/ru/CCPR/C/101/D/1604/2007" TargetMode="External"/><Relationship Id="rId2" Type="http://schemas.openxmlformats.org/officeDocument/2006/relationships/hyperlink" Target="http://undocs.org/ru/CCPR/C/117/D/2082/2011" TargetMode="External"/><Relationship Id="rId1" Type="http://schemas.openxmlformats.org/officeDocument/2006/relationships/hyperlink" Target="http://undocs.org/en/CCPR/C/87/D/1157/2003" TargetMode="External"/><Relationship Id="rId6" Type="http://schemas.openxmlformats.org/officeDocument/2006/relationships/hyperlink" Target="http://undocs.org/ru/CCPR/C/131/D/2863/2016" TargetMode="External"/><Relationship Id="rId5" Type="http://schemas.openxmlformats.org/officeDocument/2006/relationships/hyperlink" Target="http://undocs.org/ru/CCPR/C/116/D/2092/2011" TargetMode="External"/><Relationship Id="rId4" Type="http://schemas.openxmlformats.org/officeDocument/2006/relationships/hyperlink" Target="http://undocs.org/ru/CCPR/C/123/D/2235/2013" TargetMode="External"/><Relationship Id="rId9" Type="http://schemas.openxmlformats.org/officeDocument/2006/relationships/hyperlink" Target="http://undocs.org/ru/CCPR/C/87/D/1009/2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FB1A-F553-481E-818D-416A9BB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5</Pages>
  <Words>1657</Words>
  <Characters>10946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CCPR/C/131/D/2622/2015</vt:lpstr>
      <vt:lpstr>A/</vt:lpstr>
      <vt:lpstr>A/</vt:lpstr>
    </vt:vector>
  </TitlesOfParts>
  <Company>DCM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CCPR/C/131/D/2622/2015</dc:title>
  <dc:subject/>
  <dc:creator>Olga OVTCHINNIKOVA</dc:creator>
  <cp:keywords/>
  <cp:lastModifiedBy>Olga Ovchinnikova</cp:lastModifiedBy>
  <cp:revision>3</cp:revision>
  <cp:lastPrinted>2022-03-30T07:38:00Z</cp:lastPrinted>
  <dcterms:created xsi:type="dcterms:W3CDTF">2022-03-30T07:38:00Z</dcterms:created>
  <dcterms:modified xsi:type="dcterms:W3CDTF">2022-03-30T07:39:00Z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