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EBE7170" w14:textId="77777777" w:rsidTr="005B51C4">
        <w:trPr>
          <w:trHeight w:hRule="exact" w:val="851"/>
        </w:trPr>
        <w:tc>
          <w:tcPr>
            <w:tcW w:w="1274" w:type="dxa"/>
            <w:tcBorders>
              <w:bottom w:val="single" w:sz="4" w:space="0" w:color="auto"/>
            </w:tcBorders>
            <w:shd w:val="clear" w:color="auto" w:fill="auto"/>
          </w:tcPr>
          <w:p w14:paraId="5DCA7052" w14:textId="77777777" w:rsidR="006B3E27" w:rsidRPr="00C175A6" w:rsidRDefault="006B3E27" w:rsidP="0064749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A43F1A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B9B454D" w14:textId="3DDC17B0" w:rsidR="006B3E27" w:rsidRPr="006334A3" w:rsidRDefault="006334A3" w:rsidP="006334A3">
            <w:pPr>
              <w:bidi w:val="0"/>
              <w:rPr>
                <w:szCs w:val="20"/>
              </w:rPr>
            </w:pPr>
            <w:r w:rsidRPr="007B0DF3">
              <w:rPr>
                <w:sz w:val="40"/>
                <w:szCs w:val="20"/>
              </w:rPr>
              <w:t>CCPR</w:t>
            </w:r>
            <w:r w:rsidRPr="007B0DF3">
              <w:rPr>
                <w:szCs w:val="20"/>
              </w:rPr>
              <w:t>/C/</w:t>
            </w:r>
            <w:r w:rsidRPr="0066562F">
              <w:rPr>
                <w:szCs w:val="20"/>
              </w:rPr>
              <w:t>131</w:t>
            </w:r>
            <w:r w:rsidRPr="007B0DF3">
              <w:rPr>
                <w:szCs w:val="20"/>
              </w:rPr>
              <w:t>/D/</w:t>
            </w:r>
            <w:r w:rsidRPr="0066562F">
              <w:rPr>
                <w:szCs w:val="20"/>
              </w:rPr>
              <w:t>2622</w:t>
            </w:r>
            <w:r w:rsidRPr="007B0DF3">
              <w:rPr>
                <w:szCs w:val="20"/>
              </w:rPr>
              <w:t>/</w:t>
            </w:r>
            <w:r w:rsidRPr="0066562F">
              <w:rPr>
                <w:szCs w:val="20"/>
              </w:rPr>
              <w:t>2015</w:t>
            </w:r>
          </w:p>
        </w:tc>
      </w:tr>
      <w:tr w:rsidR="006B3E27" w:rsidRPr="00C175A6" w14:paraId="70D1EACB" w14:textId="77777777" w:rsidTr="005B51C4">
        <w:trPr>
          <w:trHeight w:hRule="exact" w:val="2835"/>
        </w:trPr>
        <w:tc>
          <w:tcPr>
            <w:tcW w:w="1274" w:type="dxa"/>
            <w:tcBorders>
              <w:top w:val="single" w:sz="4" w:space="0" w:color="auto"/>
              <w:bottom w:val="single" w:sz="12" w:space="0" w:color="auto"/>
            </w:tcBorders>
            <w:shd w:val="clear" w:color="auto" w:fill="auto"/>
          </w:tcPr>
          <w:p w14:paraId="1B12C70E"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F608121" wp14:editId="04468F9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A6B372F" w14:textId="77777777" w:rsidR="006B3E27" w:rsidRPr="0066562F" w:rsidRDefault="00ED7442" w:rsidP="00730446">
            <w:pPr>
              <w:spacing w:before="120" w:after="40" w:line="640" w:lineRule="exact"/>
              <w:ind w:left="57"/>
              <w:rPr>
                <w:b/>
                <w:bCs/>
                <w:sz w:val="46"/>
                <w:szCs w:val="46"/>
              </w:rPr>
            </w:pPr>
            <w:r w:rsidRPr="0066562F">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03324BE" w14:textId="1F4BF551" w:rsidR="006B3E27" w:rsidRDefault="006334A3" w:rsidP="004B27E0">
            <w:pPr>
              <w:bidi w:val="0"/>
              <w:spacing w:before="240"/>
              <w:rPr>
                <w:szCs w:val="20"/>
              </w:rPr>
            </w:pPr>
            <w:r>
              <w:rPr>
                <w:szCs w:val="20"/>
              </w:rPr>
              <w:t>Distr.: Gen</w:t>
            </w:r>
            <w:r w:rsidR="00A07640">
              <w:rPr>
                <w:szCs w:val="20"/>
              </w:rPr>
              <w:t>e</w:t>
            </w:r>
            <w:r>
              <w:rPr>
                <w:szCs w:val="20"/>
              </w:rPr>
              <w:t>ral</w:t>
            </w:r>
          </w:p>
          <w:p w14:paraId="25598C13" w14:textId="093D01FB" w:rsidR="006334A3" w:rsidRDefault="00A07640" w:rsidP="006334A3">
            <w:pPr>
              <w:bidi w:val="0"/>
              <w:spacing w:line="240" w:lineRule="exact"/>
              <w:jc w:val="left"/>
              <w:rPr>
                <w:szCs w:val="20"/>
              </w:rPr>
            </w:pPr>
            <w:r w:rsidRPr="0066562F">
              <w:rPr>
                <w:szCs w:val="20"/>
              </w:rPr>
              <w:t>24</w:t>
            </w:r>
            <w:r>
              <w:rPr>
                <w:szCs w:val="20"/>
              </w:rPr>
              <w:t xml:space="preserve"> February </w:t>
            </w:r>
            <w:r w:rsidR="006334A3" w:rsidRPr="0066562F">
              <w:rPr>
                <w:szCs w:val="20"/>
              </w:rPr>
              <w:t>2022</w:t>
            </w:r>
          </w:p>
          <w:p w14:paraId="0DBB2053" w14:textId="77777777" w:rsidR="006334A3" w:rsidRDefault="006334A3" w:rsidP="006334A3">
            <w:pPr>
              <w:bidi w:val="0"/>
              <w:spacing w:line="240" w:lineRule="exact"/>
              <w:jc w:val="left"/>
              <w:rPr>
                <w:szCs w:val="20"/>
              </w:rPr>
            </w:pPr>
            <w:r>
              <w:rPr>
                <w:szCs w:val="20"/>
              </w:rPr>
              <w:t>Arabic</w:t>
            </w:r>
          </w:p>
          <w:p w14:paraId="3E30CA69" w14:textId="7E9FD6AA" w:rsidR="006334A3" w:rsidRPr="006334A3" w:rsidRDefault="006334A3" w:rsidP="006334A3">
            <w:pPr>
              <w:bidi w:val="0"/>
              <w:spacing w:line="240" w:lineRule="exact"/>
              <w:jc w:val="left"/>
              <w:rPr>
                <w:szCs w:val="20"/>
              </w:rPr>
            </w:pPr>
            <w:r>
              <w:rPr>
                <w:szCs w:val="20"/>
              </w:rPr>
              <w:t>Original: English</w:t>
            </w:r>
          </w:p>
        </w:tc>
      </w:tr>
    </w:tbl>
    <w:p w14:paraId="4A1685EE" w14:textId="77777777" w:rsidR="00A07640" w:rsidRPr="0066562F" w:rsidRDefault="00A07640" w:rsidP="00A07640">
      <w:pPr>
        <w:spacing w:before="120" w:line="360" w:lineRule="exact"/>
        <w:textDirection w:val="tbRlV"/>
        <w:rPr>
          <w:b/>
          <w:bCs/>
          <w:color w:val="000000" w:themeColor="text1"/>
          <w:sz w:val="26"/>
          <w:szCs w:val="26"/>
          <w:lang w:val="ar-SA" w:eastAsia="zh-TW" w:bidi="en-GB"/>
        </w:rPr>
      </w:pPr>
      <w:r w:rsidRPr="0066562F">
        <w:rPr>
          <w:b/>
          <w:bCs/>
          <w:sz w:val="26"/>
          <w:szCs w:val="26"/>
          <w:rtl/>
        </w:rPr>
        <w:t>اللجنة المعنية بحقوق الإنسان</w:t>
      </w:r>
    </w:p>
    <w:p w14:paraId="5D1CC530" w14:textId="78F40C0D" w:rsidR="00A07640" w:rsidRPr="0066562F" w:rsidRDefault="00A07640" w:rsidP="00A07640">
      <w:pPr>
        <w:pStyle w:val="HChGA"/>
        <w:rPr>
          <w:sz w:val="34"/>
          <w:szCs w:val="34"/>
          <w:lang w:val="en-US" w:eastAsia="zh-TW" w:bidi="en-GB"/>
        </w:rPr>
      </w:pPr>
      <w:r w:rsidRPr="0066562F">
        <w:rPr>
          <w:rtl/>
        </w:rPr>
        <w:tab/>
      </w:r>
      <w:r w:rsidRPr="0066562F">
        <w:rPr>
          <w:rtl/>
        </w:rPr>
        <w:tab/>
        <w:t xml:space="preserve">الآراء التي اعتمدتها اللجنة بموجب المادة </w:t>
      </w:r>
      <w:r w:rsidRPr="0066562F">
        <w:rPr>
          <w:rFonts w:ascii="Traditional Arabic"/>
          <w:rtl/>
        </w:rPr>
        <w:t>5(4)</w:t>
      </w:r>
      <w:r w:rsidRPr="0066562F">
        <w:rPr>
          <w:rtl/>
        </w:rPr>
        <w:t xml:space="preserve"> من البروتوكول الاختياري</w:t>
      </w:r>
      <w:r w:rsidR="007B0DF3" w:rsidRPr="0066562F">
        <w:rPr>
          <w:rtl/>
        </w:rPr>
        <w:t>،</w:t>
      </w:r>
      <w:r w:rsidRPr="0066562F">
        <w:rPr>
          <w:rtl/>
        </w:rPr>
        <w:t xml:space="preserve"> بشأن البلاغ رقم </w:t>
      </w:r>
      <w:r w:rsidRPr="0066562F">
        <w:rPr>
          <w:rFonts w:ascii="Traditional Arabic"/>
          <w:rtl/>
        </w:rPr>
        <w:t>2622/2015</w:t>
      </w:r>
      <w:r w:rsidRPr="0066562F">
        <w:rPr>
          <w:rStyle w:val="FootnoteReference"/>
          <w:sz w:val="26"/>
          <w:szCs w:val="26"/>
          <w:vertAlign w:val="baseline"/>
          <w:rtl/>
        </w:rPr>
        <w:footnoteReference w:customMarkFollows="1" w:id="1"/>
        <w:t>*</w:t>
      </w:r>
      <w:r w:rsidRPr="0066562F">
        <w:rPr>
          <w:sz w:val="34"/>
          <w:szCs w:val="34"/>
          <w:rtl/>
          <w:lang w:val="en-US" w:eastAsia="zh-TW"/>
        </w:rPr>
        <w:t xml:space="preserve"> </w:t>
      </w:r>
      <w:r w:rsidRPr="0066562F">
        <w:rPr>
          <w:rStyle w:val="FootnoteReference"/>
          <w:sz w:val="26"/>
          <w:szCs w:val="26"/>
          <w:vertAlign w:val="baseline"/>
          <w:rtl/>
          <w:lang w:val="en-US" w:eastAsia="zh-TW"/>
        </w:rPr>
        <w:footnoteReference w:customMarkFollows="1" w:id="2"/>
        <w:t>**</w:t>
      </w:r>
    </w:p>
    <w:p w14:paraId="33C5B873" w14:textId="7C53A8A7"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المقدم من:</w:t>
      </w:r>
      <w:r>
        <w:rPr>
          <w:rtl/>
        </w:rPr>
        <w:tab/>
      </w:r>
      <w:r w:rsidRPr="00A07640">
        <w:rPr>
          <w:rtl/>
        </w:rPr>
        <w:t xml:space="preserve">إيليا </w:t>
      </w:r>
      <w:proofErr w:type="spellStart"/>
      <w:r w:rsidRPr="00A07640">
        <w:rPr>
          <w:rtl/>
        </w:rPr>
        <w:t>دوبروتفور</w:t>
      </w:r>
      <w:proofErr w:type="spellEnd"/>
      <w:r w:rsidRPr="00A07640">
        <w:rPr>
          <w:rtl/>
        </w:rPr>
        <w:t xml:space="preserve"> (لا يمثله محام)</w:t>
      </w:r>
    </w:p>
    <w:p w14:paraId="4341F0D7" w14:textId="5E11EEEF"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الشخص المدعى أنه ضحية:</w:t>
      </w:r>
      <w:r>
        <w:rPr>
          <w:rtl/>
        </w:rPr>
        <w:tab/>
      </w:r>
      <w:r w:rsidRPr="00A07640">
        <w:rPr>
          <w:rtl/>
        </w:rPr>
        <w:t>صاحب البلاغ</w:t>
      </w:r>
    </w:p>
    <w:p w14:paraId="53C13282" w14:textId="40432F08"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الدولة الطرف:</w:t>
      </w:r>
      <w:r>
        <w:rPr>
          <w:rtl/>
        </w:rPr>
        <w:tab/>
      </w:r>
      <w:r w:rsidRPr="00A07640">
        <w:rPr>
          <w:rtl/>
        </w:rPr>
        <w:t>بيلاروس</w:t>
      </w:r>
    </w:p>
    <w:p w14:paraId="35BB8D3A" w14:textId="4DE7D680"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تاريخ تقديم البلاغ:</w:t>
      </w:r>
      <w:r>
        <w:rPr>
          <w:rtl/>
        </w:rPr>
        <w:tab/>
      </w:r>
      <w:r w:rsidRPr="0066562F">
        <w:rPr>
          <w:rtl/>
        </w:rPr>
        <w:t>9</w:t>
      </w:r>
      <w:r w:rsidRPr="00A07640">
        <w:rPr>
          <w:rtl/>
        </w:rPr>
        <w:t xml:space="preserve"> أيلول/سبتمبر </w:t>
      </w:r>
      <w:r w:rsidRPr="0066562F">
        <w:rPr>
          <w:rtl/>
        </w:rPr>
        <w:t>2014</w:t>
      </w:r>
      <w:r w:rsidRPr="00A07640">
        <w:rPr>
          <w:rtl/>
        </w:rPr>
        <w:t xml:space="preserve"> (تاريخ الرسالة الأولى) </w:t>
      </w:r>
    </w:p>
    <w:p w14:paraId="7725C867" w14:textId="3ECD39D0"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الوثائق المرجعية:</w:t>
      </w:r>
      <w:r>
        <w:rPr>
          <w:rtl/>
        </w:rPr>
        <w:tab/>
      </w:r>
      <w:r w:rsidRPr="008F4C77">
        <w:rPr>
          <w:spacing w:val="-2"/>
          <w:rtl/>
        </w:rPr>
        <w:t xml:space="preserve">القرار المتخذ عملاً بالمادة </w:t>
      </w:r>
      <w:r w:rsidRPr="0066562F">
        <w:rPr>
          <w:spacing w:val="-2"/>
          <w:rtl/>
        </w:rPr>
        <w:t>92</w:t>
      </w:r>
      <w:r w:rsidRPr="008F4C77">
        <w:rPr>
          <w:spacing w:val="-2"/>
          <w:rtl/>
        </w:rPr>
        <w:t xml:space="preserve"> من النظام الداخلي للجنة</w:t>
      </w:r>
      <w:r w:rsidR="007B0DF3">
        <w:rPr>
          <w:rtl/>
        </w:rPr>
        <w:t>،</w:t>
      </w:r>
      <w:r w:rsidRPr="00A07640">
        <w:rPr>
          <w:rtl/>
        </w:rPr>
        <w:t xml:space="preserve"> والمحال إلى الدولة الطرف في </w:t>
      </w:r>
      <w:r w:rsidRPr="0066562F">
        <w:rPr>
          <w:rtl/>
        </w:rPr>
        <w:t>23</w:t>
      </w:r>
      <w:r w:rsidRPr="00A07640">
        <w:rPr>
          <w:rtl/>
        </w:rPr>
        <w:t xml:space="preserve"> حزيران/يونيه </w:t>
      </w:r>
      <w:r w:rsidRPr="0066562F">
        <w:rPr>
          <w:rtl/>
        </w:rPr>
        <w:t>2015</w:t>
      </w:r>
      <w:r w:rsidRPr="00A07640">
        <w:rPr>
          <w:rtl/>
        </w:rPr>
        <w:t xml:space="preserve"> (لم يصدر في شكل وثيقة)</w:t>
      </w:r>
    </w:p>
    <w:p w14:paraId="7F860B8E" w14:textId="691807DC"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تاريخ اعتماد الآراء:</w:t>
      </w:r>
      <w:r>
        <w:rPr>
          <w:rtl/>
        </w:rPr>
        <w:tab/>
      </w:r>
      <w:r w:rsidRPr="0066562F">
        <w:rPr>
          <w:rtl/>
        </w:rPr>
        <w:t>25</w:t>
      </w:r>
      <w:r w:rsidRPr="00A07640">
        <w:rPr>
          <w:rtl/>
        </w:rPr>
        <w:t xml:space="preserve"> آذار/مارس </w:t>
      </w:r>
      <w:r w:rsidRPr="0066562F">
        <w:rPr>
          <w:rtl/>
        </w:rPr>
        <w:t>2021</w:t>
      </w:r>
    </w:p>
    <w:p w14:paraId="54763567" w14:textId="1825EF32"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الموضوع:</w:t>
      </w:r>
      <w:r>
        <w:rPr>
          <w:rtl/>
        </w:rPr>
        <w:tab/>
      </w:r>
      <w:r w:rsidRPr="00A07640">
        <w:rPr>
          <w:rtl/>
        </w:rPr>
        <w:t>إجراء اعتصام وحيد غير مصرح به</w:t>
      </w:r>
    </w:p>
    <w:p w14:paraId="55EBA322" w14:textId="0BD38528"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المسائل الإجرائية:</w:t>
      </w:r>
      <w:r>
        <w:rPr>
          <w:rtl/>
        </w:rPr>
        <w:tab/>
      </w:r>
      <w:r w:rsidRPr="00A07640">
        <w:rPr>
          <w:rtl/>
        </w:rPr>
        <w:t>لا يوجد</w:t>
      </w:r>
    </w:p>
    <w:p w14:paraId="4BDE2CB6" w14:textId="56861430"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المسائل الموضوعية:</w:t>
      </w:r>
      <w:r>
        <w:rPr>
          <w:rtl/>
        </w:rPr>
        <w:tab/>
      </w:r>
      <w:r w:rsidRPr="00A07640">
        <w:rPr>
          <w:rtl/>
        </w:rPr>
        <w:t>فرض قيود لا مبرر لها على الحق في حرية التعبير</w:t>
      </w:r>
    </w:p>
    <w:p w14:paraId="25662865" w14:textId="40B084F7" w:rsidR="00A07640" w:rsidRPr="00A07640" w:rsidRDefault="00A07640" w:rsidP="00A07640">
      <w:pPr>
        <w:pStyle w:val="SingleTxtGA"/>
        <w:tabs>
          <w:tab w:val="clear" w:pos="1928"/>
          <w:tab w:val="clear" w:pos="2608"/>
          <w:tab w:val="clear" w:pos="3289"/>
          <w:tab w:val="clear" w:pos="3969"/>
          <w:tab w:val="clear" w:pos="4649"/>
          <w:tab w:val="clear" w:pos="5330"/>
        </w:tabs>
        <w:ind w:left="4649" w:hanging="2721"/>
      </w:pPr>
      <w:r w:rsidRPr="0066562F">
        <w:rPr>
          <w:i/>
          <w:iCs/>
          <w:rtl/>
        </w:rPr>
        <w:t>مواد العهد:</w:t>
      </w:r>
      <w:r>
        <w:rPr>
          <w:rtl/>
        </w:rPr>
        <w:tab/>
      </w:r>
      <w:r w:rsidRPr="0066562F">
        <w:rPr>
          <w:rtl/>
        </w:rPr>
        <w:t>19</w:t>
      </w:r>
      <w:r w:rsidRPr="00A07640">
        <w:rPr>
          <w:rtl/>
        </w:rPr>
        <w:t xml:space="preserve"> و</w:t>
      </w:r>
      <w:r w:rsidRPr="0066562F">
        <w:rPr>
          <w:rtl/>
        </w:rPr>
        <w:t>21</w:t>
      </w:r>
    </w:p>
    <w:p w14:paraId="5B288235" w14:textId="0474540F" w:rsidR="00A07640" w:rsidRPr="00A07640" w:rsidRDefault="0051525D" w:rsidP="00A07640">
      <w:pPr>
        <w:pStyle w:val="SingleTxtGA"/>
        <w:tabs>
          <w:tab w:val="clear" w:pos="1928"/>
          <w:tab w:val="clear" w:pos="2608"/>
          <w:tab w:val="clear" w:pos="3289"/>
          <w:tab w:val="clear" w:pos="3969"/>
          <w:tab w:val="clear" w:pos="4649"/>
          <w:tab w:val="clear" w:pos="5330"/>
        </w:tabs>
        <w:ind w:left="4649" w:hanging="2721"/>
      </w:pPr>
      <w:dir w:val="rtl">
        <w:r w:rsidR="00A07640" w:rsidRPr="0066562F">
          <w:rPr>
            <w:i/>
            <w:iCs/>
            <w:rtl/>
          </w:rPr>
          <w:t>مواد البروتوكول الاختياري</w:t>
        </w:r>
        <w:r w:rsidR="00A07640" w:rsidRPr="0066562F">
          <w:rPr>
            <w:rFonts w:hint="cs"/>
            <w:i/>
            <w:iCs/>
            <w:rtl/>
          </w:rPr>
          <w:t>:</w:t>
        </w:r>
        <w:r w:rsidR="00A07640">
          <w:rPr>
            <w:rtl/>
          </w:rPr>
          <w:tab/>
        </w:r>
        <w:r w:rsidR="00A07640" w:rsidRPr="00A07640">
          <w:rPr>
            <w:rtl/>
          </w:rPr>
          <w:t>لا يوجد</w:t>
        </w:r>
        <w:r w:rsidR="00A07640" w:rsidRPr="00A07640">
          <w:t>‬</w:t>
        </w:r>
        <w:r w:rsidR="00A07640" w:rsidRPr="00A07640">
          <w:t>‬</w:t>
        </w:r>
        <w:r w:rsidR="00A07640" w:rsidRPr="00A07640">
          <w:t>‬</w:t>
        </w:r>
        <w:r>
          <w:t>‬</w:t>
        </w:r>
      </w:dir>
    </w:p>
    <w:p w14:paraId="3C180B16" w14:textId="5ABE8238" w:rsidR="00A07640" w:rsidRPr="00A07640" w:rsidRDefault="00A07640" w:rsidP="00A07640">
      <w:pPr>
        <w:pStyle w:val="SingleTxtGA"/>
        <w:spacing w:before="240"/>
        <w:rPr>
          <w:rFonts w:eastAsiaTheme="minorEastAsia"/>
          <w:lang w:val="ar-SA" w:eastAsia="zh-TW" w:bidi="en-GB"/>
        </w:rPr>
      </w:pPr>
      <w:r w:rsidRPr="0066562F">
        <w:rPr>
          <w:rFonts w:eastAsiaTheme="minorEastAsia"/>
          <w:rtl/>
        </w:rPr>
        <w:t>1</w:t>
      </w:r>
      <w:r w:rsidRPr="00A07640">
        <w:rPr>
          <w:rFonts w:eastAsiaTheme="minorEastAsia"/>
          <w:rtl/>
        </w:rPr>
        <w:t>-</w:t>
      </w:r>
      <w:r w:rsidRPr="00A07640">
        <w:rPr>
          <w:rFonts w:eastAsiaTheme="minorEastAsia"/>
          <w:rtl/>
        </w:rPr>
        <w:tab/>
        <w:t xml:space="preserve">صاحب البلاغ إيليا </w:t>
      </w:r>
      <w:proofErr w:type="spellStart"/>
      <w:r w:rsidRPr="00A07640">
        <w:rPr>
          <w:rFonts w:eastAsiaTheme="minorEastAsia"/>
          <w:rtl/>
        </w:rPr>
        <w:t>دوبروتفور</w:t>
      </w:r>
      <w:proofErr w:type="spellEnd"/>
      <w:r w:rsidR="007B0DF3">
        <w:rPr>
          <w:rFonts w:eastAsiaTheme="minorEastAsia"/>
          <w:rtl/>
        </w:rPr>
        <w:t>،</w:t>
      </w:r>
      <w:r w:rsidRPr="00A07640">
        <w:rPr>
          <w:rFonts w:eastAsiaTheme="minorEastAsia"/>
          <w:rtl/>
        </w:rPr>
        <w:t xml:space="preserve"> مواطن من بيلاروس مولود في عام </w:t>
      </w:r>
      <w:r w:rsidRPr="0066562F">
        <w:rPr>
          <w:rFonts w:eastAsiaTheme="minorEastAsia"/>
          <w:rtl/>
        </w:rPr>
        <w:t>1981</w:t>
      </w:r>
      <w:r w:rsidRPr="00A07640">
        <w:rPr>
          <w:rFonts w:eastAsiaTheme="minorEastAsia"/>
          <w:rtl/>
        </w:rPr>
        <w:t xml:space="preserve">. ويدعي أن الدولة الطرف انتهكت حقوقه المكفولة بموجب المادتين </w:t>
      </w:r>
      <w:r w:rsidRPr="0066562F">
        <w:rPr>
          <w:rFonts w:eastAsiaTheme="minorEastAsia"/>
          <w:rtl/>
        </w:rPr>
        <w:t>19</w:t>
      </w:r>
      <w:r w:rsidRPr="00A07640">
        <w:rPr>
          <w:rFonts w:eastAsiaTheme="minorEastAsia"/>
          <w:rtl/>
        </w:rPr>
        <w:t xml:space="preserve"> و</w:t>
      </w:r>
      <w:r w:rsidRPr="0066562F">
        <w:rPr>
          <w:rFonts w:eastAsiaTheme="minorEastAsia"/>
          <w:rtl/>
        </w:rPr>
        <w:t>21</w:t>
      </w:r>
      <w:r w:rsidRPr="00A07640">
        <w:rPr>
          <w:rFonts w:eastAsiaTheme="minorEastAsia"/>
          <w:rtl/>
        </w:rPr>
        <w:t xml:space="preserve"> من العهد. وقد دخل البروتوكول الاختياري حيز النفاذ بالنسبة للدولة الطرف في </w:t>
      </w:r>
      <w:r w:rsidRPr="0066562F">
        <w:rPr>
          <w:rFonts w:eastAsiaTheme="minorEastAsia"/>
          <w:rtl/>
        </w:rPr>
        <w:t>30</w:t>
      </w:r>
      <w:r w:rsidRPr="00A07640">
        <w:rPr>
          <w:rFonts w:eastAsiaTheme="minorEastAsia"/>
          <w:rtl/>
        </w:rPr>
        <w:t xml:space="preserve"> كانون الأول/ديسمبر </w:t>
      </w:r>
      <w:r w:rsidRPr="0066562F">
        <w:rPr>
          <w:rFonts w:eastAsiaTheme="minorEastAsia"/>
          <w:rtl/>
        </w:rPr>
        <w:t>1992</w:t>
      </w:r>
      <w:r w:rsidRPr="00A07640">
        <w:rPr>
          <w:rFonts w:eastAsiaTheme="minorEastAsia"/>
          <w:rtl/>
        </w:rPr>
        <w:t>. ولا يمثل صاحبَ البلاغ محامٍ.</w:t>
      </w:r>
    </w:p>
    <w:p w14:paraId="016E310C" w14:textId="77777777" w:rsidR="00A07640" w:rsidRPr="0066562F" w:rsidRDefault="00A07640" w:rsidP="00A07640">
      <w:pPr>
        <w:pStyle w:val="H23GA"/>
        <w:rPr>
          <w:lang w:val="ar-SA" w:eastAsia="zh-TW" w:bidi="en-GB"/>
        </w:rPr>
      </w:pPr>
      <w:r w:rsidRPr="0066562F">
        <w:rPr>
          <w:rtl/>
        </w:rPr>
        <w:lastRenderedPageBreak/>
        <w:tab/>
      </w:r>
      <w:r w:rsidRPr="0066562F">
        <w:rPr>
          <w:rtl/>
        </w:rPr>
        <w:tab/>
        <w:t>الوقائع كما عرضها صاحب البلاغ</w:t>
      </w:r>
    </w:p>
    <w:p w14:paraId="7B5C5BF8" w14:textId="05702BCB" w:rsidR="00A07640" w:rsidRPr="00A07640" w:rsidRDefault="00A07640" w:rsidP="00A07640">
      <w:pPr>
        <w:pStyle w:val="SingleTxtGA"/>
        <w:rPr>
          <w:rFonts w:eastAsiaTheme="minorEastAsia"/>
          <w:lang w:val="ar-SA" w:eastAsia="zh-TW" w:bidi="en-GB"/>
        </w:rPr>
      </w:pPr>
      <w:r w:rsidRPr="0066562F">
        <w:rPr>
          <w:rFonts w:eastAsiaTheme="minorEastAsia"/>
          <w:rtl/>
        </w:rPr>
        <w:t>2</w:t>
      </w:r>
      <w:r w:rsidRPr="00A07640">
        <w:rPr>
          <w:rFonts w:eastAsiaTheme="minorEastAsia"/>
          <w:rtl/>
        </w:rPr>
        <w:t>-</w:t>
      </w:r>
      <w:r w:rsidRPr="0066562F">
        <w:rPr>
          <w:rFonts w:eastAsiaTheme="minorEastAsia"/>
          <w:rtl/>
        </w:rPr>
        <w:t>1</w:t>
      </w:r>
      <w:r w:rsidRPr="00A07640">
        <w:rPr>
          <w:rFonts w:eastAsiaTheme="minorEastAsia"/>
          <w:rtl/>
        </w:rPr>
        <w:tab/>
        <w:t xml:space="preserve">في </w:t>
      </w:r>
      <w:r w:rsidRPr="0066562F">
        <w:rPr>
          <w:rFonts w:eastAsiaTheme="minorEastAsia"/>
          <w:rtl/>
        </w:rPr>
        <w:t>30</w:t>
      </w:r>
      <w:r w:rsidRPr="00A07640">
        <w:rPr>
          <w:rFonts w:eastAsiaTheme="minorEastAsia"/>
          <w:rtl/>
        </w:rPr>
        <w:t xml:space="preserve"> تشرين الثاني/نوفمبر </w:t>
      </w:r>
      <w:r w:rsidRPr="0066562F">
        <w:rPr>
          <w:rFonts w:eastAsiaTheme="minorEastAsia"/>
          <w:rtl/>
        </w:rPr>
        <w:t>2013</w:t>
      </w:r>
      <w:r w:rsidR="007B0DF3">
        <w:rPr>
          <w:rFonts w:eastAsiaTheme="minorEastAsia"/>
          <w:rtl/>
        </w:rPr>
        <w:t>،</w:t>
      </w:r>
      <w:r w:rsidRPr="00A07640">
        <w:rPr>
          <w:rFonts w:eastAsiaTheme="minorEastAsia"/>
          <w:rtl/>
        </w:rPr>
        <w:t xml:space="preserve"> وقف صاحب البلاغ أمام سفارة أوكرانيا في مينسك حاملاً علماً أوكرانياً بين يديه </w:t>
      </w:r>
      <w:r w:rsidRPr="007C1189">
        <w:rPr>
          <w:rFonts w:eastAsiaTheme="minorEastAsia"/>
          <w:rtl/>
        </w:rPr>
        <w:t xml:space="preserve">من </w:t>
      </w:r>
      <w:r w:rsidRPr="0066562F">
        <w:rPr>
          <w:rFonts w:eastAsiaTheme="minorEastAsia"/>
          <w:rtl/>
        </w:rPr>
        <w:t>الساعة 00/</w:t>
      </w:r>
      <w:r w:rsidR="008F4C77" w:rsidRPr="0066562F">
        <w:rPr>
          <w:rFonts w:eastAsiaTheme="minorEastAsia" w:hint="cs"/>
          <w:rtl/>
        </w:rPr>
        <w:t xml:space="preserve">16 </w:t>
      </w:r>
      <w:r w:rsidRPr="0066562F">
        <w:rPr>
          <w:rFonts w:eastAsiaTheme="minorEastAsia"/>
          <w:rtl/>
        </w:rPr>
        <w:t>إلى الساعة 10/</w:t>
      </w:r>
      <w:r w:rsidR="008F4C77" w:rsidRPr="0066562F">
        <w:rPr>
          <w:rFonts w:eastAsiaTheme="minorEastAsia" w:hint="cs"/>
          <w:rtl/>
        </w:rPr>
        <w:t>16</w:t>
      </w:r>
      <w:r w:rsidRPr="0066562F">
        <w:rPr>
          <w:rFonts w:eastAsiaTheme="minorEastAsia"/>
          <w:rtl/>
        </w:rPr>
        <w:t>.</w:t>
      </w:r>
      <w:r w:rsidRPr="007C1189">
        <w:rPr>
          <w:rFonts w:eastAsiaTheme="minorEastAsia"/>
          <w:rtl/>
        </w:rPr>
        <w:t xml:space="preserve"> وقد أراد</w:t>
      </w:r>
      <w:r w:rsidRPr="00A07640">
        <w:rPr>
          <w:rFonts w:eastAsiaTheme="minorEastAsia"/>
          <w:rtl/>
        </w:rPr>
        <w:t xml:space="preserve"> بوقفته أن يعرب عن تضامنه مع الشعب الأوكراني وأن يظهر تأييده للخيار الذي اتخذته حكومة أوكرانيا بالتوجه نحو التكامل الأوروبي.</w:t>
      </w:r>
    </w:p>
    <w:p w14:paraId="2141254B" w14:textId="6A140F6C" w:rsidR="00A07640" w:rsidRPr="00A07640" w:rsidRDefault="00A07640" w:rsidP="00A07640">
      <w:pPr>
        <w:pStyle w:val="SingleTxtGA"/>
        <w:rPr>
          <w:rFonts w:eastAsiaTheme="minorEastAsia"/>
          <w:lang w:val="ar-SA" w:eastAsia="zh-TW" w:bidi="en-GB"/>
        </w:rPr>
      </w:pPr>
      <w:r w:rsidRPr="0066562F">
        <w:rPr>
          <w:rFonts w:eastAsiaTheme="minorEastAsia"/>
          <w:rtl/>
        </w:rPr>
        <w:t>2</w:t>
      </w:r>
      <w:r w:rsidRPr="00A07640">
        <w:rPr>
          <w:rFonts w:eastAsiaTheme="minorEastAsia"/>
          <w:rtl/>
        </w:rPr>
        <w:t>-</w:t>
      </w:r>
      <w:r w:rsidRPr="0066562F">
        <w:rPr>
          <w:rFonts w:eastAsiaTheme="minorEastAsia"/>
          <w:rtl/>
        </w:rPr>
        <w:t>2</w:t>
      </w:r>
      <w:r w:rsidRPr="00A07640">
        <w:rPr>
          <w:rFonts w:eastAsiaTheme="minorEastAsia"/>
          <w:rtl/>
        </w:rPr>
        <w:tab/>
        <w:t xml:space="preserve">وفي </w:t>
      </w:r>
      <w:r w:rsidRPr="0066562F">
        <w:rPr>
          <w:rFonts w:eastAsiaTheme="minorEastAsia"/>
          <w:rtl/>
        </w:rPr>
        <w:t>10</w:t>
      </w:r>
      <w:r w:rsidRPr="00A07640">
        <w:rPr>
          <w:rFonts w:eastAsiaTheme="minorEastAsia"/>
          <w:rtl/>
        </w:rPr>
        <w:t xml:space="preserve"> كانون الأول/ديسمبر </w:t>
      </w:r>
      <w:r w:rsidRPr="0066562F">
        <w:rPr>
          <w:rFonts w:eastAsiaTheme="minorEastAsia"/>
          <w:rtl/>
        </w:rPr>
        <w:t>2013</w:t>
      </w:r>
      <w:r w:rsidR="007B0DF3">
        <w:rPr>
          <w:rFonts w:eastAsiaTheme="minorEastAsia"/>
          <w:rtl/>
        </w:rPr>
        <w:t>،</w:t>
      </w:r>
      <w:r w:rsidRPr="00A07640">
        <w:rPr>
          <w:rFonts w:eastAsiaTheme="minorEastAsia"/>
          <w:rtl/>
        </w:rPr>
        <w:t xml:space="preserve"> ألقت الشرطة القبض على صاحب البلاغ فيما يتصل باعتصامه بتاريخ </w:t>
      </w:r>
      <w:r w:rsidRPr="0066562F">
        <w:rPr>
          <w:rFonts w:eastAsiaTheme="minorEastAsia"/>
          <w:rtl/>
        </w:rPr>
        <w:t>30</w:t>
      </w:r>
      <w:r w:rsidRPr="00A07640">
        <w:rPr>
          <w:rFonts w:eastAsiaTheme="minorEastAsia"/>
          <w:rtl/>
        </w:rPr>
        <w:t xml:space="preserve"> تشرين الثاني/نوفمبر </w:t>
      </w:r>
      <w:r w:rsidRPr="0066562F">
        <w:rPr>
          <w:rFonts w:eastAsiaTheme="minorEastAsia"/>
          <w:rtl/>
        </w:rPr>
        <w:t>2013</w:t>
      </w:r>
      <w:r w:rsidRPr="00A07640">
        <w:rPr>
          <w:rFonts w:eastAsiaTheme="minorEastAsia"/>
          <w:rtl/>
        </w:rPr>
        <w:t xml:space="preserve"> واحتجزته طوال الليل في مركز احتجاز تابع للشرطة. واتهمته الشرطة بارتكاب مخالفة إدارية لكونه خرق الأمر المتعلق بتنظيم وإقامة فعاليات جماهيرية (اجتماعات</w:t>
      </w:r>
      <w:r w:rsidR="007B0DF3">
        <w:rPr>
          <w:rFonts w:eastAsiaTheme="minorEastAsia"/>
          <w:rtl/>
        </w:rPr>
        <w:t>،</w:t>
      </w:r>
      <w:r w:rsidRPr="00A07640">
        <w:rPr>
          <w:rFonts w:eastAsiaTheme="minorEastAsia"/>
          <w:rtl/>
        </w:rPr>
        <w:t xml:space="preserve"> ومسيرات في الشوارع</w:t>
      </w:r>
      <w:r w:rsidR="007B0DF3">
        <w:rPr>
          <w:rFonts w:eastAsiaTheme="minorEastAsia"/>
          <w:rtl/>
        </w:rPr>
        <w:t>،</w:t>
      </w:r>
      <w:r w:rsidRPr="00A07640">
        <w:rPr>
          <w:rFonts w:eastAsiaTheme="minorEastAsia"/>
          <w:rtl/>
        </w:rPr>
        <w:t xml:space="preserve"> ومظاهرات</w:t>
      </w:r>
      <w:r w:rsidR="007B0DF3">
        <w:rPr>
          <w:rFonts w:eastAsiaTheme="minorEastAsia"/>
          <w:rtl/>
        </w:rPr>
        <w:t>،</w:t>
      </w:r>
      <w:r w:rsidRPr="00A07640">
        <w:rPr>
          <w:rFonts w:eastAsiaTheme="minorEastAsia"/>
          <w:rtl/>
        </w:rPr>
        <w:t xml:space="preserve"> واعتصامات). </w:t>
      </w:r>
    </w:p>
    <w:p w14:paraId="5B407859" w14:textId="48993B3C" w:rsidR="00A07640" w:rsidRPr="00A07640" w:rsidRDefault="00A07640" w:rsidP="00A07640">
      <w:pPr>
        <w:pStyle w:val="SingleTxtGA"/>
        <w:rPr>
          <w:rFonts w:eastAsiaTheme="minorEastAsia"/>
          <w:lang w:val="en-US" w:eastAsia="zh-TW" w:bidi="en-GB"/>
        </w:rPr>
      </w:pPr>
      <w:r w:rsidRPr="0066562F">
        <w:rPr>
          <w:rFonts w:eastAsiaTheme="minorEastAsia"/>
          <w:rtl/>
        </w:rPr>
        <w:t>2</w:t>
      </w:r>
      <w:r w:rsidRPr="00A07640">
        <w:rPr>
          <w:rFonts w:eastAsiaTheme="minorEastAsia"/>
          <w:rtl/>
        </w:rPr>
        <w:t>-</w:t>
      </w:r>
      <w:r w:rsidRPr="0066562F">
        <w:rPr>
          <w:rFonts w:eastAsiaTheme="minorEastAsia"/>
          <w:rtl/>
        </w:rPr>
        <w:t>3</w:t>
      </w:r>
      <w:r w:rsidRPr="00A07640">
        <w:rPr>
          <w:rFonts w:eastAsiaTheme="minorEastAsia"/>
          <w:rtl/>
        </w:rPr>
        <w:tab/>
        <w:t xml:space="preserve">وفي </w:t>
      </w:r>
      <w:r w:rsidRPr="0066562F">
        <w:rPr>
          <w:rFonts w:eastAsiaTheme="minorEastAsia"/>
          <w:rtl/>
        </w:rPr>
        <w:t>12</w:t>
      </w:r>
      <w:r w:rsidRPr="00A07640">
        <w:rPr>
          <w:rFonts w:eastAsiaTheme="minorEastAsia"/>
          <w:rtl/>
        </w:rPr>
        <w:t xml:space="preserve"> كانون الأول/ديسمبر </w:t>
      </w:r>
      <w:r w:rsidRPr="0066562F">
        <w:rPr>
          <w:rFonts w:eastAsiaTheme="minorEastAsia"/>
          <w:rtl/>
        </w:rPr>
        <w:t>2013</w:t>
      </w:r>
      <w:r w:rsidR="007B0DF3">
        <w:rPr>
          <w:rFonts w:eastAsiaTheme="minorEastAsia"/>
          <w:rtl/>
        </w:rPr>
        <w:t>،</w:t>
      </w:r>
      <w:r w:rsidRPr="00A07640">
        <w:rPr>
          <w:rFonts w:eastAsiaTheme="minorEastAsia"/>
          <w:rtl/>
        </w:rPr>
        <w:t xml:space="preserve"> أدانت محكمة منطقة مينسك المركزية صاحب البلاغ بانتهاك المادة </w:t>
      </w:r>
      <w:r w:rsidRPr="0066562F">
        <w:rPr>
          <w:rFonts w:eastAsiaTheme="minorEastAsia"/>
          <w:rtl/>
        </w:rPr>
        <w:t>23</w:t>
      </w:r>
      <w:r w:rsidRPr="00A07640">
        <w:rPr>
          <w:rFonts w:eastAsiaTheme="minorEastAsia"/>
          <w:rtl/>
        </w:rPr>
        <w:t>-</w:t>
      </w:r>
      <w:r w:rsidRPr="0066562F">
        <w:rPr>
          <w:rFonts w:eastAsiaTheme="minorEastAsia"/>
          <w:rtl/>
        </w:rPr>
        <w:t>34</w:t>
      </w:r>
      <w:r w:rsidRPr="00A07640">
        <w:rPr>
          <w:rFonts w:eastAsiaTheme="minorEastAsia"/>
          <w:rtl/>
        </w:rPr>
        <w:t>(</w:t>
      </w:r>
      <w:r w:rsidRPr="0066562F">
        <w:rPr>
          <w:rFonts w:eastAsiaTheme="minorEastAsia"/>
          <w:rtl/>
        </w:rPr>
        <w:t>1</w:t>
      </w:r>
      <w:r w:rsidRPr="00A07640">
        <w:rPr>
          <w:rFonts w:eastAsiaTheme="minorEastAsia"/>
          <w:rtl/>
        </w:rPr>
        <w:t>) من قانون المخالفات الإدارية</w:t>
      </w:r>
      <w:r w:rsidR="007B0DF3">
        <w:rPr>
          <w:rFonts w:eastAsiaTheme="minorEastAsia"/>
          <w:rtl/>
        </w:rPr>
        <w:t>،</w:t>
      </w:r>
      <w:r w:rsidRPr="00A07640">
        <w:rPr>
          <w:rFonts w:eastAsiaTheme="minorEastAsia"/>
          <w:rtl/>
        </w:rPr>
        <w:t xml:space="preserve"> وغرمته بمبلغ</w:t>
      </w:r>
      <w:r>
        <w:rPr>
          <w:rFonts w:eastAsiaTheme="minorEastAsia" w:hint="cs"/>
          <w:rtl/>
        </w:rPr>
        <w:t xml:space="preserve"> </w:t>
      </w:r>
      <w:r w:rsidRPr="0066562F">
        <w:rPr>
          <w:rFonts w:eastAsiaTheme="minorEastAsia" w:hint="cs"/>
          <w:rtl/>
        </w:rPr>
        <w:t>000</w:t>
      </w:r>
      <w:r w:rsidRPr="007C1189">
        <w:rPr>
          <w:rFonts w:eastAsiaTheme="minorEastAsia" w:hint="cs"/>
          <w:rtl/>
        </w:rPr>
        <w:t xml:space="preserve"> </w:t>
      </w:r>
      <w:r w:rsidRPr="0066562F">
        <w:rPr>
          <w:rFonts w:eastAsiaTheme="minorEastAsia" w:hint="cs"/>
          <w:rtl/>
        </w:rPr>
        <w:t>040</w:t>
      </w:r>
      <w:r w:rsidRPr="007C1189">
        <w:rPr>
          <w:rFonts w:eastAsiaTheme="minorEastAsia" w:hint="cs"/>
          <w:rtl/>
        </w:rPr>
        <w:t xml:space="preserve"> </w:t>
      </w:r>
      <w:r w:rsidRPr="0066562F">
        <w:rPr>
          <w:rFonts w:eastAsiaTheme="minorEastAsia" w:hint="cs"/>
          <w:rtl/>
        </w:rPr>
        <w:t>1</w:t>
      </w:r>
      <w:r w:rsidRPr="00A07640">
        <w:rPr>
          <w:rFonts w:eastAsiaTheme="minorEastAsia"/>
          <w:rtl/>
        </w:rPr>
        <w:t xml:space="preserve"> روبل بيلاروسي (أي ما يعادل </w:t>
      </w:r>
      <w:r w:rsidRPr="0066562F">
        <w:rPr>
          <w:rFonts w:eastAsiaTheme="minorEastAsia"/>
          <w:rtl/>
        </w:rPr>
        <w:t>76</w:t>
      </w:r>
      <w:r w:rsidRPr="00A07640">
        <w:rPr>
          <w:rFonts w:eastAsiaTheme="minorEastAsia"/>
          <w:rtl/>
        </w:rPr>
        <w:t xml:space="preserve"> يورو تقريباً). وأدين صاحب البلاغ لأنه لم يلتمس إذناً مسبقاً من السلطات المحلية لإجراء الاعتصام. </w:t>
      </w:r>
    </w:p>
    <w:p w14:paraId="5355E0D2" w14:textId="236B9951" w:rsidR="00A07640" w:rsidRPr="00A07640" w:rsidRDefault="00A07640" w:rsidP="00A07640">
      <w:pPr>
        <w:pStyle w:val="SingleTxtGA"/>
        <w:rPr>
          <w:rFonts w:eastAsiaTheme="minorEastAsia"/>
          <w:lang w:val="ar-SA" w:eastAsia="zh-TW" w:bidi="en-GB"/>
        </w:rPr>
      </w:pPr>
      <w:r w:rsidRPr="0066562F">
        <w:rPr>
          <w:rFonts w:eastAsiaTheme="minorEastAsia"/>
          <w:rtl/>
        </w:rPr>
        <w:t>2</w:t>
      </w:r>
      <w:r w:rsidRPr="00A07640">
        <w:rPr>
          <w:rFonts w:eastAsiaTheme="minorEastAsia"/>
          <w:rtl/>
        </w:rPr>
        <w:t>-</w:t>
      </w:r>
      <w:r w:rsidRPr="0066562F">
        <w:rPr>
          <w:rFonts w:eastAsiaTheme="minorEastAsia"/>
          <w:rtl/>
        </w:rPr>
        <w:t>4</w:t>
      </w:r>
      <w:r w:rsidRPr="00A07640">
        <w:rPr>
          <w:rFonts w:eastAsiaTheme="minorEastAsia"/>
          <w:rtl/>
        </w:rPr>
        <w:tab/>
        <w:t>وقدم صاحب البلاغ طعناً إلى محكمة مدينة مينسك</w:t>
      </w:r>
      <w:r w:rsidR="007B0DF3">
        <w:rPr>
          <w:rFonts w:eastAsiaTheme="minorEastAsia"/>
          <w:rtl/>
        </w:rPr>
        <w:t>،</w:t>
      </w:r>
      <w:r w:rsidRPr="00A07640">
        <w:rPr>
          <w:rFonts w:eastAsiaTheme="minorEastAsia"/>
          <w:rtl/>
        </w:rPr>
        <w:t xml:space="preserve"> محتجاً بأن أفعاله لم تكن تشكل تهديداً وأنه كان ببساطة يعبر عن رأيه السياسي. وفي </w:t>
      </w:r>
      <w:r w:rsidRPr="0066562F">
        <w:rPr>
          <w:rFonts w:eastAsiaTheme="minorEastAsia"/>
          <w:rtl/>
        </w:rPr>
        <w:t>28</w:t>
      </w:r>
      <w:r w:rsidRPr="00A07640">
        <w:rPr>
          <w:rFonts w:eastAsiaTheme="minorEastAsia"/>
          <w:rtl/>
        </w:rPr>
        <w:t xml:space="preserve"> كانون الثاني/يناير </w:t>
      </w:r>
      <w:r w:rsidRPr="0066562F">
        <w:rPr>
          <w:rFonts w:eastAsiaTheme="minorEastAsia"/>
          <w:rtl/>
        </w:rPr>
        <w:t>2014</w:t>
      </w:r>
      <w:r w:rsidR="007B0DF3">
        <w:rPr>
          <w:rFonts w:eastAsiaTheme="minorEastAsia"/>
          <w:rtl/>
        </w:rPr>
        <w:t>،</w:t>
      </w:r>
      <w:r w:rsidRPr="00A07640">
        <w:rPr>
          <w:rFonts w:eastAsiaTheme="minorEastAsia"/>
          <w:rtl/>
        </w:rPr>
        <w:t xml:space="preserve"> رفضت محكمة مدينة مينسك الطعن الذي قدمه صاحب البلاغ</w:t>
      </w:r>
      <w:r w:rsidR="007B0DF3">
        <w:rPr>
          <w:rFonts w:eastAsiaTheme="minorEastAsia"/>
          <w:rtl/>
        </w:rPr>
        <w:t>،</w:t>
      </w:r>
      <w:r w:rsidRPr="00A07640">
        <w:rPr>
          <w:rFonts w:eastAsiaTheme="minorEastAsia"/>
          <w:rtl/>
        </w:rPr>
        <w:t xml:space="preserve"> وأيدت قرار المحكمة الابتدائية. فقدم صاحب البلاغ طعناً آخر إلى رئيس محكمة مدينة مينسك الذي رفض طعنه في </w:t>
      </w:r>
      <w:r w:rsidRPr="0066562F">
        <w:rPr>
          <w:rFonts w:eastAsiaTheme="minorEastAsia"/>
          <w:rtl/>
        </w:rPr>
        <w:t>18</w:t>
      </w:r>
      <w:r w:rsidRPr="00A07640">
        <w:rPr>
          <w:rFonts w:eastAsiaTheme="minorEastAsia"/>
          <w:rtl/>
        </w:rPr>
        <w:t xml:space="preserve"> نيسان/أبريل </w:t>
      </w:r>
      <w:r w:rsidRPr="0066562F">
        <w:rPr>
          <w:rFonts w:eastAsiaTheme="minorEastAsia"/>
          <w:rtl/>
        </w:rPr>
        <w:t>2014</w:t>
      </w:r>
      <w:r w:rsidRPr="00A07640">
        <w:rPr>
          <w:rFonts w:eastAsiaTheme="minorEastAsia"/>
          <w:rtl/>
        </w:rPr>
        <w:t xml:space="preserve">. واستأنف صاحب البلاغ بعدها أمام المحكمة العليا. ورفض نائب رئيس المحكمة العليا استئنافه في </w:t>
      </w:r>
      <w:r w:rsidRPr="0066562F">
        <w:rPr>
          <w:rFonts w:eastAsiaTheme="minorEastAsia"/>
          <w:rtl/>
        </w:rPr>
        <w:t>27</w:t>
      </w:r>
      <w:r w:rsidRPr="00A07640">
        <w:rPr>
          <w:rFonts w:eastAsiaTheme="minorEastAsia"/>
          <w:rtl/>
        </w:rPr>
        <w:t xml:space="preserve"> حزيران/يونيه </w:t>
      </w:r>
      <w:r w:rsidRPr="0066562F">
        <w:rPr>
          <w:rFonts w:eastAsiaTheme="minorEastAsia"/>
          <w:rtl/>
        </w:rPr>
        <w:t>2014</w:t>
      </w:r>
      <w:r w:rsidRPr="00A07640">
        <w:rPr>
          <w:rFonts w:eastAsiaTheme="minorEastAsia"/>
          <w:rtl/>
        </w:rPr>
        <w:t>.</w:t>
      </w:r>
    </w:p>
    <w:p w14:paraId="209EC71C" w14:textId="77777777" w:rsidR="00A07640" w:rsidRPr="0066562F" w:rsidRDefault="00A07640" w:rsidP="00A07640">
      <w:pPr>
        <w:pStyle w:val="H23GA"/>
        <w:rPr>
          <w:lang w:val="ar-SA" w:eastAsia="zh-TW" w:bidi="en-GB"/>
        </w:rPr>
      </w:pPr>
      <w:r w:rsidRPr="0066562F">
        <w:rPr>
          <w:rtl/>
        </w:rPr>
        <w:tab/>
      </w:r>
      <w:r w:rsidRPr="0066562F">
        <w:rPr>
          <w:rtl/>
        </w:rPr>
        <w:tab/>
        <w:t>الشكوى</w:t>
      </w:r>
    </w:p>
    <w:p w14:paraId="06494974" w14:textId="621D2A80" w:rsidR="00A07640" w:rsidRPr="00A07640" w:rsidRDefault="00A07640" w:rsidP="00A07640">
      <w:pPr>
        <w:pStyle w:val="SingleTxtGA"/>
        <w:rPr>
          <w:rFonts w:eastAsiaTheme="minorEastAsia"/>
          <w:lang w:val="ar-SA" w:eastAsia="zh-TW" w:bidi="en-GB"/>
        </w:rPr>
      </w:pPr>
      <w:r w:rsidRPr="0066562F">
        <w:rPr>
          <w:rFonts w:eastAsiaTheme="minorEastAsia"/>
          <w:rtl/>
        </w:rPr>
        <w:t>3</w:t>
      </w:r>
      <w:r w:rsidRPr="00A07640">
        <w:rPr>
          <w:rFonts w:eastAsiaTheme="minorEastAsia"/>
          <w:rtl/>
        </w:rPr>
        <w:t>-</w:t>
      </w:r>
      <w:r w:rsidRPr="0066562F">
        <w:rPr>
          <w:rFonts w:eastAsiaTheme="minorEastAsia"/>
          <w:rtl/>
        </w:rPr>
        <w:t>1</w:t>
      </w:r>
      <w:r w:rsidRPr="00A07640">
        <w:rPr>
          <w:rFonts w:eastAsiaTheme="minorEastAsia"/>
          <w:rtl/>
        </w:rPr>
        <w:tab/>
        <w:t xml:space="preserve">يدعي صاحب البلاغ أن حقوقه في حرية التعبير والتجمع السلمي بموجب المادتين </w:t>
      </w:r>
      <w:r w:rsidRPr="0066562F">
        <w:rPr>
          <w:rFonts w:eastAsiaTheme="minorEastAsia"/>
          <w:rtl/>
        </w:rPr>
        <w:t>19</w:t>
      </w:r>
      <w:r w:rsidRPr="00A07640">
        <w:rPr>
          <w:rFonts w:eastAsiaTheme="minorEastAsia"/>
          <w:rtl/>
        </w:rPr>
        <w:t xml:space="preserve"> و</w:t>
      </w:r>
      <w:r w:rsidRPr="0066562F">
        <w:rPr>
          <w:rFonts w:eastAsiaTheme="minorEastAsia"/>
          <w:rtl/>
        </w:rPr>
        <w:t>21</w:t>
      </w:r>
      <w:r w:rsidRPr="00A07640">
        <w:rPr>
          <w:rFonts w:eastAsiaTheme="minorEastAsia"/>
          <w:rtl/>
        </w:rPr>
        <w:t xml:space="preserve"> من العهد قد انتهكت بسبب القيود غير الضرورية التي يفرضها القانون</w:t>
      </w:r>
      <w:r w:rsidR="007B0DF3">
        <w:rPr>
          <w:rFonts w:eastAsiaTheme="minorEastAsia"/>
          <w:rtl/>
        </w:rPr>
        <w:t>،</w:t>
      </w:r>
      <w:r w:rsidRPr="00A07640">
        <w:rPr>
          <w:rFonts w:eastAsiaTheme="minorEastAsia"/>
          <w:rtl/>
        </w:rPr>
        <w:t xml:space="preserve"> واعتقاله الإداري بعد مرور </w:t>
      </w:r>
      <w:r w:rsidRPr="0066562F">
        <w:rPr>
          <w:rFonts w:eastAsiaTheme="minorEastAsia"/>
          <w:rtl/>
        </w:rPr>
        <w:t>10</w:t>
      </w:r>
      <w:r w:rsidRPr="00A07640">
        <w:rPr>
          <w:rFonts w:eastAsiaTheme="minorEastAsia"/>
          <w:rtl/>
        </w:rPr>
        <w:t xml:space="preserve"> أيام على الاعتصام</w:t>
      </w:r>
      <w:r w:rsidR="007B0DF3">
        <w:rPr>
          <w:rFonts w:eastAsiaTheme="minorEastAsia"/>
          <w:rtl/>
        </w:rPr>
        <w:t>،</w:t>
      </w:r>
      <w:r w:rsidRPr="00A07640">
        <w:rPr>
          <w:rFonts w:eastAsiaTheme="minorEastAsia"/>
          <w:rtl/>
        </w:rPr>
        <w:t xml:space="preserve"> والعقوبات غير المتناسبة التي فرضتها عليه المحاكم. </w:t>
      </w:r>
    </w:p>
    <w:p w14:paraId="4493972B" w14:textId="23273FFB" w:rsidR="00A07640" w:rsidRPr="00A07640" w:rsidRDefault="00A07640" w:rsidP="00A07640">
      <w:pPr>
        <w:pStyle w:val="SingleTxtGA"/>
        <w:rPr>
          <w:rFonts w:eastAsiaTheme="minorEastAsia"/>
          <w:lang w:val="ar-SA" w:eastAsia="zh-TW" w:bidi="en-GB"/>
        </w:rPr>
      </w:pPr>
      <w:r w:rsidRPr="0066562F">
        <w:rPr>
          <w:rFonts w:eastAsiaTheme="minorEastAsia"/>
          <w:rtl/>
        </w:rPr>
        <w:t>3</w:t>
      </w:r>
      <w:r w:rsidRPr="00A07640">
        <w:rPr>
          <w:rFonts w:eastAsiaTheme="minorEastAsia"/>
          <w:rtl/>
        </w:rPr>
        <w:t>-</w:t>
      </w:r>
      <w:r w:rsidRPr="0066562F">
        <w:rPr>
          <w:rFonts w:eastAsiaTheme="minorEastAsia"/>
          <w:rtl/>
        </w:rPr>
        <w:t>2</w:t>
      </w:r>
      <w:r w:rsidRPr="00A07640">
        <w:rPr>
          <w:rFonts w:eastAsiaTheme="minorEastAsia"/>
          <w:rtl/>
        </w:rPr>
        <w:tab/>
        <w:t>ويطلب صاحب البلاغ إلى اللجنة أن تحث الدولة الطرف على إعادة النظر في الحكم الإداري الصادر بحقه وأن تدفع له تعويضاً يقابل مبلغ الغرامة أو أكثر. وعلاوة على ذلك</w:t>
      </w:r>
      <w:r w:rsidR="007B0DF3">
        <w:rPr>
          <w:rFonts w:eastAsiaTheme="minorEastAsia"/>
          <w:rtl/>
        </w:rPr>
        <w:t>،</w:t>
      </w:r>
      <w:r w:rsidRPr="00A07640">
        <w:rPr>
          <w:rFonts w:eastAsiaTheme="minorEastAsia"/>
          <w:rtl/>
        </w:rPr>
        <w:t xml:space="preserve"> ينبغي للجنة أن تحث الدولة الطرف على مواءمة تشريعاتها المتعلقة بالحق في حرية التجمع السلمي مع مقتضيات العهد وعلى تجنب حدوث انتهاكات مماثلة في المستقبل. </w:t>
      </w:r>
    </w:p>
    <w:p w14:paraId="6D1B3704" w14:textId="77777777" w:rsidR="00A07640" w:rsidRPr="0066562F" w:rsidRDefault="00A07640" w:rsidP="00A07640">
      <w:pPr>
        <w:pStyle w:val="H23GA"/>
        <w:rPr>
          <w:lang w:val="ar-SA" w:eastAsia="zh-TW" w:bidi="en-GB"/>
        </w:rPr>
      </w:pPr>
      <w:r w:rsidRPr="0066562F">
        <w:rPr>
          <w:rtl/>
        </w:rPr>
        <w:tab/>
      </w:r>
      <w:r w:rsidRPr="0066562F">
        <w:rPr>
          <w:rtl/>
        </w:rPr>
        <w:tab/>
        <w:t>ملاحظات الدولة الطرف بشأن المقبولية والأسس الموضوعية</w:t>
      </w:r>
    </w:p>
    <w:p w14:paraId="481A91F5" w14:textId="34F1AF40" w:rsidR="00A07640" w:rsidRPr="00A07640" w:rsidRDefault="00A07640" w:rsidP="00A07640">
      <w:pPr>
        <w:pStyle w:val="SingleTxtGA"/>
        <w:rPr>
          <w:rFonts w:eastAsiaTheme="minorEastAsia"/>
          <w:lang w:val="ar-SA" w:eastAsia="zh-TW" w:bidi="en-GB"/>
        </w:rPr>
      </w:pPr>
      <w:r w:rsidRPr="0066562F">
        <w:rPr>
          <w:rFonts w:eastAsiaTheme="minorEastAsia"/>
          <w:rtl/>
        </w:rPr>
        <w:t>4</w:t>
      </w:r>
      <w:r w:rsidRPr="00A07640">
        <w:rPr>
          <w:rFonts w:eastAsiaTheme="minorEastAsia"/>
          <w:rtl/>
        </w:rPr>
        <w:t>-</w:t>
      </w:r>
      <w:r w:rsidRPr="00A07640">
        <w:rPr>
          <w:rFonts w:eastAsiaTheme="minorEastAsia"/>
          <w:rtl/>
        </w:rPr>
        <w:tab/>
        <w:t xml:space="preserve">في مذكّرة شفوية مؤرخة </w:t>
      </w:r>
      <w:r w:rsidRPr="0066562F">
        <w:rPr>
          <w:rFonts w:eastAsiaTheme="minorEastAsia"/>
          <w:rtl/>
        </w:rPr>
        <w:t>28</w:t>
      </w:r>
      <w:r w:rsidRPr="00A07640">
        <w:rPr>
          <w:rFonts w:eastAsiaTheme="minorEastAsia"/>
          <w:rtl/>
        </w:rPr>
        <w:t xml:space="preserve"> آب/أغسطس </w:t>
      </w:r>
      <w:r w:rsidRPr="0066562F">
        <w:rPr>
          <w:rFonts w:eastAsiaTheme="minorEastAsia"/>
          <w:rtl/>
        </w:rPr>
        <w:t>2015</w:t>
      </w:r>
      <w:r w:rsidR="007B0DF3">
        <w:rPr>
          <w:rFonts w:eastAsiaTheme="minorEastAsia"/>
          <w:rtl/>
        </w:rPr>
        <w:t>،</w:t>
      </w:r>
      <w:r w:rsidRPr="00A07640">
        <w:rPr>
          <w:rFonts w:eastAsiaTheme="minorEastAsia"/>
          <w:rtl/>
        </w:rPr>
        <w:t xml:space="preserve"> قدّمت الدولة الطرف ملاحظاتها بشأن </w:t>
      </w:r>
      <w:r w:rsidRPr="00A07640">
        <w:rPr>
          <w:rFonts w:eastAsiaTheme="minorEastAsia"/>
          <w:spacing w:val="-4"/>
          <w:rtl/>
        </w:rPr>
        <w:t xml:space="preserve">المقبولية والأسس الموضوعية. وهي تذكر بوقائع القضية مشيرة إلى أنه في </w:t>
      </w:r>
      <w:r w:rsidRPr="0066562F">
        <w:rPr>
          <w:rFonts w:eastAsiaTheme="minorEastAsia"/>
          <w:spacing w:val="-4"/>
          <w:rtl/>
        </w:rPr>
        <w:t>12</w:t>
      </w:r>
      <w:r w:rsidRPr="00A07640">
        <w:rPr>
          <w:rFonts w:eastAsiaTheme="minorEastAsia"/>
          <w:spacing w:val="-4"/>
          <w:rtl/>
        </w:rPr>
        <w:t xml:space="preserve"> كانون الأول/ديسمبر </w:t>
      </w:r>
      <w:r w:rsidRPr="0066562F">
        <w:rPr>
          <w:rFonts w:eastAsiaTheme="minorEastAsia"/>
          <w:spacing w:val="-4"/>
          <w:rtl/>
        </w:rPr>
        <w:t>2013</w:t>
      </w:r>
      <w:r w:rsidR="007B0DF3">
        <w:rPr>
          <w:rFonts w:eastAsiaTheme="minorEastAsia"/>
          <w:spacing w:val="-4"/>
          <w:rtl/>
        </w:rPr>
        <w:t>،</w:t>
      </w:r>
      <w:r w:rsidRPr="00A07640">
        <w:rPr>
          <w:rFonts w:eastAsiaTheme="minorEastAsia"/>
          <w:rtl/>
        </w:rPr>
        <w:t xml:space="preserve"> غرّمت محكمة منطقة مينسك المركزية صاحب البلاغ بمبلغ </w:t>
      </w:r>
      <w:r w:rsidRPr="0066562F">
        <w:rPr>
          <w:rFonts w:eastAsiaTheme="minorEastAsia" w:hint="cs"/>
          <w:rtl/>
        </w:rPr>
        <w:t>000</w:t>
      </w:r>
      <w:r w:rsidRPr="007C1189">
        <w:rPr>
          <w:rFonts w:eastAsiaTheme="minorEastAsia" w:hint="cs"/>
          <w:rtl/>
        </w:rPr>
        <w:t xml:space="preserve"> </w:t>
      </w:r>
      <w:r w:rsidRPr="0066562F">
        <w:rPr>
          <w:rFonts w:eastAsiaTheme="minorEastAsia" w:hint="cs"/>
          <w:rtl/>
        </w:rPr>
        <w:t>040</w:t>
      </w:r>
      <w:r w:rsidRPr="007C1189">
        <w:rPr>
          <w:rFonts w:eastAsiaTheme="minorEastAsia" w:hint="cs"/>
          <w:rtl/>
        </w:rPr>
        <w:t xml:space="preserve"> </w:t>
      </w:r>
      <w:r w:rsidRPr="0066562F">
        <w:rPr>
          <w:rFonts w:eastAsiaTheme="minorEastAsia" w:hint="cs"/>
          <w:rtl/>
        </w:rPr>
        <w:t>1</w:t>
      </w:r>
      <w:r w:rsidRPr="00A07640">
        <w:rPr>
          <w:rFonts w:eastAsiaTheme="minorEastAsia"/>
          <w:rtl/>
        </w:rPr>
        <w:t xml:space="preserve"> روبل بيلاروسي لانتهاكه المادة</w:t>
      </w:r>
      <w:r>
        <w:rPr>
          <w:rFonts w:eastAsiaTheme="minorEastAsia" w:hint="cs"/>
          <w:rtl/>
        </w:rPr>
        <w:t> </w:t>
      </w:r>
      <w:r w:rsidRPr="0066562F">
        <w:rPr>
          <w:rFonts w:eastAsiaTheme="minorEastAsia"/>
          <w:rtl/>
        </w:rPr>
        <w:t>23</w:t>
      </w:r>
      <w:r w:rsidRPr="00A07640">
        <w:rPr>
          <w:rFonts w:eastAsiaTheme="minorEastAsia"/>
          <w:rtl/>
        </w:rPr>
        <w:t>-</w:t>
      </w:r>
      <w:r w:rsidRPr="0066562F">
        <w:rPr>
          <w:rFonts w:eastAsiaTheme="minorEastAsia"/>
          <w:rtl/>
        </w:rPr>
        <w:t>34</w:t>
      </w:r>
      <w:r w:rsidRPr="00A07640">
        <w:rPr>
          <w:rFonts w:eastAsiaTheme="minorEastAsia"/>
          <w:rtl/>
        </w:rPr>
        <w:t>(</w:t>
      </w:r>
      <w:r w:rsidRPr="0066562F">
        <w:rPr>
          <w:rFonts w:eastAsiaTheme="minorEastAsia"/>
          <w:rtl/>
        </w:rPr>
        <w:t>1</w:t>
      </w:r>
      <w:r w:rsidRPr="00A07640">
        <w:rPr>
          <w:rFonts w:eastAsiaTheme="minorEastAsia"/>
          <w:rtl/>
        </w:rPr>
        <w:t xml:space="preserve">) من قانون المخالفات الإدارية؛ وفي </w:t>
      </w:r>
      <w:r w:rsidRPr="0066562F">
        <w:rPr>
          <w:rFonts w:eastAsiaTheme="minorEastAsia"/>
          <w:rtl/>
        </w:rPr>
        <w:t>28</w:t>
      </w:r>
      <w:r w:rsidRPr="00A07640">
        <w:rPr>
          <w:rFonts w:eastAsiaTheme="minorEastAsia"/>
          <w:rtl/>
        </w:rPr>
        <w:t xml:space="preserve"> كانون الثاني/يناير </w:t>
      </w:r>
      <w:r w:rsidRPr="0066562F">
        <w:rPr>
          <w:rFonts w:eastAsiaTheme="minorEastAsia"/>
          <w:rtl/>
        </w:rPr>
        <w:t>2014</w:t>
      </w:r>
      <w:r w:rsidR="007B0DF3">
        <w:rPr>
          <w:rFonts w:eastAsiaTheme="minorEastAsia"/>
          <w:rtl/>
        </w:rPr>
        <w:t>،</w:t>
      </w:r>
      <w:r w:rsidRPr="00A07640">
        <w:rPr>
          <w:rFonts w:eastAsiaTheme="minorEastAsia"/>
          <w:rtl/>
        </w:rPr>
        <w:t xml:space="preserve"> رفضت محكمة </w:t>
      </w:r>
      <w:r w:rsidRPr="008F4C77">
        <w:rPr>
          <w:rFonts w:eastAsiaTheme="minorEastAsia"/>
          <w:spacing w:val="-2"/>
          <w:rtl/>
        </w:rPr>
        <w:t>مدينة مينسك الطعن الذي قدمه صاحب البلاغ</w:t>
      </w:r>
      <w:r w:rsidR="007B0DF3" w:rsidRPr="008F4C77">
        <w:rPr>
          <w:rFonts w:eastAsiaTheme="minorEastAsia"/>
          <w:spacing w:val="-2"/>
          <w:rtl/>
        </w:rPr>
        <w:t>،</w:t>
      </w:r>
      <w:r w:rsidRPr="008F4C77">
        <w:rPr>
          <w:rFonts w:eastAsiaTheme="minorEastAsia"/>
          <w:spacing w:val="-2"/>
          <w:rtl/>
        </w:rPr>
        <w:t xml:space="preserve"> وأيدت قرار المحكمة الابتدائية. وثبتت إدانة صاحب البلاغ</w:t>
      </w:r>
      <w:r w:rsidR="007B0DF3">
        <w:rPr>
          <w:rFonts w:eastAsiaTheme="minorEastAsia"/>
          <w:rtl/>
        </w:rPr>
        <w:t>،</w:t>
      </w:r>
      <w:r w:rsidRPr="00A07640">
        <w:rPr>
          <w:rFonts w:eastAsiaTheme="minorEastAsia"/>
          <w:rtl/>
        </w:rPr>
        <w:t xml:space="preserve"> وفرض القضاة</w:t>
      </w:r>
      <w:r w:rsidR="007B0DF3">
        <w:rPr>
          <w:rFonts w:eastAsiaTheme="minorEastAsia"/>
          <w:rtl/>
        </w:rPr>
        <w:t>،</w:t>
      </w:r>
      <w:r w:rsidRPr="00A07640">
        <w:rPr>
          <w:rFonts w:eastAsiaTheme="minorEastAsia"/>
          <w:rtl/>
        </w:rPr>
        <w:t xml:space="preserve"> الذين أخذوا العوامل المخففة في حسبانهم</w:t>
      </w:r>
      <w:r w:rsidR="007B0DF3">
        <w:rPr>
          <w:rFonts w:eastAsiaTheme="minorEastAsia"/>
          <w:rtl/>
        </w:rPr>
        <w:t>،</w:t>
      </w:r>
      <w:r w:rsidRPr="00A07640">
        <w:rPr>
          <w:rFonts w:eastAsiaTheme="minorEastAsia"/>
          <w:rtl/>
        </w:rPr>
        <w:t xml:space="preserve"> غرامة تتناسب مع المخالفة وهي ليست</w:t>
      </w:r>
      <w:r>
        <w:rPr>
          <w:rFonts w:eastAsiaTheme="minorEastAsia" w:hint="cs"/>
          <w:rtl/>
        </w:rPr>
        <w:t> </w:t>
      </w:r>
      <w:r w:rsidRPr="00A07640">
        <w:rPr>
          <w:rFonts w:eastAsiaTheme="minorEastAsia"/>
          <w:rtl/>
        </w:rPr>
        <w:t>أشد الغرامات التي كان يمكن فرضها. وتعترض الدولة الطرف على الحجج التي ساقها صاحب البلاغ. وفي الختام</w:t>
      </w:r>
      <w:r w:rsidR="007B0DF3">
        <w:rPr>
          <w:rFonts w:eastAsiaTheme="minorEastAsia"/>
          <w:rtl/>
        </w:rPr>
        <w:t>،</w:t>
      </w:r>
      <w:r w:rsidRPr="00A07640">
        <w:rPr>
          <w:rFonts w:eastAsiaTheme="minorEastAsia"/>
          <w:rtl/>
        </w:rPr>
        <w:t xml:space="preserve"> ترى الدولة الطرف أن سلطاتها احترمت أحكام القانون والدستور</w:t>
      </w:r>
      <w:r w:rsidR="007B0DF3">
        <w:rPr>
          <w:rFonts w:eastAsiaTheme="minorEastAsia"/>
          <w:rtl/>
        </w:rPr>
        <w:t>،</w:t>
      </w:r>
      <w:r w:rsidRPr="00A07640">
        <w:rPr>
          <w:rFonts w:eastAsiaTheme="minorEastAsia"/>
          <w:rtl/>
        </w:rPr>
        <w:t xml:space="preserve"> عندما خلصت إلى</w:t>
      </w:r>
      <w:r>
        <w:rPr>
          <w:rFonts w:eastAsiaTheme="minorEastAsia" w:hint="cs"/>
          <w:rtl/>
        </w:rPr>
        <w:t> </w:t>
      </w:r>
      <w:r w:rsidRPr="00A07640">
        <w:rPr>
          <w:rFonts w:eastAsiaTheme="minorEastAsia"/>
          <w:rtl/>
        </w:rPr>
        <w:t>أن</w:t>
      </w:r>
      <w:r>
        <w:rPr>
          <w:rFonts w:eastAsiaTheme="minorEastAsia" w:hint="cs"/>
          <w:rtl/>
        </w:rPr>
        <w:t> </w:t>
      </w:r>
      <w:r w:rsidRPr="00A07640">
        <w:rPr>
          <w:rFonts w:eastAsiaTheme="minorEastAsia"/>
          <w:rtl/>
        </w:rPr>
        <w:t>صاحب البلاغ مسؤول عن ارتكاب مخالفة إدارية. وبناء على ذلك</w:t>
      </w:r>
      <w:r w:rsidR="007B0DF3">
        <w:rPr>
          <w:rFonts w:eastAsiaTheme="minorEastAsia"/>
          <w:rtl/>
        </w:rPr>
        <w:t>،</w:t>
      </w:r>
      <w:r w:rsidRPr="00A07640">
        <w:rPr>
          <w:rFonts w:eastAsiaTheme="minorEastAsia"/>
          <w:rtl/>
        </w:rPr>
        <w:t xml:space="preserve"> تدعو الدولة الطرف اللجنة إلى رفض البلاغ.</w:t>
      </w:r>
    </w:p>
    <w:p w14:paraId="3E5E476F" w14:textId="77777777" w:rsidR="00A07640" w:rsidRPr="0066562F" w:rsidRDefault="00A07640" w:rsidP="00A07640">
      <w:pPr>
        <w:pStyle w:val="H23GA"/>
        <w:rPr>
          <w:lang w:val="ar-SA" w:eastAsia="zh-TW" w:bidi="en-GB"/>
        </w:rPr>
      </w:pPr>
      <w:r w:rsidRPr="0066562F">
        <w:rPr>
          <w:rtl/>
        </w:rPr>
        <w:tab/>
      </w:r>
      <w:r w:rsidRPr="0066562F">
        <w:rPr>
          <w:rtl/>
        </w:rPr>
        <w:tab/>
        <w:t>تعليقات صاحب البلاغ على ملاحظات الدولة الطرف بشأن المقبولية والأسس الموضوعية</w:t>
      </w:r>
    </w:p>
    <w:p w14:paraId="41E74896" w14:textId="524CD272" w:rsidR="00A07640" w:rsidRPr="00A07640" w:rsidRDefault="00A07640" w:rsidP="00A07640">
      <w:pPr>
        <w:pStyle w:val="SingleTxtGA"/>
        <w:rPr>
          <w:rFonts w:eastAsiaTheme="minorEastAsia"/>
          <w:lang w:val="ar-SA" w:eastAsia="zh-TW" w:bidi="en-GB"/>
        </w:rPr>
      </w:pPr>
      <w:r w:rsidRPr="0066562F">
        <w:rPr>
          <w:rFonts w:eastAsiaTheme="minorEastAsia"/>
          <w:rtl/>
        </w:rPr>
        <w:t>5</w:t>
      </w:r>
      <w:r w:rsidRPr="00A07640">
        <w:rPr>
          <w:rFonts w:eastAsiaTheme="minorEastAsia"/>
          <w:rtl/>
        </w:rPr>
        <w:t>-</w:t>
      </w:r>
      <w:r w:rsidRPr="0066562F">
        <w:rPr>
          <w:rFonts w:eastAsiaTheme="minorEastAsia"/>
          <w:rtl/>
        </w:rPr>
        <w:t>1</w:t>
      </w:r>
      <w:r w:rsidRPr="00A07640">
        <w:rPr>
          <w:rFonts w:eastAsiaTheme="minorEastAsia"/>
          <w:rtl/>
        </w:rPr>
        <w:tab/>
        <w:t xml:space="preserve">في </w:t>
      </w:r>
      <w:r w:rsidRPr="0066562F">
        <w:rPr>
          <w:rFonts w:eastAsiaTheme="minorEastAsia"/>
          <w:rtl/>
        </w:rPr>
        <w:t>17</w:t>
      </w:r>
      <w:r w:rsidRPr="00A07640">
        <w:rPr>
          <w:rFonts w:eastAsiaTheme="minorEastAsia"/>
          <w:rtl/>
        </w:rPr>
        <w:t xml:space="preserve"> كانون الثاني/يناير </w:t>
      </w:r>
      <w:r w:rsidRPr="0066562F">
        <w:rPr>
          <w:rFonts w:eastAsiaTheme="minorEastAsia"/>
          <w:rtl/>
        </w:rPr>
        <w:t>2019</w:t>
      </w:r>
      <w:r w:rsidR="007B0DF3">
        <w:rPr>
          <w:rFonts w:eastAsiaTheme="minorEastAsia"/>
          <w:rtl/>
        </w:rPr>
        <w:t>،</w:t>
      </w:r>
      <w:r w:rsidRPr="00A07640">
        <w:rPr>
          <w:rFonts w:eastAsiaTheme="minorEastAsia"/>
          <w:rtl/>
        </w:rPr>
        <w:t xml:space="preserve"> قدم صاحب البلاغ تعليقاته على ملاحظات الدولة الطرف. وهو يؤكد أن الدولة الطرف اعترفت بوقائع قضيته</w:t>
      </w:r>
      <w:r w:rsidR="007B0DF3">
        <w:rPr>
          <w:rFonts w:eastAsiaTheme="minorEastAsia"/>
          <w:rtl/>
        </w:rPr>
        <w:t>،</w:t>
      </w:r>
      <w:r w:rsidRPr="00A07640">
        <w:rPr>
          <w:rFonts w:eastAsiaTheme="minorEastAsia"/>
          <w:rtl/>
        </w:rPr>
        <w:t xml:space="preserve"> ولا سيما بأنه غُرّم بسبب تعبيره السلمي عن رأيه وبأنه استفاد فيما بعد من جميع سبل الانتصاف المتاحة له للطعن في الحكم. ويلاحظ صاحب البلاغ أن الدولة الطرف لا تجادل في أنه بتعبيره عن رأيه لم ينتهك النظام العام والآداب العامة</w:t>
      </w:r>
      <w:r w:rsidR="007B0DF3">
        <w:rPr>
          <w:rFonts w:eastAsiaTheme="minorEastAsia"/>
          <w:rtl/>
        </w:rPr>
        <w:t>،</w:t>
      </w:r>
      <w:r w:rsidRPr="00A07640">
        <w:rPr>
          <w:rFonts w:eastAsiaTheme="minorEastAsia"/>
          <w:rtl/>
        </w:rPr>
        <w:t xml:space="preserve"> ولا في أن احتجازه من قبل الشرطة قد انتهك حقه في حرية التعبير</w:t>
      </w:r>
      <w:r w:rsidR="007B0DF3">
        <w:rPr>
          <w:rFonts w:eastAsiaTheme="minorEastAsia"/>
          <w:rtl/>
        </w:rPr>
        <w:t>،</w:t>
      </w:r>
      <w:r w:rsidRPr="00A07640">
        <w:rPr>
          <w:rFonts w:eastAsiaTheme="minorEastAsia"/>
          <w:rtl/>
        </w:rPr>
        <w:t xml:space="preserve"> الذي يكفله العهد. </w:t>
      </w:r>
    </w:p>
    <w:p w14:paraId="60D88579" w14:textId="1B958C10" w:rsidR="00A07640" w:rsidRPr="00A07640" w:rsidRDefault="00A07640" w:rsidP="00A07640">
      <w:pPr>
        <w:pStyle w:val="SingleTxtGA"/>
        <w:rPr>
          <w:rFonts w:eastAsiaTheme="minorEastAsia"/>
          <w:lang w:val="ar-SA" w:eastAsia="zh-TW" w:bidi="en-GB"/>
        </w:rPr>
      </w:pPr>
      <w:r w:rsidRPr="0066562F">
        <w:rPr>
          <w:rFonts w:eastAsiaTheme="minorEastAsia"/>
          <w:rtl/>
        </w:rPr>
        <w:t>5</w:t>
      </w:r>
      <w:r w:rsidRPr="00A07640">
        <w:rPr>
          <w:rFonts w:eastAsiaTheme="minorEastAsia"/>
          <w:rtl/>
        </w:rPr>
        <w:t>-</w:t>
      </w:r>
      <w:r w:rsidRPr="0066562F">
        <w:rPr>
          <w:rFonts w:eastAsiaTheme="minorEastAsia"/>
          <w:rtl/>
        </w:rPr>
        <w:t>2</w:t>
      </w:r>
      <w:r w:rsidRPr="00A07640">
        <w:rPr>
          <w:rFonts w:eastAsiaTheme="minorEastAsia"/>
          <w:rtl/>
        </w:rPr>
        <w:tab/>
        <w:t>ويلاحظ صاحب البلاغ أن الدولة الطرف لا تشير إلى العهد بوصفه قاعدة تحدد نطاق حقوقه المدنية. ويدفع بأن الدولة الطرف اعتبرت اعتصامه (الذي نظم كشكل من أشكال التعبير عن رأيه بشأن أحداث سياسية) تجمعاً وطلبت إليه الامتثال لشروط معقدة بشكل غير متناسب. وتشمل هذه الشروط</w:t>
      </w:r>
      <w:r w:rsidR="007B0DF3">
        <w:rPr>
          <w:rFonts w:eastAsiaTheme="minorEastAsia"/>
          <w:rtl/>
        </w:rPr>
        <w:t>،</w:t>
      </w:r>
      <w:r w:rsidRPr="00A07640">
        <w:rPr>
          <w:rFonts w:eastAsiaTheme="minorEastAsia"/>
          <w:rtl/>
        </w:rPr>
        <w:t xml:space="preserve"> المنصوص عليها في قانون الفعاليات الجماهيرية</w:t>
      </w:r>
      <w:r w:rsidR="007B0DF3">
        <w:rPr>
          <w:rFonts w:eastAsiaTheme="minorEastAsia"/>
          <w:rtl/>
        </w:rPr>
        <w:t>،</w:t>
      </w:r>
      <w:r w:rsidRPr="00A07640">
        <w:rPr>
          <w:rFonts w:eastAsiaTheme="minorEastAsia"/>
          <w:rtl/>
        </w:rPr>
        <w:t xml:space="preserve"> ضرورة الحصول على إذن من السلطات المحلية وفي الوقت نفسه استيفاء الإجراءات الشكلية الأخرى المتعلقة بطلب الإذن</w:t>
      </w:r>
      <w:r w:rsidR="007B0DF3">
        <w:rPr>
          <w:rFonts w:eastAsiaTheme="minorEastAsia"/>
          <w:rtl/>
        </w:rPr>
        <w:t>،</w:t>
      </w:r>
      <w:r w:rsidRPr="00A07640">
        <w:rPr>
          <w:rFonts w:eastAsiaTheme="minorEastAsia"/>
          <w:rtl/>
        </w:rPr>
        <w:t xml:space="preserve"> مثل دفع التكاليف المرتبطة بحماية النظام العام من قبل الشرطة</w:t>
      </w:r>
      <w:r w:rsidR="007B0DF3">
        <w:rPr>
          <w:rFonts w:eastAsiaTheme="minorEastAsia"/>
          <w:rtl/>
        </w:rPr>
        <w:t>،</w:t>
      </w:r>
      <w:r w:rsidRPr="00A07640">
        <w:rPr>
          <w:rFonts w:eastAsiaTheme="minorEastAsia"/>
          <w:rtl/>
        </w:rPr>
        <w:t xml:space="preserve"> وتنظيف المنطقة التي سيقام فيها الاعتصام</w:t>
      </w:r>
      <w:r w:rsidR="007B0DF3">
        <w:rPr>
          <w:rFonts w:eastAsiaTheme="minorEastAsia"/>
          <w:rtl/>
        </w:rPr>
        <w:t>،</w:t>
      </w:r>
      <w:r w:rsidRPr="00A07640">
        <w:rPr>
          <w:rFonts w:eastAsiaTheme="minorEastAsia"/>
          <w:rtl/>
        </w:rPr>
        <w:t xml:space="preserve"> ودفع خدمات سيارة إسعاف في الخدمة أثناء الاعتصام.</w:t>
      </w:r>
    </w:p>
    <w:p w14:paraId="6D854AC5" w14:textId="77777777" w:rsidR="00A07640" w:rsidRPr="0066562F" w:rsidRDefault="00A07640" w:rsidP="00A07640">
      <w:pPr>
        <w:pStyle w:val="H23GA"/>
        <w:rPr>
          <w:lang w:val="ar-SA" w:eastAsia="zh-TW" w:bidi="en-GB"/>
        </w:rPr>
      </w:pPr>
      <w:r w:rsidRPr="0066562F">
        <w:rPr>
          <w:rtl/>
        </w:rPr>
        <w:tab/>
      </w:r>
      <w:r w:rsidRPr="0066562F">
        <w:rPr>
          <w:rtl/>
        </w:rPr>
        <w:tab/>
        <w:t>المسائل والإجراءات المعروضة على اللجنة</w:t>
      </w:r>
    </w:p>
    <w:p w14:paraId="2D926346" w14:textId="77777777" w:rsidR="00A07640" w:rsidRPr="0066562F" w:rsidRDefault="00A07640" w:rsidP="00A07640">
      <w:pPr>
        <w:pStyle w:val="H4GA"/>
        <w:rPr>
          <w:lang w:val="en-US" w:eastAsia="zh-TW" w:bidi="en-GB"/>
        </w:rPr>
      </w:pPr>
      <w:r w:rsidRPr="0066562F">
        <w:rPr>
          <w:rtl/>
        </w:rPr>
        <w:tab/>
      </w:r>
      <w:r w:rsidRPr="0066562F">
        <w:rPr>
          <w:rtl/>
        </w:rPr>
        <w:tab/>
        <w:t>النظر في المقبولية</w:t>
      </w:r>
    </w:p>
    <w:p w14:paraId="63F74A12" w14:textId="4539F067" w:rsidR="00A07640" w:rsidRPr="00A07640" w:rsidRDefault="00A07640" w:rsidP="00A07640">
      <w:pPr>
        <w:pStyle w:val="SingleTxtGA"/>
        <w:rPr>
          <w:rFonts w:eastAsiaTheme="minorEastAsia"/>
          <w:lang w:val="ar-SA" w:eastAsia="zh-TW" w:bidi="en-GB"/>
        </w:rPr>
      </w:pPr>
      <w:r w:rsidRPr="0066562F">
        <w:rPr>
          <w:rFonts w:eastAsiaTheme="minorEastAsia"/>
          <w:rtl/>
        </w:rPr>
        <w:t>6</w:t>
      </w:r>
      <w:r w:rsidRPr="00A07640">
        <w:rPr>
          <w:rFonts w:eastAsiaTheme="minorEastAsia"/>
          <w:rtl/>
        </w:rPr>
        <w:t>-</w:t>
      </w:r>
      <w:r w:rsidRPr="0066562F">
        <w:rPr>
          <w:rFonts w:eastAsiaTheme="minorEastAsia"/>
          <w:rtl/>
        </w:rPr>
        <w:t>1</w:t>
      </w:r>
      <w:r w:rsidRPr="00A07640">
        <w:rPr>
          <w:rFonts w:eastAsiaTheme="minorEastAsia"/>
          <w:rtl/>
        </w:rPr>
        <w:tab/>
        <w:t>قبل النظر في أي ادعاء يرد في بلاغ ما</w:t>
      </w:r>
      <w:r w:rsidR="007B0DF3">
        <w:rPr>
          <w:rFonts w:eastAsiaTheme="minorEastAsia"/>
          <w:rtl/>
        </w:rPr>
        <w:t>،</w:t>
      </w:r>
      <w:r w:rsidRPr="00A07640">
        <w:rPr>
          <w:rFonts w:eastAsiaTheme="minorEastAsia"/>
          <w:rtl/>
        </w:rPr>
        <w:t xml:space="preserve"> يتعين على اللجنة أن تقرر</w:t>
      </w:r>
      <w:r w:rsidR="007B0DF3">
        <w:rPr>
          <w:rFonts w:eastAsiaTheme="minorEastAsia"/>
          <w:rtl/>
        </w:rPr>
        <w:t>،</w:t>
      </w:r>
      <w:r w:rsidRPr="00A07640">
        <w:rPr>
          <w:rFonts w:eastAsiaTheme="minorEastAsia"/>
          <w:rtl/>
        </w:rPr>
        <w:t xml:space="preserve"> وفقاً للمادة </w:t>
      </w:r>
      <w:r w:rsidRPr="0066562F">
        <w:rPr>
          <w:rFonts w:eastAsiaTheme="minorEastAsia"/>
          <w:rtl/>
        </w:rPr>
        <w:t>97</w:t>
      </w:r>
      <w:r w:rsidRPr="00A07640">
        <w:rPr>
          <w:rFonts w:eastAsiaTheme="minorEastAsia"/>
          <w:rtl/>
        </w:rPr>
        <w:t xml:space="preserve"> من نظامها الداخلي</w:t>
      </w:r>
      <w:r w:rsidR="007B0DF3">
        <w:rPr>
          <w:rFonts w:eastAsiaTheme="minorEastAsia"/>
          <w:rtl/>
        </w:rPr>
        <w:t>،</w:t>
      </w:r>
      <w:r w:rsidRPr="00A07640">
        <w:rPr>
          <w:rFonts w:eastAsiaTheme="minorEastAsia"/>
          <w:rtl/>
        </w:rPr>
        <w:t xml:space="preserve"> ما إذا كان البلاغ مقبولاً أم لا بموجب البروتوكول الاختياري.</w:t>
      </w:r>
    </w:p>
    <w:p w14:paraId="20E185FC" w14:textId="63C8A370" w:rsidR="00A07640" w:rsidRPr="00A07640" w:rsidRDefault="00A07640" w:rsidP="00A07640">
      <w:pPr>
        <w:pStyle w:val="SingleTxtGA"/>
        <w:rPr>
          <w:rFonts w:eastAsiaTheme="minorEastAsia"/>
          <w:lang w:val="ar-SA" w:eastAsia="zh-TW" w:bidi="en-GB"/>
        </w:rPr>
      </w:pPr>
      <w:r w:rsidRPr="0066562F">
        <w:rPr>
          <w:rFonts w:eastAsiaTheme="minorEastAsia"/>
          <w:rtl/>
        </w:rPr>
        <w:t>6</w:t>
      </w:r>
      <w:r w:rsidRPr="00A07640">
        <w:rPr>
          <w:rFonts w:eastAsiaTheme="minorEastAsia"/>
          <w:rtl/>
        </w:rPr>
        <w:t>-</w:t>
      </w:r>
      <w:r w:rsidRPr="0066562F">
        <w:rPr>
          <w:rFonts w:eastAsiaTheme="minorEastAsia"/>
          <w:rtl/>
        </w:rPr>
        <w:t>2</w:t>
      </w:r>
      <w:r w:rsidRPr="00A07640">
        <w:rPr>
          <w:rFonts w:eastAsiaTheme="minorEastAsia"/>
          <w:rtl/>
        </w:rPr>
        <w:tab/>
        <w:t>وقد تأكدت اللجنة</w:t>
      </w:r>
      <w:r w:rsidR="007B0DF3">
        <w:rPr>
          <w:rFonts w:eastAsiaTheme="minorEastAsia"/>
          <w:rtl/>
        </w:rPr>
        <w:t>،</w:t>
      </w:r>
      <w:r w:rsidRPr="00A07640">
        <w:rPr>
          <w:rFonts w:eastAsiaTheme="minorEastAsia"/>
          <w:rtl/>
        </w:rPr>
        <w:t xml:space="preserve"> وفقاً لما تقتضيه المادة </w:t>
      </w:r>
      <w:r w:rsidRPr="0066562F">
        <w:rPr>
          <w:rFonts w:eastAsiaTheme="minorEastAsia"/>
          <w:rtl/>
        </w:rPr>
        <w:t>5</w:t>
      </w:r>
      <w:r w:rsidRPr="00A07640">
        <w:rPr>
          <w:rFonts w:eastAsiaTheme="minorEastAsia"/>
          <w:rtl/>
        </w:rPr>
        <w:t>(</w:t>
      </w:r>
      <w:r w:rsidRPr="0066562F">
        <w:rPr>
          <w:rFonts w:eastAsiaTheme="minorEastAsia"/>
          <w:rtl/>
        </w:rPr>
        <w:t>2</w:t>
      </w:r>
      <w:r w:rsidRPr="00A07640">
        <w:rPr>
          <w:rFonts w:eastAsiaTheme="minorEastAsia"/>
          <w:rtl/>
        </w:rPr>
        <w:t>)(أ) من البروتوكول الاختياري</w:t>
      </w:r>
      <w:r w:rsidR="007B0DF3">
        <w:rPr>
          <w:rFonts w:eastAsiaTheme="minorEastAsia"/>
          <w:rtl/>
        </w:rPr>
        <w:t>،</w:t>
      </w:r>
      <w:r w:rsidRPr="00A07640">
        <w:rPr>
          <w:rFonts w:eastAsiaTheme="minorEastAsia"/>
          <w:rtl/>
        </w:rPr>
        <w:t xml:space="preserve"> من أن المسألة نفسها ليست قيد البحث في إطار أي إجراء آخر من إجراءات التحقيق الدولي أو التسوية الدولية.</w:t>
      </w:r>
    </w:p>
    <w:p w14:paraId="06DDC82D" w14:textId="71319D51" w:rsidR="00A07640" w:rsidRPr="00A07640" w:rsidRDefault="00A07640" w:rsidP="00A07640">
      <w:pPr>
        <w:pStyle w:val="SingleTxtGA"/>
        <w:rPr>
          <w:rFonts w:eastAsiaTheme="minorEastAsia"/>
          <w:lang w:val="ar-SA" w:eastAsia="zh-TW" w:bidi="en-GB"/>
        </w:rPr>
      </w:pPr>
      <w:r w:rsidRPr="0066562F">
        <w:rPr>
          <w:rFonts w:eastAsiaTheme="minorEastAsia"/>
          <w:rtl/>
        </w:rPr>
        <w:t>6</w:t>
      </w:r>
      <w:r w:rsidRPr="00A07640">
        <w:rPr>
          <w:rFonts w:eastAsiaTheme="minorEastAsia"/>
          <w:rtl/>
        </w:rPr>
        <w:t>-</w:t>
      </w:r>
      <w:r w:rsidRPr="0066562F">
        <w:rPr>
          <w:rFonts w:eastAsiaTheme="minorEastAsia"/>
          <w:rtl/>
        </w:rPr>
        <w:t>3</w:t>
      </w:r>
      <w:r w:rsidRPr="00A07640">
        <w:rPr>
          <w:rFonts w:eastAsiaTheme="minorEastAsia"/>
          <w:rtl/>
        </w:rPr>
        <w:tab/>
        <w:t>وتلاحظ اللجنة ادعاء صاحب البلاغ بشأن استنفاده جميع سبل الانتصاف المحلية. وتلاحظ أيضاً أن الدولة الطرف لم تطعن في البلاغ على هذا الأساس. وبناءً عليه</w:t>
      </w:r>
      <w:r w:rsidR="007B0DF3">
        <w:rPr>
          <w:rFonts w:eastAsiaTheme="minorEastAsia"/>
          <w:rtl/>
        </w:rPr>
        <w:t>،</w:t>
      </w:r>
      <w:r w:rsidRPr="00A07640">
        <w:rPr>
          <w:rFonts w:eastAsiaTheme="minorEastAsia"/>
          <w:rtl/>
        </w:rPr>
        <w:t xml:space="preserve"> ترى اللجنة أن أحكام المادة</w:t>
      </w:r>
      <w:r>
        <w:rPr>
          <w:rFonts w:eastAsiaTheme="minorEastAsia" w:hint="cs"/>
          <w:rtl/>
        </w:rPr>
        <w:t> </w:t>
      </w:r>
      <w:r w:rsidRPr="0066562F">
        <w:rPr>
          <w:rFonts w:eastAsiaTheme="minorEastAsia"/>
          <w:rtl/>
        </w:rPr>
        <w:t>5</w:t>
      </w:r>
      <w:r w:rsidRPr="00A07640">
        <w:rPr>
          <w:rFonts w:eastAsiaTheme="minorEastAsia"/>
          <w:rtl/>
        </w:rPr>
        <w:t>(</w:t>
      </w:r>
      <w:r w:rsidRPr="0066562F">
        <w:rPr>
          <w:rFonts w:eastAsiaTheme="minorEastAsia"/>
          <w:rtl/>
        </w:rPr>
        <w:t>2</w:t>
      </w:r>
      <w:r w:rsidRPr="00A07640">
        <w:rPr>
          <w:rFonts w:eastAsiaTheme="minorEastAsia"/>
          <w:rtl/>
        </w:rPr>
        <w:t>)(ب) من البروتوكول الاختياري لا تمنعها من دراسة هذا البلاغ.</w:t>
      </w:r>
    </w:p>
    <w:p w14:paraId="05551F99" w14:textId="2BF4D2F6" w:rsidR="00A07640" w:rsidRPr="00A07640" w:rsidRDefault="00A07640" w:rsidP="00A07640">
      <w:pPr>
        <w:pStyle w:val="SingleTxtGA"/>
        <w:rPr>
          <w:rFonts w:eastAsiaTheme="minorEastAsia"/>
          <w:lang w:val="ar-SA" w:eastAsia="zh-TW" w:bidi="en-GB"/>
        </w:rPr>
      </w:pPr>
      <w:r w:rsidRPr="0066562F">
        <w:rPr>
          <w:rFonts w:eastAsiaTheme="minorEastAsia"/>
          <w:rtl/>
        </w:rPr>
        <w:t>6</w:t>
      </w:r>
      <w:r w:rsidRPr="00A07640">
        <w:rPr>
          <w:rFonts w:eastAsiaTheme="minorEastAsia"/>
          <w:rtl/>
        </w:rPr>
        <w:t>-</w:t>
      </w:r>
      <w:r w:rsidRPr="0066562F">
        <w:rPr>
          <w:rFonts w:eastAsiaTheme="minorEastAsia"/>
          <w:rtl/>
        </w:rPr>
        <w:t>4</w:t>
      </w:r>
      <w:r w:rsidRPr="00A07640">
        <w:rPr>
          <w:rFonts w:eastAsiaTheme="minorEastAsia"/>
          <w:rtl/>
        </w:rPr>
        <w:tab/>
        <w:t xml:space="preserve">وتلاحظ اللجنة ادعاءات صاحب البلاغ بأن حقه في حرية التجمع بموجب المادة </w:t>
      </w:r>
      <w:r w:rsidRPr="0066562F">
        <w:rPr>
          <w:rFonts w:eastAsiaTheme="minorEastAsia"/>
          <w:rtl/>
        </w:rPr>
        <w:t>21</w:t>
      </w:r>
      <w:r w:rsidRPr="00A07640">
        <w:rPr>
          <w:rFonts w:eastAsiaTheme="minorEastAsia"/>
          <w:rtl/>
        </w:rPr>
        <w:t xml:space="preserve"> من العهد قد قُيّد تعسفاً</w:t>
      </w:r>
      <w:r w:rsidR="007B0DF3">
        <w:rPr>
          <w:rFonts w:eastAsiaTheme="minorEastAsia"/>
          <w:rtl/>
        </w:rPr>
        <w:t>،</w:t>
      </w:r>
      <w:r w:rsidRPr="00A07640">
        <w:rPr>
          <w:rFonts w:eastAsiaTheme="minorEastAsia"/>
          <w:rtl/>
        </w:rPr>
        <w:t xml:space="preserve"> لأنه غُرم بسبب إجراء اعتصام من دون الحصول على إذن بذلك. بيد أن اللجنة تلاحظ أن صاحب البلاغ قد أجرى الاعتصام بنفسه وفقاً للمعلومات التي قدمها. وعلى الرغم من أن مفهوم وجوب حماية التجمع بموجب المادة </w:t>
      </w:r>
      <w:r w:rsidRPr="0066562F">
        <w:rPr>
          <w:rFonts w:eastAsiaTheme="minorEastAsia"/>
          <w:rtl/>
        </w:rPr>
        <w:t>21</w:t>
      </w:r>
      <w:r w:rsidRPr="00A07640">
        <w:rPr>
          <w:rFonts w:eastAsiaTheme="minorEastAsia"/>
          <w:rtl/>
        </w:rPr>
        <w:t xml:space="preserve"> يعني ضمناً أن هناك أكثر من مشارك واحد في التجمع</w:t>
      </w:r>
      <w:r w:rsidR="007B0DF3">
        <w:rPr>
          <w:rFonts w:eastAsiaTheme="minorEastAsia"/>
          <w:rtl/>
        </w:rPr>
        <w:t>،</w:t>
      </w:r>
      <w:r w:rsidRPr="00A07640">
        <w:rPr>
          <w:rFonts w:eastAsiaTheme="minorEastAsia"/>
          <w:rtl/>
        </w:rPr>
        <w:t xml:space="preserve"> فإن محتجاً واحداً يتمتع بحماية مماثلة بموجب العهد</w:t>
      </w:r>
      <w:r w:rsidR="007B0DF3">
        <w:rPr>
          <w:rFonts w:eastAsiaTheme="minorEastAsia"/>
          <w:rtl/>
        </w:rPr>
        <w:t>،</w:t>
      </w:r>
      <w:r w:rsidRPr="00A07640">
        <w:rPr>
          <w:rFonts w:eastAsiaTheme="minorEastAsia"/>
          <w:rtl/>
        </w:rPr>
        <w:t xml:space="preserve"> مثلاً بموجب المادة </w:t>
      </w:r>
      <w:r w:rsidRPr="0066562F">
        <w:rPr>
          <w:rFonts w:eastAsiaTheme="minorEastAsia"/>
          <w:rtl/>
        </w:rPr>
        <w:t>19</w:t>
      </w:r>
      <w:r w:rsidRPr="007C1189">
        <w:rPr>
          <w:rStyle w:val="FootnoteReference"/>
          <w:rFonts w:eastAsiaTheme="minorEastAsia"/>
          <w:szCs w:val="22"/>
          <w:rtl/>
        </w:rPr>
        <w:t>(</w:t>
      </w:r>
      <w:r w:rsidRPr="0066562F">
        <w:rPr>
          <w:rStyle w:val="FootnoteReference"/>
          <w:rFonts w:eastAsiaTheme="minorEastAsia"/>
          <w:szCs w:val="22"/>
          <w:lang w:val="en-US"/>
        </w:rPr>
        <w:footnoteReference w:id="3"/>
      </w:r>
      <w:r w:rsidRPr="007C1189">
        <w:rPr>
          <w:rStyle w:val="FootnoteReference"/>
          <w:rFonts w:eastAsiaTheme="minorEastAsia"/>
          <w:szCs w:val="22"/>
          <w:rtl/>
        </w:rPr>
        <w:t>)</w:t>
      </w:r>
      <w:r w:rsidRPr="00A07640">
        <w:rPr>
          <w:rFonts w:eastAsiaTheme="minorEastAsia"/>
          <w:rtl/>
        </w:rPr>
        <w:t>. وترى اللجنة أن صاحب البلاغ لم</w:t>
      </w:r>
      <w:r>
        <w:rPr>
          <w:rFonts w:eastAsiaTheme="minorEastAsia" w:hint="cs"/>
          <w:rtl/>
        </w:rPr>
        <w:t> </w:t>
      </w:r>
      <w:r w:rsidRPr="00A07640">
        <w:rPr>
          <w:rFonts w:eastAsiaTheme="minorEastAsia"/>
          <w:rtl/>
        </w:rPr>
        <w:t xml:space="preserve">يقدم عناصر كافية تبين تنظيم "تجمع" بالفعل بالمعنى المقصود في المادة </w:t>
      </w:r>
      <w:r w:rsidRPr="0066562F">
        <w:rPr>
          <w:rFonts w:eastAsiaTheme="minorEastAsia"/>
          <w:rtl/>
        </w:rPr>
        <w:t>21</w:t>
      </w:r>
      <w:r w:rsidRPr="00A07640">
        <w:rPr>
          <w:rFonts w:eastAsiaTheme="minorEastAsia"/>
          <w:rtl/>
        </w:rPr>
        <w:t>. وعليه</w:t>
      </w:r>
      <w:r w:rsidR="007B0DF3">
        <w:rPr>
          <w:rFonts w:eastAsiaTheme="minorEastAsia"/>
          <w:rtl/>
        </w:rPr>
        <w:t>،</w:t>
      </w:r>
      <w:r w:rsidRPr="00A07640">
        <w:rPr>
          <w:rFonts w:eastAsiaTheme="minorEastAsia"/>
          <w:rtl/>
        </w:rPr>
        <w:t xml:space="preserve"> ترى اللجنة</w:t>
      </w:r>
      <w:r w:rsidR="007B0DF3">
        <w:rPr>
          <w:rFonts w:eastAsiaTheme="minorEastAsia"/>
          <w:rtl/>
        </w:rPr>
        <w:t>،</w:t>
      </w:r>
      <w:r w:rsidRPr="00A07640">
        <w:rPr>
          <w:rFonts w:eastAsiaTheme="minorEastAsia"/>
          <w:rtl/>
        </w:rPr>
        <w:t xml:space="preserve"> </w:t>
      </w:r>
      <w:r w:rsidRPr="00A07640">
        <w:rPr>
          <w:rFonts w:eastAsiaTheme="minorEastAsia"/>
          <w:rtl/>
        </w:rPr>
        <w:lastRenderedPageBreak/>
        <w:t>في</w:t>
      </w:r>
      <w:r>
        <w:rPr>
          <w:rFonts w:eastAsiaTheme="minorEastAsia" w:hint="cs"/>
          <w:rtl/>
        </w:rPr>
        <w:t> </w:t>
      </w:r>
      <w:r w:rsidRPr="00A07640">
        <w:rPr>
          <w:rFonts w:eastAsiaTheme="minorEastAsia"/>
          <w:rtl/>
        </w:rPr>
        <w:t>ظل ظروف هذه القضية</w:t>
      </w:r>
      <w:r w:rsidR="007B0DF3">
        <w:rPr>
          <w:rFonts w:eastAsiaTheme="minorEastAsia"/>
          <w:rtl/>
        </w:rPr>
        <w:t>،</w:t>
      </w:r>
      <w:r w:rsidRPr="00A07640">
        <w:rPr>
          <w:rFonts w:eastAsiaTheme="minorEastAsia"/>
          <w:rtl/>
        </w:rPr>
        <w:t xml:space="preserve"> أن صاحب البلاغ لم يثبت هذا الادعاء تحديداً بأدلة كافية لأغراض المقبولية وتعلن أن هذا الجزء من البلاغ غير مقبول بموجب المادة </w:t>
      </w:r>
      <w:r w:rsidRPr="0066562F">
        <w:rPr>
          <w:rFonts w:eastAsiaTheme="minorEastAsia"/>
          <w:rtl/>
        </w:rPr>
        <w:t>2</w:t>
      </w:r>
      <w:r w:rsidRPr="00A07640">
        <w:rPr>
          <w:rFonts w:eastAsiaTheme="minorEastAsia"/>
          <w:rtl/>
        </w:rPr>
        <w:t xml:space="preserve"> من البروتوكول الاختياري</w:t>
      </w:r>
      <w:r w:rsidRPr="00A07640">
        <w:rPr>
          <w:rFonts w:eastAsiaTheme="minorEastAsia" w:cs="Times New Roman" w:hint="cs"/>
          <w:rtl/>
        </w:rPr>
        <w:t>‬</w:t>
      </w:r>
      <w:r w:rsidRPr="007C1189">
        <w:rPr>
          <w:rStyle w:val="FootnoteReference"/>
          <w:rFonts w:eastAsiaTheme="minorEastAsia"/>
          <w:szCs w:val="22"/>
          <w:rtl/>
        </w:rPr>
        <w:t>(</w:t>
      </w:r>
      <w:r w:rsidRPr="0066562F">
        <w:rPr>
          <w:rStyle w:val="FootnoteReference"/>
          <w:rFonts w:eastAsiaTheme="minorEastAsia"/>
          <w:szCs w:val="22"/>
          <w:lang w:val="en-US"/>
        </w:rPr>
        <w:footnoteReference w:id="4"/>
      </w:r>
      <w:r w:rsidRPr="007C1189">
        <w:rPr>
          <w:rStyle w:val="FootnoteReference"/>
          <w:rFonts w:eastAsiaTheme="minorEastAsia"/>
          <w:szCs w:val="22"/>
          <w:rtl/>
        </w:rPr>
        <w:t>)</w:t>
      </w:r>
      <w:r>
        <w:rPr>
          <w:rStyle w:val="FootnoteReference"/>
          <w:rFonts w:eastAsiaTheme="minorEastAsia" w:hint="cs"/>
          <w:szCs w:val="22"/>
          <w:vertAlign w:val="baseline"/>
          <w:rtl/>
        </w:rPr>
        <w:t>.</w:t>
      </w:r>
    </w:p>
    <w:p w14:paraId="2DA9DB5E" w14:textId="08CA4217" w:rsidR="00A07640" w:rsidRPr="008F4C77" w:rsidRDefault="00A07640" w:rsidP="00A07640">
      <w:pPr>
        <w:pStyle w:val="SingleTxtGA"/>
        <w:rPr>
          <w:rFonts w:eastAsiaTheme="minorEastAsia"/>
          <w:lang w:val="en-US" w:eastAsia="zh-TW" w:bidi="en-GB"/>
        </w:rPr>
      </w:pPr>
      <w:r w:rsidRPr="0066562F">
        <w:rPr>
          <w:rFonts w:eastAsiaTheme="minorEastAsia"/>
          <w:rtl/>
        </w:rPr>
        <w:t>6</w:t>
      </w:r>
      <w:r w:rsidRPr="00A07640">
        <w:rPr>
          <w:rFonts w:eastAsiaTheme="minorEastAsia"/>
          <w:rtl/>
        </w:rPr>
        <w:t>-</w:t>
      </w:r>
      <w:r w:rsidRPr="0066562F">
        <w:rPr>
          <w:rFonts w:eastAsiaTheme="minorEastAsia"/>
          <w:rtl/>
        </w:rPr>
        <w:t>5</w:t>
      </w:r>
      <w:r w:rsidRPr="00A07640">
        <w:rPr>
          <w:rFonts w:eastAsiaTheme="minorEastAsia"/>
          <w:rtl/>
        </w:rPr>
        <w:tab/>
        <w:t xml:space="preserve">وفيما يتعلق بادعاء صاحب البلاغ حدوث انتهاك لحقوقه بموجب المادة </w:t>
      </w:r>
      <w:r w:rsidRPr="0066562F">
        <w:rPr>
          <w:rFonts w:eastAsiaTheme="minorEastAsia"/>
          <w:rtl/>
        </w:rPr>
        <w:t>19</w:t>
      </w:r>
      <w:r w:rsidRPr="00A07640">
        <w:rPr>
          <w:rFonts w:eastAsiaTheme="minorEastAsia"/>
          <w:rtl/>
        </w:rPr>
        <w:t xml:space="preserve"> من العهد</w:t>
      </w:r>
      <w:r w:rsidR="007B0DF3">
        <w:rPr>
          <w:rFonts w:eastAsiaTheme="minorEastAsia"/>
          <w:rtl/>
        </w:rPr>
        <w:t>،</w:t>
      </w:r>
      <w:r w:rsidRPr="00A07640">
        <w:rPr>
          <w:rFonts w:eastAsiaTheme="minorEastAsia"/>
          <w:rtl/>
        </w:rPr>
        <w:t xml:space="preserve"> ترى</w:t>
      </w:r>
      <w:r w:rsidR="008F4C77">
        <w:rPr>
          <w:rFonts w:eastAsiaTheme="minorEastAsia" w:hint="cs"/>
          <w:rtl/>
        </w:rPr>
        <w:t xml:space="preserve"> </w:t>
      </w:r>
      <w:r w:rsidRPr="00A07640">
        <w:rPr>
          <w:rFonts w:eastAsiaTheme="minorEastAsia"/>
          <w:rtl/>
        </w:rPr>
        <w:t>اللجنة أنه مدعوم بأدلة كافية لأغراض المقبولية</w:t>
      </w:r>
      <w:r w:rsidR="007B0DF3">
        <w:rPr>
          <w:rFonts w:eastAsiaTheme="minorEastAsia"/>
          <w:rtl/>
        </w:rPr>
        <w:t>،</w:t>
      </w:r>
      <w:r w:rsidRPr="00A07640">
        <w:rPr>
          <w:rFonts w:eastAsiaTheme="minorEastAsia"/>
          <w:rtl/>
        </w:rPr>
        <w:t xml:space="preserve"> وتعلن أنه مقبول وتشرع في النظر في أسسه</w:t>
      </w:r>
      <w:r>
        <w:rPr>
          <w:rFonts w:eastAsiaTheme="minorEastAsia" w:hint="cs"/>
          <w:rtl/>
        </w:rPr>
        <w:t> </w:t>
      </w:r>
      <w:r w:rsidRPr="00A07640">
        <w:rPr>
          <w:rFonts w:eastAsiaTheme="minorEastAsia"/>
          <w:rtl/>
        </w:rPr>
        <w:t>الموضوعية.</w:t>
      </w:r>
    </w:p>
    <w:p w14:paraId="6851741F" w14:textId="77777777" w:rsidR="00A07640" w:rsidRPr="0066562F" w:rsidRDefault="00A07640" w:rsidP="00A07640">
      <w:pPr>
        <w:pStyle w:val="H4GA"/>
        <w:rPr>
          <w:lang w:val="en-US" w:eastAsia="zh-TW" w:bidi="en-GB"/>
        </w:rPr>
      </w:pPr>
      <w:r w:rsidRPr="0066562F">
        <w:rPr>
          <w:rtl/>
        </w:rPr>
        <w:tab/>
      </w:r>
      <w:r w:rsidRPr="0066562F">
        <w:rPr>
          <w:rtl/>
        </w:rPr>
        <w:tab/>
        <w:t>النظر في الأسس الموضوعية</w:t>
      </w:r>
    </w:p>
    <w:p w14:paraId="17E0B456" w14:textId="26E6EEAF" w:rsidR="00A07640" w:rsidRPr="00A07640" w:rsidRDefault="00A07640" w:rsidP="00A07640">
      <w:pPr>
        <w:pStyle w:val="SingleTxtGA"/>
        <w:rPr>
          <w:rFonts w:eastAsiaTheme="minorEastAsia"/>
          <w:lang w:val="ar-SA" w:eastAsia="zh-TW" w:bidi="en-GB"/>
        </w:rPr>
      </w:pPr>
      <w:r w:rsidRPr="0066562F">
        <w:rPr>
          <w:rFonts w:eastAsiaTheme="minorEastAsia"/>
          <w:rtl/>
        </w:rPr>
        <w:t>7</w:t>
      </w:r>
      <w:r w:rsidRPr="00A07640">
        <w:rPr>
          <w:rFonts w:eastAsiaTheme="minorEastAsia"/>
          <w:rtl/>
        </w:rPr>
        <w:t>-</w:t>
      </w:r>
      <w:r w:rsidRPr="0066562F">
        <w:rPr>
          <w:rFonts w:eastAsiaTheme="minorEastAsia"/>
          <w:rtl/>
        </w:rPr>
        <w:t>1</w:t>
      </w:r>
      <w:r w:rsidRPr="00A07640">
        <w:rPr>
          <w:rFonts w:eastAsiaTheme="minorEastAsia"/>
          <w:rtl/>
        </w:rPr>
        <w:tab/>
        <w:t>نظرت اللجنة في هذا البلاغ في ضوء جميع المعلومات التي أتاحها لها الطرفان</w:t>
      </w:r>
      <w:r w:rsidR="007B0DF3">
        <w:rPr>
          <w:rFonts w:eastAsiaTheme="minorEastAsia"/>
          <w:rtl/>
        </w:rPr>
        <w:t>،</w:t>
      </w:r>
      <w:r w:rsidRPr="00A07640">
        <w:rPr>
          <w:rFonts w:eastAsiaTheme="minorEastAsia"/>
          <w:rtl/>
        </w:rPr>
        <w:t xml:space="preserve"> وفقاً للمادة</w:t>
      </w:r>
      <w:r>
        <w:rPr>
          <w:rFonts w:eastAsiaTheme="minorEastAsia" w:hint="cs"/>
          <w:rtl/>
        </w:rPr>
        <w:t> </w:t>
      </w:r>
      <w:r w:rsidRPr="0066562F">
        <w:rPr>
          <w:rFonts w:eastAsiaTheme="minorEastAsia"/>
          <w:rtl/>
        </w:rPr>
        <w:t>5</w:t>
      </w:r>
      <w:r w:rsidRPr="00A07640">
        <w:rPr>
          <w:rFonts w:eastAsiaTheme="minorEastAsia"/>
          <w:rtl/>
        </w:rPr>
        <w:t>(</w:t>
      </w:r>
      <w:r w:rsidRPr="0066562F">
        <w:rPr>
          <w:rFonts w:eastAsiaTheme="minorEastAsia"/>
          <w:rtl/>
        </w:rPr>
        <w:t>1</w:t>
      </w:r>
      <w:r w:rsidRPr="00A07640">
        <w:rPr>
          <w:rFonts w:eastAsiaTheme="minorEastAsia"/>
          <w:rtl/>
        </w:rPr>
        <w:t>) من البروتوكول الاختياري.</w:t>
      </w:r>
    </w:p>
    <w:p w14:paraId="22731060" w14:textId="5D9816AA" w:rsidR="00A07640" w:rsidRPr="00A07640" w:rsidRDefault="00A07640" w:rsidP="00A07640">
      <w:pPr>
        <w:pStyle w:val="SingleTxtGA"/>
        <w:rPr>
          <w:rFonts w:eastAsiaTheme="minorEastAsia"/>
          <w:lang w:val="ar-SA" w:eastAsia="zh-TW" w:bidi="en-GB"/>
        </w:rPr>
      </w:pPr>
      <w:r w:rsidRPr="0066562F">
        <w:rPr>
          <w:rFonts w:eastAsiaTheme="minorEastAsia"/>
          <w:rtl/>
        </w:rPr>
        <w:t>7</w:t>
      </w:r>
      <w:r w:rsidRPr="00A07640">
        <w:rPr>
          <w:rFonts w:eastAsiaTheme="minorEastAsia"/>
          <w:rtl/>
        </w:rPr>
        <w:t>-</w:t>
      </w:r>
      <w:r w:rsidRPr="0066562F">
        <w:rPr>
          <w:rFonts w:eastAsiaTheme="minorEastAsia"/>
          <w:rtl/>
        </w:rPr>
        <w:t>2</w:t>
      </w:r>
      <w:r w:rsidRPr="00A07640">
        <w:rPr>
          <w:rFonts w:eastAsiaTheme="minorEastAsia"/>
          <w:rtl/>
        </w:rPr>
        <w:tab/>
        <w:t xml:space="preserve">وتلاحظ اللجنة ادعاء صاحب البلاغ أن حقه في حرية التعبير قد قُيّد وهو ما يشكل انتهاكاً للمادة </w:t>
      </w:r>
      <w:r w:rsidRPr="0066562F">
        <w:rPr>
          <w:rFonts w:eastAsiaTheme="minorEastAsia"/>
          <w:rtl/>
        </w:rPr>
        <w:t>19</w:t>
      </w:r>
      <w:r w:rsidRPr="00A07640">
        <w:rPr>
          <w:rFonts w:eastAsiaTheme="minorEastAsia"/>
          <w:rtl/>
        </w:rPr>
        <w:t>(</w:t>
      </w:r>
      <w:r w:rsidRPr="0066562F">
        <w:rPr>
          <w:rFonts w:eastAsiaTheme="minorEastAsia"/>
          <w:rtl/>
        </w:rPr>
        <w:t>2</w:t>
      </w:r>
      <w:r w:rsidRPr="00A07640">
        <w:rPr>
          <w:rFonts w:eastAsiaTheme="minorEastAsia"/>
          <w:rtl/>
        </w:rPr>
        <w:t>) من العهد</w:t>
      </w:r>
      <w:r w:rsidR="007B0DF3">
        <w:rPr>
          <w:rFonts w:eastAsiaTheme="minorEastAsia"/>
          <w:rtl/>
        </w:rPr>
        <w:t>،</w:t>
      </w:r>
      <w:r w:rsidRPr="00A07640">
        <w:rPr>
          <w:rFonts w:eastAsiaTheme="minorEastAsia"/>
          <w:rtl/>
        </w:rPr>
        <w:t xml:space="preserve"> حيث عوقب لإجراء اعتصام يشارك فيه شخص واحد من أجل التعبير علناً عن رأيه في التكامل الأوروبي لأوكرانيا وتأييده له. </w:t>
      </w:r>
    </w:p>
    <w:p w14:paraId="3347F124" w14:textId="77777777" w:rsidR="00A07640" w:rsidRPr="00A07640" w:rsidRDefault="00A07640" w:rsidP="00A07640">
      <w:pPr>
        <w:pStyle w:val="SingleTxtGA"/>
        <w:rPr>
          <w:rFonts w:eastAsiaTheme="minorEastAsia"/>
          <w:lang w:val="ar-SA" w:eastAsia="zh-TW" w:bidi="en-GB"/>
        </w:rPr>
      </w:pPr>
      <w:r w:rsidRPr="0066562F">
        <w:rPr>
          <w:rFonts w:eastAsiaTheme="minorEastAsia"/>
          <w:rtl/>
        </w:rPr>
        <w:t>7</w:t>
      </w:r>
      <w:r w:rsidRPr="00A07640">
        <w:rPr>
          <w:rFonts w:eastAsiaTheme="minorEastAsia"/>
          <w:rtl/>
        </w:rPr>
        <w:t>-</w:t>
      </w:r>
      <w:r w:rsidRPr="0066562F">
        <w:rPr>
          <w:rFonts w:eastAsiaTheme="minorEastAsia"/>
          <w:rtl/>
        </w:rPr>
        <w:t>3</w:t>
      </w:r>
      <w:r w:rsidRPr="00A07640">
        <w:rPr>
          <w:rFonts w:eastAsiaTheme="minorEastAsia"/>
          <w:rtl/>
        </w:rPr>
        <w:tab/>
        <w:t xml:space="preserve">ويتعيّن على اللجنة أن تنظر فيما إذا كانت القيود التي فُرضت على حرية صاحب البلاغ في التعبير يمكن تبريرها بموجب أي معيار من المعايير المنصوص عليها في المادة </w:t>
      </w:r>
      <w:r w:rsidRPr="0066562F">
        <w:rPr>
          <w:rFonts w:eastAsiaTheme="minorEastAsia"/>
          <w:rtl/>
        </w:rPr>
        <w:t>19</w:t>
      </w:r>
      <w:r w:rsidRPr="00A07640">
        <w:rPr>
          <w:rFonts w:eastAsiaTheme="minorEastAsia"/>
          <w:rtl/>
        </w:rPr>
        <w:t>(</w:t>
      </w:r>
      <w:r w:rsidRPr="0066562F">
        <w:rPr>
          <w:rFonts w:eastAsiaTheme="minorEastAsia"/>
          <w:rtl/>
        </w:rPr>
        <w:t>3</w:t>
      </w:r>
      <w:r w:rsidRPr="00A07640">
        <w:rPr>
          <w:rFonts w:eastAsiaTheme="minorEastAsia"/>
          <w:rtl/>
        </w:rPr>
        <w:t xml:space="preserve">) من العهد. </w:t>
      </w:r>
    </w:p>
    <w:p w14:paraId="69FAC9BE" w14:textId="3AF8D8A5" w:rsidR="00A07640" w:rsidRPr="00A07640" w:rsidRDefault="00A07640" w:rsidP="00A07640">
      <w:pPr>
        <w:pStyle w:val="SingleTxtGA"/>
        <w:rPr>
          <w:rFonts w:eastAsiaTheme="minorEastAsia"/>
          <w:lang w:val="ar-SA" w:eastAsia="zh-TW" w:bidi="en-GB"/>
        </w:rPr>
      </w:pPr>
      <w:r w:rsidRPr="0066562F">
        <w:rPr>
          <w:rFonts w:eastAsiaTheme="minorEastAsia"/>
          <w:rtl/>
        </w:rPr>
        <w:t>7</w:t>
      </w:r>
      <w:r w:rsidRPr="00A07640">
        <w:rPr>
          <w:rFonts w:eastAsiaTheme="minorEastAsia"/>
          <w:rtl/>
        </w:rPr>
        <w:t>-</w:t>
      </w:r>
      <w:r w:rsidRPr="0066562F">
        <w:rPr>
          <w:rFonts w:eastAsiaTheme="minorEastAsia"/>
          <w:rtl/>
        </w:rPr>
        <w:t>4</w:t>
      </w:r>
      <w:r w:rsidRPr="00A07640">
        <w:rPr>
          <w:rFonts w:eastAsiaTheme="minorEastAsia"/>
          <w:rtl/>
        </w:rPr>
        <w:tab/>
        <w:t>وتكرر اللجنة تأكيدها أن حرية التعبير عنصر أساسي لأي مجتمع</w:t>
      </w:r>
      <w:r w:rsidR="007B0DF3">
        <w:rPr>
          <w:rFonts w:eastAsiaTheme="minorEastAsia"/>
          <w:rtl/>
        </w:rPr>
        <w:t>،</w:t>
      </w:r>
      <w:r w:rsidRPr="00A07640">
        <w:rPr>
          <w:rFonts w:eastAsiaTheme="minorEastAsia"/>
          <w:rtl/>
        </w:rPr>
        <w:t xml:space="preserve"> وتشكل حجر الزاوية لكل مجتمع تسوده الحرية والديمقراطية</w:t>
      </w:r>
      <w:r w:rsidRPr="007C1189">
        <w:rPr>
          <w:rStyle w:val="FootnoteReference"/>
          <w:rFonts w:eastAsiaTheme="minorEastAsia"/>
          <w:szCs w:val="22"/>
          <w:rtl/>
        </w:rPr>
        <w:t>(</w:t>
      </w:r>
      <w:r w:rsidRPr="0066562F">
        <w:rPr>
          <w:rStyle w:val="FootnoteReference"/>
          <w:rFonts w:eastAsiaTheme="minorEastAsia"/>
          <w:szCs w:val="22"/>
          <w:lang w:val="en-US"/>
        </w:rPr>
        <w:footnoteReference w:id="5"/>
      </w:r>
      <w:r w:rsidRPr="007C1189">
        <w:rPr>
          <w:rStyle w:val="FootnoteReference"/>
          <w:rFonts w:eastAsiaTheme="minorEastAsia"/>
          <w:szCs w:val="22"/>
          <w:rtl/>
        </w:rPr>
        <w:t>)</w:t>
      </w:r>
      <w:r w:rsidRPr="00A07640">
        <w:rPr>
          <w:rFonts w:eastAsiaTheme="minorEastAsia"/>
          <w:rtl/>
        </w:rPr>
        <w:t xml:space="preserve">. وتلاحظ أن المادة </w:t>
      </w:r>
      <w:r w:rsidRPr="0066562F">
        <w:rPr>
          <w:rFonts w:eastAsiaTheme="minorEastAsia"/>
          <w:rtl/>
        </w:rPr>
        <w:t>19</w:t>
      </w:r>
      <w:r w:rsidRPr="00A07640">
        <w:rPr>
          <w:rFonts w:eastAsiaTheme="minorEastAsia"/>
          <w:rtl/>
        </w:rPr>
        <w:t>(</w:t>
      </w:r>
      <w:r w:rsidRPr="0066562F">
        <w:rPr>
          <w:rFonts w:eastAsiaTheme="minorEastAsia"/>
          <w:rtl/>
        </w:rPr>
        <w:t>3</w:t>
      </w:r>
      <w:r w:rsidRPr="00A07640">
        <w:rPr>
          <w:rFonts w:eastAsiaTheme="minorEastAsia"/>
          <w:rtl/>
        </w:rPr>
        <w:t>) من الاتفاقية لا تسمح بفرض قيود معينة على حرية التعبير</w:t>
      </w:r>
      <w:r w:rsidR="007B0DF3">
        <w:rPr>
          <w:rFonts w:eastAsiaTheme="minorEastAsia"/>
          <w:rtl/>
        </w:rPr>
        <w:t>،</w:t>
      </w:r>
      <w:r w:rsidRPr="00A07640">
        <w:rPr>
          <w:rFonts w:eastAsiaTheme="minorEastAsia"/>
          <w:rtl/>
        </w:rPr>
        <w:t xml:space="preserve"> بما يشمل حرية نقل المعلومات والأفكار</w:t>
      </w:r>
      <w:r w:rsidR="007B0DF3">
        <w:rPr>
          <w:rFonts w:eastAsiaTheme="minorEastAsia"/>
          <w:rtl/>
        </w:rPr>
        <w:t>،</w:t>
      </w:r>
      <w:r w:rsidRPr="00A07640">
        <w:rPr>
          <w:rFonts w:eastAsiaTheme="minorEastAsia"/>
          <w:rtl/>
        </w:rPr>
        <w:t xml:space="preserve"> إلا بقدر ما ينص القانون على هذه القيود</w:t>
      </w:r>
      <w:r w:rsidR="007B0DF3">
        <w:rPr>
          <w:rFonts w:eastAsiaTheme="minorEastAsia"/>
          <w:rtl/>
        </w:rPr>
        <w:t>،</w:t>
      </w:r>
      <w:r w:rsidRPr="00A07640">
        <w:rPr>
          <w:rFonts w:eastAsiaTheme="minorEastAsia"/>
          <w:rtl/>
        </w:rPr>
        <w:t xml:space="preserve"> وبقدر ما تكون ضرورية للغرضين التاليين: (أ) احترام حقوق الآخرين أو سمعتهم؛ أو(ب) لحماية الأمن القومي</w:t>
      </w:r>
      <w:r w:rsidR="007B0DF3">
        <w:rPr>
          <w:rFonts w:eastAsiaTheme="minorEastAsia"/>
          <w:rtl/>
        </w:rPr>
        <w:t>،</w:t>
      </w:r>
      <w:r w:rsidRPr="00A07640">
        <w:rPr>
          <w:rFonts w:eastAsiaTheme="minorEastAsia"/>
          <w:rtl/>
        </w:rPr>
        <w:t xml:space="preserve"> أو النظام العام</w:t>
      </w:r>
      <w:r w:rsidR="007B0DF3">
        <w:rPr>
          <w:rFonts w:eastAsiaTheme="minorEastAsia"/>
          <w:rtl/>
        </w:rPr>
        <w:t>،</w:t>
      </w:r>
      <w:r w:rsidRPr="00A07640">
        <w:rPr>
          <w:rFonts w:eastAsiaTheme="minorEastAsia"/>
          <w:rtl/>
        </w:rPr>
        <w:t xml:space="preserve"> أو الصحة أو الآداب العامة. وأخيراً</w:t>
      </w:r>
      <w:r w:rsidR="007B0DF3">
        <w:rPr>
          <w:rFonts w:eastAsiaTheme="minorEastAsia"/>
          <w:rtl/>
        </w:rPr>
        <w:t>،</w:t>
      </w:r>
      <w:r w:rsidRPr="00A07640">
        <w:rPr>
          <w:rFonts w:eastAsiaTheme="minorEastAsia"/>
          <w:rtl/>
        </w:rPr>
        <w:t xml:space="preserve"> يجب ألا يكون أي قيد على حرية التعبير مفرطاً</w:t>
      </w:r>
      <w:r w:rsidR="007B0DF3">
        <w:rPr>
          <w:rFonts w:eastAsiaTheme="minorEastAsia"/>
          <w:rtl/>
        </w:rPr>
        <w:t>،</w:t>
      </w:r>
      <w:r w:rsidRPr="00A07640">
        <w:rPr>
          <w:rFonts w:eastAsiaTheme="minorEastAsia"/>
          <w:rtl/>
        </w:rPr>
        <w:t xml:space="preserve"> أي أنه يجب أن يكون أقل التدابير تدخلاً من بين التدابير التي قد تحقِّق وظيفة الحماية ذات الصلة وأن يكون متناسباً مع المصلحة المراد حمايتها</w:t>
      </w:r>
      <w:r w:rsidRPr="007C1189">
        <w:rPr>
          <w:rStyle w:val="FootnoteReference"/>
          <w:rFonts w:eastAsiaTheme="minorEastAsia"/>
          <w:szCs w:val="22"/>
          <w:rtl/>
        </w:rPr>
        <w:t>(</w:t>
      </w:r>
      <w:r w:rsidRPr="0066562F">
        <w:rPr>
          <w:rStyle w:val="FootnoteReference"/>
          <w:rFonts w:eastAsiaTheme="minorEastAsia"/>
          <w:szCs w:val="22"/>
          <w:lang w:val="en-US"/>
        </w:rPr>
        <w:footnoteReference w:id="6"/>
      </w:r>
      <w:r w:rsidRPr="007C1189">
        <w:rPr>
          <w:rStyle w:val="FootnoteReference"/>
          <w:rFonts w:eastAsiaTheme="minorEastAsia"/>
          <w:szCs w:val="22"/>
          <w:rtl/>
        </w:rPr>
        <w:t>)</w:t>
      </w:r>
      <w:r>
        <w:rPr>
          <w:rFonts w:eastAsiaTheme="minorEastAsia" w:hint="cs"/>
          <w:rtl/>
        </w:rPr>
        <w:t>.</w:t>
      </w:r>
      <w:r w:rsidRPr="00A07640">
        <w:rPr>
          <w:rFonts w:eastAsiaTheme="minorEastAsia"/>
          <w:rtl/>
        </w:rPr>
        <w:t xml:space="preserve"> وتذكر اللجنة بأن على عاتق الدولة الطرف مسؤولية أن تثبت وجه الضرورة والتناسب في القيود المفروضة على حقوق صاحب البلاغ التي تكفلها المادة </w:t>
      </w:r>
      <w:r w:rsidRPr="0066562F">
        <w:rPr>
          <w:rFonts w:eastAsiaTheme="minorEastAsia"/>
          <w:rtl/>
        </w:rPr>
        <w:t>19</w:t>
      </w:r>
      <w:r w:rsidRPr="00A07640">
        <w:rPr>
          <w:rFonts w:eastAsiaTheme="minorEastAsia"/>
          <w:rtl/>
        </w:rPr>
        <w:t xml:space="preserve"> من العهد</w:t>
      </w:r>
      <w:r w:rsidRPr="00A07640">
        <w:rPr>
          <w:rFonts w:eastAsiaTheme="minorEastAsia"/>
          <w:vertAlign w:val="superscript"/>
          <w:rtl/>
        </w:rPr>
        <w:t>(</w:t>
      </w:r>
      <w:r w:rsidRPr="0066562F">
        <w:rPr>
          <w:rStyle w:val="FootnoteReference"/>
          <w:rFonts w:eastAsiaTheme="minorEastAsia"/>
          <w:szCs w:val="22"/>
          <w:lang w:val="en-US"/>
        </w:rPr>
        <w:footnoteReference w:id="7"/>
      </w:r>
      <w:r w:rsidRPr="007C1189">
        <w:rPr>
          <w:rStyle w:val="FootnoteReference"/>
          <w:rFonts w:eastAsiaTheme="minorEastAsia"/>
          <w:szCs w:val="22"/>
          <w:rtl/>
        </w:rPr>
        <w:t>)</w:t>
      </w:r>
      <w:r w:rsidRPr="00A07640">
        <w:rPr>
          <w:rFonts w:eastAsiaTheme="minorEastAsia"/>
          <w:rtl/>
        </w:rPr>
        <w:t xml:space="preserve">. </w:t>
      </w:r>
    </w:p>
    <w:p w14:paraId="551A6BCB" w14:textId="6EEB1F42" w:rsidR="00A07640" w:rsidRPr="00B70C25" w:rsidRDefault="00A07640" w:rsidP="00A07640">
      <w:pPr>
        <w:pStyle w:val="SingleTxtGA"/>
        <w:rPr>
          <w:rFonts w:eastAsiaTheme="minorEastAsia"/>
          <w:lang w:val="en-US" w:eastAsia="zh-TW" w:bidi="en-GB"/>
        </w:rPr>
      </w:pPr>
      <w:r w:rsidRPr="0066562F">
        <w:rPr>
          <w:rFonts w:eastAsiaTheme="minorEastAsia"/>
          <w:rtl/>
        </w:rPr>
        <w:t>7</w:t>
      </w:r>
      <w:r w:rsidRPr="00A07640">
        <w:rPr>
          <w:rFonts w:eastAsiaTheme="minorEastAsia"/>
          <w:rtl/>
        </w:rPr>
        <w:t>-</w:t>
      </w:r>
      <w:r w:rsidRPr="0066562F">
        <w:rPr>
          <w:rFonts w:eastAsiaTheme="minorEastAsia"/>
          <w:rtl/>
        </w:rPr>
        <w:t>5</w:t>
      </w:r>
      <w:r w:rsidRPr="00A07640">
        <w:rPr>
          <w:rFonts w:eastAsiaTheme="minorEastAsia"/>
          <w:rtl/>
        </w:rPr>
        <w:tab/>
        <w:t>وتلاحظ اللجنة في هذه القضية</w:t>
      </w:r>
      <w:r w:rsidR="007B0DF3">
        <w:rPr>
          <w:rFonts w:eastAsiaTheme="minorEastAsia"/>
          <w:rtl/>
        </w:rPr>
        <w:t>،</w:t>
      </w:r>
      <w:r w:rsidRPr="00A07640">
        <w:rPr>
          <w:rFonts w:eastAsiaTheme="minorEastAsia"/>
          <w:rtl/>
        </w:rPr>
        <w:t xml:space="preserve"> أن فرض عقوبة على اعتصام سلمي أجراه صاحب البلاغ لأنه لم يحصل على إذن مسبق من السلطات التنفيذية المحلية</w:t>
      </w:r>
      <w:r w:rsidR="007B0DF3">
        <w:rPr>
          <w:rFonts w:eastAsiaTheme="minorEastAsia"/>
          <w:rtl/>
        </w:rPr>
        <w:t>،</w:t>
      </w:r>
      <w:r w:rsidRPr="00A07640">
        <w:rPr>
          <w:rFonts w:eastAsiaTheme="minorEastAsia"/>
          <w:rtl/>
        </w:rPr>
        <w:t xml:space="preserve"> و</w:t>
      </w:r>
      <w:r>
        <w:rPr>
          <w:rFonts w:eastAsiaTheme="minorEastAsia"/>
          <w:rtl/>
        </w:rPr>
        <w:t>لا سيما</w:t>
      </w:r>
      <w:r w:rsidRPr="00A07640">
        <w:rPr>
          <w:rFonts w:eastAsiaTheme="minorEastAsia"/>
          <w:rtl/>
        </w:rPr>
        <w:t xml:space="preserve"> الغرامة التي فرضت عليه</w:t>
      </w:r>
      <w:r w:rsidR="007B0DF3">
        <w:rPr>
          <w:rFonts w:eastAsiaTheme="minorEastAsia"/>
          <w:rtl/>
        </w:rPr>
        <w:t>،</w:t>
      </w:r>
      <w:r w:rsidRPr="00A07640">
        <w:rPr>
          <w:rFonts w:eastAsiaTheme="minorEastAsia"/>
          <w:rtl/>
        </w:rPr>
        <w:t xml:space="preserve"> أمر يثير شكوكاً خطيرة بشأن وجه الضرورة والتناسب في القيود المفروضة على حقوق صاحب البلاغ المكفولة بموجب المادة </w:t>
      </w:r>
      <w:r w:rsidRPr="0066562F">
        <w:rPr>
          <w:rFonts w:eastAsiaTheme="minorEastAsia"/>
          <w:rtl/>
        </w:rPr>
        <w:t>19</w:t>
      </w:r>
      <w:r w:rsidRPr="00A07640">
        <w:rPr>
          <w:rFonts w:eastAsiaTheme="minorEastAsia"/>
          <w:rtl/>
        </w:rPr>
        <w:t xml:space="preserve"> من العهد. وتلاحظ اللجنة أيضاً أن الدولة الطرف لم تحتج بأي أسس محددة لدعم ضرورة القيود المفروضة على صاحب البلاغ على النحو الذي تقتضيه المادة </w:t>
      </w:r>
      <w:r w:rsidRPr="0066562F">
        <w:rPr>
          <w:rFonts w:eastAsiaTheme="minorEastAsia"/>
          <w:rtl/>
        </w:rPr>
        <w:t>19</w:t>
      </w:r>
      <w:r w:rsidRPr="00A07640">
        <w:rPr>
          <w:rFonts w:eastAsiaTheme="minorEastAsia"/>
          <w:rtl/>
        </w:rPr>
        <w:t>(</w:t>
      </w:r>
      <w:r w:rsidRPr="0066562F">
        <w:rPr>
          <w:rFonts w:eastAsiaTheme="minorEastAsia"/>
          <w:rtl/>
        </w:rPr>
        <w:t>3</w:t>
      </w:r>
      <w:r w:rsidRPr="00A07640">
        <w:rPr>
          <w:rFonts w:eastAsiaTheme="minorEastAsia"/>
          <w:rtl/>
        </w:rPr>
        <w:t>) من العهد</w:t>
      </w:r>
      <w:r w:rsidRPr="007C1189">
        <w:rPr>
          <w:rStyle w:val="FootnoteReference"/>
          <w:rFonts w:eastAsiaTheme="minorEastAsia"/>
          <w:szCs w:val="22"/>
          <w:rtl/>
        </w:rPr>
        <w:t>(</w:t>
      </w:r>
      <w:r w:rsidRPr="0066562F">
        <w:rPr>
          <w:rStyle w:val="FootnoteReference"/>
          <w:rFonts w:eastAsiaTheme="minorEastAsia"/>
          <w:szCs w:val="22"/>
          <w:lang w:val="en-US"/>
        </w:rPr>
        <w:footnoteReference w:id="8"/>
      </w:r>
      <w:r w:rsidRPr="007C1189">
        <w:rPr>
          <w:rStyle w:val="FootnoteReference"/>
          <w:rFonts w:eastAsiaTheme="minorEastAsia"/>
          <w:szCs w:val="22"/>
          <w:rtl/>
        </w:rPr>
        <w:t>)</w:t>
      </w:r>
      <w:r w:rsidRPr="00A07640">
        <w:rPr>
          <w:rFonts w:eastAsiaTheme="minorEastAsia"/>
          <w:rtl/>
        </w:rPr>
        <w:t>. ولم</w:t>
      </w:r>
      <w:r>
        <w:rPr>
          <w:rFonts w:eastAsiaTheme="minorEastAsia" w:hint="cs"/>
          <w:rtl/>
        </w:rPr>
        <w:t> </w:t>
      </w:r>
      <w:r w:rsidRPr="00A07640">
        <w:rPr>
          <w:rFonts w:eastAsiaTheme="minorEastAsia"/>
          <w:rtl/>
        </w:rPr>
        <w:t xml:space="preserve">تثبت الدولة الطرف كذلك أن التدابير التي اختيرت هي بطبيعتها أقل التدابير تدخلاً أو أنها متناسبة </w:t>
      </w:r>
      <w:r w:rsidRPr="00A07640">
        <w:rPr>
          <w:rFonts w:eastAsiaTheme="minorEastAsia"/>
          <w:rtl/>
        </w:rPr>
        <w:lastRenderedPageBreak/>
        <w:t>مع المصلحة المراد حمايتها. وترى اللجنة</w:t>
      </w:r>
      <w:r w:rsidR="007B0DF3">
        <w:rPr>
          <w:rFonts w:eastAsiaTheme="minorEastAsia"/>
          <w:rtl/>
        </w:rPr>
        <w:t>،</w:t>
      </w:r>
      <w:r w:rsidRPr="00A07640">
        <w:rPr>
          <w:rFonts w:eastAsiaTheme="minorEastAsia"/>
          <w:rtl/>
        </w:rPr>
        <w:t xml:space="preserve"> في ظل ظروف القضية</w:t>
      </w:r>
      <w:r w:rsidR="007B0DF3">
        <w:rPr>
          <w:rFonts w:eastAsiaTheme="minorEastAsia"/>
          <w:rtl/>
        </w:rPr>
        <w:t>،</w:t>
      </w:r>
      <w:r w:rsidRPr="00A07640">
        <w:rPr>
          <w:rFonts w:eastAsiaTheme="minorEastAsia"/>
          <w:rtl/>
        </w:rPr>
        <w:t xml:space="preserve"> أن العقوبات والقيود المفروضة على</w:t>
      </w:r>
      <w:r>
        <w:rPr>
          <w:rFonts w:eastAsiaTheme="minorEastAsia" w:hint="cs"/>
          <w:rtl/>
        </w:rPr>
        <w:t> </w:t>
      </w:r>
      <w:r w:rsidRPr="00A07640">
        <w:rPr>
          <w:rFonts w:eastAsiaTheme="minorEastAsia"/>
          <w:rtl/>
        </w:rPr>
        <w:t>صاحب البلاغ</w:t>
      </w:r>
      <w:r w:rsidR="007B0DF3">
        <w:rPr>
          <w:rFonts w:eastAsiaTheme="minorEastAsia"/>
          <w:rtl/>
        </w:rPr>
        <w:t>،</w:t>
      </w:r>
      <w:r w:rsidRPr="00A07640">
        <w:rPr>
          <w:rFonts w:eastAsiaTheme="minorEastAsia"/>
          <w:rtl/>
        </w:rPr>
        <w:t xml:space="preserve"> رغم أنها تستند إلى القانون المحلي</w:t>
      </w:r>
      <w:r w:rsidR="007B0DF3">
        <w:rPr>
          <w:rFonts w:eastAsiaTheme="minorEastAsia"/>
          <w:rtl/>
        </w:rPr>
        <w:t>،</w:t>
      </w:r>
      <w:r w:rsidRPr="00A07640">
        <w:rPr>
          <w:rFonts w:eastAsiaTheme="minorEastAsia"/>
          <w:rtl/>
        </w:rPr>
        <w:t xml:space="preserve"> لم تكن مبرَّرة عملاً بالشروط المنصوص عليها في المادة </w:t>
      </w:r>
      <w:r w:rsidRPr="0066562F">
        <w:rPr>
          <w:rFonts w:eastAsiaTheme="minorEastAsia"/>
          <w:rtl/>
        </w:rPr>
        <w:t>19</w:t>
      </w:r>
      <w:r w:rsidRPr="00A07640">
        <w:rPr>
          <w:rFonts w:eastAsiaTheme="minorEastAsia"/>
          <w:rtl/>
        </w:rPr>
        <w:t>(</w:t>
      </w:r>
      <w:r w:rsidRPr="0066562F">
        <w:rPr>
          <w:rFonts w:eastAsiaTheme="minorEastAsia"/>
          <w:rtl/>
        </w:rPr>
        <w:t>3</w:t>
      </w:r>
      <w:r w:rsidRPr="00A07640">
        <w:rPr>
          <w:rFonts w:eastAsiaTheme="minorEastAsia"/>
          <w:rtl/>
        </w:rPr>
        <w:t>) من العهد. ولذا تخلص اللجنة إلى أن حقوق صاحب البلاغ المنصوص عليها في المادة</w:t>
      </w:r>
      <w:r>
        <w:rPr>
          <w:rFonts w:eastAsiaTheme="minorEastAsia" w:hint="cs"/>
          <w:rtl/>
        </w:rPr>
        <w:t> </w:t>
      </w:r>
      <w:r w:rsidRPr="0066562F">
        <w:rPr>
          <w:rFonts w:eastAsiaTheme="minorEastAsia"/>
          <w:rtl/>
        </w:rPr>
        <w:t>19</w:t>
      </w:r>
      <w:r w:rsidRPr="00A07640">
        <w:rPr>
          <w:rFonts w:eastAsiaTheme="minorEastAsia"/>
          <w:rtl/>
        </w:rPr>
        <w:t>(</w:t>
      </w:r>
      <w:r w:rsidRPr="0066562F">
        <w:rPr>
          <w:rFonts w:eastAsiaTheme="minorEastAsia"/>
          <w:rtl/>
        </w:rPr>
        <w:t>2</w:t>
      </w:r>
      <w:r w:rsidRPr="00A07640">
        <w:rPr>
          <w:rFonts w:eastAsiaTheme="minorEastAsia"/>
          <w:rtl/>
        </w:rPr>
        <w:t>) من العهد قد انتهكت</w:t>
      </w:r>
      <w:r w:rsidRPr="007C1189">
        <w:rPr>
          <w:rStyle w:val="FootnoteReference"/>
          <w:rFonts w:eastAsiaTheme="minorEastAsia"/>
          <w:szCs w:val="22"/>
          <w:rtl/>
        </w:rPr>
        <w:t>(</w:t>
      </w:r>
      <w:r w:rsidRPr="0066562F">
        <w:rPr>
          <w:rStyle w:val="FootnoteReference"/>
          <w:rFonts w:eastAsiaTheme="minorEastAsia"/>
          <w:szCs w:val="22"/>
          <w:lang w:val="en-US"/>
        </w:rPr>
        <w:footnoteReference w:id="9"/>
      </w:r>
      <w:r w:rsidRPr="007C1189">
        <w:rPr>
          <w:rStyle w:val="FootnoteReference"/>
          <w:rFonts w:eastAsiaTheme="minorEastAsia"/>
          <w:szCs w:val="22"/>
          <w:rtl/>
        </w:rPr>
        <w:t>)</w:t>
      </w:r>
      <w:r>
        <w:rPr>
          <w:rFonts w:eastAsiaTheme="minorEastAsia" w:hint="cs"/>
          <w:rtl/>
        </w:rPr>
        <w:t>.</w:t>
      </w:r>
    </w:p>
    <w:p w14:paraId="71A6288E" w14:textId="4E2F731E" w:rsidR="00A07640" w:rsidRPr="008F4C77" w:rsidRDefault="00A07640" w:rsidP="00A07640">
      <w:pPr>
        <w:pStyle w:val="SingleTxtGA"/>
        <w:rPr>
          <w:rFonts w:eastAsiaTheme="minorEastAsia"/>
          <w:spacing w:val="-3"/>
          <w:lang w:val="ar-SA" w:eastAsia="zh-TW" w:bidi="en-GB"/>
        </w:rPr>
      </w:pPr>
      <w:r w:rsidRPr="0066562F">
        <w:rPr>
          <w:rFonts w:eastAsiaTheme="minorEastAsia"/>
          <w:rtl/>
        </w:rPr>
        <w:t>8</w:t>
      </w:r>
      <w:r w:rsidRPr="00A07640">
        <w:rPr>
          <w:rFonts w:eastAsiaTheme="minorEastAsia"/>
          <w:rtl/>
        </w:rPr>
        <w:t>-</w:t>
      </w:r>
      <w:r w:rsidRPr="00A07640">
        <w:rPr>
          <w:rFonts w:eastAsiaTheme="minorEastAsia"/>
          <w:rtl/>
        </w:rPr>
        <w:tab/>
        <w:t>واللجنة</w:t>
      </w:r>
      <w:r w:rsidR="007B0DF3">
        <w:rPr>
          <w:rFonts w:eastAsiaTheme="minorEastAsia"/>
          <w:rtl/>
        </w:rPr>
        <w:t>،</w:t>
      </w:r>
      <w:r w:rsidRPr="00A07640">
        <w:rPr>
          <w:rFonts w:eastAsiaTheme="minorEastAsia"/>
          <w:rtl/>
        </w:rPr>
        <w:t xml:space="preserve"> إذ تتصرف بموجب المادة </w:t>
      </w:r>
      <w:r w:rsidRPr="0066562F">
        <w:rPr>
          <w:rFonts w:eastAsiaTheme="minorEastAsia"/>
          <w:rtl/>
        </w:rPr>
        <w:t>5</w:t>
      </w:r>
      <w:r w:rsidRPr="00A07640">
        <w:rPr>
          <w:rFonts w:eastAsiaTheme="minorEastAsia"/>
          <w:rtl/>
        </w:rPr>
        <w:t>(</w:t>
      </w:r>
      <w:r w:rsidRPr="0066562F">
        <w:rPr>
          <w:rFonts w:eastAsiaTheme="minorEastAsia"/>
          <w:rtl/>
        </w:rPr>
        <w:t>4</w:t>
      </w:r>
      <w:r w:rsidRPr="00A07640">
        <w:rPr>
          <w:rFonts w:eastAsiaTheme="minorEastAsia"/>
          <w:rtl/>
        </w:rPr>
        <w:t>) من البروتوكول الاختياري</w:t>
      </w:r>
      <w:r w:rsidR="007B0DF3">
        <w:rPr>
          <w:rFonts w:eastAsiaTheme="minorEastAsia"/>
          <w:rtl/>
        </w:rPr>
        <w:t>،</w:t>
      </w:r>
      <w:r w:rsidRPr="00A07640">
        <w:rPr>
          <w:rFonts w:eastAsiaTheme="minorEastAsia"/>
          <w:rtl/>
        </w:rPr>
        <w:t xml:space="preserve"> ترى أن الوقائع المعروضة </w:t>
      </w:r>
      <w:r w:rsidRPr="008F4C77">
        <w:rPr>
          <w:rFonts w:eastAsiaTheme="minorEastAsia"/>
          <w:spacing w:val="-3"/>
          <w:rtl/>
        </w:rPr>
        <w:t xml:space="preserve">عليها تكشف عن انتهاك الدولة الطرف لحقوق صاحب البلاغ المنصوص عليها في المادة </w:t>
      </w:r>
      <w:r w:rsidRPr="0066562F">
        <w:rPr>
          <w:rFonts w:eastAsiaTheme="minorEastAsia"/>
          <w:spacing w:val="-3"/>
          <w:rtl/>
        </w:rPr>
        <w:t>19</w:t>
      </w:r>
      <w:r w:rsidRPr="008F4C77">
        <w:rPr>
          <w:rFonts w:eastAsiaTheme="minorEastAsia"/>
          <w:spacing w:val="-3"/>
          <w:rtl/>
        </w:rPr>
        <w:t>(</w:t>
      </w:r>
      <w:r w:rsidRPr="0066562F">
        <w:rPr>
          <w:rFonts w:eastAsiaTheme="minorEastAsia"/>
          <w:spacing w:val="-3"/>
          <w:rtl/>
        </w:rPr>
        <w:t>2</w:t>
      </w:r>
      <w:r w:rsidRPr="008F4C77">
        <w:rPr>
          <w:rFonts w:eastAsiaTheme="minorEastAsia"/>
          <w:spacing w:val="-3"/>
          <w:rtl/>
        </w:rPr>
        <w:t>) من</w:t>
      </w:r>
      <w:r w:rsidR="008F4C77" w:rsidRPr="008F4C77">
        <w:rPr>
          <w:rFonts w:eastAsiaTheme="minorEastAsia" w:hint="cs"/>
          <w:spacing w:val="-3"/>
          <w:rtl/>
        </w:rPr>
        <w:t xml:space="preserve"> </w:t>
      </w:r>
      <w:r w:rsidRPr="008F4C77">
        <w:rPr>
          <w:rFonts w:eastAsiaTheme="minorEastAsia"/>
          <w:spacing w:val="-3"/>
          <w:rtl/>
        </w:rPr>
        <w:t>العهد.</w:t>
      </w:r>
      <w:r w:rsidRPr="008F4C77">
        <w:rPr>
          <w:rFonts w:eastAsiaTheme="minorEastAsia" w:cs="Times New Roman" w:hint="cs"/>
          <w:spacing w:val="-3"/>
          <w:rtl/>
        </w:rPr>
        <w:t>‬</w:t>
      </w:r>
      <w:r w:rsidRPr="008F4C77">
        <w:rPr>
          <w:rFonts w:eastAsiaTheme="minorEastAsia"/>
          <w:spacing w:val="-3"/>
          <w:rtl/>
        </w:rPr>
        <w:t xml:space="preserve"> </w:t>
      </w:r>
    </w:p>
    <w:p w14:paraId="0E6EB950" w14:textId="3E7EA0EE" w:rsidR="00A07640" w:rsidRPr="00A07640" w:rsidRDefault="00A07640" w:rsidP="00A07640">
      <w:pPr>
        <w:pStyle w:val="SingleTxtGA"/>
        <w:rPr>
          <w:rFonts w:eastAsiaTheme="minorEastAsia"/>
          <w:lang w:val="ar-SA" w:eastAsia="zh-TW" w:bidi="en-GB"/>
        </w:rPr>
      </w:pPr>
      <w:r w:rsidRPr="0066562F">
        <w:rPr>
          <w:rFonts w:eastAsiaTheme="minorEastAsia"/>
          <w:rtl/>
        </w:rPr>
        <w:t>9</w:t>
      </w:r>
      <w:r w:rsidRPr="00A07640">
        <w:rPr>
          <w:rFonts w:eastAsiaTheme="minorEastAsia"/>
          <w:rtl/>
        </w:rPr>
        <w:t>-</w:t>
      </w:r>
      <w:r w:rsidRPr="00A07640">
        <w:rPr>
          <w:rFonts w:eastAsiaTheme="minorEastAsia"/>
          <w:rtl/>
        </w:rPr>
        <w:tab/>
        <w:t xml:space="preserve">وعملاً بأحكام المادة </w:t>
      </w:r>
      <w:r w:rsidRPr="0066562F">
        <w:rPr>
          <w:rFonts w:eastAsiaTheme="minorEastAsia"/>
          <w:rtl/>
        </w:rPr>
        <w:t>2</w:t>
      </w:r>
      <w:r>
        <w:rPr>
          <w:rFonts w:eastAsiaTheme="minorEastAsia"/>
          <w:rtl/>
        </w:rPr>
        <w:t>(</w:t>
      </w:r>
      <w:r w:rsidRPr="0066562F">
        <w:rPr>
          <w:rFonts w:eastAsiaTheme="minorEastAsia"/>
          <w:rtl/>
        </w:rPr>
        <w:t>3</w:t>
      </w:r>
      <w:r w:rsidRPr="00A07640">
        <w:rPr>
          <w:rFonts w:eastAsiaTheme="minorEastAsia"/>
          <w:rtl/>
        </w:rPr>
        <w:t>)</w:t>
      </w:r>
      <w:r>
        <w:rPr>
          <w:rFonts w:eastAsiaTheme="minorEastAsia"/>
          <w:rtl/>
        </w:rPr>
        <w:t>(</w:t>
      </w:r>
      <w:r w:rsidRPr="00A07640">
        <w:rPr>
          <w:rFonts w:eastAsiaTheme="minorEastAsia"/>
          <w:rtl/>
        </w:rPr>
        <w:t>أ) من العهد</w:t>
      </w:r>
      <w:r w:rsidR="007B0DF3">
        <w:rPr>
          <w:rFonts w:eastAsiaTheme="minorEastAsia"/>
          <w:rtl/>
        </w:rPr>
        <w:t>،</w:t>
      </w:r>
      <w:r w:rsidRPr="00A07640">
        <w:rPr>
          <w:rFonts w:eastAsiaTheme="minorEastAsia"/>
          <w:rtl/>
        </w:rPr>
        <w:t xml:space="preserve"> فإن الدولة الطرف ملزمة بتوفير سبيل انتصاف فعال لصاحب البلاغ. وهذا يتطلب منها أن تمنح تعويضاً كاملاً للأفراد الذين انتُهكت حقوقهم المكفولة بالعهد. وبناءً على ذلك</w:t>
      </w:r>
      <w:r w:rsidR="007B0DF3">
        <w:rPr>
          <w:rFonts w:eastAsiaTheme="minorEastAsia"/>
          <w:rtl/>
        </w:rPr>
        <w:t>،</w:t>
      </w:r>
      <w:r w:rsidRPr="00A07640">
        <w:rPr>
          <w:rFonts w:eastAsiaTheme="minorEastAsia"/>
          <w:rtl/>
        </w:rPr>
        <w:t xml:space="preserve"> فإن الدولة الطرف مُلزمة</w:t>
      </w:r>
      <w:r w:rsidR="007B0DF3">
        <w:rPr>
          <w:rFonts w:eastAsiaTheme="minorEastAsia"/>
          <w:rtl/>
        </w:rPr>
        <w:t>،</w:t>
      </w:r>
      <w:r w:rsidRPr="00A07640">
        <w:rPr>
          <w:rFonts w:eastAsiaTheme="minorEastAsia"/>
          <w:rtl/>
        </w:rPr>
        <w:t xml:space="preserve"> في جملة أمور</w:t>
      </w:r>
      <w:r w:rsidR="007B0DF3">
        <w:rPr>
          <w:rFonts w:eastAsiaTheme="minorEastAsia"/>
          <w:rtl/>
        </w:rPr>
        <w:t>،</w:t>
      </w:r>
      <w:r w:rsidRPr="00A07640">
        <w:rPr>
          <w:rFonts w:eastAsiaTheme="minorEastAsia"/>
          <w:rtl/>
        </w:rPr>
        <w:t xml:space="preserve"> بتقديم تعويض مناسب لصاحب البلاغ</w:t>
      </w:r>
      <w:r w:rsidR="007B0DF3">
        <w:rPr>
          <w:rFonts w:eastAsiaTheme="minorEastAsia"/>
          <w:rtl/>
        </w:rPr>
        <w:t>،</w:t>
      </w:r>
      <w:r w:rsidRPr="00A07640">
        <w:rPr>
          <w:rFonts w:eastAsiaTheme="minorEastAsia"/>
          <w:rtl/>
        </w:rPr>
        <w:t xml:space="preserve"> وسداد قيمة الغرامة التي فرضت عليه وأي تكاليف قانونية تكبدها فيما يتعلق بالإجراءات المحلية. والدولة الطرف ملزمة أيضاً باتخاذ جميع الخطوات اللازمة لمنع حدوث انتهاكات مماثلة في المستقبل.</w:t>
      </w:r>
    </w:p>
    <w:p w14:paraId="48C7F0ED" w14:textId="53B0750F" w:rsidR="00A07640" w:rsidRDefault="00A07640" w:rsidP="00A07640">
      <w:pPr>
        <w:pStyle w:val="SingleTxtGA"/>
        <w:rPr>
          <w:rFonts w:eastAsiaTheme="minorEastAsia"/>
          <w:lang w:val="en-US" w:eastAsia="zh-TW" w:bidi="en-GB"/>
        </w:rPr>
      </w:pPr>
      <w:r w:rsidRPr="0066562F">
        <w:rPr>
          <w:rFonts w:eastAsiaTheme="minorEastAsia"/>
          <w:rtl/>
        </w:rPr>
        <w:t>10</w:t>
      </w:r>
      <w:r w:rsidRPr="00A07640">
        <w:rPr>
          <w:rFonts w:eastAsiaTheme="minorEastAsia"/>
          <w:rtl/>
        </w:rPr>
        <w:t>-</w:t>
      </w:r>
      <w:r w:rsidRPr="00A07640">
        <w:rPr>
          <w:rFonts w:eastAsiaTheme="minorEastAsia"/>
          <w:rtl/>
        </w:rPr>
        <w:tab/>
        <w:t>وإذ تضع اللجنة في اعتبارها أن الدولة الطرف قد اعترفت</w:t>
      </w:r>
      <w:r w:rsidR="007B0DF3">
        <w:rPr>
          <w:rFonts w:eastAsiaTheme="minorEastAsia"/>
          <w:rtl/>
        </w:rPr>
        <w:t>،</w:t>
      </w:r>
      <w:r w:rsidRPr="00A07640">
        <w:rPr>
          <w:rFonts w:eastAsiaTheme="minorEastAsia"/>
          <w:rtl/>
        </w:rPr>
        <w:t xml:space="preserve"> بانضمامها إلى البروتوكول الاختياري</w:t>
      </w:r>
      <w:r w:rsidR="007B0DF3">
        <w:rPr>
          <w:rFonts w:eastAsiaTheme="minorEastAsia"/>
          <w:rtl/>
        </w:rPr>
        <w:t>،</w:t>
      </w:r>
      <w:r w:rsidRPr="00A07640">
        <w:rPr>
          <w:rFonts w:eastAsiaTheme="minorEastAsia"/>
          <w:rtl/>
        </w:rPr>
        <w:t xml:space="preserve"> باختصاص اللجنة في البتّ في مسألة وقوع انتهاك لأحكام العهد من عدمه</w:t>
      </w:r>
      <w:r w:rsidR="007B0DF3">
        <w:rPr>
          <w:rFonts w:eastAsiaTheme="minorEastAsia"/>
          <w:rtl/>
        </w:rPr>
        <w:t>،</w:t>
      </w:r>
      <w:r w:rsidRPr="00A07640">
        <w:rPr>
          <w:rFonts w:eastAsiaTheme="minorEastAsia"/>
          <w:rtl/>
        </w:rPr>
        <w:t xml:space="preserve"> وأنها تعهدت</w:t>
      </w:r>
      <w:r w:rsidR="007B0DF3">
        <w:rPr>
          <w:rFonts w:eastAsiaTheme="minorEastAsia"/>
          <w:rtl/>
        </w:rPr>
        <w:t>،</w:t>
      </w:r>
      <w:r w:rsidRPr="00A07640">
        <w:rPr>
          <w:rFonts w:eastAsiaTheme="minorEastAsia"/>
          <w:rtl/>
        </w:rPr>
        <w:t xml:space="preserve"> عملاً بالمادة </w:t>
      </w:r>
      <w:r w:rsidRPr="0066562F">
        <w:rPr>
          <w:rFonts w:eastAsiaTheme="minorEastAsia"/>
          <w:rtl/>
        </w:rPr>
        <w:t>2</w:t>
      </w:r>
      <w:r w:rsidRPr="00A07640">
        <w:rPr>
          <w:rFonts w:eastAsiaTheme="minorEastAsia"/>
          <w:rtl/>
        </w:rPr>
        <w:t xml:space="preserve"> منه</w:t>
      </w:r>
      <w:r w:rsidR="007B0DF3">
        <w:rPr>
          <w:rFonts w:eastAsiaTheme="minorEastAsia"/>
          <w:rtl/>
        </w:rPr>
        <w:t>،</w:t>
      </w:r>
      <w:r w:rsidRPr="00A07640">
        <w:rPr>
          <w:rFonts w:eastAsiaTheme="minorEastAsia"/>
          <w:rtl/>
        </w:rPr>
        <w:t xml:space="preserve"> بأن تكفل تمتع جميع الأفراد المقيمين في إقليمها والخاضعين لولايتها بالحقوق المعترف بها في العهد وتوفر لهم سبل انتصاف فعالة متى ثبت وقوع انتهاك</w:t>
      </w:r>
      <w:r w:rsidR="007B0DF3">
        <w:rPr>
          <w:rFonts w:eastAsiaTheme="minorEastAsia"/>
          <w:rtl/>
        </w:rPr>
        <w:t>،</w:t>
      </w:r>
      <w:r w:rsidRPr="00A07640">
        <w:rPr>
          <w:rFonts w:eastAsiaTheme="minorEastAsia"/>
          <w:rtl/>
        </w:rPr>
        <w:t xml:space="preserve"> تودّ أن تتلقى من الدولة الطرف</w:t>
      </w:r>
      <w:r w:rsidR="007B0DF3">
        <w:rPr>
          <w:rFonts w:eastAsiaTheme="minorEastAsia"/>
          <w:rtl/>
        </w:rPr>
        <w:t>،</w:t>
      </w:r>
      <w:r w:rsidRPr="00A07640">
        <w:rPr>
          <w:rFonts w:eastAsiaTheme="minorEastAsia"/>
          <w:rtl/>
        </w:rPr>
        <w:t xml:space="preserve"> في غضون </w:t>
      </w:r>
      <w:r w:rsidRPr="0066562F">
        <w:rPr>
          <w:rFonts w:eastAsiaTheme="minorEastAsia"/>
          <w:rtl/>
        </w:rPr>
        <w:t>180</w:t>
      </w:r>
      <w:r w:rsidRPr="00A07640">
        <w:rPr>
          <w:rFonts w:eastAsiaTheme="minorEastAsia"/>
          <w:rtl/>
        </w:rPr>
        <w:t xml:space="preserve"> يوماً</w:t>
      </w:r>
      <w:r w:rsidR="007B0DF3">
        <w:rPr>
          <w:rFonts w:eastAsiaTheme="minorEastAsia"/>
          <w:rtl/>
        </w:rPr>
        <w:t>،</w:t>
      </w:r>
      <w:r w:rsidRPr="00A07640">
        <w:rPr>
          <w:rFonts w:eastAsiaTheme="minorEastAsia"/>
          <w:rtl/>
        </w:rPr>
        <w:t xml:space="preserve"> معلومات عن التدابير المتخذة لإنفاذ آراء اللجنة. ويُطلب إلى الدولة الطرف أيضاً نشر هذه الآراء وتعميمها على نطاق واسع بلغاتها الرسمية.</w:t>
      </w:r>
    </w:p>
    <w:p w14:paraId="17E4DD83" w14:textId="4212AB41" w:rsidR="00A07640" w:rsidRPr="00A07640" w:rsidRDefault="00A07640" w:rsidP="00A07640">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A07640" w:rsidRPr="00A07640" w:rsidSect="006334A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DDCC" w14:textId="77777777" w:rsidR="009F337B" w:rsidRPr="002901D9" w:rsidRDefault="009F337B" w:rsidP="00DC4D4B">
      <w:pPr>
        <w:spacing w:after="60" w:line="240" w:lineRule="auto"/>
        <w:ind w:left="57"/>
        <w:rPr>
          <w:i/>
          <w:iCs/>
        </w:rPr>
      </w:pPr>
      <w:r>
        <w:rPr>
          <w:rFonts w:hint="cs"/>
          <w:i/>
          <w:iCs/>
          <w:rtl/>
        </w:rPr>
        <w:t>الحواشي</w:t>
      </w:r>
    </w:p>
  </w:endnote>
  <w:endnote w:type="continuationSeparator" w:id="0">
    <w:p w14:paraId="1032CFB7" w14:textId="77777777" w:rsidR="009F337B" w:rsidRDefault="009F337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76BA" w14:textId="448E9A3A" w:rsidR="0064749E" w:rsidRPr="0064749E" w:rsidRDefault="0064749E" w:rsidP="0064749E">
    <w:pPr>
      <w:pStyle w:val="Footer"/>
      <w:tabs>
        <w:tab w:val="right" w:pos="9638"/>
      </w:tabs>
      <w:rPr>
        <w:b/>
        <w:sz w:val="18"/>
        <w:lang w:val="en-US"/>
      </w:rPr>
    </w:pPr>
    <w:r>
      <w:rPr>
        <w:lang w:val="en-US"/>
      </w:rPr>
      <w:t>GE.22-02673</w:t>
    </w:r>
    <w:r>
      <w:rPr>
        <w:lang w:val="en-US"/>
      </w:rPr>
      <w:tab/>
    </w:r>
    <w:r w:rsidRPr="0064749E">
      <w:rPr>
        <w:b/>
        <w:sz w:val="18"/>
        <w:lang w:val="en-US"/>
      </w:rPr>
      <w:fldChar w:fldCharType="begin"/>
    </w:r>
    <w:r w:rsidRPr="0064749E">
      <w:rPr>
        <w:b/>
        <w:sz w:val="18"/>
        <w:lang w:val="en-US"/>
      </w:rPr>
      <w:instrText xml:space="preserve"> PAGE  \* MERGEFORMAT </w:instrText>
    </w:r>
    <w:r w:rsidRPr="0064749E">
      <w:rPr>
        <w:b/>
        <w:sz w:val="18"/>
        <w:lang w:val="en-US"/>
      </w:rPr>
      <w:fldChar w:fldCharType="separate"/>
    </w:r>
    <w:r w:rsidRPr="0064749E">
      <w:rPr>
        <w:b/>
        <w:noProof/>
        <w:sz w:val="18"/>
        <w:lang w:val="en-US"/>
      </w:rPr>
      <w:t>2</w:t>
    </w:r>
    <w:r w:rsidRPr="0064749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77FB" w14:textId="73CB002A" w:rsidR="006959B0" w:rsidRPr="0064749E" w:rsidRDefault="0064749E" w:rsidP="0064749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GE.22-02673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6A13" w14:textId="751CA149" w:rsidR="00DE50B1" w:rsidRPr="0064749E" w:rsidRDefault="0064749E" w:rsidP="0064749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EB76BD8" wp14:editId="4DC441E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22-02673 (A)</w:t>
    </w:r>
    <w:r>
      <w:rPr>
        <w:noProof/>
        <w:sz w:val="20"/>
        <w:lang w:val="en-US"/>
      </w:rPr>
      <w:drawing>
        <wp:anchor distT="0" distB="0" distL="114300" distR="114300" simplePos="0" relativeHeight="251659264" behindDoc="0" locked="0" layoutInCell="1" allowOverlap="1" wp14:anchorId="6D352C5C" wp14:editId="67FA0FF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A46" w14:textId="77777777" w:rsidR="009F337B" w:rsidRPr="008A49D2" w:rsidRDefault="009F337B"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EBA9368" w14:textId="77777777" w:rsidR="009F337B" w:rsidRDefault="009F337B" w:rsidP="00656392">
      <w:pPr>
        <w:spacing w:line="240" w:lineRule="auto"/>
      </w:pPr>
      <w:r>
        <w:continuationSeparator/>
      </w:r>
    </w:p>
  </w:footnote>
  <w:footnote w:id="1">
    <w:p w14:paraId="5F492434" w14:textId="7148A81B" w:rsidR="00A07640" w:rsidRPr="00A07640" w:rsidRDefault="00A07640" w:rsidP="00A07640">
      <w:pPr>
        <w:pStyle w:val="FootnoteText1"/>
        <w:rPr>
          <w:rFonts w:eastAsiaTheme="minorEastAsia"/>
          <w:rtl/>
        </w:rPr>
      </w:pPr>
      <w:r w:rsidRPr="00A07640">
        <w:rPr>
          <w:rFonts w:eastAsiaTheme="minorEastAsia"/>
          <w:rtl/>
        </w:rPr>
        <w:t>*</w:t>
      </w:r>
      <w:r w:rsidRPr="00A07640">
        <w:rPr>
          <w:rFonts w:eastAsiaTheme="minorEastAsia"/>
          <w:rtl/>
        </w:rPr>
        <w:tab/>
        <w:t xml:space="preserve">اعتمدتها اللجنة في دورتها </w:t>
      </w:r>
      <w:r w:rsidRPr="0066562F">
        <w:rPr>
          <w:rFonts w:eastAsiaTheme="minorEastAsia"/>
          <w:rtl/>
        </w:rPr>
        <w:t>131</w:t>
      </w:r>
      <w:r w:rsidRPr="00A07640">
        <w:rPr>
          <w:rFonts w:eastAsiaTheme="minorEastAsia"/>
          <w:rtl/>
        </w:rPr>
        <w:t xml:space="preserve"> (</w:t>
      </w:r>
      <w:r w:rsidRPr="0066562F">
        <w:rPr>
          <w:rFonts w:eastAsiaTheme="minorEastAsia"/>
          <w:rtl/>
        </w:rPr>
        <w:t>1</w:t>
      </w:r>
      <w:r w:rsidRPr="00A07640">
        <w:rPr>
          <w:rFonts w:eastAsiaTheme="minorEastAsia"/>
          <w:rtl/>
        </w:rPr>
        <w:t>-</w:t>
      </w:r>
      <w:r w:rsidRPr="0066562F">
        <w:rPr>
          <w:rFonts w:eastAsiaTheme="minorEastAsia"/>
          <w:rtl/>
        </w:rPr>
        <w:t>26</w:t>
      </w:r>
      <w:r w:rsidRPr="00A07640">
        <w:rPr>
          <w:rFonts w:eastAsiaTheme="minorEastAsia"/>
          <w:rtl/>
        </w:rPr>
        <w:t xml:space="preserve"> آذار/مارس </w:t>
      </w:r>
      <w:r w:rsidRPr="0066562F">
        <w:rPr>
          <w:rFonts w:eastAsiaTheme="minorEastAsia"/>
          <w:rtl/>
        </w:rPr>
        <w:t>2021</w:t>
      </w:r>
      <w:r w:rsidRPr="00A07640">
        <w:rPr>
          <w:rFonts w:eastAsiaTheme="minorEastAsia"/>
          <w:rtl/>
        </w:rPr>
        <w:t>).</w:t>
      </w:r>
    </w:p>
  </w:footnote>
  <w:footnote w:id="2">
    <w:p w14:paraId="44FB29BE" w14:textId="2CD219E6" w:rsidR="00A07640" w:rsidRPr="00A07640" w:rsidRDefault="00A07640" w:rsidP="00A07640">
      <w:pPr>
        <w:pStyle w:val="FootnoteText1"/>
        <w:rPr>
          <w:rFonts w:eastAsiaTheme="minorEastAsia"/>
          <w:rtl/>
        </w:rPr>
      </w:pPr>
      <w:r w:rsidRPr="00A07640">
        <w:rPr>
          <w:rFonts w:eastAsiaTheme="minorEastAsia"/>
          <w:rtl/>
        </w:rPr>
        <w:t>**</w:t>
      </w:r>
      <w:r w:rsidRPr="00A07640">
        <w:rPr>
          <w:rFonts w:eastAsiaTheme="minorEastAsia"/>
          <w:rtl/>
        </w:rPr>
        <w:tab/>
        <w:t xml:space="preserve">شارك في دراسة هذا البلاغ أعضاء اللجنة التالية أسماؤهم: تانيا ماريا عبدو </w:t>
      </w:r>
      <w:proofErr w:type="spellStart"/>
      <w:r w:rsidRPr="00A07640">
        <w:rPr>
          <w:rFonts w:eastAsiaTheme="minorEastAsia"/>
          <w:rtl/>
        </w:rPr>
        <w:t>روشول</w:t>
      </w:r>
      <w:proofErr w:type="spellEnd"/>
      <w:r w:rsidR="007B0DF3">
        <w:rPr>
          <w:rFonts w:eastAsiaTheme="minorEastAsia"/>
          <w:rtl/>
        </w:rPr>
        <w:t>،</w:t>
      </w:r>
      <w:r w:rsidRPr="00A07640">
        <w:rPr>
          <w:rFonts w:eastAsiaTheme="minorEastAsia"/>
          <w:rtl/>
        </w:rPr>
        <w:t xml:space="preserve"> ووفاء أشرف محرم بسيم</w:t>
      </w:r>
      <w:r w:rsidR="007B0DF3">
        <w:rPr>
          <w:rFonts w:eastAsiaTheme="minorEastAsia"/>
          <w:rtl/>
        </w:rPr>
        <w:t>،</w:t>
      </w:r>
      <w:r w:rsidRPr="00A07640">
        <w:rPr>
          <w:rFonts w:eastAsiaTheme="minorEastAsia"/>
          <w:rtl/>
        </w:rPr>
        <w:t xml:space="preserve"> وعياض بن</w:t>
      </w:r>
      <w:r w:rsidRPr="00A07640">
        <w:rPr>
          <w:rFonts w:eastAsiaTheme="minorEastAsia" w:hint="cs"/>
          <w:rtl/>
        </w:rPr>
        <w:t> </w:t>
      </w:r>
      <w:r w:rsidRPr="00A07640">
        <w:rPr>
          <w:rFonts w:eastAsiaTheme="minorEastAsia"/>
          <w:rtl/>
        </w:rPr>
        <w:t>عاشور</w:t>
      </w:r>
      <w:r w:rsidR="007B0DF3">
        <w:rPr>
          <w:rFonts w:eastAsiaTheme="minorEastAsia"/>
          <w:rtl/>
        </w:rPr>
        <w:t>،</w:t>
      </w:r>
      <w:r w:rsidRPr="00A07640">
        <w:rPr>
          <w:rFonts w:eastAsiaTheme="minorEastAsia"/>
          <w:rtl/>
        </w:rPr>
        <w:t xml:space="preserve"> وعارف بلقان</w:t>
      </w:r>
      <w:r w:rsidR="007B0DF3">
        <w:rPr>
          <w:rFonts w:eastAsiaTheme="minorEastAsia"/>
          <w:rtl/>
        </w:rPr>
        <w:t>،</w:t>
      </w:r>
      <w:r w:rsidRPr="00A07640">
        <w:rPr>
          <w:rFonts w:eastAsiaTheme="minorEastAsia"/>
          <w:rtl/>
        </w:rPr>
        <w:t xml:space="preserve"> والمحجوب الهيبة</w:t>
      </w:r>
      <w:r w:rsidR="007B0DF3">
        <w:rPr>
          <w:rFonts w:eastAsiaTheme="minorEastAsia"/>
          <w:rtl/>
        </w:rPr>
        <w:t>،</w:t>
      </w:r>
      <w:r w:rsidRPr="00A07640">
        <w:rPr>
          <w:rFonts w:eastAsiaTheme="minorEastAsia"/>
          <w:rtl/>
        </w:rPr>
        <w:t xml:space="preserve"> </w:t>
      </w:r>
      <w:proofErr w:type="spellStart"/>
      <w:r w:rsidRPr="00A07640">
        <w:rPr>
          <w:rFonts w:eastAsiaTheme="minorEastAsia"/>
          <w:rtl/>
        </w:rPr>
        <w:t>وفورويا</w:t>
      </w:r>
      <w:proofErr w:type="spellEnd"/>
      <w:r w:rsidRPr="00A07640">
        <w:rPr>
          <w:rFonts w:eastAsiaTheme="minorEastAsia"/>
          <w:rtl/>
        </w:rPr>
        <w:t xml:space="preserve"> </w:t>
      </w:r>
      <w:proofErr w:type="spellStart"/>
      <w:r w:rsidRPr="00A07640">
        <w:rPr>
          <w:rFonts w:eastAsiaTheme="minorEastAsia"/>
          <w:rtl/>
        </w:rPr>
        <w:t>شويتشي</w:t>
      </w:r>
      <w:proofErr w:type="spellEnd"/>
      <w:r w:rsidR="007B0DF3">
        <w:rPr>
          <w:rFonts w:eastAsiaTheme="minorEastAsia"/>
          <w:rtl/>
        </w:rPr>
        <w:t>،</w:t>
      </w:r>
      <w:r w:rsidRPr="00A07640">
        <w:rPr>
          <w:rFonts w:eastAsiaTheme="minorEastAsia"/>
          <w:rtl/>
        </w:rPr>
        <w:t xml:space="preserve"> وكارلوس غوميز مارتينيز</w:t>
      </w:r>
      <w:r w:rsidR="007B0DF3">
        <w:rPr>
          <w:rFonts w:eastAsiaTheme="minorEastAsia"/>
          <w:rtl/>
        </w:rPr>
        <w:t>،</w:t>
      </w:r>
      <w:r w:rsidRPr="00A07640">
        <w:rPr>
          <w:rFonts w:eastAsiaTheme="minorEastAsia"/>
          <w:rtl/>
        </w:rPr>
        <w:t xml:space="preserve"> </w:t>
      </w:r>
      <w:proofErr w:type="spellStart"/>
      <w:r w:rsidRPr="00A07640">
        <w:rPr>
          <w:rFonts w:eastAsiaTheme="minorEastAsia"/>
          <w:rtl/>
        </w:rPr>
        <w:t>ومارسيا</w:t>
      </w:r>
      <w:proofErr w:type="spellEnd"/>
      <w:r w:rsidRPr="00A07640">
        <w:rPr>
          <w:rFonts w:eastAsiaTheme="minorEastAsia"/>
          <w:rtl/>
        </w:rPr>
        <w:t xml:space="preserve"> ف. ج. كران</w:t>
      </w:r>
      <w:r w:rsidR="007B0DF3">
        <w:rPr>
          <w:rFonts w:eastAsiaTheme="minorEastAsia"/>
          <w:rtl/>
        </w:rPr>
        <w:t>،</w:t>
      </w:r>
      <w:r w:rsidRPr="00A07640">
        <w:rPr>
          <w:rFonts w:eastAsiaTheme="minorEastAsia"/>
          <w:rtl/>
        </w:rPr>
        <w:t xml:space="preserve"> </w:t>
      </w:r>
      <w:proofErr w:type="spellStart"/>
      <w:r w:rsidRPr="00A07640">
        <w:rPr>
          <w:rFonts w:eastAsiaTheme="minorEastAsia"/>
          <w:rtl/>
        </w:rPr>
        <w:t>ودنكان</w:t>
      </w:r>
      <w:proofErr w:type="spellEnd"/>
      <w:r w:rsidRPr="00A07640">
        <w:rPr>
          <w:rFonts w:eastAsiaTheme="minorEastAsia"/>
          <w:rtl/>
        </w:rPr>
        <w:t xml:space="preserve"> </w:t>
      </w:r>
      <w:proofErr w:type="spellStart"/>
      <w:r w:rsidRPr="00A07640">
        <w:rPr>
          <w:rFonts w:eastAsiaTheme="minorEastAsia"/>
          <w:rtl/>
        </w:rPr>
        <w:t>لاكي</w:t>
      </w:r>
      <w:proofErr w:type="spellEnd"/>
      <w:r w:rsidRPr="00A07640">
        <w:rPr>
          <w:rFonts w:eastAsiaTheme="minorEastAsia"/>
          <w:rtl/>
        </w:rPr>
        <w:t xml:space="preserve"> </w:t>
      </w:r>
      <w:proofErr w:type="spellStart"/>
      <w:r w:rsidRPr="00A07640">
        <w:rPr>
          <w:rFonts w:eastAsiaTheme="minorEastAsia"/>
          <w:rtl/>
        </w:rPr>
        <w:t>موهوموزا</w:t>
      </w:r>
      <w:proofErr w:type="spellEnd"/>
      <w:r w:rsidR="007B0DF3">
        <w:rPr>
          <w:rFonts w:eastAsiaTheme="minorEastAsia"/>
          <w:rtl/>
        </w:rPr>
        <w:t>،</w:t>
      </w:r>
      <w:r w:rsidRPr="00A07640">
        <w:rPr>
          <w:rFonts w:eastAsiaTheme="minorEastAsia"/>
          <w:rtl/>
        </w:rPr>
        <w:t xml:space="preserve"> وفوتيني </w:t>
      </w:r>
      <w:proofErr w:type="spellStart"/>
      <w:r w:rsidRPr="00A07640">
        <w:rPr>
          <w:rFonts w:eastAsiaTheme="minorEastAsia"/>
          <w:rtl/>
        </w:rPr>
        <w:t>بازارتزيس</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وهيرنان</w:t>
      </w:r>
      <w:proofErr w:type="spellEnd"/>
      <w:r w:rsidRPr="00A07640">
        <w:rPr>
          <w:rFonts w:eastAsiaTheme="minorEastAsia"/>
          <w:rtl/>
        </w:rPr>
        <w:t xml:space="preserve"> </w:t>
      </w:r>
      <w:proofErr w:type="spellStart"/>
      <w:r w:rsidRPr="00A07640">
        <w:rPr>
          <w:rFonts w:eastAsiaTheme="minorEastAsia"/>
          <w:rtl/>
        </w:rPr>
        <w:t>كيزادا</w:t>
      </w:r>
      <w:proofErr w:type="spellEnd"/>
      <w:r w:rsidRPr="00A07640">
        <w:rPr>
          <w:rFonts w:eastAsiaTheme="minorEastAsia"/>
          <w:rtl/>
        </w:rPr>
        <w:t xml:space="preserve"> </w:t>
      </w:r>
      <w:proofErr w:type="spellStart"/>
      <w:r w:rsidRPr="00A07640">
        <w:rPr>
          <w:rFonts w:eastAsiaTheme="minorEastAsia"/>
          <w:rtl/>
        </w:rPr>
        <w:t>كابريرا</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وفاسيلكا</w:t>
      </w:r>
      <w:proofErr w:type="spellEnd"/>
      <w:r w:rsidRPr="00A07640">
        <w:rPr>
          <w:rFonts w:eastAsiaTheme="minorEastAsia"/>
          <w:rtl/>
        </w:rPr>
        <w:t xml:space="preserve"> </w:t>
      </w:r>
      <w:proofErr w:type="spellStart"/>
      <w:r w:rsidRPr="00A07640">
        <w:rPr>
          <w:rFonts w:eastAsiaTheme="minorEastAsia"/>
          <w:rtl/>
        </w:rPr>
        <w:t>سانسين</w:t>
      </w:r>
      <w:proofErr w:type="spellEnd"/>
      <w:r w:rsidR="007B0DF3">
        <w:rPr>
          <w:rFonts w:eastAsiaTheme="minorEastAsia"/>
          <w:rtl/>
        </w:rPr>
        <w:t>،</w:t>
      </w:r>
      <w:r w:rsidRPr="00A07640">
        <w:rPr>
          <w:rFonts w:eastAsiaTheme="minorEastAsia"/>
          <w:rtl/>
        </w:rPr>
        <w:t xml:space="preserve"> وخوسيه مانويل سانتوس </w:t>
      </w:r>
      <w:proofErr w:type="spellStart"/>
      <w:r w:rsidRPr="00A07640">
        <w:rPr>
          <w:rFonts w:eastAsiaTheme="minorEastAsia"/>
          <w:rtl/>
        </w:rPr>
        <w:t>باييس</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وسوه</w:t>
      </w:r>
      <w:proofErr w:type="spellEnd"/>
      <w:r w:rsidRPr="00A07640">
        <w:rPr>
          <w:rFonts w:eastAsiaTheme="minorEastAsia"/>
          <w:rtl/>
        </w:rPr>
        <w:t xml:space="preserve"> </w:t>
      </w:r>
      <w:proofErr w:type="spellStart"/>
      <w:r w:rsidRPr="00A07640">
        <w:rPr>
          <w:rFonts w:eastAsiaTheme="minorEastAsia"/>
          <w:rtl/>
        </w:rPr>
        <w:t>شانغروك</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وكوباوياه</w:t>
      </w:r>
      <w:proofErr w:type="spellEnd"/>
      <w:r w:rsidRPr="00A07640">
        <w:rPr>
          <w:rFonts w:eastAsiaTheme="minorEastAsia"/>
          <w:rtl/>
        </w:rPr>
        <w:t xml:space="preserve"> </w:t>
      </w:r>
      <w:proofErr w:type="spellStart"/>
      <w:r w:rsidRPr="00A07640">
        <w:rPr>
          <w:rFonts w:eastAsiaTheme="minorEastAsia"/>
          <w:rtl/>
        </w:rPr>
        <w:t>كباتشا</w:t>
      </w:r>
      <w:proofErr w:type="spellEnd"/>
      <w:r w:rsidRPr="00A07640">
        <w:rPr>
          <w:rFonts w:eastAsiaTheme="minorEastAsia"/>
          <w:rtl/>
        </w:rPr>
        <w:t xml:space="preserve"> </w:t>
      </w:r>
      <w:proofErr w:type="spellStart"/>
      <w:r w:rsidRPr="00A07640">
        <w:rPr>
          <w:rFonts w:eastAsiaTheme="minorEastAsia"/>
          <w:rtl/>
        </w:rPr>
        <w:t>تشامدجا</w:t>
      </w:r>
      <w:proofErr w:type="spellEnd"/>
      <w:r w:rsidR="007B0DF3">
        <w:rPr>
          <w:rFonts w:eastAsiaTheme="minorEastAsia"/>
          <w:rtl/>
        </w:rPr>
        <w:t>،</w:t>
      </w:r>
      <w:r w:rsidRPr="00A07640">
        <w:rPr>
          <w:rFonts w:eastAsiaTheme="minorEastAsia"/>
          <w:rtl/>
        </w:rPr>
        <w:t xml:space="preserve"> وإيلين </w:t>
      </w:r>
      <w:proofErr w:type="spellStart"/>
      <w:r w:rsidRPr="00A07640">
        <w:rPr>
          <w:rFonts w:eastAsiaTheme="minorEastAsia"/>
          <w:rtl/>
        </w:rPr>
        <w:t>تيغرودجا</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وإيميرو</w:t>
      </w:r>
      <w:proofErr w:type="spellEnd"/>
      <w:r w:rsidRPr="00A07640">
        <w:rPr>
          <w:rFonts w:eastAsiaTheme="minorEastAsia"/>
          <w:rtl/>
        </w:rPr>
        <w:t xml:space="preserve"> </w:t>
      </w:r>
      <w:proofErr w:type="spellStart"/>
      <w:r w:rsidRPr="00A07640">
        <w:rPr>
          <w:rFonts w:eastAsiaTheme="minorEastAsia"/>
          <w:rtl/>
        </w:rPr>
        <w:t>تامرات</w:t>
      </w:r>
      <w:proofErr w:type="spellEnd"/>
      <w:r w:rsidRPr="00A07640">
        <w:rPr>
          <w:rFonts w:eastAsiaTheme="minorEastAsia"/>
          <w:rtl/>
        </w:rPr>
        <w:t xml:space="preserve"> </w:t>
      </w:r>
      <w:proofErr w:type="spellStart"/>
      <w:r w:rsidRPr="00A07640">
        <w:rPr>
          <w:rFonts w:eastAsiaTheme="minorEastAsia"/>
          <w:rtl/>
        </w:rPr>
        <w:t>إغيزو</w:t>
      </w:r>
      <w:proofErr w:type="spellEnd"/>
      <w:r w:rsidR="007B0DF3">
        <w:rPr>
          <w:rFonts w:eastAsiaTheme="minorEastAsia"/>
          <w:rtl/>
        </w:rPr>
        <w:t>،</w:t>
      </w:r>
      <w:r w:rsidRPr="00A07640">
        <w:rPr>
          <w:rFonts w:eastAsiaTheme="minorEastAsia"/>
          <w:rtl/>
        </w:rPr>
        <w:t xml:space="preserve"> </w:t>
      </w:r>
      <w:proofErr w:type="spellStart"/>
      <w:r w:rsidRPr="00A07640">
        <w:rPr>
          <w:rFonts w:eastAsiaTheme="minorEastAsia"/>
          <w:rtl/>
        </w:rPr>
        <w:t>وجينتيان</w:t>
      </w:r>
      <w:proofErr w:type="spellEnd"/>
      <w:r w:rsidRPr="00A07640">
        <w:rPr>
          <w:rFonts w:eastAsiaTheme="minorEastAsia"/>
          <w:rtl/>
        </w:rPr>
        <w:t xml:space="preserve"> زبيري.</w:t>
      </w:r>
    </w:p>
  </w:footnote>
  <w:footnote w:id="3">
    <w:p w14:paraId="30B79F0A" w14:textId="3EC6A198" w:rsidR="00A07640" w:rsidRPr="00A07640" w:rsidRDefault="00A07640" w:rsidP="00A07640">
      <w:pPr>
        <w:pStyle w:val="FootnoteText1"/>
        <w:textDirection w:val="tbRlV"/>
        <w:rPr>
          <w:rFonts w:eastAsiaTheme="minorEastAsia"/>
          <w:lang w:val="ar-SA"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t xml:space="preserve">التعليق العام رقم </w:t>
      </w:r>
      <w:r w:rsidRPr="0066562F">
        <w:rPr>
          <w:rFonts w:eastAsiaTheme="minorEastAsia"/>
          <w:rtl/>
        </w:rPr>
        <w:t>37</w:t>
      </w:r>
      <w:r w:rsidRPr="00A07640">
        <w:rPr>
          <w:rFonts w:eastAsiaTheme="minorEastAsia"/>
          <w:rtl/>
        </w:rPr>
        <w:t>(</w:t>
      </w:r>
      <w:r w:rsidRPr="0066562F">
        <w:rPr>
          <w:rFonts w:eastAsiaTheme="minorEastAsia"/>
          <w:rtl/>
        </w:rPr>
        <w:t>2020</w:t>
      </w:r>
      <w:r w:rsidRPr="00A07640">
        <w:rPr>
          <w:rFonts w:eastAsiaTheme="minorEastAsia"/>
          <w:rtl/>
        </w:rPr>
        <w:t xml:space="preserve">) الفقرة </w:t>
      </w:r>
      <w:r w:rsidRPr="0066562F">
        <w:rPr>
          <w:rFonts w:eastAsiaTheme="minorEastAsia"/>
          <w:rtl/>
        </w:rPr>
        <w:t>13</w:t>
      </w:r>
      <w:r w:rsidRPr="00A07640">
        <w:rPr>
          <w:rFonts w:eastAsiaTheme="minorEastAsia"/>
          <w:rtl/>
        </w:rPr>
        <w:t>.</w:t>
      </w:r>
    </w:p>
  </w:footnote>
  <w:footnote w:id="4">
    <w:p w14:paraId="27C89BBD" w14:textId="221EC728" w:rsidR="00A07640" w:rsidRPr="00E14277" w:rsidRDefault="00A07640" w:rsidP="00A07640">
      <w:pPr>
        <w:pStyle w:val="FootnoteText1"/>
        <w:textDirection w:val="tbRlV"/>
        <w:rPr>
          <w:rFonts w:eastAsiaTheme="minorEastAsia"/>
          <w:lang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r>
      <w:r w:rsidRPr="0066562F">
        <w:rPr>
          <w:rFonts w:eastAsiaTheme="minorEastAsia"/>
          <w:i/>
          <w:iCs/>
          <w:rtl/>
        </w:rPr>
        <w:t>كولمان ضد أستراليا</w:t>
      </w:r>
      <w:r w:rsidRPr="00A07640">
        <w:rPr>
          <w:rFonts w:eastAsiaTheme="minorEastAsia"/>
          <w:rtl/>
        </w:rPr>
        <w:t xml:space="preserve"> (</w:t>
      </w:r>
      <w:hyperlink r:id="rId1" w:history="1">
        <w:r w:rsidRPr="007B0DF3">
          <w:rPr>
            <w:rStyle w:val="Hyperlink"/>
            <w:rFonts w:eastAsiaTheme="minorEastAsia"/>
          </w:rPr>
          <w:t>CCPR/C/</w:t>
        </w:r>
        <w:r w:rsidRPr="0066562F">
          <w:rPr>
            <w:rStyle w:val="Hyperlink"/>
            <w:rFonts w:eastAsiaTheme="minorEastAsia"/>
          </w:rPr>
          <w:t>87</w:t>
        </w:r>
        <w:r w:rsidRPr="007B0DF3">
          <w:rPr>
            <w:rStyle w:val="Hyperlink"/>
            <w:rFonts w:eastAsiaTheme="minorEastAsia"/>
          </w:rPr>
          <w:t>/D/</w:t>
        </w:r>
        <w:r w:rsidRPr="0066562F">
          <w:rPr>
            <w:rStyle w:val="Hyperlink"/>
            <w:rFonts w:eastAsiaTheme="minorEastAsia"/>
          </w:rPr>
          <w:t>1157</w:t>
        </w:r>
        <w:r w:rsidRPr="007B0DF3">
          <w:rPr>
            <w:rStyle w:val="Hyperlink"/>
            <w:rFonts w:eastAsiaTheme="minorEastAsia"/>
          </w:rPr>
          <w:t>/</w:t>
        </w:r>
        <w:r w:rsidRPr="0066562F">
          <w:rPr>
            <w:rStyle w:val="Hyperlink"/>
            <w:rFonts w:eastAsiaTheme="minorEastAsia"/>
          </w:rPr>
          <w:t>2003</w:t>
        </w:r>
      </w:hyperlink>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6</w:t>
      </w:r>
      <w:r w:rsidRPr="00A07640">
        <w:rPr>
          <w:rFonts w:eastAsiaTheme="minorEastAsia"/>
          <w:rtl/>
        </w:rPr>
        <w:t>-</w:t>
      </w:r>
      <w:r w:rsidRPr="0066562F">
        <w:rPr>
          <w:rFonts w:eastAsiaTheme="minorEastAsia"/>
          <w:rtl/>
        </w:rPr>
        <w:t>4</w:t>
      </w:r>
      <w:r w:rsidRPr="00A07640">
        <w:rPr>
          <w:rFonts w:eastAsiaTheme="minorEastAsia"/>
          <w:rtl/>
        </w:rPr>
        <w:t xml:space="preserve">؛ </w:t>
      </w:r>
      <w:proofErr w:type="spellStart"/>
      <w:r w:rsidRPr="00A07640">
        <w:rPr>
          <w:rFonts w:eastAsiaTheme="minorEastAsia"/>
          <w:rtl/>
        </w:rPr>
        <w:t>و</w:t>
      </w:r>
      <w:r w:rsidRPr="0066562F">
        <w:rPr>
          <w:rFonts w:eastAsiaTheme="minorEastAsia"/>
          <w:i/>
          <w:iCs/>
          <w:rtl/>
        </w:rPr>
        <w:t>ليفينوف</w:t>
      </w:r>
      <w:proofErr w:type="spellEnd"/>
      <w:r w:rsidRPr="0066562F">
        <w:rPr>
          <w:rFonts w:eastAsiaTheme="minorEastAsia"/>
          <w:i/>
          <w:iCs/>
          <w:rtl/>
        </w:rPr>
        <w:t xml:space="preserve"> ضد بيلاروس </w:t>
      </w:r>
      <w:r w:rsidRPr="00A07640">
        <w:rPr>
          <w:rFonts w:eastAsiaTheme="minorEastAsia"/>
          <w:rtl/>
        </w:rPr>
        <w:t>(</w:t>
      </w:r>
      <w:hyperlink r:id="rId2" w:history="1">
        <w:r w:rsidRPr="007B0DF3">
          <w:rPr>
            <w:rStyle w:val="Hyperlink"/>
            <w:rFonts w:eastAsiaTheme="minorEastAsia"/>
          </w:rPr>
          <w:t>CCPR/C/</w:t>
        </w:r>
        <w:r w:rsidRPr="0066562F">
          <w:rPr>
            <w:rStyle w:val="Hyperlink"/>
            <w:rFonts w:eastAsiaTheme="minorEastAsia"/>
          </w:rPr>
          <w:t>117</w:t>
        </w:r>
        <w:r w:rsidRPr="007B0DF3">
          <w:rPr>
            <w:rStyle w:val="Hyperlink"/>
            <w:rFonts w:eastAsiaTheme="minorEastAsia"/>
          </w:rPr>
          <w:t>/D/</w:t>
        </w:r>
        <w:r w:rsidRPr="0066562F">
          <w:rPr>
            <w:rStyle w:val="Hyperlink"/>
            <w:rFonts w:eastAsiaTheme="minorEastAsia"/>
          </w:rPr>
          <w:t>2082</w:t>
        </w:r>
        <w:r w:rsidRPr="007B0DF3">
          <w:rPr>
            <w:rStyle w:val="Hyperlink"/>
            <w:rFonts w:eastAsiaTheme="minorEastAsia"/>
          </w:rPr>
          <w:t>/</w:t>
        </w:r>
        <w:r w:rsidRPr="0066562F">
          <w:rPr>
            <w:rStyle w:val="Hyperlink"/>
            <w:rFonts w:eastAsiaTheme="minorEastAsia"/>
          </w:rPr>
          <w:t>2011</w:t>
        </w:r>
      </w:hyperlink>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7</w:t>
      </w:r>
      <w:r w:rsidRPr="00A07640">
        <w:rPr>
          <w:rFonts w:eastAsiaTheme="minorEastAsia"/>
          <w:rtl/>
        </w:rPr>
        <w:t>-</w:t>
      </w:r>
      <w:r w:rsidRPr="0066562F">
        <w:rPr>
          <w:rFonts w:eastAsiaTheme="minorEastAsia"/>
          <w:rtl/>
        </w:rPr>
        <w:t>7</w:t>
      </w:r>
      <w:r w:rsidRPr="00A07640">
        <w:rPr>
          <w:rFonts w:eastAsiaTheme="minorEastAsia"/>
          <w:rtl/>
        </w:rPr>
        <w:t xml:space="preserve">؛ </w:t>
      </w:r>
      <w:proofErr w:type="spellStart"/>
      <w:r w:rsidRPr="00A07640">
        <w:rPr>
          <w:rFonts w:eastAsiaTheme="minorEastAsia"/>
          <w:rtl/>
        </w:rPr>
        <w:t>و</w:t>
      </w:r>
      <w:r w:rsidRPr="0066562F">
        <w:rPr>
          <w:rFonts w:eastAsiaTheme="minorEastAsia"/>
          <w:i/>
          <w:iCs/>
          <w:rtl/>
        </w:rPr>
        <w:t>ليفينوف</w:t>
      </w:r>
      <w:proofErr w:type="spellEnd"/>
      <w:r w:rsidRPr="0066562F">
        <w:rPr>
          <w:rFonts w:eastAsiaTheme="minorEastAsia"/>
          <w:i/>
          <w:iCs/>
          <w:rtl/>
        </w:rPr>
        <w:t xml:space="preserve"> ضد بيلاروس</w:t>
      </w:r>
      <w:r w:rsidRPr="00A07640">
        <w:rPr>
          <w:rFonts w:eastAsiaTheme="minorEastAsia"/>
          <w:rtl/>
        </w:rPr>
        <w:t xml:space="preserve"> (</w:t>
      </w:r>
      <w:hyperlink r:id="rId3" w:history="1">
        <w:r w:rsidRPr="007B0DF3">
          <w:rPr>
            <w:rStyle w:val="Hyperlink"/>
            <w:rFonts w:eastAsiaTheme="minorEastAsia"/>
          </w:rPr>
          <w:t>CCPR/C/</w:t>
        </w:r>
        <w:r w:rsidRPr="0066562F">
          <w:rPr>
            <w:rStyle w:val="Hyperlink"/>
            <w:rFonts w:eastAsiaTheme="minorEastAsia"/>
          </w:rPr>
          <w:t>105</w:t>
        </w:r>
        <w:r w:rsidRPr="007B0DF3">
          <w:rPr>
            <w:rStyle w:val="Hyperlink"/>
            <w:rFonts w:eastAsiaTheme="minorEastAsia"/>
          </w:rPr>
          <w:t>/D/</w:t>
        </w:r>
        <w:r w:rsidRPr="0066562F">
          <w:rPr>
            <w:rStyle w:val="Hyperlink"/>
            <w:rFonts w:eastAsiaTheme="minorEastAsia"/>
          </w:rPr>
          <w:t>1867</w:t>
        </w:r>
        <w:r w:rsidRPr="007B0DF3">
          <w:rPr>
            <w:rStyle w:val="Hyperlink"/>
            <w:rFonts w:eastAsiaTheme="minorEastAsia"/>
          </w:rPr>
          <w:t>/</w:t>
        </w:r>
        <w:r w:rsidRPr="0066562F">
          <w:rPr>
            <w:rStyle w:val="Hyperlink"/>
            <w:rFonts w:eastAsiaTheme="minorEastAsia"/>
          </w:rPr>
          <w:t>2009</w:t>
        </w:r>
      </w:hyperlink>
      <w:r w:rsidR="007B0DF3">
        <w:rPr>
          <w:rFonts w:eastAsiaTheme="minorEastAsia"/>
          <w:rtl/>
        </w:rPr>
        <w:t>،</w:t>
      </w:r>
      <w:r w:rsidR="00E14277">
        <w:rPr>
          <w:rFonts w:eastAsiaTheme="minorEastAsia" w:hint="cs"/>
          <w:rtl/>
        </w:rPr>
        <w:t xml:space="preserve"> </w:t>
      </w:r>
      <w:r w:rsidRPr="00A07640">
        <w:rPr>
          <w:rFonts w:eastAsiaTheme="minorEastAsia"/>
          <w:rtl/>
        </w:rPr>
        <w:t>و</w:t>
      </w:r>
      <w:r w:rsidRPr="0066562F">
        <w:rPr>
          <w:rFonts w:eastAsiaTheme="minorEastAsia"/>
          <w:rtl/>
        </w:rPr>
        <w:t>1936</w:t>
      </w:r>
      <w:r w:rsidR="007B0DF3">
        <w:rPr>
          <w:rFonts w:eastAsiaTheme="minorEastAsia"/>
          <w:rtl/>
        </w:rPr>
        <w:t>،</w:t>
      </w:r>
      <w:r w:rsidRPr="00A07640">
        <w:rPr>
          <w:rFonts w:eastAsiaTheme="minorEastAsia"/>
          <w:rtl/>
        </w:rPr>
        <w:t xml:space="preserve"> و</w:t>
      </w:r>
      <w:r w:rsidRPr="0066562F">
        <w:rPr>
          <w:rFonts w:eastAsiaTheme="minorEastAsia"/>
          <w:rtl/>
        </w:rPr>
        <w:t>1975</w:t>
      </w:r>
      <w:r w:rsidR="007B0DF3">
        <w:rPr>
          <w:rFonts w:eastAsiaTheme="minorEastAsia"/>
          <w:rtl/>
        </w:rPr>
        <w:t>،</w:t>
      </w:r>
      <w:r w:rsidRPr="00A07640">
        <w:rPr>
          <w:rFonts w:eastAsiaTheme="minorEastAsia"/>
          <w:rtl/>
        </w:rPr>
        <w:t xml:space="preserve"> و</w:t>
      </w:r>
      <w:r w:rsidRPr="0066562F">
        <w:rPr>
          <w:rFonts w:eastAsiaTheme="minorEastAsia"/>
          <w:rtl/>
        </w:rPr>
        <w:t>1977</w:t>
      </w:r>
      <w:r w:rsidRPr="00A07640">
        <w:rPr>
          <w:rFonts w:eastAsiaTheme="minorEastAsia"/>
          <w:rtl/>
        </w:rPr>
        <w:t>-</w:t>
      </w:r>
      <w:r w:rsidRPr="0066562F">
        <w:rPr>
          <w:rFonts w:eastAsiaTheme="minorEastAsia"/>
          <w:rtl/>
        </w:rPr>
        <w:t>1981</w:t>
      </w:r>
      <w:r w:rsidR="007B0DF3">
        <w:rPr>
          <w:rFonts w:eastAsiaTheme="minorEastAsia"/>
          <w:rtl/>
        </w:rPr>
        <w:t>،</w:t>
      </w:r>
      <w:r w:rsidRPr="00A07640">
        <w:rPr>
          <w:rFonts w:eastAsiaTheme="minorEastAsia"/>
          <w:rtl/>
        </w:rPr>
        <w:t xml:space="preserve"> و</w:t>
      </w:r>
      <w:r w:rsidRPr="0066562F">
        <w:rPr>
          <w:rFonts w:eastAsiaTheme="minorEastAsia"/>
          <w:rtl/>
        </w:rPr>
        <w:t>2010</w:t>
      </w:r>
      <w:r w:rsidRPr="00A07640">
        <w:rPr>
          <w:rFonts w:eastAsiaTheme="minorEastAsia"/>
          <w:rtl/>
        </w:rPr>
        <w:t>/</w:t>
      </w:r>
      <w:r w:rsidRPr="0066562F">
        <w:rPr>
          <w:rFonts w:eastAsiaTheme="minorEastAsia"/>
          <w:rtl/>
        </w:rPr>
        <w:t>2010</w:t>
      </w:r>
      <w:r w:rsidRPr="00A07640">
        <w:rPr>
          <w:rFonts w:eastAsiaTheme="minorEastAsia"/>
          <w:rtl/>
        </w:rPr>
        <w:t xml:space="preserve"> )</w:t>
      </w:r>
      <w:r w:rsidR="007B0DF3">
        <w:rPr>
          <w:rFonts w:eastAsiaTheme="minorEastAsia"/>
          <w:rtl/>
        </w:rPr>
        <w:t>،</w:t>
      </w:r>
      <w:r w:rsidRPr="00A07640">
        <w:rPr>
          <w:rFonts w:eastAsiaTheme="minorEastAsia"/>
          <w:rtl/>
        </w:rPr>
        <w:t xml:space="preserve"> الفقرة </w:t>
      </w:r>
      <w:r w:rsidRPr="0066562F">
        <w:rPr>
          <w:rFonts w:eastAsiaTheme="minorEastAsia"/>
          <w:rtl/>
        </w:rPr>
        <w:t>9</w:t>
      </w:r>
      <w:r w:rsidRPr="00A07640">
        <w:rPr>
          <w:rFonts w:eastAsiaTheme="minorEastAsia"/>
          <w:rtl/>
        </w:rPr>
        <w:t>-</w:t>
      </w:r>
      <w:r w:rsidRPr="0066562F">
        <w:rPr>
          <w:rFonts w:eastAsiaTheme="minorEastAsia"/>
          <w:rtl/>
        </w:rPr>
        <w:t>7</w:t>
      </w:r>
      <w:r w:rsidRPr="00A07640">
        <w:rPr>
          <w:rFonts w:eastAsiaTheme="minorEastAsia"/>
          <w:rtl/>
        </w:rPr>
        <w:t xml:space="preserve">؛ </w:t>
      </w:r>
      <w:proofErr w:type="spellStart"/>
      <w:r w:rsidRPr="00A07640">
        <w:rPr>
          <w:rFonts w:eastAsiaTheme="minorEastAsia"/>
          <w:rtl/>
        </w:rPr>
        <w:t>و</w:t>
      </w:r>
      <w:r w:rsidRPr="0066562F">
        <w:rPr>
          <w:rFonts w:eastAsiaTheme="minorEastAsia"/>
          <w:i/>
          <w:iCs/>
          <w:rtl/>
        </w:rPr>
        <w:t>ليفينوف</w:t>
      </w:r>
      <w:proofErr w:type="spellEnd"/>
      <w:r w:rsidRPr="0066562F">
        <w:rPr>
          <w:rFonts w:eastAsiaTheme="minorEastAsia"/>
          <w:i/>
          <w:iCs/>
          <w:rtl/>
        </w:rPr>
        <w:t xml:space="preserve"> ضد بيلاروس </w:t>
      </w:r>
      <w:r w:rsidRPr="00A07640">
        <w:rPr>
          <w:rFonts w:eastAsiaTheme="minorEastAsia"/>
          <w:rtl/>
        </w:rPr>
        <w:t>(</w:t>
      </w:r>
      <w:hyperlink r:id="rId4" w:history="1">
        <w:r w:rsidRPr="007B0DF3">
          <w:rPr>
            <w:rStyle w:val="Hyperlink"/>
            <w:rFonts w:eastAsiaTheme="minorEastAsia"/>
          </w:rPr>
          <w:t>CCPR/C/</w:t>
        </w:r>
        <w:r w:rsidRPr="0066562F">
          <w:rPr>
            <w:rStyle w:val="Hyperlink"/>
            <w:rFonts w:eastAsiaTheme="minorEastAsia"/>
          </w:rPr>
          <w:t>123</w:t>
        </w:r>
        <w:r w:rsidRPr="007B0DF3">
          <w:rPr>
            <w:rStyle w:val="Hyperlink"/>
            <w:rFonts w:eastAsiaTheme="minorEastAsia"/>
          </w:rPr>
          <w:t>/D/</w:t>
        </w:r>
        <w:r w:rsidRPr="0066562F">
          <w:rPr>
            <w:rStyle w:val="Hyperlink"/>
            <w:rFonts w:eastAsiaTheme="minorEastAsia"/>
          </w:rPr>
          <w:t>2235</w:t>
        </w:r>
        <w:r w:rsidRPr="007B0DF3">
          <w:rPr>
            <w:rStyle w:val="Hyperlink"/>
            <w:rFonts w:eastAsiaTheme="minorEastAsia"/>
          </w:rPr>
          <w:t>/</w:t>
        </w:r>
        <w:r w:rsidRPr="0066562F">
          <w:rPr>
            <w:rStyle w:val="Hyperlink"/>
            <w:rFonts w:eastAsiaTheme="minorEastAsia"/>
          </w:rPr>
          <w:t>2013</w:t>
        </w:r>
      </w:hyperlink>
      <w:r w:rsidRPr="00A07640">
        <w:rPr>
          <w:rFonts w:eastAsiaTheme="minorEastAsia"/>
          <w:rtl/>
        </w:rPr>
        <w:t>)</w:t>
      </w:r>
      <w:r w:rsidR="007B0DF3">
        <w:rPr>
          <w:rFonts w:eastAsiaTheme="minorEastAsia"/>
          <w:rtl/>
        </w:rPr>
        <w:t>،</w:t>
      </w:r>
      <w:r w:rsidRPr="00A07640">
        <w:rPr>
          <w:rFonts w:eastAsiaTheme="minorEastAsia"/>
          <w:rtl/>
        </w:rPr>
        <w:t xml:space="preserve"> الفقرة</w:t>
      </w:r>
      <w:r w:rsidR="00E14277">
        <w:rPr>
          <w:rFonts w:eastAsiaTheme="minorEastAsia" w:hint="cs"/>
          <w:rtl/>
        </w:rPr>
        <w:t> </w:t>
      </w:r>
      <w:r w:rsidRPr="0066562F">
        <w:rPr>
          <w:rFonts w:eastAsiaTheme="minorEastAsia"/>
          <w:rtl/>
        </w:rPr>
        <w:t>5</w:t>
      </w:r>
      <w:r w:rsidRPr="00A07640">
        <w:rPr>
          <w:rFonts w:eastAsiaTheme="minorEastAsia"/>
          <w:rtl/>
        </w:rPr>
        <w:t>-</w:t>
      </w:r>
      <w:r w:rsidRPr="0066562F">
        <w:rPr>
          <w:rFonts w:eastAsiaTheme="minorEastAsia"/>
          <w:rtl/>
        </w:rPr>
        <w:t>7</w:t>
      </w:r>
      <w:r w:rsidRPr="00A07640">
        <w:rPr>
          <w:rFonts w:eastAsiaTheme="minorEastAsia"/>
          <w:rtl/>
        </w:rPr>
        <w:t>؛</w:t>
      </w:r>
    </w:p>
  </w:footnote>
  <w:footnote w:id="5">
    <w:p w14:paraId="4FE5F56D" w14:textId="35C30B98" w:rsidR="00A07640" w:rsidRPr="00A07640" w:rsidRDefault="00A07640" w:rsidP="00A07640">
      <w:pPr>
        <w:pStyle w:val="FootnoteText1"/>
        <w:textDirection w:val="tbRlV"/>
        <w:rPr>
          <w:rFonts w:eastAsiaTheme="minorEastAsia"/>
          <w:lang w:val="ar-SA"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t xml:space="preserve">التعليق العام رقم </w:t>
      </w:r>
      <w:r w:rsidRPr="0066562F">
        <w:rPr>
          <w:rFonts w:eastAsiaTheme="minorEastAsia"/>
          <w:rtl/>
        </w:rPr>
        <w:t>34</w:t>
      </w:r>
      <w:r w:rsidRPr="00A07640">
        <w:rPr>
          <w:rFonts w:eastAsiaTheme="minorEastAsia"/>
          <w:rtl/>
        </w:rPr>
        <w:t>(</w:t>
      </w:r>
      <w:r w:rsidRPr="0066562F">
        <w:rPr>
          <w:rFonts w:eastAsiaTheme="minorEastAsia"/>
          <w:rtl/>
        </w:rPr>
        <w:t>2011</w:t>
      </w:r>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2</w:t>
      </w:r>
      <w:r w:rsidRPr="00A07640">
        <w:rPr>
          <w:rFonts w:eastAsiaTheme="minorEastAsia"/>
          <w:rtl/>
        </w:rPr>
        <w:t>.</w:t>
      </w:r>
    </w:p>
  </w:footnote>
  <w:footnote w:id="6">
    <w:p w14:paraId="59D11809" w14:textId="2A8B183C" w:rsidR="00A07640" w:rsidRPr="00A07640" w:rsidRDefault="00A07640" w:rsidP="00A07640">
      <w:pPr>
        <w:pStyle w:val="FootnoteText1"/>
        <w:textDirection w:val="tbRlV"/>
        <w:rPr>
          <w:rFonts w:eastAsiaTheme="minorEastAsia"/>
          <w:lang w:val="ar-SA"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t xml:space="preserve">التعليق العام رقم </w:t>
      </w:r>
      <w:r w:rsidRPr="0066562F">
        <w:rPr>
          <w:rFonts w:eastAsiaTheme="minorEastAsia"/>
          <w:rtl/>
        </w:rPr>
        <w:t>27</w:t>
      </w:r>
      <w:r w:rsidRPr="00A07640">
        <w:rPr>
          <w:rFonts w:eastAsiaTheme="minorEastAsia"/>
          <w:rtl/>
        </w:rPr>
        <w:t>(</w:t>
      </w:r>
      <w:r w:rsidRPr="0066562F">
        <w:rPr>
          <w:rFonts w:eastAsiaTheme="minorEastAsia"/>
          <w:rtl/>
        </w:rPr>
        <w:t>1999</w:t>
      </w:r>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14</w:t>
      </w:r>
      <w:r w:rsidRPr="00A07640">
        <w:rPr>
          <w:rFonts w:eastAsiaTheme="minorEastAsia"/>
          <w:rtl/>
        </w:rPr>
        <w:t>.</w:t>
      </w:r>
    </w:p>
  </w:footnote>
  <w:footnote w:id="7">
    <w:p w14:paraId="1BA0B5F3" w14:textId="50D4C709" w:rsidR="00A07640" w:rsidRPr="00A07640" w:rsidRDefault="00A07640" w:rsidP="00B70C25">
      <w:pPr>
        <w:pStyle w:val="FootnoteText1"/>
        <w:jc w:val="left"/>
        <w:textDirection w:val="tbRlV"/>
        <w:rPr>
          <w:rFonts w:eastAsiaTheme="minorEastAsia"/>
          <w:lang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r>
      <w:proofErr w:type="spellStart"/>
      <w:r w:rsidRPr="00B70C25">
        <w:rPr>
          <w:rFonts w:eastAsiaTheme="minorEastAsia"/>
          <w:i/>
          <w:iCs/>
          <w:rtl/>
        </w:rPr>
        <w:t>أندروسينكو</w:t>
      </w:r>
      <w:proofErr w:type="spellEnd"/>
      <w:r w:rsidRPr="00B70C25">
        <w:rPr>
          <w:rFonts w:eastAsiaTheme="minorEastAsia"/>
          <w:i/>
          <w:iCs/>
          <w:rtl/>
        </w:rPr>
        <w:t xml:space="preserve"> ضد بيلاروس</w:t>
      </w:r>
      <w:r w:rsidRPr="00B70C25">
        <w:rPr>
          <w:rFonts w:eastAsiaTheme="minorEastAsia"/>
          <w:rtl/>
        </w:rPr>
        <w:t xml:space="preserve"> (</w:t>
      </w:r>
      <w:hyperlink r:id="rId5" w:history="1">
        <w:r w:rsidRPr="00B70C25">
          <w:rPr>
            <w:rStyle w:val="Hyperlink"/>
            <w:rFonts w:eastAsiaTheme="minorEastAsia"/>
          </w:rPr>
          <w:t>CCPR/C/116/D/2092/2011</w:t>
        </w:r>
      </w:hyperlink>
      <w:r w:rsidRPr="00B70C25">
        <w:rPr>
          <w:rFonts w:eastAsiaTheme="minorEastAsia"/>
          <w:rtl/>
        </w:rPr>
        <w:t>)</w:t>
      </w:r>
      <w:r w:rsidR="007B0DF3" w:rsidRPr="00B70C25">
        <w:rPr>
          <w:rFonts w:eastAsiaTheme="minorEastAsia"/>
          <w:rtl/>
        </w:rPr>
        <w:t>،</w:t>
      </w:r>
      <w:r w:rsidRPr="00B70C25">
        <w:rPr>
          <w:rFonts w:eastAsiaTheme="minorEastAsia"/>
          <w:rtl/>
        </w:rPr>
        <w:t xml:space="preserve"> الفقرة 7-3؛ </w:t>
      </w:r>
      <w:proofErr w:type="spellStart"/>
      <w:r w:rsidRPr="00B70C25">
        <w:rPr>
          <w:rFonts w:eastAsiaTheme="minorEastAsia"/>
          <w:rtl/>
        </w:rPr>
        <w:t>و</w:t>
      </w:r>
      <w:r w:rsidRPr="00B70C25">
        <w:rPr>
          <w:rFonts w:eastAsiaTheme="minorEastAsia"/>
          <w:i/>
          <w:iCs/>
          <w:rtl/>
        </w:rPr>
        <w:t>أندرييف</w:t>
      </w:r>
      <w:proofErr w:type="spellEnd"/>
      <w:r w:rsidRPr="00B70C25">
        <w:rPr>
          <w:rFonts w:eastAsiaTheme="minorEastAsia"/>
          <w:i/>
          <w:iCs/>
          <w:rtl/>
        </w:rPr>
        <w:t xml:space="preserve"> ضد بيلاروس </w:t>
      </w:r>
      <w:r w:rsidRPr="00B70C25">
        <w:rPr>
          <w:rFonts w:eastAsiaTheme="minorEastAsia"/>
          <w:rtl/>
        </w:rPr>
        <w:t>(</w:t>
      </w:r>
      <w:hyperlink r:id="rId6" w:history="1">
        <w:r w:rsidRPr="00B70C25">
          <w:rPr>
            <w:rStyle w:val="Hyperlink"/>
            <w:rFonts w:eastAsiaTheme="minorEastAsia"/>
          </w:rPr>
          <w:t>CCPR/C/131/D/2863/2016</w:t>
        </w:r>
      </w:hyperlink>
      <w:r w:rsidRPr="00B70C25">
        <w:rPr>
          <w:rFonts w:eastAsiaTheme="minorEastAsia"/>
          <w:rtl/>
        </w:rPr>
        <w:t>)</w:t>
      </w:r>
      <w:r w:rsidR="007B0DF3" w:rsidRPr="00B70C25">
        <w:rPr>
          <w:rFonts w:eastAsiaTheme="minorEastAsia"/>
          <w:rtl/>
        </w:rPr>
        <w:t>،</w:t>
      </w:r>
      <w:r w:rsidRPr="00A07640">
        <w:rPr>
          <w:rFonts w:eastAsiaTheme="minorEastAsia"/>
          <w:rtl/>
        </w:rPr>
        <w:t xml:space="preserve"> الفقرة </w:t>
      </w:r>
      <w:r w:rsidRPr="0066562F">
        <w:rPr>
          <w:rFonts w:eastAsiaTheme="minorEastAsia"/>
          <w:rtl/>
        </w:rPr>
        <w:t>7</w:t>
      </w:r>
      <w:r w:rsidRPr="00A07640">
        <w:rPr>
          <w:rFonts w:eastAsiaTheme="minorEastAsia"/>
          <w:rtl/>
        </w:rPr>
        <w:t>-</w:t>
      </w:r>
      <w:r w:rsidRPr="0066562F">
        <w:rPr>
          <w:rFonts w:eastAsiaTheme="minorEastAsia"/>
          <w:rtl/>
        </w:rPr>
        <w:t>4</w:t>
      </w:r>
      <w:r w:rsidRPr="00A07640">
        <w:rPr>
          <w:rFonts w:eastAsiaTheme="minorEastAsia"/>
          <w:rtl/>
        </w:rPr>
        <w:t>.</w:t>
      </w:r>
    </w:p>
  </w:footnote>
  <w:footnote w:id="8">
    <w:p w14:paraId="34FA4A05" w14:textId="7765EA11" w:rsidR="00A07640" w:rsidRPr="00A07640" w:rsidRDefault="00A07640" w:rsidP="00A07640">
      <w:pPr>
        <w:pStyle w:val="FootnoteText1"/>
        <w:textDirection w:val="tbRlV"/>
        <w:rPr>
          <w:rFonts w:eastAsiaTheme="minorEastAsia"/>
          <w:lang w:val="ar-SA"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t>انظر</w:t>
      </w:r>
      <w:r w:rsidR="007B0DF3">
        <w:rPr>
          <w:rFonts w:eastAsiaTheme="minorEastAsia"/>
          <w:rtl/>
        </w:rPr>
        <w:t>،</w:t>
      </w:r>
      <w:r w:rsidRPr="00A07640">
        <w:rPr>
          <w:rFonts w:eastAsiaTheme="minorEastAsia"/>
          <w:rtl/>
        </w:rPr>
        <w:t xml:space="preserve"> على سبيل المثال</w:t>
      </w:r>
      <w:r w:rsidR="007B0DF3">
        <w:rPr>
          <w:rFonts w:eastAsiaTheme="minorEastAsia"/>
          <w:rtl/>
        </w:rPr>
        <w:t>،</w:t>
      </w:r>
      <w:r w:rsidRPr="00A07640">
        <w:rPr>
          <w:rFonts w:eastAsiaTheme="minorEastAsia"/>
          <w:rtl/>
        </w:rPr>
        <w:t xml:space="preserve"> </w:t>
      </w:r>
      <w:proofErr w:type="spellStart"/>
      <w:r w:rsidRPr="0066562F">
        <w:rPr>
          <w:rFonts w:eastAsiaTheme="minorEastAsia"/>
          <w:i/>
          <w:iCs/>
          <w:rtl/>
        </w:rPr>
        <w:t>زاليسكايا</w:t>
      </w:r>
      <w:proofErr w:type="spellEnd"/>
      <w:r w:rsidRPr="0066562F">
        <w:rPr>
          <w:rFonts w:eastAsiaTheme="minorEastAsia"/>
          <w:i/>
          <w:iCs/>
          <w:rtl/>
        </w:rPr>
        <w:t xml:space="preserve"> ضد بيلاروس</w:t>
      </w:r>
      <w:r w:rsidRPr="00A07640">
        <w:rPr>
          <w:rFonts w:eastAsiaTheme="minorEastAsia"/>
          <w:rtl/>
        </w:rPr>
        <w:t xml:space="preserve"> (</w:t>
      </w:r>
      <w:hyperlink r:id="rId7" w:history="1">
        <w:r w:rsidRPr="007B0DF3">
          <w:rPr>
            <w:rStyle w:val="Hyperlink"/>
            <w:rFonts w:eastAsiaTheme="minorEastAsia"/>
          </w:rPr>
          <w:t>CCPR/C/</w:t>
        </w:r>
        <w:r w:rsidRPr="0066562F">
          <w:rPr>
            <w:rStyle w:val="Hyperlink"/>
            <w:rFonts w:eastAsiaTheme="minorEastAsia"/>
          </w:rPr>
          <w:t>101</w:t>
        </w:r>
        <w:r w:rsidRPr="007B0DF3">
          <w:rPr>
            <w:rStyle w:val="Hyperlink"/>
            <w:rFonts w:eastAsiaTheme="minorEastAsia"/>
          </w:rPr>
          <w:t>/D/</w:t>
        </w:r>
        <w:r w:rsidRPr="0066562F">
          <w:rPr>
            <w:rStyle w:val="Hyperlink"/>
            <w:rFonts w:eastAsiaTheme="minorEastAsia"/>
          </w:rPr>
          <w:t>1604</w:t>
        </w:r>
        <w:r w:rsidRPr="007B0DF3">
          <w:rPr>
            <w:rStyle w:val="Hyperlink"/>
            <w:rFonts w:eastAsiaTheme="minorEastAsia"/>
          </w:rPr>
          <w:t>/</w:t>
        </w:r>
        <w:r w:rsidRPr="0066562F">
          <w:rPr>
            <w:rStyle w:val="Hyperlink"/>
            <w:rFonts w:eastAsiaTheme="minorEastAsia"/>
          </w:rPr>
          <w:t>2007</w:t>
        </w:r>
      </w:hyperlink>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10</w:t>
      </w:r>
      <w:r w:rsidRPr="00A07640">
        <w:rPr>
          <w:rFonts w:eastAsiaTheme="minorEastAsia"/>
          <w:rtl/>
        </w:rPr>
        <w:t>-</w:t>
      </w:r>
      <w:r w:rsidRPr="0066562F">
        <w:rPr>
          <w:rFonts w:eastAsiaTheme="minorEastAsia"/>
          <w:rtl/>
        </w:rPr>
        <w:t>5</w:t>
      </w:r>
      <w:r w:rsidRPr="00A07640">
        <w:rPr>
          <w:rFonts w:eastAsiaTheme="minorEastAsia"/>
          <w:rtl/>
        </w:rPr>
        <w:t xml:space="preserve">. </w:t>
      </w:r>
    </w:p>
  </w:footnote>
  <w:footnote w:id="9">
    <w:p w14:paraId="57DF2A5D" w14:textId="7844C6B0" w:rsidR="00A07640" w:rsidRPr="00A07640" w:rsidRDefault="00A07640" w:rsidP="00B70C25">
      <w:pPr>
        <w:pStyle w:val="FootnoteText1"/>
        <w:jc w:val="left"/>
        <w:textDirection w:val="tbRlV"/>
        <w:rPr>
          <w:rFonts w:eastAsiaTheme="minorEastAsia"/>
          <w:lang w:eastAsia="zh-TW" w:bidi="en-GB"/>
        </w:rPr>
      </w:pPr>
      <w:r w:rsidRPr="00A07640">
        <w:rPr>
          <w:rFonts w:eastAsiaTheme="minorEastAsia"/>
          <w:rtl/>
        </w:rPr>
        <w:t>(</w:t>
      </w:r>
      <w:r w:rsidRPr="0066562F">
        <w:rPr>
          <w:rStyle w:val="FootnoteReference"/>
          <w:rFonts w:eastAsiaTheme="minorEastAsia"/>
          <w:vertAlign w:val="baseline"/>
        </w:rPr>
        <w:footnoteRef/>
      </w:r>
      <w:r w:rsidRPr="007C1189">
        <w:rPr>
          <w:rStyle w:val="FootnoteReference"/>
          <w:rFonts w:eastAsiaTheme="minorEastAsia"/>
          <w:vertAlign w:val="baseline"/>
          <w:rtl/>
        </w:rPr>
        <w:t>)</w:t>
      </w:r>
      <w:r w:rsidRPr="00A07640">
        <w:rPr>
          <w:rFonts w:eastAsiaTheme="minorEastAsia"/>
          <w:rtl/>
        </w:rPr>
        <w:tab/>
        <w:t>انظر</w:t>
      </w:r>
      <w:r w:rsidR="007B0DF3">
        <w:rPr>
          <w:rFonts w:eastAsiaTheme="minorEastAsia"/>
          <w:rtl/>
        </w:rPr>
        <w:t>،</w:t>
      </w:r>
      <w:r w:rsidRPr="00A07640">
        <w:rPr>
          <w:rFonts w:eastAsiaTheme="minorEastAsia"/>
          <w:rtl/>
        </w:rPr>
        <w:t xml:space="preserve"> على سبيل المثال</w:t>
      </w:r>
      <w:r w:rsidR="007B0DF3">
        <w:rPr>
          <w:rFonts w:eastAsiaTheme="minorEastAsia"/>
          <w:rtl/>
        </w:rPr>
        <w:t>،</w:t>
      </w:r>
      <w:r w:rsidRPr="00A07640">
        <w:rPr>
          <w:rFonts w:eastAsiaTheme="minorEastAsia"/>
          <w:rtl/>
        </w:rPr>
        <w:t xml:space="preserve"> </w:t>
      </w:r>
      <w:proofErr w:type="spellStart"/>
      <w:r w:rsidRPr="0066562F">
        <w:rPr>
          <w:rFonts w:eastAsiaTheme="minorEastAsia"/>
          <w:i/>
          <w:iCs/>
          <w:rtl/>
        </w:rPr>
        <w:t>سفيتيك</w:t>
      </w:r>
      <w:proofErr w:type="spellEnd"/>
      <w:r w:rsidRPr="0066562F">
        <w:rPr>
          <w:rFonts w:eastAsiaTheme="minorEastAsia"/>
          <w:i/>
          <w:iCs/>
          <w:rtl/>
        </w:rPr>
        <w:t xml:space="preserve"> ضد بيلاروس</w:t>
      </w:r>
      <w:r w:rsidRPr="00A07640">
        <w:rPr>
          <w:rFonts w:eastAsiaTheme="minorEastAsia"/>
          <w:rtl/>
        </w:rPr>
        <w:t xml:space="preserve"> (</w:t>
      </w:r>
      <w:hyperlink r:id="rId8" w:history="1">
        <w:r w:rsidRPr="007B0DF3">
          <w:rPr>
            <w:rStyle w:val="Hyperlink"/>
            <w:rFonts w:eastAsiaTheme="minorEastAsia"/>
          </w:rPr>
          <w:t>CCPR/C/</w:t>
        </w:r>
        <w:r w:rsidRPr="0066562F">
          <w:rPr>
            <w:rStyle w:val="Hyperlink"/>
            <w:rFonts w:eastAsiaTheme="minorEastAsia"/>
          </w:rPr>
          <w:t>81</w:t>
        </w:r>
        <w:r w:rsidRPr="007B0DF3">
          <w:rPr>
            <w:rStyle w:val="Hyperlink"/>
            <w:rFonts w:eastAsiaTheme="minorEastAsia"/>
          </w:rPr>
          <w:t>/D/</w:t>
        </w:r>
        <w:r w:rsidRPr="0066562F">
          <w:rPr>
            <w:rStyle w:val="Hyperlink"/>
            <w:rFonts w:eastAsiaTheme="minorEastAsia"/>
          </w:rPr>
          <w:t>927</w:t>
        </w:r>
        <w:r w:rsidRPr="007B0DF3">
          <w:rPr>
            <w:rStyle w:val="Hyperlink"/>
            <w:rFonts w:eastAsiaTheme="minorEastAsia"/>
          </w:rPr>
          <w:t>/</w:t>
        </w:r>
        <w:r w:rsidRPr="0066562F">
          <w:rPr>
            <w:rStyle w:val="Hyperlink"/>
            <w:rFonts w:eastAsiaTheme="minorEastAsia"/>
          </w:rPr>
          <w:t>2000</w:t>
        </w:r>
      </w:hyperlink>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7</w:t>
      </w:r>
      <w:r w:rsidRPr="00A07640">
        <w:rPr>
          <w:rFonts w:eastAsiaTheme="minorEastAsia"/>
          <w:rtl/>
        </w:rPr>
        <w:t>-</w:t>
      </w:r>
      <w:r w:rsidRPr="0066562F">
        <w:rPr>
          <w:rFonts w:eastAsiaTheme="minorEastAsia"/>
          <w:rtl/>
        </w:rPr>
        <w:t>3</w:t>
      </w:r>
      <w:r w:rsidRPr="00A07640">
        <w:rPr>
          <w:rFonts w:eastAsiaTheme="minorEastAsia"/>
          <w:rtl/>
        </w:rPr>
        <w:t xml:space="preserve">. </w:t>
      </w:r>
      <w:proofErr w:type="spellStart"/>
      <w:r w:rsidRPr="0066562F">
        <w:rPr>
          <w:rFonts w:eastAsiaTheme="minorEastAsia"/>
          <w:i/>
          <w:iCs/>
          <w:rtl/>
        </w:rPr>
        <w:t>وششيتكو</w:t>
      </w:r>
      <w:proofErr w:type="spellEnd"/>
      <w:r w:rsidRPr="0066562F">
        <w:rPr>
          <w:rFonts w:eastAsiaTheme="minorEastAsia"/>
          <w:i/>
          <w:iCs/>
          <w:rtl/>
        </w:rPr>
        <w:t xml:space="preserve"> </w:t>
      </w:r>
      <w:proofErr w:type="spellStart"/>
      <w:r w:rsidRPr="0066562F">
        <w:rPr>
          <w:rFonts w:eastAsiaTheme="minorEastAsia"/>
          <w:i/>
          <w:iCs/>
          <w:rtl/>
        </w:rPr>
        <w:t>وششيتكو</w:t>
      </w:r>
      <w:proofErr w:type="spellEnd"/>
      <w:r w:rsidRPr="0066562F">
        <w:rPr>
          <w:rFonts w:eastAsiaTheme="minorEastAsia"/>
          <w:i/>
          <w:iCs/>
          <w:rtl/>
        </w:rPr>
        <w:t xml:space="preserve"> ضد بيلاروس</w:t>
      </w:r>
      <w:r w:rsidRPr="00A07640">
        <w:rPr>
          <w:rFonts w:eastAsiaTheme="minorEastAsia"/>
          <w:rtl/>
        </w:rPr>
        <w:t xml:space="preserve"> (</w:t>
      </w:r>
      <w:hyperlink r:id="rId9" w:history="1">
        <w:r w:rsidRPr="007B0DF3">
          <w:rPr>
            <w:rStyle w:val="Hyperlink"/>
            <w:rFonts w:eastAsiaTheme="minorEastAsia"/>
          </w:rPr>
          <w:t>CCPR/C/</w:t>
        </w:r>
        <w:r w:rsidRPr="0066562F">
          <w:rPr>
            <w:rStyle w:val="Hyperlink"/>
            <w:rFonts w:eastAsiaTheme="minorEastAsia"/>
          </w:rPr>
          <w:t>87</w:t>
        </w:r>
        <w:r w:rsidRPr="007B0DF3">
          <w:rPr>
            <w:rStyle w:val="Hyperlink"/>
            <w:rFonts w:eastAsiaTheme="minorEastAsia"/>
          </w:rPr>
          <w:t>/D/</w:t>
        </w:r>
        <w:r w:rsidRPr="0066562F">
          <w:rPr>
            <w:rStyle w:val="Hyperlink"/>
            <w:rFonts w:eastAsiaTheme="minorEastAsia"/>
          </w:rPr>
          <w:t>1009</w:t>
        </w:r>
        <w:r w:rsidRPr="007B0DF3">
          <w:rPr>
            <w:rStyle w:val="Hyperlink"/>
            <w:rFonts w:eastAsiaTheme="minorEastAsia"/>
          </w:rPr>
          <w:t>/</w:t>
        </w:r>
        <w:r w:rsidRPr="0066562F">
          <w:rPr>
            <w:rStyle w:val="Hyperlink"/>
            <w:rFonts w:eastAsiaTheme="minorEastAsia"/>
          </w:rPr>
          <w:t>2001</w:t>
        </w:r>
      </w:hyperlink>
      <w:r w:rsidRPr="00A07640">
        <w:rPr>
          <w:rFonts w:eastAsiaTheme="minorEastAsia"/>
          <w:rtl/>
        </w:rPr>
        <w:t>)</w:t>
      </w:r>
      <w:r w:rsidR="007B0DF3">
        <w:rPr>
          <w:rFonts w:eastAsiaTheme="minorEastAsia"/>
          <w:rtl/>
        </w:rPr>
        <w:t>،</w:t>
      </w:r>
      <w:r w:rsidRPr="00A07640">
        <w:rPr>
          <w:rFonts w:eastAsiaTheme="minorEastAsia"/>
          <w:rtl/>
        </w:rPr>
        <w:t xml:space="preserve"> الفقرة </w:t>
      </w:r>
      <w:r w:rsidRPr="0066562F">
        <w:rPr>
          <w:rFonts w:eastAsiaTheme="minorEastAsia"/>
          <w:rtl/>
        </w:rPr>
        <w:t>7</w:t>
      </w:r>
      <w:r w:rsidRPr="00A07640">
        <w:rPr>
          <w:rFonts w:eastAsiaTheme="minorEastAsia"/>
          <w:rtl/>
        </w:rPr>
        <w:t>-</w:t>
      </w:r>
      <w:r w:rsidRPr="0066562F">
        <w:rPr>
          <w:rFonts w:eastAsiaTheme="minorEastAsia"/>
          <w:rtl/>
        </w:rPr>
        <w:t>5</w:t>
      </w:r>
      <w:r w:rsidRPr="00A07640">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2096" w14:textId="50A487B0" w:rsidR="0064749E" w:rsidRPr="0064749E" w:rsidRDefault="0064749E" w:rsidP="0064749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525D">
      <w:t>CCPR/C/131/D/2622/2015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F5CA" w14:textId="4B496885" w:rsidR="0064749E" w:rsidRPr="0064749E" w:rsidRDefault="0064749E" w:rsidP="0064749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525D">
      <w:t>CCPR/C/131/D/2622/2015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B"/>
    <w:rsid w:val="000076D5"/>
    <w:rsid w:val="00043663"/>
    <w:rsid w:val="000437B8"/>
    <w:rsid w:val="000505CF"/>
    <w:rsid w:val="00091432"/>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6323F"/>
    <w:rsid w:val="004721C5"/>
    <w:rsid w:val="004B0A1C"/>
    <w:rsid w:val="004B27E0"/>
    <w:rsid w:val="004D298E"/>
    <w:rsid w:val="005044B3"/>
    <w:rsid w:val="0051525D"/>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334A3"/>
    <w:rsid w:val="0064749E"/>
    <w:rsid w:val="00652221"/>
    <w:rsid w:val="00656392"/>
    <w:rsid w:val="006645EC"/>
    <w:rsid w:val="0066562F"/>
    <w:rsid w:val="0068781D"/>
    <w:rsid w:val="006959B0"/>
    <w:rsid w:val="006B3E27"/>
    <w:rsid w:val="006B6507"/>
    <w:rsid w:val="006C104C"/>
    <w:rsid w:val="006C632E"/>
    <w:rsid w:val="00717FB3"/>
    <w:rsid w:val="00730446"/>
    <w:rsid w:val="00733704"/>
    <w:rsid w:val="0078071A"/>
    <w:rsid w:val="00787022"/>
    <w:rsid w:val="00787E1E"/>
    <w:rsid w:val="007B0DF3"/>
    <w:rsid w:val="007C1189"/>
    <w:rsid w:val="00852A9A"/>
    <w:rsid w:val="008A49D2"/>
    <w:rsid w:val="008F49E1"/>
    <w:rsid w:val="008F4C77"/>
    <w:rsid w:val="0090370F"/>
    <w:rsid w:val="009269D2"/>
    <w:rsid w:val="00942135"/>
    <w:rsid w:val="009521B0"/>
    <w:rsid w:val="00957437"/>
    <w:rsid w:val="00982139"/>
    <w:rsid w:val="009867A8"/>
    <w:rsid w:val="00991F44"/>
    <w:rsid w:val="00996849"/>
    <w:rsid w:val="009A0CFB"/>
    <w:rsid w:val="009A7E9F"/>
    <w:rsid w:val="009C17EC"/>
    <w:rsid w:val="009E5018"/>
    <w:rsid w:val="009F337B"/>
    <w:rsid w:val="00A03700"/>
    <w:rsid w:val="00A053F2"/>
    <w:rsid w:val="00A07640"/>
    <w:rsid w:val="00A12B37"/>
    <w:rsid w:val="00A54828"/>
    <w:rsid w:val="00A97E1F"/>
    <w:rsid w:val="00AB512E"/>
    <w:rsid w:val="00AB6758"/>
    <w:rsid w:val="00AB727F"/>
    <w:rsid w:val="00B13763"/>
    <w:rsid w:val="00B36FE1"/>
    <w:rsid w:val="00B477A4"/>
    <w:rsid w:val="00B54045"/>
    <w:rsid w:val="00B63ADD"/>
    <w:rsid w:val="00B70C25"/>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14277"/>
    <w:rsid w:val="00E2228E"/>
    <w:rsid w:val="00E70E04"/>
    <w:rsid w:val="00E77E6C"/>
    <w:rsid w:val="00E83ED5"/>
    <w:rsid w:val="00EC05A7"/>
    <w:rsid w:val="00EC4B6B"/>
    <w:rsid w:val="00EC68A5"/>
    <w:rsid w:val="00ED7442"/>
    <w:rsid w:val="00EF1EE5"/>
    <w:rsid w:val="00EF5C43"/>
    <w:rsid w:val="00F10DAB"/>
    <w:rsid w:val="00F46D42"/>
    <w:rsid w:val="00F763B4"/>
    <w:rsid w:val="00F812A1"/>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168ED0"/>
  <w15:docId w15:val="{B0DAAC0B-7DED-46A9-92C2-B45A135B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81/D/927/2000" TargetMode="External"/><Relationship Id="rId3" Type="http://schemas.openxmlformats.org/officeDocument/2006/relationships/hyperlink" Target="http://undocs.org/ar/CCPR/C/105/D/1867/2009" TargetMode="External"/><Relationship Id="rId7" Type="http://schemas.openxmlformats.org/officeDocument/2006/relationships/hyperlink" Target="http://undocs.org/ar/CCPR/C/101/D/1604/2007" TargetMode="External"/><Relationship Id="rId2" Type="http://schemas.openxmlformats.org/officeDocument/2006/relationships/hyperlink" Target="http://undocs.org/ar/CCPR/C/117/D/2082/2011" TargetMode="External"/><Relationship Id="rId1" Type="http://schemas.openxmlformats.org/officeDocument/2006/relationships/hyperlink" Target="http://undocs.org/ar/CCPR/C/87/D/1157/2003" TargetMode="External"/><Relationship Id="rId6" Type="http://schemas.openxmlformats.org/officeDocument/2006/relationships/hyperlink" Target="http://undocs.org/ar/CCPR/C/131/D/2863/2016" TargetMode="External"/><Relationship Id="rId5" Type="http://schemas.openxmlformats.org/officeDocument/2006/relationships/hyperlink" Target="http://undocs.org/ar/CCPR/C/116/D/2092/2011" TargetMode="External"/><Relationship Id="rId4" Type="http://schemas.openxmlformats.org/officeDocument/2006/relationships/hyperlink" Target="http://undocs.org/ar/CCPR/C/123/D/2235/2013" TargetMode="External"/><Relationship Id="rId9" Type="http://schemas.openxmlformats.org/officeDocument/2006/relationships/hyperlink" Target="http://undocs.org/ar/CCPR/C/87/D/1009/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1599</Words>
  <Characters>8240</Characters>
  <Application>Microsoft Office Word</Application>
  <DocSecurity>0</DocSecurity>
  <Lines>137</Lines>
  <Paragraphs>46</Paragraphs>
  <ScaleCrop>false</ScaleCrop>
  <HeadingPairs>
    <vt:vector size="2" baseType="variant">
      <vt:variant>
        <vt:lpstr>Title</vt:lpstr>
      </vt:variant>
      <vt:variant>
        <vt:i4>1</vt:i4>
      </vt:variant>
    </vt:vector>
  </HeadingPairs>
  <TitlesOfParts>
    <vt:vector size="1" baseType="lpstr">
      <vt:lpstr>CCPR/C/131/D/2622/2015</vt:lpstr>
    </vt:vector>
  </TitlesOfParts>
  <Company>DCM</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CCPR/C/131/D/2622/2015</dc:title>
  <dc:subject>GE.2202673(A)</dc:subject>
  <dc:creator>Muntaha BUHNAM - JFA</dc:creator>
  <cp:keywords>GE.2226656(A)</cp:keywords>
  <dc:description>Distr.: General
24 February 2022
Arabic
Original: English</dc:description>
  <cp:lastModifiedBy>Jamila Chedad</cp:lastModifiedBy>
  <cp:revision>3</cp:revision>
  <cp:lastPrinted>2022-03-23T15:56:00Z</cp:lastPrinted>
  <dcterms:created xsi:type="dcterms:W3CDTF">2022-03-23T15:56:00Z</dcterms:created>
  <dcterms:modified xsi:type="dcterms:W3CDTF">2022-03-23T15:56:00Z</dcterms:modified>
  <cp:category>Finale</cp:category>
</cp:coreProperties>
</file>