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0" w:type="dxa"/>
        <w:tblLayout w:type="fixed"/>
        <w:tblCellMar>
          <w:left w:w="0" w:type="dxa"/>
          <w:right w:w="0" w:type="dxa"/>
        </w:tblCellMar>
        <w:tblLook w:val="01E0" w:firstRow="1" w:lastRow="1" w:firstColumn="1" w:lastColumn="1" w:noHBand="0" w:noVBand="0"/>
      </w:tblPr>
      <w:tblGrid>
        <w:gridCol w:w="1277"/>
        <w:gridCol w:w="2268"/>
        <w:gridCol w:w="3260"/>
        <w:gridCol w:w="2835"/>
      </w:tblGrid>
      <w:tr w:rsidR="00F24F31" w14:paraId="3D8B22CE" w14:textId="77777777" w:rsidTr="00F24F31">
        <w:trPr>
          <w:cantSplit/>
          <w:trHeight w:hRule="exact" w:val="851"/>
        </w:trPr>
        <w:tc>
          <w:tcPr>
            <w:tcW w:w="1276" w:type="dxa"/>
            <w:tcBorders>
              <w:top w:val="nil"/>
              <w:left w:val="nil"/>
              <w:bottom w:val="single" w:sz="4" w:space="0" w:color="auto"/>
              <w:right w:val="nil"/>
            </w:tcBorders>
            <w:vAlign w:val="bottom"/>
          </w:tcPr>
          <w:p w14:paraId="2DB7A962" w14:textId="77777777" w:rsidR="00F24F31" w:rsidRDefault="00F24F31" w:rsidP="00F24F31">
            <w:pPr>
              <w:pStyle w:val="Heading2"/>
            </w:pPr>
          </w:p>
        </w:tc>
        <w:tc>
          <w:tcPr>
            <w:tcW w:w="2268" w:type="dxa"/>
            <w:tcBorders>
              <w:top w:val="nil"/>
              <w:left w:val="nil"/>
              <w:bottom w:val="single" w:sz="4" w:space="0" w:color="auto"/>
              <w:right w:val="nil"/>
            </w:tcBorders>
            <w:vAlign w:val="bottom"/>
            <w:hideMark/>
          </w:tcPr>
          <w:p w14:paraId="79E9E78B" w14:textId="22297880" w:rsidR="00F24F31" w:rsidRDefault="00940E24" w:rsidP="00F24F31">
            <w:pPr>
              <w:spacing w:after="80" w:line="300" w:lineRule="exact"/>
              <w:rPr>
                <w:b/>
                <w:sz w:val="24"/>
                <w:szCs w:val="24"/>
              </w:rPr>
            </w:pPr>
            <w:r>
              <w:rPr>
                <w:sz w:val="28"/>
                <w:szCs w:val="28"/>
              </w:rPr>
              <w:t>United Nations</w:t>
            </w:r>
          </w:p>
        </w:tc>
        <w:tc>
          <w:tcPr>
            <w:tcW w:w="6095" w:type="dxa"/>
            <w:gridSpan w:val="2"/>
            <w:tcBorders>
              <w:top w:val="nil"/>
              <w:left w:val="nil"/>
              <w:bottom w:val="single" w:sz="4" w:space="0" w:color="auto"/>
              <w:right w:val="nil"/>
            </w:tcBorders>
            <w:vAlign w:val="bottom"/>
            <w:hideMark/>
          </w:tcPr>
          <w:p w14:paraId="1D64C2A0" w14:textId="4FF209D7" w:rsidR="00F24F31" w:rsidRDefault="00F24F31" w:rsidP="00F24F31">
            <w:pPr>
              <w:jc w:val="right"/>
            </w:pPr>
            <w:r>
              <w:rPr>
                <w:sz w:val="40"/>
              </w:rPr>
              <w:t>CERD</w:t>
            </w:r>
            <w:r w:rsidR="00A24F10">
              <w:t>/C/NZL/CO/</w:t>
            </w:r>
            <w:r>
              <w:t>21-22</w:t>
            </w:r>
          </w:p>
        </w:tc>
      </w:tr>
      <w:tr w:rsidR="00F24F31" w14:paraId="0AA7B80A" w14:textId="77777777" w:rsidTr="00F24F31">
        <w:trPr>
          <w:cantSplit/>
          <w:trHeight w:hRule="exact" w:val="2835"/>
        </w:trPr>
        <w:tc>
          <w:tcPr>
            <w:tcW w:w="1276" w:type="dxa"/>
            <w:tcBorders>
              <w:top w:val="single" w:sz="4" w:space="0" w:color="auto"/>
              <w:left w:val="nil"/>
              <w:bottom w:val="single" w:sz="12" w:space="0" w:color="auto"/>
              <w:right w:val="nil"/>
            </w:tcBorders>
            <w:hideMark/>
          </w:tcPr>
          <w:p w14:paraId="1DC318E5" w14:textId="37AFDD03" w:rsidR="00F24F31" w:rsidRDefault="00940E24" w:rsidP="00F24F31">
            <w:pPr>
              <w:spacing w:before="120"/>
              <w:jc w:val="center"/>
            </w:pPr>
            <w:r>
              <w:rPr>
                <w:noProof/>
                <w:lang w:eastAsia="en-GB"/>
              </w:rPr>
              <w:drawing>
                <wp:inline distT="0" distB="0" distL="0" distR="0" wp14:anchorId="70BE9F5E" wp14:editId="5BF4CCD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14:paraId="3F44E304" w14:textId="77777777" w:rsidR="00940E24" w:rsidRPr="000B4EF7" w:rsidRDefault="00940E24" w:rsidP="00940E24">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609EDDC9" w14:textId="555C6A10" w:rsidR="00F24F31" w:rsidRDefault="00F24F31" w:rsidP="00F24F31">
            <w:pPr>
              <w:spacing w:before="120" w:line="380" w:lineRule="exact"/>
            </w:pPr>
          </w:p>
        </w:tc>
        <w:tc>
          <w:tcPr>
            <w:tcW w:w="2835" w:type="dxa"/>
            <w:tcBorders>
              <w:top w:val="single" w:sz="4" w:space="0" w:color="auto"/>
              <w:left w:val="nil"/>
              <w:bottom w:val="single" w:sz="12" w:space="0" w:color="auto"/>
              <w:right w:val="nil"/>
            </w:tcBorders>
          </w:tcPr>
          <w:p w14:paraId="49AF44A1" w14:textId="5481A9F3" w:rsidR="00F24F31" w:rsidRDefault="00F24F31" w:rsidP="00F24F31">
            <w:pPr>
              <w:spacing w:before="240" w:line="240" w:lineRule="exact"/>
            </w:pPr>
            <w:r>
              <w:t xml:space="preserve">Distr.: </w:t>
            </w:r>
            <w:r w:rsidR="00A24F10">
              <w:t>General</w:t>
            </w:r>
          </w:p>
          <w:p w14:paraId="63E8C1CF" w14:textId="0F8046C2" w:rsidR="00F24F31" w:rsidRDefault="005F7E64" w:rsidP="00F24F31">
            <w:pPr>
              <w:spacing w:line="240" w:lineRule="exact"/>
            </w:pPr>
            <w:r>
              <w:t>22</w:t>
            </w:r>
            <w:r w:rsidR="004266CB">
              <w:t xml:space="preserve"> September</w:t>
            </w:r>
            <w:r w:rsidR="00F24F31">
              <w:t xml:space="preserve"> 2017</w:t>
            </w:r>
          </w:p>
          <w:p w14:paraId="735FFC8F" w14:textId="77777777" w:rsidR="00F24F31" w:rsidRDefault="00F24F31" w:rsidP="00F24F31">
            <w:pPr>
              <w:spacing w:line="240" w:lineRule="exact"/>
            </w:pPr>
          </w:p>
          <w:p w14:paraId="4468FC66" w14:textId="77777777" w:rsidR="00F24F31" w:rsidRDefault="00F24F31" w:rsidP="00F24F31">
            <w:pPr>
              <w:spacing w:line="240" w:lineRule="exact"/>
            </w:pPr>
            <w:r>
              <w:t>Original: English</w:t>
            </w:r>
          </w:p>
        </w:tc>
      </w:tr>
    </w:tbl>
    <w:p w14:paraId="5F4C0915" w14:textId="7C83848F" w:rsidR="00F24F31" w:rsidRDefault="00F24F31" w:rsidP="00F24F31">
      <w:pPr>
        <w:spacing w:before="120"/>
        <w:rPr>
          <w:b/>
          <w:bCs/>
          <w:sz w:val="24"/>
          <w:szCs w:val="24"/>
        </w:rPr>
      </w:pPr>
      <w:r>
        <w:rPr>
          <w:b/>
          <w:bCs/>
          <w:sz w:val="24"/>
          <w:szCs w:val="24"/>
        </w:rPr>
        <w:t xml:space="preserve">Committee on the Elimination of Racial Discrimination </w:t>
      </w:r>
    </w:p>
    <w:p w14:paraId="67AA13C3" w14:textId="18579303" w:rsidR="00F3284E" w:rsidRPr="00080560" w:rsidRDefault="00F24F31" w:rsidP="0019441E">
      <w:pPr>
        <w:pStyle w:val="HChG"/>
        <w:rPr>
          <w:sz w:val="20"/>
          <w:lang w:val="en-US"/>
        </w:rPr>
      </w:pPr>
      <w:r>
        <w:rPr>
          <w:lang w:val="en-US"/>
        </w:rPr>
        <w:tab/>
      </w:r>
      <w:r>
        <w:rPr>
          <w:lang w:val="en-US"/>
        </w:rPr>
        <w:tab/>
        <w:t>Concluding observations on the c</w:t>
      </w:r>
      <w:proofErr w:type="spellStart"/>
      <w:r>
        <w:t>ombined</w:t>
      </w:r>
      <w:proofErr w:type="spellEnd"/>
      <w:r>
        <w:t xml:space="preserve"> twenty-first </w:t>
      </w:r>
      <w:r w:rsidR="00A24F10">
        <w:t>and</w:t>
      </w:r>
      <w:r>
        <w:t xml:space="preserve"> twenty-second periodic reports of New Zealand</w:t>
      </w:r>
      <w:r w:rsidR="00A24F10" w:rsidRPr="00B57DDD">
        <w:rPr>
          <w:b w:val="0"/>
          <w:sz w:val="20"/>
        </w:rPr>
        <w:footnoteReference w:customMarkFollows="1" w:id="2"/>
        <w:t>*</w:t>
      </w:r>
      <w:r>
        <w:rPr>
          <w:lang w:val="en-US"/>
        </w:rPr>
        <w:t xml:space="preserve"> </w:t>
      </w:r>
    </w:p>
    <w:p w14:paraId="02C51B07" w14:textId="29EA4797" w:rsidR="0099443F" w:rsidRPr="00B371B9" w:rsidRDefault="008A7396" w:rsidP="008A7396">
      <w:pPr>
        <w:pStyle w:val="SingleTxtG"/>
      </w:pPr>
      <w:r w:rsidRPr="00B371B9">
        <w:t>1.</w:t>
      </w:r>
      <w:r w:rsidRPr="00B371B9">
        <w:tab/>
      </w:r>
      <w:r w:rsidR="0099443F" w:rsidRPr="00B371B9">
        <w:t xml:space="preserve">The Committee considered the </w:t>
      </w:r>
      <w:r w:rsidR="00616F47" w:rsidRPr="00B371B9">
        <w:t xml:space="preserve">twenty-first </w:t>
      </w:r>
      <w:r w:rsidR="004266CB">
        <w:t>and</w:t>
      </w:r>
      <w:r w:rsidR="00616F47" w:rsidRPr="00B371B9">
        <w:t xml:space="preserve"> twenty-</w:t>
      </w:r>
      <w:r w:rsidR="00BF69E7" w:rsidRPr="00B371B9">
        <w:t>second</w:t>
      </w:r>
      <w:r w:rsidR="0099443F" w:rsidRPr="00B371B9">
        <w:t xml:space="preserve"> periodic report</w:t>
      </w:r>
      <w:r w:rsidR="00616F47" w:rsidRPr="00B371B9">
        <w:t>s</w:t>
      </w:r>
      <w:r w:rsidR="0099443F" w:rsidRPr="00B371B9">
        <w:t xml:space="preserve"> of </w:t>
      </w:r>
      <w:bookmarkStart w:id="0" w:name="_GoBack"/>
      <w:r w:rsidR="00BF69E7" w:rsidRPr="00B371B9">
        <w:t>N</w:t>
      </w:r>
      <w:bookmarkEnd w:id="0"/>
      <w:r w:rsidR="00BF69E7" w:rsidRPr="00B371B9">
        <w:t>ew Zealand (CERD/C/NZL</w:t>
      </w:r>
      <w:r w:rsidR="0099443F" w:rsidRPr="00B371B9">
        <w:t>/</w:t>
      </w:r>
      <w:r w:rsidR="00616F47" w:rsidRPr="00B371B9">
        <w:t>21-2</w:t>
      </w:r>
      <w:r w:rsidR="00BF69E7" w:rsidRPr="00B371B9">
        <w:t>2</w:t>
      </w:r>
      <w:r w:rsidR="0099443F" w:rsidRPr="00B371B9">
        <w:t xml:space="preserve">), submitted in one document, at its </w:t>
      </w:r>
      <w:r w:rsidR="00977402" w:rsidRPr="004266CB">
        <w:t>2568</w:t>
      </w:r>
      <w:r w:rsidR="00977402" w:rsidRPr="00B57DDD">
        <w:t>th</w:t>
      </w:r>
      <w:r w:rsidR="00977402" w:rsidRPr="004266CB">
        <w:t xml:space="preserve"> and 2569</w:t>
      </w:r>
      <w:r w:rsidR="00977402" w:rsidRPr="00B57DDD">
        <w:t>th</w:t>
      </w:r>
      <w:r w:rsidR="00977402" w:rsidRPr="00B371B9">
        <w:t xml:space="preserve"> </w:t>
      </w:r>
      <w:r w:rsidR="0099443F" w:rsidRPr="00B371B9">
        <w:t>meetings (CERD/C/SR.</w:t>
      </w:r>
      <w:r w:rsidR="007433BE" w:rsidRPr="00B371B9">
        <w:t>2</w:t>
      </w:r>
      <w:r w:rsidR="00977402" w:rsidRPr="00B371B9">
        <w:t>568</w:t>
      </w:r>
      <w:r w:rsidR="0099443F" w:rsidRPr="00B371B9">
        <w:t xml:space="preserve"> and </w:t>
      </w:r>
      <w:r w:rsidR="007433BE" w:rsidRPr="00B371B9">
        <w:t>25</w:t>
      </w:r>
      <w:r w:rsidR="00977402" w:rsidRPr="00B371B9">
        <w:t>69</w:t>
      </w:r>
      <w:r w:rsidR="0099443F" w:rsidRPr="00B371B9">
        <w:t xml:space="preserve">), held </w:t>
      </w:r>
      <w:r w:rsidR="00977402" w:rsidRPr="00B371B9">
        <w:t>on 15 and 16 August</w:t>
      </w:r>
      <w:r w:rsidR="007433BE" w:rsidRPr="00B371B9">
        <w:t xml:space="preserve"> </w:t>
      </w:r>
      <w:r w:rsidR="00616F47" w:rsidRPr="00B371B9">
        <w:t>2017</w:t>
      </w:r>
      <w:r w:rsidR="0099443F" w:rsidRPr="00B371B9">
        <w:t>.</w:t>
      </w:r>
      <w:r w:rsidR="00F97A74" w:rsidRPr="00B371B9">
        <w:t xml:space="preserve"> </w:t>
      </w:r>
      <w:r w:rsidR="0099443F" w:rsidRPr="00B371B9">
        <w:t xml:space="preserve">At its </w:t>
      </w:r>
      <w:r w:rsidR="0008052A" w:rsidRPr="00C87A05">
        <w:t>2578</w:t>
      </w:r>
      <w:r w:rsidR="0008052A" w:rsidRPr="00B57DDD">
        <w:t>th</w:t>
      </w:r>
      <w:r w:rsidR="00BA0811" w:rsidRPr="00C87A05">
        <w:t xml:space="preserve">, </w:t>
      </w:r>
      <w:r w:rsidR="00017911" w:rsidRPr="00C87A05">
        <w:t>2579</w:t>
      </w:r>
      <w:r w:rsidR="00DF3B5D" w:rsidRPr="00B57DDD">
        <w:t>th</w:t>
      </w:r>
      <w:r w:rsidR="00DF3B5D" w:rsidRPr="00C87A05">
        <w:t xml:space="preserve"> </w:t>
      </w:r>
      <w:r w:rsidR="00BA0811" w:rsidRPr="00C87A05">
        <w:t>and 2580</w:t>
      </w:r>
      <w:r w:rsidR="00BA0811" w:rsidRPr="00B57DDD">
        <w:t>th</w:t>
      </w:r>
      <w:r w:rsidR="00BA0811" w:rsidRPr="00C87A05">
        <w:t xml:space="preserve"> </w:t>
      </w:r>
      <w:r w:rsidR="0099443F" w:rsidRPr="00C87A05">
        <w:t>meeting</w:t>
      </w:r>
      <w:r w:rsidR="0008052A" w:rsidRPr="00C87A05">
        <w:t>s</w:t>
      </w:r>
      <w:r w:rsidR="0099443F" w:rsidRPr="00B371B9">
        <w:t xml:space="preserve">, held on </w:t>
      </w:r>
      <w:r w:rsidR="00DF3B5D" w:rsidRPr="00B371B9">
        <w:t>2</w:t>
      </w:r>
      <w:r w:rsidR="00E97466">
        <w:t>2</w:t>
      </w:r>
      <w:r w:rsidR="0008052A">
        <w:t xml:space="preserve"> and 23</w:t>
      </w:r>
      <w:r w:rsidR="00DF3B5D" w:rsidRPr="00B371B9">
        <w:t xml:space="preserve"> August 2017</w:t>
      </w:r>
      <w:r w:rsidR="0099443F" w:rsidRPr="00B371B9">
        <w:t>, it adopted the following concluding observations.</w:t>
      </w:r>
    </w:p>
    <w:p w14:paraId="5EAA8055" w14:textId="5991C3CC" w:rsidR="0099443F" w:rsidRPr="00B371B9" w:rsidRDefault="0099443F" w:rsidP="0099443F">
      <w:pPr>
        <w:pStyle w:val="H1G"/>
        <w:rPr>
          <w:sz w:val="20"/>
        </w:rPr>
      </w:pPr>
      <w:r w:rsidRPr="00B371B9">
        <w:rPr>
          <w:sz w:val="20"/>
        </w:rPr>
        <w:tab/>
      </w:r>
      <w:r w:rsidR="00B920D4">
        <w:t>A.</w:t>
      </w:r>
      <w:r w:rsidR="00B920D4">
        <w:tab/>
        <w:t>Introduction</w:t>
      </w:r>
    </w:p>
    <w:p w14:paraId="4E0A1DD7" w14:textId="42E36D70" w:rsidR="0099443F" w:rsidRPr="00B371B9" w:rsidRDefault="008A7396" w:rsidP="008A7396">
      <w:pPr>
        <w:pStyle w:val="SingleTxtG"/>
      </w:pPr>
      <w:r w:rsidRPr="00B371B9">
        <w:t>2.</w:t>
      </w:r>
      <w:r w:rsidRPr="00B371B9">
        <w:tab/>
      </w:r>
      <w:r w:rsidR="0099443F" w:rsidRPr="00B371B9">
        <w:t xml:space="preserve">The Committee welcomes the submission of the combined </w:t>
      </w:r>
      <w:r w:rsidR="004D6BF1" w:rsidRPr="00B371B9">
        <w:t xml:space="preserve">twenty-first </w:t>
      </w:r>
      <w:r w:rsidR="004266CB">
        <w:t>and</w:t>
      </w:r>
      <w:r w:rsidR="004D6BF1" w:rsidRPr="00B371B9">
        <w:t xml:space="preserve"> twenty-</w:t>
      </w:r>
      <w:r w:rsidR="00BF69E7" w:rsidRPr="00B371B9">
        <w:t>second</w:t>
      </w:r>
      <w:r w:rsidR="0099443F" w:rsidRPr="00B371B9">
        <w:t xml:space="preserve"> periodic report</w:t>
      </w:r>
      <w:r w:rsidR="00152CF8" w:rsidRPr="00B371B9">
        <w:t>s</w:t>
      </w:r>
      <w:r w:rsidR="0099443F" w:rsidRPr="00B371B9">
        <w:t xml:space="preserve"> of the State party.</w:t>
      </w:r>
      <w:r w:rsidR="00F97A74" w:rsidRPr="00B371B9">
        <w:t xml:space="preserve"> </w:t>
      </w:r>
      <w:r w:rsidR="00E874B2" w:rsidRPr="00B371B9">
        <w:t>T</w:t>
      </w:r>
      <w:r w:rsidR="0099443F" w:rsidRPr="00B371B9">
        <w:t xml:space="preserve">he Committee welcomes the open and constructive dialogue with the </w:t>
      </w:r>
      <w:proofErr w:type="spellStart"/>
      <w:r w:rsidR="0099443F" w:rsidRPr="00B371B9">
        <w:t>multisectoral</w:t>
      </w:r>
      <w:proofErr w:type="spellEnd"/>
      <w:r w:rsidR="0099443F" w:rsidRPr="00B371B9">
        <w:t xml:space="preserve"> delegation and expresses its appreciation </w:t>
      </w:r>
      <w:r w:rsidR="003D2D13" w:rsidRPr="00B371B9">
        <w:t xml:space="preserve">for the statistical information submitted prior to the dialogue </w:t>
      </w:r>
      <w:r w:rsidR="004266CB">
        <w:t>and</w:t>
      </w:r>
      <w:r w:rsidR="003D2D13" w:rsidRPr="00B371B9">
        <w:t xml:space="preserve"> </w:t>
      </w:r>
      <w:r w:rsidR="0099443F" w:rsidRPr="00B371B9">
        <w:t xml:space="preserve">for the oral presentation and the detailed replies provided by the delegation during </w:t>
      </w:r>
      <w:r w:rsidR="00953BA3" w:rsidRPr="00B371B9">
        <w:t>the consideration of the report</w:t>
      </w:r>
      <w:r w:rsidR="003D2D13" w:rsidRPr="00B371B9">
        <w:t>.</w:t>
      </w:r>
      <w:r w:rsidR="00953BA3" w:rsidRPr="00B371B9">
        <w:t xml:space="preserve"> </w:t>
      </w:r>
    </w:p>
    <w:p w14:paraId="75278D3B" w14:textId="77777777" w:rsidR="0099443F" w:rsidRPr="00B920D4" w:rsidRDefault="0099443F" w:rsidP="0099443F">
      <w:pPr>
        <w:pStyle w:val="H1G"/>
        <w:rPr>
          <w:szCs w:val="24"/>
        </w:rPr>
      </w:pPr>
      <w:r w:rsidRPr="00B371B9">
        <w:rPr>
          <w:sz w:val="20"/>
        </w:rPr>
        <w:tab/>
      </w:r>
      <w:r w:rsidRPr="00B920D4">
        <w:rPr>
          <w:szCs w:val="24"/>
        </w:rPr>
        <w:t>B.</w:t>
      </w:r>
      <w:r w:rsidRPr="00B920D4">
        <w:rPr>
          <w:szCs w:val="24"/>
        </w:rPr>
        <w:tab/>
        <w:t>Positive aspects</w:t>
      </w:r>
    </w:p>
    <w:p w14:paraId="2B9291CF" w14:textId="487B7279" w:rsidR="00630BBE" w:rsidRDefault="008A7396" w:rsidP="008A7396">
      <w:pPr>
        <w:pStyle w:val="SingleTxtG"/>
      </w:pPr>
      <w:r>
        <w:t>3.</w:t>
      </w:r>
      <w:r>
        <w:tab/>
      </w:r>
      <w:r w:rsidR="005F172D">
        <w:t>The Committee commends the State party for</w:t>
      </w:r>
      <w:r w:rsidR="00630BBE">
        <w:t>:</w:t>
      </w:r>
      <w:r w:rsidR="005F172D">
        <w:t xml:space="preserve"> </w:t>
      </w:r>
    </w:p>
    <w:p w14:paraId="007C50F8" w14:textId="6F3C7C8F" w:rsidR="00630BBE" w:rsidRDefault="00FB6265" w:rsidP="00B57DDD">
      <w:pPr>
        <w:pStyle w:val="SingleTxtG"/>
        <w:ind w:firstLine="567"/>
      </w:pPr>
      <w:r>
        <w:t>(a)</w:t>
      </w:r>
      <w:r>
        <w:tab/>
      </w:r>
      <w:r w:rsidR="00A24F10">
        <w:t>A</w:t>
      </w:r>
      <w:r w:rsidR="0073065B">
        <w:t>cknowledging</w:t>
      </w:r>
      <w:r w:rsidR="00CB1AF7" w:rsidRPr="00B371B9">
        <w:t xml:space="preserve"> that </w:t>
      </w:r>
      <w:r w:rsidR="00E572EB" w:rsidRPr="00B371B9">
        <w:t xml:space="preserve">social inequities exist today between racial groups </w:t>
      </w:r>
      <w:r w:rsidR="00EE763F">
        <w:t xml:space="preserve">and </w:t>
      </w:r>
      <w:r w:rsidR="00E572EB" w:rsidRPr="00B371B9">
        <w:t xml:space="preserve">the acceptance by the </w:t>
      </w:r>
      <w:r w:rsidR="009E3B8D">
        <w:t>State party</w:t>
      </w:r>
      <w:r w:rsidR="009E3B8D" w:rsidRPr="00B371B9">
        <w:t xml:space="preserve"> </w:t>
      </w:r>
      <w:r w:rsidR="00E572EB" w:rsidRPr="00B371B9">
        <w:t>of responsibility to correct them</w:t>
      </w:r>
      <w:r w:rsidR="00630BBE">
        <w:t>;</w:t>
      </w:r>
    </w:p>
    <w:p w14:paraId="6C17E8E2" w14:textId="440B7A5C" w:rsidR="00FB5384" w:rsidRPr="00B57DDD" w:rsidRDefault="00FB6265" w:rsidP="00B57DDD">
      <w:pPr>
        <w:pStyle w:val="SingleTxtG"/>
        <w:ind w:firstLine="567"/>
        <w:rPr>
          <w:spacing w:val="-2"/>
        </w:rPr>
      </w:pPr>
      <w:r w:rsidRPr="00B57DDD">
        <w:rPr>
          <w:spacing w:val="-2"/>
        </w:rPr>
        <w:t>(b)</w:t>
      </w:r>
      <w:r w:rsidRPr="00B57DDD">
        <w:rPr>
          <w:spacing w:val="-2"/>
        </w:rPr>
        <w:tab/>
      </w:r>
      <w:r w:rsidR="00A24F10" w:rsidRPr="00B57DDD">
        <w:rPr>
          <w:spacing w:val="-2"/>
        </w:rPr>
        <w:t>A</w:t>
      </w:r>
      <w:r w:rsidR="00630BBE" w:rsidRPr="00B57DDD">
        <w:rPr>
          <w:spacing w:val="-2"/>
        </w:rPr>
        <w:t>dopting t</w:t>
      </w:r>
      <w:r w:rsidR="00CB1AF7" w:rsidRPr="00B57DDD">
        <w:rPr>
          <w:spacing w:val="-2"/>
        </w:rPr>
        <w:t xml:space="preserve">he </w:t>
      </w:r>
      <w:proofErr w:type="spellStart"/>
      <w:r w:rsidR="00CB1AF7" w:rsidRPr="00B57DDD">
        <w:rPr>
          <w:spacing w:val="-2"/>
        </w:rPr>
        <w:t>Te</w:t>
      </w:r>
      <w:proofErr w:type="spellEnd"/>
      <w:r w:rsidR="00CB1AF7" w:rsidRPr="00B57DDD">
        <w:rPr>
          <w:spacing w:val="-2"/>
        </w:rPr>
        <w:t xml:space="preserve"> Awa </w:t>
      </w:r>
      <w:proofErr w:type="spellStart"/>
      <w:r w:rsidR="00CB1AF7" w:rsidRPr="00B57DDD">
        <w:rPr>
          <w:spacing w:val="-2"/>
        </w:rPr>
        <w:t>Tupua</w:t>
      </w:r>
      <w:proofErr w:type="spellEnd"/>
      <w:r w:rsidR="00CB1AF7" w:rsidRPr="00B57DDD">
        <w:rPr>
          <w:spacing w:val="-2"/>
        </w:rPr>
        <w:t xml:space="preserve"> (Whanganui River Claims Settlement) Act 2017</w:t>
      </w:r>
      <w:r w:rsidR="00630BBE" w:rsidRPr="00B57DDD">
        <w:rPr>
          <w:spacing w:val="-2"/>
        </w:rPr>
        <w:t>.</w:t>
      </w:r>
      <w:r w:rsidR="00A24F10" w:rsidRPr="00B57DDD">
        <w:rPr>
          <w:spacing w:val="-2"/>
        </w:rPr>
        <w:t xml:space="preserve"> </w:t>
      </w:r>
    </w:p>
    <w:p w14:paraId="0961FF42" w14:textId="1C8F8203" w:rsidR="000C3EDF" w:rsidRPr="00B371B9" w:rsidRDefault="008A7396" w:rsidP="008A7396">
      <w:pPr>
        <w:pStyle w:val="SingleTxtG"/>
      </w:pPr>
      <w:r w:rsidRPr="00B371B9">
        <w:t>4.</w:t>
      </w:r>
      <w:r w:rsidRPr="00B371B9">
        <w:tab/>
      </w:r>
      <w:r w:rsidR="0099443F" w:rsidRPr="00B371B9">
        <w:t xml:space="preserve">The Committee </w:t>
      </w:r>
      <w:r w:rsidR="001D40E6">
        <w:t xml:space="preserve">also </w:t>
      </w:r>
      <w:r w:rsidR="0099443F" w:rsidRPr="00B371B9">
        <w:t>welcomes the State party’s</w:t>
      </w:r>
      <w:r w:rsidR="005A3B5A" w:rsidRPr="00B371B9">
        <w:t xml:space="preserve"> recent</w:t>
      </w:r>
      <w:r w:rsidR="0099443F" w:rsidRPr="00B371B9">
        <w:t xml:space="preserve"> efforts to </w:t>
      </w:r>
      <w:r w:rsidR="00D44C45" w:rsidRPr="00B371B9">
        <w:t>establish</w:t>
      </w:r>
      <w:r w:rsidR="0099443F" w:rsidRPr="00B371B9">
        <w:t xml:space="preserve"> policies, programmes and administrative measures to </w:t>
      </w:r>
      <w:r w:rsidR="004266CB" w:rsidRPr="00B371B9">
        <w:t xml:space="preserve">further </w:t>
      </w:r>
      <w:r w:rsidR="0099443F" w:rsidRPr="00B371B9">
        <w:t xml:space="preserve">ensure the protection of human rights and </w:t>
      </w:r>
      <w:r w:rsidR="004266CB">
        <w:t xml:space="preserve">the </w:t>
      </w:r>
      <w:r w:rsidR="0099443F" w:rsidRPr="00B371B9">
        <w:t>implementation of the Convention, including:</w:t>
      </w:r>
    </w:p>
    <w:p w14:paraId="0F8A2CF8" w14:textId="42560CEF" w:rsidR="000C3EDF" w:rsidRPr="00B57DDD" w:rsidRDefault="00FB6265" w:rsidP="00B57DDD">
      <w:pPr>
        <w:pStyle w:val="SingleTxtG"/>
        <w:spacing w:line="220" w:lineRule="atLeast"/>
        <w:ind w:firstLine="567"/>
        <w:rPr>
          <w:spacing w:val="-2"/>
        </w:rPr>
      </w:pPr>
      <w:r w:rsidRPr="00B57DDD">
        <w:rPr>
          <w:spacing w:val="-2"/>
        </w:rPr>
        <w:t>(a)</w:t>
      </w:r>
      <w:r w:rsidRPr="00B57DDD">
        <w:rPr>
          <w:spacing w:val="-2"/>
        </w:rPr>
        <w:tab/>
      </w:r>
      <w:r w:rsidR="004266CB" w:rsidRPr="00B57DDD">
        <w:rPr>
          <w:spacing w:val="-2"/>
        </w:rPr>
        <w:t>The s</w:t>
      </w:r>
      <w:r w:rsidR="002310FE" w:rsidRPr="00B57DDD">
        <w:rPr>
          <w:spacing w:val="-2"/>
        </w:rPr>
        <w:t xml:space="preserve">econd </w:t>
      </w:r>
      <w:r w:rsidR="004510EC" w:rsidRPr="00B57DDD">
        <w:rPr>
          <w:spacing w:val="-2"/>
        </w:rPr>
        <w:t>n</w:t>
      </w:r>
      <w:r w:rsidR="002310FE" w:rsidRPr="00B57DDD">
        <w:rPr>
          <w:spacing w:val="-2"/>
        </w:rPr>
        <w:t xml:space="preserve">ational </w:t>
      </w:r>
      <w:r w:rsidR="004510EC" w:rsidRPr="00B57DDD">
        <w:rPr>
          <w:spacing w:val="-2"/>
        </w:rPr>
        <w:t>p</w:t>
      </w:r>
      <w:r w:rsidR="002310FE" w:rsidRPr="00B57DDD">
        <w:rPr>
          <w:spacing w:val="-2"/>
        </w:rPr>
        <w:t xml:space="preserve">lan of </w:t>
      </w:r>
      <w:r w:rsidR="004510EC" w:rsidRPr="00B57DDD">
        <w:rPr>
          <w:spacing w:val="-2"/>
        </w:rPr>
        <w:t>a</w:t>
      </w:r>
      <w:r w:rsidR="002310FE" w:rsidRPr="00B57DDD">
        <w:rPr>
          <w:spacing w:val="-2"/>
        </w:rPr>
        <w:t xml:space="preserve">ction </w:t>
      </w:r>
      <w:r w:rsidR="004510EC" w:rsidRPr="00B57DDD">
        <w:rPr>
          <w:spacing w:val="-2"/>
        </w:rPr>
        <w:t xml:space="preserve">on human rights, for the period </w:t>
      </w:r>
      <w:r w:rsidR="002310FE" w:rsidRPr="00B57DDD">
        <w:rPr>
          <w:spacing w:val="-2"/>
        </w:rPr>
        <w:t>2015-2019;</w:t>
      </w:r>
    </w:p>
    <w:p w14:paraId="42EBDD17" w14:textId="523A1E2C" w:rsidR="000C3EDF" w:rsidRPr="00B371B9" w:rsidRDefault="00FB6265" w:rsidP="00B57DDD">
      <w:pPr>
        <w:pStyle w:val="SingleTxtG"/>
        <w:spacing w:line="220" w:lineRule="atLeast"/>
        <w:ind w:firstLine="567"/>
      </w:pPr>
      <w:r>
        <w:t>(b)</w:t>
      </w:r>
      <w:r>
        <w:tab/>
      </w:r>
      <w:r w:rsidR="00584BBD" w:rsidRPr="00B371B9">
        <w:t>V</w:t>
      </w:r>
      <w:r w:rsidR="003B1BA8" w:rsidRPr="00B371B9">
        <w:t>arious e</w:t>
      </w:r>
      <w:r w:rsidR="00A609E8" w:rsidRPr="00B371B9">
        <w:t>ducation</w:t>
      </w:r>
      <w:r w:rsidR="004414D2" w:rsidRPr="00B371B9">
        <w:t>al</w:t>
      </w:r>
      <w:r w:rsidR="00A5552D" w:rsidRPr="00B371B9">
        <w:t xml:space="preserve"> </w:t>
      </w:r>
      <w:r w:rsidR="000C3EDF" w:rsidRPr="00B371B9">
        <w:t xml:space="preserve">and </w:t>
      </w:r>
      <w:r w:rsidR="004414D2" w:rsidRPr="00B371B9">
        <w:t>linguistic</w:t>
      </w:r>
      <w:r w:rsidR="000C3EDF" w:rsidRPr="00B371B9">
        <w:t xml:space="preserve"> </w:t>
      </w:r>
      <w:r w:rsidR="00A609E8" w:rsidRPr="00B371B9">
        <w:t>strategies</w:t>
      </w:r>
      <w:r w:rsidR="00E80196" w:rsidRPr="00B371B9">
        <w:t xml:space="preserve"> </w:t>
      </w:r>
      <w:r w:rsidR="003B1BA8" w:rsidRPr="00B371B9">
        <w:t xml:space="preserve">and </w:t>
      </w:r>
      <w:r w:rsidR="00A5552D" w:rsidRPr="00B371B9">
        <w:t>measures</w:t>
      </w:r>
      <w:r w:rsidR="00AE61BE" w:rsidRPr="00B371B9">
        <w:t xml:space="preserve"> targeting</w:t>
      </w:r>
      <w:r w:rsidR="00A5552D" w:rsidRPr="00B371B9">
        <w:t xml:space="preserve"> </w:t>
      </w:r>
      <w:r w:rsidR="00F87404" w:rsidRPr="00B371B9">
        <w:t>M</w:t>
      </w:r>
      <w:r w:rsidR="00C87A05">
        <w:t>a</w:t>
      </w:r>
      <w:r w:rsidR="00F87404" w:rsidRPr="00B371B9">
        <w:t>ori</w:t>
      </w:r>
      <w:r w:rsidR="00A609E8" w:rsidRPr="00B371B9">
        <w:t xml:space="preserve"> and Pasifika, including the M</w:t>
      </w:r>
      <w:r w:rsidR="00C87A05">
        <w:t>a</w:t>
      </w:r>
      <w:r w:rsidR="00A609E8" w:rsidRPr="00B371B9">
        <w:t>ori Language Act</w:t>
      </w:r>
      <w:r w:rsidR="004A3B1C">
        <w:t xml:space="preserve"> of 2016</w:t>
      </w:r>
      <w:r w:rsidR="00A609E8" w:rsidRPr="00B371B9">
        <w:t xml:space="preserve">; </w:t>
      </w:r>
    </w:p>
    <w:p w14:paraId="6D8DA1A1" w14:textId="64C767F9" w:rsidR="000C3EDF" w:rsidRPr="00B371B9" w:rsidRDefault="00FB6265" w:rsidP="00B57DDD">
      <w:pPr>
        <w:pStyle w:val="SingleTxtG"/>
        <w:spacing w:line="220" w:lineRule="atLeast"/>
        <w:ind w:firstLine="567"/>
      </w:pPr>
      <w:r>
        <w:t>(c)</w:t>
      </w:r>
      <w:r>
        <w:tab/>
      </w:r>
      <w:r w:rsidR="00D55F22" w:rsidRPr="00B371B9">
        <w:t xml:space="preserve">He Kai Kei </w:t>
      </w:r>
      <w:proofErr w:type="spellStart"/>
      <w:r w:rsidR="00D55F22" w:rsidRPr="00B371B9">
        <w:t>Aku</w:t>
      </w:r>
      <w:proofErr w:type="spellEnd"/>
      <w:r w:rsidR="00D55F22" w:rsidRPr="00B371B9">
        <w:t xml:space="preserve"> </w:t>
      </w:r>
      <w:proofErr w:type="spellStart"/>
      <w:r w:rsidR="00D55F22" w:rsidRPr="00B371B9">
        <w:t>Ringa</w:t>
      </w:r>
      <w:proofErr w:type="spellEnd"/>
      <w:r w:rsidR="00D55F22" w:rsidRPr="00B371B9">
        <w:t xml:space="preserve"> </w:t>
      </w:r>
      <w:r w:rsidR="008953C6">
        <w:t>(</w:t>
      </w:r>
      <w:r w:rsidR="00D55F22" w:rsidRPr="00B371B9">
        <w:t>the M</w:t>
      </w:r>
      <w:r w:rsidR="00C87A05">
        <w:t>a</w:t>
      </w:r>
      <w:r w:rsidR="00D55F22" w:rsidRPr="00B371B9">
        <w:t xml:space="preserve">ori </w:t>
      </w:r>
      <w:r w:rsidR="00690FA5">
        <w:t>e</w:t>
      </w:r>
      <w:r w:rsidR="00D55F22" w:rsidRPr="00B371B9">
        <w:t xml:space="preserve">conomic </w:t>
      </w:r>
      <w:r w:rsidR="00690FA5">
        <w:t>d</w:t>
      </w:r>
      <w:r w:rsidR="00D55F22" w:rsidRPr="00B371B9">
        <w:t xml:space="preserve">evelopment </w:t>
      </w:r>
      <w:r w:rsidR="00690FA5">
        <w:t>s</w:t>
      </w:r>
      <w:r w:rsidR="00D55F22" w:rsidRPr="00B371B9">
        <w:t xml:space="preserve">trategy and </w:t>
      </w:r>
      <w:r w:rsidR="00690FA5">
        <w:t>a</w:t>
      </w:r>
      <w:r w:rsidR="00D55F22" w:rsidRPr="00B371B9">
        <w:t xml:space="preserve">ction </w:t>
      </w:r>
      <w:r w:rsidR="00690FA5">
        <w:t>p</w:t>
      </w:r>
      <w:r w:rsidR="00D55F22" w:rsidRPr="00B371B9">
        <w:t>lan</w:t>
      </w:r>
      <w:r w:rsidR="008953C6">
        <w:t>)</w:t>
      </w:r>
      <w:r w:rsidR="00665654" w:rsidRPr="00B371B9">
        <w:t>;</w:t>
      </w:r>
    </w:p>
    <w:p w14:paraId="6D7E9B5E" w14:textId="7EAEE004" w:rsidR="000C3EDF" w:rsidRPr="00B371B9" w:rsidRDefault="00FB6265" w:rsidP="00B57DDD">
      <w:pPr>
        <w:pStyle w:val="SingleTxtG"/>
        <w:spacing w:line="220" w:lineRule="atLeast"/>
        <w:ind w:firstLine="567"/>
      </w:pPr>
      <w:r>
        <w:t>(d)</w:t>
      </w:r>
      <w:r>
        <w:tab/>
      </w:r>
      <w:r w:rsidR="004B4F7B" w:rsidRPr="00B371B9">
        <w:t xml:space="preserve">English as a </w:t>
      </w:r>
      <w:r w:rsidR="00690FA5">
        <w:t>s</w:t>
      </w:r>
      <w:r w:rsidR="004B4F7B" w:rsidRPr="00B371B9">
        <w:t xml:space="preserve">econd </w:t>
      </w:r>
      <w:r w:rsidR="00690FA5">
        <w:t>l</w:t>
      </w:r>
      <w:r w:rsidR="004B4F7B" w:rsidRPr="00B371B9">
        <w:t xml:space="preserve">anguage support for </w:t>
      </w:r>
      <w:r w:rsidR="00690FA5">
        <w:t xml:space="preserve">students of </w:t>
      </w:r>
      <w:r w:rsidR="004B4F7B" w:rsidRPr="00B371B9">
        <w:t>migrant and refugee</w:t>
      </w:r>
      <w:r w:rsidR="004E3887" w:rsidRPr="00B371B9">
        <w:t xml:space="preserve"> background</w:t>
      </w:r>
      <w:r w:rsidR="00690FA5">
        <w:t>s</w:t>
      </w:r>
      <w:r w:rsidR="004E3887" w:rsidRPr="00B371B9">
        <w:t xml:space="preserve"> in schools;</w:t>
      </w:r>
    </w:p>
    <w:p w14:paraId="2D1B44FC" w14:textId="15D4FED4" w:rsidR="000C3EDF" w:rsidRPr="00B371B9" w:rsidRDefault="00FB6265" w:rsidP="00B57DDD">
      <w:pPr>
        <w:pStyle w:val="SingleTxtG"/>
        <w:spacing w:line="220" w:lineRule="atLeast"/>
        <w:ind w:firstLine="567"/>
      </w:pPr>
      <w:r>
        <w:lastRenderedPageBreak/>
        <w:t>(e)</w:t>
      </w:r>
      <w:r>
        <w:tab/>
      </w:r>
      <w:r w:rsidR="00270D65" w:rsidRPr="00B371B9">
        <w:t xml:space="preserve">‘Ala </w:t>
      </w:r>
      <w:proofErr w:type="spellStart"/>
      <w:r w:rsidR="00270D65" w:rsidRPr="00B371B9">
        <w:t>Mo’ui</w:t>
      </w:r>
      <w:proofErr w:type="spellEnd"/>
      <w:r w:rsidR="00270D65" w:rsidRPr="00B371B9">
        <w:t>: Pathways to Pacific Health and Wellbeing 2014-2018</w:t>
      </w:r>
      <w:r w:rsidR="003D1129" w:rsidRPr="00B371B9">
        <w:t>;</w:t>
      </w:r>
    </w:p>
    <w:p w14:paraId="0A323751" w14:textId="7BB0243C" w:rsidR="000C3EDF" w:rsidRPr="00B371B9" w:rsidRDefault="00FB6265" w:rsidP="00B57DDD">
      <w:pPr>
        <w:pStyle w:val="SingleTxtG"/>
        <w:spacing w:line="220" w:lineRule="atLeast"/>
        <w:ind w:firstLine="567"/>
      </w:pPr>
      <w:r>
        <w:t>(f)</w:t>
      </w:r>
      <w:r>
        <w:tab/>
      </w:r>
      <w:r w:rsidR="00873EA8">
        <w:t xml:space="preserve">The </w:t>
      </w:r>
      <w:r w:rsidR="002206F1" w:rsidRPr="00B371B9">
        <w:t xml:space="preserve">Whenua </w:t>
      </w:r>
      <w:r w:rsidR="00F87404" w:rsidRPr="00B371B9">
        <w:t>M</w:t>
      </w:r>
      <w:r w:rsidR="00C87A05">
        <w:t>a</w:t>
      </w:r>
      <w:r w:rsidR="00F87404" w:rsidRPr="00B371B9">
        <w:t>ori</w:t>
      </w:r>
      <w:r w:rsidR="002206F1" w:rsidRPr="00B371B9">
        <w:t xml:space="preserve"> Fund to improve the productivity of </w:t>
      </w:r>
      <w:r w:rsidR="00F87404" w:rsidRPr="00B371B9">
        <w:t>M</w:t>
      </w:r>
      <w:r w:rsidR="00C87A05">
        <w:t>a</w:t>
      </w:r>
      <w:r w:rsidR="00F87404" w:rsidRPr="00B371B9">
        <w:t>ori</w:t>
      </w:r>
      <w:r w:rsidR="00F45BC0" w:rsidRPr="00B371B9">
        <w:t xml:space="preserve"> land;</w:t>
      </w:r>
      <w:r w:rsidR="002206F1" w:rsidRPr="00B371B9">
        <w:t xml:space="preserve"> </w:t>
      </w:r>
    </w:p>
    <w:p w14:paraId="4380C1A4" w14:textId="079E1E34" w:rsidR="000C3EDF" w:rsidRPr="00B371B9" w:rsidRDefault="00FB6265" w:rsidP="00B57DDD">
      <w:pPr>
        <w:pStyle w:val="SingleTxtG"/>
        <w:spacing w:line="220" w:lineRule="atLeast"/>
        <w:ind w:firstLine="567"/>
      </w:pPr>
      <w:r>
        <w:t>(g)</w:t>
      </w:r>
      <w:r>
        <w:tab/>
      </w:r>
      <w:r w:rsidR="00C77496" w:rsidRPr="00B371B9">
        <w:t>T</w:t>
      </w:r>
      <w:r w:rsidR="00ED5BF4" w:rsidRPr="00B371B9">
        <w:t xml:space="preserve">he </w:t>
      </w:r>
      <w:r w:rsidR="008953C6" w:rsidRPr="00B371B9">
        <w:t>Wh</w:t>
      </w:r>
      <w:r w:rsidR="008953C6">
        <w:t>a</w:t>
      </w:r>
      <w:r w:rsidR="008953C6" w:rsidRPr="00B371B9">
        <w:t xml:space="preserve">nau Ora </w:t>
      </w:r>
      <w:r w:rsidR="00ED5BF4" w:rsidRPr="00B371B9">
        <w:t>development strategy</w:t>
      </w:r>
      <w:r w:rsidR="00A36BBD" w:rsidRPr="00B371B9">
        <w:t>;</w:t>
      </w:r>
    </w:p>
    <w:p w14:paraId="3D9198A7" w14:textId="51A90989" w:rsidR="000C3EDF" w:rsidRPr="00B371B9" w:rsidRDefault="00FB6265" w:rsidP="00B57DDD">
      <w:pPr>
        <w:pStyle w:val="SingleTxtG"/>
        <w:spacing w:line="220" w:lineRule="atLeast"/>
        <w:ind w:firstLine="567"/>
      </w:pPr>
      <w:r>
        <w:t>(h)</w:t>
      </w:r>
      <w:r>
        <w:tab/>
      </w:r>
      <w:r w:rsidR="00873EA8">
        <w:t xml:space="preserve">The </w:t>
      </w:r>
      <w:r w:rsidR="007555CB" w:rsidRPr="00B371B9">
        <w:t>Youth Crime Action Plan 2013-2023</w:t>
      </w:r>
      <w:r w:rsidR="004E2927" w:rsidRPr="00B371B9">
        <w:t>;</w:t>
      </w:r>
      <w:r w:rsidR="007555CB" w:rsidRPr="00B371B9">
        <w:t xml:space="preserve"> </w:t>
      </w:r>
    </w:p>
    <w:p w14:paraId="159A23F9" w14:textId="77AFDE10" w:rsidR="000C3EDF" w:rsidRPr="00B371B9" w:rsidRDefault="00FB6265" w:rsidP="00B57DDD">
      <w:pPr>
        <w:pStyle w:val="SingleTxtG"/>
        <w:spacing w:line="220" w:lineRule="atLeast"/>
        <w:ind w:firstLine="567"/>
      </w:pPr>
      <w:r>
        <w:t>(</w:t>
      </w:r>
      <w:proofErr w:type="spellStart"/>
      <w:r>
        <w:t>i</w:t>
      </w:r>
      <w:proofErr w:type="spellEnd"/>
      <w:r>
        <w:t>)</w:t>
      </w:r>
      <w:r>
        <w:tab/>
      </w:r>
      <w:r w:rsidR="00E70116" w:rsidRPr="00B371B9">
        <w:t xml:space="preserve">He Korowai </w:t>
      </w:r>
      <w:proofErr w:type="spellStart"/>
      <w:r w:rsidR="00E70116" w:rsidRPr="00B371B9">
        <w:t>Oranga</w:t>
      </w:r>
      <w:proofErr w:type="spellEnd"/>
      <w:r w:rsidR="00E70116" w:rsidRPr="00B371B9">
        <w:t xml:space="preserve"> </w:t>
      </w:r>
      <w:r w:rsidR="00147E69">
        <w:t>(</w:t>
      </w:r>
      <w:r w:rsidR="00E70116" w:rsidRPr="00B371B9">
        <w:t xml:space="preserve">the </w:t>
      </w:r>
      <w:r w:rsidR="008B5BE3" w:rsidRPr="00B371B9">
        <w:t>M</w:t>
      </w:r>
      <w:r w:rsidR="00C87A05">
        <w:t>a</w:t>
      </w:r>
      <w:r w:rsidR="008B5BE3" w:rsidRPr="00B371B9">
        <w:t>ori</w:t>
      </w:r>
      <w:r w:rsidR="00380B03" w:rsidRPr="00B371B9">
        <w:t xml:space="preserve"> </w:t>
      </w:r>
      <w:r w:rsidR="00873EA8">
        <w:t>h</w:t>
      </w:r>
      <w:r w:rsidR="00380B03" w:rsidRPr="00B371B9">
        <w:t xml:space="preserve">ealth </w:t>
      </w:r>
      <w:r w:rsidR="00873EA8">
        <w:t>s</w:t>
      </w:r>
      <w:r w:rsidR="00147E69">
        <w:t>t</w:t>
      </w:r>
      <w:r w:rsidR="00380B03" w:rsidRPr="00B371B9">
        <w:t>rategy</w:t>
      </w:r>
      <w:r w:rsidR="00147E69">
        <w:t>)</w:t>
      </w:r>
      <w:r w:rsidR="00873EA8">
        <w:t xml:space="preserve"> </w:t>
      </w:r>
      <w:r w:rsidR="00733F31" w:rsidRPr="00B371B9">
        <w:t>and the Healthy Families NZ initiative</w:t>
      </w:r>
      <w:r w:rsidR="00380B03" w:rsidRPr="00B371B9">
        <w:t>;</w:t>
      </w:r>
      <w:r w:rsidR="00BC7A66" w:rsidRPr="00B371B9">
        <w:t xml:space="preserve"> </w:t>
      </w:r>
    </w:p>
    <w:p w14:paraId="5562D11C" w14:textId="2BC1BBD2" w:rsidR="00380B03" w:rsidRPr="00B371B9" w:rsidRDefault="00FB6265" w:rsidP="00B57DDD">
      <w:pPr>
        <w:pStyle w:val="SingleTxtG"/>
        <w:spacing w:line="220" w:lineRule="atLeast"/>
        <w:ind w:firstLine="567"/>
      </w:pPr>
      <w:r>
        <w:t>(j)</w:t>
      </w:r>
      <w:r>
        <w:tab/>
      </w:r>
      <w:r w:rsidR="00873EA8">
        <w:t xml:space="preserve">The </w:t>
      </w:r>
      <w:r w:rsidR="00380B03" w:rsidRPr="00B371B9">
        <w:t>Pacific Economic Strategy 2015-2021</w:t>
      </w:r>
      <w:r w:rsidR="00702738" w:rsidRPr="00B371B9">
        <w:t>;</w:t>
      </w:r>
    </w:p>
    <w:p w14:paraId="69173529" w14:textId="424F3643" w:rsidR="00D24ED0" w:rsidRPr="00B371B9" w:rsidRDefault="00FB6265" w:rsidP="00B57DDD">
      <w:pPr>
        <w:pStyle w:val="SingleTxtG"/>
        <w:spacing w:line="220" w:lineRule="atLeast"/>
        <w:ind w:firstLine="567"/>
      </w:pPr>
      <w:r>
        <w:t>(k)</w:t>
      </w:r>
      <w:r>
        <w:tab/>
      </w:r>
      <w:r w:rsidR="00873EA8">
        <w:t xml:space="preserve">The </w:t>
      </w:r>
      <w:r w:rsidR="006B4B92" w:rsidRPr="00B371B9">
        <w:t>$10 million fund to address M</w:t>
      </w:r>
      <w:r w:rsidR="00C87A05">
        <w:t>a</w:t>
      </w:r>
      <w:r w:rsidR="006B4B92" w:rsidRPr="00B371B9">
        <w:t xml:space="preserve">ori overrepresentation in the </w:t>
      </w:r>
      <w:r w:rsidR="00C06002">
        <w:t xml:space="preserve">criminal </w:t>
      </w:r>
      <w:r w:rsidR="006B4B92" w:rsidRPr="00B371B9">
        <w:t>justice system</w:t>
      </w:r>
      <w:r w:rsidR="00E41722">
        <w:t>.</w:t>
      </w:r>
    </w:p>
    <w:p w14:paraId="767E1A0A" w14:textId="49069503" w:rsidR="000523CF" w:rsidRPr="00B371B9" w:rsidRDefault="008A7396" w:rsidP="008A7396">
      <w:pPr>
        <w:pStyle w:val="SingleTxtG"/>
      </w:pPr>
      <w:r w:rsidRPr="00B371B9">
        <w:t>5.</w:t>
      </w:r>
      <w:r w:rsidRPr="00B371B9">
        <w:tab/>
      </w:r>
      <w:r w:rsidR="00656E53" w:rsidRPr="00B371B9">
        <w:t xml:space="preserve">The Committee notes with appreciation </w:t>
      </w:r>
      <w:r w:rsidR="00B6242D" w:rsidRPr="00B371B9">
        <w:t xml:space="preserve">the active </w:t>
      </w:r>
      <w:r w:rsidR="0038008E">
        <w:t>role of a vibrant civil society</w:t>
      </w:r>
      <w:r w:rsidR="00B6242D" w:rsidRPr="00B371B9">
        <w:t xml:space="preserve"> and of the </w:t>
      </w:r>
      <w:r w:rsidR="0038008E">
        <w:t>n</w:t>
      </w:r>
      <w:r w:rsidR="00B6242D" w:rsidRPr="00B371B9">
        <w:t xml:space="preserve">ational </w:t>
      </w:r>
      <w:r w:rsidR="0038008E">
        <w:t>h</w:t>
      </w:r>
      <w:r w:rsidR="00B6242D" w:rsidRPr="00B371B9">
        <w:t xml:space="preserve">uman </w:t>
      </w:r>
      <w:r w:rsidR="0038008E">
        <w:t>r</w:t>
      </w:r>
      <w:r w:rsidR="00B6242D" w:rsidRPr="00B371B9">
        <w:t xml:space="preserve">ights </w:t>
      </w:r>
      <w:r w:rsidR="0038008E">
        <w:t>i</w:t>
      </w:r>
      <w:r w:rsidR="00C33C7F" w:rsidRPr="00B371B9">
        <w:t>nstitution</w:t>
      </w:r>
      <w:r w:rsidR="00B6242D" w:rsidRPr="00B371B9">
        <w:t xml:space="preserve">, the Human Rights Commission, which was again </w:t>
      </w:r>
      <w:r w:rsidR="00656E53" w:rsidRPr="00B371B9">
        <w:t xml:space="preserve">assigned </w:t>
      </w:r>
      <w:r w:rsidR="00873EA8">
        <w:t>“</w:t>
      </w:r>
      <w:r w:rsidR="00656E53" w:rsidRPr="00B371B9">
        <w:t>A</w:t>
      </w:r>
      <w:r w:rsidR="00873EA8">
        <w:t>”</w:t>
      </w:r>
      <w:r w:rsidR="00656E53" w:rsidRPr="00B371B9">
        <w:t xml:space="preserve"> status by the Global Alliance o</w:t>
      </w:r>
      <w:r w:rsidR="00873EA8">
        <w:t>f</w:t>
      </w:r>
      <w:r w:rsidR="00656E53" w:rsidRPr="00B371B9">
        <w:t xml:space="preserve"> National Human Rights Institutions in May 2016.</w:t>
      </w:r>
    </w:p>
    <w:p w14:paraId="5EB9E492" w14:textId="05C2A547" w:rsidR="0099443F" w:rsidRPr="00B920D4" w:rsidRDefault="0099443F" w:rsidP="0099443F">
      <w:pPr>
        <w:pStyle w:val="H1G"/>
        <w:rPr>
          <w:sz w:val="22"/>
          <w:szCs w:val="22"/>
        </w:rPr>
      </w:pPr>
      <w:r w:rsidRPr="00B371B9">
        <w:rPr>
          <w:sz w:val="20"/>
          <w:lang w:val="en-US"/>
        </w:rPr>
        <w:tab/>
      </w:r>
      <w:r w:rsidRPr="00B920D4">
        <w:rPr>
          <w:sz w:val="22"/>
          <w:szCs w:val="22"/>
        </w:rPr>
        <w:t>C.</w:t>
      </w:r>
      <w:r w:rsidRPr="00B920D4">
        <w:rPr>
          <w:sz w:val="22"/>
          <w:szCs w:val="22"/>
        </w:rPr>
        <w:tab/>
        <w:t>Concerns and recommendations</w:t>
      </w:r>
    </w:p>
    <w:p w14:paraId="1C82A775" w14:textId="1528C244" w:rsidR="005734BD" w:rsidRPr="00B371B9" w:rsidRDefault="00A24F10" w:rsidP="00A24F10">
      <w:pPr>
        <w:pStyle w:val="H23G"/>
      </w:pPr>
      <w:r>
        <w:tab/>
      </w:r>
      <w:r>
        <w:tab/>
      </w:r>
      <w:r w:rsidR="005734BD" w:rsidRPr="00B371B9">
        <w:t xml:space="preserve">National </w:t>
      </w:r>
      <w:r w:rsidR="00CF1E05">
        <w:t>a</w:t>
      </w:r>
      <w:r w:rsidR="005734BD" w:rsidRPr="00B371B9">
        <w:t xml:space="preserve">ction </w:t>
      </w:r>
      <w:r w:rsidR="00CF1E05">
        <w:t>p</w:t>
      </w:r>
      <w:r w:rsidR="005734BD" w:rsidRPr="00B371B9">
        <w:t xml:space="preserve">lan </w:t>
      </w:r>
      <w:r w:rsidR="007750EF">
        <w:t xml:space="preserve">on </w:t>
      </w:r>
      <w:r w:rsidR="00CF1E05">
        <w:t>r</w:t>
      </w:r>
      <w:r w:rsidR="005734BD" w:rsidRPr="00B371B9">
        <w:t>acism and the Race Relations Commissioner</w:t>
      </w:r>
    </w:p>
    <w:p w14:paraId="5B5EF4FD" w14:textId="2504ED0B" w:rsidR="005734BD" w:rsidRPr="00B371B9" w:rsidRDefault="008A7396" w:rsidP="008A7396">
      <w:pPr>
        <w:pStyle w:val="SingleTxtG"/>
      </w:pPr>
      <w:r w:rsidRPr="00B371B9">
        <w:t>6.</w:t>
      </w:r>
      <w:r w:rsidRPr="00B371B9">
        <w:tab/>
      </w:r>
      <w:r w:rsidR="00936801" w:rsidRPr="00B371B9">
        <w:t xml:space="preserve">The </w:t>
      </w:r>
      <w:r w:rsidR="0026063B">
        <w:t>C</w:t>
      </w:r>
      <w:r w:rsidR="00936801" w:rsidRPr="00B371B9">
        <w:t xml:space="preserve">ommittee welcomes the continued role of the Race </w:t>
      </w:r>
      <w:r w:rsidR="00F64B65">
        <w:t xml:space="preserve">Relations </w:t>
      </w:r>
      <w:r w:rsidR="00936801" w:rsidRPr="00B371B9">
        <w:t>Commissioner</w:t>
      </w:r>
      <w:r w:rsidR="000B3B11">
        <w:t>,</w:t>
      </w:r>
      <w:r w:rsidR="00936801" w:rsidRPr="00B371B9">
        <w:t xml:space="preserve"> </w:t>
      </w:r>
      <w:r w:rsidR="003C02A2">
        <w:t>and</w:t>
      </w:r>
      <w:r w:rsidR="00EF3A55" w:rsidRPr="00B371B9">
        <w:t xml:space="preserve"> commends the work accomplished by the Commissioner during the reporting period</w:t>
      </w:r>
      <w:r w:rsidR="003737B6">
        <w:t xml:space="preserve">. However, the Committee </w:t>
      </w:r>
      <w:r w:rsidR="00C02A08">
        <w:t>is</w:t>
      </w:r>
      <w:r w:rsidR="003737B6">
        <w:t xml:space="preserve"> concerned about</w:t>
      </w:r>
      <w:r w:rsidR="00C203CA">
        <w:t xml:space="preserve"> </w:t>
      </w:r>
      <w:r w:rsidR="003737B6">
        <w:t>the lack of a current national action plan</w:t>
      </w:r>
      <w:r w:rsidR="00F8191E">
        <w:t xml:space="preserve"> on racism</w:t>
      </w:r>
      <w:r w:rsidR="003737B6">
        <w:t xml:space="preserve"> </w:t>
      </w:r>
      <w:r w:rsidR="00946DFD">
        <w:t>(art.</w:t>
      </w:r>
      <w:r w:rsidR="00A24F10">
        <w:t> </w:t>
      </w:r>
      <w:r w:rsidR="00946DFD">
        <w:t>2)</w:t>
      </w:r>
      <w:r w:rsidR="00940E24">
        <w:t>.</w:t>
      </w:r>
    </w:p>
    <w:p w14:paraId="74A90564" w14:textId="6732DAE8" w:rsidR="00EC67A0" w:rsidRDefault="008A7396" w:rsidP="008A7396">
      <w:pPr>
        <w:pStyle w:val="SingleTxtG"/>
        <w:rPr>
          <w:lang w:val="en-US"/>
        </w:rPr>
      </w:pPr>
      <w:r>
        <w:rPr>
          <w:lang w:val="en-US"/>
        </w:rPr>
        <w:t>7.</w:t>
      </w:r>
      <w:r>
        <w:rPr>
          <w:lang w:val="en-US"/>
        </w:rPr>
        <w:tab/>
      </w:r>
      <w:r w:rsidR="009231A2" w:rsidRPr="00B371B9">
        <w:rPr>
          <w:b/>
        </w:rPr>
        <w:t xml:space="preserve">Given the </w:t>
      </w:r>
      <w:r w:rsidR="00E572EB" w:rsidRPr="00B371B9">
        <w:rPr>
          <w:b/>
        </w:rPr>
        <w:t>accelerated</w:t>
      </w:r>
      <w:r w:rsidR="009231A2" w:rsidRPr="00B371B9">
        <w:rPr>
          <w:b/>
        </w:rPr>
        <w:t xml:space="preserve"> pace of demographic changes in</w:t>
      </w:r>
      <w:r w:rsidR="00CF1E05">
        <w:rPr>
          <w:b/>
        </w:rPr>
        <w:t xml:space="preserve"> the</w:t>
      </w:r>
      <w:r w:rsidR="009231A2" w:rsidRPr="00B371B9">
        <w:rPr>
          <w:b/>
        </w:rPr>
        <w:t xml:space="preserve"> </w:t>
      </w:r>
      <w:r w:rsidR="00CF1E05">
        <w:rPr>
          <w:b/>
        </w:rPr>
        <w:t>State party</w:t>
      </w:r>
      <w:r w:rsidR="009231A2" w:rsidRPr="00B371B9">
        <w:rPr>
          <w:b/>
        </w:rPr>
        <w:t>’s population</w:t>
      </w:r>
      <w:r w:rsidR="00B12FCE">
        <w:rPr>
          <w:b/>
        </w:rPr>
        <w:t>,</w:t>
      </w:r>
      <w:r w:rsidR="009231A2" w:rsidRPr="00B371B9">
        <w:rPr>
          <w:b/>
        </w:rPr>
        <w:t xml:space="preserve"> the Committee recommends that the Race Relations Commissioner play a </w:t>
      </w:r>
      <w:r w:rsidR="00E572EB" w:rsidRPr="00B371B9">
        <w:rPr>
          <w:b/>
        </w:rPr>
        <w:t>leadership</w:t>
      </w:r>
      <w:r w:rsidR="009231A2" w:rsidRPr="00B371B9">
        <w:rPr>
          <w:b/>
        </w:rPr>
        <w:t xml:space="preserve"> role in </w:t>
      </w:r>
      <w:r w:rsidR="00CC548A">
        <w:rPr>
          <w:b/>
        </w:rPr>
        <w:t>developing,</w:t>
      </w:r>
      <w:r w:rsidR="000A15D9">
        <w:rPr>
          <w:b/>
        </w:rPr>
        <w:t xml:space="preserve"> </w:t>
      </w:r>
      <w:r w:rsidR="009231A2" w:rsidRPr="00B371B9">
        <w:rPr>
          <w:b/>
        </w:rPr>
        <w:t>in consultation with all stakeholders</w:t>
      </w:r>
      <w:r w:rsidR="00CC548A">
        <w:rPr>
          <w:b/>
        </w:rPr>
        <w:t>,</w:t>
      </w:r>
      <w:r w:rsidR="009231A2" w:rsidRPr="00B371B9">
        <w:rPr>
          <w:b/>
        </w:rPr>
        <w:t xml:space="preserve"> a </w:t>
      </w:r>
      <w:r w:rsidR="00CF1E05">
        <w:rPr>
          <w:b/>
        </w:rPr>
        <w:t>n</w:t>
      </w:r>
      <w:r w:rsidR="009231A2" w:rsidRPr="00B371B9">
        <w:rPr>
          <w:b/>
        </w:rPr>
        <w:t xml:space="preserve">ational </w:t>
      </w:r>
      <w:r w:rsidR="00CF1E05">
        <w:rPr>
          <w:b/>
        </w:rPr>
        <w:t>p</w:t>
      </w:r>
      <w:r w:rsidR="009231A2" w:rsidRPr="00B371B9">
        <w:rPr>
          <w:b/>
        </w:rPr>
        <w:t xml:space="preserve">lan of </w:t>
      </w:r>
      <w:r w:rsidR="00CF1E05">
        <w:rPr>
          <w:b/>
        </w:rPr>
        <w:t>a</w:t>
      </w:r>
      <w:r w:rsidR="009231A2" w:rsidRPr="00B371B9">
        <w:rPr>
          <w:b/>
        </w:rPr>
        <w:t xml:space="preserve">ction </w:t>
      </w:r>
      <w:r w:rsidR="00CF1E05">
        <w:rPr>
          <w:b/>
        </w:rPr>
        <w:t>a</w:t>
      </w:r>
      <w:r w:rsidR="009231A2" w:rsidRPr="00B371B9">
        <w:rPr>
          <w:b/>
        </w:rPr>
        <w:t xml:space="preserve">gainst </w:t>
      </w:r>
      <w:r w:rsidR="00CF1E05">
        <w:rPr>
          <w:b/>
        </w:rPr>
        <w:t>r</w:t>
      </w:r>
      <w:r w:rsidR="009231A2" w:rsidRPr="00B371B9">
        <w:rPr>
          <w:b/>
        </w:rPr>
        <w:t xml:space="preserve">acial </w:t>
      </w:r>
      <w:r w:rsidR="00CF1E05">
        <w:rPr>
          <w:b/>
        </w:rPr>
        <w:t>d</w:t>
      </w:r>
      <w:r w:rsidR="009231A2" w:rsidRPr="00B371B9">
        <w:rPr>
          <w:b/>
        </w:rPr>
        <w:t xml:space="preserve">iscrimination and </w:t>
      </w:r>
      <w:r w:rsidR="00CF1E05">
        <w:rPr>
          <w:b/>
        </w:rPr>
        <w:t>x</w:t>
      </w:r>
      <w:r w:rsidR="009231A2" w:rsidRPr="00B371B9">
        <w:rPr>
          <w:b/>
        </w:rPr>
        <w:t xml:space="preserve">enophobia in line with the Durban Declaration and Programme of Action. The Committee calls on the State party to guarantee adequate funding for successful implementation of the </w:t>
      </w:r>
      <w:r w:rsidR="00CF1E05">
        <w:rPr>
          <w:b/>
        </w:rPr>
        <w:t>p</w:t>
      </w:r>
      <w:r w:rsidR="009231A2" w:rsidRPr="00B371B9">
        <w:rPr>
          <w:b/>
        </w:rPr>
        <w:t>lan</w:t>
      </w:r>
      <w:r w:rsidR="00955485">
        <w:rPr>
          <w:b/>
        </w:rPr>
        <w:t>.</w:t>
      </w:r>
      <w:r w:rsidR="005F72F2" w:rsidRPr="00B371B9">
        <w:rPr>
          <w:b/>
        </w:rPr>
        <w:t xml:space="preserve"> The </w:t>
      </w:r>
      <w:r w:rsidR="00CF1E05">
        <w:rPr>
          <w:b/>
        </w:rPr>
        <w:t>p</w:t>
      </w:r>
      <w:r w:rsidR="005F72F2" w:rsidRPr="00B371B9">
        <w:rPr>
          <w:b/>
        </w:rPr>
        <w:t>lan should</w:t>
      </w:r>
      <w:r w:rsidR="00696444" w:rsidRPr="00B371B9">
        <w:rPr>
          <w:b/>
        </w:rPr>
        <w:t xml:space="preserve"> include</w:t>
      </w:r>
      <w:r w:rsidR="00CF1E05">
        <w:rPr>
          <w:b/>
        </w:rPr>
        <w:t>,</w:t>
      </w:r>
      <w:r w:rsidR="00696444" w:rsidRPr="00B371B9">
        <w:rPr>
          <w:b/>
        </w:rPr>
        <w:t xml:space="preserve"> but not be limited to:</w:t>
      </w:r>
      <w:r w:rsidR="00696444" w:rsidRPr="00B371B9">
        <w:rPr>
          <w:lang w:val="en-US"/>
        </w:rPr>
        <w:t xml:space="preserve"> </w:t>
      </w:r>
    </w:p>
    <w:p w14:paraId="69E4FDA9" w14:textId="4B543724" w:rsidR="00EC67A0" w:rsidRDefault="00220104" w:rsidP="00B57DDD">
      <w:pPr>
        <w:pStyle w:val="SingleTxtG"/>
        <w:ind w:firstLine="567"/>
        <w:rPr>
          <w:lang w:val="en-US"/>
        </w:rPr>
      </w:pPr>
      <w:r w:rsidRPr="00B57DDD">
        <w:rPr>
          <w:bCs/>
          <w:lang w:val="en-US"/>
        </w:rPr>
        <w:t>(a)</w:t>
      </w:r>
      <w:r>
        <w:rPr>
          <w:b/>
          <w:bCs/>
          <w:lang w:val="en-US"/>
        </w:rPr>
        <w:tab/>
      </w:r>
      <w:r w:rsidR="00A24F10">
        <w:rPr>
          <w:b/>
          <w:bCs/>
          <w:lang w:val="en-US"/>
        </w:rPr>
        <w:t>A</w:t>
      </w:r>
      <w:r w:rsidR="00696444" w:rsidRPr="00EC67A0">
        <w:rPr>
          <w:b/>
          <w:bCs/>
          <w:lang w:val="en-US"/>
        </w:rPr>
        <w:t>ssess</w:t>
      </w:r>
      <w:r w:rsidR="00900CDB">
        <w:rPr>
          <w:b/>
          <w:bCs/>
          <w:lang w:val="en-US"/>
        </w:rPr>
        <w:t>ing</w:t>
      </w:r>
      <w:r w:rsidR="00696444" w:rsidRPr="00EC67A0">
        <w:rPr>
          <w:b/>
          <w:bCs/>
          <w:lang w:val="en-US"/>
        </w:rPr>
        <w:t xml:space="preserve"> current</w:t>
      </w:r>
      <w:r w:rsidR="00CF1E05">
        <w:rPr>
          <w:b/>
          <w:bCs/>
          <w:lang w:val="en-US"/>
        </w:rPr>
        <w:t>,</w:t>
      </w:r>
      <w:r w:rsidR="00696444" w:rsidRPr="00EC67A0">
        <w:rPr>
          <w:b/>
          <w:bCs/>
          <w:lang w:val="en-US"/>
        </w:rPr>
        <w:t xml:space="preserve"> </w:t>
      </w:r>
      <w:r w:rsidR="006922F2">
        <w:rPr>
          <w:b/>
          <w:bCs/>
          <w:lang w:val="en-US"/>
        </w:rPr>
        <w:t xml:space="preserve">and </w:t>
      </w:r>
      <w:r w:rsidR="00696444" w:rsidRPr="00EC67A0">
        <w:rPr>
          <w:b/>
          <w:bCs/>
          <w:lang w:val="en-US"/>
        </w:rPr>
        <w:t>project</w:t>
      </w:r>
      <w:r w:rsidR="00900CDB">
        <w:rPr>
          <w:b/>
          <w:bCs/>
          <w:lang w:val="en-US"/>
        </w:rPr>
        <w:t>ing</w:t>
      </w:r>
      <w:r w:rsidR="00696444" w:rsidRPr="00EC67A0">
        <w:rPr>
          <w:b/>
          <w:bCs/>
          <w:lang w:val="en-US"/>
        </w:rPr>
        <w:t xml:space="preserve"> future</w:t>
      </w:r>
      <w:r w:rsidR="00CF1E05">
        <w:rPr>
          <w:b/>
          <w:bCs/>
          <w:lang w:val="en-US"/>
        </w:rPr>
        <w:t>,</w:t>
      </w:r>
      <w:r w:rsidR="00696444" w:rsidRPr="00EC67A0">
        <w:rPr>
          <w:b/>
          <w:bCs/>
          <w:lang w:val="en-US"/>
        </w:rPr>
        <w:t xml:space="preserve"> changes in </w:t>
      </w:r>
      <w:r w:rsidR="00CF1E05">
        <w:rPr>
          <w:b/>
          <w:bCs/>
          <w:lang w:val="en-US"/>
        </w:rPr>
        <w:t>the country</w:t>
      </w:r>
      <w:r w:rsidR="003E653C">
        <w:rPr>
          <w:b/>
          <w:bCs/>
          <w:lang w:val="en-US"/>
        </w:rPr>
        <w:t>’s demographics;</w:t>
      </w:r>
    </w:p>
    <w:p w14:paraId="28CB2C88" w14:textId="7ED05449" w:rsidR="00EC67A0" w:rsidRDefault="00220104" w:rsidP="00B57DDD">
      <w:pPr>
        <w:pStyle w:val="SingleTxtG"/>
        <w:ind w:firstLine="567"/>
        <w:rPr>
          <w:lang w:val="en-US"/>
        </w:rPr>
      </w:pPr>
      <w:r w:rsidRPr="00B57DDD">
        <w:rPr>
          <w:bCs/>
          <w:lang w:val="en-US"/>
        </w:rPr>
        <w:t>(b)</w:t>
      </w:r>
      <w:r>
        <w:rPr>
          <w:b/>
          <w:bCs/>
          <w:lang w:val="en-US"/>
        </w:rPr>
        <w:tab/>
      </w:r>
      <w:r w:rsidR="00A24F10">
        <w:rPr>
          <w:b/>
          <w:bCs/>
          <w:lang w:val="en-US"/>
        </w:rPr>
        <w:t>A</w:t>
      </w:r>
      <w:r w:rsidR="00696444" w:rsidRPr="00EC67A0">
        <w:rPr>
          <w:b/>
          <w:bCs/>
          <w:lang w:val="en-US"/>
        </w:rPr>
        <w:t>ssess</w:t>
      </w:r>
      <w:r w:rsidR="00900CDB">
        <w:rPr>
          <w:b/>
          <w:bCs/>
          <w:lang w:val="en-US"/>
        </w:rPr>
        <w:t>ing</w:t>
      </w:r>
      <w:r w:rsidR="00696444" w:rsidRPr="00EC67A0">
        <w:rPr>
          <w:b/>
          <w:bCs/>
          <w:lang w:val="en-US"/>
        </w:rPr>
        <w:t xml:space="preserve"> the adequacy of current structures and processes to respond appropriately to </w:t>
      </w:r>
      <w:r w:rsidR="00CF1E05">
        <w:rPr>
          <w:b/>
          <w:bCs/>
          <w:lang w:val="en-US"/>
        </w:rPr>
        <w:t>the country</w:t>
      </w:r>
      <w:r w:rsidR="00BE263F">
        <w:rPr>
          <w:b/>
          <w:bCs/>
          <w:lang w:val="en-US"/>
        </w:rPr>
        <w:t>’s changing demographics;</w:t>
      </w:r>
    </w:p>
    <w:p w14:paraId="47DF6707" w14:textId="193E6058" w:rsidR="00EC67A0" w:rsidRDefault="00220104" w:rsidP="00B57DDD">
      <w:pPr>
        <w:pStyle w:val="SingleTxtG"/>
        <w:ind w:firstLine="567"/>
        <w:rPr>
          <w:lang w:val="en-US"/>
        </w:rPr>
      </w:pPr>
      <w:r w:rsidRPr="00B57DDD">
        <w:rPr>
          <w:bCs/>
          <w:lang w:val="en-US"/>
        </w:rPr>
        <w:t>(c)</w:t>
      </w:r>
      <w:r>
        <w:rPr>
          <w:b/>
          <w:bCs/>
          <w:lang w:val="en-US"/>
        </w:rPr>
        <w:tab/>
      </w:r>
      <w:r w:rsidR="00A24F10">
        <w:rPr>
          <w:b/>
          <w:bCs/>
          <w:lang w:val="en-US"/>
        </w:rPr>
        <w:t>M</w:t>
      </w:r>
      <w:r w:rsidR="00696444" w:rsidRPr="00EC67A0">
        <w:rPr>
          <w:b/>
          <w:bCs/>
          <w:lang w:val="en-US"/>
        </w:rPr>
        <w:t>ak</w:t>
      </w:r>
      <w:r w:rsidR="00900CDB">
        <w:rPr>
          <w:b/>
          <w:bCs/>
          <w:lang w:val="en-US"/>
        </w:rPr>
        <w:t>ing</w:t>
      </w:r>
      <w:r w:rsidR="00696444" w:rsidRPr="00EC67A0">
        <w:rPr>
          <w:b/>
          <w:bCs/>
          <w:lang w:val="en-US"/>
        </w:rPr>
        <w:t xml:space="preserve"> changes </w:t>
      </w:r>
      <w:r w:rsidR="00CF1E05" w:rsidRPr="00EC67A0">
        <w:rPr>
          <w:b/>
          <w:bCs/>
          <w:lang w:val="en-US"/>
        </w:rPr>
        <w:t xml:space="preserve">necessary </w:t>
      </w:r>
      <w:r w:rsidR="00696444" w:rsidRPr="00EC67A0">
        <w:rPr>
          <w:b/>
          <w:bCs/>
          <w:lang w:val="en-US"/>
        </w:rPr>
        <w:t>to ensure that the diversity of the population is appropriately reflected in plannin</w:t>
      </w:r>
      <w:r w:rsidR="006C0A46" w:rsidRPr="00EC67A0">
        <w:rPr>
          <w:b/>
          <w:bCs/>
          <w:lang w:val="en-US"/>
        </w:rPr>
        <w:t>g and delivery of services;</w:t>
      </w:r>
    </w:p>
    <w:p w14:paraId="7315A8DB" w14:textId="00229F39" w:rsidR="00EC67A0" w:rsidRDefault="00220104" w:rsidP="00B57DDD">
      <w:pPr>
        <w:pStyle w:val="SingleTxtG"/>
        <w:ind w:firstLine="567"/>
        <w:rPr>
          <w:lang w:val="en-US"/>
        </w:rPr>
      </w:pPr>
      <w:r w:rsidRPr="00B57DDD">
        <w:rPr>
          <w:bCs/>
          <w:lang w:val="en-US"/>
        </w:rPr>
        <w:t>(d)</w:t>
      </w:r>
      <w:r>
        <w:rPr>
          <w:b/>
          <w:bCs/>
          <w:lang w:val="en-US"/>
        </w:rPr>
        <w:tab/>
      </w:r>
      <w:r w:rsidR="00A24F10">
        <w:rPr>
          <w:b/>
          <w:bCs/>
          <w:lang w:val="en-US"/>
        </w:rPr>
        <w:t>D</w:t>
      </w:r>
      <w:r w:rsidR="00696444" w:rsidRPr="00EC67A0">
        <w:rPr>
          <w:b/>
          <w:bCs/>
          <w:lang w:val="en-US"/>
        </w:rPr>
        <w:t>evelop</w:t>
      </w:r>
      <w:r w:rsidR="00C3662A">
        <w:rPr>
          <w:b/>
          <w:bCs/>
          <w:lang w:val="en-US"/>
        </w:rPr>
        <w:t>ing</w:t>
      </w:r>
      <w:r w:rsidR="00696444" w:rsidRPr="00EC67A0">
        <w:rPr>
          <w:b/>
          <w:bCs/>
          <w:lang w:val="en-US"/>
        </w:rPr>
        <w:t xml:space="preserve"> and implement</w:t>
      </w:r>
      <w:r w:rsidR="00C3662A">
        <w:rPr>
          <w:b/>
          <w:bCs/>
          <w:lang w:val="en-US"/>
        </w:rPr>
        <w:t>ing</w:t>
      </w:r>
      <w:r w:rsidR="00696444" w:rsidRPr="00EC67A0">
        <w:rPr>
          <w:b/>
          <w:bCs/>
          <w:lang w:val="en-US"/>
        </w:rPr>
        <w:t xml:space="preserve"> measures aimed at increasing social cohesion</w:t>
      </w:r>
      <w:r w:rsidR="00060838" w:rsidRPr="00EC67A0">
        <w:rPr>
          <w:b/>
          <w:bCs/>
          <w:lang w:val="en-US"/>
        </w:rPr>
        <w:t>;</w:t>
      </w:r>
    </w:p>
    <w:p w14:paraId="2A97C50B" w14:textId="029DA118" w:rsidR="00296198" w:rsidRPr="00EC67A0" w:rsidRDefault="00220104" w:rsidP="00B57DDD">
      <w:pPr>
        <w:pStyle w:val="SingleTxtG"/>
        <w:ind w:firstLine="567"/>
        <w:rPr>
          <w:lang w:val="en-US"/>
        </w:rPr>
      </w:pPr>
      <w:r w:rsidRPr="00B57DDD">
        <w:rPr>
          <w:bCs/>
          <w:lang w:val="en-US"/>
        </w:rPr>
        <w:t>(e)</w:t>
      </w:r>
      <w:r>
        <w:rPr>
          <w:b/>
          <w:bCs/>
          <w:lang w:val="en-US"/>
        </w:rPr>
        <w:tab/>
      </w:r>
      <w:r w:rsidR="00A24F10">
        <w:rPr>
          <w:b/>
          <w:bCs/>
          <w:lang w:val="en-US"/>
        </w:rPr>
        <w:t>D</w:t>
      </w:r>
      <w:r w:rsidR="00296198" w:rsidRPr="00EC67A0">
        <w:rPr>
          <w:b/>
          <w:bCs/>
          <w:lang w:val="en-US"/>
        </w:rPr>
        <w:t>evelop</w:t>
      </w:r>
      <w:r w:rsidR="00C3662A">
        <w:rPr>
          <w:b/>
          <w:bCs/>
          <w:lang w:val="en-US"/>
        </w:rPr>
        <w:t>ing</w:t>
      </w:r>
      <w:r w:rsidR="00296198" w:rsidRPr="00EC67A0">
        <w:rPr>
          <w:b/>
          <w:bCs/>
          <w:lang w:val="en-US"/>
        </w:rPr>
        <w:t xml:space="preserve"> a comprehensive plan</w:t>
      </w:r>
      <w:r w:rsidR="00060838" w:rsidRPr="00EC67A0">
        <w:rPr>
          <w:b/>
          <w:bCs/>
          <w:lang w:val="en-US"/>
        </w:rPr>
        <w:t>, working in partnership with M</w:t>
      </w:r>
      <w:r w:rsidR="00C87A05">
        <w:rPr>
          <w:b/>
          <w:bCs/>
          <w:lang w:val="en-US"/>
        </w:rPr>
        <w:t>a</w:t>
      </w:r>
      <w:r w:rsidR="00060838" w:rsidRPr="00EC67A0">
        <w:rPr>
          <w:b/>
          <w:bCs/>
          <w:lang w:val="en-US"/>
        </w:rPr>
        <w:t xml:space="preserve">ori and other </w:t>
      </w:r>
      <w:r w:rsidR="001E1E93">
        <w:rPr>
          <w:b/>
          <w:bCs/>
          <w:lang w:val="en-US"/>
        </w:rPr>
        <w:t>relevant</w:t>
      </w:r>
      <w:r w:rsidR="001E1E93" w:rsidRPr="00EC67A0">
        <w:rPr>
          <w:b/>
          <w:bCs/>
          <w:lang w:val="en-US"/>
        </w:rPr>
        <w:t xml:space="preserve"> </w:t>
      </w:r>
      <w:r w:rsidR="00060838" w:rsidRPr="00EC67A0">
        <w:rPr>
          <w:b/>
          <w:bCs/>
          <w:lang w:val="en-US"/>
        </w:rPr>
        <w:t xml:space="preserve">groups, that </w:t>
      </w:r>
      <w:r w:rsidR="00CF1E05">
        <w:rPr>
          <w:b/>
          <w:bCs/>
          <w:lang w:val="en-US"/>
        </w:rPr>
        <w:t xml:space="preserve">can be used to </w:t>
      </w:r>
      <w:r w:rsidR="00060838" w:rsidRPr="00EC67A0">
        <w:rPr>
          <w:b/>
          <w:bCs/>
          <w:lang w:val="en-US"/>
        </w:rPr>
        <w:t>identif</w:t>
      </w:r>
      <w:r w:rsidR="00CF1E05">
        <w:rPr>
          <w:b/>
          <w:bCs/>
          <w:lang w:val="en-US"/>
        </w:rPr>
        <w:t>y</w:t>
      </w:r>
      <w:r w:rsidR="00060838" w:rsidRPr="00EC67A0">
        <w:rPr>
          <w:b/>
          <w:bCs/>
          <w:lang w:val="en-US"/>
        </w:rPr>
        <w:t xml:space="preserve"> actions, build ownership and measure results to meet the target</w:t>
      </w:r>
      <w:r w:rsidR="00491DDE">
        <w:rPr>
          <w:b/>
          <w:bCs/>
          <w:lang w:val="en-US"/>
        </w:rPr>
        <w:t>s</w:t>
      </w:r>
      <w:r w:rsidR="00060838" w:rsidRPr="00EC67A0">
        <w:rPr>
          <w:b/>
          <w:bCs/>
          <w:lang w:val="en-US"/>
        </w:rPr>
        <w:t xml:space="preserve"> of the </w:t>
      </w:r>
      <w:r w:rsidR="00F34B91">
        <w:rPr>
          <w:b/>
          <w:bCs/>
          <w:lang w:val="en-US"/>
        </w:rPr>
        <w:t>Sustainable Development Goal</w:t>
      </w:r>
      <w:r w:rsidR="000B1CEB">
        <w:rPr>
          <w:b/>
          <w:bCs/>
          <w:lang w:val="en-US"/>
        </w:rPr>
        <w:t>s</w:t>
      </w:r>
      <w:r w:rsidR="00F34B91" w:rsidRPr="00EC67A0">
        <w:rPr>
          <w:b/>
          <w:bCs/>
          <w:lang w:val="en-US"/>
        </w:rPr>
        <w:t xml:space="preserve"> </w:t>
      </w:r>
      <w:r w:rsidR="00296198" w:rsidRPr="00EC67A0">
        <w:rPr>
          <w:b/>
          <w:bCs/>
          <w:lang w:val="en-US"/>
        </w:rPr>
        <w:t xml:space="preserve">to reduce inequalities in social indicators </w:t>
      </w:r>
      <w:r w:rsidR="000333BD">
        <w:rPr>
          <w:b/>
          <w:bCs/>
          <w:lang w:val="en-US"/>
        </w:rPr>
        <w:t>among</w:t>
      </w:r>
      <w:r w:rsidR="000333BD" w:rsidRPr="00EC67A0">
        <w:rPr>
          <w:b/>
          <w:bCs/>
          <w:lang w:val="en-US"/>
        </w:rPr>
        <w:t xml:space="preserve"> </w:t>
      </w:r>
      <w:r w:rsidR="00296198" w:rsidRPr="00EC67A0">
        <w:rPr>
          <w:b/>
          <w:bCs/>
          <w:lang w:val="en-US"/>
        </w:rPr>
        <w:t>ethnic groups in the population of the Sta</w:t>
      </w:r>
      <w:r w:rsidR="006C0A46" w:rsidRPr="00EC67A0">
        <w:rPr>
          <w:b/>
          <w:bCs/>
          <w:lang w:val="en-US"/>
        </w:rPr>
        <w:t>te party with respect to health</w:t>
      </w:r>
      <w:r w:rsidR="00296198" w:rsidRPr="00EC67A0">
        <w:rPr>
          <w:b/>
          <w:bCs/>
          <w:lang w:val="en-US"/>
        </w:rPr>
        <w:t>, employment, education and housing, with special emphasis on adequate, affordable and safe housing</w:t>
      </w:r>
      <w:r w:rsidR="00127BA4" w:rsidRPr="00EC67A0">
        <w:rPr>
          <w:b/>
          <w:bCs/>
          <w:lang w:val="en-US"/>
        </w:rPr>
        <w:t xml:space="preserve"> by 2030.</w:t>
      </w:r>
      <w:r w:rsidR="00296198" w:rsidRPr="00EC67A0">
        <w:rPr>
          <w:b/>
          <w:bCs/>
          <w:lang w:val="en-US"/>
        </w:rPr>
        <w:t xml:space="preserve"> </w:t>
      </w:r>
      <w:r w:rsidR="00060838" w:rsidRPr="00EC67A0">
        <w:rPr>
          <w:b/>
          <w:bCs/>
          <w:lang w:val="en-US"/>
        </w:rPr>
        <w:t>The implementation plan should have a particular focus on security of tenure.</w:t>
      </w:r>
    </w:p>
    <w:p w14:paraId="6E92B60B" w14:textId="23FC4FD1" w:rsidR="00D74768" w:rsidRPr="00B371B9" w:rsidRDefault="00A24F10" w:rsidP="00A24F10">
      <w:pPr>
        <w:pStyle w:val="H23G"/>
      </w:pPr>
      <w:r>
        <w:tab/>
      </w:r>
      <w:r>
        <w:tab/>
      </w:r>
      <w:r w:rsidR="003D6664" w:rsidRPr="00B371B9">
        <w:t>Racist hate speech</w:t>
      </w:r>
      <w:r w:rsidR="00EB39DA" w:rsidRPr="00B371B9">
        <w:t xml:space="preserve"> and hate crimes</w:t>
      </w:r>
    </w:p>
    <w:p w14:paraId="0D5EC5B3" w14:textId="7D2A9F6C" w:rsidR="00D74768" w:rsidRPr="00B371B9" w:rsidRDefault="008A7396" w:rsidP="008A7396">
      <w:pPr>
        <w:pStyle w:val="SingleTxtG"/>
        <w:rPr>
          <w:lang w:val="en-US"/>
        </w:rPr>
      </w:pPr>
      <w:r w:rsidRPr="00B371B9">
        <w:rPr>
          <w:lang w:val="en-US"/>
        </w:rPr>
        <w:t>8.</w:t>
      </w:r>
      <w:r w:rsidRPr="00B371B9">
        <w:rPr>
          <w:lang w:val="en-US"/>
        </w:rPr>
        <w:tab/>
      </w:r>
      <w:r w:rsidR="00D74768" w:rsidRPr="00B371B9">
        <w:t>The Committee is concerned that</w:t>
      </w:r>
      <w:r w:rsidR="003E245D" w:rsidRPr="00B371B9">
        <w:t xml:space="preserve"> while</w:t>
      </w:r>
      <w:r w:rsidR="00D74768" w:rsidRPr="00B371B9">
        <w:t xml:space="preserve"> the State party’s legislation criminalizes </w:t>
      </w:r>
      <w:r w:rsidR="00DF5ABE" w:rsidRPr="00B371B9">
        <w:t>incitement of racial disharmony</w:t>
      </w:r>
      <w:r w:rsidR="000504CA" w:rsidRPr="00B371B9">
        <w:t xml:space="preserve"> and </w:t>
      </w:r>
      <w:r w:rsidR="002E126A" w:rsidRPr="00B371B9">
        <w:t>allows race-related</w:t>
      </w:r>
      <w:r w:rsidR="000504CA" w:rsidRPr="00B371B9">
        <w:t xml:space="preserve"> hostility </w:t>
      </w:r>
      <w:r w:rsidR="002E126A" w:rsidRPr="00B371B9">
        <w:t xml:space="preserve">to constitute an aggravating factor in sentencing, </w:t>
      </w:r>
      <w:r w:rsidR="00D74768" w:rsidRPr="00B371B9">
        <w:t xml:space="preserve">there were no prosecutions </w:t>
      </w:r>
      <w:r w:rsidR="009630C9" w:rsidRPr="00B371B9">
        <w:t>for incitement of racial disharmony</w:t>
      </w:r>
      <w:r w:rsidR="00D74768" w:rsidRPr="00B371B9">
        <w:t xml:space="preserve"> during the reporting period. The Committee is </w:t>
      </w:r>
      <w:r w:rsidR="00C8794D">
        <w:t xml:space="preserve">also </w:t>
      </w:r>
      <w:r w:rsidR="00D74768" w:rsidRPr="00B371B9">
        <w:t xml:space="preserve">concerned by the lack of </w:t>
      </w:r>
      <w:r w:rsidR="000B7C88" w:rsidRPr="00B371B9">
        <w:t xml:space="preserve">comprehensive statistics </w:t>
      </w:r>
      <w:r w:rsidR="00233EB2" w:rsidRPr="00B371B9">
        <w:t>relating to</w:t>
      </w:r>
      <w:r w:rsidR="00D74768" w:rsidRPr="00B371B9">
        <w:t xml:space="preserve"> p</w:t>
      </w:r>
      <w:proofErr w:type="spellStart"/>
      <w:r w:rsidR="00D74768" w:rsidRPr="00B371B9">
        <w:rPr>
          <w:lang w:val="en-US"/>
        </w:rPr>
        <w:t>rosecutions</w:t>
      </w:r>
      <w:proofErr w:type="spellEnd"/>
      <w:r w:rsidR="00D74768" w:rsidRPr="00B371B9">
        <w:rPr>
          <w:lang w:val="en-US"/>
        </w:rPr>
        <w:t xml:space="preserve">, convictions and sanctions related to </w:t>
      </w:r>
      <w:r w:rsidR="002F1368" w:rsidRPr="00B371B9">
        <w:rPr>
          <w:lang w:val="en-US"/>
        </w:rPr>
        <w:t>racist hate speech</w:t>
      </w:r>
      <w:r w:rsidR="00D74768" w:rsidRPr="00B371B9">
        <w:rPr>
          <w:lang w:val="en-US"/>
        </w:rPr>
        <w:t>.</w:t>
      </w:r>
      <w:r w:rsidR="000B7C88" w:rsidRPr="00B371B9">
        <w:rPr>
          <w:lang w:val="en-US"/>
        </w:rPr>
        <w:t xml:space="preserve"> The Committee notes with interest the State party’s current </w:t>
      </w:r>
      <w:r w:rsidR="000B7C88" w:rsidRPr="00A24F10">
        <w:t>efforts</w:t>
      </w:r>
      <w:r w:rsidR="000B7C88" w:rsidRPr="00B371B9">
        <w:rPr>
          <w:lang w:val="en-US"/>
        </w:rPr>
        <w:t xml:space="preserve"> to address </w:t>
      </w:r>
      <w:r w:rsidR="000B7C88" w:rsidRPr="00B371B9">
        <w:rPr>
          <w:lang w:val="en-US"/>
        </w:rPr>
        <w:lastRenderedPageBreak/>
        <w:t>th</w:t>
      </w:r>
      <w:r w:rsidR="00E666A7">
        <w:rPr>
          <w:lang w:val="en-US"/>
        </w:rPr>
        <w:t>o</w:t>
      </w:r>
      <w:r w:rsidR="000B7C88" w:rsidRPr="00B371B9">
        <w:rPr>
          <w:lang w:val="en-US"/>
        </w:rPr>
        <w:t>se gaps</w:t>
      </w:r>
      <w:r w:rsidR="00124B8C" w:rsidRPr="00B371B9">
        <w:rPr>
          <w:lang w:val="en-US"/>
        </w:rPr>
        <w:t xml:space="preserve">, but is concerned that existing legislation may be </w:t>
      </w:r>
      <w:r w:rsidR="00790B6A" w:rsidRPr="00B371B9">
        <w:rPr>
          <w:lang w:val="en-US"/>
        </w:rPr>
        <w:t>inadequate</w:t>
      </w:r>
      <w:r w:rsidR="00124B8C" w:rsidRPr="00B371B9">
        <w:rPr>
          <w:lang w:val="en-US"/>
        </w:rPr>
        <w:t xml:space="preserve"> to </w:t>
      </w:r>
      <w:r w:rsidR="00BD1321" w:rsidRPr="00B371B9">
        <w:rPr>
          <w:lang w:val="en-US"/>
        </w:rPr>
        <w:t xml:space="preserve">effectively </w:t>
      </w:r>
      <w:r w:rsidR="00484DE3" w:rsidRPr="00B371B9">
        <w:rPr>
          <w:lang w:val="en-US"/>
        </w:rPr>
        <w:t>combat acts of racial hatred (arts.</w:t>
      </w:r>
      <w:r w:rsidR="00F22F7D">
        <w:rPr>
          <w:lang w:val="en-US"/>
        </w:rPr>
        <w:t> 2</w:t>
      </w:r>
      <w:r w:rsidR="00E666A7">
        <w:rPr>
          <w:lang w:val="en-US"/>
        </w:rPr>
        <w:t xml:space="preserve"> and</w:t>
      </w:r>
      <w:r w:rsidR="00F22F7D">
        <w:rPr>
          <w:lang w:val="en-US"/>
        </w:rPr>
        <w:t xml:space="preserve"> 4</w:t>
      </w:r>
      <w:r w:rsidR="00484DE3" w:rsidRPr="00B371B9">
        <w:rPr>
          <w:lang w:val="en-US"/>
        </w:rPr>
        <w:t>)</w:t>
      </w:r>
      <w:r w:rsidR="00F22F7D">
        <w:rPr>
          <w:lang w:val="en-US"/>
        </w:rPr>
        <w:t>.</w:t>
      </w:r>
    </w:p>
    <w:p w14:paraId="07D327B1" w14:textId="3C50A730" w:rsidR="00CC5E22" w:rsidRPr="00B371B9" w:rsidRDefault="008A7396" w:rsidP="008A7396">
      <w:pPr>
        <w:pStyle w:val="SingleTxtG"/>
        <w:rPr>
          <w:lang w:val="en-US"/>
        </w:rPr>
      </w:pPr>
      <w:r w:rsidRPr="00B371B9">
        <w:rPr>
          <w:lang w:val="en-US"/>
        </w:rPr>
        <w:t>9.</w:t>
      </w:r>
      <w:r w:rsidRPr="00B371B9">
        <w:rPr>
          <w:lang w:val="en-US"/>
        </w:rPr>
        <w:tab/>
      </w:r>
      <w:r w:rsidR="00457787" w:rsidRPr="00A24F10">
        <w:rPr>
          <w:b/>
        </w:rPr>
        <w:t xml:space="preserve">Recalling </w:t>
      </w:r>
      <w:r w:rsidR="00457787" w:rsidRPr="00B371B9">
        <w:rPr>
          <w:b/>
        </w:rPr>
        <w:t>its general recommendation No. 35 (2013) on combating racist hate speech</w:t>
      </w:r>
      <w:r w:rsidR="00457787" w:rsidRPr="00B371B9">
        <w:rPr>
          <w:b/>
          <w:lang w:val="en-US"/>
        </w:rPr>
        <w:t>, t</w:t>
      </w:r>
      <w:r w:rsidR="00451112" w:rsidRPr="00B371B9">
        <w:rPr>
          <w:b/>
          <w:lang w:val="en-US"/>
        </w:rPr>
        <w:t>he Committee recommends</w:t>
      </w:r>
      <w:r w:rsidR="00B526BB" w:rsidRPr="00B371B9">
        <w:rPr>
          <w:b/>
          <w:lang w:val="en-US"/>
        </w:rPr>
        <w:t xml:space="preserve"> that the State party</w:t>
      </w:r>
      <w:r w:rsidR="00CC5E22" w:rsidRPr="00B371B9">
        <w:rPr>
          <w:b/>
          <w:lang w:val="en-US"/>
        </w:rPr>
        <w:t>:</w:t>
      </w:r>
    </w:p>
    <w:p w14:paraId="4AA6659A" w14:textId="647ADFB0" w:rsidR="00CC5E22" w:rsidRPr="00B371B9" w:rsidRDefault="00DA0D78" w:rsidP="00B57DDD">
      <w:pPr>
        <w:pStyle w:val="SingleTxtG"/>
        <w:ind w:firstLine="567"/>
        <w:rPr>
          <w:lang w:val="en-US"/>
        </w:rPr>
      </w:pPr>
      <w:r w:rsidRPr="00B57DDD">
        <w:rPr>
          <w:lang w:val="en-US"/>
        </w:rPr>
        <w:t>(a)</w:t>
      </w:r>
      <w:r>
        <w:rPr>
          <w:b/>
          <w:lang w:val="en-US"/>
        </w:rPr>
        <w:tab/>
      </w:r>
      <w:r w:rsidR="00A24F10">
        <w:rPr>
          <w:b/>
          <w:lang w:val="en-US"/>
        </w:rPr>
        <w:t>R</w:t>
      </w:r>
      <w:r w:rsidR="00B526BB" w:rsidRPr="00B371B9">
        <w:rPr>
          <w:b/>
          <w:lang w:val="en-US"/>
        </w:rPr>
        <w:t xml:space="preserve">eview the adequacy of current legislation in addressing and sanctioning </w:t>
      </w:r>
      <w:r w:rsidR="0026261F">
        <w:rPr>
          <w:b/>
          <w:lang w:val="en-US"/>
        </w:rPr>
        <w:t xml:space="preserve">racist </w:t>
      </w:r>
      <w:r w:rsidR="00B526BB" w:rsidRPr="00B371B9">
        <w:rPr>
          <w:b/>
          <w:lang w:val="en-US"/>
        </w:rPr>
        <w:t xml:space="preserve">hate speech and incitement to racial </w:t>
      </w:r>
      <w:r w:rsidR="002F1368" w:rsidRPr="00B371B9">
        <w:rPr>
          <w:b/>
          <w:lang w:val="en-US"/>
        </w:rPr>
        <w:t>hatred</w:t>
      </w:r>
      <w:r w:rsidR="00B526BB" w:rsidRPr="00B371B9">
        <w:rPr>
          <w:b/>
          <w:lang w:val="en-US"/>
        </w:rPr>
        <w:t xml:space="preserve">, and ensure that </w:t>
      </w:r>
      <w:r w:rsidR="00E666A7">
        <w:rPr>
          <w:b/>
          <w:lang w:val="en-US"/>
        </w:rPr>
        <w:t xml:space="preserve">the </w:t>
      </w:r>
      <w:r w:rsidR="00B526BB" w:rsidRPr="00B371B9">
        <w:rPr>
          <w:b/>
          <w:lang w:val="en-US"/>
        </w:rPr>
        <w:t>legislative framework conforms to article 4 of the Convention</w:t>
      </w:r>
      <w:r w:rsidR="00924271" w:rsidRPr="00B371B9">
        <w:rPr>
          <w:b/>
          <w:lang w:val="en-US"/>
        </w:rPr>
        <w:t>;</w:t>
      </w:r>
    </w:p>
    <w:p w14:paraId="6C94968A" w14:textId="2FCEFE0C" w:rsidR="0090154E" w:rsidRPr="00B371B9" w:rsidRDefault="00DA0D78" w:rsidP="00B57DDD">
      <w:pPr>
        <w:pStyle w:val="SingleTxtG"/>
        <w:ind w:firstLine="567"/>
        <w:rPr>
          <w:lang w:val="en-US"/>
        </w:rPr>
      </w:pPr>
      <w:r w:rsidRPr="00B57DDD">
        <w:rPr>
          <w:lang w:val="en-US"/>
        </w:rPr>
        <w:t>(b)</w:t>
      </w:r>
      <w:r>
        <w:rPr>
          <w:b/>
          <w:lang w:val="en-US"/>
        </w:rPr>
        <w:tab/>
      </w:r>
      <w:r w:rsidR="00A24F10">
        <w:rPr>
          <w:b/>
          <w:lang w:val="en-US"/>
        </w:rPr>
        <w:t>E</w:t>
      </w:r>
      <w:r w:rsidR="00230281" w:rsidRPr="00B371B9">
        <w:rPr>
          <w:b/>
          <w:lang w:val="en-US"/>
        </w:rPr>
        <w:t xml:space="preserve">nsure that all incidents of </w:t>
      </w:r>
      <w:r w:rsidR="00F50707">
        <w:rPr>
          <w:b/>
          <w:lang w:val="en-US"/>
        </w:rPr>
        <w:t xml:space="preserve">racist </w:t>
      </w:r>
      <w:r w:rsidR="00230281" w:rsidRPr="00B371B9">
        <w:rPr>
          <w:b/>
          <w:lang w:val="en-US"/>
        </w:rPr>
        <w:t xml:space="preserve">hate crimes and </w:t>
      </w:r>
      <w:r w:rsidR="00FC4BE1">
        <w:rPr>
          <w:b/>
          <w:lang w:val="en-US"/>
        </w:rPr>
        <w:t xml:space="preserve">racist </w:t>
      </w:r>
      <w:r w:rsidR="00230281" w:rsidRPr="00B371B9">
        <w:rPr>
          <w:b/>
          <w:lang w:val="en-US"/>
        </w:rPr>
        <w:t xml:space="preserve">hate speech </w:t>
      </w:r>
      <w:r w:rsidR="00FC310C" w:rsidRPr="00B371B9">
        <w:rPr>
          <w:b/>
          <w:lang w:val="en-US"/>
        </w:rPr>
        <w:t>are investigated and prosecuted</w:t>
      </w:r>
      <w:r w:rsidR="00E666A7">
        <w:rPr>
          <w:b/>
          <w:lang w:val="en-US"/>
        </w:rPr>
        <w:t>,</w:t>
      </w:r>
      <w:r w:rsidR="00FC310C" w:rsidRPr="00B371B9">
        <w:rPr>
          <w:b/>
          <w:lang w:val="en-US"/>
        </w:rPr>
        <w:t xml:space="preserve"> </w:t>
      </w:r>
      <w:r w:rsidR="00230281" w:rsidRPr="00B371B9">
        <w:rPr>
          <w:b/>
          <w:lang w:val="en-US"/>
        </w:rPr>
        <w:t>tha</w:t>
      </w:r>
      <w:r w:rsidR="00924271" w:rsidRPr="00B371B9">
        <w:rPr>
          <w:b/>
          <w:lang w:val="en-US"/>
        </w:rPr>
        <w:t xml:space="preserve">t the perpetrators are </w:t>
      </w:r>
      <w:r w:rsidR="00FC310C" w:rsidRPr="00B371B9">
        <w:rPr>
          <w:b/>
          <w:lang w:val="en-US"/>
        </w:rPr>
        <w:t>sanctioned and that victims are compensated</w:t>
      </w:r>
      <w:r w:rsidR="00924271" w:rsidRPr="00B371B9">
        <w:rPr>
          <w:b/>
          <w:lang w:val="en-US"/>
        </w:rPr>
        <w:t>;</w:t>
      </w:r>
    </w:p>
    <w:p w14:paraId="1B6024EB" w14:textId="2E44C87C" w:rsidR="0094100C" w:rsidRPr="00B371B9" w:rsidRDefault="00DA0D78" w:rsidP="00B57DDD">
      <w:pPr>
        <w:pStyle w:val="SingleTxtG"/>
        <w:ind w:firstLine="567"/>
        <w:rPr>
          <w:lang w:val="en-US"/>
        </w:rPr>
      </w:pPr>
      <w:r w:rsidRPr="00B57DDD">
        <w:rPr>
          <w:lang w:val="en-US"/>
        </w:rPr>
        <w:t>(c)</w:t>
      </w:r>
      <w:r>
        <w:rPr>
          <w:b/>
          <w:lang w:val="en-US"/>
        </w:rPr>
        <w:tab/>
      </w:r>
      <w:r w:rsidR="00A24F10">
        <w:rPr>
          <w:b/>
          <w:lang w:val="en-US"/>
        </w:rPr>
        <w:t>S</w:t>
      </w:r>
      <w:r w:rsidR="00F53F34" w:rsidRPr="00B371B9">
        <w:rPr>
          <w:b/>
          <w:lang w:val="en-US"/>
        </w:rPr>
        <w:t xml:space="preserve">et as a government priority </w:t>
      </w:r>
      <w:r w:rsidR="007919F0">
        <w:rPr>
          <w:b/>
          <w:lang w:val="en-US"/>
        </w:rPr>
        <w:t>the collection of</w:t>
      </w:r>
      <w:r w:rsidR="00F53F34" w:rsidRPr="00B371B9">
        <w:rPr>
          <w:b/>
          <w:lang w:val="en-US"/>
        </w:rPr>
        <w:t xml:space="preserve"> reliable and comprehensive </w:t>
      </w:r>
      <w:r w:rsidR="005425CF" w:rsidRPr="00B371B9">
        <w:rPr>
          <w:b/>
          <w:lang w:val="en-US"/>
        </w:rPr>
        <w:t>statistics</w:t>
      </w:r>
      <w:r w:rsidR="002F1368" w:rsidRPr="00B371B9">
        <w:rPr>
          <w:b/>
          <w:lang w:val="en-US"/>
        </w:rPr>
        <w:t xml:space="preserve">, disaggregated by </w:t>
      </w:r>
      <w:r w:rsidR="00E666A7">
        <w:rPr>
          <w:b/>
          <w:lang w:val="en-US"/>
        </w:rPr>
        <w:t xml:space="preserve">the </w:t>
      </w:r>
      <w:r w:rsidR="002F1368" w:rsidRPr="00B371B9">
        <w:rPr>
          <w:b/>
          <w:lang w:val="en-US"/>
        </w:rPr>
        <w:t>ethnicity of the victim</w:t>
      </w:r>
      <w:r w:rsidR="00233EB2" w:rsidRPr="00B371B9">
        <w:rPr>
          <w:b/>
          <w:lang w:val="en-US"/>
        </w:rPr>
        <w:t>s</w:t>
      </w:r>
      <w:r w:rsidR="002F1368" w:rsidRPr="00B371B9">
        <w:rPr>
          <w:b/>
          <w:lang w:val="en-US"/>
        </w:rPr>
        <w:t>,</w:t>
      </w:r>
      <w:r w:rsidR="005425CF" w:rsidRPr="00B371B9">
        <w:rPr>
          <w:b/>
          <w:lang w:val="en-US"/>
        </w:rPr>
        <w:t xml:space="preserve"> concerning </w:t>
      </w:r>
      <w:r w:rsidR="003D6664" w:rsidRPr="00B371B9">
        <w:rPr>
          <w:b/>
          <w:lang w:val="en-US"/>
        </w:rPr>
        <w:t xml:space="preserve">investigations, prosecutions, convictions and sanctions for racist hate speech </w:t>
      </w:r>
      <w:r w:rsidR="00667699" w:rsidRPr="00B371B9">
        <w:rPr>
          <w:b/>
          <w:lang w:val="en-US"/>
        </w:rPr>
        <w:t>and incitement to racial hatred</w:t>
      </w:r>
      <w:r w:rsidR="00E666A7">
        <w:rPr>
          <w:b/>
          <w:lang w:val="en-US"/>
        </w:rPr>
        <w:t>,</w:t>
      </w:r>
      <w:r w:rsidR="00124B04">
        <w:rPr>
          <w:b/>
          <w:lang w:val="en-US"/>
        </w:rPr>
        <w:t xml:space="preserve"> and provide</w:t>
      </w:r>
      <w:r w:rsidR="00F53F34" w:rsidRPr="00B371B9">
        <w:rPr>
          <w:b/>
          <w:lang w:val="en-US"/>
        </w:rPr>
        <w:t xml:space="preserve"> </w:t>
      </w:r>
      <w:r w:rsidR="00E666A7">
        <w:rPr>
          <w:b/>
          <w:lang w:val="en-US"/>
        </w:rPr>
        <w:t>such</w:t>
      </w:r>
      <w:r w:rsidR="00E666A7" w:rsidRPr="00B371B9">
        <w:rPr>
          <w:b/>
          <w:lang w:val="en-US"/>
        </w:rPr>
        <w:t xml:space="preserve"> </w:t>
      </w:r>
      <w:r w:rsidR="00F53F34" w:rsidRPr="00B371B9">
        <w:rPr>
          <w:b/>
          <w:lang w:val="en-US"/>
        </w:rPr>
        <w:t>data in the next periodic report.</w:t>
      </w:r>
    </w:p>
    <w:p w14:paraId="7201E738" w14:textId="2606ED73" w:rsidR="00451112" w:rsidRPr="00B371B9" w:rsidRDefault="00A24F10" w:rsidP="00A24F10">
      <w:pPr>
        <w:pStyle w:val="H23G"/>
        <w:rPr>
          <w:lang w:val="en-US"/>
        </w:rPr>
      </w:pPr>
      <w:r>
        <w:rPr>
          <w:lang w:val="en-US"/>
        </w:rPr>
        <w:tab/>
      </w:r>
      <w:r>
        <w:rPr>
          <w:lang w:val="en-US"/>
        </w:rPr>
        <w:tab/>
      </w:r>
      <w:r w:rsidR="00461142" w:rsidRPr="00B371B9">
        <w:rPr>
          <w:lang w:val="en-US"/>
        </w:rPr>
        <w:t>Ac</w:t>
      </w:r>
      <w:r w:rsidR="007C2FFB" w:rsidRPr="00B371B9">
        <w:rPr>
          <w:lang w:val="en-US"/>
        </w:rPr>
        <w:t>ts</w:t>
      </w:r>
      <w:r w:rsidR="00F633BD" w:rsidRPr="00B371B9">
        <w:rPr>
          <w:lang w:val="en-US"/>
        </w:rPr>
        <w:t xml:space="preserve"> of racial discrimination</w:t>
      </w:r>
    </w:p>
    <w:p w14:paraId="4E104535" w14:textId="4845E435" w:rsidR="00451112" w:rsidRPr="00B371B9" w:rsidRDefault="008A7396" w:rsidP="008A7396">
      <w:pPr>
        <w:pStyle w:val="SingleTxtG"/>
        <w:rPr>
          <w:lang w:val="en-US"/>
        </w:rPr>
      </w:pPr>
      <w:r w:rsidRPr="00B371B9">
        <w:rPr>
          <w:lang w:val="en-US"/>
        </w:rPr>
        <w:t>10.</w:t>
      </w:r>
      <w:r w:rsidRPr="00B371B9">
        <w:rPr>
          <w:lang w:val="en-US"/>
        </w:rPr>
        <w:tab/>
      </w:r>
      <w:r w:rsidR="006A7273" w:rsidRPr="00F7333D">
        <w:rPr>
          <w:lang w:val="en-US"/>
        </w:rPr>
        <w:t>The Committee notes with concern that while the Human Rights Commission has received many race-based discrimination complaints in recent years, including over 400</w:t>
      </w:r>
      <w:r w:rsidR="00B50ABF">
        <w:rPr>
          <w:lang w:val="en-US"/>
        </w:rPr>
        <w:t> </w:t>
      </w:r>
      <w:r w:rsidR="006A7273" w:rsidRPr="00F7333D">
        <w:rPr>
          <w:lang w:val="en-US"/>
        </w:rPr>
        <w:t xml:space="preserve">complaints alleging employment or pre-employment discrimination, human trafficking or harassment, the number of relevant investigations conducted and sanctions imposed is not clear from the information provided by the State party, and the Employment Relations Authority determined only six personal grievance cases featuring claims of racial discrimination or harassment, one of which was upheld. The Committee is also concerned about the lack of </w:t>
      </w:r>
      <w:proofErr w:type="spellStart"/>
      <w:r w:rsidR="006A7273" w:rsidRPr="00F7333D">
        <w:rPr>
          <w:lang w:val="en-US"/>
        </w:rPr>
        <w:t>labo</w:t>
      </w:r>
      <w:r w:rsidR="00E666A7">
        <w:rPr>
          <w:lang w:val="en-US"/>
        </w:rPr>
        <w:t>u</w:t>
      </w:r>
      <w:r w:rsidR="006A7273" w:rsidRPr="00F7333D">
        <w:rPr>
          <w:lang w:val="en-US"/>
        </w:rPr>
        <w:t>r</w:t>
      </w:r>
      <w:proofErr w:type="spellEnd"/>
      <w:r w:rsidR="00E666A7">
        <w:rPr>
          <w:lang w:val="en-US"/>
        </w:rPr>
        <w:t>-</w:t>
      </w:r>
      <w:r w:rsidR="006A7273" w:rsidRPr="00F7333D">
        <w:rPr>
          <w:lang w:val="en-US"/>
        </w:rPr>
        <w:t xml:space="preserve">inspection data </w:t>
      </w:r>
      <w:r w:rsidR="00AD6FD1">
        <w:rPr>
          <w:lang w:val="en-US"/>
        </w:rPr>
        <w:t>in</w:t>
      </w:r>
      <w:r w:rsidR="006A7273" w:rsidRPr="00F7333D">
        <w:rPr>
          <w:lang w:val="en-US"/>
        </w:rPr>
        <w:t xml:space="preserve"> the State party</w:t>
      </w:r>
      <w:r w:rsidR="00AD6FD1">
        <w:rPr>
          <w:lang w:val="en-US"/>
        </w:rPr>
        <w:t>’s report</w:t>
      </w:r>
      <w:r w:rsidR="00F22F7D">
        <w:rPr>
          <w:lang w:val="en-US"/>
        </w:rPr>
        <w:t xml:space="preserve"> (arts. </w:t>
      </w:r>
      <w:r w:rsidR="00484DE3" w:rsidRPr="00B371B9">
        <w:rPr>
          <w:lang w:val="en-US"/>
        </w:rPr>
        <w:t>2, 5</w:t>
      </w:r>
      <w:r w:rsidR="00E666A7">
        <w:rPr>
          <w:lang w:val="en-US"/>
        </w:rPr>
        <w:t xml:space="preserve"> and</w:t>
      </w:r>
      <w:r w:rsidR="00484DE3" w:rsidRPr="00B371B9">
        <w:rPr>
          <w:lang w:val="en-US"/>
        </w:rPr>
        <w:t xml:space="preserve"> 6)</w:t>
      </w:r>
      <w:r w:rsidR="00F22F7D">
        <w:rPr>
          <w:lang w:val="en-US"/>
        </w:rPr>
        <w:t>.</w:t>
      </w:r>
      <w:r w:rsidR="001940E7" w:rsidRPr="00B371B9">
        <w:rPr>
          <w:lang w:val="en-US"/>
        </w:rPr>
        <w:t xml:space="preserve"> </w:t>
      </w:r>
    </w:p>
    <w:p w14:paraId="613BD174" w14:textId="6AB54C88" w:rsidR="00451112" w:rsidRPr="00B371B9" w:rsidRDefault="008A7396" w:rsidP="008A7396">
      <w:pPr>
        <w:pStyle w:val="SingleTxtG"/>
        <w:rPr>
          <w:b/>
          <w:lang w:val="en-US"/>
        </w:rPr>
      </w:pPr>
      <w:r w:rsidRPr="00B371B9">
        <w:rPr>
          <w:lang w:val="en-US"/>
        </w:rPr>
        <w:t>11.</w:t>
      </w:r>
      <w:r w:rsidRPr="00B371B9">
        <w:rPr>
          <w:lang w:val="en-US"/>
        </w:rPr>
        <w:tab/>
      </w:r>
      <w:r w:rsidR="008A35E8" w:rsidRPr="00B371B9">
        <w:rPr>
          <w:b/>
          <w:lang w:val="en-US"/>
        </w:rPr>
        <w:t>The Committee recommends</w:t>
      </w:r>
      <w:r w:rsidR="000417BC" w:rsidRPr="00B371B9">
        <w:rPr>
          <w:b/>
          <w:lang w:val="en-US"/>
        </w:rPr>
        <w:t xml:space="preserve"> th</w:t>
      </w:r>
      <w:r w:rsidR="0021468A">
        <w:rPr>
          <w:b/>
          <w:lang w:val="en-US"/>
        </w:rPr>
        <w:t>at</w:t>
      </w:r>
      <w:r w:rsidR="000417BC" w:rsidRPr="00B371B9">
        <w:rPr>
          <w:b/>
          <w:lang w:val="en-US"/>
        </w:rPr>
        <w:t xml:space="preserve"> </w:t>
      </w:r>
      <w:r w:rsidR="009937F7">
        <w:rPr>
          <w:b/>
          <w:lang w:val="en-US"/>
        </w:rPr>
        <w:t xml:space="preserve">the </w:t>
      </w:r>
      <w:r w:rsidR="000417BC" w:rsidRPr="00B371B9">
        <w:rPr>
          <w:b/>
          <w:lang w:val="en-US"/>
        </w:rPr>
        <w:t>State party</w:t>
      </w:r>
      <w:r w:rsidR="00B12FCE">
        <w:rPr>
          <w:b/>
          <w:lang w:val="en-US"/>
        </w:rPr>
        <w:t xml:space="preserve"> </w:t>
      </w:r>
      <w:r w:rsidR="000417BC" w:rsidRPr="00B371B9">
        <w:rPr>
          <w:b/>
          <w:lang w:val="en-US"/>
        </w:rPr>
        <w:t xml:space="preserve">ensure that </w:t>
      </w:r>
      <w:r w:rsidR="00043D2F" w:rsidRPr="00B371B9">
        <w:rPr>
          <w:b/>
          <w:lang w:val="en-US"/>
        </w:rPr>
        <w:t xml:space="preserve">acts of racial </w:t>
      </w:r>
      <w:r w:rsidR="00043D2F" w:rsidRPr="00A24F10">
        <w:rPr>
          <w:b/>
        </w:rPr>
        <w:t>discrimination</w:t>
      </w:r>
      <w:r w:rsidR="00043D2F" w:rsidRPr="00B371B9">
        <w:rPr>
          <w:b/>
          <w:lang w:val="en-US"/>
        </w:rPr>
        <w:t xml:space="preserve"> are investigated</w:t>
      </w:r>
      <w:r w:rsidR="00E666A7">
        <w:rPr>
          <w:b/>
          <w:lang w:val="en-US"/>
        </w:rPr>
        <w:t xml:space="preserve"> and that the perpetrators are</w:t>
      </w:r>
      <w:r w:rsidR="00043D2F" w:rsidRPr="00B371B9">
        <w:rPr>
          <w:b/>
          <w:lang w:val="en-US"/>
        </w:rPr>
        <w:t xml:space="preserve"> prosecuted and sanctioned</w:t>
      </w:r>
      <w:r w:rsidR="009937F7">
        <w:rPr>
          <w:b/>
          <w:lang w:val="en-US"/>
        </w:rPr>
        <w:t xml:space="preserve">. The State party is requested to provide </w:t>
      </w:r>
      <w:r w:rsidR="00CF50EC">
        <w:rPr>
          <w:b/>
          <w:lang w:val="en-US"/>
        </w:rPr>
        <w:t>in its next periodic report</w:t>
      </w:r>
      <w:r w:rsidR="00EC4F00">
        <w:rPr>
          <w:b/>
          <w:lang w:val="en-US"/>
        </w:rPr>
        <w:t xml:space="preserve"> </w:t>
      </w:r>
      <w:r w:rsidR="00C06A6B">
        <w:rPr>
          <w:b/>
          <w:lang w:val="en-US"/>
        </w:rPr>
        <w:t>information on</w:t>
      </w:r>
      <w:r w:rsidR="00EC4F00">
        <w:rPr>
          <w:b/>
          <w:lang w:val="en-US"/>
        </w:rPr>
        <w:t>:</w:t>
      </w:r>
      <w:r w:rsidR="00C06A6B">
        <w:rPr>
          <w:b/>
          <w:lang w:val="en-US"/>
        </w:rPr>
        <w:t xml:space="preserve"> </w:t>
      </w:r>
      <w:proofErr w:type="spellStart"/>
      <w:r w:rsidR="009937F7">
        <w:rPr>
          <w:b/>
          <w:lang w:val="en-US"/>
        </w:rPr>
        <w:t>labour</w:t>
      </w:r>
      <w:proofErr w:type="spellEnd"/>
      <w:r w:rsidR="009937F7">
        <w:rPr>
          <w:b/>
          <w:lang w:val="en-US"/>
        </w:rPr>
        <w:t xml:space="preserve"> inspections and other administrative or legal proc</w:t>
      </w:r>
      <w:r w:rsidR="00124325">
        <w:rPr>
          <w:b/>
          <w:lang w:val="en-US"/>
        </w:rPr>
        <w:t xml:space="preserve">edures </w:t>
      </w:r>
      <w:r w:rsidR="00E666A7">
        <w:rPr>
          <w:b/>
          <w:lang w:val="en-US"/>
        </w:rPr>
        <w:t xml:space="preserve">relating to </w:t>
      </w:r>
      <w:r w:rsidR="00124325">
        <w:rPr>
          <w:b/>
          <w:lang w:val="en-US"/>
        </w:rPr>
        <w:t>racial discrimination;</w:t>
      </w:r>
      <w:r w:rsidR="009937F7">
        <w:rPr>
          <w:b/>
          <w:lang w:val="en-US"/>
        </w:rPr>
        <w:t xml:space="preserve"> </w:t>
      </w:r>
      <w:r w:rsidR="00124325">
        <w:rPr>
          <w:b/>
          <w:lang w:val="en-US"/>
        </w:rPr>
        <w:t>cases on</w:t>
      </w:r>
      <w:r w:rsidR="009937F7">
        <w:rPr>
          <w:b/>
          <w:lang w:val="en-US"/>
        </w:rPr>
        <w:t xml:space="preserve"> </w:t>
      </w:r>
      <w:proofErr w:type="spellStart"/>
      <w:r w:rsidR="009937F7">
        <w:rPr>
          <w:b/>
          <w:lang w:val="en-US"/>
        </w:rPr>
        <w:t>labour</w:t>
      </w:r>
      <w:proofErr w:type="spellEnd"/>
      <w:r w:rsidR="009937F7">
        <w:rPr>
          <w:b/>
          <w:lang w:val="en-US"/>
        </w:rPr>
        <w:t xml:space="preserve"> conditions, harassment</w:t>
      </w:r>
      <w:r w:rsidR="00124325">
        <w:rPr>
          <w:b/>
          <w:lang w:val="en-US"/>
        </w:rPr>
        <w:t xml:space="preserve"> or</w:t>
      </w:r>
      <w:r w:rsidR="009937F7">
        <w:rPr>
          <w:b/>
          <w:lang w:val="en-US"/>
        </w:rPr>
        <w:t xml:space="preserve"> human trafficking; data on inspection visits, violations detected and sanctions or penaltie</w:t>
      </w:r>
      <w:r w:rsidR="007D6E19">
        <w:rPr>
          <w:b/>
          <w:lang w:val="en-US"/>
        </w:rPr>
        <w:t xml:space="preserve">s </w:t>
      </w:r>
      <w:r w:rsidR="00674371">
        <w:rPr>
          <w:b/>
          <w:lang w:val="en-US"/>
        </w:rPr>
        <w:t>imposed during</w:t>
      </w:r>
      <w:r w:rsidR="009937F7">
        <w:rPr>
          <w:b/>
          <w:lang w:val="en-US"/>
        </w:rPr>
        <w:t xml:space="preserve"> the re</w:t>
      </w:r>
      <w:r w:rsidR="00857072">
        <w:rPr>
          <w:b/>
          <w:lang w:val="en-US"/>
        </w:rPr>
        <w:t>porting</w:t>
      </w:r>
      <w:r w:rsidR="009937F7">
        <w:rPr>
          <w:b/>
          <w:lang w:val="en-US"/>
        </w:rPr>
        <w:t xml:space="preserve"> period</w:t>
      </w:r>
      <w:r w:rsidR="0047090F">
        <w:rPr>
          <w:b/>
          <w:lang w:val="en-US"/>
        </w:rPr>
        <w:t>;</w:t>
      </w:r>
      <w:r w:rsidR="009937F7">
        <w:rPr>
          <w:b/>
          <w:lang w:val="en-US"/>
        </w:rPr>
        <w:t xml:space="preserve"> and compensation provided to victims, disaggregated</w:t>
      </w:r>
      <w:r w:rsidR="00E666A7">
        <w:rPr>
          <w:b/>
          <w:lang w:val="en-US"/>
        </w:rPr>
        <w:t>,</w:t>
      </w:r>
      <w:r w:rsidR="009937F7">
        <w:rPr>
          <w:b/>
          <w:lang w:val="en-US"/>
        </w:rPr>
        <w:t xml:space="preserve"> </w:t>
      </w:r>
      <w:r w:rsidR="00387B3F">
        <w:rPr>
          <w:b/>
          <w:lang w:val="en-US"/>
        </w:rPr>
        <w:t>inter alia</w:t>
      </w:r>
      <w:r w:rsidR="00E666A7">
        <w:rPr>
          <w:b/>
          <w:lang w:val="en-US"/>
        </w:rPr>
        <w:t>,</w:t>
      </w:r>
      <w:r w:rsidR="009937F7">
        <w:rPr>
          <w:b/>
          <w:lang w:val="en-US"/>
        </w:rPr>
        <w:t xml:space="preserve"> by year, type of violation</w:t>
      </w:r>
      <w:r w:rsidR="00E666A7">
        <w:rPr>
          <w:b/>
          <w:lang w:val="en-US"/>
        </w:rPr>
        <w:t xml:space="preserve"> and</w:t>
      </w:r>
      <w:r w:rsidR="009937F7">
        <w:rPr>
          <w:b/>
          <w:lang w:val="en-US"/>
        </w:rPr>
        <w:t xml:space="preserve"> age, sex, national origin and ethnic origin of the victim.</w:t>
      </w:r>
      <w:r w:rsidR="00FB6265">
        <w:rPr>
          <w:b/>
          <w:lang w:val="en-US"/>
        </w:rPr>
        <w:t xml:space="preserve"> </w:t>
      </w:r>
    </w:p>
    <w:p w14:paraId="39892FE5" w14:textId="360C86EB" w:rsidR="00993803" w:rsidRPr="00B371B9" w:rsidRDefault="00A24F10" w:rsidP="00A24F10">
      <w:pPr>
        <w:pStyle w:val="H23G"/>
        <w:rPr>
          <w:lang w:val="en-US"/>
        </w:rPr>
      </w:pPr>
      <w:r>
        <w:rPr>
          <w:lang w:val="en-US"/>
        </w:rPr>
        <w:tab/>
      </w:r>
      <w:r>
        <w:rPr>
          <w:lang w:val="en-US"/>
        </w:rPr>
        <w:tab/>
      </w:r>
      <w:r w:rsidR="00301552" w:rsidRPr="00B371B9">
        <w:rPr>
          <w:lang w:val="en-US"/>
        </w:rPr>
        <w:t>Treaty of Waitangi</w:t>
      </w:r>
    </w:p>
    <w:p w14:paraId="5EFF3A82" w14:textId="13FCF7A6" w:rsidR="00544212" w:rsidRPr="00B371B9" w:rsidRDefault="008A7396" w:rsidP="008A7396">
      <w:pPr>
        <w:pStyle w:val="SingleTxtG"/>
        <w:rPr>
          <w:lang w:val="en-US"/>
        </w:rPr>
      </w:pPr>
      <w:r w:rsidRPr="00B371B9">
        <w:rPr>
          <w:lang w:val="en-US"/>
        </w:rPr>
        <w:t>12.</w:t>
      </w:r>
      <w:r w:rsidRPr="00B371B9">
        <w:rPr>
          <w:lang w:val="en-US"/>
        </w:rPr>
        <w:tab/>
      </w:r>
      <w:r w:rsidR="00925996" w:rsidRPr="00A24F10">
        <w:t>T</w:t>
      </w:r>
      <w:r w:rsidR="000F54BF" w:rsidRPr="00A24F10">
        <w:t>he</w:t>
      </w:r>
      <w:r w:rsidR="000F54BF" w:rsidRPr="00B371B9">
        <w:rPr>
          <w:lang w:val="en-US"/>
        </w:rPr>
        <w:t xml:space="preserve"> Committee </w:t>
      </w:r>
      <w:r w:rsidR="004A702E">
        <w:rPr>
          <w:lang w:val="en-US"/>
        </w:rPr>
        <w:t xml:space="preserve">is concerned by the apparent </w:t>
      </w:r>
      <w:r w:rsidR="007855D9" w:rsidRPr="00B371B9">
        <w:rPr>
          <w:lang w:val="en-US"/>
        </w:rPr>
        <w:t xml:space="preserve">lack of progress in </w:t>
      </w:r>
      <w:r w:rsidR="00E666A7">
        <w:rPr>
          <w:lang w:val="en-US"/>
        </w:rPr>
        <w:t xml:space="preserve">the </w:t>
      </w:r>
      <w:r w:rsidR="0075233B" w:rsidRPr="00B371B9">
        <w:rPr>
          <w:lang w:val="en-US"/>
        </w:rPr>
        <w:t>implementation of</w:t>
      </w:r>
      <w:r w:rsidR="00D70B75" w:rsidRPr="00B371B9">
        <w:rPr>
          <w:lang w:val="en-US"/>
        </w:rPr>
        <w:t xml:space="preserve"> the 2013 recommendations of the Constitutional Advisory Panel</w:t>
      </w:r>
      <w:r w:rsidR="00507E12" w:rsidRPr="00B371B9">
        <w:rPr>
          <w:lang w:val="en-US"/>
        </w:rPr>
        <w:t xml:space="preserve"> concerning the Treaty</w:t>
      </w:r>
      <w:r w:rsidR="002E5B90">
        <w:rPr>
          <w:lang w:val="en-US"/>
        </w:rPr>
        <w:t xml:space="preserve"> </w:t>
      </w:r>
      <w:r w:rsidR="002E5B90" w:rsidRPr="00B371B9">
        <w:rPr>
          <w:lang w:val="en-US"/>
        </w:rPr>
        <w:t>of Waitangi</w:t>
      </w:r>
      <w:r w:rsidR="00365DF6" w:rsidRPr="00B371B9">
        <w:rPr>
          <w:lang w:val="en-US"/>
        </w:rPr>
        <w:t xml:space="preserve">. </w:t>
      </w:r>
      <w:r w:rsidR="008E11A8">
        <w:rPr>
          <w:lang w:val="en-US"/>
        </w:rPr>
        <w:t>It</w:t>
      </w:r>
      <w:r w:rsidR="00F86658" w:rsidRPr="00B371B9">
        <w:rPr>
          <w:lang w:val="en-US"/>
        </w:rPr>
        <w:t xml:space="preserve"> notes</w:t>
      </w:r>
      <w:r w:rsidR="007039C3">
        <w:rPr>
          <w:lang w:val="en-US"/>
        </w:rPr>
        <w:t xml:space="preserve"> that</w:t>
      </w:r>
      <w:r w:rsidR="00F86658" w:rsidRPr="00B371B9">
        <w:rPr>
          <w:lang w:val="en-US"/>
        </w:rPr>
        <w:t xml:space="preserve"> </w:t>
      </w:r>
      <w:r w:rsidR="005936AB" w:rsidRPr="00B371B9">
        <w:rPr>
          <w:lang w:val="en-US"/>
        </w:rPr>
        <w:t>an independent, M</w:t>
      </w:r>
      <w:r w:rsidR="00C87A05">
        <w:rPr>
          <w:lang w:val="en-US"/>
        </w:rPr>
        <w:t>a</w:t>
      </w:r>
      <w:r w:rsidR="005936AB" w:rsidRPr="00B371B9">
        <w:rPr>
          <w:lang w:val="en-US"/>
        </w:rPr>
        <w:t>ori-led initiative</w:t>
      </w:r>
      <w:r w:rsidR="002E5B90">
        <w:rPr>
          <w:lang w:val="en-US"/>
        </w:rPr>
        <w:t xml:space="preserve">, </w:t>
      </w:r>
      <w:proofErr w:type="spellStart"/>
      <w:r w:rsidR="002E5B90" w:rsidRPr="00B371B9">
        <w:rPr>
          <w:lang w:val="en-US"/>
        </w:rPr>
        <w:t>Matike</w:t>
      </w:r>
      <w:proofErr w:type="spellEnd"/>
      <w:r w:rsidR="002E5B90" w:rsidRPr="00B371B9">
        <w:rPr>
          <w:lang w:val="en-US"/>
        </w:rPr>
        <w:t xml:space="preserve"> Mai </w:t>
      </w:r>
      <w:proofErr w:type="spellStart"/>
      <w:r w:rsidR="002E5B90" w:rsidRPr="00B371B9">
        <w:rPr>
          <w:lang w:val="en-US"/>
        </w:rPr>
        <w:t>Aotearoa</w:t>
      </w:r>
      <w:proofErr w:type="spellEnd"/>
      <w:r w:rsidR="002E5B90">
        <w:rPr>
          <w:lang w:val="en-US"/>
        </w:rPr>
        <w:t>,</w:t>
      </w:r>
      <w:r w:rsidR="005936AB" w:rsidRPr="00B371B9">
        <w:rPr>
          <w:lang w:val="en-US"/>
        </w:rPr>
        <w:t xml:space="preserve"> has also undertaken wide-ranging consultation and issued its own </w:t>
      </w:r>
      <w:bookmarkStart w:id="1" w:name="_Hlk490982937"/>
      <w:r w:rsidR="005936AB" w:rsidRPr="00B371B9">
        <w:rPr>
          <w:lang w:val="en-US"/>
        </w:rPr>
        <w:t>report</w:t>
      </w:r>
      <w:r w:rsidR="00AE470C">
        <w:rPr>
          <w:lang w:val="en-US"/>
        </w:rPr>
        <w:t>,</w:t>
      </w:r>
      <w:r w:rsidR="005936AB" w:rsidRPr="00B371B9">
        <w:rPr>
          <w:lang w:val="en-US"/>
        </w:rPr>
        <w:t xml:space="preserve"> </w:t>
      </w:r>
      <w:r w:rsidR="002E5B90">
        <w:rPr>
          <w:lang w:val="en-US"/>
        </w:rPr>
        <w:t>in</w:t>
      </w:r>
      <w:r w:rsidR="005936AB" w:rsidRPr="00B371B9">
        <w:rPr>
          <w:lang w:val="en-US"/>
        </w:rPr>
        <w:t xml:space="preserve"> </w:t>
      </w:r>
      <w:bookmarkEnd w:id="1"/>
      <w:r w:rsidR="005936AB" w:rsidRPr="00B371B9">
        <w:rPr>
          <w:lang w:val="en-US"/>
        </w:rPr>
        <w:t xml:space="preserve">which </w:t>
      </w:r>
      <w:r w:rsidR="002E5B90">
        <w:rPr>
          <w:lang w:val="en-US"/>
        </w:rPr>
        <w:t xml:space="preserve">it </w:t>
      </w:r>
      <w:r w:rsidR="005936AB" w:rsidRPr="00B371B9">
        <w:rPr>
          <w:lang w:val="en-US"/>
        </w:rPr>
        <w:t>put forward other proposals for discussion on a range of constitutional models</w:t>
      </w:r>
      <w:r w:rsidR="00856B10">
        <w:rPr>
          <w:lang w:val="en-US"/>
        </w:rPr>
        <w:t xml:space="preserve"> </w:t>
      </w:r>
      <w:r w:rsidR="002E5B90">
        <w:rPr>
          <w:lang w:val="en-US"/>
        </w:rPr>
        <w:t xml:space="preserve">that </w:t>
      </w:r>
      <w:r w:rsidR="009E58A2">
        <w:rPr>
          <w:lang w:val="en-US"/>
        </w:rPr>
        <w:t xml:space="preserve">also </w:t>
      </w:r>
      <w:r w:rsidR="00856B10">
        <w:rPr>
          <w:lang w:val="en-US"/>
        </w:rPr>
        <w:t>have not be</w:t>
      </w:r>
      <w:r w:rsidR="00B80550">
        <w:rPr>
          <w:lang w:val="en-US"/>
        </w:rPr>
        <w:t xml:space="preserve">en taken up </w:t>
      </w:r>
      <w:r w:rsidR="00856B10">
        <w:rPr>
          <w:lang w:val="en-US"/>
        </w:rPr>
        <w:t>by the State party</w:t>
      </w:r>
      <w:r w:rsidR="005936AB" w:rsidRPr="00B371B9">
        <w:rPr>
          <w:lang w:val="en-US"/>
        </w:rPr>
        <w:t xml:space="preserve">. </w:t>
      </w:r>
      <w:r w:rsidR="003D5B17" w:rsidRPr="00B371B9">
        <w:rPr>
          <w:lang w:val="en-US"/>
        </w:rPr>
        <w:t xml:space="preserve">The </w:t>
      </w:r>
      <w:r w:rsidR="004D0F4E">
        <w:rPr>
          <w:lang w:val="en-US"/>
        </w:rPr>
        <w:t>C</w:t>
      </w:r>
      <w:r w:rsidR="003D5B17" w:rsidRPr="00B371B9">
        <w:rPr>
          <w:lang w:val="en-US"/>
        </w:rPr>
        <w:t>ommittee sees</w:t>
      </w:r>
      <w:r w:rsidR="002E5B90">
        <w:rPr>
          <w:lang w:val="en-US"/>
        </w:rPr>
        <w:t xml:space="preserve"> that</w:t>
      </w:r>
      <w:r w:rsidR="003D5B17" w:rsidRPr="00B371B9">
        <w:rPr>
          <w:lang w:val="en-US"/>
        </w:rPr>
        <w:t xml:space="preserve"> </w:t>
      </w:r>
      <w:r w:rsidR="007B727B">
        <w:rPr>
          <w:lang w:val="en-US"/>
        </w:rPr>
        <w:t>little</w:t>
      </w:r>
      <w:r w:rsidR="003D5B17" w:rsidRPr="00B371B9">
        <w:rPr>
          <w:lang w:val="en-US"/>
        </w:rPr>
        <w:t xml:space="preserve"> progress </w:t>
      </w:r>
      <w:r w:rsidR="002E5B90">
        <w:rPr>
          <w:lang w:val="en-US"/>
        </w:rPr>
        <w:t xml:space="preserve">has been made </w:t>
      </w:r>
      <w:r w:rsidR="007B727B">
        <w:rPr>
          <w:lang w:val="en-US"/>
        </w:rPr>
        <w:t>during</w:t>
      </w:r>
      <w:r w:rsidR="003D5B17" w:rsidRPr="00B371B9">
        <w:rPr>
          <w:lang w:val="en-US"/>
        </w:rPr>
        <w:t xml:space="preserve"> </w:t>
      </w:r>
      <w:r w:rsidR="007B727B">
        <w:rPr>
          <w:lang w:val="en-US"/>
        </w:rPr>
        <w:t xml:space="preserve">the reporting period in </w:t>
      </w:r>
      <w:r w:rsidR="003D5B17" w:rsidRPr="00B371B9">
        <w:rPr>
          <w:lang w:val="en-US"/>
        </w:rPr>
        <w:t>securing indigenous rights to self-determination under the Treaty or the power</w:t>
      </w:r>
      <w:r w:rsidR="00175AB1">
        <w:rPr>
          <w:lang w:val="en-US"/>
        </w:rPr>
        <w:t>-</w:t>
      </w:r>
      <w:r w:rsidR="003D5B17" w:rsidRPr="00B371B9">
        <w:rPr>
          <w:lang w:val="en-US"/>
        </w:rPr>
        <w:t xml:space="preserve">sharing arrangement between </w:t>
      </w:r>
      <w:proofErr w:type="spellStart"/>
      <w:r w:rsidR="00E572EB" w:rsidRPr="00C74CD5">
        <w:rPr>
          <w:lang w:val="en-US"/>
        </w:rPr>
        <w:t>hap</w:t>
      </w:r>
      <w:r w:rsidR="00C74CD5">
        <w:rPr>
          <w:lang w:val="en-US"/>
        </w:rPr>
        <w:t>u</w:t>
      </w:r>
      <w:proofErr w:type="spellEnd"/>
      <w:r w:rsidR="003D5B17" w:rsidRPr="00B371B9">
        <w:rPr>
          <w:lang w:val="en-US"/>
        </w:rPr>
        <w:t xml:space="preserve"> and the </w:t>
      </w:r>
      <w:r w:rsidR="009E3B8D">
        <w:rPr>
          <w:lang w:val="en-US"/>
        </w:rPr>
        <w:t>State party</w:t>
      </w:r>
      <w:r w:rsidR="009E3B8D" w:rsidRPr="00B371B9">
        <w:rPr>
          <w:lang w:val="en-US"/>
        </w:rPr>
        <w:t xml:space="preserve"> </w:t>
      </w:r>
      <w:r w:rsidR="00431BF7">
        <w:rPr>
          <w:lang w:val="en-US"/>
        </w:rPr>
        <w:t>required by the Treaty.</w:t>
      </w:r>
      <w:r w:rsidR="007D6E19">
        <w:rPr>
          <w:lang w:val="en-US"/>
        </w:rPr>
        <w:t xml:space="preserve"> </w:t>
      </w:r>
      <w:r w:rsidR="00856B10">
        <w:rPr>
          <w:lang w:val="en-US"/>
        </w:rPr>
        <w:t>T</w:t>
      </w:r>
      <w:r w:rsidR="00544212" w:rsidRPr="00B371B9">
        <w:rPr>
          <w:lang w:val="en-US"/>
        </w:rPr>
        <w:t xml:space="preserve">he Committee </w:t>
      </w:r>
      <w:r w:rsidR="00DB6D77" w:rsidRPr="00B371B9">
        <w:rPr>
          <w:lang w:val="en-US"/>
        </w:rPr>
        <w:t>is concerned by</w:t>
      </w:r>
      <w:r w:rsidR="00544212" w:rsidRPr="00B371B9">
        <w:rPr>
          <w:lang w:val="en-US"/>
        </w:rPr>
        <w:t xml:space="preserve"> </w:t>
      </w:r>
      <w:r w:rsidR="00AE411E" w:rsidRPr="00B371B9">
        <w:rPr>
          <w:lang w:val="en-US"/>
        </w:rPr>
        <w:t xml:space="preserve">reports that </w:t>
      </w:r>
      <w:r w:rsidR="00936193" w:rsidRPr="00B371B9">
        <w:rPr>
          <w:lang w:val="en-US"/>
        </w:rPr>
        <w:t xml:space="preserve">the Waitangi Tribunal is </w:t>
      </w:r>
      <w:proofErr w:type="spellStart"/>
      <w:r w:rsidR="00936193" w:rsidRPr="00B371B9">
        <w:rPr>
          <w:lang w:val="en-US"/>
        </w:rPr>
        <w:t>underresourced</w:t>
      </w:r>
      <w:proofErr w:type="spellEnd"/>
      <w:r w:rsidR="00936193" w:rsidRPr="00B371B9">
        <w:rPr>
          <w:lang w:val="en-US"/>
        </w:rPr>
        <w:t>, leading to long</w:t>
      </w:r>
      <w:r w:rsidR="00AE411E" w:rsidRPr="00B371B9">
        <w:rPr>
          <w:lang w:val="en-US"/>
        </w:rPr>
        <w:t xml:space="preserve"> processing delays</w:t>
      </w:r>
      <w:r w:rsidR="00484DE3" w:rsidRPr="00B371B9">
        <w:rPr>
          <w:lang w:val="en-US"/>
        </w:rPr>
        <w:t xml:space="preserve"> (arts.</w:t>
      </w:r>
      <w:r w:rsidR="00F22F7D">
        <w:rPr>
          <w:lang w:val="en-US"/>
        </w:rPr>
        <w:t> </w:t>
      </w:r>
      <w:r w:rsidR="00484DE3" w:rsidRPr="00B371B9">
        <w:rPr>
          <w:lang w:val="en-US"/>
        </w:rPr>
        <w:t>2</w:t>
      </w:r>
      <w:r w:rsidR="002E5B90">
        <w:rPr>
          <w:lang w:val="en-US"/>
        </w:rPr>
        <w:t xml:space="preserve"> and</w:t>
      </w:r>
      <w:r w:rsidR="00484DE3" w:rsidRPr="00B371B9">
        <w:rPr>
          <w:lang w:val="en-US"/>
        </w:rPr>
        <w:t xml:space="preserve"> 6)</w:t>
      </w:r>
      <w:r w:rsidR="00F22F7D">
        <w:rPr>
          <w:lang w:val="en-US"/>
        </w:rPr>
        <w:t>.</w:t>
      </w:r>
      <w:r w:rsidR="00FB6265">
        <w:rPr>
          <w:lang w:val="en-US"/>
        </w:rPr>
        <w:t xml:space="preserve"> </w:t>
      </w:r>
    </w:p>
    <w:p w14:paraId="007470A9" w14:textId="5D86B5E5" w:rsidR="008719AE" w:rsidRPr="00B371B9" w:rsidRDefault="008A7396" w:rsidP="008A7396">
      <w:pPr>
        <w:pStyle w:val="SingleTxtG"/>
        <w:keepNext/>
        <w:rPr>
          <w:b/>
          <w:lang w:val="en-US"/>
        </w:rPr>
      </w:pPr>
      <w:r w:rsidRPr="00B371B9">
        <w:rPr>
          <w:lang w:val="en-US"/>
        </w:rPr>
        <w:t>13.</w:t>
      </w:r>
      <w:r w:rsidRPr="00B371B9">
        <w:rPr>
          <w:lang w:val="en-US"/>
        </w:rPr>
        <w:tab/>
      </w:r>
      <w:r w:rsidR="006650D9" w:rsidRPr="00B371B9">
        <w:rPr>
          <w:b/>
          <w:lang w:val="en-US"/>
        </w:rPr>
        <w:t xml:space="preserve">The Committee </w:t>
      </w:r>
      <w:r w:rsidR="008719AE" w:rsidRPr="00B371B9">
        <w:rPr>
          <w:b/>
          <w:lang w:val="en-US"/>
        </w:rPr>
        <w:t>recommends that the State party:</w:t>
      </w:r>
    </w:p>
    <w:p w14:paraId="0E12B84C" w14:textId="1D6E4647" w:rsidR="008719AE" w:rsidRPr="00B371B9" w:rsidRDefault="00DA0D78" w:rsidP="00B57DDD">
      <w:pPr>
        <w:pStyle w:val="SingleTxtG"/>
        <w:ind w:firstLine="567"/>
        <w:rPr>
          <w:b/>
          <w:lang w:val="en-US"/>
        </w:rPr>
      </w:pPr>
      <w:r w:rsidRPr="00B57DDD">
        <w:rPr>
          <w:lang w:val="en-US"/>
        </w:rPr>
        <w:t>(a)</w:t>
      </w:r>
      <w:r>
        <w:rPr>
          <w:b/>
          <w:lang w:val="en-US"/>
        </w:rPr>
        <w:tab/>
      </w:r>
      <w:r w:rsidR="00A24F10">
        <w:rPr>
          <w:b/>
          <w:lang w:val="en-US"/>
        </w:rPr>
        <w:t>I</w:t>
      </w:r>
      <w:r w:rsidR="005936AB" w:rsidRPr="00B371B9">
        <w:rPr>
          <w:b/>
          <w:lang w:val="en-US"/>
        </w:rPr>
        <w:t>ssue</w:t>
      </w:r>
      <w:r w:rsidR="00F108DD" w:rsidRPr="00B371B9">
        <w:rPr>
          <w:b/>
          <w:lang w:val="en-US"/>
        </w:rPr>
        <w:t>,</w:t>
      </w:r>
      <w:r w:rsidR="00F42018" w:rsidRPr="00B371B9">
        <w:rPr>
          <w:b/>
          <w:lang w:val="en-US"/>
        </w:rPr>
        <w:t xml:space="preserve"> </w:t>
      </w:r>
      <w:r w:rsidR="00F108DD" w:rsidRPr="00B371B9">
        <w:rPr>
          <w:b/>
          <w:lang w:val="en-US"/>
        </w:rPr>
        <w:t>without delay,</w:t>
      </w:r>
      <w:r w:rsidR="005936AB" w:rsidRPr="00B371B9">
        <w:rPr>
          <w:b/>
          <w:lang w:val="en-US"/>
        </w:rPr>
        <w:t xml:space="preserve"> a timetable for debating</w:t>
      </w:r>
      <w:r w:rsidR="006B5044">
        <w:rPr>
          <w:b/>
          <w:lang w:val="en-US"/>
        </w:rPr>
        <w:t>, in partnership with M</w:t>
      </w:r>
      <w:r w:rsidR="00C87A05">
        <w:rPr>
          <w:b/>
        </w:rPr>
        <w:t>a</w:t>
      </w:r>
      <w:proofErr w:type="spellStart"/>
      <w:r w:rsidR="006B5044">
        <w:rPr>
          <w:b/>
          <w:lang w:val="en-US"/>
        </w:rPr>
        <w:t>ori</w:t>
      </w:r>
      <w:proofErr w:type="spellEnd"/>
      <w:r w:rsidR="006B5044">
        <w:rPr>
          <w:b/>
          <w:lang w:val="en-US"/>
        </w:rPr>
        <w:t>,</w:t>
      </w:r>
      <w:r w:rsidR="005936AB" w:rsidRPr="00B371B9">
        <w:rPr>
          <w:b/>
          <w:lang w:val="en-US"/>
        </w:rPr>
        <w:t xml:space="preserve"> </w:t>
      </w:r>
      <w:r w:rsidR="008719AE" w:rsidRPr="00B371B9">
        <w:rPr>
          <w:b/>
          <w:lang w:val="en-US"/>
        </w:rPr>
        <w:t>the recommendations of the Constitutional Advisory Panel regarding the role of the Treaty of Waitangi within its constitutional arrangements</w:t>
      </w:r>
      <w:r w:rsidR="002E5B90">
        <w:rPr>
          <w:b/>
          <w:lang w:val="en-US"/>
        </w:rPr>
        <w:t>,</w:t>
      </w:r>
      <w:r w:rsidR="005936AB" w:rsidRPr="00B371B9">
        <w:rPr>
          <w:b/>
          <w:lang w:val="en-US"/>
        </w:rPr>
        <w:t xml:space="preserve"> along with the proposals </w:t>
      </w:r>
      <w:r w:rsidR="002E5B90">
        <w:rPr>
          <w:b/>
          <w:lang w:val="en-US"/>
        </w:rPr>
        <w:t>contained in</w:t>
      </w:r>
      <w:r w:rsidR="002E5B90" w:rsidRPr="00B371B9">
        <w:rPr>
          <w:b/>
          <w:lang w:val="en-US"/>
        </w:rPr>
        <w:t xml:space="preserve"> </w:t>
      </w:r>
      <w:r w:rsidR="005936AB" w:rsidRPr="00B371B9">
        <w:rPr>
          <w:b/>
          <w:lang w:val="en-US"/>
        </w:rPr>
        <w:t xml:space="preserve">the report of </w:t>
      </w:r>
      <w:proofErr w:type="spellStart"/>
      <w:r w:rsidR="005936AB" w:rsidRPr="00B371B9">
        <w:rPr>
          <w:b/>
          <w:lang w:val="en-US"/>
        </w:rPr>
        <w:t>Matike</w:t>
      </w:r>
      <w:proofErr w:type="spellEnd"/>
      <w:r w:rsidR="005936AB" w:rsidRPr="00B371B9">
        <w:rPr>
          <w:b/>
          <w:lang w:val="en-US"/>
        </w:rPr>
        <w:t xml:space="preserve"> Mai </w:t>
      </w:r>
      <w:proofErr w:type="spellStart"/>
      <w:r w:rsidR="005936AB" w:rsidRPr="00B371B9">
        <w:rPr>
          <w:b/>
          <w:lang w:val="en-US"/>
        </w:rPr>
        <w:t>Aotearoa</w:t>
      </w:r>
      <w:proofErr w:type="spellEnd"/>
      <w:r w:rsidR="00C203CA">
        <w:rPr>
          <w:b/>
          <w:lang w:val="en-US"/>
        </w:rPr>
        <w:t xml:space="preserve"> and all stakeholders</w:t>
      </w:r>
      <w:r w:rsidR="008719AE" w:rsidRPr="00B371B9">
        <w:rPr>
          <w:b/>
          <w:lang w:val="en-US"/>
        </w:rPr>
        <w:t xml:space="preserve">; </w:t>
      </w:r>
    </w:p>
    <w:p w14:paraId="7F34F839" w14:textId="3F22FC97" w:rsidR="006650D9" w:rsidRPr="00B371B9" w:rsidRDefault="00DA0D78" w:rsidP="00B57DDD">
      <w:pPr>
        <w:pStyle w:val="SingleTxtG"/>
        <w:ind w:firstLine="567"/>
        <w:rPr>
          <w:b/>
          <w:lang w:val="en-US"/>
        </w:rPr>
      </w:pPr>
      <w:r w:rsidRPr="00B57DDD">
        <w:rPr>
          <w:lang w:val="en-US"/>
        </w:rPr>
        <w:t>(b)</w:t>
      </w:r>
      <w:r>
        <w:rPr>
          <w:b/>
          <w:lang w:val="en-US"/>
        </w:rPr>
        <w:tab/>
      </w:r>
      <w:r w:rsidR="00A24F10">
        <w:rPr>
          <w:b/>
          <w:lang w:val="en-US"/>
        </w:rPr>
        <w:t>E</w:t>
      </w:r>
      <w:r w:rsidR="008719AE" w:rsidRPr="00B371B9">
        <w:rPr>
          <w:b/>
          <w:lang w:val="en-US"/>
        </w:rPr>
        <w:t xml:space="preserve">nsure that its public policy and legislative </w:t>
      </w:r>
      <w:r w:rsidR="00A35290" w:rsidRPr="00B371B9">
        <w:rPr>
          <w:b/>
          <w:lang w:val="en-US"/>
        </w:rPr>
        <w:t>initiatives</w:t>
      </w:r>
      <w:r w:rsidR="008719AE" w:rsidRPr="00B371B9">
        <w:rPr>
          <w:b/>
          <w:lang w:val="en-US"/>
        </w:rPr>
        <w:t xml:space="preserve"> comply with the participation principle of arti</w:t>
      </w:r>
      <w:r w:rsidR="00DD5FE9" w:rsidRPr="00B371B9">
        <w:rPr>
          <w:b/>
          <w:lang w:val="en-US"/>
        </w:rPr>
        <w:t>cle 2 of the Treaty of Waitangi;</w:t>
      </w:r>
    </w:p>
    <w:p w14:paraId="2E23AC64" w14:textId="649FC75F" w:rsidR="003D5B17" w:rsidRPr="00B371B9" w:rsidRDefault="00DA0D78" w:rsidP="00B57DDD">
      <w:pPr>
        <w:pStyle w:val="SingleTxtG"/>
        <w:ind w:firstLine="567"/>
        <w:rPr>
          <w:b/>
          <w:lang w:val="en-US"/>
        </w:rPr>
      </w:pPr>
      <w:r w:rsidRPr="00B57DDD">
        <w:rPr>
          <w:lang w:val="en-US"/>
        </w:rPr>
        <w:lastRenderedPageBreak/>
        <w:t>(c)</w:t>
      </w:r>
      <w:r>
        <w:rPr>
          <w:b/>
          <w:lang w:val="en-US"/>
        </w:rPr>
        <w:tab/>
      </w:r>
      <w:r w:rsidR="00A24F10">
        <w:rPr>
          <w:b/>
          <w:lang w:val="en-US"/>
        </w:rPr>
        <w:t>G</w:t>
      </w:r>
      <w:r w:rsidR="003D5B17" w:rsidRPr="00B371B9">
        <w:rPr>
          <w:b/>
          <w:lang w:val="en-US"/>
        </w:rPr>
        <w:t xml:space="preserve">ive greater assurance that the </w:t>
      </w:r>
      <w:r w:rsidR="009E3B8D">
        <w:rPr>
          <w:b/>
          <w:lang w:val="en-US"/>
        </w:rPr>
        <w:t>State party</w:t>
      </w:r>
      <w:r w:rsidR="009E3B8D" w:rsidRPr="00B371B9">
        <w:rPr>
          <w:b/>
          <w:lang w:val="en-US"/>
        </w:rPr>
        <w:t xml:space="preserve"> </w:t>
      </w:r>
      <w:r w:rsidR="003D5B17" w:rsidRPr="00B371B9">
        <w:rPr>
          <w:b/>
          <w:lang w:val="en-US"/>
        </w:rPr>
        <w:t>recognizes the fundamental right to self-determination of M</w:t>
      </w:r>
      <w:r w:rsidR="00C87A05">
        <w:rPr>
          <w:b/>
        </w:rPr>
        <w:t>a</w:t>
      </w:r>
      <w:proofErr w:type="spellStart"/>
      <w:r w:rsidR="003D5B17" w:rsidRPr="00B371B9">
        <w:rPr>
          <w:b/>
          <w:lang w:val="en-US"/>
        </w:rPr>
        <w:t>ori</w:t>
      </w:r>
      <w:proofErr w:type="spellEnd"/>
      <w:r w:rsidR="003D5B17" w:rsidRPr="00B371B9">
        <w:rPr>
          <w:b/>
          <w:lang w:val="en-US"/>
        </w:rPr>
        <w:t xml:space="preserve"> and the obligation </w:t>
      </w:r>
      <w:r w:rsidR="00D7326C" w:rsidRPr="00B371B9">
        <w:rPr>
          <w:b/>
          <w:lang w:val="en-US"/>
        </w:rPr>
        <w:t>to establish</w:t>
      </w:r>
      <w:r w:rsidR="003D5B17" w:rsidRPr="00B371B9">
        <w:rPr>
          <w:b/>
          <w:lang w:val="en-US"/>
        </w:rPr>
        <w:t xml:space="preserve"> shared govern</w:t>
      </w:r>
      <w:r w:rsidR="00D7326C" w:rsidRPr="00B371B9">
        <w:rPr>
          <w:b/>
          <w:lang w:val="en-US"/>
        </w:rPr>
        <w:t xml:space="preserve">ance with </w:t>
      </w:r>
      <w:proofErr w:type="spellStart"/>
      <w:r w:rsidR="00E572EB" w:rsidRPr="00C74CD5">
        <w:rPr>
          <w:b/>
          <w:lang w:val="en-US"/>
        </w:rPr>
        <w:t>hap</w:t>
      </w:r>
      <w:r w:rsidR="00C74CD5">
        <w:rPr>
          <w:b/>
          <w:lang w:val="en-US"/>
        </w:rPr>
        <w:t>u</w:t>
      </w:r>
      <w:proofErr w:type="spellEnd"/>
      <w:r w:rsidR="006C0A46" w:rsidRPr="00B371B9">
        <w:rPr>
          <w:b/>
          <w:lang w:val="en-US"/>
        </w:rPr>
        <w:t>;</w:t>
      </w:r>
    </w:p>
    <w:p w14:paraId="299935FF" w14:textId="58605444" w:rsidR="00DD5FE9" w:rsidRPr="00B371B9" w:rsidRDefault="00DA0D78" w:rsidP="00B57DDD">
      <w:pPr>
        <w:pStyle w:val="SingleTxtG"/>
        <w:ind w:firstLine="567"/>
        <w:rPr>
          <w:b/>
          <w:lang w:val="en-US"/>
        </w:rPr>
      </w:pPr>
      <w:r w:rsidRPr="00B57DDD">
        <w:rPr>
          <w:lang w:val="en-US"/>
        </w:rPr>
        <w:t>(d)</w:t>
      </w:r>
      <w:r>
        <w:rPr>
          <w:b/>
          <w:lang w:val="en-US"/>
        </w:rPr>
        <w:tab/>
      </w:r>
      <w:r w:rsidR="00A24F10">
        <w:rPr>
          <w:b/>
          <w:lang w:val="en-US"/>
        </w:rPr>
        <w:t>P</w:t>
      </w:r>
      <w:r w:rsidR="00DD5FE9" w:rsidRPr="00B371B9">
        <w:rPr>
          <w:b/>
          <w:lang w:val="en-US"/>
        </w:rPr>
        <w:t xml:space="preserve">rovide adequate </w:t>
      </w:r>
      <w:r w:rsidR="00026AE2">
        <w:rPr>
          <w:b/>
          <w:lang w:val="en-US"/>
        </w:rPr>
        <w:t>resources</w:t>
      </w:r>
      <w:r w:rsidR="00DD5FE9" w:rsidRPr="00B371B9">
        <w:rPr>
          <w:b/>
          <w:lang w:val="en-US"/>
        </w:rPr>
        <w:t xml:space="preserve"> for the Waitangi Tribunal.</w:t>
      </w:r>
    </w:p>
    <w:p w14:paraId="5E8948BF" w14:textId="6DA13CAE" w:rsidR="00803853" w:rsidRPr="00B371B9" w:rsidRDefault="00A24F10" w:rsidP="00A24F10">
      <w:pPr>
        <w:pStyle w:val="H23G"/>
      </w:pPr>
      <w:r>
        <w:tab/>
      </w:r>
      <w:r>
        <w:tab/>
      </w:r>
      <w:r w:rsidR="00803853" w:rsidRPr="00B371B9">
        <w:t>M</w:t>
      </w:r>
      <w:r w:rsidR="00C87A05">
        <w:t>a</w:t>
      </w:r>
      <w:r w:rsidR="00803853" w:rsidRPr="00B371B9">
        <w:t xml:space="preserve">ori land </w:t>
      </w:r>
      <w:r w:rsidR="0055362E">
        <w:t>i</w:t>
      </w:r>
      <w:r w:rsidR="00D7326C" w:rsidRPr="00B371B9">
        <w:t>ssues</w:t>
      </w:r>
      <w:r w:rsidR="00CC5DCF" w:rsidRPr="00B371B9">
        <w:t xml:space="preserve"> and th</w:t>
      </w:r>
      <w:r w:rsidR="003F43B1">
        <w:t xml:space="preserve">e </w:t>
      </w:r>
      <w:r w:rsidR="00CB2711">
        <w:t>t</w:t>
      </w:r>
      <w:r w:rsidR="003F43B1">
        <w:t xml:space="preserve">reaty settlement </w:t>
      </w:r>
      <w:r w:rsidR="00B6716D">
        <w:t>process</w:t>
      </w:r>
    </w:p>
    <w:p w14:paraId="53B8A246" w14:textId="072625D9" w:rsidR="002666E2" w:rsidRPr="00B371B9" w:rsidRDefault="008A7396" w:rsidP="008A7396">
      <w:pPr>
        <w:pStyle w:val="SingleTxtG"/>
      </w:pPr>
      <w:r w:rsidRPr="00B371B9">
        <w:t>14.</w:t>
      </w:r>
      <w:r w:rsidRPr="00B371B9">
        <w:tab/>
      </w:r>
      <w:r w:rsidR="00C162E7">
        <w:t>The Committee notes that its general recommendation</w:t>
      </w:r>
      <w:r w:rsidR="007726BA">
        <w:t xml:space="preserve"> No.</w:t>
      </w:r>
      <w:r w:rsidR="00B50ABF">
        <w:t> </w:t>
      </w:r>
      <w:r w:rsidR="007726BA">
        <w:t>23</w:t>
      </w:r>
      <w:r w:rsidR="00CB2711">
        <w:t xml:space="preserve"> (1997) on the rights of indigenous peoples</w:t>
      </w:r>
      <w:r w:rsidR="004D4BB9">
        <w:t>,</w:t>
      </w:r>
      <w:r w:rsidR="00C162E7">
        <w:t xml:space="preserve"> as well as the </w:t>
      </w:r>
      <w:r w:rsidR="00CB2711">
        <w:t>United Nations</w:t>
      </w:r>
      <w:r w:rsidR="00C162E7">
        <w:t xml:space="preserve"> Declaration on the Rights of Indigenous Peoples</w:t>
      </w:r>
      <w:r w:rsidR="00D7087B">
        <w:t>,</w:t>
      </w:r>
      <w:r w:rsidR="00C162E7">
        <w:t xml:space="preserve"> make unequivocal the requirement that any decision affecting the rights and interests of indigenous peoples </w:t>
      </w:r>
      <w:r w:rsidR="00D7087B">
        <w:t xml:space="preserve">must </w:t>
      </w:r>
      <w:r w:rsidR="00C162E7">
        <w:t>be subject to their free, prior and informed consent</w:t>
      </w:r>
      <w:r w:rsidR="00AA3BCE">
        <w:t>.</w:t>
      </w:r>
      <w:r w:rsidR="00D16B9B" w:rsidRPr="00B371B9">
        <w:t xml:space="preserve"> </w:t>
      </w:r>
      <w:r w:rsidR="00CF53BE">
        <w:t>T</w:t>
      </w:r>
      <w:r w:rsidR="00685AF4" w:rsidRPr="00B371B9">
        <w:t xml:space="preserve">he Committee takes note of the </w:t>
      </w:r>
      <w:r w:rsidR="00CB2711">
        <w:t>t</w:t>
      </w:r>
      <w:r w:rsidR="00685AF4" w:rsidRPr="00B371B9">
        <w:t xml:space="preserve">reaty </w:t>
      </w:r>
      <w:r w:rsidR="00CB2711">
        <w:t>s</w:t>
      </w:r>
      <w:r w:rsidR="00685AF4" w:rsidRPr="00B371B9">
        <w:t xml:space="preserve">ettlement process that seeks to settle </w:t>
      </w:r>
      <w:r w:rsidR="00165188" w:rsidRPr="00B371B9">
        <w:t>M</w:t>
      </w:r>
      <w:r w:rsidR="00C87A05">
        <w:t>a</w:t>
      </w:r>
      <w:r w:rsidR="00165188" w:rsidRPr="00B371B9">
        <w:t xml:space="preserve">ori </w:t>
      </w:r>
      <w:r w:rsidR="00685AF4" w:rsidRPr="00B371B9">
        <w:t>historical</w:t>
      </w:r>
      <w:r w:rsidR="002C45EF">
        <w:t xml:space="preserve"> land clams </w:t>
      </w:r>
      <w:r w:rsidR="00685AF4" w:rsidRPr="00B371B9">
        <w:t xml:space="preserve">in exchange for an apology on behalf of the </w:t>
      </w:r>
      <w:r w:rsidR="009E3B8D">
        <w:t>State party</w:t>
      </w:r>
      <w:r w:rsidR="009E3B8D" w:rsidRPr="00B371B9">
        <w:t xml:space="preserve"> </w:t>
      </w:r>
      <w:r w:rsidR="00685AF4" w:rsidRPr="00B371B9">
        <w:t xml:space="preserve">and a compensation package that may include cultural, financial and/or commercial redress </w:t>
      </w:r>
      <w:r w:rsidR="00D132A7" w:rsidRPr="00B371B9">
        <w:t xml:space="preserve">and incentives, </w:t>
      </w:r>
      <w:r w:rsidR="00685AF4" w:rsidRPr="00B371B9">
        <w:t xml:space="preserve">along with </w:t>
      </w:r>
      <w:r w:rsidR="00D132A7" w:rsidRPr="00B371B9">
        <w:t>possibly</w:t>
      </w:r>
      <w:r w:rsidR="00D7087B">
        <w:t xml:space="preserve"> </w:t>
      </w:r>
      <w:r w:rsidR="00685AF4" w:rsidRPr="00B371B9">
        <w:t xml:space="preserve">a variety of partnership opportunities with the </w:t>
      </w:r>
      <w:r w:rsidR="009E3B8D">
        <w:t>State party</w:t>
      </w:r>
      <w:r w:rsidR="00946DFD">
        <w:t xml:space="preserve"> (arts.</w:t>
      </w:r>
      <w:r w:rsidR="00B50ABF">
        <w:t> </w:t>
      </w:r>
      <w:r w:rsidR="00946DFD">
        <w:t>2, 5</w:t>
      </w:r>
      <w:r w:rsidR="00CB2711">
        <w:t xml:space="preserve"> and</w:t>
      </w:r>
      <w:r w:rsidR="00946DFD">
        <w:t xml:space="preserve"> 6)</w:t>
      </w:r>
      <w:r w:rsidR="00F22F7D">
        <w:t>.</w:t>
      </w:r>
    </w:p>
    <w:p w14:paraId="66D07D32" w14:textId="77154C89" w:rsidR="00C76BAC" w:rsidRDefault="008A7396" w:rsidP="008A7396">
      <w:pPr>
        <w:pStyle w:val="SingleTxtG"/>
        <w:rPr>
          <w:b/>
        </w:rPr>
      </w:pPr>
      <w:r>
        <w:t>15.</w:t>
      </w:r>
      <w:r>
        <w:tab/>
      </w:r>
      <w:r w:rsidR="00E97F6F">
        <w:rPr>
          <w:b/>
        </w:rPr>
        <w:t>As</w:t>
      </w:r>
      <w:r w:rsidR="00E97F6F" w:rsidRPr="00B371B9">
        <w:rPr>
          <w:b/>
        </w:rPr>
        <w:t xml:space="preserve"> </w:t>
      </w:r>
      <w:r w:rsidR="00D132A7" w:rsidRPr="00B371B9">
        <w:rPr>
          <w:b/>
        </w:rPr>
        <w:t xml:space="preserve">the </w:t>
      </w:r>
      <w:r w:rsidR="00CB2711">
        <w:rPr>
          <w:b/>
        </w:rPr>
        <w:t>s</w:t>
      </w:r>
      <w:r w:rsidR="00D132A7" w:rsidRPr="00B371B9">
        <w:rPr>
          <w:b/>
        </w:rPr>
        <w:t xml:space="preserve">ettlement process and its implications and consequences go to the core of the right of </w:t>
      </w:r>
      <w:r w:rsidR="0032709E" w:rsidRPr="0032709E">
        <w:rPr>
          <w:b/>
        </w:rPr>
        <w:t>M</w:t>
      </w:r>
      <w:r w:rsidR="00C87A05">
        <w:rPr>
          <w:b/>
        </w:rPr>
        <w:t>a</w:t>
      </w:r>
      <w:r w:rsidR="0032709E" w:rsidRPr="0032709E">
        <w:rPr>
          <w:b/>
        </w:rPr>
        <w:t>ori</w:t>
      </w:r>
      <w:r w:rsidR="0032709E" w:rsidRPr="00B371B9">
        <w:t xml:space="preserve"> </w:t>
      </w:r>
      <w:r w:rsidR="00943A34" w:rsidRPr="00CA2556">
        <w:rPr>
          <w:b/>
        </w:rPr>
        <w:t>to own, develop, control and use their communal lands</w:t>
      </w:r>
      <w:r w:rsidR="00CA2556">
        <w:rPr>
          <w:b/>
        </w:rPr>
        <w:t>, territories</w:t>
      </w:r>
      <w:r w:rsidR="00943A34" w:rsidRPr="00CA2556">
        <w:rPr>
          <w:b/>
        </w:rPr>
        <w:t xml:space="preserve"> and resources,</w:t>
      </w:r>
      <w:r w:rsidR="00943A34">
        <w:t xml:space="preserve"> </w:t>
      </w:r>
      <w:r w:rsidR="00D132A7" w:rsidRPr="00B371B9">
        <w:rPr>
          <w:b/>
        </w:rPr>
        <w:t xml:space="preserve">and their rights under the Convention, the Committee </w:t>
      </w:r>
      <w:r w:rsidR="00614197">
        <w:rPr>
          <w:b/>
        </w:rPr>
        <w:t xml:space="preserve">urgently </w:t>
      </w:r>
      <w:r w:rsidR="00D132A7" w:rsidRPr="00B371B9">
        <w:rPr>
          <w:b/>
        </w:rPr>
        <w:t xml:space="preserve">requests the State party </w:t>
      </w:r>
      <w:r w:rsidR="00186EDB">
        <w:rPr>
          <w:b/>
        </w:rPr>
        <w:t xml:space="preserve">to </w:t>
      </w:r>
      <w:r w:rsidR="004150D2" w:rsidRPr="00B371B9">
        <w:rPr>
          <w:b/>
        </w:rPr>
        <w:t xml:space="preserve">supply the following information: </w:t>
      </w:r>
    </w:p>
    <w:p w14:paraId="28C9A679" w14:textId="5470E00B" w:rsidR="00C76BAC" w:rsidRDefault="00FD4C4D" w:rsidP="00B57DDD">
      <w:pPr>
        <w:pStyle w:val="SingleTxtG"/>
        <w:ind w:firstLine="567"/>
        <w:rPr>
          <w:b/>
        </w:rPr>
      </w:pPr>
      <w:r w:rsidRPr="00B57DDD">
        <w:t>(a)</w:t>
      </w:r>
      <w:r>
        <w:rPr>
          <w:b/>
        </w:rPr>
        <w:tab/>
      </w:r>
      <w:r w:rsidR="00D4797E">
        <w:rPr>
          <w:b/>
        </w:rPr>
        <w:t>T</w:t>
      </w:r>
      <w:r w:rsidR="004150D2" w:rsidRPr="00B371B9">
        <w:rPr>
          <w:b/>
        </w:rPr>
        <w:t xml:space="preserve">he total </w:t>
      </w:r>
      <w:r w:rsidR="00AB4152">
        <w:rPr>
          <w:b/>
        </w:rPr>
        <w:t>area</w:t>
      </w:r>
      <w:r w:rsidR="00AB4152" w:rsidRPr="00B371B9">
        <w:rPr>
          <w:b/>
        </w:rPr>
        <w:t xml:space="preserve"> </w:t>
      </w:r>
      <w:r w:rsidR="004150D2" w:rsidRPr="00B371B9">
        <w:rPr>
          <w:b/>
        </w:rPr>
        <w:t xml:space="preserve">of land </w:t>
      </w:r>
      <w:r w:rsidR="00B4163A">
        <w:rPr>
          <w:b/>
        </w:rPr>
        <w:t>and</w:t>
      </w:r>
      <w:r w:rsidR="00B4163A" w:rsidRPr="00B371B9">
        <w:rPr>
          <w:b/>
        </w:rPr>
        <w:t xml:space="preserve"> </w:t>
      </w:r>
      <w:r w:rsidR="00462B34" w:rsidRPr="00B371B9">
        <w:rPr>
          <w:b/>
        </w:rPr>
        <w:t xml:space="preserve">percentage of </w:t>
      </w:r>
      <w:r w:rsidR="008237B5">
        <w:rPr>
          <w:b/>
        </w:rPr>
        <w:t xml:space="preserve">the </w:t>
      </w:r>
      <w:r w:rsidR="00462B34" w:rsidRPr="00B371B9">
        <w:rPr>
          <w:b/>
        </w:rPr>
        <w:t xml:space="preserve">total territory </w:t>
      </w:r>
      <w:r w:rsidR="004150D2" w:rsidRPr="00B371B9">
        <w:rPr>
          <w:b/>
        </w:rPr>
        <w:t xml:space="preserve">that has been the subject of the settlement process; </w:t>
      </w:r>
    </w:p>
    <w:p w14:paraId="7A227351" w14:textId="72305E23" w:rsidR="00C76BAC" w:rsidRDefault="00FD4C4D" w:rsidP="00B57DDD">
      <w:pPr>
        <w:pStyle w:val="SingleTxtG"/>
        <w:ind w:firstLine="567"/>
        <w:rPr>
          <w:b/>
        </w:rPr>
      </w:pPr>
      <w:r w:rsidRPr="00B57DDD">
        <w:t>(b)</w:t>
      </w:r>
      <w:r>
        <w:rPr>
          <w:b/>
        </w:rPr>
        <w:tab/>
      </w:r>
      <w:r w:rsidR="00D4797E">
        <w:rPr>
          <w:b/>
        </w:rPr>
        <w:t>T</w:t>
      </w:r>
      <w:r w:rsidR="004150D2" w:rsidRPr="00B371B9">
        <w:rPr>
          <w:b/>
        </w:rPr>
        <w:t xml:space="preserve">he </w:t>
      </w:r>
      <w:r w:rsidR="00B4163A">
        <w:rPr>
          <w:b/>
        </w:rPr>
        <w:t xml:space="preserve">total area </w:t>
      </w:r>
      <w:r w:rsidR="004777B6">
        <w:rPr>
          <w:b/>
        </w:rPr>
        <w:t xml:space="preserve">of land </w:t>
      </w:r>
      <w:r w:rsidR="00B4163A">
        <w:rPr>
          <w:b/>
        </w:rPr>
        <w:t xml:space="preserve">and </w:t>
      </w:r>
      <w:r w:rsidR="00462B34" w:rsidRPr="00B371B9">
        <w:rPr>
          <w:b/>
        </w:rPr>
        <w:t>percentage</w:t>
      </w:r>
      <w:r w:rsidR="004150D2" w:rsidRPr="00B371B9">
        <w:rPr>
          <w:b/>
        </w:rPr>
        <w:t xml:space="preserve"> </w:t>
      </w:r>
      <w:r w:rsidR="00462B34" w:rsidRPr="00B371B9">
        <w:rPr>
          <w:b/>
        </w:rPr>
        <w:t xml:space="preserve">of </w:t>
      </w:r>
      <w:r w:rsidR="004777B6">
        <w:rPr>
          <w:b/>
        </w:rPr>
        <w:t xml:space="preserve">the total </w:t>
      </w:r>
      <w:r w:rsidR="00462B34" w:rsidRPr="00B371B9">
        <w:rPr>
          <w:b/>
        </w:rPr>
        <w:t xml:space="preserve">territory </w:t>
      </w:r>
      <w:r w:rsidR="004150D2" w:rsidRPr="00B371B9">
        <w:rPr>
          <w:b/>
        </w:rPr>
        <w:t xml:space="preserve">not subjected to the settlement process and the reasons for the exemptions; </w:t>
      </w:r>
    </w:p>
    <w:p w14:paraId="4C6996E5" w14:textId="246488B4" w:rsidR="00C76BAC" w:rsidRDefault="00FD4C4D" w:rsidP="00B57DDD">
      <w:pPr>
        <w:pStyle w:val="SingleTxtG"/>
        <w:ind w:firstLine="567"/>
        <w:rPr>
          <w:b/>
        </w:rPr>
      </w:pPr>
      <w:r w:rsidRPr="00B57DDD">
        <w:t>(c)</w:t>
      </w:r>
      <w:r>
        <w:rPr>
          <w:b/>
        </w:rPr>
        <w:tab/>
      </w:r>
      <w:r w:rsidR="004777B6">
        <w:rPr>
          <w:b/>
        </w:rPr>
        <w:t>A</w:t>
      </w:r>
      <w:r w:rsidR="004777B6" w:rsidRPr="00B371B9">
        <w:rPr>
          <w:b/>
        </w:rPr>
        <w:t xml:space="preserve"> </w:t>
      </w:r>
      <w:r w:rsidR="004150D2" w:rsidRPr="00B371B9">
        <w:rPr>
          <w:b/>
        </w:rPr>
        <w:t xml:space="preserve">description of the compensation package given in each settlement and its </w:t>
      </w:r>
      <w:r w:rsidR="00056BC0">
        <w:rPr>
          <w:b/>
        </w:rPr>
        <w:t>current market</w:t>
      </w:r>
      <w:r w:rsidR="00FE5E95">
        <w:rPr>
          <w:b/>
        </w:rPr>
        <w:t xml:space="preserve"> value</w:t>
      </w:r>
      <w:r w:rsidR="004150D2" w:rsidRPr="00B371B9">
        <w:rPr>
          <w:b/>
        </w:rPr>
        <w:t>;</w:t>
      </w:r>
      <w:r w:rsidR="00462B34" w:rsidRPr="00B371B9">
        <w:rPr>
          <w:b/>
        </w:rPr>
        <w:t xml:space="preserve"> </w:t>
      </w:r>
    </w:p>
    <w:p w14:paraId="30DCD460" w14:textId="24B4BDED" w:rsidR="00C76BAC" w:rsidRDefault="00FD4C4D" w:rsidP="00B57DDD">
      <w:pPr>
        <w:pStyle w:val="SingleTxtG"/>
        <w:ind w:firstLine="567"/>
        <w:rPr>
          <w:b/>
        </w:rPr>
      </w:pPr>
      <w:r w:rsidRPr="00B57DDD">
        <w:t>(d)</w:t>
      </w:r>
      <w:r>
        <w:rPr>
          <w:b/>
        </w:rPr>
        <w:tab/>
      </w:r>
      <w:r w:rsidR="00D4797E">
        <w:rPr>
          <w:b/>
        </w:rPr>
        <w:t>T</w:t>
      </w:r>
      <w:r w:rsidR="0003587C">
        <w:rPr>
          <w:b/>
        </w:rPr>
        <w:t xml:space="preserve">he </w:t>
      </w:r>
      <w:r w:rsidR="00021ED4">
        <w:rPr>
          <w:b/>
        </w:rPr>
        <w:t>percentage</w:t>
      </w:r>
      <w:r w:rsidR="00462B34" w:rsidRPr="00B371B9">
        <w:rPr>
          <w:b/>
        </w:rPr>
        <w:t xml:space="preserve"> of land under the ownership of </w:t>
      </w:r>
      <w:r w:rsidR="005E77F7" w:rsidRPr="00960E42">
        <w:rPr>
          <w:b/>
        </w:rPr>
        <w:t>M</w:t>
      </w:r>
      <w:r w:rsidR="00C87A05">
        <w:rPr>
          <w:b/>
        </w:rPr>
        <w:t>a</w:t>
      </w:r>
      <w:r w:rsidR="005E77F7" w:rsidRPr="00960E42">
        <w:rPr>
          <w:b/>
        </w:rPr>
        <w:t>ori</w:t>
      </w:r>
      <w:r w:rsidR="005E77F7" w:rsidRPr="00B371B9">
        <w:t xml:space="preserve"> </w:t>
      </w:r>
      <w:r w:rsidR="00462B34" w:rsidRPr="00B371B9">
        <w:rPr>
          <w:b/>
        </w:rPr>
        <w:t xml:space="preserve">who declined to engage with the settlement process; </w:t>
      </w:r>
    </w:p>
    <w:p w14:paraId="6D363DEE" w14:textId="44E7001E" w:rsidR="00D132A7" w:rsidRPr="00B371B9" w:rsidRDefault="00FD4C4D" w:rsidP="00B57DDD">
      <w:pPr>
        <w:pStyle w:val="SingleTxtG"/>
        <w:ind w:firstLine="567"/>
        <w:rPr>
          <w:b/>
        </w:rPr>
      </w:pPr>
      <w:r w:rsidRPr="00B57DDD">
        <w:t>(e)</w:t>
      </w:r>
      <w:r>
        <w:rPr>
          <w:b/>
        </w:rPr>
        <w:tab/>
      </w:r>
      <w:r w:rsidR="00D4797E">
        <w:rPr>
          <w:b/>
        </w:rPr>
        <w:t>W</w:t>
      </w:r>
      <w:r w:rsidR="00076734">
        <w:rPr>
          <w:b/>
        </w:rPr>
        <w:t>hether</w:t>
      </w:r>
      <w:r w:rsidR="0014175B">
        <w:rPr>
          <w:b/>
        </w:rPr>
        <w:t>,</w:t>
      </w:r>
      <w:r w:rsidR="00076734">
        <w:rPr>
          <w:b/>
        </w:rPr>
        <w:t xml:space="preserve"> in </w:t>
      </w:r>
      <w:r w:rsidR="00960E42">
        <w:rPr>
          <w:b/>
        </w:rPr>
        <w:t xml:space="preserve">the </w:t>
      </w:r>
      <w:r w:rsidR="00076734">
        <w:rPr>
          <w:b/>
        </w:rPr>
        <w:t>view of the S</w:t>
      </w:r>
      <w:r w:rsidR="00462B34" w:rsidRPr="00B371B9">
        <w:rPr>
          <w:b/>
        </w:rPr>
        <w:t xml:space="preserve">tate party, completion of the settlement process will extinguish the rights under the </w:t>
      </w:r>
      <w:r w:rsidR="0014175B">
        <w:rPr>
          <w:b/>
        </w:rPr>
        <w:t>t</w:t>
      </w:r>
      <w:r w:rsidR="00462B34" w:rsidRPr="00B371B9">
        <w:rPr>
          <w:b/>
        </w:rPr>
        <w:t>reaty.</w:t>
      </w:r>
      <w:r w:rsidR="004150D2" w:rsidRPr="00B371B9">
        <w:rPr>
          <w:b/>
        </w:rPr>
        <w:t xml:space="preserve"> </w:t>
      </w:r>
    </w:p>
    <w:p w14:paraId="6D0F07FD" w14:textId="6CFC62A0" w:rsidR="008453BB" w:rsidRPr="00B371B9" w:rsidRDefault="00A24F10" w:rsidP="00A24F10">
      <w:pPr>
        <w:pStyle w:val="H23G"/>
        <w:rPr>
          <w:lang w:val="en-US"/>
        </w:rPr>
      </w:pPr>
      <w:r>
        <w:tab/>
      </w:r>
      <w:r>
        <w:tab/>
      </w:r>
      <w:r w:rsidR="008453BB" w:rsidRPr="00277AC0">
        <w:t>M</w:t>
      </w:r>
      <w:r w:rsidR="00C87A05">
        <w:t>a</w:t>
      </w:r>
      <w:r w:rsidR="008453BB" w:rsidRPr="00277AC0">
        <w:t>ori</w:t>
      </w:r>
      <w:r w:rsidR="008453BB" w:rsidRPr="00B371B9">
        <w:t xml:space="preserve"> </w:t>
      </w:r>
      <w:r w:rsidR="008453BB">
        <w:rPr>
          <w:lang w:val="en-US"/>
        </w:rPr>
        <w:t>i</w:t>
      </w:r>
      <w:r w:rsidR="008453BB" w:rsidRPr="00B371B9">
        <w:rPr>
          <w:lang w:val="en-US"/>
        </w:rPr>
        <w:t>ntellectual and cultural property rights</w:t>
      </w:r>
    </w:p>
    <w:p w14:paraId="74B2641A" w14:textId="1F616967" w:rsidR="008453BB" w:rsidRDefault="008A7396" w:rsidP="008A7396">
      <w:pPr>
        <w:pStyle w:val="SingleTxtG"/>
        <w:rPr>
          <w:strike/>
          <w:lang w:val="en-US"/>
        </w:rPr>
      </w:pPr>
      <w:r>
        <w:rPr>
          <w:lang w:val="en-US"/>
        </w:rPr>
        <w:t>16.</w:t>
      </w:r>
      <w:r>
        <w:rPr>
          <w:lang w:val="en-US"/>
        </w:rPr>
        <w:tab/>
      </w:r>
      <w:r w:rsidR="008453BB" w:rsidRPr="00B371B9">
        <w:rPr>
          <w:lang w:val="en-US"/>
        </w:rPr>
        <w:t>While noting the steps taken, the Committee is concerned about the lack of progress in implementing the</w:t>
      </w:r>
      <w:r w:rsidR="00FA4315">
        <w:rPr>
          <w:lang w:val="en-US"/>
        </w:rPr>
        <w:t xml:space="preserve"> recommendations contained in the</w:t>
      </w:r>
      <w:r w:rsidR="008453BB" w:rsidRPr="00B371B9">
        <w:rPr>
          <w:lang w:val="en-US"/>
        </w:rPr>
        <w:t xml:space="preserve"> </w:t>
      </w:r>
      <w:r w:rsidR="008453BB" w:rsidRPr="00B371B9">
        <w:t>Waitangi Tribunal’s 2011 Wai 262 report regarding</w:t>
      </w:r>
      <w:r w:rsidR="00644622">
        <w:t>, among other issues,</w:t>
      </w:r>
      <w:r w:rsidR="008453BB" w:rsidRPr="00B371B9">
        <w:t xml:space="preserve"> M</w:t>
      </w:r>
      <w:r w:rsidR="00C87A05">
        <w:t>a</w:t>
      </w:r>
      <w:r w:rsidR="008453BB" w:rsidRPr="00B371B9">
        <w:t xml:space="preserve">ori intellectual and cultural property rights </w:t>
      </w:r>
      <w:r w:rsidR="008453BB">
        <w:t xml:space="preserve">and </w:t>
      </w:r>
      <w:r w:rsidR="008453BB" w:rsidRPr="00B371B9">
        <w:t>M</w:t>
      </w:r>
      <w:r w:rsidR="00C87A05">
        <w:t>a</w:t>
      </w:r>
      <w:r w:rsidR="008453BB" w:rsidRPr="00B371B9">
        <w:t>ori treasured possessions</w:t>
      </w:r>
      <w:r w:rsidR="00842ACE">
        <w:t>,</w:t>
      </w:r>
      <w:r w:rsidR="008453BB" w:rsidRPr="00B371B9">
        <w:t xml:space="preserve"> including language, culture and knowledge</w:t>
      </w:r>
      <w:r w:rsidR="008453BB">
        <w:t xml:space="preserve"> (art.</w:t>
      </w:r>
      <w:r w:rsidR="00B50ABF">
        <w:t> </w:t>
      </w:r>
      <w:r w:rsidR="008453BB">
        <w:t>5)</w:t>
      </w:r>
      <w:r w:rsidR="00F22F7D">
        <w:t>.</w:t>
      </w:r>
    </w:p>
    <w:p w14:paraId="5DDFC82B" w14:textId="2B8EC67D" w:rsidR="008453BB" w:rsidRPr="0073065B" w:rsidRDefault="008A7396" w:rsidP="008A7396">
      <w:pPr>
        <w:pStyle w:val="SingleTxtG"/>
        <w:rPr>
          <w:strike/>
          <w:lang w:val="en-US"/>
        </w:rPr>
      </w:pPr>
      <w:r w:rsidRPr="0073065B">
        <w:rPr>
          <w:lang w:val="en-US"/>
        </w:rPr>
        <w:t>17.</w:t>
      </w:r>
      <w:r w:rsidRPr="0073065B">
        <w:rPr>
          <w:lang w:val="en-US"/>
        </w:rPr>
        <w:tab/>
      </w:r>
      <w:r w:rsidR="008453BB" w:rsidRPr="0019080D">
        <w:rPr>
          <w:b/>
        </w:rPr>
        <w:t>The Committee recommends that the State party produce and publish</w:t>
      </w:r>
      <w:r w:rsidR="008453BB" w:rsidRPr="0019080D">
        <w:rPr>
          <w:b/>
          <w:lang w:val="en-US"/>
        </w:rPr>
        <w:t xml:space="preserve"> a plan with targets and a timetable for implementing the remainder of the recommendations </w:t>
      </w:r>
      <w:r w:rsidR="00155FA3">
        <w:rPr>
          <w:b/>
          <w:lang w:val="en-US"/>
        </w:rPr>
        <w:t xml:space="preserve">contained </w:t>
      </w:r>
      <w:r w:rsidR="00D031EB">
        <w:rPr>
          <w:b/>
          <w:lang w:val="en-US"/>
        </w:rPr>
        <w:t xml:space="preserve">in the </w:t>
      </w:r>
      <w:r w:rsidR="008453BB" w:rsidRPr="0019080D">
        <w:rPr>
          <w:b/>
          <w:lang w:val="en-US"/>
        </w:rPr>
        <w:t xml:space="preserve">Wai 262 decision. </w:t>
      </w:r>
      <w:r w:rsidR="008C301D">
        <w:rPr>
          <w:b/>
          <w:lang w:val="en-US"/>
        </w:rPr>
        <w:t>It also</w:t>
      </w:r>
      <w:r w:rsidR="008453BB" w:rsidRPr="0019080D">
        <w:rPr>
          <w:b/>
          <w:lang w:val="en-US"/>
        </w:rPr>
        <w:t xml:space="preserve"> recommends that the State </w:t>
      </w:r>
      <w:r w:rsidR="008453BB" w:rsidRPr="00C203CA">
        <w:rPr>
          <w:b/>
        </w:rPr>
        <w:t>party</w:t>
      </w:r>
      <w:r w:rsidR="0015770E">
        <w:rPr>
          <w:b/>
          <w:lang w:val="en-US"/>
        </w:rPr>
        <w:t xml:space="preserve"> take</w:t>
      </w:r>
      <w:r w:rsidR="008453BB" w:rsidRPr="0019080D">
        <w:rPr>
          <w:b/>
          <w:lang w:val="en-US"/>
        </w:rPr>
        <w:t xml:space="preserve"> the steps</w:t>
      </w:r>
      <w:r w:rsidR="00155FA3">
        <w:rPr>
          <w:b/>
          <w:lang w:val="en-US"/>
        </w:rPr>
        <w:t xml:space="preserve"> </w:t>
      </w:r>
      <w:r w:rsidR="00155FA3" w:rsidRPr="0019080D">
        <w:rPr>
          <w:b/>
          <w:lang w:val="en-US"/>
        </w:rPr>
        <w:t>necessary</w:t>
      </w:r>
      <w:r w:rsidR="008453BB" w:rsidRPr="0019080D">
        <w:rPr>
          <w:b/>
          <w:lang w:val="en-US"/>
        </w:rPr>
        <w:t xml:space="preserve"> to freeze recognition</w:t>
      </w:r>
      <w:r w:rsidR="00CE7527">
        <w:rPr>
          <w:b/>
          <w:lang w:val="en-US"/>
        </w:rPr>
        <w:t xml:space="preserve"> of the validity of </w:t>
      </w:r>
      <w:r w:rsidR="008453BB" w:rsidRPr="0019080D">
        <w:rPr>
          <w:b/>
          <w:lang w:val="en-US"/>
        </w:rPr>
        <w:t xml:space="preserve">acts taken </w:t>
      </w:r>
      <w:r w:rsidR="00CE7527">
        <w:rPr>
          <w:b/>
          <w:lang w:val="en-US"/>
        </w:rPr>
        <w:t xml:space="preserve">under the framework established </w:t>
      </w:r>
      <w:r w:rsidR="00155FA3">
        <w:rPr>
          <w:b/>
          <w:lang w:val="en-US"/>
        </w:rPr>
        <w:t>in</w:t>
      </w:r>
      <w:r w:rsidR="00CE7527">
        <w:rPr>
          <w:b/>
          <w:lang w:val="en-US"/>
        </w:rPr>
        <w:t xml:space="preserve"> the Wai</w:t>
      </w:r>
      <w:r w:rsidR="008453BB" w:rsidRPr="0019080D">
        <w:rPr>
          <w:b/>
          <w:lang w:val="en-US"/>
        </w:rPr>
        <w:t xml:space="preserve"> 262 report</w:t>
      </w:r>
      <w:r w:rsidR="00CE7527">
        <w:rPr>
          <w:b/>
          <w:lang w:val="en-US"/>
        </w:rPr>
        <w:t xml:space="preserve"> that do not comply with the Treaty of Waitangi and the </w:t>
      </w:r>
      <w:r w:rsidR="00155FA3">
        <w:rPr>
          <w:b/>
          <w:lang w:val="en-US"/>
        </w:rPr>
        <w:t>United Nations</w:t>
      </w:r>
      <w:r w:rsidR="00151F02">
        <w:rPr>
          <w:b/>
          <w:lang w:val="en-US"/>
        </w:rPr>
        <w:t xml:space="preserve"> Declaration on the Rights of Indigenous Peoples.</w:t>
      </w:r>
    </w:p>
    <w:p w14:paraId="7FB814A5" w14:textId="5D7A741D" w:rsidR="00AB26D6" w:rsidRPr="00B371B9" w:rsidRDefault="00D4797E" w:rsidP="00D4797E">
      <w:pPr>
        <w:pStyle w:val="H23G"/>
        <w:rPr>
          <w:strike/>
          <w:lang w:val="en-US"/>
        </w:rPr>
      </w:pPr>
      <w:r>
        <w:tab/>
      </w:r>
      <w:r>
        <w:tab/>
      </w:r>
      <w:r w:rsidR="00AB26D6" w:rsidRPr="00B371B9">
        <w:t>Special Housing Area</w:t>
      </w:r>
      <w:r w:rsidR="00ED06D3" w:rsidRPr="00B371B9">
        <w:t xml:space="preserve"> 62</w:t>
      </w:r>
    </w:p>
    <w:p w14:paraId="53FCEC16" w14:textId="5ADEAC8F" w:rsidR="00011D1D" w:rsidRPr="00B371B9" w:rsidRDefault="008A7396" w:rsidP="008A7396">
      <w:pPr>
        <w:pStyle w:val="SingleTxtG"/>
        <w:rPr>
          <w:lang w:val="en-US"/>
        </w:rPr>
      </w:pPr>
      <w:r w:rsidRPr="00B371B9">
        <w:rPr>
          <w:lang w:val="en-US"/>
        </w:rPr>
        <w:t>18.</w:t>
      </w:r>
      <w:r w:rsidRPr="00B371B9">
        <w:rPr>
          <w:lang w:val="en-US"/>
        </w:rPr>
        <w:tab/>
      </w:r>
      <w:r w:rsidR="00DD7D97">
        <w:rPr>
          <w:lang w:val="en-US"/>
        </w:rPr>
        <w:t>T</w:t>
      </w:r>
      <w:r w:rsidR="00C46D07" w:rsidRPr="00B371B9">
        <w:t xml:space="preserve">he Committee is concerned by </w:t>
      </w:r>
      <w:r w:rsidR="00B76FE2" w:rsidRPr="00B371B9">
        <w:t xml:space="preserve">conflicting information </w:t>
      </w:r>
      <w:r w:rsidR="00E76F35">
        <w:t xml:space="preserve">regarding consultation with </w:t>
      </w:r>
      <w:r w:rsidR="00C46D07" w:rsidRPr="00B371B9">
        <w:t>local M</w:t>
      </w:r>
      <w:r w:rsidR="00C87A05">
        <w:t>a</w:t>
      </w:r>
      <w:r w:rsidR="00C46D07" w:rsidRPr="00B371B9">
        <w:t>ori</w:t>
      </w:r>
      <w:r w:rsidR="001C6B72">
        <w:t xml:space="preserve"> in connection with the designation of Special Housing Area 62 </w:t>
      </w:r>
      <w:r w:rsidR="002560D0" w:rsidRPr="00B371B9">
        <w:t xml:space="preserve">at </w:t>
      </w:r>
      <w:proofErr w:type="spellStart"/>
      <w:r w:rsidR="002560D0" w:rsidRPr="00B371B9">
        <w:t>Ihum</w:t>
      </w:r>
      <w:r w:rsidR="00C87A05">
        <w:t>a</w:t>
      </w:r>
      <w:r w:rsidR="002560D0" w:rsidRPr="00B371B9">
        <w:t>tao</w:t>
      </w:r>
      <w:proofErr w:type="spellEnd"/>
      <w:r w:rsidR="002560D0" w:rsidRPr="00B371B9">
        <w:t xml:space="preserve"> </w:t>
      </w:r>
      <w:r w:rsidR="00C46D07" w:rsidRPr="00B371B9">
        <w:t>on la</w:t>
      </w:r>
      <w:r w:rsidR="005068D0" w:rsidRPr="00B371B9">
        <w:t xml:space="preserve">nd </w:t>
      </w:r>
      <w:r w:rsidR="00565D0F" w:rsidRPr="00B371B9">
        <w:t>traditionally and currently occupied by M</w:t>
      </w:r>
      <w:r w:rsidR="00C87A05">
        <w:t>a</w:t>
      </w:r>
      <w:r w:rsidR="00565D0F" w:rsidRPr="00B371B9">
        <w:t>ori</w:t>
      </w:r>
      <w:r w:rsidR="001C6B72">
        <w:t>.</w:t>
      </w:r>
      <w:r w:rsidR="00C46D07" w:rsidRPr="00B371B9">
        <w:t xml:space="preserve"> </w:t>
      </w:r>
      <w:r w:rsidR="00B76FE2" w:rsidRPr="00B371B9">
        <w:t xml:space="preserve">The Committee notes that this land has been sold </w:t>
      </w:r>
      <w:r w:rsidR="009D76DB" w:rsidRPr="00B371B9">
        <w:t>to a commercial developer who is required to actively mitigate the effects of development</w:t>
      </w:r>
      <w:r w:rsidR="00B76FE2" w:rsidRPr="00B371B9">
        <w:t xml:space="preserve">. While noting the State party’s position that </w:t>
      </w:r>
      <w:r w:rsidR="00FA7FDB" w:rsidRPr="00B371B9">
        <w:t xml:space="preserve">it </w:t>
      </w:r>
      <w:r w:rsidR="00B76FE2" w:rsidRPr="00B371B9">
        <w:t xml:space="preserve">adequately consulted </w:t>
      </w:r>
      <w:r w:rsidR="0085737D">
        <w:t xml:space="preserve">and obtained support from </w:t>
      </w:r>
      <w:r w:rsidR="00FA7FDB" w:rsidRPr="00B371B9">
        <w:t>M</w:t>
      </w:r>
      <w:r w:rsidR="00C87A05">
        <w:t>a</w:t>
      </w:r>
      <w:r w:rsidR="00FA7FDB" w:rsidRPr="00B371B9">
        <w:t>ori</w:t>
      </w:r>
      <w:r w:rsidR="00565D0F" w:rsidRPr="00B371B9">
        <w:t xml:space="preserve"> authorities</w:t>
      </w:r>
      <w:r w:rsidR="0085737D">
        <w:t xml:space="preserve"> regarding the designatio</w:t>
      </w:r>
      <w:r w:rsidR="00747402">
        <w:t>n,</w:t>
      </w:r>
      <w:r w:rsidR="00394417">
        <w:t xml:space="preserve"> </w:t>
      </w:r>
      <w:r w:rsidR="00B76FE2" w:rsidRPr="00B371B9">
        <w:t>t</w:t>
      </w:r>
      <w:r w:rsidR="005068D0" w:rsidRPr="00B371B9">
        <w:t>he Committee is concerned</w:t>
      </w:r>
      <w:r w:rsidR="00B539D9" w:rsidRPr="00B371B9">
        <w:t xml:space="preserve"> </w:t>
      </w:r>
      <w:r w:rsidR="00B76FE2" w:rsidRPr="00B371B9">
        <w:t>by</w:t>
      </w:r>
      <w:r w:rsidR="00FD5268" w:rsidRPr="00B371B9">
        <w:t xml:space="preserve"> alternate</w:t>
      </w:r>
      <w:r w:rsidR="00FB7DCC" w:rsidRPr="00B371B9">
        <w:t xml:space="preserve"> </w:t>
      </w:r>
      <w:r w:rsidR="00B76FE2" w:rsidRPr="00B371B9">
        <w:t>reports that M</w:t>
      </w:r>
      <w:r w:rsidR="00C87A05">
        <w:t>a</w:t>
      </w:r>
      <w:r w:rsidR="00B76FE2" w:rsidRPr="00B371B9">
        <w:t xml:space="preserve">ori </w:t>
      </w:r>
      <w:r w:rsidR="00FB7DCC" w:rsidRPr="00B371B9">
        <w:t>have not had</w:t>
      </w:r>
      <w:r w:rsidR="00B76FE2" w:rsidRPr="00B371B9">
        <w:t xml:space="preserve"> the opportunity to</w:t>
      </w:r>
      <w:r w:rsidR="00F878B2">
        <w:t xml:space="preserve"> formally take part in decision-</w:t>
      </w:r>
      <w:r w:rsidR="00B76FE2" w:rsidRPr="00B371B9">
        <w:t>making with respect to use of the land</w:t>
      </w:r>
      <w:r w:rsidR="00C46D07" w:rsidRPr="00B371B9">
        <w:t xml:space="preserve"> </w:t>
      </w:r>
      <w:r w:rsidR="001B679D">
        <w:t>(arts.</w:t>
      </w:r>
      <w:r w:rsidR="00B50ABF">
        <w:t> </w:t>
      </w:r>
      <w:r w:rsidR="001B679D">
        <w:t>2</w:t>
      </w:r>
      <w:r w:rsidR="001F2E00">
        <w:t xml:space="preserve"> and</w:t>
      </w:r>
      <w:r w:rsidR="001B679D">
        <w:t xml:space="preserve"> 5)</w:t>
      </w:r>
      <w:r w:rsidR="00F22F7D">
        <w:t>.</w:t>
      </w:r>
    </w:p>
    <w:p w14:paraId="15707905" w14:textId="7D30F973" w:rsidR="00C46D07" w:rsidRPr="00B371B9" w:rsidRDefault="008A7396" w:rsidP="008A7396">
      <w:pPr>
        <w:pStyle w:val="SingleTxtG"/>
        <w:rPr>
          <w:b/>
        </w:rPr>
      </w:pPr>
      <w:r w:rsidRPr="00B371B9">
        <w:t>19.</w:t>
      </w:r>
      <w:r w:rsidRPr="00B371B9">
        <w:tab/>
      </w:r>
      <w:r w:rsidR="00C46D07" w:rsidRPr="00B371B9">
        <w:rPr>
          <w:b/>
        </w:rPr>
        <w:t>The Committee recommends that the State party review</w:t>
      </w:r>
      <w:r w:rsidR="001A0E98" w:rsidRPr="00B371B9">
        <w:rPr>
          <w:b/>
        </w:rPr>
        <w:t>, in consultation with</w:t>
      </w:r>
      <w:r w:rsidR="00011D1D" w:rsidRPr="00B371B9">
        <w:rPr>
          <w:b/>
        </w:rPr>
        <w:t xml:space="preserve"> all</w:t>
      </w:r>
      <w:r w:rsidR="001A0E98" w:rsidRPr="00B371B9">
        <w:rPr>
          <w:b/>
        </w:rPr>
        <w:t xml:space="preserve"> </w:t>
      </w:r>
      <w:r w:rsidR="0032345E" w:rsidRPr="00B371B9">
        <w:rPr>
          <w:b/>
        </w:rPr>
        <w:t>affected</w:t>
      </w:r>
      <w:r w:rsidR="001A0E98" w:rsidRPr="00B371B9">
        <w:rPr>
          <w:b/>
        </w:rPr>
        <w:t xml:space="preserve"> M</w:t>
      </w:r>
      <w:r w:rsidR="00C87A05">
        <w:rPr>
          <w:b/>
        </w:rPr>
        <w:t>a</w:t>
      </w:r>
      <w:r w:rsidR="001A0E98" w:rsidRPr="00B371B9">
        <w:rPr>
          <w:b/>
        </w:rPr>
        <w:t>ori,</w:t>
      </w:r>
      <w:r w:rsidR="00C46D07" w:rsidRPr="00B371B9">
        <w:rPr>
          <w:b/>
        </w:rPr>
        <w:t xml:space="preserve"> the designation of Special Housing Area 62 to evaluate its </w:t>
      </w:r>
      <w:r w:rsidR="00C46D07" w:rsidRPr="00B371B9">
        <w:rPr>
          <w:b/>
        </w:rPr>
        <w:lastRenderedPageBreak/>
        <w:t>conformity with the Treaty of Waitangi</w:t>
      </w:r>
      <w:r w:rsidR="008F5DF8" w:rsidRPr="00B371B9">
        <w:rPr>
          <w:b/>
        </w:rPr>
        <w:t>, the U</w:t>
      </w:r>
      <w:r w:rsidR="001F2E00">
        <w:rPr>
          <w:b/>
        </w:rPr>
        <w:t>nited Nations</w:t>
      </w:r>
      <w:r w:rsidR="008F5DF8" w:rsidRPr="00B371B9">
        <w:rPr>
          <w:b/>
        </w:rPr>
        <w:t xml:space="preserve"> Declaration on the Rights of Indigenous Peoples and other</w:t>
      </w:r>
      <w:r w:rsidR="00C46D07" w:rsidRPr="00B371B9">
        <w:rPr>
          <w:b/>
        </w:rPr>
        <w:t xml:space="preserve"> relevant international standards</w:t>
      </w:r>
      <w:r w:rsidR="00307310">
        <w:rPr>
          <w:b/>
        </w:rPr>
        <w:t xml:space="preserve">, and that the State </w:t>
      </w:r>
      <w:r w:rsidR="00307310" w:rsidRPr="00F52455">
        <w:rPr>
          <w:b/>
        </w:rPr>
        <w:t>party</w:t>
      </w:r>
      <w:r w:rsidR="00307310">
        <w:rPr>
          <w:b/>
        </w:rPr>
        <w:t xml:space="preserve"> </w:t>
      </w:r>
      <w:r w:rsidR="009D5AF5" w:rsidRPr="00B371B9">
        <w:rPr>
          <w:b/>
        </w:rPr>
        <w:t>obtain the free and informed consent of M</w:t>
      </w:r>
      <w:r w:rsidR="00C87A05">
        <w:rPr>
          <w:b/>
        </w:rPr>
        <w:t>a</w:t>
      </w:r>
      <w:r w:rsidR="009D5AF5" w:rsidRPr="00B371B9">
        <w:rPr>
          <w:b/>
        </w:rPr>
        <w:t>ori</w:t>
      </w:r>
      <w:r w:rsidR="009D5AF5" w:rsidRPr="00B371B9">
        <w:t xml:space="preserve"> </w:t>
      </w:r>
      <w:r w:rsidR="009D5AF5" w:rsidRPr="00B371B9">
        <w:rPr>
          <w:b/>
        </w:rPr>
        <w:t xml:space="preserve">before approving any project affecting the use and development of their traditional </w:t>
      </w:r>
      <w:r w:rsidR="00A862A0" w:rsidRPr="00B371B9">
        <w:rPr>
          <w:b/>
        </w:rPr>
        <w:t xml:space="preserve">land </w:t>
      </w:r>
      <w:r w:rsidR="009D5AF5" w:rsidRPr="00B371B9">
        <w:rPr>
          <w:b/>
        </w:rPr>
        <w:t xml:space="preserve">and resources. </w:t>
      </w:r>
    </w:p>
    <w:p w14:paraId="146E8E63" w14:textId="56CEAFB3" w:rsidR="00301552" w:rsidRPr="00B371B9" w:rsidRDefault="00D4797E" w:rsidP="00D4797E">
      <w:pPr>
        <w:pStyle w:val="H23G"/>
        <w:rPr>
          <w:lang w:val="en-US"/>
        </w:rPr>
      </w:pPr>
      <w:r>
        <w:rPr>
          <w:lang w:val="en-US"/>
        </w:rPr>
        <w:tab/>
      </w:r>
      <w:r>
        <w:rPr>
          <w:lang w:val="en-US"/>
        </w:rPr>
        <w:tab/>
      </w:r>
      <w:r w:rsidR="001A2FEF" w:rsidRPr="00B371B9">
        <w:rPr>
          <w:lang w:val="en-US"/>
        </w:rPr>
        <w:t>Marine and coastal rights</w:t>
      </w:r>
    </w:p>
    <w:p w14:paraId="70591B8B" w14:textId="2A0AD8EE" w:rsidR="006E1126" w:rsidRPr="00B371B9" w:rsidRDefault="008A7396" w:rsidP="008A7396">
      <w:pPr>
        <w:pStyle w:val="SingleTxtG"/>
        <w:rPr>
          <w:lang w:val="en-US"/>
        </w:rPr>
      </w:pPr>
      <w:r w:rsidRPr="00B371B9">
        <w:rPr>
          <w:lang w:val="en-US"/>
        </w:rPr>
        <w:t>20.</w:t>
      </w:r>
      <w:r w:rsidRPr="00B371B9">
        <w:rPr>
          <w:lang w:val="en-US"/>
        </w:rPr>
        <w:tab/>
      </w:r>
      <w:r w:rsidR="006E1126" w:rsidRPr="00B371B9">
        <w:rPr>
          <w:lang w:val="en-US"/>
        </w:rPr>
        <w:t xml:space="preserve">The Committee </w:t>
      </w:r>
      <w:r w:rsidR="000D0117">
        <w:rPr>
          <w:lang w:val="en-US"/>
        </w:rPr>
        <w:t>is</w:t>
      </w:r>
      <w:r w:rsidR="000D0117" w:rsidRPr="00B371B9">
        <w:rPr>
          <w:lang w:val="en-US"/>
        </w:rPr>
        <w:t xml:space="preserve"> </w:t>
      </w:r>
      <w:r w:rsidR="006E1126" w:rsidRPr="00B371B9">
        <w:rPr>
          <w:lang w:val="en-US"/>
        </w:rPr>
        <w:t>concerned about the application of the Marine and Coastal Area (</w:t>
      </w:r>
      <w:proofErr w:type="spellStart"/>
      <w:r w:rsidR="006E1126" w:rsidRPr="00A24F10">
        <w:t>Takutai</w:t>
      </w:r>
      <w:proofErr w:type="spellEnd"/>
      <w:r w:rsidR="006E1126" w:rsidRPr="00B371B9">
        <w:rPr>
          <w:lang w:val="en-US"/>
        </w:rPr>
        <w:t xml:space="preserve"> Moana) Act of 2011 on </w:t>
      </w:r>
      <w:r w:rsidR="00C463B7" w:rsidRPr="00B371B9">
        <w:t>M</w:t>
      </w:r>
      <w:r w:rsidR="00C87A05">
        <w:t>a</w:t>
      </w:r>
      <w:r w:rsidR="00C463B7" w:rsidRPr="00B371B9">
        <w:t xml:space="preserve">ori </w:t>
      </w:r>
      <w:r w:rsidR="006E1126" w:rsidRPr="00B371B9">
        <w:rPr>
          <w:lang w:val="en-US"/>
        </w:rPr>
        <w:t>land and resource rights</w:t>
      </w:r>
      <w:r w:rsidR="000D0117">
        <w:rPr>
          <w:lang w:val="en-US"/>
        </w:rPr>
        <w:t>,</w:t>
      </w:r>
      <w:r w:rsidR="00C129D5">
        <w:rPr>
          <w:lang w:val="en-US"/>
        </w:rPr>
        <w:t xml:space="preserve"> and </w:t>
      </w:r>
      <w:r w:rsidR="00326672" w:rsidRPr="00B371B9">
        <w:rPr>
          <w:lang w:val="en-US"/>
        </w:rPr>
        <w:t xml:space="preserve">by reports that the State party has </w:t>
      </w:r>
      <w:r w:rsidR="00005C70" w:rsidRPr="00B371B9">
        <w:rPr>
          <w:lang w:val="en-US"/>
        </w:rPr>
        <w:t xml:space="preserve">not attempted to review the Act in accordance with </w:t>
      </w:r>
      <w:r w:rsidR="00FA4315">
        <w:rPr>
          <w:lang w:val="en-US"/>
        </w:rPr>
        <w:t xml:space="preserve">the </w:t>
      </w:r>
      <w:r w:rsidR="00F95E57">
        <w:rPr>
          <w:lang w:val="en-US"/>
        </w:rPr>
        <w:t xml:space="preserve">relevant </w:t>
      </w:r>
      <w:r w:rsidR="00FA4315">
        <w:rPr>
          <w:lang w:val="en-US"/>
        </w:rPr>
        <w:t xml:space="preserve">recommendation contained in the previous concluding observations (see </w:t>
      </w:r>
      <w:r w:rsidR="00326672" w:rsidRPr="00B371B9">
        <w:rPr>
          <w:lang w:val="en-US"/>
        </w:rPr>
        <w:t>CERD/C/NZL/CO/18-20, para.</w:t>
      </w:r>
      <w:r w:rsidR="00B50ABF">
        <w:rPr>
          <w:lang w:val="en-US"/>
        </w:rPr>
        <w:t> </w:t>
      </w:r>
      <w:r w:rsidR="00326672" w:rsidRPr="00B371B9">
        <w:rPr>
          <w:lang w:val="en-US"/>
        </w:rPr>
        <w:t>13</w:t>
      </w:r>
      <w:r w:rsidR="00FA4315">
        <w:rPr>
          <w:lang w:val="en-US"/>
        </w:rPr>
        <w:t>)</w:t>
      </w:r>
      <w:r w:rsidR="00326672" w:rsidRPr="00B371B9">
        <w:rPr>
          <w:lang w:val="en-US"/>
        </w:rPr>
        <w:t>.</w:t>
      </w:r>
      <w:r w:rsidR="00B00B3C" w:rsidRPr="00B371B9">
        <w:rPr>
          <w:lang w:val="en-US"/>
        </w:rPr>
        <w:t xml:space="preserve"> </w:t>
      </w:r>
      <w:r w:rsidR="00AA1CA5">
        <w:rPr>
          <w:lang w:val="en-US"/>
        </w:rPr>
        <w:t>While noting</w:t>
      </w:r>
      <w:r w:rsidR="00B00B3C" w:rsidRPr="00B371B9">
        <w:rPr>
          <w:lang w:val="en-US"/>
        </w:rPr>
        <w:t xml:space="preserve"> </w:t>
      </w:r>
      <w:r w:rsidR="00EE53B9" w:rsidRPr="00B371B9">
        <w:rPr>
          <w:lang w:val="en-US"/>
        </w:rPr>
        <w:t>t</w:t>
      </w:r>
      <w:r w:rsidR="006D071D" w:rsidRPr="00B371B9">
        <w:rPr>
          <w:lang w:val="en-US"/>
        </w:rPr>
        <w:t xml:space="preserve">he delegation’s statement </w:t>
      </w:r>
      <w:r w:rsidR="00FC11F6">
        <w:rPr>
          <w:lang w:val="en-US"/>
        </w:rPr>
        <w:t xml:space="preserve">in this regard, </w:t>
      </w:r>
      <w:r w:rsidR="0028188E" w:rsidRPr="00B371B9">
        <w:rPr>
          <w:lang w:val="en-US"/>
        </w:rPr>
        <w:t>t</w:t>
      </w:r>
      <w:r w:rsidR="00005C70" w:rsidRPr="00B371B9">
        <w:rPr>
          <w:lang w:val="en-US"/>
        </w:rPr>
        <w:t xml:space="preserve">he Committee </w:t>
      </w:r>
      <w:r w:rsidR="0028188E" w:rsidRPr="00B371B9">
        <w:rPr>
          <w:lang w:val="en-US"/>
        </w:rPr>
        <w:t>remains</w:t>
      </w:r>
      <w:r w:rsidR="00005C70" w:rsidRPr="00B371B9">
        <w:rPr>
          <w:lang w:val="en-US"/>
        </w:rPr>
        <w:t xml:space="preserve"> concerned by reports </w:t>
      </w:r>
      <w:r w:rsidR="00B00B3C" w:rsidRPr="00B371B9">
        <w:rPr>
          <w:lang w:val="en-US"/>
        </w:rPr>
        <w:t xml:space="preserve">that the State party has not consistently applied the principle of free, prior and informed consent in matters affecting </w:t>
      </w:r>
      <w:r w:rsidR="000B1DC0" w:rsidRPr="00B371B9">
        <w:t>M</w:t>
      </w:r>
      <w:r w:rsidR="00C87A05">
        <w:t>a</w:t>
      </w:r>
      <w:r w:rsidR="000B1DC0" w:rsidRPr="00B371B9">
        <w:t xml:space="preserve">ori </w:t>
      </w:r>
      <w:r w:rsidR="00B00B3C" w:rsidRPr="00B371B9">
        <w:rPr>
          <w:lang w:val="en-US"/>
        </w:rPr>
        <w:t>customary marine interests</w:t>
      </w:r>
      <w:r w:rsidR="00D57D32" w:rsidRPr="00B371B9">
        <w:rPr>
          <w:lang w:val="en-US"/>
        </w:rPr>
        <w:t xml:space="preserve"> (arts.</w:t>
      </w:r>
      <w:r w:rsidR="00F22F7D">
        <w:rPr>
          <w:lang w:val="en-US"/>
        </w:rPr>
        <w:t> </w:t>
      </w:r>
      <w:r w:rsidR="00D57D32" w:rsidRPr="00B371B9">
        <w:rPr>
          <w:lang w:val="en-US"/>
        </w:rPr>
        <w:t>2, 5, 6</w:t>
      </w:r>
      <w:r w:rsidR="00DD1949">
        <w:rPr>
          <w:lang w:val="en-US"/>
        </w:rPr>
        <w:t>.</w:t>
      </w:r>
      <w:r w:rsidR="00D57D32" w:rsidRPr="00B371B9">
        <w:rPr>
          <w:lang w:val="en-US"/>
        </w:rPr>
        <w:t>)</w:t>
      </w:r>
      <w:r w:rsidR="00F22F7D">
        <w:rPr>
          <w:lang w:val="en-US"/>
        </w:rPr>
        <w:t>.</w:t>
      </w:r>
    </w:p>
    <w:p w14:paraId="25828A73" w14:textId="0724CE4B" w:rsidR="006E1126" w:rsidRPr="00B371B9" w:rsidRDefault="008A7396" w:rsidP="008A7396">
      <w:pPr>
        <w:pStyle w:val="SingleTxtG"/>
        <w:rPr>
          <w:b/>
          <w:lang w:val="en-US"/>
        </w:rPr>
      </w:pPr>
      <w:r w:rsidRPr="00B371B9">
        <w:rPr>
          <w:lang w:val="en-US"/>
        </w:rPr>
        <w:t>21.</w:t>
      </w:r>
      <w:r w:rsidRPr="00B371B9">
        <w:rPr>
          <w:lang w:val="en-US"/>
        </w:rPr>
        <w:tab/>
      </w:r>
      <w:r w:rsidR="006E1126" w:rsidRPr="00B371B9">
        <w:rPr>
          <w:b/>
          <w:lang w:val="en-US"/>
        </w:rPr>
        <w:t xml:space="preserve">The Committee </w:t>
      </w:r>
      <w:r w:rsidR="00A62154" w:rsidRPr="00B371B9">
        <w:rPr>
          <w:b/>
          <w:lang w:val="en-US"/>
        </w:rPr>
        <w:t>reiterates its recommendation that the State party review the Marine and Coastal Area (</w:t>
      </w:r>
      <w:proofErr w:type="spellStart"/>
      <w:r w:rsidR="00A62154" w:rsidRPr="00B371B9">
        <w:rPr>
          <w:b/>
          <w:lang w:val="en-US"/>
        </w:rPr>
        <w:t>Takutai</w:t>
      </w:r>
      <w:proofErr w:type="spellEnd"/>
      <w:r w:rsidR="00A62154" w:rsidRPr="00B371B9">
        <w:rPr>
          <w:b/>
          <w:lang w:val="en-US"/>
        </w:rPr>
        <w:t xml:space="preserve"> Moana) Act of 2011 with a view to </w:t>
      </w:r>
      <w:r w:rsidR="00297313" w:rsidRPr="008C7A4E">
        <w:rPr>
          <w:b/>
        </w:rPr>
        <w:t>respecting</w:t>
      </w:r>
      <w:r w:rsidR="00297313" w:rsidRPr="00B371B9">
        <w:rPr>
          <w:b/>
          <w:lang w:val="en-US"/>
        </w:rPr>
        <w:t xml:space="preserve"> and protecting </w:t>
      </w:r>
      <w:r w:rsidR="00A62154" w:rsidRPr="00B371B9">
        <w:rPr>
          <w:b/>
          <w:lang w:val="en-US"/>
        </w:rPr>
        <w:t xml:space="preserve">the full enjoyment by </w:t>
      </w:r>
      <w:r w:rsidR="00C463B7" w:rsidRPr="00B371B9">
        <w:rPr>
          <w:b/>
        </w:rPr>
        <w:t>M</w:t>
      </w:r>
      <w:r w:rsidR="00C87A05">
        <w:rPr>
          <w:b/>
        </w:rPr>
        <w:t>a</w:t>
      </w:r>
      <w:r w:rsidR="00C463B7" w:rsidRPr="00B371B9">
        <w:rPr>
          <w:b/>
        </w:rPr>
        <w:t>ori</w:t>
      </w:r>
      <w:r w:rsidR="00C463B7" w:rsidRPr="00B371B9">
        <w:t xml:space="preserve"> </w:t>
      </w:r>
      <w:r w:rsidR="00A62154" w:rsidRPr="00B371B9">
        <w:rPr>
          <w:b/>
          <w:lang w:val="en-US"/>
        </w:rPr>
        <w:t xml:space="preserve">communities </w:t>
      </w:r>
      <w:r w:rsidR="00884AA7" w:rsidRPr="00B371B9">
        <w:rPr>
          <w:b/>
          <w:lang w:val="en-US"/>
        </w:rPr>
        <w:t>of the</w:t>
      </w:r>
      <w:r w:rsidR="00070A5B">
        <w:rPr>
          <w:b/>
          <w:lang w:val="en-US"/>
        </w:rPr>
        <w:t>ir</w:t>
      </w:r>
      <w:r w:rsidR="00884AA7" w:rsidRPr="00B371B9">
        <w:rPr>
          <w:b/>
          <w:lang w:val="en-US"/>
        </w:rPr>
        <w:t xml:space="preserve"> rights </w:t>
      </w:r>
      <w:r w:rsidR="00A62154" w:rsidRPr="00B371B9">
        <w:rPr>
          <w:b/>
          <w:lang w:val="en-US"/>
        </w:rPr>
        <w:t xml:space="preserve">regarding the land and resources they traditionally own or use, and </w:t>
      </w:r>
      <w:r w:rsidR="00E572EB" w:rsidRPr="00B371B9">
        <w:rPr>
          <w:b/>
          <w:lang w:val="en-US"/>
        </w:rPr>
        <w:t>their</w:t>
      </w:r>
      <w:r w:rsidR="00A62154" w:rsidRPr="00B371B9">
        <w:rPr>
          <w:b/>
          <w:lang w:val="en-US"/>
        </w:rPr>
        <w:t xml:space="preserve"> access to places of cultural and traditional significance.</w:t>
      </w:r>
      <w:r w:rsidR="00524F7B" w:rsidRPr="00B371B9">
        <w:rPr>
          <w:b/>
          <w:lang w:val="en-US"/>
        </w:rPr>
        <w:t xml:space="preserve"> The Committee requests that the State party provide in its next periodic report </w:t>
      </w:r>
      <w:r w:rsidR="00AA7C55">
        <w:rPr>
          <w:b/>
          <w:lang w:val="en-US"/>
        </w:rPr>
        <w:t xml:space="preserve">all </w:t>
      </w:r>
      <w:r w:rsidR="009E02D5" w:rsidRPr="00B371B9">
        <w:rPr>
          <w:b/>
          <w:lang w:val="en-US"/>
        </w:rPr>
        <w:t xml:space="preserve">information on </w:t>
      </w:r>
      <w:r w:rsidR="00330343" w:rsidRPr="00B371B9">
        <w:rPr>
          <w:b/>
          <w:lang w:val="en-US"/>
        </w:rPr>
        <w:t xml:space="preserve">applications for recognition of </w:t>
      </w:r>
      <w:r w:rsidR="009E02D5" w:rsidRPr="00B371B9">
        <w:rPr>
          <w:b/>
          <w:lang w:val="en-US"/>
        </w:rPr>
        <w:t>cu</w:t>
      </w:r>
      <w:r w:rsidR="00330343" w:rsidRPr="00B371B9">
        <w:rPr>
          <w:b/>
          <w:lang w:val="en-US"/>
        </w:rPr>
        <w:t xml:space="preserve">stomary interests </w:t>
      </w:r>
      <w:r w:rsidR="003845F9" w:rsidRPr="00B371B9">
        <w:rPr>
          <w:b/>
          <w:lang w:val="en-US"/>
        </w:rPr>
        <w:t>in the common marine and coastal area</w:t>
      </w:r>
      <w:r w:rsidR="009E02D5" w:rsidRPr="00B371B9">
        <w:rPr>
          <w:b/>
          <w:lang w:val="en-US"/>
        </w:rPr>
        <w:t>.</w:t>
      </w:r>
    </w:p>
    <w:p w14:paraId="1C06276F" w14:textId="3031CFF0" w:rsidR="005A5648" w:rsidRPr="00B371B9" w:rsidRDefault="00D4797E" w:rsidP="00D4797E">
      <w:pPr>
        <w:pStyle w:val="H23G"/>
      </w:pPr>
      <w:r>
        <w:tab/>
      </w:r>
      <w:r>
        <w:tab/>
      </w:r>
      <w:r w:rsidR="005259F8" w:rsidRPr="00B371B9">
        <w:t>Freshwater</w:t>
      </w:r>
      <w:r w:rsidR="00941D54" w:rsidRPr="00B371B9">
        <w:t xml:space="preserve"> and</w:t>
      </w:r>
      <w:r w:rsidR="005259F8" w:rsidRPr="00B371B9">
        <w:t xml:space="preserve"> </w:t>
      </w:r>
      <w:r w:rsidR="005A5648" w:rsidRPr="00B371B9">
        <w:t>geothermal resources</w:t>
      </w:r>
    </w:p>
    <w:p w14:paraId="33239601" w14:textId="1CB281A8" w:rsidR="005A5648" w:rsidRPr="00B371B9" w:rsidRDefault="008A7396" w:rsidP="008A7396">
      <w:pPr>
        <w:pStyle w:val="SingleTxtG"/>
        <w:rPr>
          <w:rStyle w:val="FootnoteReference"/>
          <w:sz w:val="20"/>
          <w:vertAlign w:val="baseline"/>
        </w:rPr>
      </w:pPr>
      <w:r w:rsidRPr="00B371B9">
        <w:rPr>
          <w:rStyle w:val="FootnoteReference"/>
          <w:sz w:val="20"/>
          <w:vertAlign w:val="baseline"/>
        </w:rPr>
        <w:t>22.</w:t>
      </w:r>
      <w:r w:rsidRPr="00B371B9">
        <w:rPr>
          <w:rStyle w:val="FootnoteReference"/>
          <w:sz w:val="20"/>
          <w:vertAlign w:val="baseline"/>
        </w:rPr>
        <w:tab/>
      </w:r>
      <w:r w:rsidR="005C1198">
        <w:t>T</w:t>
      </w:r>
      <w:r w:rsidR="005C1198" w:rsidRPr="00B371B9">
        <w:rPr>
          <w:lang w:val="en-US"/>
        </w:rPr>
        <w:t xml:space="preserve">he Committee is </w:t>
      </w:r>
      <w:r w:rsidR="005C1198" w:rsidRPr="00B371B9">
        <w:t xml:space="preserve">concerned by reports that the State party has granted private companies the right to use freshwater resources located on traditional </w:t>
      </w:r>
      <w:r w:rsidR="005C1198" w:rsidRPr="00B371B9">
        <w:rPr>
          <w:lang w:val="en-US"/>
        </w:rPr>
        <w:t>M</w:t>
      </w:r>
      <w:r w:rsidR="00C87A05">
        <w:rPr>
          <w:lang w:val="en-US"/>
        </w:rPr>
        <w:t>a</w:t>
      </w:r>
      <w:r w:rsidR="005C1198" w:rsidRPr="00B371B9">
        <w:rPr>
          <w:lang w:val="en-US"/>
        </w:rPr>
        <w:t xml:space="preserve">ori </w:t>
      </w:r>
      <w:r w:rsidR="005C1198" w:rsidRPr="00B371B9">
        <w:t>land despite consistent opposition by local M</w:t>
      </w:r>
      <w:r w:rsidR="00C87A05">
        <w:t>a</w:t>
      </w:r>
      <w:r w:rsidR="005C1198" w:rsidRPr="00B371B9">
        <w:t>ori</w:t>
      </w:r>
      <w:r w:rsidR="005C1198">
        <w:t>.</w:t>
      </w:r>
      <w:r w:rsidR="005C1198" w:rsidRPr="00B371B9">
        <w:t xml:space="preserve"> </w:t>
      </w:r>
      <w:r w:rsidR="005A5648" w:rsidRPr="00B371B9">
        <w:rPr>
          <w:lang w:val="en-US"/>
        </w:rPr>
        <w:t xml:space="preserve">The Committee welcomes the </w:t>
      </w:r>
      <w:r w:rsidR="001A356B" w:rsidRPr="00B371B9">
        <w:rPr>
          <w:lang w:val="en-US"/>
        </w:rPr>
        <w:t>adoption of the</w:t>
      </w:r>
      <w:r w:rsidR="00794ADA" w:rsidRPr="00B371B9">
        <w:rPr>
          <w:lang w:val="en-US"/>
        </w:rPr>
        <w:t xml:space="preserve"> </w:t>
      </w:r>
      <w:proofErr w:type="spellStart"/>
      <w:r w:rsidR="001C1C83" w:rsidRPr="00B371B9">
        <w:rPr>
          <w:lang w:val="en-US"/>
        </w:rPr>
        <w:t>Te</w:t>
      </w:r>
      <w:proofErr w:type="spellEnd"/>
      <w:r w:rsidR="001C1C83" w:rsidRPr="00B371B9">
        <w:rPr>
          <w:lang w:val="en-US"/>
        </w:rPr>
        <w:t xml:space="preserve"> Awa </w:t>
      </w:r>
      <w:proofErr w:type="spellStart"/>
      <w:r w:rsidR="001C1C83" w:rsidRPr="00B371B9">
        <w:rPr>
          <w:lang w:val="en-US"/>
        </w:rPr>
        <w:t>Tupua</w:t>
      </w:r>
      <w:proofErr w:type="spellEnd"/>
      <w:r w:rsidR="001C1C83" w:rsidRPr="00B371B9">
        <w:rPr>
          <w:lang w:val="en-US"/>
        </w:rPr>
        <w:t xml:space="preserve"> (Whanganui River Claims Settlement) </w:t>
      </w:r>
      <w:r w:rsidR="001A356B" w:rsidRPr="00B371B9">
        <w:rPr>
          <w:lang w:val="en-US"/>
        </w:rPr>
        <w:t>Act</w:t>
      </w:r>
      <w:r w:rsidR="00070A5B">
        <w:rPr>
          <w:lang w:val="en-US"/>
        </w:rPr>
        <w:t xml:space="preserve"> of 2017</w:t>
      </w:r>
      <w:r w:rsidR="00887F95">
        <w:rPr>
          <w:lang w:val="en-US"/>
        </w:rPr>
        <w:t xml:space="preserve">. The Committee </w:t>
      </w:r>
      <w:r w:rsidR="005C7396" w:rsidRPr="00B371B9">
        <w:rPr>
          <w:lang w:val="en-US"/>
        </w:rPr>
        <w:t xml:space="preserve">notes with interest the State party’s efforts to engage and consult with </w:t>
      </w:r>
      <w:r w:rsidR="005C7396" w:rsidRPr="00842ACE">
        <w:rPr>
          <w:lang w:val="en-US"/>
        </w:rPr>
        <w:t>iwi</w:t>
      </w:r>
      <w:r w:rsidR="004C38CE" w:rsidRPr="00842ACE">
        <w:rPr>
          <w:lang w:val="en-US"/>
        </w:rPr>
        <w:t xml:space="preserve"> and</w:t>
      </w:r>
      <w:r w:rsidR="005C7396" w:rsidRPr="00842ACE">
        <w:rPr>
          <w:lang w:val="en-US"/>
        </w:rPr>
        <w:t xml:space="preserve"> </w:t>
      </w:r>
      <w:proofErr w:type="spellStart"/>
      <w:r w:rsidR="00E572EB" w:rsidRPr="00C74CD5">
        <w:rPr>
          <w:lang w:val="en-US"/>
        </w:rPr>
        <w:t>hap</w:t>
      </w:r>
      <w:r w:rsidR="007E5E5C" w:rsidRPr="00C74CD5">
        <w:rPr>
          <w:lang w:val="en-US"/>
        </w:rPr>
        <w:t>u</w:t>
      </w:r>
      <w:proofErr w:type="spellEnd"/>
      <w:r w:rsidR="005C7396" w:rsidRPr="00B371B9">
        <w:rPr>
          <w:lang w:val="en-US"/>
        </w:rPr>
        <w:t xml:space="preserve"> concerning their freshwater right</w:t>
      </w:r>
      <w:r w:rsidR="00BD37DD" w:rsidRPr="00B371B9">
        <w:rPr>
          <w:lang w:val="en-US"/>
        </w:rPr>
        <w:t xml:space="preserve">s, and </w:t>
      </w:r>
      <w:r w:rsidR="006A1BCD">
        <w:rPr>
          <w:lang w:val="en-US"/>
        </w:rPr>
        <w:t>to provide advice</w:t>
      </w:r>
      <w:r w:rsidR="0097614A">
        <w:rPr>
          <w:lang w:val="en-US"/>
        </w:rPr>
        <w:t xml:space="preserve"> </w:t>
      </w:r>
      <w:r w:rsidR="00BD37DD" w:rsidRPr="00B371B9">
        <w:rPr>
          <w:lang w:val="en-US"/>
        </w:rPr>
        <w:t xml:space="preserve">to </w:t>
      </w:r>
      <w:r w:rsidR="00F87404" w:rsidRPr="00B371B9">
        <w:rPr>
          <w:lang w:val="en-US"/>
        </w:rPr>
        <w:t>M</w:t>
      </w:r>
      <w:r w:rsidR="00C87A05">
        <w:rPr>
          <w:lang w:val="en-US"/>
        </w:rPr>
        <w:t>a</w:t>
      </w:r>
      <w:r w:rsidR="00F87404" w:rsidRPr="00B371B9">
        <w:rPr>
          <w:lang w:val="en-US"/>
        </w:rPr>
        <w:t>ori</w:t>
      </w:r>
      <w:r w:rsidR="00BD37DD" w:rsidRPr="00B371B9">
        <w:rPr>
          <w:lang w:val="en-US"/>
        </w:rPr>
        <w:t xml:space="preserve"> </w:t>
      </w:r>
      <w:r w:rsidR="00BD37DD" w:rsidRPr="00A24F10">
        <w:t>organi</w:t>
      </w:r>
      <w:r w:rsidR="007E5E5C">
        <w:t>z</w:t>
      </w:r>
      <w:r w:rsidR="00BD37DD" w:rsidRPr="00A24F10">
        <w:t>ations</w:t>
      </w:r>
      <w:r w:rsidR="00BD37DD" w:rsidRPr="00B371B9">
        <w:rPr>
          <w:lang w:val="en-US"/>
        </w:rPr>
        <w:t xml:space="preserve"> on geothermal assets </w:t>
      </w:r>
      <w:r w:rsidR="00B17925" w:rsidRPr="00B371B9">
        <w:t>(arts.</w:t>
      </w:r>
      <w:r w:rsidR="00F22F7D">
        <w:t> </w:t>
      </w:r>
      <w:r w:rsidR="00B17925" w:rsidRPr="00B371B9">
        <w:t>2, 5</w:t>
      </w:r>
      <w:r w:rsidR="007E5E5C">
        <w:t xml:space="preserve"> and</w:t>
      </w:r>
      <w:r w:rsidR="00B17925" w:rsidRPr="00B371B9">
        <w:t xml:space="preserve"> 6)</w:t>
      </w:r>
      <w:r w:rsidR="00F22F7D">
        <w:t>.</w:t>
      </w:r>
      <w:r w:rsidR="00A60E39" w:rsidRPr="00B371B9">
        <w:rPr>
          <w:lang w:val="en-US"/>
        </w:rPr>
        <w:t xml:space="preserve"> </w:t>
      </w:r>
    </w:p>
    <w:p w14:paraId="773E858B" w14:textId="7A72AF0D" w:rsidR="005A5648" w:rsidRPr="00B371B9" w:rsidRDefault="008A7396" w:rsidP="008A7396">
      <w:pPr>
        <w:pStyle w:val="SingleTxtG"/>
        <w:rPr>
          <w:b/>
        </w:rPr>
      </w:pPr>
      <w:r w:rsidRPr="00B371B9">
        <w:t>23.</w:t>
      </w:r>
      <w:r w:rsidRPr="00B371B9">
        <w:tab/>
      </w:r>
      <w:r w:rsidR="005A5648" w:rsidRPr="00B371B9">
        <w:rPr>
          <w:b/>
        </w:rPr>
        <w:t xml:space="preserve">The </w:t>
      </w:r>
      <w:r w:rsidR="005A5648" w:rsidRPr="00C203CA">
        <w:rPr>
          <w:b/>
        </w:rPr>
        <w:t>Committee</w:t>
      </w:r>
      <w:r w:rsidR="005A5648" w:rsidRPr="00B371B9">
        <w:rPr>
          <w:b/>
        </w:rPr>
        <w:t xml:space="preserve"> </w:t>
      </w:r>
      <w:r w:rsidR="00D72312" w:rsidRPr="00B371B9">
        <w:rPr>
          <w:b/>
        </w:rPr>
        <w:t>urges</w:t>
      </w:r>
      <w:r w:rsidR="00CE5D10" w:rsidRPr="00B371B9">
        <w:rPr>
          <w:b/>
        </w:rPr>
        <w:t xml:space="preserve"> the State party ensure</w:t>
      </w:r>
      <w:r w:rsidR="00675330" w:rsidRPr="00B371B9">
        <w:rPr>
          <w:b/>
        </w:rPr>
        <w:t xml:space="preserve"> full respect for the rights of </w:t>
      </w:r>
      <w:r w:rsidR="00AB1485" w:rsidRPr="00B371B9">
        <w:rPr>
          <w:b/>
        </w:rPr>
        <w:t>M</w:t>
      </w:r>
      <w:r w:rsidR="00C87A05">
        <w:rPr>
          <w:b/>
        </w:rPr>
        <w:t>a</w:t>
      </w:r>
      <w:r w:rsidR="00AB1485" w:rsidRPr="00B371B9">
        <w:rPr>
          <w:b/>
        </w:rPr>
        <w:t>ori</w:t>
      </w:r>
      <w:r w:rsidR="00AB1485" w:rsidRPr="00B371B9">
        <w:t xml:space="preserve"> </w:t>
      </w:r>
      <w:r w:rsidR="00675330" w:rsidRPr="00B371B9">
        <w:rPr>
          <w:b/>
        </w:rPr>
        <w:t>communities to freshwater and geothermal resources, as protected by the Treaty of Waitangi</w:t>
      </w:r>
      <w:r w:rsidR="009758CC" w:rsidRPr="00B371B9">
        <w:rPr>
          <w:b/>
        </w:rPr>
        <w:t xml:space="preserve"> and in accordance with the provisions of the Convention</w:t>
      </w:r>
      <w:r w:rsidR="00675330" w:rsidRPr="00B371B9">
        <w:rPr>
          <w:b/>
        </w:rPr>
        <w:t>.</w:t>
      </w:r>
      <w:r w:rsidR="00CE5D10" w:rsidRPr="00B371B9">
        <w:rPr>
          <w:b/>
        </w:rPr>
        <w:t xml:space="preserve"> </w:t>
      </w:r>
    </w:p>
    <w:p w14:paraId="6932B576" w14:textId="46852BD2" w:rsidR="00E71611" w:rsidRPr="00B371B9" w:rsidRDefault="00D4797E" w:rsidP="00D4797E">
      <w:pPr>
        <w:pStyle w:val="H23G"/>
      </w:pPr>
      <w:r>
        <w:tab/>
      </w:r>
      <w:r>
        <w:tab/>
      </w:r>
      <w:r w:rsidR="00D31A34" w:rsidRPr="00B371B9">
        <w:t>Criminal justice</w:t>
      </w:r>
    </w:p>
    <w:p w14:paraId="596857B7" w14:textId="1461792F" w:rsidR="00C813D6" w:rsidRPr="00B371B9" w:rsidRDefault="008A7396" w:rsidP="008A7396">
      <w:pPr>
        <w:pStyle w:val="SingleTxtG"/>
      </w:pPr>
      <w:r w:rsidRPr="00B371B9">
        <w:t>24.</w:t>
      </w:r>
      <w:r w:rsidRPr="00B371B9">
        <w:tab/>
      </w:r>
      <w:r w:rsidR="000C5F90">
        <w:t>D</w:t>
      </w:r>
      <w:r w:rsidR="000C5F90" w:rsidRPr="00B371B9">
        <w:t>espite welcome reductions</w:t>
      </w:r>
      <w:r w:rsidR="007E5E5C">
        <w:t>, through commendable efforts,</w:t>
      </w:r>
      <w:r w:rsidR="000C5F90" w:rsidRPr="00B371B9">
        <w:t xml:space="preserve"> in </w:t>
      </w:r>
      <w:r w:rsidR="000C5F90" w:rsidRPr="00B371B9">
        <w:rPr>
          <w:lang w:val="en-US"/>
        </w:rPr>
        <w:t>M</w:t>
      </w:r>
      <w:r w:rsidR="00C87A05">
        <w:rPr>
          <w:lang w:val="en-US"/>
        </w:rPr>
        <w:t>a</w:t>
      </w:r>
      <w:r w:rsidR="000C5F90" w:rsidRPr="00B371B9">
        <w:rPr>
          <w:lang w:val="en-US"/>
        </w:rPr>
        <w:t xml:space="preserve">ori </w:t>
      </w:r>
      <w:r w:rsidR="000C5F90" w:rsidRPr="00B371B9">
        <w:t xml:space="preserve">adult and youth offending in recent years, the Committee is concerned </w:t>
      </w:r>
      <w:r w:rsidR="004E388B">
        <w:t>at</w:t>
      </w:r>
      <w:r w:rsidR="000C5F90" w:rsidRPr="00B371B9">
        <w:t xml:space="preserve"> the State party’s information that M</w:t>
      </w:r>
      <w:r w:rsidR="00C87A05">
        <w:t>a</w:t>
      </w:r>
      <w:r w:rsidR="000C5F90" w:rsidRPr="00B371B9">
        <w:t xml:space="preserve">ori remain overrepresented </w:t>
      </w:r>
      <w:r w:rsidR="00693D33">
        <w:t xml:space="preserve">as offenders </w:t>
      </w:r>
      <w:r w:rsidR="000C5F90" w:rsidRPr="00B371B9">
        <w:t>in rates of arrest, prosecution, conviction, imprisonment</w:t>
      </w:r>
      <w:r w:rsidR="007E5E5C">
        <w:t xml:space="preserve"> and</w:t>
      </w:r>
      <w:r w:rsidR="000C5F90" w:rsidRPr="00B371B9">
        <w:t xml:space="preserve"> re-imprisonment and </w:t>
      </w:r>
      <w:r w:rsidR="00693D33">
        <w:t>as victims</w:t>
      </w:r>
      <w:r w:rsidR="000C5F90">
        <w:t xml:space="preserve"> </w:t>
      </w:r>
      <w:r w:rsidR="00B17925" w:rsidRPr="00B371B9">
        <w:t>(arts.</w:t>
      </w:r>
      <w:r w:rsidR="00F22F7D">
        <w:t> </w:t>
      </w:r>
      <w:r w:rsidR="00B17925" w:rsidRPr="00B371B9">
        <w:t>2, 5</w:t>
      </w:r>
      <w:r w:rsidR="007E5E5C">
        <w:t xml:space="preserve"> and</w:t>
      </w:r>
      <w:r w:rsidR="00B17925" w:rsidRPr="00B371B9">
        <w:t xml:space="preserve"> 6)</w:t>
      </w:r>
      <w:r w:rsidR="00F22F7D">
        <w:t>.</w:t>
      </w:r>
      <w:r w:rsidR="005A5813" w:rsidRPr="00B371B9">
        <w:t xml:space="preserve"> </w:t>
      </w:r>
    </w:p>
    <w:p w14:paraId="12F9FE3F" w14:textId="2708B701" w:rsidR="00104227" w:rsidRPr="00B371B9" w:rsidRDefault="008A7396" w:rsidP="008A7396">
      <w:pPr>
        <w:pStyle w:val="SingleTxtG"/>
        <w:rPr>
          <w:b/>
        </w:rPr>
      </w:pPr>
      <w:r w:rsidRPr="00B371B9">
        <w:t>25.</w:t>
      </w:r>
      <w:r w:rsidRPr="00B371B9">
        <w:tab/>
      </w:r>
      <w:r w:rsidR="000F6C7C">
        <w:rPr>
          <w:b/>
        </w:rPr>
        <w:t>In</w:t>
      </w:r>
      <w:r w:rsidR="007E5E5C">
        <w:rPr>
          <w:b/>
        </w:rPr>
        <w:t xml:space="preserve"> the</w:t>
      </w:r>
      <w:r w:rsidR="000F6C7C">
        <w:rPr>
          <w:b/>
        </w:rPr>
        <w:t xml:space="preserve"> li</w:t>
      </w:r>
      <w:r w:rsidR="00F66BD2">
        <w:rPr>
          <w:b/>
        </w:rPr>
        <w:t>ght of these</w:t>
      </w:r>
      <w:r w:rsidR="000F6C7C">
        <w:rPr>
          <w:b/>
        </w:rPr>
        <w:t xml:space="preserve"> concern</w:t>
      </w:r>
      <w:r w:rsidR="00F66BD2">
        <w:rPr>
          <w:b/>
        </w:rPr>
        <w:t>s</w:t>
      </w:r>
      <w:r w:rsidR="000F6C7C">
        <w:rPr>
          <w:b/>
        </w:rPr>
        <w:t>, t</w:t>
      </w:r>
      <w:r w:rsidR="00104227" w:rsidRPr="00B371B9">
        <w:rPr>
          <w:b/>
        </w:rPr>
        <w:t>he Committee recommends that the State</w:t>
      </w:r>
      <w:r w:rsidR="00673485" w:rsidRPr="00B371B9">
        <w:rPr>
          <w:b/>
        </w:rPr>
        <w:t xml:space="preserve"> party strengthen its efforts to address the root causes leading to disproportiona</w:t>
      </w:r>
      <w:r w:rsidR="00D73E6E" w:rsidRPr="00B371B9">
        <w:rPr>
          <w:b/>
        </w:rPr>
        <w:t xml:space="preserve">te incarceration rates of </w:t>
      </w:r>
      <w:r w:rsidR="008B5BE3" w:rsidRPr="00B371B9">
        <w:rPr>
          <w:b/>
        </w:rPr>
        <w:t>M</w:t>
      </w:r>
      <w:r w:rsidR="00C87A05">
        <w:rPr>
          <w:b/>
        </w:rPr>
        <w:t>a</w:t>
      </w:r>
      <w:r w:rsidR="008B5BE3" w:rsidRPr="00B371B9">
        <w:rPr>
          <w:b/>
        </w:rPr>
        <w:t>ori</w:t>
      </w:r>
      <w:r w:rsidR="00D73E6E" w:rsidRPr="00B371B9">
        <w:rPr>
          <w:b/>
        </w:rPr>
        <w:t>.</w:t>
      </w:r>
      <w:r w:rsidR="00673485" w:rsidRPr="00B371B9">
        <w:rPr>
          <w:b/>
        </w:rPr>
        <w:t xml:space="preserve"> It further recommends that the State party ensure that justice, social sector and care and protection initiatives for </w:t>
      </w:r>
      <w:r w:rsidR="008B5BE3" w:rsidRPr="00B371B9">
        <w:rPr>
          <w:b/>
        </w:rPr>
        <w:t>M</w:t>
      </w:r>
      <w:r w:rsidR="00C87A05">
        <w:rPr>
          <w:b/>
        </w:rPr>
        <w:t>a</w:t>
      </w:r>
      <w:r w:rsidR="008B5BE3" w:rsidRPr="00B371B9">
        <w:rPr>
          <w:b/>
        </w:rPr>
        <w:t>ori</w:t>
      </w:r>
      <w:r w:rsidR="00673485" w:rsidRPr="00B371B9">
        <w:rPr>
          <w:b/>
        </w:rPr>
        <w:t xml:space="preserve"> are </w:t>
      </w:r>
      <w:r w:rsidR="00C92503" w:rsidRPr="00B371B9">
        <w:rPr>
          <w:b/>
        </w:rPr>
        <w:t>connected</w:t>
      </w:r>
      <w:r w:rsidR="00673485" w:rsidRPr="00B371B9">
        <w:rPr>
          <w:b/>
        </w:rPr>
        <w:t xml:space="preserve">, have transparent governance frameworks and are based on partnerships with and inclusion of </w:t>
      </w:r>
      <w:r w:rsidR="005662AB" w:rsidRPr="00B371B9">
        <w:rPr>
          <w:b/>
        </w:rPr>
        <w:t>M</w:t>
      </w:r>
      <w:r w:rsidR="00C87A05">
        <w:rPr>
          <w:b/>
        </w:rPr>
        <w:t>a</w:t>
      </w:r>
      <w:r w:rsidR="005662AB" w:rsidRPr="00B371B9">
        <w:rPr>
          <w:b/>
        </w:rPr>
        <w:t>ori</w:t>
      </w:r>
      <w:r w:rsidR="00673485" w:rsidRPr="00B371B9">
        <w:rPr>
          <w:b/>
        </w:rPr>
        <w:t xml:space="preserve">. </w:t>
      </w:r>
      <w:r w:rsidR="00D72312" w:rsidRPr="00B371B9">
        <w:rPr>
          <w:b/>
        </w:rPr>
        <w:t xml:space="preserve">The Committee also recommends that </w:t>
      </w:r>
      <w:r w:rsidR="00D72312" w:rsidRPr="008C611D">
        <w:rPr>
          <w:b/>
        </w:rPr>
        <w:t>the</w:t>
      </w:r>
      <w:r w:rsidR="00D72312" w:rsidRPr="00B371B9">
        <w:rPr>
          <w:b/>
        </w:rPr>
        <w:t xml:space="preserve"> State </w:t>
      </w:r>
      <w:r w:rsidR="007E5E5C">
        <w:rPr>
          <w:b/>
        </w:rPr>
        <w:t>p</w:t>
      </w:r>
      <w:r w:rsidR="00D72312" w:rsidRPr="00B371B9">
        <w:rPr>
          <w:b/>
        </w:rPr>
        <w:t xml:space="preserve">arty take robust measures to increase </w:t>
      </w:r>
      <w:r w:rsidR="004E388B">
        <w:rPr>
          <w:b/>
        </w:rPr>
        <w:t xml:space="preserve">the </w:t>
      </w:r>
      <w:r w:rsidR="00D72312" w:rsidRPr="00B371B9">
        <w:rPr>
          <w:b/>
        </w:rPr>
        <w:t xml:space="preserve">representation of </w:t>
      </w:r>
      <w:r w:rsidR="00A56F5F" w:rsidRPr="009F2423">
        <w:rPr>
          <w:b/>
        </w:rPr>
        <w:t>M</w:t>
      </w:r>
      <w:r w:rsidR="00C87A05">
        <w:rPr>
          <w:b/>
        </w:rPr>
        <w:t>a</w:t>
      </w:r>
      <w:r w:rsidR="00A56F5F" w:rsidRPr="009F2423">
        <w:rPr>
          <w:b/>
        </w:rPr>
        <w:t>ori</w:t>
      </w:r>
      <w:r w:rsidR="00D72312" w:rsidRPr="00B371B9">
        <w:rPr>
          <w:b/>
        </w:rPr>
        <w:t>, Pa</w:t>
      </w:r>
      <w:r w:rsidR="00516389" w:rsidRPr="00B371B9">
        <w:rPr>
          <w:b/>
        </w:rPr>
        <w:t>sifika</w:t>
      </w:r>
      <w:r w:rsidR="00D72312" w:rsidRPr="00B371B9">
        <w:rPr>
          <w:b/>
        </w:rPr>
        <w:t xml:space="preserve"> and </w:t>
      </w:r>
      <w:r w:rsidR="00E572EB" w:rsidRPr="00B371B9">
        <w:rPr>
          <w:b/>
        </w:rPr>
        <w:t>other</w:t>
      </w:r>
      <w:r w:rsidR="00D72312" w:rsidRPr="00B371B9">
        <w:rPr>
          <w:b/>
        </w:rPr>
        <w:t xml:space="preserve"> minority groups as decision</w:t>
      </w:r>
      <w:r w:rsidR="007E5E5C">
        <w:rPr>
          <w:b/>
        </w:rPr>
        <w:t xml:space="preserve"> </w:t>
      </w:r>
      <w:r w:rsidR="00D72312" w:rsidRPr="00B371B9">
        <w:rPr>
          <w:b/>
        </w:rPr>
        <w:t>makers</w:t>
      </w:r>
      <w:r w:rsidR="009F5C37">
        <w:rPr>
          <w:b/>
        </w:rPr>
        <w:t>, including as prosecutors and judges,</w:t>
      </w:r>
      <w:r w:rsidR="00D72312" w:rsidRPr="00B371B9">
        <w:rPr>
          <w:b/>
        </w:rPr>
        <w:t xml:space="preserve"> at all levels of the </w:t>
      </w:r>
      <w:r w:rsidR="004E7329">
        <w:rPr>
          <w:b/>
        </w:rPr>
        <w:t>c</w:t>
      </w:r>
      <w:r w:rsidR="00D72312" w:rsidRPr="00B371B9">
        <w:rPr>
          <w:b/>
        </w:rPr>
        <w:t>riminal justice system.</w:t>
      </w:r>
    </w:p>
    <w:p w14:paraId="1B9B668B" w14:textId="5420D697" w:rsidR="00F360A3" w:rsidRPr="00B371B9" w:rsidRDefault="00D4797E" w:rsidP="00D4797E">
      <w:pPr>
        <w:pStyle w:val="H23G"/>
      </w:pPr>
      <w:r>
        <w:tab/>
      </w:r>
      <w:r>
        <w:tab/>
      </w:r>
      <w:r w:rsidR="00F360A3" w:rsidRPr="00B371B9">
        <w:t>Health</w:t>
      </w:r>
    </w:p>
    <w:p w14:paraId="33B9AA0E" w14:textId="295117BF" w:rsidR="005C302A" w:rsidRPr="00B371B9" w:rsidRDefault="008A7396" w:rsidP="008A7396">
      <w:pPr>
        <w:pStyle w:val="SingleTxtG"/>
        <w:rPr>
          <w:b/>
        </w:rPr>
      </w:pPr>
      <w:r w:rsidRPr="00B371B9">
        <w:t>26.</w:t>
      </w:r>
      <w:r w:rsidRPr="00B371B9">
        <w:tab/>
      </w:r>
      <w:r w:rsidR="006C4A01">
        <w:t>T</w:t>
      </w:r>
      <w:r w:rsidR="006F1A56" w:rsidRPr="00B371B9">
        <w:t xml:space="preserve">he Committee is concerned that </w:t>
      </w:r>
      <w:r w:rsidR="008B5BE3" w:rsidRPr="00B371B9">
        <w:t>M</w:t>
      </w:r>
      <w:r w:rsidR="00C87A05">
        <w:t>a</w:t>
      </w:r>
      <w:r w:rsidR="008B5BE3" w:rsidRPr="00B371B9">
        <w:t>ori</w:t>
      </w:r>
      <w:r w:rsidR="00495BFD" w:rsidRPr="00B371B9">
        <w:t xml:space="preserve"> and Pasifika</w:t>
      </w:r>
      <w:r w:rsidR="006F1A56" w:rsidRPr="00B371B9">
        <w:t xml:space="preserve"> have poorer health outcomes than other groups</w:t>
      </w:r>
      <w:r w:rsidR="00A50D10">
        <w:t>, including</w:t>
      </w:r>
      <w:r w:rsidR="006F1A56" w:rsidRPr="00B371B9">
        <w:t xml:space="preserve"> with respect to life expectancy</w:t>
      </w:r>
      <w:r w:rsidR="00332AB3" w:rsidRPr="00B371B9">
        <w:t>, mortality</w:t>
      </w:r>
      <w:r w:rsidR="006F1A56" w:rsidRPr="00B371B9">
        <w:t xml:space="preserve"> and disability</w:t>
      </w:r>
      <w:r w:rsidR="00FC3E31">
        <w:t>. It notes with concern</w:t>
      </w:r>
      <w:r w:rsidR="002858FB" w:rsidRPr="00B371B9">
        <w:t xml:space="preserve"> reports that</w:t>
      </w:r>
      <w:r w:rsidR="004F7DB5" w:rsidRPr="00B371B9">
        <w:t xml:space="preserve"> </w:t>
      </w:r>
      <w:r w:rsidR="003B7FFC" w:rsidRPr="00B371B9">
        <w:t xml:space="preserve">despite </w:t>
      </w:r>
      <w:r w:rsidR="00816119" w:rsidRPr="00B371B9">
        <w:t xml:space="preserve">the </w:t>
      </w:r>
      <w:r w:rsidR="004E388B">
        <w:t xml:space="preserve">existence of the </w:t>
      </w:r>
      <w:r w:rsidR="00980DA7">
        <w:t>M</w:t>
      </w:r>
      <w:r w:rsidR="00C87A05">
        <w:t>a</w:t>
      </w:r>
      <w:r w:rsidR="00980DA7">
        <w:t>ori</w:t>
      </w:r>
      <w:r w:rsidR="007F5DD6">
        <w:t xml:space="preserve"> </w:t>
      </w:r>
      <w:r w:rsidR="00147E69">
        <w:t>h</w:t>
      </w:r>
      <w:r w:rsidR="007F5DD6">
        <w:t xml:space="preserve">ealth </w:t>
      </w:r>
      <w:r w:rsidR="00147E69">
        <w:t>s</w:t>
      </w:r>
      <w:r w:rsidR="007F5DD6">
        <w:t>trategy</w:t>
      </w:r>
      <w:r w:rsidR="00147E69">
        <w:t>, entitled</w:t>
      </w:r>
      <w:r w:rsidR="007F5DD6">
        <w:t xml:space="preserve"> He Korowai </w:t>
      </w:r>
      <w:proofErr w:type="spellStart"/>
      <w:r w:rsidR="007F5DD6">
        <w:t>Oranga</w:t>
      </w:r>
      <w:proofErr w:type="spellEnd"/>
      <w:r w:rsidR="00147E69">
        <w:t>,</w:t>
      </w:r>
      <w:r w:rsidR="007F5DD6">
        <w:t xml:space="preserve"> and the Healthy Families NZ initiative</w:t>
      </w:r>
      <w:r w:rsidR="005C30A2">
        <w:t>,</w:t>
      </w:r>
      <w:r w:rsidR="003B7FFC" w:rsidRPr="00B371B9">
        <w:t xml:space="preserve"> </w:t>
      </w:r>
      <w:r w:rsidR="007C5602" w:rsidRPr="00B371B9">
        <w:t>M</w:t>
      </w:r>
      <w:r w:rsidR="00C87A05">
        <w:t>a</w:t>
      </w:r>
      <w:r w:rsidR="007C5602" w:rsidRPr="00B371B9">
        <w:t xml:space="preserve">ori </w:t>
      </w:r>
      <w:r w:rsidR="00941A05" w:rsidRPr="00B371B9">
        <w:t xml:space="preserve">needs </w:t>
      </w:r>
      <w:r w:rsidR="002858FB" w:rsidRPr="00B371B9">
        <w:t xml:space="preserve">are not </w:t>
      </w:r>
      <w:r w:rsidR="000245DF" w:rsidRPr="00B371B9">
        <w:t xml:space="preserve">adequately </w:t>
      </w:r>
      <w:r w:rsidR="001278FE" w:rsidRPr="00B371B9">
        <w:t>integrated</w:t>
      </w:r>
      <w:r w:rsidR="00941A05" w:rsidRPr="00B371B9">
        <w:t xml:space="preserve"> in </w:t>
      </w:r>
      <w:r w:rsidR="002858FB" w:rsidRPr="00B371B9">
        <w:t>health policies</w:t>
      </w:r>
      <w:r w:rsidR="00941A05" w:rsidRPr="00B371B9">
        <w:t xml:space="preserve"> or in the administration of health services</w:t>
      </w:r>
      <w:r w:rsidR="00CB4A6D" w:rsidRPr="00B371B9">
        <w:t>,</w:t>
      </w:r>
      <w:r w:rsidR="00941A05" w:rsidRPr="00B371B9">
        <w:t xml:space="preserve"> and t</w:t>
      </w:r>
      <w:r w:rsidR="007C5602" w:rsidRPr="00B371B9">
        <w:t xml:space="preserve">hat </w:t>
      </w:r>
      <w:r w:rsidR="007C606E" w:rsidRPr="00B371B9">
        <w:t>M</w:t>
      </w:r>
      <w:r w:rsidR="00C87A05">
        <w:t>a</w:t>
      </w:r>
      <w:r w:rsidR="007C606E" w:rsidRPr="00B371B9">
        <w:t xml:space="preserve">ori encounter significant barriers in accessing </w:t>
      </w:r>
      <w:r w:rsidR="007C5602" w:rsidRPr="00B371B9">
        <w:t>basic health services</w:t>
      </w:r>
      <w:r w:rsidR="00A77081" w:rsidRPr="00B371B9">
        <w:t xml:space="preserve"> on an equal footing </w:t>
      </w:r>
      <w:r w:rsidR="00A77081" w:rsidRPr="00B371B9">
        <w:lastRenderedPageBreak/>
        <w:t>with other New Zealanders</w:t>
      </w:r>
      <w:r w:rsidR="00B17925" w:rsidRPr="00B371B9">
        <w:t>.</w:t>
      </w:r>
      <w:r w:rsidR="002858FB" w:rsidRPr="00B371B9">
        <w:t xml:space="preserve"> </w:t>
      </w:r>
      <w:r w:rsidR="00516389" w:rsidRPr="00B371B9">
        <w:t xml:space="preserve">The Committee is </w:t>
      </w:r>
      <w:r w:rsidR="00750C02" w:rsidRPr="00B371B9">
        <w:t xml:space="preserve">concerned </w:t>
      </w:r>
      <w:r w:rsidR="0015770E">
        <w:t>by</w:t>
      </w:r>
      <w:r w:rsidR="00750C02" w:rsidRPr="00B371B9">
        <w:t xml:space="preserve"> reports </w:t>
      </w:r>
      <w:r w:rsidR="0015770E">
        <w:t xml:space="preserve">that </w:t>
      </w:r>
      <w:r w:rsidR="00750C02" w:rsidRPr="00B371B9">
        <w:t xml:space="preserve">structural biases </w:t>
      </w:r>
      <w:r w:rsidR="0015770E">
        <w:t xml:space="preserve">exist </w:t>
      </w:r>
      <w:r w:rsidR="00750C02" w:rsidRPr="00B371B9">
        <w:t>in the health care system</w:t>
      </w:r>
      <w:r w:rsidR="00147E69">
        <w:t>,</w:t>
      </w:r>
      <w:r w:rsidR="00750C02" w:rsidRPr="00B371B9">
        <w:t xml:space="preserve"> that </w:t>
      </w:r>
      <w:r w:rsidR="005E77F7" w:rsidRPr="00B371B9">
        <w:t>M</w:t>
      </w:r>
      <w:r w:rsidR="00C87A05">
        <w:t>a</w:t>
      </w:r>
      <w:r w:rsidR="005E77F7" w:rsidRPr="00B371B9">
        <w:t xml:space="preserve">ori </w:t>
      </w:r>
      <w:r w:rsidR="00750C02" w:rsidRPr="00B371B9">
        <w:t>providers are marginalized</w:t>
      </w:r>
      <w:r w:rsidR="005C55D3">
        <w:t xml:space="preserve"> and their input into policy decisions</w:t>
      </w:r>
      <w:r w:rsidR="00CA04F7">
        <w:t xml:space="preserve"> is discounted</w:t>
      </w:r>
      <w:r w:rsidR="005C55D3">
        <w:t xml:space="preserve"> </w:t>
      </w:r>
      <w:r w:rsidR="005C55D3" w:rsidRPr="009A4B91">
        <w:t xml:space="preserve">and that a negative differential compensation for </w:t>
      </w:r>
      <w:r w:rsidR="00980DA7" w:rsidRPr="009A4B91">
        <w:t>M</w:t>
      </w:r>
      <w:r w:rsidR="00C87A05">
        <w:t>a</w:t>
      </w:r>
      <w:r w:rsidR="00980DA7" w:rsidRPr="009A4B91">
        <w:t>ori</w:t>
      </w:r>
      <w:r w:rsidR="005C55D3" w:rsidRPr="009A4B91">
        <w:t xml:space="preserve"> providers is maintained</w:t>
      </w:r>
      <w:r w:rsidR="005C55D3">
        <w:t xml:space="preserve"> </w:t>
      </w:r>
      <w:r w:rsidR="00946DFD">
        <w:t>(arts.</w:t>
      </w:r>
      <w:r w:rsidR="00F22F7D">
        <w:t> </w:t>
      </w:r>
      <w:r w:rsidR="00946DFD">
        <w:t>2</w:t>
      </w:r>
      <w:r w:rsidR="00147E69">
        <w:t xml:space="preserve"> and</w:t>
      </w:r>
      <w:r w:rsidR="00946DFD">
        <w:t xml:space="preserve"> 5)</w:t>
      </w:r>
      <w:r w:rsidR="00F22F7D">
        <w:t>.</w:t>
      </w:r>
    </w:p>
    <w:p w14:paraId="74BDA077" w14:textId="75751FC7" w:rsidR="00104227" w:rsidRPr="00B371B9" w:rsidRDefault="008A7396" w:rsidP="008A7396">
      <w:pPr>
        <w:pStyle w:val="SingleTxtG"/>
        <w:rPr>
          <w:b/>
        </w:rPr>
      </w:pPr>
      <w:r w:rsidRPr="00B371B9">
        <w:t>27.</w:t>
      </w:r>
      <w:r w:rsidRPr="00B371B9">
        <w:tab/>
      </w:r>
      <w:r w:rsidR="00104227" w:rsidRPr="00B371B9">
        <w:rPr>
          <w:b/>
        </w:rPr>
        <w:t>The Committee r</w:t>
      </w:r>
      <w:r w:rsidR="00B779B7" w:rsidRPr="00B371B9">
        <w:rPr>
          <w:b/>
        </w:rPr>
        <w:t xml:space="preserve">ecommends that the State </w:t>
      </w:r>
      <w:r w:rsidR="00E572EB" w:rsidRPr="00B371B9">
        <w:rPr>
          <w:b/>
        </w:rPr>
        <w:t>party robustly</w:t>
      </w:r>
      <w:r w:rsidR="00977DBF" w:rsidRPr="00B371B9">
        <w:rPr>
          <w:b/>
        </w:rPr>
        <w:t xml:space="preserve"> </w:t>
      </w:r>
      <w:r w:rsidR="00B779B7" w:rsidRPr="00B371B9">
        <w:rPr>
          <w:b/>
        </w:rPr>
        <w:t xml:space="preserve">increase the </w:t>
      </w:r>
      <w:r w:rsidR="00B779B7" w:rsidRPr="00C203CA">
        <w:rPr>
          <w:b/>
        </w:rPr>
        <w:t>provision</w:t>
      </w:r>
      <w:r w:rsidR="00B779B7" w:rsidRPr="00B371B9">
        <w:rPr>
          <w:b/>
        </w:rPr>
        <w:t xml:space="preserve"> and accessibility of primary health</w:t>
      </w:r>
      <w:r w:rsidR="00147E69">
        <w:rPr>
          <w:b/>
        </w:rPr>
        <w:t>-</w:t>
      </w:r>
      <w:r w:rsidR="00B779B7" w:rsidRPr="00B371B9">
        <w:rPr>
          <w:b/>
        </w:rPr>
        <w:t xml:space="preserve">care services to </w:t>
      </w:r>
      <w:r w:rsidR="008B5BE3" w:rsidRPr="00B371B9">
        <w:rPr>
          <w:b/>
        </w:rPr>
        <w:t>M</w:t>
      </w:r>
      <w:r w:rsidR="00C87A05">
        <w:rPr>
          <w:b/>
        </w:rPr>
        <w:t>a</w:t>
      </w:r>
      <w:r w:rsidR="008B5BE3" w:rsidRPr="00B371B9">
        <w:rPr>
          <w:b/>
        </w:rPr>
        <w:t>ori</w:t>
      </w:r>
      <w:r w:rsidR="00640550" w:rsidRPr="00B371B9">
        <w:rPr>
          <w:b/>
        </w:rPr>
        <w:t xml:space="preserve"> and Pasifika communities</w:t>
      </w:r>
      <w:r w:rsidR="00B779B7" w:rsidRPr="00B371B9">
        <w:rPr>
          <w:b/>
        </w:rPr>
        <w:t xml:space="preserve"> </w:t>
      </w:r>
      <w:r w:rsidR="00834849" w:rsidRPr="00B371B9">
        <w:rPr>
          <w:b/>
        </w:rPr>
        <w:t>and ensure they are</w:t>
      </w:r>
      <w:r w:rsidR="00B20F6D" w:rsidRPr="00B371B9">
        <w:rPr>
          <w:b/>
        </w:rPr>
        <w:t xml:space="preserve"> </w:t>
      </w:r>
      <w:r w:rsidR="00516389" w:rsidRPr="00B371B9">
        <w:rPr>
          <w:b/>
        </w:rPr>
        <w:t>equally r</w:t>
      </w:r>
      <w:r w:rsidR="00834849" w:rsidRPr="00B371B9">
        <w:rPr>
          <w:b/>
        </w:rPr>
        <w:t xml:space="preserve">epresented </w:t>
      </w:r>
      <w:r w:rsidR="00516389" w:rsidRPr="00B371B9">
        <w:rPr>
          <w:b/>
        </w:rPr>
        <w:t xml:space="preserve">and empowered </w:t>
      </w:r>
      <w:r w:rsidR="00834849" w:rsidRPr="00B371B9">
        <w:rPr>
          <w:b/>
        </w:rPr>
        <w:t xml:space="preserve">in decision-making processes concerning health and disability policy planning and </w:t>
      </w:r>
      <w:r w:rsidR="00A847E9">
        <w:rPr>
          <w:b/>
        </w:rPr>
        <w:t xml:space="preserve">in </w:t>
      </w:r>
      <w:r w:rsidR="00834849" w:rsidRPr="00B371B9">
        <w:rPr>
          <w:b/>
        </w:rPr>
        <w:t>service delivery and evaluation</w:t>
      </w:r>
      <w:r w:rsidR="00640550" w:rsidRPr="00B371B9">
        <w:rPr>
          <w:b/>
        </w:rPr>
        <w:t>.</w:t>
      </w:r>
      <w:r w:rsidR="00FB6265">
        <w:rPr>
          <w:b/>
        </w:rPr>
        <w:t xml:space="preserve"> </w:t>
      </w:r>
    </w:p>
    <w:p w14:paraId="1216A7E2" w14:textId="3DC2CE67" w:rsidR="005D68B6" w:rsidRPr="00B371B9" w:rsidRDefault="008A7396" w:rsidP="008A7396">
      <w:pPr>
        <w:pStyle w:val="SingleTxtG"/>
        <w:rPr>
          <w:b/>
        </w:rPr>
      </w:pPr>
      <w:r w:rsidRPr="00B371B9">
        <w:t>28.</w:t>
      </w:r>
      <w:r w:rsidRPr="00B371B9">
        <w:tab/>
      </w:r>
      <w:r w:rsidR="005D68B6" w:rsidRPr="00B371B9">
        <w:rPr>
          <w:b/>
          <w:lang w:val="en-US"/>
        </w:rPr>
        <w:t xml:space="preserve">The Committee </w:t>
      </w:r>
      <w:r w:rsidR="0077041F">
        <w:rPr>
          <w:b/>
          <w:lang w:val="en-US"/>
        </w:rPr>
        <w:t>urges</w:t>
      </w:r>
      <w:r w:rsidR="0077041F" w:rsidRPr="00B371B9">
        <w:rPr>
          <w:b/>
          <w:lang w:val="en-US"/>
        </w:rPr>
        <w:t xml:space="preserve"> </w:t>
      </w:r>
      <w:r w:rsidR="005D68B6" w:rsidRPr="00B371B9">
        <w:rPr>
          <w:b/>
          <w:lang w:val="en-US"/>
        </w:rPr>
        <w:t>the State party to</w:t>
      </w:r>
      <w:r w:rsidR="008F4A12" w:rsidRPr="00B371B9">
        <w:rPr>
          <w:b/>
          <w:lang w:val="en-US"/>
        </w:rPr>
        <w:t xml:space="preserve"> </w:t>
      </w:r>
      <w:r w:rsidR="002C2E14">
        <w:rPr>
          <w:b/>
          <w:lang w:val="en-US"/>
        </w:rPr>
        <w:t>significantly</w:t>
      </w:r>
      <w:r w:rsidR="002C2E14" w:rsidRPr="00B371B9">
        <w:rPr>
          <w:b/>
          <w:lang w:val="en-US"/>
        </w:rPr>
        <w:t xml:space="preserve"> </w:t>
      </w:r>
      <w:r w:rsidR="005D68B6" w:rsidRPr="00B371B9">
        <w:rPr>
          <w:b/>
          <w:lang w:val="en-US"/>
        </w:rPr>
        <w:t xml:space="preserve">reduce overall </w:t>
      </w:r>
      <w:r w:rsidR="00F22F7D" w:rsidRPr="00B371B9">
        <w:rPr>
          <w:b/>
          <w:lang w:val="en-US"/>
        </w:rPr>
        <w:t>hospitalizations</w:t>
      </w:r>
      <w:r w:rsidR="005D68B6" w:rsidRPr="00B371B9">
        <w:rPr>
          <w:b/>
          <w:lang w:val="en-US"/>
        </w:rPr>
        <w:t xml:space="preserve"> for medical conditions with a social gradient and reduce</w:t>
      </w:r>
      <w:r w:rsidR="006058B0">
        <w:rPr>
          <w:b/>
          <w:lang w:val="en-US"/>
        </w:rPr>
        <w:t xml:space="preserve"> </w:t>
      </w:r>
      <w:r w:rsidR="00E572EB" w:rsidRPr="00B371B9">
        <w:rPr>
          <w:b/>
          <w:lang w:val="en-US"/>
        </w:rPr>
        <w:t xml:space="preserve">disparities </w:t>
      </w:r>
      <w:r w:rsidR="00E572EB" w:rsidRPr="00B371B9">
        <w:rPr>
          <w:b/>
          <w:bCs/>
          <w:lang w:val="en-US"/>
        </w:rPr>
        <w:t>in</w:t>
      </w:r>
      <w:r w:rsidR="005D68B6" w:rsidRPr="00B371B9">
        <w:rPr>
          <w:b/>
          <w:bCs/>
          <w:lang w:val="en-US"/>
        </w:rPr>
        <w:t xml:space="preserve"> both </w:t>
      </w:r>
      <w:r w:rsidR="00F22F7D" w:rsidRPr="00B371B9">
        <w:rPr>
          <w:b/>
          <w:bCs/>
          <w:lang w:val="en-US"/>
        </w:rPr>
        <w:t>hospitalization</w:t>
      </w:r>
      <w:r w:rsidR="005D68B6" w:rsidRPr="00B371B9">
        <w:rPr>
          <w:b/>
          <w:bCs/>
          <w:lang w:val="en-US"/>
        </w:rPr>
        <w:t xml:space="preserve"> and mortality rates, particularly among M</w:t>
      </w:r>
      <w:r w:rsidR="00C87A05">
        <w:rPr>
          <w:b/>
          <w:bCs/>
          <w:lang w:val="en-US"/>
        </w:rPr>
        <w:t>a</w:t>
      </w:r>
      <w:r w:rsidR="005D68B6" w:rsidRPr="00B371B9">
        <w:rPr>
          <w:b/>
          <w:bCs/>
          <w:lang w:val="en-US"/>
        </w:rPr>
        <w:t xml:space="preserve">ori and Pasifika </w:t>
      </w:r>
      <w:r w:rsidR="005D68B6" w:rsidRPr="00B371B9">
        <w:rPr>
          <w:b/>
          <w:lang w:val="en-US"/>
        </w:rPr>
        <w:t>children.</w:t>
      </w:r>
    </w:p>
    <w:p w14:paraId="362F7729" w14:textId="3439F051" w:rsidR="00FA69E5" w:rsidRPr="00B371B9" w:rsidRDefault="00D4797E" w:rsidP="00D4797E">
      <w:pPr>
        <w:pStyle w:val="H23G"/>
      </w:pPr>
      <w:r>
        <w:tab/>
      </w:r>
      <w:r>
        <w:tab/>
      </w:r>
      <w:r w:rsidR="00DA33DB">
        <w:t>Employment</w:t>
      </w:r>
    </w:p>
    <w:p w14:paraId="55FB30BE" w14:textId="5DD48A19" w:rsidR="00FA69E5" w:rsidRPr="00B371B9" w:rsidRDefault="008A7396" w:rsidP="008A7396">
      <w:pPr>
        <w:pStyle w:val="SingleTxtG"/>
      </w:pPr>
      <w:r w:rsidRPr="00B371B9">
        <w:t>29.</w:t>
      </w:r>
      <w:r w:rsidRPr="00B371B9">
        <w:tab/>
      </w:r>
      <w:r w:rsidR="00A56005">
        <w:t>The Committee is</w:t>
      </w:r>
      <w:r w:rsidR="00FE43FC" w:rsidRPr="00B371B9">
        <w:t xml:space="preserve"> concerned by </w:t>
      </w:r>
      <w:r w:rsidR="005760E0">
        <w:t>evidence of</w:t>
      </w:r>
      <w:r w:rsidR="00FA28A9">
        <w:t xml:space="preserve"> </w:t>
      </w:r>
      <w:r w:rsidR="00FE43FC" w:rsidRPr="00B371B9">
        <w:t xml:space="preserve">discrimination against </w:t>
      </w:r>
      <w:r w:rsidR="00824A69" w:rsidRPr="00B371B9">
        <w:t>M</w:t>
      </w:r>
      <w:r w:rsidR="00C87A05">
        <w:t>a</w:t>
      </w:r>
      <w:r w:rsidR="00824A69" w:rsidRPr="00B371B9">
        <w:t>ori</w:t>
      </w:r>
      <w:r w:rsidR="00824A69">
        <w:t xml:space="preserve"> </w:t>
      </w:r>
      <w:r w:rsidR="00F42018" w:rsidRPr="00B371B9">
        <w:t>in</w:t>
      </w:r>
      <w:r w:rsidR="00FE43FC" w:rsidRPr="00B371B9">
        <w:t xml:space="preserve"> employment</w:t>
      </w:r>
      <w:r w:rsidR="00573C06">
        <w:t xml:space="preserve">. </w:t>
      </w:r>
      <w:r w:rsidR="00B75A56">
        <w:t xml:space="preserve">While welcoming the </w:t>
      </w:r>
      <w:r w:rsidR="00F85FF5">
        <w:t xml:space="preserve">reduction in </w:t>
      </w:r>
      <w:r w:rsidR="00980DA7">
        <w:t>M</w:t>
      </w:r>
      <w:r w:rsidR="00C87A05">
        <w:t>a</w:t>
      </w:r>
      <w:r w:rsidR="00980DA7">
        <w:t>ori</w:t>
      </w:r>
      <w:r w:rsidR="00F85FF5">
        <w:t xml:space="preserve"> unemployment in recent years and the </w:t>
      </w:r>
      <w:r w:rsidR="00FE5C83">
        <w:t xml:space="preserve">State party’s commitment </w:t>
      </w:r>
      <w:r w:rsidR="00F85FF5">
        <w:t>to work toward</w:t>
      </w:r>
      <w:r w:rsidR="007F0A0D">
        <w:t>s</w:t>
      </w:r>
      <w:r w:rsidR="00F85FF5">
        <w:t xml:space="preserve"> reducing it to 7.5 per</w:t>
      </w:r>
      <w:r w:rsidR="00147E69">
        <w:t xml:space="preserve"> </w:t>
      </w:r>
      <w:r w:rsidR="00F85FF5">
        <w:t>cent by 2021</w:t>
      </w:r>
      <w:r w:rsidR="0032796A">
        <w:t>, the</w:t>
      </w:r>
      <w:r w:rsidR="00F85FF5">
        <w:t xml:space="preserve"> Committee</w:t>
      </w:r>
      <w:r w:rsidR="00F85FF5" w:rsidRPr="00B371B9">
        <w:t xml:space="preserve"> is</w:t>
      </w:r>
      <w:r w:rsidR="00991F5A">
        <w:t xml:space="preserve"> also</w:t>
      </w:r>
      <w:r w:rsidR="00F85FF5" w:rsidRPr="00B371B9">
        <w:t xml:space="preserve"> concerned by the State party’s information that M</w:t>
      </w:r>
      <w:r w:rsidR="00C87A05">
        <w:t>a</w:t>
      </w:r>
      <w:r w:rsidR="00F85FF5" w:rsidRPr="00B371B9">
        <w:t xml:space="preserve">ori, </w:t>
      </w:r>
      <w:r w:rsidR="0002757E">
        <w:t>Pasifika</w:t>
      </w:r>
      <w:r w:rsidR="00F85FF5" w:rsidRPr="00B371B9">
        <w:t xml:space="preserve"> and Asian ethnicities are underrepresented in the top three ti</w:t>
      </w:r>
      <w:r w:rsidR="00F85FF5">
        <w:t xml:space="preserve">ers of </w:t>
      </w:r>
      <w:r w:rsidR="00147E69">
        <w:t>p</w:t>
      </w:r>
      <w:r w:rsidR="00F85FF5">
        <w:t xml:space="preserve">ublic </w:t>
      </w:r>
      <w:r w:rsidR="00147E69">
        <w:t>s</w:t>
      </w:r>
      <w:r w:rsidR="00F85FF5">
        <w:t>ervice management</w:t>
      </w:r>
      <w:r w:rsidR="00FE43FC" w:rsidRPr="00B371B9">
        <w:t xml:space="preserve">. The Committee </w:t>
      </w:r>
      <w:r w:rsidR="00B952C0">
        <w:t>is further</w:t>
      </w:r>
      <w:r w:rsidR="00F65B34">
        <w:t xml:space="preserve"> concerned by reports </w:t>
      </w:r>
      <w:r w:rsidR="00FA69E5" w:rsidRPr="00B371B9">
        <w:t>that qualified M</w:t>
      </w:r>
      <w:r w:rsidR="00C87A05">
        <w:t>a</w:t>
      </w:r>
      <w:r w:rsidR="00FA69E5" w:rsidRPr="00B371B9">
        <w:t>ori nurses receive significantly lower pay</w:t>
      </w:r>
      <w:r w:rsidR="00151BB2">
        <w:t xml:space="preserve"> </w:t>
      </w:r>
      <w:r w:rsidR="00FA69E5" w:rsidRPr="00B371B9">
        <w:t>(arts.</w:t>
      </w:r>
      <w:r w:rsidR="00B50ABF">
        <w:t> </w:t>
      </w:r>
      <w:r w:rsidR="00FA69E5" w:rsidRPr="00B371B9">
        <w:t>2</w:t>
      </w:r>
      <w:r w:rsidR="00147E69">
        <w:t xml:space="preserve"> and</w:t>
      </w:r>
      <w:r w:rsidR="00FA69E5" w:rsidRPr="00B371B9">
        <w:t xml:space="preserve"> </w:t>
      </w:r>
      <w:r w:rsidR="009A3ECB">
        <w:t>5)</w:t>
      </w:r>
      <w:r w:rsidR="00F22F7D">
        <w:t>.</w:t>
      </w:r>
    </w:p>
    <w:p w14:paraId="6668D156" w14:textId="4BBAF1A1" w:rsidR="00244F93" w:rsidRPr="006B5090" w:rsidRDefault="008A7396" w:rsidP="008A7396">
      <w:pPr>
        <w:pStyle w:val="SingleTxtG"/>
        <w:rPr>
          <w:b/>
          <w:bCs/>
          <w:lang w:val="en-US"/>
        </w:rPr>
      </w:pPr>
      <w:r w:rsidRPr="006B5090">
        <w:rPr>
          <w:bCs/>
          <w:lang w:val="en-US"/>
        </w:rPr>
        <w:t>30.</w:t>
      </w:r>
      <w:r w:rsidRPr="006B5090">
        <w:rPr>
          <w:bCs/>
          <w:lang w:val="en-US"/>
        </w:rPr>
        <w:tab/>
      </w:r>
      <w:r w:rsidR="00FA69E5" w:rsidRPr="006B5090">
        <w:rPr>
          <w:b/>
          <w:bCs/>
        </w:rPr>
        <w:t xml:space="preserve">The Committee </w:t>
      </w:r>
      <w:r w:rsidR="00C33C7F" w:rsidRPr="006B5090">
        <w:rPr>
          <w:b/>
          <w:bCs/>
        </w:rPr>
        <w:t>urges the</w:t>
      </w:r>
      <w:r w:rsidR="00FA69E5" w:rsidRPr="006B5090">
        <w:rPr>
          <w:b/>
          <w:bCs/>
        </w:rPr>
        <w:t xml:space="preserve"> State party to </w:t>
      </w:r>
      <w:r w:rsidR="002F3BD8" w:rsidRPr="006B5090">
        <w:rPr>
          <w:b/>
          <w:bCs/>
        </w:rPr>
        <w:t xml:space="preserve">take effective measures to eliminate </w:t>
      </w:r>
      <w:r w:rsidR="00BE02BA" w:rsidRPr="006B5090">
        <w:rPr>
          <w:b/>
          <w:bCs/>
        </w:rPr>
        <w:t xml:space="preserve">racial </w:t>
      </w:r>
      <w:r w:rsidR="002F3BD8" w:rsidRPr="006B5090">
        <w:rPr>
          <w:b/>
          <w:bCs/>
        </w:rPr>
        <w:t>discrimination in public and private sector employment with respect to hiring, retention and promotions</w:t>
      </w:r>
      <w:r w:rsidR="00986F70" w:rsidRPr="006B5090">
        <w:rPr>
          <w:b/>
          <w:bCs/>
        </w:rPr>
        <w:t xml:space="preserve">. It requests </w:t>
      </w:r>
      <w:r w:rsidR="00147E69">
        <w:rPr>
          <w:b/>
          <w:bCs/>
        </w:rPr>
        <w:t>the State party</w:t>
      </w:r>
      <w:r w:rsidR="00B21DA6">
        <w:rPr>
          <w:b/>
          <w:bCs/>
        </w:rPr>
        <w:t xml:space="preserve"> to</w:t>
      </w:r>
      <w:r w:rsidR="00147E69">
        <w:rPr>
          <w:b/>
          <w:bCs/>
        </w:rPr>
        <w:t xml:space="preserve">, </w:t>
      </w:r>
      <w:r w:rsidR="00986F70" w:rsidRPr="006B5090">
        <w:rPr>
          <w:b/>
          <w:bCs/>
        </w:rPr>
        <w:t xml:space="preserve">in </w:t>
      </w:r>
      <w:r w:rsidR="00147E69">
        <w:rPr>
          <w:b/>
          <w:bCs/>
        </w:rPr>
        <w:t>the</w:t>
      </w:r>
      <w:r w:rsidR="00986F70" w:rsidRPr="006B5090">
        <w:rPr>
          <w:b/>
          <w:bCs/>
        </w:rPr>
        <w:t xml:space="preserve"> next periodic report, describe those measures along with goals</w:t>
      </w:r>
      <w:r w:rsidR="00863BEA">
        <w:rPr>
          <w:b/>
          <w:bCs/>
        </w:rPr>
        <w:t xml:space="preserve">, targets and results </w:t>
      </w:r>
      <w:r w:rsidR="00C03AFE">
        <w:rPr>
          <w:b/>
          <w:bCs/>
        </w:rPr>
        <w:t>achieved</w:t>
      </w:r>
      <w:r w:rsidR="00863BEA">
        <w:rPr>
          <w:b/>
          <w:bCs/>
        </w:rPr>
        <w:t xml:space="preserve">. </w:t>
      </w:r>
      <w:r w:rsidR="008746BD" w:rsidRPr="006B5090">
        <w:rPr>
          <w:b/>
          <w:bCs/>
        </w:rPr>
        <w:t>The Committee urges the State party to s</w:t>
      </w:r>
      <w:r w:rsidR="005D68B6" w:rsidRPr="006B5090">
        <w:rPr>
          <w:b/>
          <w:bCs/>
          <w:lang w:val="en-US"/>
        </w:rPr>
        <w:t>et targets to increase representation of M</w:t>
      </w:r>
      <w:r w:rsidR="00C87A05">
        <w:rPr>
          <w:b/>
          <w:bCs/>
          <w:lang w:val="en-US"/>
        </w:rPr>
        <w:t>a</w:t>
      </w:r>
      <w:r w:rsidR="005D68B6" w:rsidRPr="006B5090">
        <w:rPr>
          <w:b/>
          <w:bCs/>
          <w:lang w:val="en-US"/>
        </w:rPr>
        <w:t>ori</w:t>
      </w:r>
      <w:r w:rsidR="00F05F68" w:rsidRPr="006B5090">
        <w:rPr>
          <w:b/>
          <w:bCs/>
          <w:lang w:val="en-US"/>
        </w:rPr>
        <w:t xml:space="preserve">, </w:t>
      </w:r>
      <w:r w:rsidR="005D68B6" w:rsidRPr="006B5090">
        <w:rPr>
          <w:b/>
          <w:bCs/>
          <w:lang w:val="en-US"/>
        </w:rPr>
        <w:t xml:space="preserve">Pasifika </w:t>
      </w:r>
      <w:r w:rsidR="00F05F68" w:rsidRPr="006B5090">
        <w:rPr>
          <w:b/>
          <w:bCs/>
          <w:lang w:val="en-US"/>
        </w:rPr>
        <w:t xml:space="preserve">and other minorities </w:t>
      </w:r>
      <w:r w:rsidR="005D68B6" w:rsidRPr="006B5090">
        <w:rPr>
          <w:b/>
          <w:bCs/>
          <w:lang w:val="en-US"/>
        </w:rPr>
        <w:t>in corporate governance and senior management in the public sector</w:t>
      </w:r>
      <w:r w:rsidR="00844938" w:rsidRPr="006B5090">
        <w:rPr>
          <w:b/>
          <w:bCs/>
          <w:lang w:val="en-US"/>
        </w:rPr>
        <w:t>, and</w:t>
      </w:r>
      <w:r w:rsidR="00234CB7" w:rsidRPr="006B5090">
        <w:rPr>
          <w:b/>
          <w:bCs/>
          <w:lang w:val="en-US"/>
        </w:rPr>
        <w:t xml:space="preserve"> </w:t>
      </w:r>
      <w:r w:rsidR="00B21DA6">
        <w:rPr>
          <w:b/>
          <w:bCs/>
          <w:lang w:val="en-US"/>
        </w:rPr>
        <w:t xml:space="preserve">to </w:t>
      </w:r>
      <w:r w:rsidR="00482205" w:rsidRPr="006B5090">
        <w:rPr>
          <w:b/>
          <w:bCs/>
          <w:lang w:val="en-US"/>
        </w:rPr>
        <w:t xml:space="preserve">provide </w:t>
      </w:r>
      <w:r w:rsidR="008746BD" w:rsidRPr="006B5090">
        <w:rPr>
          <w:b/>
          <w:bCs/>
          <w:lang w:val="en-US"/>
        </w:rPr>
        <w:t xml:space="preserve">data on </w:t>
      </w:r>
      <w:r w:rsidR="00980DA7" w:rsidRPr="006B5090">
        <w:rPr>
          <w:b/>
          <w:bCs/>
          <w:lang w:val="en-US"/>
        </w:rPr>
        <w:t>M</w:t>
      </w:r>
      <w:r w:rsidR="00C87A05">
        <w:rPr>
          <w:b/>
          <w:bCs/>
          <w:lang w:val="en-US"/>
        </w:rPr>
        <w:t>a</w:t>
      </w:r>
      <w:r w:rsidR="00980DA7" w:rsidRPr="006B5090">
        <w:rPr>
          <w:b/>
          <w:bCs/>
          <w:lang w:val="en-US"/>
        </w:rPr>
        <w:t>ori</w:t>
      </w:r>
      <w:r w:rsidR="00F05F68" w:rsidRPr="006B5090">
        <w:rPr>
          <w:b/>
          <w:bCs/>
          <w:lang w:val="en-US"/>
        </w:rPr>
        <w:t xml:space="preserve">, </w:t>
      </w:r>
      <w:r w:rsidR="00482205" w:rsidRPr="006B5090">
        <w:rPr>
          <w:b/>
          <w:bCs/>
          <w:lang w:val="en-US"/>
        </w:rPr>
        <w:t>Pasifika</w:t>
      </w:r>
      <w:r w:rsidR="00F05F68" w:rsidRPr="006B5090">
        <w:rPr>
          <w:b/>
          <w:bCs/>
          <w:lang w:val="en-US"/>
        </w:rPr>
        <w:t xml:space="preserve"> and other minorities</w:t>
      </w:r>
      <w:r w:rsidR="00482205" w:rsidRPr="006B5090">
        <w:rPr>
          <w:b/>
          <w:bCs/>
          <w:lang w:val="en-US"/>
        </w:rPr>
        <w:t xml:space="preserve"> </w:t>
      </w:r>
      <w:r w:rsidR="00844938" w:rsidRPr="006B5090">
        <w:rPr>
          <w:b/>
          <w:bCs/>
          <w:lang w:val="en-US"/>
        </w:rPr>
        <w:t xml:space="preserve">currently employed in the </w:t>
      </w:r>
      <w:r w:rsidR="00482205" w:rsidRPr="006B5090">
        <w:rPr>
          <w:b/>
          <w:bCs/>
          <w:lang w:val="en-US"/>
        </w:rPr>
        <w:t xml:space="preserve">public sector </w:t>
      </w:r>
      <w:r w:rsidR="00844938" w:rsidRPr="006B5090">
        <w:rPr>
          <w:b/>
          <w:bCs/>
          <w:lang w:val="en-US"/>
        </w:rPr>
        <w:t>with regard to distribution at job and managerial levels.</w:t>
      </w:r>
      <w:r w:rsidR="006B5090">
        <w:rPr>
          <w:b/>
          <w:bCs/>
          <w:lang w:val="en-US"/>
        </w:rPr>
        <w:t xml:space="preserve"> </w:t>
      </w:r>
      <w:r w:rsidR="00B21DA6">
        <w:rPr>
          <w:b/>
          <w:bCs/>
        </w:rPr>
        <w:t>It also</w:t>
      </w:r>
      <w:r w:rsidR="002F3BD8" w:rsidRPr="006B5090">
        <w:rPr>
          <w:b/>
          <w:bCs/>
        </w:rPr>
        <w:t xml:space="preserve"> requests additional information on program</w:t>
      </w:r>
      <w:r w:rsidR="00147E69">
        <w:rPr>
          <w:b/>
          <w:bCs/>
        </w:rPr>
        <w:t>me</w:t>
      </w:r>
      <w:r w:rsidR="002F3BD8" w:rsidRPr="006B5090">
        <w:rPr>
          <w:b/>
          <w:bCs/>
        </w:rPr>
        <w:t xml:space="preserve">s undertaken </w:t>
      </w:r>
      <w:r w:rsidR="00FA69E5" w:rsidRPr="006B5090">
        <w:rPr>
          <w:b/>
          <w:bCs/>
        </w:rPr>
        <w:t>to ensure effective implementation of the principle of equal opportunity and treatment in employment, without distinction as to race, colour, descent or national or ethnic origin.</w:t>
      </w:r>
      <w:r w:rsidR="009B1AD5" w:rsidRPr="006B5090">
        <w:rPr>
          <w:b/>
          <w:bCs/>
        </w:rPr>
        <w:t xml:space="preserve"> </w:t>
      </w:r>
    </w:p>
    <w:p w14:paraId="235EA3F1" w14:textId="7CFC82B0" w:rsidR="00EE0D4E" w:rsidRPr="00B371B9" w:rsidRDefault="00D4797E" w:rsidP="00D4797E">
      <w:pPr>
        <w:pStyle w:val="H23G"/>
        <w:rPr>
          <w:lang w:val="en-US"/>
        </w:rPr>
      </w:pPr>
      <w:r>
        <w:rPr>
          <w:lang w:val="en-US"/>
        </w:rPr>
        <w:tab/>
      </w:r>
      <w:r>
        <w:rPr>
          <w:lang w:val="en-US"/>
        </w:rPr>
        <w:tab/>
      </w:r>
      <w:r w:rsidR="00EE0D4E" w:rsidRPr="00B371B9">
        <w:rPr>
          <w:lang w:val="en-US"/>
        </w:rPr>
        <w:t>Migrant</w:t>
      </w:r>
      <w:r w:rsidR="001F2003">
        <w:rPr>
          <w:lang w:val="en-US"/>
        </w:rPr>
        <w:t>s</w:t>
      </w:r>
    </w:p>
    <w:p w14:paraId="00C420E8" w14:textId="559B8E9D" w:rsidR="00EE0D4E" w:rsidRPr="00B371B9" w:rsidRDefault="008A7396" w:rsidP="008A7396">
      <w:pPr>
        <w:pStyle w:val="SingleTxtG"/>
      </w:pPr>
      <w:r w:rsidRPr="00B371B9">
        <w:t>31.</w:t>
      </w:r>
      <w:r w:rsidRPr="00B371B9">
        <w:tab/>
      </w:r>
      <w:r w:rsidR="008333DA">
        <w:rPr>
          <w:lang w:val="en-US"/>
        </w:rPr>
        <w:t>W</w:t>
      </w:r>
      <w:proofErr w:type="spellStart"/>
      <w:r w:rsidR="008333DA">
        <w:t>hile</w:t>
      </w:r>
      <w:proofErr w:type="spellEnd"/>
      <w:r w:rsidR="008333DA">
        <w:t xml:space="preserve"> noting with interest the </w:t>
      </w:r>
      <w:r w:rsidR="008333DA" w:rsidRPr="00B371B9">
        <w:t xml:space="preserve">New Zealand Migrant Settlement and Integration </w:t>
      </w:r>
      <w:r w:rsidR="008333DA">
        <w:t xml:space="preserve">Strategy </w:t>
      </w:r>
      <w:r w:rsidR="00D76B67">
        <w:t xml:space="preserve">of 2014 </w:t>
      </w:r>
      <w:r w:rsidR="008333DA" w:rsidRPr="00B371B9">
        <w:t xml:space="preserve">and the </w:t>
      </w:r>
      <w:r w:rsidR="00D76B67">
        <w:t>strategy on preventing m</w:t>
      </w:r>
      <w:r w:rsidR="008333DA" w:rsidRPr="00B371B9">
        <w:t xml:space="preserve">igrant </w:t>
      </w:r>
      <w:r w:rsidR="00D76B67">
        <w:t>e</w:t>
      </w:r>
      <w:r w:rsidR="008333DA" w:rsidRPr="00B371B9">
        <w:t>xploitation</w:t>
      </w:r>
      <w:r w:rsidR="008333DA">
        <w:rPr>
          <w:lang w:val="en-US"/>
        </w:rPr>
        <w:t>, t</w:t>
      </w:r>
      <w:r w:rsidR="000F09A1" w:rsidRPr="00B371B9">
        <w:t>he Committee is concerned by reports that migrant workers</w:t>
      </w:r>
      <w:r w:rsidR="00BE69B5">
        <w:t xml:space="preserve"> </w:t>
      </w:r>
      <w:r w:rsidR="000F09A1" w:rsidRPr="00B371B9">
        <w:t>risk being subjected to labour discrimination and exploitation, including through receipt of salaries below the minimum wage</w:t>
      </w:r>
      <w:r w:rsidR="00BE69B5">
        <w:t xml:space="preserve">. </w:t>
      </w:r>
      <w:r w:rsidR="000F09A1">
        <w:t xml:space="preserve">The Committee is </w:t>
      </w:r>
      <w:r w:rsidR="005D618D">
        <w:t>also</w:t>
      </w:r>
      <w:r w:rsidR="000F09A1">
        <w:t xml:space="preserve"> concerned </w:t>
      </w:r>
      <w:r w:rsidR="005D618D">
        <w:t xml:space="preserve">about the </w:t>
      </w:r>
      <w:r w:rsidR="00957A84">
        <w:t>exploitation</w:t>
      </w:r>
      <w:r w:rsidR="005D618D">
        <w:t xml:space="preserve"> of international students. </w:t>
      </w:r>
      <w:r w:rsidR="00D76B67">
        <w:t>It</w:t>
      </w:r>
      <w:r w:rsidR="005D618D">
        <w:t xml:space="preserve"> is further concerned </w:t>
      </w:r>
      <w:r w:rsidR="000F09A1">
        <w:t>by reports of inadequate access to social services, including mental health program</w:t>
      </w:r>
      <w:r w:rsidR="006E6899">
        <w:t>me</w:t>
      </w:r>
      <w:r w:rsidR="000F09A1">
        <w:t>s, housing and employment for migrants, asylum</w:t>
      </w:r>
      <w:r w:rsidR="006E6899">
        <w:t xml:space="preserve"> </w:t>
      </w:r>
      <w:r w:rsidR="0025302E">
        <w:t>seekers and refugees</w:t>
      </w:r>
      <w:r w:rsidR="000F09A1">
        <w:t>.</w:t>
      </w:r>
      <w:r w:rsidR="00CA6730" w:rsidRPr="00CA6730">
        <w:t xml:space="preserve"> </w:t>
      </w:r>
      <w:r w:rsidR="00CA6730">
        <w:t xml:space="preserve">The Committee is concerned </w:t>
      </w:r>
      <w:r w:rsidR="006E6899">
        <w:t>at</w:t>
      </w:r>
      <w:r w:rsidR="00CA6730">
        <w:t xml:space="preserve"> reports that </w:t>
      </w:r>
      <w:r w:rsidR="00DB6920">
        <w:t xml:space="preserve">some </w:t>
      </w:r>
      <w:r w:rsidR="00CA6730">
        <w:t xml:space="preserve">asylum seekers and undocumented migrants are detained in correctional facilities for criminal offenders and </w:t>
      </w:r>
      <w:r w:rsidR="006E6899">
        <w:t>at</w:t>
      </w:r>
      <w:r w:rsidR="00355E7B">
        <w:t xml:space="preserve"> reports about the</w:t>
      </w:r>
      <w:r w:rsidR="00CA6730">
        <w:t xml:space="preserve"> conditions in which </w:t>
      </w:r>
      <w:r w:rsidR="00BD458B">
        <w:t>some migrant</w:t>
      </w:r>
      <w:r w:rsidR="00DB6920">
        <w:t>s are detained</w:t>
      </w:r>
      <w:r w:rsidR="00BD458B">
        <w:t xml:space="preserve"> </w:t>
      </w:r>
      <w:r w:rsidR="003428EC">
        <w:t>(arts.</w:t>
      </w:r>
      <w:r w:rsidR="00B50ABF">
        <w:t> </w:t>
      </w:r>
      <w:r w:rsidR="003428EC">
        <w:t>2</w:t>
      </w:r>
      <w:r w:rsidR="006E6899">
        <w:t xml:space="preserve"> and</w:t>
      </w:r>
      <w:r w:rsidR="003428EC">
        <w:t xml:space="preserve"> 5)</w:t>
      </w:r>
      <w:r w:rsidR="00F22F7D">
        <w:t>.</w:t>
      </w:r>
      <w:r w:rsidR="00EE0D4E" w:rsidRPr="00B371B9">
        <w:t xml:space="preserve"> </w:t>
      </w:r>
    </w:p>
    <w:p w14:paraId="52EFBAEA" w14:textId="2C0BA3E7" w:rsidR="00776384" w:rsidRPr="0073065B" w:rsidRDefault="008A7396" w:rsidP="008A7396">
      <w:pPr>
        <w:pStyle w:val="SingleTxtG"/>
        <w:rPr>
          <w:b/>
          <w:bCs/>
          <w:lang w:val="en-US"/>
        </w:rPr>
      </w:pPr>
      <w:r w:rsidRPr="0073065B">
        <w:rPr>
          <w:bCs/>
          <w:lang w:val="en-US"/>
        </w:rPr>
        <w:t>32.</w:t>
      </w:r>
      <w:r w:rsidRPr="0073065B">
        <w:rPr>
          <w:bCs/>
          <w:lang w:val="en-US"/>
        </w:rPr>
        <w:tab/>
      </w:r>
      <w:r w:rsidR="00EE0D4E" w:rsidRPr="00B371B9">
        <w:rPr>
          <w:b/>
          <w:bCs/>
        </w:rPr>
        <w:t>The Committee recommends that the State party</w:t>
      </w:r>
      <w:r w:rsidR="00776384">
        <w:rPr>
          <w:b/>
          <w:bCs/>
        </w:rPr>
        <w:t>:</w:t>
      </w:r>
    </w:p>
    <w:p w14:paraId="6E6C1627" w14:textId="48E2EC36" w:rsidR="00776384" w:rsidRPr="0073065B" w:rsidRDefault="006410C8" w:rsidP="00B57DDD">
      <w:pPr>
        <w:pStyle w:val="SingleTxtG"/>
        <w:ind w:firstLine="567"/>
        <w:rPr>
          <w:b/>
          <w:bCs/>
          <w:lang w:val="en-US"/>
        </w:rPr>
      </w:pPr>
      <w:r w:rsidRPr="00B57DDD">
        <w:rPr>
          <w:bCs/>
        </w:rPr>
        <w:t>(a)</w:t>
      </w:r>
      <w:r>
        <w:rPr>
          <w:b/>
          <w:bCs/>
        </w:rPr>
        <w:tab/>
      </w:r>
      <w:r w:rsidR="00D4797E">
        <w:rPr>
          <w:b/>
          <w:bCs/>
        </w:rPr>
        <w:t>T</w:t>
      </w:r>
      <w:r w:rsidR="005965CC" w:rsidRPr="00B371B9">
        <w:rPr>
          <w:b/>
          <w:bCs/>
        </w:rPr>
        <w:t xml:space="preserve">ake appropriate and effective measures to ensure </w:t>
      </w:r>
      <w:r w:rsidR="00976DB3">
        <w:rPr>
          <w:b/>
          <w:bCs/>
        </w:rPr>
        <w:t>equal opportunity and equal treatme</w:t>
      </w:r>
      <w:r w:rsidR="00776384">
        <w:rPr>
          <w:b/>
          <w:bCs/>
        </w:rPr>
        <w:t>n</w:t>
      </w:r>
      <w:r w:rsidR="00DD26C8">
        <w:rPr>
          <w:b/>
          <w:bCs/>
        </w:rPr>
        <w:t xml:space="preserve">t for </w:t>
      </w:r>
      <w:r w:rsidR="005965CC" w:rsidRPr="00B371B9">
        <w:rPr>
          <w:b/>
          <w:bCs/>
        </w:rPr>
        <w:t>migrant</w:t>
      </w:r>
      <w:r w:rsidR="00DD26C8">
        <w:rPr>
          <w:b/>
          <w:bCs/>
        </w:rPr>
        <w:t>s in employment</w:t>
      </w:r>
      <w:r w:rsidR="005A7461">
        <w:rPr>
          <w:b/>
          <w:bCs/>
        </w:rPr>
        <w:t>;</w:t>
      </w:r>
    </w:p>
    <w:p w14:paraId="1CEC725B" w14:textId="68C92868" w:rsidR="001477EF" w:rsidRPr="0073065B" w:rsidRDefault="006410C8" w:rsidP="00B57DDD">
      <w:pPr>
        <w:pStyle w:val="SingleTxtG"/>
        <w:ind w:firstLine="567"/>
        <w:rPr>
          <w:b/>
          <w:bCs/>
          <w:lang w:val="en-US"/>
        </w:rPr>
      </w:pPr>
      <w:r w:rsidRPr="00B57DDD">
        <w:rPr>
          <w:bCs/>
        </w:rPr>
        <w:t>(b)</w:t>
      </w:r>
      <w:r>
        <w:rPr>
          <w:b/>
          <w:bCs/>
        </w:rPr>
        <w:tab/>
      </w:r>
      <w:r w:rsidR="00D4797E">
        <w:rPr>
          <w:b/>
          <w:bCs/>
        </w:rPr>
        <w:t>P</w:t>
      </w:r>
      <w:r w:rsidR="00760781">
        <w:rPr>
          <w:b/>
          <w:bCs/>
        </w:rPr>
        <w:t>rovide information on progress made on the 16 indicators of the New Zealand Migrant Settlement and Integration Strategy in its next periodic report;</w:t>
      </w:r>
    </w:p>
    <w:p w14:paraId="2EF4A1A2" w14:textId="64267054" w:rsidR="00106C93" w:rsidRDefault="006410C8" w:rsidP="00B57DDD">
      <w:pPr>
        <w:pStyle w:val="SingleTxtG"/>
        <w:ind w:firstLine="567"/>
        <w:rPr>
          <w:b/>
        </w:rPr>
      </w:pPr>
      <w:r w:rsidRPr="00B57DDD">
        <w:t>(c)</w:t>
      </w:r>
      <w:r>
        <w:rPr>
          <w:b/>
        </w:rPr>
        <w:tab/>
      </w:r>
      <w:r w:rsidR="00D4797E">
        <w:rPr>
          <w:b/>
        </w:rPr>
        <w:t>E</w:t>
      </w:r>
      <w:r w:rsidR="00106C93" w:rsidRPr="00B371B9">
        <w:rPr>
          <w:b/>
        </w:rPr>
        <w:t>nsure that all asylum seekers and refugees have access to adequate and appropriate services</w:t>
      </w:r>
      <w:r w:rsidR="00816E85">
        <w:rPr>
          <w:b/>
        </w:rPr>
        <w:t>, including social work and counselling services,</w:t>
      </w:r>
      <w:r w:rsidR="006E6899">
        <w:rPr>
          <w:b/>
        </w:rPr>
        <w:t xml:space="preserve"> so as</w:t>
      </w:r>
      <w:r w:rsidR="00106C93" w:rsidRPr="00B371B9">
        <w:rPr>
          <w:b/>
        </w:rPr>
        <w:t xml:space="preserve"> to fully enjoy their economic, social and cultural rights</w:t>
      </w:r>
      <w:r w:rsidR="00106C93">
        <w:rPr>
          <w:b/>
        </w:rPr>
        <w:t>;</w:t>
      </w:r>
    </w:p>
    <w:p w14:paraId="3C9BE430" w14:textId="506DEB58" w:rsidR="00106C93" w:rsidRPr="00B371B9" w:rsidRDefault="006410C8" w:rsidP="00B57DDD">
      <w:pPr>
        <w:pStyle w:val="SingleTxtG"/>
        <w:ind w:firstLine="567"/>
        <w:rPr>
          <w:b/>
        </w:rPr>
      </w:pPr>
      <w:r w:rsidRPr="00B57DDD">
        <w:lastRenderedPageBreak/>
        <w:t>(d)</w:t>
      </w:r>
      <w:r>
        <w:rPr>
          <w:b/>
        </w:rPr>
        <w:tab/>
      </w:r>
      <w:r w:rsidR="00D4797E">
        <w:rPr>
          <w:b/>
        </w:rPr>
        <w:t>E</w:t>
      </w:r>
      <w:r w:rsidR="00106C93">
        <w:rPr>
          <w:b/>
        </w:rPr>
        <w:t xml:space="preserve">nsure adequate funding to support the continuation of </w:t>
      </w:r>
      <w:r w:rsidR="008D4AC7">
        <w:rPr>
          <w:b/>
        </w:rPr>
        <w:t>psychosocial services</w:t>
      </w:r>
      <w:r w:rsidR="00106C93">
        <w:rPr>
          <w:b/>
        </w:rPr>
        <w:t>;</w:t>
      </w:r>
    </w:p>
    <w:p w14:paraId="2FF1F3AA" w14:textId="764A3642" w:rsidR="00106C93" w:rsidRPr="00F63F6E" w:rsidRDefault="006410C8" w:rsidP="00B57DDD">
      <w:pPr>
        <w:pStyle w:val="SingleTxtG"/>
        <w:ind w:firstLine="567"/>
        <w:rPr>
          <w:b/>
        </w:rPr>
      </w:pPr>
      <w:r w:rsidRPr="00B57DDD">
        <w:t>(e)</w:t>
      </w:r>
      <w:r>
        <w:rPr>
          <w:b/>
        </w:rPr>
        <w:tab/>
      </w:r>
      <w:r w:rsidR="00D4797E">
        <w:rPr>
          <w:b/>
        </w:rPr>
        <w:t>E</w:t>
      </w:r>
      <w:r w:rsidR="00106C93" w:rsidRPr="00B371B9">
        <w:rPr>
          <w:b/>
        </w:rPr>
        <w:t>nsure that migrants are not detained in inappropriate facilities</w:t>
      </w:r>
      <w:r w:rsidR="00A96FCC">
        <w:rPr>
          <w:b/>
        </w:rPr>
        <w:t xml:space="preserve"> </w:t>
      </w:r>
      <w:r w:rsidR="00106C93" w:rsidRPr="00B371B9">
        <w:rPr>
          <w:b/>
        </w:rPr>
        <w:t>and are never held with prisoners in correctional facilities</w:t>
      </w:r>
      <w:r w:rsidR="006E6899">
        <w:rPr>
          <w:b/>
        </w:rPr>
        <w:t>,</w:t>
      </w:r>
      <w:r w:rsidR="00106C93" w:rsidRPr="00B371B9">
        <w:rPr>
          <w:b/>
        </w:rPr>
        <w:t xml:space="preserve"> </w:t>
      </w:r>
      <w:r w:rsidR="00491C5A">
        <w:rPr>
          <w:b/>
        </w:rPr>
        <w:t xml:space="preserve">and </w:t>
      </w:r>
      <w:r w:rsidR="00106C93" w:rsidRPr="00B371B9">
        <w:rPr>
          <w:b/>
        </w:rPr>
        <w:t>consider further increasing its annual refugee quota.</w:t>
      </w:r>
    </w:p>
    <w:p w14:paraId="6DBF6979" w14:textId="18108C12" w:rsidR="006C0626" w:rsidRPr="00B371B9" w:rsidRDefault="00D4797E" w:rsidP="00D4797E">
      <w:pPr>
        <w:pStyle w:val="H23G"/>
      </w:pPr>
      <w:r>
        <w:tab/>
      </w:r>
      <w:r>
        <w:tab/>
      </w:r>
      <w:r w:rsidR="008B5BE3" w:rsidRPr="00B371B9">
        <w:t>M</w:t>
      </w:r>
      <w:r w:rsidR="00C87A05">
        <w:t>a</w:t>
      </w:r>
      <w:r w:rsidR="008B5BE3" w:rsidRPr="00B371B9">
        <w:t>ori</w:t>
      </w:r>
      <w:r w:rsidR="00B74CD2" w:rsidRPr="00B371B9">
        <w:t xml:space="preserve"> and Pasifika c</w:t>
      </w:r>
      <w:r w:rsidR="00D52BA0" w:rsidRPr="00B371B9">
        <w:t>hildren</w:t>
      </w:r>
    </w:p>
    <w:p w14:paraId="61ED4034" w14:textId="0BEA0698" w:rsidR="00D80D68" w:rsidRPr="00724CAD" w:rsidRDefault="008A7396" w:rsidP="008A7396">
      <w:pPr>
        <w:pStyle w:val="SingleTxtG"/>
        <w:rPr>
          <w:b/>
          <w:lang w:val="en-US"/>
        </w:rPr>
      </w:pPr>
      <w:r w:rsidRPr="00724CAD">
        <w:rPr>
          <w:lang w:val="en-US"/>
        </w:rPr>
        <w:t>33.</w:t>
      </w:r>
      <w:r w:rsidRPr="00724CAD">
        <w:rPr>
          <w:lang w:val="en-US"/>
        </w:rPr>
        <w:tab/>
      </w:r>
      <w:r w:rsidR="00C56BF5">
        <w:t xml:space="preserve">The Committee </w:t>
      </w:r>
      <w:r w:rsidR="00842D8B">
        <w:t xml:space="preserve">is </w:t>
      </w:r>
      <w:r w:rsidR="00C56BF5">
        <w:t xml:space="preserve">alarmed by reports of the alleged abuse of children in foster care or </w:t>
      </w:r>
      <w:r w:rsidR="006E6899">
        <w:t>S</w:t>
      </w:r>
      <w:r w:rsidR="00C56BF5">
        <w:t xml:space="preserve">tate institutions that </w:t>
      </w:r>
      <w:r w:rsidR="006E6899">
        <w:t xml:space="preserve">is </w:t>
      </w:r>
      <w:r w:rsidR="00C56BF5">
        <w:t>alleged to have included physical, sexual and emotional abuse. The reports focus on a period of approximately 40 years</w:t>
      </w:r>
      <w:r w:rsidR="00092955">
        <w:t>,</w:t>
      </w:r>
      <w:r w:rsidR="00C56BF5">
        <w:t xml:space="preserve"> during which time </w:t>
      </w:r>
      <w:r w:rsidR="006E6899">
        <w:t xml:space="preserve">up to </w:t>
      </w:r>
      <w:r w:rsidR="00C56BF5">
        <w:t>100,000 children were in care, the majorit</w:t>
      </w:r>
      <w:r w:rsidR="00842D8B">
        <w:t xml:space="preserve">y of whom were Maori children. </w:t>
      </w:r>
      <w:r w:rsidR="00C56BF5">
        <w:t>The Committee notes the State party has expressed its in</w:t>
      </w:r>
      <w:r w:rsidR="00842D8B">
        <w:t xml:space="preserve">tention to compensate victims. </w:t>
      </w:r>
      <w:r w:rsidR="00C56BF5">
        <w:t>However, the Committee is concerned that such an approach by the State party will fail to expose the systemic pr</w:t>
      </w:r>
      <w:r w:rsidR="00842D8B">
        <w:t xml:space="preserve">oblems that may have existed. </w:t>
      </w:r>
      <w:r w:rsidR="00C56BF5">
        <w:t xml:space="preserve">The Committee is also concerned that Maori children are still more likely to be placed in government care. It notes </w:t>
      </w:r>
      <w:r w:rsidR="006E6899">
        <w:t xml:space="preserve">that </w:t>
      </w:r>
      <w:r w:rsidR="00C56BF5">
        <w:t xml:space="preserve">the recent amendments to the </w:t>
      </w:r>
      <w:proofErr w:type="spellStart"/>
      <w:r w:rsidR="00C56BF5">
        <w:t>Orang</w:t>
      </w:r>
      <w:r w:rsidR="006E6899">
        <w:t>a</w:t>
      </w:r>
      <w:proofErr w:type="spellEnd"/>
      <w:r w:rsidR="00C56BF5">
        <w:t xml:space="preserve"> </w:t>
      </w:r>
      <w:proofErr w:type="spellStart"/>
      <w:r w:rsidR="00C56BF5">
        <w:t>Tamariki</w:t>
      </w:r>
      <w:proofErr w:type="spellEnd"/>
      <w:r w:rsidR="00C56BF5">
        <w:t xml:space="preserve"> Act 1989 (</w:t>
      </w:r>
      <w:r w:rsidR="006E6899">
        <w:t xml:space="preserve">through the </w:t>
      </w:r>
      <w:r w:rsidR="00C56BF5">
        <w:t xml:space="preserve">Children, Young Persons, and Their Families </w:t>
      </w:r>
      <w:r w:rsidR="006E6899">
        <w:t>(</w:t>
      </w:r>
      <w:proofErr w:type="spellStart"/>
      <w:r w:rsidR="006E6899">
        <w:t>Oranga</w:t>
      </w:r>
      <w:proofErr w:type="spellEnd"/>
      <w:r w:rsidR="006E6899">
        <w:t xml:space="preserve"> </w:t>
      </w:r>
      <w:proofErr w:type="spellStart"/>
      <w:r w:rsidR="006E6899">
        <w:t>Tamariki</w:t>
      </w:r>
      <w:proofErr w:type="spellEnd"/>
      <w:r w:rsidR="006E6899">
        <w:t xml:space="preserve">) </w:t>
      </w:r>
      <w:r w:rsidR="00C56BF5">
        <w:t xml:space="preserve">Legislation Act 2017) </w:t>
      </w:r>
      <w:r w:rsidR="004C6C78">
        <w:t>provide certain safeguards for</w:t>
      </w:r>
      <w:r w:rsidR="00C56BF5">
        <w:t xml:space="preserve"> children in care but concerns remain about</w:t>
      </w:r>
      <w:r w:rsidR="006E6899">
        <w:t>,</w:t>
      </w:r>
      <w:r w:rsidR="00C56BF5">
        <w:t xml:space="preserve"> among other things, </w:t>
      </w:r>
      <w:r w:rsidR="006E6899">
        <w:t xml:space="preserve">a </w:t>
      </w:r>
      <w:r w:rsidR="00C56BF5">
        <w:t>parliamentary proposal to send young offenders to a military</w:t>
      </w:r>
      <w:r w:rsidR="006E6899">
        <w:t>-</w:t>
      </w:r>
      <w:r w:rsidR="00C56BF5">
        <w:t xml:space="preserve">style </w:t>
      </w:r>
      <w:r w:rsidR="00C56BF5" w:rsidRPr="00842ACE">
        <w:t>boot camp</w:t>
      </w:r>
      <w:r w:rsidR="00C56BF5">
        <w:t xml:space="preserve"> for a year </w:t>
      </w:r>
      <w:r w:rsidR="003428EC" w:rsidRPr="00724CAD">
        <w:rPr>
          <w:lang w:val="en-US"/>
        </w:rPr>
        <w:t>(arts.</w:t>
      </w:r>
      <w:r w:rsidR="00B50ABF">
        <w:rPr>
          <w:lang w:val="en-US"/>
        </w:rPr>
        <w:t> </w:t>
      </w:r>
      <w:r w:rsidR="003428EC" w:rsidRPr="00724CAD">
        <w:rPr>
          <w:lang w:val="en-US"/>
        </w:rPr>
        <w:t>2, 5</w:t>
      </w:r>
      <w:r w:rsidR="006E6899">
        <w:rPr>
          <w:lang w:val="en-US"/>
        </w:rPr>
        <w:t xml:space="preserve"> and</w:t>
      </w:r>
      <w:r w:rsidR="003428EC" w:rsidRPr="00724CAD">
        <w:rPr>
          <w:lang w:val="en-US"/>
        </w:rPr>
        <w:t xml:space="preserve"> 6)</w:t>
      </w:r>
      <w:r w:rsidR="00843F3A" w:rsidRPr="00724CAD">
        <w:rPr>
          <w:lang w:val="en-US"/>
        </w:rPr>
        <w:t xml:space="preserve">. </w:t>
      </w:r>
    </w:p>
    <w:p w14:paraId="3D21291C" w14:textId="366CEDC2" w:rsidR="00C021BA" w:rsidRDefault="008A7396" w:rsidP="008A7396">
      <w:pPr>
        <w:pStyle w:val="SingleTxtG"/>
        <w:keepNext/>
        <w:rPr>
          <w:b/>
        </w:rPr>
      </w:pPr>
      <w:r>
        <w:t>34.</w:t>
      </w:r>
      <w:r>
        <w:tab/>
      </w:r>
      <w:r w:rsidR="0033720B" w:rsidRPr="00C021BA">
        <w:rPr>
          <w:b/>
        </w:rPr>
        <w:t xml:space="preserve">The Committee </w:t>
      </w:r>
      <w:r w:rsidR="004B6CCA" w:rsidRPr="00C021BA">
        <w:rPr>
          <w:b/>
        </w:rPr>
        <w:t xml:space="preserve">recommends that </w:t>
      </w:r>
      <w:r w:rsidR="0033720B" w:rsidRPr="00C021BA">
        <w:rPr>
          <w:b/>
        </w:rPr>
        <w:t>the State party</w:t>
      </w:r>
      <w:r w:rsidR="009B59CF" w:rsidRPr="00C021BA">
        <w:rPr>
          <w:b/>
        </w:rPr>
        <w:t>:</w:t>
      </w:r>
    </w:p>
    <w:p w14:paraId="5FB94A2E" w14:textId="7E0663AB" w:rsidR="00092955" w:rsidRPr="00C021BA" w:rsidRDefault="006410C8" w:rsidP="00B57DDD">
      <w:pPr>
        <w:pStyle w:val="SingleTxtG"/>
        <w:ind w:firstLine="567"/>
        <w:rPr>
          <w:b/>
        </w:rPr>
      </w:pPr>
      <w:r w:rsidRPr="00B57DDD">
        <w:t>(a)</w:t>
      </w:r>
      <w:r>
        <w:rPr>
          <w:b/>
        </w:rPr>
        <w:tab/>
      </w:r>
      <w:r w:rsidR="00C021BA">
        <w:rPr>
          <w:b/>
        </w:rPr>
        <w:t>I</w:t>
      </w:r>
      <w:r w:rsidR="00092955" w:rsidRPr="00C021BA">
        <w:rPr>
          <w:b/>
        </w:rPr>
        <w:t>m</w:t>
      </w:r>
      <w:r w:rsidR="0033720B" w:rsidRPr="00C021BA">
        <w:rPr>
          <w:b/>
        </w:rPr>
        <w:t xml:space="preserve">mediately </w:t>
      </w:r>
      <w:r w:rsidR="00AC6744" w:rsidRPr="00C021BA">
        <w:rPr>
          <w:b/>
        </w:rPr>
        <w:t xml:space="preserve">set up </w:t>
      </w:r>
      <w:r w:rsidR="0033720B" w:rsidRPr="00C021BA">
        <w:rPr>
          <w:b/>
        </w:rPr>
        <w:t xml:space="preserve">and empower an independent commission of inquiry into </w:t>
      </w:r>
      <w:r w:rsidR="00377784" w:rsidRPr="00C021BA">
        <w:rPr>
          <w:b/>
        </w:rPr>
        <w:t>a</w:t>
      </w:r>
      <w:r w:rsidR="00C279F3" w:rsidRPr="00C021BA">
        <w:rPr>
          <w:b/>
        </w:rPr>
        <w:t>buse</w:t>
      </w:r>
      <w:r w:rsidR="00377784" w:rsidRPr="00C021BA">
        <w:rPr>
          <w:b/>
        </w:rPr>
        <w:t xml:space="preserve"> </w:t>
      </w:r>
      <w:r w:rsidR="0033720B" w:rsidRPr="00C021BA">
        <w:rPr>
          <w:b/>
        </w:rPr>
        <w:t xml:space="preserve">of children and adults with disabilities in </w:t>
      </w:r>
      <w:r w:rsidR="006E6899">
        <w:rPr>
          <w:b/>
        </w:rPr>
        <w:t>S</w:t>
      </w:r>
      <w:r w:rsidR="0033720B" w:rsidRPr="00C021BA">
        <w:rPr>
          <w:b/>
        </w:rPr>
        <w:t xml:space="preserve">tate care </w:t>
      </w:r>
      <w:r w:rsidR="005C4EBB" w:rsidRPr="00C021BA">
        <w:rPr>
          <w:b/>
        </w:rPr>
        <w:t xml:space="preserve">from 1950 </w:t>
      </w:r>
      <w:r w:rsidR="00043012">
        <w:rPr>
          <w:b/>
        </w:rPr>
        <w:t>to</w:t>
      </w:r>
      <w:r w:rsidR="00043012" w:rsidRPr="00C021BA">
        <w:rPr>
          <w:b/>
        </w:rPr>
        <w:t xml:space="preserve"> </w:t>
      </w:r>
      <w:r w:rsidR="005C4EBB" w:rsidRPr="00C021BA">
        <w:rPr>
          <w:b/>
        </w:rPr>
        <w:t>1990</w:t>
      </w:r>
      <w:r w:rsidR="005C2576" w:rsidRPr="00C021BA">
        <w:rPr>
          <w:b/>
        </w:rPr>
        <w:t xml:space="preserve">, with </w:t>
      </w:r>
      <w:r w:rsidR="00927314" w:rsidRPr="00C021BA">
        <w:rPr>
          <w:b/>
        </w:rPr>
        <w:t xml:space="preserve">the </w:t>
      </w:r>
      <w:r w:rsidR="009517CB" w:rsidRPr="00C021BA">
        <w:rPr>
          <w:b/>
        </w:rPr>
        <w:t>authority to determine redress</w:t>
      </w:r>
      <w:r w:rsidR="003B1E17" w:rsidRPr="00C021BA">
        <w:rPr>
          <w:b/>
        </w:rPr>
        <w:t>, rehabilitation</w:t>
      </w:r>
      <w:r w:rsidR="009517CB" w:rsidRPr="00C021BA">
        <w:rPr>
          <w:b/>
        </w:rPr>
        <w:t xml:space="preserve"> and reparations for </w:t>
      </w:r>
      <w:r w:rsidR="00C33C7F" w:rsidRPr="00C021BA">
        <w:rPr>
          <w:b/>
        </w:rPr>
        <w:t>victims,</w:t>
      </w:r>
      <w:r w:rsidR="00F94BE4" w:rsidRPr="00C021BA">
        <w:rPr>
          <w:b/>
        </w:rPr>
        <w:t xml:space="preserve"> including an apology from the </w:t>
      </w:r>
      <w:r w:rsidR="00074CA9" w:rsidRPr="00C021BA">
        <w:rPr>
          <w:b/>
        </w:rPr>
        <w:t>State party</w:t>
      </w:r>
      <w:r w:rsidR="00B92D2E" w:rsidRPr="00C021BA">
        <w:rPr>
          <w:b/>
        </w:rPr>
        <w:t>;</w:t>
      </w:r>
    </w:p>
    <w:p w14:paraId="765DA95B" w14:textId="370E9E37" w:rsidR="00104227" w:rsidRPr="00092955" w:rsidRDefault="006410C8" w:rsidP="00B57DDD">
      <w:pPr>
        <w:pStyle w:val="SingleTxtG"/>
        <w:ind w:firstLine="567"/>
        <w:rPr>
          <w:b/>
        </w:rPr>
      </w:pPr>
      <w:r w:rsidRPr="00B57DDD">
        <w:t>(b)</w:t>
      </w:r>
      <w:r>
        <w:rPr>
          <w:b/>
        </w:rPr>
        <w:tab/>
      </w:r>
      <w:r w:rsidR="00D4797E" w:rsidRPr="00092955">
        <w:rPr>
          <w:b/>
        </w:rPr>
        <w:t>T</w:t>
      </w:r>
      <w:r w:rsidR="00CB7E2C" w:rsidRPr="00092955">
        <w:rPr>
          <w:b/>
        </w:rPr>
        <w:t>ake effective steps</w:t>
      </w:r>
      <w:r w:rsidR="00CD6789" w:rsidRPr="00092955">
        <w:rPr>
          <w:b/>
        </w:rPr>
        <w:t xml:space="preserve"> </w:t>
      </w:r>
      <w:r w:rsidR="00CB7E2C" w:rsidRPr="00092955">
        <w:rPr>
          <w:b/>
        </w:rPr>
        <w:t xml:space="preserve">to </w:t>
      </w:r>
      <w:r w:rsidR="00F64571" w:rsidRPr="00092955">
        <w:rPr>
          <w:b/>
        </w:rPr>
        <w:t xml:space="preserve">reduce the number of </w:t>
      </w:r>
      <w:r w:rsidR="0014312C" w:rsidRPr="00092955">
        <w:rPr>
          <w:b/>
        </w:rPr>
        <w:t>M</w:t>
      </w:r>
      <w:r w:rsidR="00C87A05">
        <w:rPr>
          <w:b/>
        </w:rPr>
        <w:t>a</w:t>
      </w:r>
      <w:r w:rsidR="0014312C" w:rsidRPr="00092955">
        <w:rPr>
          <w:b/>
        </w:rPr>
        <w:t>ori</w:t>
      </w:r>
      <w:r w:rsidR="0014312C" w:rsidRPr="00B371B9">
        <w:t xml:space="preserve"> </w:t>
      </w:r>
      <w:r w:rsidR="00F64571" w:rsidRPr="00092955">
        <w:rPr>
          <w:b/>
        </w:rPr>
        <w:t xml:space="preserve">and </w:t>
      </w:r>
      <w:r w:rsidR="008A41F0" w:rsidRPr="00092955">
        <w:rPr>
          <w:b/>
        </w:rPr>
        <w:t>Pasif</w:t>
      </w:r>
      <w:r w:rsidR="00D13532" w:rsidRPr="00092955">
        <w:rPr>
          <w:b/>
        </w:rPr>
        <w:t xml:space="preserve">ika children in </w:t>
      </w:r>
      <w:r w:rsidR="006E6899">
        <w:rPr>
          <w:b/>
        </w:rPr>
        <w:t>S</w:t>
      </w:r>
      <w:r w:rsidR="00D13532" w:rsidRPr="00092955">
        <w:rPr>
          <w:b/>
        </w:rPr>
        <w:t>tate care</w:t>
      </w:r>
      <w:r w:rsidR="0031659B" w:rsidRPr="00092955">
        <w:rPr>
          <w:b/>
        </w:rPr>
        <w:t xml:space="preserve">, including </w:t>
      </w:r>
      <w:r w:rsidR="00F00834">
        <w:rPr>
          <w:b/>
        </w:rPr>
        <w:t>through the</w:t>
      </w:r>
      <w:r w:rsidR="00CB7E2C" w:rsidRPr="00092955">
        <w:rPr>
          <w:b/>
        </w:rPr>
        <w:t xml:space="preserve"> policy of </w:t>
      </w:r>
      <w:r w:rsidR="003E59E1">
        <w:rPr>
          <w:b/>
          <w:iCs/>
          <w:lang w:val="en-US"/>
        </w:rPr>
        <w:t>“</w:t>
      </w:r>
      <w:r w:rsidR="00CB7E2C" w:rsidRPr="00B57DDD">
        <w:rPr>
          <w:b/>
          <w:iCs/>
          <w:lang w:val="en-US"/>
        </w:rPr>
        <w:t>whanau</w:t>
      </w:r>
      <w:r w:rsidR="003E59E1">
        <w:rPr>
          <w:b/>
          <w:iCs/>
          <w:lang w:val="en-US"/>
        </w:rPr>
        <w:t>-</w:t>
      </w:r>
      <w:r w:rsidR="00CB7E2C" w:rsidRPr="00B57DDD">
        <w:rPr>
          <w:b/>
          <w:iCs/>
          <w:lang w:val="en-US"/>
        </w:rPr>
        <w:t>first</w:t>
      </w:r>
      <w:r w:rsidR="003E59E1">
        <w:rPr>
          <w:b/>
          <w:iCs/>
          <w:lang w:val="en-US"/>
        </w:rPr>
        <w:t>”</w:t>
      </w:r>
      <w:r w:rsidR="00CB7E2C" w:rsidRPr="00B57DDD">
        <w:rPr>
          <w:b/>
          <w:iCs/>
          <w:lang w:val="en-US"/>
        </w:rPr>
        <w:t xml:space="preserve"> </w:t>
      </w:r>
      <w:r w:rsidR="00CB7E2C" w:rsidRPr="00092955">
        <w:rPr>
          <w:b/>
          <w:iCs/>
          <w:lang w:val="en-US"/>
        </w:rPr>
        <w:t xml:space="preserve">placement for </w:t>
      </w:r>
      <w:r w:rsidR="00927314" w:rsidRPr="00092955">
        <w:rPr>
          <w:b/>
        </w:rPr>
        <w:t>M</w:t>
      </w:r>
      <w:r w:rsidR="00C87A05">
        <w:rPr>
          <w:b/>
        </w:rPr>
        <w:t>a</w:t>
      </w:r>
      <w:r w:rsidR="00927314" w:rsidRPr="00092955">
        <w:rPr>
          <w:b/>
        </w:rPr>
        <w:t>ori</w:t>
      </w:r>
      <w:r w:rsidR="0072178F">
        <w:rPr>
          <w:b/>
        </w:rPr>
        <w:t xml:space="preserve"> children</w:t>
      </w:r>
      <w:r w:rsidR="00E85977" w:rsidRPr="00092955">
        <w:rPr>
          <w:b/>
        </w:rPr>
        <w:t>.</w:t>
      </w:r>
    </w:p>
    <w:p w14:paraId="47650450" w14:textId="46D86BE9" w:rsidR="00826943" w:rsidRPr="00B371B9" w:rsidRDefault="00D4797E" w:rsidP="00D4797E">
      <w:pPr>
        <w:pStyle w:val="H23G"/>
      </w:pPr>
      <w:r>
        <w:tab/>
      </w:r>
      <w:r>
        <w:tab/>
      </w:r>
      <w:r w:rsidR="007E3C4B" w:rsidRPr="00B371B9">
        <w:t>M</w:t>
      </w:r>
      <w:r w:rsidR="00C87A05">
        <w:t>a</w:t>
      </w:r>
      <w:r w:rsidR="007E3C4B" w:rsidRPr="00B371B9">
        <w:t>ori language</w:t>
      </w:r>
    </w:p>
    <w:p w14:paraId="09635D43" w14:textId="25548487" w:rsidR="00826943" w:rsidRPr="00B371B9" w:rsidRDefault="008A7396" w:rsidP="008A7396">
      <w:pPr>
        <w:pStyle w:val="SingleTxtG"/>
      </w:pPr>
      <w:r w:rsidRPr="00B371B9">
        <w:t>35.</w:t>
      </w:r>
      <w:r w:rsidRPr="00B371B9">
        <w:tab/>
      </w:r>
      <w:r w:rsidR="00463E0C" w:rsidRPr="00B371B9">
        <w:t>The Committee notes</w:t>
      </w:r>
      <w:r w:rsidR="00F00FB4">
        <w:t xml:space="preserve"> from statistics</w:t>
      </w:r>
      <w:r w:rsidR="00345440">
        <w:t xml:space="preserve"> </w:t>
      </w:r>
      <w:r w:rsidR="00F00FB4">
        <w:t>in the</w:t>
      </w:r>
      <w:r w:rsidR="00826943" w:rsidRPr="00B371B9">
        <w:t xml:space="preserve"> State party</w:t>
      </w:r>
      <w:r w:rsidR="00F00FB4">
        <w:t>’s report that</w:t>
      </w:r>
      <w:r w:rsidR="00826943" w:rsidRPr="00B371B9">
        <w:t xml:space="preserve"> the number of students receiving instruction in M</w:t>
      </w:r>
      <w:r w:rsidR="00C87A05">
        <w:t>a</w:t>
      </w:r>
      <w:r w:rsidR="00826943" w:rsidRPr="00B371B9">
        <w:t>ori language (</w:t>
      </w:r>
      <w:proofErr w:type="spellStart"/>
      <w:r w:rsidR="00842ACE">
        <w:t>T</w:t>
      </w:r>
      <w:r w:rsidR="00826943" w:rsidRPr="00842ACE">
        <w:t>e</w:t>
      </w:r>
      <w:proofErr w:type="spellEnd"/>
      <w:r w:rsidR="00826943" w:rsidRPr="00842ACE">
        <w:t xml:space="preserve"> </w:t>
      </w:r>
      <w:r w:rsidR="00842ACE">
        <w:t>R</w:t>
      </w:r>
      <w:r w:rsidR="00826943" w:rsidRPr="00842ACE">
        <w:t>eo M</w:t>
      </w:r>
      <w:r w:rsidR="00C87A05" w:rsidRPr="00842ACE">
        <w:t>a</w:t>
      </w:r>
      <w:r w:rsidR="00826943" w:rsidRPr="00842ACE">
        <w:t>ori</w:t>
      </w:r>
      <w:r w:rsidR="00826943" w:rsidRPr="00B371B9">
        <w:t>) has ste</w:t>
      </w:r>
      <w:r w:rsidR="00463E0C" w:rsidRPr="00B371B9">
        <w:t>adily increased in recent years.</w:t>
      </w:r>
      <w:r w:rsidR="00826943" w:rsidRPr="00B371B9">
        <w:t xml:space="preserve"> </w:t>
      </w:r>
      <w:r w:rsidR="00463E0C" w:rsidRPr="00B371B9">
        <w:t xml:space="preserve">However, it </w:t>
      </w:r>
      <w:r w:rsidR="00826943" w:rsidRPr="00B371B9">
        <w:t xml:space="preserve">is concerned by </w:t>
      </w:r>
      <w:r w:rsidR="00F00FB4">
        <w:t xml:space="preserve">other </w:t>
      </w:r>
      <w:r w:rsidR="00826943" w:rsidRPr="00B371B9">
        <w:t xml:space="preserve">reports </w:t>
      </w:r>
      <w:r w:rsidR="00EF724A" w:rsidRPr="00B371B9">
        <w:t>that</w:t>
      </w:r>
      <w:r w:rsidR="00826943" w:rsidRPr="00B371B9">
        <w:t xml:space="preserve"> low levels of conversational </w:t>
      </w:r>
      <w:proofErr w:type="spellStart"/>
      <w:r w:rsidR="006B049D">
        <w:t>T</w:t>
      </w:r>
      <w:r w:rsidR="00DE55B3" w:rsidRPr="00B371B9">
        <w:t>e</w:t>
      </w:r>
      <w:proofErr w:type="spellEnd"/>
      <w:r w:rsidR="00DE55B3" w:rsidRPr="00B371B9">
        <w:t xml:space="preserve"> </w:t>
      </w:r>
      <w:r w:rsidR="006B049D">
        <w:t>R</w:t>
      </w:r>
      <w:r w:rsidR="00DE55B3" w:rsidRPr="00B371B9">
        <w:t xml:space="preserve">eo </w:t>
      </w:r>
      <w:r w:rsidR="00826943" w:rsidRPr="00B371B9">
        <w:t>M</w:t>
      </w:r>
      <w:r w:rsidR="00C87A05">
        <w:t>a</w:t>
      </w:r>
      <w:r w:rsidR="00826943" w:rsidRPr="00B371B9">
        <w:t xml:space="preserve">ori ability </w:t>
      </w:r>
      <w:r w:rsidR="00EF724A" w:rsidRPr="00B371B9">
        <w:t xml:space="preserve">persist </w:t>
      </w:r>
      <w:r w:rsidR="00826943" w:rsidRPr="00B371B9">
        <w:t xml:space="preserve">among </w:t>
      </w:r>
      <w:r w:rsidR="006058B0" w:rsidRPr="00B371B9">
        <w:t>M</w:t>
      </w:r>
      <w:r w:rsidR="00C87A05">
        <w:t>a</w:t>
      </w:r>
      <w:r w:rsidR="006058B0" w:rsidRPr="00B371B9">
        <w:t>ori</w:t>
      </w:r>
      <w:r w:rsidR="00F00FB4">
        <w:t xml:space="preserve">, in some instances because students </w:t>
      </w:r>
      <w:r w:rsidR="00265BC8" w:rsidRPr="00B371B9">
        <w:t xml:space="preserve">are </w:t>
      </w:r>
      <w:r w:rsidR="00544041">
        <w:t>reportedly</w:t>
      </w:r>
      <w:r w:rsidR="00265BC8" w:rsidRPr="00B371B9">
        <w:t xml:space="preserve"> discouraged from using the language</w:t>
      </w:r>
      <w:r w:rsidR="008B375B" w:rsidRPr="00B371B9">
        <w:t xml:space="preserve"> (art.</w:t>
      </w:r>
      <w:r w:rsidR="00B50ABF">
        <w:t> </w:t>
      </w:r>
      <w:r w:rsidR="008B375B" w:rsidRPr="00B371B9">
        <w:t>5)</w:t>
      </w:r>
      <w:r w:rsidR="00826943" w:rsidRPr="00B371B9">
        <w:t>.</w:t>
      </w:r>
    </w:p>
    <w:p w14:paraId="43FD91E8" w14:textId="092D2E43" w:rsidR="00826943" w:rsidRPr="00B371B9" w:rsidRDefault="008A7396" w:rsidP="008A7396">
      <w:pPr>
        <w:pStyle w:val="SingleTxtG"/>
        <w:rPr>
          <w:b/>
        </w:rPr>
      </w:pPr>
      <w:r w:rsidRPr="00B371B9">
        <w:t>36.</w:t>
      </w:r>
      <w:r w:rsidRPr="00B371B9">
        <w:tab/>
      </w:r>
      <w:r w:rsidR="00826943" w:rsidRPr="00B371B9">
        <w:rPr>
          <w:b/>
        </w:rPr>
        <w:t xml:space="preserve">The Committee recommends that the State party </w:t>
      </w:r>
      <w:r w:rsidR="0000037E" w:rsidRPr="00B371B9">
        <w:rPr>
          <w:b/>
        </w:rPr>
        <w:t xml:space="preserve">strengthen the inclusion of </w:t>
      </w:r>
      <w:proofErr w:type="spellStart"/>
      <w:r w:rsidR="00842ACE">
        <w:rPr>
          <w:b/>
        </w:rPr>
        <w:t>T</w:t>
      </w:r>
      <w:r w:rsidR="005773E2" w:rsidRPr="00B371B9">
        <w:rPr>
          <w:b/>
        </w:rPr>
        <w:t>e</w:t>
      </w:r>
      <w:proofErr w:type="spellEnd"/>
      <w:r w:rsidR="005773E2" w:rsidRPr="00B371B9">
        <w:rPr>
          <w:b/>
        </w:rPr>
        <w:t xml:space="preserve"> </w:t>
      </w:r>
      <w:r w:rsidR="00842ACE">
        <w:rPr>
          <w:b/>
        </w:rPr>
        <w:t>R</w:t>
      </w:r>
      <w:r w:rsidR="005773E2" w:rsidRPr="00B371B9">
        <w:rPr>
          <w:b/>
        </w:rPr>
        <w:t>eo M</w:t>
      </w:r>
      <w:r w:rsidR="00C87A05">
        <w:rPr>
          <w:b/>
        </w:rPr>
        <w:t>a</w:t>
      </w:r>
      <w:r w:rsidR="005773E2" w:rsidRPr="00B371B9">
        <w:rPr>
          <w:b/>
        </w:rPr>
        <w:t xml:space="preserve">ori </w:t>
      </w:r>
      <w:r w:rsidR="0065620A" w:rsidRPr="00B371B9">
        <w:rPr>
          <w:b/>
        </w:rPr>
        <w:t>instruction i</w:t>
      </w:r>
      <w:r w:rsidR="00826943" w:rsidRPr="00B371B9">
        <w:rPr>
          <w:b/>
        </w:rPr>
        <w:t>n its core educational curriculum</w:t>
      </w:r>
      <w:r w:rsidR="00727E19">
        <w:rPr>
          <w:b/>
        </w:rPr>
        <w:t xml:space="preserve"> for all New Zealand students</w:t>
      </w:r>
      <w:r w:rsidR="00BA0C3D">
        <w:rPr>
          <w:b/>
        </w:rPr>
        <w:t xml:space="preserve">, and increase its efforts to mainstream the use of the </w:t>
      </w:r>
      <w:r w:rsidR="00BA0C3D" w:rsidRPr="006B5090">
        <w:rPr>
          <w:b/>
          <w:bCs/>
          <w:lang w:val="en-US"/>
        </w:rPr>
        <w:t>M</w:t>
      </w:r>
      <w:r w:rsidR="00C87A05">
        <w:rPr>
          <w:b/>
          <w:bCs/>
          <w:lang w:val="en-US"/>
        </w:rPr>
        <w:t>a</w:t>
      </w:r>
      <w:r w:rsidR="00BA0C3D" w:rsidRPr="006B5090">
        <w:rPr>
          <w:b/>
          <w:bCs/>
          <w:lang w:val="en-US"/>
        </w:rPr>
        <w:t>ori</w:t>
      </w:r>
      <w:r w:rsidR="00BA0C3D">
        <w:rPr>
          <w:b/>
          <w:bCs/>
          <w:lang w:val="en-US"/>
        </w:rPr>
        <w:t xml:space="preserve"> language throughout the country. </w:t>
      </w:r>
    </w:p>
    <w:p w14:paraId="3AFBBC0A" w14:textId="1D75E7D1" w:rsidR="00AB582A" w:rsidRPr="00B371B9" w:rsidRDefault="00D4797E" w:rsidP="00D4797E">
      <w:pPr>
        <w:pStyle w:val="H23G"/>
      </w:pPr>
      <w:r>
        <w:tab/>
      </w:r>
      <w:r>
        <w:tab/>
      </w:r>
      <w:r w:rsidR="00AB582A" w:rsidRPr="00B371B9">
        <w:t>Education</w:t>
      </w:r>
    </w:p>
    <w:p w14:paraId="24CF6CB1" w14:textId="4B409F54" w:rsidR="000E3BF5" w:rsidRDefault="008A7396" w:rsidP="008A7396">
      <w:pPr>
        <w:pStyle w:val="SingleTxtG"/>
      </w:pPr>
      <w:r>
        <w:t>37.</w:t>
      </w:r>
      <w:r>
        <w:tab/>
      </w:r>
      <w:r w:rsidR="00476ADC">
        <w:t>The Committee regr</w:t>
      </w:r>
      <w:r w:rsidR="006058B0">
        <w:t>ets the scarcity of information or socio</w:t>
      </w:r>
      <w:r w:rsidR="00476ADC">
        <w:t xml:space="preserve">economic indicators to demonstrate that </w:t>
      </w:r>
      <w:r w:rsidR="00E00D2F">
        <w:t xml:space="preserve">improved access to all levels of the education system and improved qualifications from educational institutions </w:t>
      </w:r>
      <w:r w:rsidR="00476ADC">
        <w:t>have translated into upward social mobility</w:t>
      </w:r>
      <w:r w:rsidR="00B71159">
        <w:t xml:space="preserve"> for </w:t>
      </w:r>
      <w:r w:rsidR="00B71159" w:rsidRPr="00B371B9">
        <w:t>M</w:t>
      </w:r>
      <w:r w:rsidR="00C87A05">
        <w:t>a</w:t>
      </w:r>
      <w:r w:rsidR="00B71159" w:rsidRPr="00B371B9">
        <w:t xml:space="preserve">ori </w:t>
      </w:r>
      <w:r w:rsidR="00B71159">
        <w:t>and Pasifika</w:t>
      </w:r>
      <w:r w:rsidR="00E00D2F">
        <w:t>.</w:t>
      </w:r>
    </w:p>
    <w:p w14:paraId="25F22EF1" w14:textId="6B738EF8" w:rsidR="00AB582A" w:rsidRPr="00715E56" w:rsidRDefault="008A7396" w:rsidP="008A7396">
      <w:pPr>
        <w:pStyle w:val="SingleTxtG"/>
        <w:rPr>
          <w:b/>
        </w:rPr>
      </w:pPr>
      <w:r w:rsidRPr="00715E56">
        <w:t>38.</w:t>
      </w:r>
      <w:r w:rsidRPr="00715E56">
        <w:tab/>
      </w:r>
      <w:r w:rsidR="000E3BF5" w:rsidRPr="00715E56">
        <w:rPr>
          <w:b/>
        </w:rPr>
        <w:t xml:space="preserve">The Committee encourages the State party to provide in its next periodic report </w:t>
      </w:r>
      <w:r w:rsidR="000E3BF5" w:rsidRPr="00760D3B">
        <w:rPr>
          <w:b/>
        </w:rPr>
        <w:t>information</w:t>
      </w:r>
      <w:r w:rsidR="000E3BF5" w:rsidRPr="00715E56">
        <w:rPr>
          <w:b/>
        </w:rPr>
        <w:t xml:space="preserve"> on measures taken to improve the educational </w:t>
      </w:r>
      <w:r w:rsidR="00CC3E85">
        <w:rPr>
          <w:b/>
        </w:rPr>
        <w:t xml:space="preserve">outcomes </w:t>
      </w:r>
      <w:r w:rsidR="000E3BF5" w:rsidRPr="00715E56">
        <w:rPr>
          <w:b/>
        </w:rPr>
        <w:t xml:space="preserve">of </w:t>
      </w:r>
      <w:r w:rsidR="0032569F" w:rsidRPr="009F2423">
        <w:rPr>
          <w:b/>
        </w:rPr>
        <w:t>M</w:t>
      </w:r>
      <w:r w:rsidR="00C87A05">
        <w:rPr>
          <w:b/>
        </w:rPr>
        <w:t>a</w:t>
      </w:r>
      <w:r w:rsidR="0032569F" w:rsidRPr="009F2423">
        <w:rPr>
          <w:b/>
        </w:rPr>
        <w:t>ori</w:t>
      </w:r>
      <w:r w:rsidR="0032569F" w:rsidRPr="00B371B9">
        <w:t xml:space="preserve"> </w:t>
      </w:r>
      <w:r w:rsidR="000E3BF5" w:rsidRPr="00715E56">
        <w:rPr>
          <w:b/>
        </w:rPr>
        <w:t xml:space="preserve">and Pasifika students. </w:t>
      </w:r>
    </w:p>
    <w:p w14:paraId="6C640B2C" w14:textId="76D6B4AC" w:rsidR="00627B35" w:rsidRPr="0094670F" w:rsidRDefault="007B210B" w:rsidP="00627B35">
      <w:pPr>
        <w:keepNext/>
        <w:keepLines/>
        <w:tabs>
          <w:tab w:val="right" w:pos="851"/>
        </w:tabs>
        <w:spacing w:before="360" w:after="240" w:line="270" w:lineRule="exact"/>
        <w:ind w:left="1134" w:right="1134" w:hanging="1134"/>
        <w:rPr>
          <w:b/>
        </w:rPr>
      </w:pPr>
      <w:r w:rsidRPr="00B371B9">
        <w:rPr>
          <w:b/>
        </w:rPr>
        <w:tab/>
      </w:r>
      <w:r w:rsidR="00627B35" w:rsidRPr="00B920D4">
        <w:rPr>
          <w:b/>
          <w:sz w:val="22"/>
          <w:szCs w:val="22"/>
        </w:rPr>
        <w:t>D.</w:t>
      </w:r>
      <w:r w:rsidR="00627B35" w:rsidRPr="00B920D4">
        <w:rPr>
          <w:b/>
          <w:sz w:val="22"/>
          <w:szCs w:val="22"/>
        </w:rPr>
        <w:tab/>
      </w:r>
      <w:r w:rsidR="00627B35" w:rsidRPr="0094670F">
        <w:rPr>
          <w:b/>
        </w:rPr>
        <w:t xml:space="preserve">Other recommendations </w:t>
      </w:r>
    </w:p>
    <w:p w14:paraId="550D7B8A" w14:textId="6AD02402" w:rsidR="00627B35" w:rsidRPr="0094670F" w:rsidRDefault="00627B35" w:rsidP="00627B35">
      <w:pPr>
        <w:keepNext/>
        <w:keepLines/>
        <w:tabs>
          <w:tab w:val="right" w:pos="851"/>
        </w:tabs>
        <w:spacing w:before="240" w:after="120" w:line="240" w:lineRule="exact"/>
        <w:ind w:left="1134" w:right="1134" w:hanging="1134"/>
        <w:outlineLvl w:val="1"/>
        <w:rPr>
          <w:b/>
        </w:rPr>
      </w:pPr>
      <w:r w:rsidRPr="0094670F">
        <w:rPr>
          <w:b/>
        </w:rPr>
        <w:tab/>
      </w:r>
      <w:r w:rsidRPr="0094670F">
        <w:rPr>
          <w:b/>
        </w:rPr>
        <w:tab/>
        <w:t>Ratification of other instruments</w:t>
      </w:r>
    </w:p>
    <w:p w14:paraId="01492DFC" w14:textId="5E512E8C" w:rsidR="00627B35" w:rsidRPr="0094670F" w:rsidRDefault="008A7396" w:rsidP="008A7396">
      <w:pPr>
        <w:pStyle w:val="SingleTxtG"/>
        <w:rPr>
          <w:b/>
        </w:rPr>
      </w:pPr>
      <w:r w:rsidRPr="0094670F">
        <w:t>39.</w:t>
      </w:r>
      <w:r w:rsidRPr="0094670F">
        <w:tab/>
      </w:r>
      <w:r w:rsidR="005E3047" w:rsidRPr="0094670F">
        <w:rPr>
          <w:b/>
        </w:rPr>
        <w:t>T</w:t>
      </w:r>
      <w:r w:rsidR="001A2524" w:rsidRPr="0094670F">
        <w:rPr>
          <w:b/>
        </w:rPr>
        <w:t xml:space="preserve">he Committee </w:t>
      </w:r>
      <w:r w:rsidR="00C04272">
        <w:rPr>
          <w:b/>
        </w:rPr>
        <w:t>encourages</w:t>
      </w:r>
      <w:r w:rsidR="00C04272" w:rsidRPr="0094670F">
        <w:rPr>
          <w:b/>
        </w:rPr>
        <w:t xml:space="preserve"> </w:t>
      </w:r>
      <w:r w:rsidR="001A2524" w:rsidRPr="0094670F">
        <w:rPr>
          <w:b/>
        </w:rPr>
        <w:t xml:space="preserve">the State party to </w:t>
      </w:r>
      <w:r w:rsidR="002C7694" w:rsidRPr="0094670F">
        <w:rPr>
          <w:b/>
        </w:rPr>
        <w:t>consider ratifying</w:t>
      </w:r>
      <w:r w:rsidR="0093320D" w:rsidRPr="0094670F">
        <w:rPr>
          <w:b/>
        </w:rPr>
        <w:t xml:space="preserve"> </w:t>
      </w:r>
      <w:r w:rsidR="00627B35" w:rsidRPr="0094670F">
        <w:rPr>
          <w:b/>
          <w:bCs/>
        </w:rPr>
        <w:t xml:space="preserve">the </w:t>
      </w:r>
      <w:r w:rsidR="00651508" w:rsidRPr="0094670F">
        <w:rPr>
          <w:b/>
        </w:rPr>
        <w:t xml:space="preserve">International Convention on the Protection of the Rights of All Migrant Workers and </w:t>
      </w:r>
      <w:r w:rsidR="00651508" w:rsidRPr="0094670F">
        <w:rPr>
          <w:b/>
        </w:rPr>
        <w:lastRenderedPageBreak/>
        <w:t xml:space="preserve">Members of </w:t>
      </w:r>
      <w:r w:rsidR="00FD1CB2">
        <w:rPr>
          <w:b/>
        </w:rPr>
        <w:t>T</w:t>
      </w:r>
      <w:r w:rsidR="00651508" w:rsidRPr="0094670F">
        <w:rPr>
          <w:b/>
        </w:rPr>
        <w:t>heir Families</w:t>
      </w:r>
      <w:r w:rsidR="005A0A2C" w:rsidRPr="0094670F">
        <w:rPr>
          <w:b/>
        </w:rPr>
        <w:t xml:space="preserve">, </w:t>
      </w:r>
      <w:r w:rsidR="005A0A2C" w:rsidRPr="0094670F">
        <w:rPr>
          <w:b/>
          <w:bCs/>
        </w:rPr>
        <w:t>and</w:t>
      </w:r>
      <w:r w:rsidR="00301B08" w:rsidRPr="0094670F">
        <w:rPr>
          <w:b/>
          <w:bCs/>
        </w:rPr>
        <w:t xml:space="preserve"> </w:t>
      </w:r>
      <w:r w:rsidR="00FD1CB2">
        <w:rPr>
          <w:b/>
          <w:bCs/>
        </w:rPr>
        <w:t xml:space="preserve">the </w:t>
      </w:r>
      <w:r w:rsidR="00301B08" w:rsidRPr="0094670F">
        <w:rPr>
          <w:b/>
          <w:bCs/>
        </w:rPr>
        <w:t xml:space="preserve">Indigenous and Tribal Peoples </w:t>
      </w:r>
      <w:r w:rsidR="00301B08" w:rsidRPr="0094670F">
        <w:rPr>
          <w:b/>
        </w:rPr>
        <w:t>Convention</w:t>
      </w:r>
      <w:r w:rsidR="00FD1CB2">
        <w:rPr>
          <w:b/>
          <w:bCs/>
        </w:rPr>
        <w:t xml:space="preserve">, </w:t>
      </w:r>
      <w:r w:rsidR="00043012">
        <w:rPr>
          <w:b/>
          <w:bCs/>
        </w:rPr>
        <w:t>1989</w:t>
      </w:r>
      <w:r w:rsidR="00FD1CB2">
        <w:rPr>
          <w:b/>
          <w:bCs/>
        </w:rPr>
        <w:t xml:space="preserve"> </w:t>
      </w:r>
      <w:r w:rsidR="00043012">
        <w:rPr>
          <w:b/>
          <w:bCs/>
        </w:rPr>
        <w:t>(</w:t>
      </w:r>
      <w:r w:rsidR="00FD1CB2">
        <w:rPr>
          <w:b/>
          <w:bCs/>
        </w:rPr>
        <w:t>No.</w:t>
      </w:r>
      <w:r w:rsidR="006410C8">
        <w:rPr>
          <w:b/>
          <w:bCs/>
        </w:rPr>
        <w:t> </w:t>
      </w:r>
      <w:r w:rsidR="00FD1CB2">
        <w:rPr>
          <w:b/>
          <w:bCs/>
        </w:rPr>
        <w:t>169</w:t>
      </w:r>
      <w:r w:rsidR="00301B08" w:rsidRPr="0094670F">
        <w:rPr>
          <w:b/>
          <w:bCs/>
        </w:rPr>
        <w:t xml:space="preserve">) and </w:t>
      </w:r>
      <w:r w:rsidR="00FD1CB2">
        <w:rPr>
          <w:b/>
          <w:bCs/>
        </w:rPr>
        <w:t>the</w:t>
      </w:r>
      <w:r w:rsidR="00301B08" w:rsidRPr="0094670F">
        <w:rPr>
          <w:b/>
          <w:bCs/>
        </w:rPr>
        <w:t xml:space="preserve"> Domestic Workers</w:t>
      </w:r>
      <w:r w:rsidR="00FD1CB2">
        <w:rPr>
          <w:b/>
          <w:bCs/>
        </w:rPr>
        <w:t xml:space="preserve"> Convention, 2011 (No.</w:t>
      </w:r>
      <w:r w:rsidR="003B1364">
        <w:rPr>
          <w:b/>
          <w:bCs/>
        </w:rPr>
        <w:t> </w:t>
      </w:r>
      <w:r w:rsidR="00FD1CB2">
        <w:rPr>
          <w:b/>
          <w:bCs/>
        </w:rPr>
        <w:t>189) of the International Labour Organization</w:t>
      </w:r>
      <w:r w:rsidR="00301B08" w:rsidRPr="0094670F">
        <w:rPr>
          <w:b/>
          <w:bCs/>
        </w:rPr>
        <w:t>.</w:t>
      </w:r>
    </w:p>
    <w:p w14:paraId="7F0349BE" w14:textId="5CCEE754" w:rsidR="00627B35" w:rsidRPr="0094670F" w:rsidRDefault="00627B35" w:rsidP="00535D4C">
      <w:pPr>
        <w:keepNext/>
        <w:keepLines/>
        <w:tabs>
          <w:tab w:val="right" w:pos="851"/>
        </w:tabs>
        <w:spacing w:before="240" w:after="120" w:line="240" w:lineRule="exact"/>
        <w:ind w:left="1134" w:right="1134" w:hanging="1134"/>
        <w:outlineLvl w:val="1"/>
        <w:rPr>
          <w:b/>
        </w:rPr>
      </w:pPr>
      <w:r w:rsidRPr="0094670F">
        <w:rPr>
          <w:b/>
        </w:rPr>
        <w:tab/>
      </w:r>
      <w:r w:rsidRPr="0094670F">
        <w:rPr>
          <w:b/>
        </w:rPr>
        <w:tab/>
        <w:t xml:space="preserve">International Decade for People of African Descent </w:t>
      </w:r>
    </w:p>
    <w:p w14:paraId="17B60641" w14:textId="4CCC8D2F" w:rsidR="00B83DCB" w:rsidRDefault="008A7396" w:rsidP="008A7396">
      <w:pPr>
        <w:pStyle w:val="SingleTxtG"/>
      </w:pPr>
      <w:r>
        <w:t>40.</w:t>
      </w:r>
      <w:r>
        <w:tab/>
      </w:r>
      <w:r w:rsidR="00B83DCB" w:rsidRPr="00A9684D">
        <w:rPr>
          <w:b/>
          <w:bCs/>
          <w:lang w:eastAsia="en-GB"/>
        </w:rPr>
        <w:t xml:space="preserve">In the light of General Assembly resolution 68/237, the Committee requests that the State party </w:t>
      </w:r>
      <w:r w:rsidR="00B83DCB" w:rsidRPr="00B57DDD">
        <w:rPr>
          <w:b/>
        </w:rPr>
        <w:t>include</w:t>
      </w:r>
      <w:r w:rsidR="00B83DCB" w:rsidRPr="00A9684D">
        <w:rPr>
          <w:b/>
          <w:bCs/>
          <w:lang w:eastAsia="en-GB"/>
        </w:rPr>
        <w:t xml:space="preserve"> in its next</w:t>
      </w:r>
      <w:r w:rsidR="00B83DCB">
        <w:rPr>
          <w:b/>
          <w:bCs/>
          <w:lang w:eastAsia="en-GB"/>
        </w:rPr>
        <w:t xml:space="preserve"> periodic</w:t>
      </w:r>
      <w:r w:rsidR="00B83DCB" w:rsidRPr="00A9684D">
        <w:rPr>
          <w:b/>
          <w:bCs/>
          <w:lang w:eastAsia="en-GB"/>
        </w:rPr>
        <w:t xml:space="preserve"> report precise information on the concrete measures adopted in th</w:t>
      </w:r>
      <w:r w:rsidR="00B83DCB">
        <w:rPr>
          <w:b/>
          <w:bCs/>
          <w:lang w:eastAsia="en-GB"/>
        </w:rPr>
        <w:t>e</w:t>
      </w:r>
      <w:r w:rsidR="00B83DCB" w:rsidRPr="00A9684D">
        <w:rPr>
          <w:b/>
          <w:bCs/>
          <w:lang w:eastAsia="en-GB"/>
        </w:rPr>
        <w:t xml:space="preserve"> framework</w:t>
      </w:r>
      <w:r w:rsidR="00B83DCB">
        <w:rPr>
          <w:b/>
          <w:bCs/>
          <w:lang w:eastAsia="en-GB"/>
        </w:rPr>
        <w:t xml:space="preserve"> </w:t>
      </w:r>
      <w:r w:rsidR="00B83DCB" w:rsidRPr="00284DC5">
        <w:rPr>
          <w:b/>
        </w:rPr>
        <w:t>of the International Decade for People of African Descent</w:t>
      </w:r>
      <w:r w:rsidR="00B83DCB" w:rsidRPr="00A9684D">
        <w:rPr>
          <w:b/>
          <w:bCs/>
          <w:lang w:eastAsia="en-GB"/>
        </w:rPr>
        <w:t>, taking into account its general recommendation No.</w:t>
      </w:r>
      <w:r w:rsidR="003B1364">
        <w:rPr>
          <w:b/>
          <w:bCs/>
          <w:lang w:eastAsia="en-GB"/>
        </w:rPr>
        <w:t> </w:t>
      </w:r>
      <w:r w:rsidR="00B83DCB" w:rsidRPr="00A9684D">
        <w:rPr>
          <w:b/>
          <w:bCs/>
          <w:lang w:eastAsia="en-GB"/>
        </w:rPr>
        <w:t>34 (2011) on racial discrimination against people of African descent.</w:t>
      </w:r>
    </w:p>
    <w:p w14:paraId="3D7375F4" w14:textId="77777777" w:rsidR="00627B35" w:rsidRPr="0094670F" w:rsidRDefault="00627B35" w:rsidP="00627B35">
      <w:pPr>
        <w:keepNext/>
        <w:keepLines/>
        <w:tabs>
          <w:tab w:val="right" w:pos="851"/>
        </w:tabs>
        <w:spacing w:before="240" w:after="120" w:line="240" w:lineRule="exact"/>
        <w:ind w:left="1134" w:right="1134" w:hanging="1134"/>
        <w:outlineLvl w:val="1"/>
        <w:rPr>
          <w:b/>
        </w:rPr>
      </w:pPr>
      <w:r w:rsidRPr="0094670F">
        <w:rPr>
          <w:b/>
        </w:rPr>
        <w:tab/>
      </w:r>
      <w:r w:rsidRPr="0094670F">
        <w:rPr>
          <w:b/>
        </w:rPr>
        <w:tab/>
        <w:t>Consultations with civil society</w:t>
      </w:r>
    </w:p>
    <w:p w14:paraId="1180F333" w14:textId="39DC2036" w:rsidR="00C10087" w:rsidRPr="0094670F" w:rsidRDefault="008A7396" w:rsidP="008A7396">
      <w:pPr>
        <w:pStyle w:val="SingleTxtG"/>
        <w:rPr>
          <w:b/>
          <w:bCs/>
        </w:rPr>
      </w:pPr>
      <w:r w:rsidRPr="0094670F">
        <w:rPr>
          <w:bCs/>
        </w:rPr>
        <w:t>41.</w:t>
      </w:r>
      <w:r w:rsidRPr="0094670F">
        <w:rPr>
          <w:bCs/>
        </w:rPr>
        <w:tab/>
      </w:r>
      <w:r w:rsidR="00271D4D" w:rsidRPr="0094670F">
        <w:rPr>
          <w:b/>
          <w:bCs/>
        </w:rPr>
        <w:t xml:space="preserve">The Committee recommends that the State party consult and </w:t>
      </w:r>
      <w:r w:rsidR="0022655F" w:rsidRPr="0094670F">
        <w:rPr>
          <w:b/>
          <w:bCs/>
        </w:rPr>
        <w:t>broaden</w:t>
      </w:r>
      <w:r w:rsidR="00271D4D" w:rsidRPr="0094670F">
        <w:rPr>
          <w:b/>
          <w:bCs/>
        </w:rPr>
        <w:t xml:space="preserve"> its dialogue with civil society organizations</w:t>
      </w:r>
      <w:r w:rsidR="0022655F" w:rsidRPr="0094670F">
        <w:rPr>
          <w:b/>
          <w:bCs/>
        </w:rPr>
        <w:t xml:space="preserve"> </w:t>
      </w:r>
      <w:r w:rsidR="009949B4" w:rsidRPr="00A9684D">
        <w:rPr>
          <w:b/>
          <w:bCs/>
        </w:rPr>
        <w:t>working in the area of human rights protection, in particular those working to combat racial discrimination,</w:t>
      </w:r>
      <w:r w:rsidR="009949B4">
        <w:rPr>
          <w:b/>
          <w:bCs/>
        </w:rPr>
        <w:t xml:space="preserve"> </w:t>
      </w:r>
      <w:r w:rsidR="0022655F" w:rsidRPr="0094670F">
        <w:rPr>
          <w:b/>
          <w:bCs/>
        </w:rPr>
        <w:t xml:space="preserve">in the preparation of the next periodic report and </w:t>
      </w:r>
      <w:r w:rsidR="0022655F" w:rsidRPr="0094670F">
        <w:rPr>
          <w:b/>
        </w:rPr>
        <w:t>in</w:t>
      </w:r>
      <w:r w:rsidR="0022655F" w:rsidRPr="0094670F">
        <w:rPr>
          <w:b/>
          <w:bCs/>
        </w:rPr>
        <w:t xml:space="preserve"> follow-up to the present concluding observations.</w:t>
      </w:r>
      <w:r w:rsidR="00C10087" w:rsidRPr="0094670F">
        <w:rPr>
          <w:b/>
          <w:bCs/>
        </w:rPr>
        <w:t xml:space="preserve"> </w:t>
      </w:r>
    </w:p>
    <w:p w14:paraId="1AFEB20A" w14:textId="467E2A6B" w:rsidR="00C10087" w:rsidRPr="0094670F" w:rsidRDefault="00F22F7D" w:rsidP="00F22F7D">
      <w:pPr>
        <w:pStyle w:val="H23G"/>
      </w:pPr>
      <w:r>
        <w:tab/>
      </w:r>
      <w:r>
        <w:tab/>
      </w:r>
      <w:r w:rsidR="00C10087" w:rsidRPr="0094670F">
        <w:t>Declaration under article 14 of the Convention</w:t>
      </w:r>
    </w:p>
    <w:p w14:paraId="3800DA30" w14:textId="37224C76" w:rsidR="00C10087" w:rsidRPr="0094670F" w:rsidRDefault="008A7396" w:rsidP="008A7396">
      <w:pPr>
        <w:pStyle w:val="SingleTxtG"/>
        <w:rPr>
          <w:b/>
          <w:bCs/>
        </w:rPr>
      </w:pPr>
      <w:r w:rsidRPr="0094670F">
        <w:rPr>
          <w:bCs/>
        </w:rPr>
        <w:t>42.</w:t>
      </w:r>
      <w:r w:rsidRPr="0094670F">
        <w:rPr>
          <w:bCs/>
        </w:rPr>
        <w:tab/>
      </w:r>
      <w:r w:rsidR="00C10087" w:rsidRPr="0094670F">
        <w:rPr>
          <w:b/>
          <w:bCs/>
        </w:rPr>
        <w:t xml:space="preserve">The Committee encourages the State party to make the optional declaration </w:t>
      </w:r>
      <w:r w:rsidR="00C10087" w:rsidRPr="0094670F">
        <w:rPr>
          <w:b/>
        </w:rPr>
        <w:t>provided</w:t>
      </w:r>
      <w:r w:rsidR="00C10087" w:rsidRPr="0094670F">
        <w:rPr>
          <w:b/>
          <w:bCs/>
        </w:rPr>
        <w:t xml:space="preserve"> for in article 14 of the Convention recognizing the Committee’s competence to receive and consider individual communications.</w:t>
      </w:r>
    </w:p>
    <w:p w14:paraId="13BF31E4" w14:textId="79186C26" w:rsidR="00627B35" w:rsidRPr="0094670F" w:rsidRDefault="00627B35" w:rsidP="00627B35">
      <w:pPr>
        <w:keepNext/>
        <w:keepLines/>
        <w:tabs>
          <w:tab w:val="right" w:pos="851"/>
        </w:tabs>
        <w:spacing w:before="120" w:after="120" w:line="240" w:lineRule="exact"/>
        <w:ind w:left="1134" w:right="1134" w:hanging="1134"/>
        <w:outlineLvl w:val="1"/>
        <w:rPr>
          <w:b/>
          <w:lang w:val="en-US"/>
        </w:rPr>
      </w:pPr>
      <w:r w:rsidRPr="0094670F">
        <w:rPr>
          <w:b/>
        </w:rPr>
        <w:tab/>
      </w:r>
      <w:r w:rsidRPr="0094670F">
        <w:rPr>
          <w:b/>
          <w:lang w:val="en-US"/>
        </w:rPr>
        <w:tab/>
        <w:t>Common core document</w:t>
      </w:r>
    </w:p>
    <w:p w14:paraId="28E9B220" w14:textId="6A4012E8" w:rsidR="00627B35" w:rsidRPr="0094670F" w:rsidRDefault="008A7396" w:rsidP="008A7396">
      <w:pPr>
        <w:pStyle w:val="SingleTxtG"/>
        <w:rPr>
          <w:b/>
          <w:bCs/>
          <w:lang w:val="en-US"/>
        </w:rPr>
      </w:pPr>
      <w:r w:rsidRPr="0094670F">
        <w:rPr>
          <w:bCs/>
          <w:lang w:val="en-US"/>
        </w:rPr>
        <w:t>43.</w:t>
      </w:r>
      <w:r w:rsidRPr="0094670F">
        <w:rPr>
          <w:bCs/>
          <w:lang w:val="en-US"/>
        </w:rPr>
        <w:tab/>
      </w:r>
      <w:r w:rsidR="00627B35" w:rsidRPr="0094670F">
        <w:rPr>
          <w:b/>
          <w:bCs/>
          <w:lang w:val="en-US"/>
        </w:rPr>
        <w:t xml:space="preserve">The Committee encourages the State party to </w:t>
      </w:r>
      <w:r w:rsidR="00960C16" w:rsidRPr="0094670F">
        <w:rPr>
          <w:b/>
          <w:bCs/>
          <w:lang w:val="en-US"/>
        </w:rPr>
        <w:t xml:space="preserve">update </w:t>
      </w:r>
      <w:r w:rsidR="00704761" w:rsidRPr="0094670F">
        <w:rPr>
          <w:b/>
          <w:bCs/>
          <w:lang w:val="en-US"/>
        </w:rPr>
        <w:t xml:space="preserve">its common core </w:t>
      </w:r>
      <w:r w:rsidR="00960C16" w:rsidRPr="0094670F">
        <w:rPr>
          <w:b/>
          <w:bCs/>
          <w:lang w:val="en-US"/>
        </w:rPr>
        <w:t>document</w:t>
      </w:r>
      <w:r w:rsidR="005676B2" w:rsidRPr="0094670F">
        <w:rPr>
          <w:b/>
          <w:bCs/>
          <w:lang w:val="en-US"/>
        </w:rPr>
        <w:t xml:space="preserve"> (HRI/CORE/NZL/2010)</w:t>
      </w:r>
      <w:r w:rsidR="00627B35" w:rsidRPr="0094670F">
        <w:rPr>
          <w:b/>
          <w:bCs/>
          <w:lang w:val="en-US"/>
        </w:rPr>
        <w:t>, in accordance with the harmonized guidelines on reporting</w:t>
      </w:r>
      <w:r w:rsidR="00284231">
        <w:rPr>
          <w:b/>
          <w:bCs/>
          <w:lang w:val="en-US"/>
        </w:rPr>
        <w:t xml:space="preserve"> </w:t>
      </w:r>
      <w:r w:rsidR="00284231">
        <w:rPr>
          <w:b/>
          <w:bCs/>
          <w:color w:val="000000"/>
          <w:lang w:val="en-US"/>
        </w:rPr>
        <w:t>under the international human rights treaties, in particular those on the common core document, as adopted at the fifth inter-committee meeting of the human rights treaty bodies held in June 2006 (HRI/GEN/2/Rev.6, chap.</w:t>
      </w:r>
      <w:r w:rsidR="003B1364">
        <w:rPr>
          <w:b/>
          <w:bCs/>
          <w:color w:val="000000"/>
          <w:lang w:val="en-US"/>
        </w:rPr>
        <w:t> </w:t>
      </w:r>
      <w:r w:rsidR="00284231">
        <w:rPr>
          <w:b/>
          <w:bCs/>
          <w:color w:val="000000"/>
          <w:lang w:val="en-US"/>
        </w:rPr>
        <w:t>I)</w:t>
      </w:r>
      <w:r w:rsidR="00704761" w:rsidRPr="0094670F">
        <w:rPr>
          <w:b/>
          <w:bCs/>
          <w:lang w:val="en-US"/>
        </w:rPr>
        <w:t>.</w:t>
      </w:r>
      <w:r w:rsidR="00627B35" w:rsidRPr="0094670F">
        <w:rPr>
          <w:b/>
          <w:bCs/>
          <w:lang w:val="en-US"/>
        </w:rPr>
        <w:t xml:space="preserve"> </w:t>
      </w:r>
      <w:r w:rsidR="009949B4">
        <w:rPr>
          <w:b/>
          <w:bCs/>
          <w:lang w:val="en-US"/>
        </w:rPr>
        <w:t xml:space="preserve">In the light of General Assembly resolution 68/268, the Committee </w:t>
      </w:r>
      <w:r w:rsidR="00282E8B" w:rsidRPr="0094670F">
        <w:rPr>
          <w:b/>
          <w:bCs/>
          <w:lang w:val="en-US"/>
        </w:rPr>
        <w:t>urges the State party to observe the limit of 42,400 words for such documents.</w:t>
      </w:r>
    </w:p>
    <w:p w14:paraId="2863353E" w14:textId="77777777" w:rsidR="00627B35" w:rsidRPr="0094670F" w:rsidRDefault="00627B35" w:rsidP="00627B35">
      <w:pPr>
        <w:keepNext/>
        <w:keepLines/>
        <w:tabs>
          <w:tab w:val="right" w:pos="851"/>
        </w:tabs>
        <w:spacing w:before="120" w:after="120" w:line="240" w:lineRule="exact"/>
        <w:ind w:left="1134" w:right="1134" w:hanging="1134"/>
        <w:outlineLvl w:val="1"/>
        <w:rPr>
          <w:b/>
        </w:rPr>
      </w:pPr>
      <w:r w:rsidRPr="0094670F">
        <w:rPr>
          <w:b/>
        </w:rPr>
        <w:tab/>
      </w:r>
      <w:r w:rsidRPr="0094670F">
        <w:rPr>
          <w:b/>
        </w:rPr>
        <w:tab/>
        <w:t>Follow-up to the present concluding observations</w:t>
      </w:r>
    </w:p>
    <w:p w14:paraId="46F219F5" w14:textId="468B54C6" w:rsidR="00627B35" w:rsidRPr="0094670F" w:rsidRDefault="008A7396" w:rsidP="008A7396">
      <w:pPr>
        <w:pStyle w:val="SingleTxtG"/>
        <w:rPr>
          <w:b/>
          <w:bCs/>
        </w:rPr>
      </w:pPr>
      <w:r w:rsidRPr="0094670F">
        <w:rPr>
          <w:bCs/>
        </w:rPr>
        <w:t>44.</w:t>
      </w:r>
      <w:r w:rsidRPr="0094670F">
        <w:rPr>
          <w:bCs/>
        </w:rPr>
        <w:tab/>
      </w:r>
      <w:r w:rsidR="00627B35" w:rsidRPr="0094670F">
        <w:rPr>
          <w:b/>
          <w:bCs/>
        </w:rPr>
        <w:t xml:space="preserve">In </w:t>
      </w:r>
      <w:r w:rsidR="00627B35" w:rsidRPr="0094670F">
        <w:rPr>
          <w:b/>
          <w:bCs/>
          <w:lang w:val="en-US"/>
        </w:rPr>
        <w:t>accordance</w:t>
      </w:r>
      <w:r w:rsidR="00627B35" w:rsidRPr="0094670F">
        <w:rPr>
          <w:b/>
          <w:bCs/>
        </w:rPr>
        <w:t xml:space="preserve"> with article 9 (1) of the Convention and rule 65 of its rules of </w:t>
      </w:r>
      <w:r w:rsidR="00627B35" w:rsidRPr="0094670F">
        <w:rPr>
          <w:b/>
          <w:bCs/>
          <w:lang w:val="en-US"/>
        </w:rPr>
        <w:t>procedure</w:t>
      </w:r>
      <w:r w:rsidR="00627B35" w:rsidRPr="0094670F">
        <w:rPr>
          <w:b/>
          <w:bCs/>
        </w:rPr>
        <w:t xml:space="preserve">, the Committee requests the State party to provide, within one year of the adoption of the present concluding observations, information on its implementation of the recommendations contained in paragraphs </w:t>
      </w:r>
      <w:r w:rsidR="00DD53B6" w:rsidRPr="0094670F">
        <w:rPr>
          <w:b/>
          <w:bCs/>
        </w:rPr>
        <w:t xml:space="preserve">15, 17 and 34 </w:t>
      </w:r>
      <w:r w:rsidR="00627B35" w:rsidRPr="0094670F">
        <w:rPr>
          <w:b/>
          <w:bCs/>
        </w:rPr>
        <w:t xml:space="preserve">above. </w:t>
      </w:r>
    </w:p>
    <w:p w14:paraId="50DAA82A" w14:textId="77777777" w:rsidR="00627B35" w:rsidRPr="0094670F" w:rsidRDefault="00627B35" w:rsidP="00627B35">
      <w:pPr>
        <w:keepNext/>
        <w:keepLines/>
        <w:tabs>
          <w:tab w:val="right" w:pos="851"/>
        </w:tabs>
        <w:spacing w:before="120" w:after="120" w:line="240" w:lineRule="exact"/>
        <w:ind w:left="1134" w:right="1134" w:hanging="1134"/>
        <w:outlineLvl w:val="1"/>
        <w:rPr>
          <w:b/>
        </w:rPr>
      </w:pPr>
      <w:r w:rsidRPr="0094670F">
        <w:rPr>
          <w:b/>
        </w:rPr>
        <w:tab/>
      </w:r>
      <w:r w:rsidRPr="0094670F">
        <w:rPr>
          <w:b/>
        </w:rPr>
        <w:tab/>
        <w:t>Dissemination of information</w:t>
      </w:r>
    </w:p>
    <w:p w14:paraId="6F723D21" w14:textId="68C772C8" w:rsidR="00627B35" w:rsidRPr="0094670F" w:rsidRDefault="008A7396" w:rsidP="008A7396">
      <w:pPr>
        <w:pStyle w:val="SingleTxtG"/>
        <w:rPr>
          <w:b/>
          <w:bCs/>
        </w:rPr>
      </w:pPr>
      <w:r w:rsidRPr="0094670F">
        <w:rPr>
          <w:bCs/>
        </w:rPr>
        <w:t>45.</w:t>
      </w:r>
      <w:r w:rsidRPr="0094670F">
        <w:rPr>
          <w:bCs/>
        </w:rPr>
        <w:tab/>
      </w:r>
      <w:r w:rsidR="00627B35" w:rsidRPr="0094670F">
        <w:rPr>
          <w:b/>
          <w:bCs/>
        </w:rPr>
        <w:t xml:space="preserve">The Committee recommends that concluding observations of the Committee </w:t>
      </w:r>
      <w:r w:rsidR="006A2122" w:rsidRPr="0094670F">
        <w:rPr>
          <w:b/>
          <w:bCs/>
        </w:rPr>
        <w:t xml:space="preserve">be </w:t>
      </w:r>
      <w:r w:rsidR="00A4546B" w:rsidRPr="00A9684D">
        <w:rPr>
          <w:b/>
          <w:bCs/>
        </w:rPr>
        <w:t xml:space="preserve">made readily available and accessible to the public at the time of their submission and that the concluding observations of the Committee with respect to those reports be similarly </w:t>
      </w:r>
      <w:r w:rsidR="00EF79FF" w:rsidRPr="0094670F">
        <w:rPr>
          <w:b/>
          <w:bCs/>
        </w:rPr>
        <w:t>publicized</w:t>
      </w:r>
      <w:r w:rsidR="006A2122" w:rsidRPr="0094670F">
        <w:rPr>
          <w:b/>
          <w:bCs/>
        </w:rPr>
        <w:t xml:space="preserve"> </w:t>
      </w:r>
      <w:r w:rsidR="00627B35" w:rsidRPr="0094670F">
        <w:rPr>
          <w:b/>
          <w:bCs/>
        </w:rPr>
        <w:t xml:space="preserve">in the official </w:t>
      </w:r>
      <w:r w:rsidR="006A2122" w:rsidRPr="0094670F">
        <w:rPr>
          <w:b/>
          <w:bCs/>
        </w:rPr>
        <w:t xml:space="preserve">language of the State party </w:t>
      </w:r>
      <w:r w:rsidR="00627B35" w:rsidRPr="0094670F">
        <w:rPr>
          <w:b/>
          <w:bCs/>
        </w:rPr>
        <w:t xml:space="preserve">and other commonly used languages. </w:t>
      </w:r>
    </w:p>
    <w:p w14:paraId="0CA00E15" w14:textId="77777777" w:rsidR="00627B35" w:rsidRPr="0094670F" w:rsidRDefault="00627B35" w:rsidP="00627B35">
      <w:pPr>
        <w:keepNext/>
        <w:keepLines/>
        <w:tabs>
          <w:tab w:val="right" w:pos="851"/>
        </w:tabs>
        <w:spacing w:before="120" w:after="120" w:line="240" w:lineRule="exact"/>
        <w:ind w:left="1134" w:right="1134" w:hanging="1134"/>
        <w:outlineLvl w:val="1"/>
        <w:rPr>
          <w:b/>
        </w:rPr>
      </w:pPr>
      <w:r w:rsidRPr="0094670F">
        <w:rPr>
          <w:b/>
        </w:rPr>
        <w:tab/>
      </w:r>
      <w:r w:rsidRPr="0094670F">
        <w:rPr>
          <w:b/>
        </w:rPr>
        <w:tab/>
        <w:t>Preparation of the next periodic report</w:t>
      </w:r>
    </w:p>
    <w:p w14:paraId="7348EF1A" w14:textId="025DEFDC" w:rsidR="00627B35" w:rsidRPr="00B371B9" w:rsidRDefault="008A7396" w:rsidP="008A7396">
      <w:pPr>
        <w:pStyle w:val="SingleTxtG"/>
        <w:rPr>
          <w:b/>
          <w:bCs/>
        </w:rPr>
      </w:pPr>
      <w:r w:rsidRPr="00B371B9">
        <w:rPr>
          <w:bCs/>
        </w:rPr>
        <w:t>46.</w:t>
      </w:r>
      <w:r w:rsidRPr="00B371B9">
        <w:rPr>
          <w:bCs/>
        </w:rPr>
        <w:tab/>
      </w:r>
      <w:r w:rsidR="00627B35" w:rsidRPr="0094670F">
        <w:rPr>
          <w:b/>
          <w:bCs/>
        </w:rPr>
        <w:t xml:space="preserve">The Committee recommends that the State party submit its combined </w:t>
      </w:r>
      <w:r w:rsidR="00B51E30" w:rsidRPr="0094670F">
        <w:rPr>
          <w:b/>
          <w:bCs/>
        </w:rPr>
        <w:t>tw</w:t>
      </w:r>
      <w:r w:rsidR="008D757C" w:rsidRPr="0094670F">
        <w:rPr>
          <w:b/>
          <w:bCs/>
        </w:rPr>
        <w:t xml:space="preserve">enty-third </w:t>
      </w:r>
      <w:r w:rsidR="00976733">
        <w:rPr>
          <w:b/>
          <w:bCs/>
        </w:rPr>
        <w:t>and</w:t>
      </w:r>
      <w:r w:rsidR="00D3045B" w:rsidRPr="0094670F">
        <w:rPr>
          <w:b/>
          <w:bCs/>
        </w:rPr>
        <w:t xml:space="preserve"> twenty-</w:t>
      </w:r>
      <w:r w:rsidR="006D7D39" w:rsidRPr="0094670F">
        <w:rPr>
          <w:b/>
          <w:bCs/>
        </w:rPr>
        <w:t xml:space="preserve">fourth </w:t>
      </w:r>
      <w:r w:rsidR="00627B35" w:rsidRPr="0094670F">
        <w:rPr>
          <w:b/>
          <w:bCs/>
        </w:rPr>
        <w:t xml:space="preserve">periodic reports, as a single document, by </w:t>
      </w:r>
      <w:r w:rsidR="00D3045B" w:rsidRPr="0094670F">
        <w:rPr>
          <w:b/>
          <w:bCs/>
        </w:rPr>
        <w:t>22 December 202</w:t>
      </w:r>
      <w:r w:rsidR="00BA3547" w:rsidRPr="0094670F">
        <w:rPr>
          <w:b/>
          <w:bCs/>
        </w:rPr>
        <w:t>1</w:t>
      </w:r>
      <w:r w:rsidR="00627B35" w:rsidRPr="0094670F">
        <w:rPr>
          <w:b/>
          <w:bCs/>
        </w:rPr>
        <w:t xml:space="preserve">, taking into account the reporting guidelines adopted by the Committee </w:t>
      </w:r>
      <w:r w:rsidR="00976733" w:rsidRPr="00A9684D">
        <w:rPr>
          <w:b/>
          <w:bCs/>
        </w:rPr>
        <w:t xml:space="preserve">during its seventy-first session (CERD/C/2007/1) </w:t>
      </w:r>
      <w:r w:rsidR="00627B35" w:rsidRPr="0094670F">
        <w:rPr>
          <w:b/>
          <w:bCs/>
        </w:rPr>
        <w:t>and addressing all the points raised in the present concluding observations. In the light of General Assembly resolution 68/268, the Committee urges the State party to observe the limit of 21,200 words for periodic reports.</w:t>
      </w:r>
    </w:p>
    <w:p w14:paraId="5009B07B" w14:textId="77777777" w:rsidR="00627B35" w:rsidRPr="00B371B9" w:rsidRDefault="00627B35" w:rsidP="00627B35">
      <w:pPr>
        <w:spacing w:line="240" w:lineRule="auto"/>
        <w:jc w:val="center"/>
        <w:rPr>
          <w:u w:val="single"/>
        </w:rPr>
      </w:pPr>
      <w:r w:rsidRPr="00B371B9">
        <w:rPr>
          <w:u w:val="single"/>
        </w:rPr>
        <w:tab/>
      </w:r>
      <w:r w:rsidRPr="00B371B9">
        <w:rPr>
          <w:u w:val="single"/>
        </w:rPr>
        <w:tab/>
      </w:r>
      <w:r w:rsidRPr="00B371B9">
        <w:rPr>
          <w:u w:val="single"/>
        </w:rPr>
        <w:tab/>
      </w:r>
    </w:p>
    <w:sectPr w:rsidR="00627B35" w:rsidRPr="00B371B9" w:rsidSect="00E327D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B41C9" w16cid:durableId="1D68DC50"/>
  <w16cid:commentId w16cid:paraId="2D1738BF" w16cid:durableId="1D69039B"/>
  <w16cid:commentId w16cid:paraId="26C69485" w16cid:durableId="1D6966FA"/>
  <w16cid:commentId w16cid:paraId="6BA4AF33" w16cid:durableId="1D69683C"/>
  <w16cid:commentId w16cid:paraId="256F4C9E" w16cid:durableId="1D69687C"/>
  <w16cid:commentId w16cid:paraId="3E87EE13" w16cid:durableId="1D6968C3"/>
  <w16cid:commentId w16cid:paraId="31618201" w16cid:durableId="1D696990"/>
  <w16cid:commentId w16cid:paraId="083E98ED" w16cid:durableId="1D696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0E2C" w14:textId="77777777" w:rsidR="000B330A" w:rsidRDefault="000B330A"/>
  </w:endnote>
  <w:endnote w:type="continuationSeparator" w:id="0">
    <w:p w14:paraId="27C932BC" w14:textId="77777777" w:rsidR="000B330A" w:rsidRDefault="000B330A"/>
  </w:endnote>
  <w:endnote w:type="continuationNotice" w:id="1">
    <w:p w14:paraId="217B0606" w14:textId="77777777" w:rsidR="000B330A" w:rsidRDefault="000B3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391F3" w14:textId="4918A999" w:rsidR="00FB5384" w:rsidRPr="004F3674" w:rsidRDefault="00FB5384" w:rsidP="004F3674">
    <w:pPr>
      <w:pStyle w:val="Footer"/>
      <w:tabs>
        <w:tab w:val="right" w:pos="9638"/>
      </w:tabs>
    </w:pPr>
    <w:r w:rsidRPr="004F3674">
      <w:rPr>
        <w:b/>
        <w:sz w:val="18"/>
      </w:rPr>
      <w:fldChar w:fldCharType="begin"/>
    </w:r>
    <w:r w:rsidRPr="004F3674">
      <w:rPr>
        <w:b/>
        <w:sz w:val="18"/>
      </w:rPr>
      <w:instrText xml:space="preserve"> PAGE  \* MERGEFORMAT </w:instrText>
    </w:r>
    <w:r w:rsidRPr="004F3674">
      <w:rPr>
        <w:b/>
        <w:sz w:val="18"/>
      </w:rPr>
      <w:fldChar w:fldCharType="separate"/>
    </w:r>
    <w:r w:rsidR="003A6C54">
      <w:rPr>
        <w:b/>
        <w:noProof/>
        <w:sz w:val="18"/>
      </w:rPr>
      <w:t>8</w:t>
    </w:r>
    <w:r w:rsidRPr="004F367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970C" w14:textId="6812322C" w:rsidR="00FB5384" w:rsidRPr="004F3674" w:rsidRDefault="00FB5384" w:rsidP="004F3674">
    <w:pPr>
      <w:pStyle w:val="Footer"/>
      <w:tabs>
        <w:tab w:val="right" w:pos="9638"/>
      </w:tabs>
      <w:rPr>
        <w:b/>
        <w:sz w:val="18"/>
      </w:rPr>
    </w:pPr>
    <w:r>
      <w:tab/>
    </w:r>
    <w:r w:rsidRPr="004F3674">
      <w:rPr>
        <w:b/>
        <w:sz w:val="18"/>
      </w:rPr>
      <w:fldChar w:fldCharType="begin"/>
    </w:r>
    <w:r w:rsidRPr="004F3674">
      <w:rPr>
        <w:b/>
        <w:sz w:val="18"/>
      </w:rPr>
      <w:instrText xml:space="preserve"> PAGE  \* MERGEFORMAT </w:instrText>
    </w:r>
    <w:r w:rsidRPr="004F3674">
      <w:rPr>
        <w:b/>
        <w:sz w:val="18"/>
      </w:rPr>
      <w:fldChar w:fldCharType="separate"/>
    </w:r>
    <w:r w:rsidR="003A6C54">
      <w:rPr>
        <w:b/>
        <w:noProof/>
        <w:sz w:val="18"/>
      </w:rPr>
      <w:t>7</w:t>
    </w:r>
    <w:r w:rsidRPr="004F36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BA93E" w14:textId="44A8FBE8" w:rsidR="00FB5384" w:rsidRDefault="005D6B66" w:rsidP="005D6B66">
    <w:pPr>
      <w:pStyle w:val="Footer"/>
      <w:rPr>
        <w:sz w:val="20"/>
      </w:rPr>
    </w:pPr>
    <w:r w:rsidRPr="005D6B66">
      <w:rPr>
        <w:noProof/>
        <w:sz w:val="20"/>
        <w:lang w:eastAsia="en-GB"/>
      </w:rPr>
      <w:drawing>
        <wp:anchor distT="0" distB="0" distL="114300" distR="114300" simplePos="0" relativeHeight="251659264" behindDoc="1" locked="1" layoutInCell="1" allowOverlap="1" wp14:anchorId="73E796DF" wp14:editId="1693E2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FB5384">
      <w:rPr>
        <w:sz w:val="20"/>
      </w:rPr>
      <w:t xml:space="preserve"> </w:t>
    </w:r>
  </w:p>
  <w:p w14:paraId="21D4BC0A" w14:textId="63BFD43B" w:rsidR="005D6B66" w:rsidRDefault="005D6B66" w:rsidP="005D6B66">
    <w:pPr>
      <w:pStyle w:val="Footer"/>
      <w:ind w:right="1134"/>
      <w:rPr>
        <w:sz w:val="20"/>
      </w:rPr>
    </w:pPr>
    <w:r>
      <w:rPr>
        <w:sz w:val="20"/>
      </w:rPr>
      <w:t>GE.17-16711(E)</w:t>
    </w:r>
  </w:p>
  <w:p w14:paraId="513DC9CD" w14:textId="34521A68" w:rsidR="005D6B66" w:rsidRPr="005D6B66" w:rsidRDefault="005D6B66" w:rsidP="005D6B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6C7D68C" wp14:editId="27C039D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NZL/CO/21-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NZL/CO/21-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F4D8" w14:textId="77777777" w:rsidR="000B330A" w:rsidRPr="000B175B" w:rsidRDefault="000B330A" w:rsidP="000B175B">
      <w:pPr>
        <w:tabs>
          <w:tab w:val="right" w:pos="2155"/>
        </w:tabs>
        <w:spacing w:after="80"/>
        <w:ind w:left="680"/>
        <w:rPr>
          <w:u w:val="single"/>
        </w:rPr>
      </w:pPr>
      <w:r>
        <w:rPr>
          <w:u w:val="single"/>
        </w:rPr>
        <w:tab/>
      </w:r>
    </w:p>
  </w:footnote>
  <w:footnote w:type="continuationSeparator" w:id="0">
    <w:p w14:paraId="0B7FF5CC" w14:textId="77777777" w:rsidR="000B330A" w:rsidRPr="00FC68B7" w:rsidRDefault="000B330A" w:rsidP="00FC68B7">
      <w:pPr>
        <w:tabs>
          <w:tab w:val="left" w:pos="2155"/>
        </w:tabs>
        <w:spacing w:after="80"/>
        <w:ind w:left="680"/>
        <w:rPr>
          <w:u w:val="single"/>
        </w:rPr>
      </w:pPr>
      <w:r>
        <w:rPr>
          <w:u w:val="single"/>
        </w:rPr>
        <w:tab/>
      </w:r>
    </w:p>
  </w:footnote>
  <w:footnote w:type="continuationNotice" w:id="1">
    <w:p w14:paraId="316BCEEA" w14:textId="77777777" w:rsidR="000B330A" w:rsidRDefault="000B330A"/>
  </w:footnote>
  <w:footnote w:id="2">
    <w:p w14:paraId="298FECDB" w14:textId="47166F22" w:rsidR="00A24F10" w:rsidRPr="00F93FA5" w:rsidRDefault="00A24F10" w:rsidP="00A24F10">
      <w:pPr>
        <w:pStyle w:val="FootnoteText"/>
      </w:pPr>
      <w:r>
        <w:tab/>
      </w:r>
      <w:r w:rsidRPr="00B57DDD">
        <w:rPr>
          <w:rStyle w:val="FootnoteReference"/>
          <w:sz w:val="20"/>
          <w:vertAlign w:val="baseline"/>
        </w:rPr>
        <w:t>*</w:t>
      </w:r>
      <w:r>
        <w:tab/>
      </w:r>
      <w:r w:rsidRPr="00EA7B9C">
        <w:rPr>
          <w:szCs w:val="18"/>
        </w:rPr>
        <w:t>Adopted by the Committee at its ninety-</w:t>
      </w:r>
      <w:r>
        <w:rPr>
          <w:szCs w:val="18"/>
        </w:rPr>
        <w:t>third</w:t>
      </w:r>
      <w:r w:rsidRPr="00EA7B9C">
        <w:rPr>
          <w:szCs w:val="18"/>
        </w:rPr>
        <w:t xml:space="preserve"> session (</w:t>
      </w:r>
      <w:r>
        <w:rPr>
          <w:szCs w:val="18"/>
        </w:rPr>
        <w:t>31 July</w:t>
      </w:r>
      <w:r w:rsidR="00C87A05">
        <w:rPr>
          <w:szCs w:val="18"/>
        </w:rPr>
        <w:t>-</w:t>
      </w:r>
      <w:r w:rsidRPr="00EA7B9C">
        <w:rPr>
          <w:szCs w:val="18"/>
        </w:rPr>
        <w:t xml:space="preserve"> </w:t>
      </w:r>
      <w:r>
        <w:rPr>
          <w:szCs w:val="18"/>
        </w:rPr>
        <w:t>25 August 2017)</w:t>
      </w:r>
      <w:r w:rsidRPr="00202A2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0B5A" w14:textId="2519E7EF" w:rsidR="00FB5384" w:rsidRPr="004F3674" w:rsidRDefault="00A24F10">
    <w:pPr>
      <w:pStyle w:val="Header"/>
    </w:pPr>
    <w:r>
      <w:t>CERD/C/NZL/CO/</w:t>
    </w:r>
    <w:r w:rsidR="00FB5384">
      <w:t>21-22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B494" w14:textId="1594DE41" w:rsidR="00FB5384" w:rsidRPr="004F3674" w:rsidRDefault="00A24F10" w:rsidP="004F3674">
    <w:pPr>
      <w:pStyle w:val="Header"/>
      <w:jc w:val="right"/>
    </w:pPr>
    <w:r>
      <w:t>CERD/C/NZL/CO/</w:t>
    </w:r>
    <w:r w:rsidR="00FB5384">
      <w:t>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6E8EBD"/>
    <w:multiLevelType w:val="hybridMultilevel"/>
    <w:tmpl w:val="F673D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0CA77"/>
    <w:multiLevelType w:val="hybridMultilevel"/>
    <w:tmpl w:val="9149B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B2BCF"/>
    <w:multiLevelType w:val="hybridMultilevel"/>
    <w:tmpl w:val="FE3AB7BE"/>
    <w:lvl w:ilvl="0" w:tplc="0D76B92A">
      <w:start w:val="1"/>
      <w:numFmt w:val="lowerLetter"/>
      <w:lvlText w:val="(%1)"/>
      <w:lvlJc w:val="left"/>
      <w:pPr>
        <w:ind w:left="2061" w:hanging="360"/>
      </w:pPr>
      <w:rPr>
        <w:rFonts w:hint="default"/>
        <w:b/>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083215D7"/>
    <w:multiLevelType w:val="hybridMultilevel"/>
    <w:tmpl w:val="F9525C72"/>
    <w:lvl w:ilvl="0" w:tplc="C7FA3C00">
      <w:start w:val="1"/>
      <w:numFmt w:val="decimal"/>
      <w:lvlText w:val="%1."/>
      <w:lvlJc w:val="left"/>
      <w:pPr>
        <w:ind w:left="2838" w:hanging="57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0EEC20BF"/>
    <w:multiLevelType w:val="hybridMultilevel"/>
    <w:tmpl w:val="DD70A524"/>
    <w:lvl w:ilvl="0" w:tplc="A044D82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10CF44A"/>
    <w:multiLevelType w:val="hybridMultilevel"/>
    <w:tmpl w:val="2D8EC6B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C35740"/>
    <w:multiLevelType w:val="hybridMultilevel"/>
    <w:tmpl w:val="FD844A52"/>
    <w:lvl w:ilvl="0" w:tplc="DBD89B6E">
      <w:start w:val="1"/>
      <w:numFmt w:val="decimal"/>
      <w:lvlText w:val="%1."/>
      <w:lvlJc w:val="left"/>
      <w:pPr>
        <w:ind w:left="1726" w:hanging="556"/>
      </w:pPr>
      <w:rPr>
        <w:rFonts w:hint="default"/>
        <w:b w:val="0"/>
        <w:strike w:val="0"/>
      </w:rPr>
    </w:lvl>
    <w:lvl w:ilvl="1" w:tplc="A4A6ED1C">
      <w:start w:val="1"/>
      <w:numFmt w:val="lowerLetter"/>
      <w:lvlText w:val="%2)"/>
      <w:lvlJc w:val="left"/>
      <w:pPr>
        <w:ind w:left="2250" w:hanging="360"/>
      </w:pPr>
      <w:rPr>
        <w:b w:val="0"/>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44A1D48"/>
    <w:multiLevelType w:val="hybridMultilevel"/>
    <w:tmpl w:val="44841212"/>
    <w:lvl w:ilvl="0" w:tplc="DBD89B6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0D9F31"/>
    <w:multiLevelType w:val="hybridMultilevel"/>
    <w:tmpl w:val="7F35C1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992CB3"/>
    <w:multiLevelType w:val="hybridMultilevel"/>
    <w:tmpl w:val="53A680D2"/>
    <w:lvl w:ilvl="0" w:tplc="DBD89B6E">
      <w:start w:val="1"/>
      <w:numFmt w:val="decimal"/>
      <w:lvlText w:val="%1."/>
      <w:lvlJc w:val="left"/>
      <w:pPr>
        <w:ind w:left="1690" w:hanging="556"/>
      </w:pPr>
      <w:rPr>
        <w:rFonts w:hint="default"/>
        <w:b w:val="0"/>
        <w:strike w:val="0"/>
      </w:rPr>
    </w:lvl>
    <w:lvl w:ilvl="1" w:tplc="83F8665C">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E567F22"/>
    <w:multiLevelType w:val="hybridMultilevel"/>
    <w:tmpl w:val="F3802F96"/>
    <w:lvl w:ilvl="0" w:tplc="88AA6FBC">
      <w:start w:val="1"/>
      <w:numFmt w:val="decimal"/>
      <w:lvlText w:val="%1."/>
      <w:lvlJc w:val="left"/>
      <w:pPr>
        <w:ind w:left="1690" w:hanging="55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2BA6161"/>
    <w:multiLevelType w:val="hybridMultilevel"/>
    <w:tmpl w:val="3EA0DA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25AB3BA1"/>
    <w:multiLevelType w:val="hybridMultilevel"/>
    <w:tmpl w:val="B69E5F90"/>
    <w:lvl w:ilvl="0" w:tplc="DBD89B6E">
      <w:start w:val="1"/>
      <w:numFmt w:val="decimal"/>
      <w:lvlText w:val="%1."/>
      <w:lvlJc w:val="left"/>
      <w:pPr>
        <w:ind w:left="1690" w:hanging="556"/>
      </w:pPr>
      <w:rPr>
        <w:rFonts w:hint="default"/>
        <w:b w:val="0"/>
        <w:strike w:val="0"/>
      </w:rPr>
    </w:lvl>
    <w:lvl w:ilvl="1" w:tplc="A4A6ED1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7F758E4"/>
    <w:multiLevelType w:val="hybridMultilevel"/>
    <w:tmpl w:val="D186A428"/>
    <w:lvl w:ilvl="0" w:tplc="DBD89B6E">
      <w:start w:val="1"/>
      <w:numFmt w:val="decimal"/>
      <w:lvlText w:val="%1."/>
      <w:lvlJc w:val="left"/>
      <w:pPr>
        <w:ind w:left="1906" w:hanging="556"/>
      </w:pPr>
      <w:rPr>
        <w:rFonts w:hint="default"/>
        <w:b w:val="0"/>
        <w:strike w:val="0"/>
      </w:rPr>
    </w:lvl>
    <w:lvl w:ilvl="1" w:tplc="A4A6ED1C">
      <w:start w:val="1"/>
      <w:numFmt w:val="lowerLetter"/>
      <w:lvlText w:val="%2)"/>
      <w:lvlJc w:val="left"/>
      <w:pPr>
        <w:ind w:left="2430" w:hanging="360"/>
      </w:pPr>
      <w:rPr>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E2F078F"/>
    <w:multiLevelType w:val="hybridMultilevel"/>
    <w:tmpl w:val="F91C503C"/>
    <w:lvl w:ilvl="0" w:tplc="A27CFF4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2E5778E6"/>
    <w:multiLevelType w:val="hybridMultilevel"/>
    <w:tmpl w:val="6756DBA0"/>
    <w:lvl w:ilvl="0" w:tplc="DBD89B6E">
      <w:start w:val="1"/>
      <w:numFmt w:val="decimal"/>
      <w:lvlText w:val="%1."/>
      <w:lvlJc w:val="left"/>
      <w:pPr>
        <w:ind w:left="1690" w:hanging="556"/>
      </w:pPr>
      <w:rPr>
        <w:rFonts w:hint="default"/>
        <w:b w:val="0"/>
        <w:strike w:val="0"/>
      </w:rPr>
    </w:lvl>
    <w:lvl w:ilvl="1" w:tplc="A4A6ED1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EF12083"/>
    <w:multiLevelType w:val="hybridMultilevel"/>
    <w:tmpl w:val="E17E40F6"/>
    <w:lvl w:ilvl="0" w:tplc="A5A8974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0AC7647"/>
    <w:multiLevelType w:val="hybridMultilevel"/>
    <w:tmpl w:val="A0CC3F7A"/>
    <w:lvl w:ilvl="0" w:tplc="DBD89B6E">
      <w:start w:val="1"/>
      <w:numFmt w:val="decimal"/>
      <w:lvlText w:val="%1."/>
      <w:lvlJc w:val="left"/>
      <w:pPr>
        <w:ind w:left="1690" w:hanging="556"/>
      </w:pPr>
      <w:rPr>
        <w:rFonts w:hint="default"/>
        <w:b w:val="0"/>
        <w:strike w:val="0"/>
      </w:rPr>
    </w:lvl>
    <w:lvl w:ilvl="1" w:tplc="FB5C84FA">
      <w:start w:val="1"/>
      <w:numFmt w:val="lowerLetter"/>
      <w:lvlText w:val="(%2)"/>
      <w:lvlJc w:val="left"/>
      <w:pPr>
        <w:ind w:left="2214" w:hanging="360"/>
      </w:pPr>
      <w:rPr>
        <w:rFonts w:hint="default"/>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5EB3348"/>
    <w:multiLevelType w:val="hybridMultilevel"/>
    <w:tmpl w:val="11DA52FE"/>
    <w:lvl w:ilvl="0" w:tplc="DBD89B6E">
      <w:start w:val="1"/>
      <w:numFmt w:val="decimal"/>
      <w:lvlText w:val="%1."/>
      <w:lvlJc w:val="left"/>
      <w:pPr>
        <w:ind w:left="1690" w:hanging="556"/>
      </w:pPr>
      <w:rPr>
        <w:rFonts w:hint="default"/>
        <w:b w:val="0"/>
        <w:strike w:val="0"/>
      </w:rPr>
    </w:lvl>
    <w:lvl w:ilvl="1" w:tplc="A4A6ED1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4900894"/>
    <w:multiLevelType w:val="hybridMultilevel"/>
    <w:tmpl w:val="D772DFD2"/>
    <w:lvl w:ilvl="0" w:tplc="FF888D7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53602433"/>
    <w:multiLevelType w:val="hybridMultilevel"/>
    <w:tmpl w:val="F6C5AB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872613"/>
    <w:multiLevelType w:val="hybridMultilevel"/>
    <w:tmpl w:val="2318A1EA"/>
    <w:lvl w:ilvl="0" w:tplc="DBD89B6E">
      <w:start w:val="1"/>
      <w:numFmt w:val="decimal"/>
      <w:lvlText w:val="%1."/>
      <w:lvlJc w:val="left"/>
      <w:pPr>
        <w:ind w:left="1690" w:hanging="556"/>
      </w:pPr>
      <w:rPr>
        <w:rFonts w:hint="default"/>
        <w:b w:val="0"/>
        <w:strike w:val="0"/>
      </w:rPr>
    </w:lvl>
    <w:lvl w:ilvl="1" w:tplc="02106292">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3B217CE"/>
    <w:multiLevelType w:val="hybridMultilevel"/>
    <w:tmpl w:val="BE5ED132"/>
    <w:lvl w:ilvl="0" w:tplc="88AA6FBC">
      <w:start w:val="1"/>
      <w:numFmt w:val="decimal"/>
      <w:lvlText w:val="%1."/>
      <w:lvlJc w:val="left"/>
      <w:pPr>
        <w:ind w:left="2824" w:hanging="556"/>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5877098B"/>
    <w:multiLevelType w:val="hybridMultilevel"/>
    <w:tmpl w:val="F710E266"/>
    <w:lvl w:ilvl="0" w:tplc="DBD89B6E">
      <w:start w:val="1"/>
      <w:numFmt w:val="decimal"/>
      <w:lvlText w:val="%1."/>
      <w:lvlJc w:val="left"/>
      <w:pPr>
        <w:ind w:left="1690" w:hanging="556"/>
      </w:pPr>
      <w:rPr>
        <w:rFonts w:hint="default"/>
        <w:b w:val="0"/>
        <w:strike w:val="0"/>
      </w:rPr>
    </w:lvl>
    <w:lvl w:ilvl="1" w:tplc="137A90DE">
      <w:start w:val="1"/>
      <w:numFmt w:val="lowerLetter"/>
      <w:lvlText w:val="(%2)"/>
      <w:lvlJc w:val="left"/>
      <w:pPr>
        <w:ind w:left="2214" w:hanging="360"/>
      </w:pPr>
      <w:rPr>
        <w:rFonts w:ascii="Times New Roman" w:eastAsia="SimSun" w:hAnsi="Times New Roman" w:cs="Times New Roman"/>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4100FD8"/>
    <w:multiLevelType w:val="hybridMultilevel"/>
    <w:tmpl w:val="1B1EABE6"/>
    <w:lvl w:ilvl="0" w:tplc="E1D424C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4851FD1"/>
    <w:multiLevelType w:val="hybridMultilevel"/>
    <w:tmpl w:val="D9E02800"/>
    <w:lvl w:ilvl="0" w:tplc="DBD89B6E">
      <w:start w:val="1"/>
      <w:numFmt w:val="decimal"/>
      <w:lvlText w:val="%1."/>
      <w:lvlJc w:val="left"/>
      <w:pPr>
        <w:ind w:left="1690" w:hanging="556"/>
      </w:pPr>
      <w:rPr>
        <w:rFonts w:hint="default"/>
        <w:b w:val="0"/>
        <w:strike w:val="0"/>
      </w:rPr>
    </w:lvl>
    <w:lvl w:ilvl="1" w:tplc="04988626">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651A9"/>
    <w:multiLevelType w:val="hybridMultilevel"/>
    <w:tmpl w:val="77685564"/>
    <w:lvl w:ilvl="0" w:tplc="DBD89B6E">
      <w:start w:val="1"/>
      <w:numFmt w:val="decimal"/>
      <w:lvlText w:val="%1."/>
      <w:lvlJc w:val="left"/>
      <w:pPr>
        <w:ind w:left="1690" w:hanging="556"/>
      </w:pPr>
      <w:rPr>
        <w:rFonts w:hint="default"/>
        <w:b w:val="0"/>
        <w:strike w:val="0"/>
      </w:rPr>
    </w:lvl>
    <w:lvl w:ilvl="1" w:tplc="470051B6">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0B23CC4"/>
    <w:multiLevelType w:val="hybridMultilevel"/>
    <w:tmpl w:val="53264684"/>
    <w:lvl w:ilvl="0" w:tplc="DBD89B6E">
      <w:start w:val="1"/>
      <w:numFmt w:val="decimal"/>
      <w:lvlText w:val="%1."/>
      <w:lvlJc w:val="left"/>
      <w:pPr>
        <w:ind w:left="1690" w:hanging="556"/>
      </w:pPr>
      <w:rPr>
        <w:rFonts w:hint="default"/>
        <w:b w:val="0"/>
        <w:strike w:val="0"/>
      </w:rPr>
    </w:lvl>
    <w:lvl w:ilvl="1" w:tplc="B43016C2">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1BB741C"/>
    <w:multiLevelType w:val="hybridMultilevel"/>
    <w:tmpl w:val="E54C24BE"/>
    <w:lvl w:ilvl="0" w:tplc="DAE66C50">
      <w:start w:val="1"/>
      <w:numFmt w:val="lowerLetter"/>
      <w:lvlText w:val="(%1)"/>
      <w:lvlJc w:val="left"/>
      <w:pPr>
        <w:ind w:left="2574" w:hanging="360"/>
      </w:pPr>
      <w:rPr>
        <w:rFonts w:ascii="Times New Roman" w:eastAsia="SimSun" w:hAnsi="Times New Roman" w:cs="Times New Roman"/>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15:restartNumberingAfterBreak="0">
    <w:nsid w:val="72474BA0"/>
    <w:multiLevelType w:val="hybridMultilevel"/>
    <w:tmpl w:val="26D62BD0"/>
    <w:lvl w:ilvl="0" w:tplc="B49A1DD8">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15:restartNumberingAfterBreak="0">
    <w:nsid w:val="72C66074"/>
    <w:multiLevelType w:val="hybridMultilevel"/>
    <w:tmpl w:val="2356E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6830F2"/>
    <w:multiLevelType w:val="hybridMultilevel"/>
    <w:tmpl w:val="53D6C216"/>
    <w:lvl w:ilvl="0" w:tplc="88AA6FBC">
      <w:start w:val="1"/>
      <w:numFmt w:val="decimal"/>
      <w:lvlText w:val="%1."/>
      <w:lvlJc w:val="left"/>
      <w:pPr>
        <w:ind w:left="1690" w:hanging="55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736D6DA0"/>
    <w:multiLevelType w:val="hybridMultilevel"/>
    <w:tmpl w:val="A984A69A"/>
    <w:lvl w:ilvl="0" w:tplc="1158C52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15:restartNumberingAfterBreak="0">
    <w:nsid w:val="7615439A"/>
    <w:multiLevelType w:val="hybridMultilevel"/>
    <w:tmpl w:val="421212F0"/>
    <w:lvl w:ilvl="0" w:tplc="DBD89B6E">
      <w:start w:val="1"/>
      <w:numFmt w:val="decimal"/>
      <w:lvlText w:val="%1."/>
      <w:lvlJc w:val="left"/>
      <w:pPr>
        <w:ind w:left="1690" w:hanging="556"/>
      </w:pPr>
      <w:rPr>
        <w:rFonts w:hint="default"/>
        <w:b w:val="0"/>
        <w:strike w:val="0"/>
      </w:rPr>
    </w:lvl>
    <w:lvl w:ilvl="1" w:tplc="A4A6ED1C">
      <w:start w:val="1"/>
      <w:numFmt w:val="lowerLetter"/>
      <w:lvlText w:val="%2)"/>
      <w:lvlJc w:val="left"/>
      <w:pPr>
        <w:ind w:left="2214" w:hanging="360"/>
      </w:pPr>
      <w:rPr>
        <w:b w:val="0"/>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7A88797B"/>
    <w:multiLevelType w:val="hybridMultilevel"/>
    <w:tmpl w:val="900CA528"/>
    <w:lvl w:ilvl="0" w:tplc="FB5C84FA">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7" w15:restartNumberingAfterBreak="0">
    <w:nsid w:val="7F262A40"/>
    <w:multiLevelType w:val="hybridMultilevel"/>
    <w:tmpl w:val="E9B2D4B2"/>
    <w:lvl w:ilvl="0" w:tplc="DBD89B6E">
      <w:start w:val="1"/>
      <w:numFmt w:val="decimal"/>
      <w:lvlText w:val="%1."/>
      <w:lvlJc w:val="left"/>
      <w:pPr>
        <w:ind w:left="1690" w:hanging="556"/>
      </w:pPr>
      <w:rPr>
        <w:rFonts w:hint="default"/>
        <w:b w:val="0"/>
        <w:strike w:val="0"/>
      </w:rPr>
    </w:lvl>
    <w:lvl w:ilvl="1" w:tplc="2D86D54C">
      <w:start w:val="1"/>
      <w:numFmt w:val="lowerLetter"/>
      <w:lvlText w:val="(%2)"/>
      <w:lvlJc w:val="left"/>
      <w:pPr>
        <w:ind w:left="2214" w:hanging="360"/>
      </w:pPr>
      <w:rPr>
        <w:rFonts w:hint="default"/>
        <w:b/>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27"/>
  </w:num>
  <w:num w:numId="3">
    <w:abstractNumId w:val="12"/>
  </w:num>
  <w:num w:numId="4">
    <w:abstractNumId w:val="16"/>
  </w:num>
  <w:num w:numId="5">
    <w:abstractNumId w:val="4"/>
  </w:num>
  <w:num w:numId="6">
    <w:abstractNumId w:val="11"/>
  </w:num>
  <w:num w:numId="7">
    <w:abstractNumId w:val="23"/>
  </w:num>
  <w:num w:numId="8">
    <w:abstractNumId w:val="33"/>
  </w:num>
  <w:num w:numId="9">
    <w:abstractNumId w:val="32"/>
  </w:num>
  <w:num w:numId="10">
    <w:abstractNumId w:val="35"/>
  </w:num>
  <w:num w:numId="11">
    <w:abstractNumId w:val="14"/>
  </w:num>
  <w:num w:numId="12">
    <w:abstractNumId w:val="7"/>
  </w:num>
  <w:num w:numId="13">
    <w:abstractNumId w:val="8"/>
  </w:num>
  <w:num w:numId="14">
    <w:abstractNumId w:val="0"/>
  </w:num>
  <w:num w:numId="15">
    <w:abstractNumId w:val="9"/>
  </w:num>
  <w:num w:numId="16">
    <w:abstractNumId w:val="1"/>
  </w:num>
  <w:num w:numId="17">
    <w:abstractNumId w:val="13"/>
  </w:num>
  <w:num w:numId="18">
    <w:abstractNumId w:val="6"/>
  </w:num>
  <w:num w:numId="19">
    <w:abstractNumId w:val="21"/>
  </w:num>
  <w:num w:numId="20">
    <w:abstractNumId w:val="19"/>
  </w:num>
  <w:num w:numId="21">
    <w:abstractNumId w:val="24"/>
  </w:num>
  <w:num w:numId="22">
    <w:abstractNumId w:val="18"/>
  </w:num>
  <w:num w:numId="23">
    <w:abstractNumId w:val="36"/>
  </w:num>
  <w:num w:numId="24">
    <w:abstractNumId w:val="30"/>
  </w:num>
  <w:num w:numId="25">
    <w:abstractNumId w:val="29"/>
  </w:num>
  <w:num w:numId="26">
    <w:abstractNumId w:val="37"/>
  </w:num>
  <w:num w:numId="27">
    <w:abstractNumId w:val="10"/>
  </w:num>
  <w:num w:numId="28">
    <w:abstractNumId w:val="28"/>
  </w:num>
  <w:num w:numId="29">
    <w:abstractNumId w:val="26"/>
  </w:num>
  <w:num w:numId="30">
    <w:abstractNumId w:val="22"/>
  </w:num>
  <w:num w:numId="31">
    <w:abstractNumId w:val="31"/>
  </w:num>
  <w:num w:numId="32">
    <w:abstractNumId w:val="17"/>
  </w:num>
  <w:num w:numId="33">
    <w:abstractNumId w:val="15"/>
  </w:num>
  <w:num w:numId="34">
    <w:abstractNumId w:val="3"/>
  </w:num>
  <w:num w:numId="35">
    <w:abstractNumId w:val="20"/>
  </w:num>
  <w:num w:numId="36">
    <w:abstractNumId w:val="5"/>
  </w:num>
  <w:num w:numId="37">
    <w:abstractNumId w:val="34"/>
  </w:num>
  <w:num w:numId="3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s-ES" w:vendorID="64" w:dllVersion="6" w:nlCheck="1" w:checkStyle="1"/>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US" w:vendorID="64" w:dllVersion="0" w:nlCheck="1" w:checkStyle="0"/>
  <w:activeWritingStyle w:appName="MSWord" w:lang="es-US" w:vendorID="64" w:dllVersion="6"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7E"/>
    <w:rsid w:val="0000037E"/>
    <w:rsid w:val="000012BF"/>
    <w:rsid w:val="00001FB8"/>
    <w:rsid w:val="00003861"/>
    <w:rsid w:val="00003909"/>
    <w:rsid w:val="00005C70"/>
    <w:rsid w:val="00005FA5"/>
    <w:rsid w:val="0000716A"/>
    <w:rsid w:val="0000797A"/>
    <w:rsid w:val="00007AB7"/>
    <w:rsid w:val="00007BF7"/>
    <w:rsid w:val="00010C3E"/>
    <w:rsid w:val="00011C5C"/>
    <w:rsid w:val="00011D1D"/>
    <w:rsid w:val="000121B7"/>
    <w:rsid w:val="00012F0E"/>
    <w:rsid w:val="00013DF9"/>
    <w:rsid w:val="00014CC2"/>
    <w:rsid w:val="00015832"/>
    <w:rsid w:val="00016663"/>
    <w:rsid w:val="00017911"/>
    <w:rsid w:val="0002026B"/>
    <w:rsid w:val="000214E6"/>
    <w:rsid w:val="0002186C"/>
    <w:rsid w:val="00021ED4"/>
    <w:rsid w:val="000234EE"/>
    <w:rsid w:val="000245DF"/>
    <w:rsid w:val="0002535C"/>
    <w:rsid w:val="000262C6"/>
    <w:rsid w:val="00026308"/>
    <w:rsid w:val="00026AE2"/>
    <w:rsid w:val="00026F8A"/>
    <w:rsid w:val="00027190"/>
    <w:rsid w:val="0002723F"/>
    <w:rsid w:val="0002757E"/>
    <w:rsid w:val="0003030D"/>
    <w:rsid w:val="00030D0E"/>
    <w:rsid w:val="0003169F"/>
    <w:rsid w:val="000328C1"/>
    <w:rsid w:val="00032FF2"/>
    <w:rsid w:val="000333BD"/>
    <w:rsid w:val="000350D1"/>
    <w:rsid w:val="000354AA"/>
    <w:rsid w:val="0003587C"/>
    <w:rsid w:val="00036D76"/>
    <w:rsid w:val="00040CEC"/>
    <w:rsid w:val="000416B3"/>
    <w:rsid w:val="000417BC"/>
    <w:rsid w:val="00043012"/>
    <w:rsid w:val="00043451"/>
    <w:rsid w:val="00043D2F"/>
    <w:rsid w:val="00044698"/>
    <w:rsid w:val="000455F7"/>
    <w:rsid w:val="000466FA"/>
    <w:rsid w:val="000468B4"/>
    <w:rsid w:val="00046B0E"/>
    <w:rsid w:val="000504CA"/>
    <w:rsid w:val="00050F6B"/>
    <w:rsid w:val="0005119C"/>
    <w:rsid w:val="00051953"/>
    <w:rsid w:val="000523CF"/>
    <w:rsid w:val="00053118"/>
    <w:rsid w:val="00054885"/>
    <w:rsid w:val="00054B65"/>
    <w:rsid w:val="000551DC"/>
    <w:rsid w:val="000565C3"/>
    <w:rsid w:val="00056BC0"/>
    <w:rsid w:val="0005727A"/>
    <w:rsid w:val="0006023A"/>
    <w:rsid w:val="00060838"/>
    <w:rsid w:val="00062CB0"/>
    <w:rsid w:val="00063F8F"/>
    <w:rsid w:val="00066645"/>
    <w:rsid w:val="000672E2"/>
    <w:rsid w:val="000677D5"/>
    <w:rsid w:val="00067BE2"/>
    <w:rsid w:val="00070A5B"/>
    <w:rsid w:val="0007168A"/>
    <w:rsid w:val="000729C5"/>
    <w:rsid w:val="00072C8C"/>
    <w:rsid w:val="000733B5"/>
    <w:rsid w:val="00073D1A"/>
    <w:rsid w:val="00074CA9"/>
    <w:rsid w:val="00075A38"/>
    <w:rsid w:val="00075E9B"/>
    <w:rsid w:val="00076734"/>
    <w:rsid w:val="00077485"/>
    <w:rsid w:val="00080080"/>
    <w:rsid w:val="0008052A"/>
    <w:rsid w:val="00080560"/>
    <w:rsid w:val="000810DC"/>
    <w:rsid w:val="00081B64"/>
    <w:rsid w:val="00081E62"/>
    <w:rsid w:val="00082CC0"/>
    <w:rsid w:val="00082D25"/>
    <w:rsid w:val="00083C4A"/>
    <w:rsid w:val="00086C9F"/>
    <w:rsid w:val="00087C60"/>
    <w:rsid w:val="000902E9"/>
    <w:rsid w:val="000910AB"/>
    <w:rsid w:val="000915FC"/>
    <w:rsid w:val="0009215D"/>
    <w:rsid w:val="00092955"/>
    <w:rsid w:val="000931C0"/>
    <w:rsid w:val="0009320B"/>
    <w:rsid w:val="00093DDA"/>
    <w:rsid w:val="000941A0"/>
    <w:rsid w:val="00094763"/>
    <w:rsid w:val="00095594"/>
    <w:rsid w:val="00096AC1"/>
    <w:rsid w:val="000A03B1"/>
    <w:rsid w:val="000A0970"/>
    <w:rsid w:val="000A0B6B"/>
    <w:rsid w:val="000A0E8F"/>
    <w:rsid w:val="000A15D9"/>
    <w:rsid w:val="000A2184"/>
    <w:rsid w:val="000A21F6"/>
    <w:rsid w:val="000A2C79"/>
    <w:rsid w:val="000A3071"/>
    <w:rsid w:val="000A3BAB"/>
    <w:rsid w:val="000A3D05"/>
    <w:rsid w:val="000A5481"/>
    <w:rsid w:val="000A57BD"/>
    <w:rsid w:val="000A5D3B"/>
    <w:rsid w:val="000A5EA1"/>
    <w:rsid w:val="000A69C6"/>
    <w:rsid w:val="000A741F"/>
    <w:rsid w:val="000B01A2"/>
    <w:rsid w:val="000B10EA"/>
    <w:rsid w:val="000B175B"/>
    <w:rsid w:val="000B1CEB"/>
    <w:rsid w:val="000B1DC0"/>
    <w:rsid w:val="000B25F1"/>
    <w:rsid w:val="000B2867"/>
    <w:rsid w:val="000B330A"/>
    <w:rsid w:val="000B3783"/>
    <w:rsid w:val="000B3849"/>
    <w:rsid w:val="000B38A7"/>
    <w:rsid w:val="000B3A0F"/>
    <w:rsid w:val="000B3B11"/>
    <w:rsid w:val="000B4CE1"/>
    <w:rsid w:val="000B4EF7"/>
    <w:rsid w:val="000B51BD"/>
    <w:rsid w:val="000B65ED"/>
    <w:rsid w:val="000B7C88"/>
    <w:rsid w:val="000C09CD"/>
    <w:rsid w:val="000C0C89"/>
    <w:rsid w:val="000C0E08"/>
    <w:rsid w:val="000C1462"/>
    <w:rsid w:val="000C1A5D"/>
    <w:rsid w:val="000C1F56"/>
    <w:rsid w:val="000C2C1E"/>
    <w:rsid w:val="000C2D2E"/>
    <w:rsid w:val="000C2FE8"/>
    <w:rsid w:val="000C3EDF"/>
    <w:rsid w:val="000C5F90"/>
    <w:rsid w:val="000C7EF3"/>
    <w:rsid w:val="000D0117"/>
    <w:rsid w:val="000D0248"/>
    <w:rsid w:val="000D1EAE"/>
    <w:rsid w:val="000D2A38"/>
    <w:rsid w:val="000D301F"/>
    <w:rsid w:val="000D328C"/>
    <w:rsid w:val="000D46B6"/>
    <w:rsid w:val="000D5F36"/>
    <w:rsid w:val="000D7524"/>
    <w:rsid w:val="000D7A61"/>
    <w:rsid w:val="000E0415"/>
    <w:rsid w:val="000E0D6E"/>
    <w:rsid w:val="000E2D55"/>
    <w:rsid w:val="000E3610"/>
    <w:rsid w:val="000E3BF5"/>
    <w:rsid w:val="000E4F1C"/>
    <w:rsid w:val="000E51FE"/>
    <w:rsid w:val="000E5ACF"/>
    <w:rsid w:val="000E5FC5"/>
    <w:rsid w:val="000E74FC"/>
    <w:rsid w:val="000F0336"/>
    <w:rsid w:val="000F0396"/>
    <w:rsid w:val="000F0517"/>
    <w:rsid w:val="000F09A1"/>
    <w:rsid w:val="000F0B1D"/>
    <w:rsid w:val="000F10E0"/>
    <w:rsid w:val="000F1561"/>
    <w:rsid w:val="000F16F9"/>
    <w:rsid w:val="000F2067"/>
    <w:rsid w:val="000F54BF"/>
    <w:rsid w:val="000F5D31"/>
    <w:rsid w:val="000F6C7C"/>
    <w:rsid w:val="000F7017"/>
    <w:rsid w:val="000F751B"/>
    <w:rsid w:val="000F7B1B"/>
    <w:rsid w:val="000F7BE0"/>
    <w:rsid w:val="00101114"/>
    <w:rsid w:val="001015B2"/>
    <w:rsid w:val="001029FA"/>
    <w:rsid w:val="00103490"/>
    <w:rsid w:val="00103E4A"/>
    <w:rsid w:val="00104227"/>
    <w:rsid w:val="0010435E"/>
    <w:rsid w:val="00105053"/>
    <w:rsid w:val="00105493"/>
    <w:rsid w:val="0010654F"/>
    <w:rsid w:val="00106C93"/>
    <w:rsid w:val="00107FCC"/>
    <w:rsid w:val="001103AA"/>
    <w:rsid w:val="001104C1"/>
    <w:rsid w:val="00110857"/>
    <w:rsid w:val="0011168F"/>
    <w:rsid w:val="001116BA"/>
    <w:rsid w:val="0011209E"/>
    <w:rsid w:val="00114276"/>
    <w:rsid w:val="001157CA"/>
    <w:rsid w:val="00115891"/>
    <w:rsid w:val="001173BD"/>
    <w:rsid w:val="001177F6"/>
    <w:rsid w:val="00117BA1"/>
    <w:rsid w:val="00117CAA"/>
    <w:rsid w:val="00121E64"/>
    <w:rsid w:val="00122A7D"/>
    <w:rsid w:val="00124325"/>
    <w:rsid w:val="00124B04"/>
    <w:rsid w:val="00124B8C"/>
    <w:rsid w:val="0012664A"/>
    <w:rsid w:val="0012717D"/>
    <w:rsid w:val="001278FE"/>
    <w:rsid w:val="00127BA4"/>
    <w:rsid w:val="001311A4"/>
    <w:rsid w:val="001312BB"/>
    <w:rsid w:val="001315F1"/>
    <w:rsid w:val="00134899"/>
    <w:rsid w:val="0013506E"/>
    <w:rsid w:val="001351E8"/>
    <w:rsid w:val="0013575F"/>
    <w:rsid w:val="00136766"/>
    <w:rsid w:val="00136B09"/>
    <w:rsid w:val="00136D8E"/>
    <w:rsid w:val="00137509"/>
    <w:rsid w:val="001400B3"/>
    <w:rsid w:val="00140230"/>
    <w:rsid w:val="0014135E"/>
    <w:rsid w:val="0014175B"/>
    <w:rsid w:val="00141F0D"/>
    <w:rsid w:val="00142B0C"/>
    <w:rsid w:val="0014312C"/>
    <w:rsid w:val="00143B53"/>
    <w:rsid w:val="00143EAC"/>
    <w:rsid w:val="001440B8"/>
    <w:rsid w:val="00144DCD"/>
    <w:rsid w:val="0014562F"/>
    <w:rsid w:val="001456A7"/>
    <w:rsid w:val="00146F06"/>
    <w:rsid w:val="001477EF"/>
    <w:rsid w:val="001477FD"/>
    <w:rsid w:val="00147E69"/>
    <w:rsid w:val="00150551"/>
    <w:rsid w:val="0015077A"/>
    <w:rsid w:val="00150BBC"/>
    <w:rsid w:val="00151BB2"/>
    <w:rsid w:val="00151F02"/>
    <w:rsid w:val="00152A8A"/>
    <w:rsid w:val="00152CF8"/>
    <w:rsid w:val="00155387"/>
    <w:rsid w:val="00155467"/>
    <w:rsid w:val="0015565C"/>
    <w:rsid w:val="00155A1F"/>
    <w:rsid w:val="00155FA3"/>
    <w:rsid w:val="00156472"/>
    <w:rsid w:val="0015770E"/>
    <w:rsid w:val="00157CAC"/>
    <w:rsid w:val="00160851"/>
    <w:rsid w:val="00161145"/>
    <w:rsid w:val="001612B2"/>
    <w:rsid w:val="001630B8"/>
    <w:rsid w:val="0016495B"/>
    <w:rsid w:val="00165188"/>
    <w:rsid w:val="00165808"/>
    <w:rsid w:val="00165CC6"/>
    <w:rsid w:val="00166727"/>
    <w:rsid w:val="00166C67"/>
    <w:rsid w:val="00166E75"/>
    <w:rsid w:val="0016756F"/>
    <w:rsid w:val="00167663"/>
    <w:rsid w:val="00167AC9"/>
    <w:rsid w:val="001708DB"/>
    <w:rsid w:val="0017177A"/>
    <w:rsid w:val="00171A7E"/>
    <w:rsid w:val="00171DA0"/>
    <w:rsid w:val="00171EE8"/>
    <w:rsid w:val="00173AD2"/>
    <w:rsid w:val="001741E1"/>
    <w:rsid w:val="00174814"/>
    <w:rsid w:val="00174887"/>
    <w:rsid w:val="00174919"/>
    <w:rsid w:val="00174F00"/>
    <w:rsid w:val="0017579B"/>
    <w:rsid w:val="00175AB1"/>
    <w:rsid w:val="00177B74"/>
    <w:rsid w:val="00180D95"/>
    <w:rsid w:val="001815D4"/>
    <w:rsid w:val="00181BFC"/>
    <w:rsid w:val="00181C7F"/>
    <w:rsid w:val="00182587"/>
    <w:rsid w:val="00182BD9"/>
    <w:rsid w:val="001833CD"/>
    <w:rsid w:val="00183A7A"/>
    <w:rsid w:val="00184246"/>
    <w:rsid w:val="001845C4"/>
    <w:rsid w:val="00184AA8"/>
    <w:rsid w:val="001850EE"/>
    <w:rsid w:val="001862FC"/>
    <w:rsid w:val="00186EDB"/>
    <w:rsid w:val="0018711F"/>
    <w:rsid w:val="0018799C"/>
    <w:rsid w:val="001902B3"/>
    <w:rsid w:val="001902FE"/>
    <w:rsid w:val="0019080D"/>
    <w:rsid w:val="00190B58"/>
    <w:rsid w:val="00191DF7"/>
    <w:rsid w:val="001940E7"/>
    <w:rsid w:val="00194171"/>
    <w:rsid w:val="0019441E"/>
    <w:rsid w:val="00194D70"/>
    <w:rsid w:val="00195C98"/>
    <w:rsid w:val="00195E13"/>
    <w:rsid w:val="00197A4F"/>
    <w:rsid w:val="001A0E98"/>
    <w:rsid w:val="001A1743"/>
    <w:rsid w:val="001A1FB3"/>
    <w:rsid w:val="001A2524"/>
    <w:rsid w:val="001A2FEF"/>
    <w:rsid w:val="001A356B"/>
    <w:rsid w:val="001A3EF3"/>
    <w:rsid w:val="001A44CD"/>
    <w:rsid w:val="001B2630"/>
    <w:rsid w:val="001B277F"/>
    <w:rsid w:val="001B2D90"/>
    <w:rsid w:val="001B36D6"/>
    <w:rsid w:val="001B3ADC"/>
    <w:rsid w:val="001B3DF6"/>
    <w:rsid w:val="001B4652"/>
    <w:rsid w:val="001B4B04"/>
    <w:rsid w:val="001B4E8B"/>
    <w:rsid w:val="001B679D"/>
    <w:rsid w:val="001B6EC6"/>
    <w:rsid w:val="001C0463"/>
    <w:rsid w:val="001C1517"/>
    <w:rsid w:val="001C1C83"/>
    <w:rsid w:val="001C2283"/>
    <w:rsid w:val="001C2414"/>
    <w:rsid w:val="001C2B28"/>
    <w:rsid w:val="001C414A"/>
    <w:rsid w:val="001C41B1"/>
    <w:rsid w:val="001C5CC2"/>
    <w:rsid w:val="001C6663"/>
    <w:rsid w:val="001C684C"/>
    <w:rsid w:val="001C6B72"/>
    <w:rsid w:val="001C706A"/>
    <w:rsid w:val="001C7895"/>
    <w:rsid w:val="001D1224"/>
    <w:rsid w:val="001D1C99"/>
    <w:rsid w:val="001D23CE"/>
    <w:rsid w:val="001D26DF"/>
    <w:rsid w:val="001D2C89"/>
    <w:rsid w:val="001D40E6"/>
    <w:rsid w:val="001D4501"/>
    <w:rsid w:val="001D527F"/>
    <w:rsid w:val="001D5F78"/>
    <w:rsid w:val="001D675C"/>
    <w:rsid w:val="001E03DB"/>
    <w:rsid w:val="001E07F5"/>
    <w:rsid w:val="001E1293"/>
    <w:rsid w:val="001E1E93"/>
    <w:rsid w:val="001E3940"/>
    <w:rsid w:val="001E3B6B"/>
    <w:rsid w:val="001E44DD"/>
    <w:rsid w:val="001E51A0"/>
    <w:rsid w:val="001E5548"/>
    <w:rsid w:val="001E5AA0"/>
    <w:rsid w:val="001E6802"/>
    <w:rsid w:val="001E7458"/>
    <w:rsid w:val="001F051D"/>
    <w:rsid w:val="001F0715"/>
    <w:rsid w:val="001F0AF2"/>
    <w:rsid w:val="001F1094"/>
    <w:rsid w:val="001F2003"/>
    <w:rsid w:val="001F24F0"/>
    <w:rsid w:val="001F2E00"/>
    <w:rsid w:val="001F2F03"/>
    <w:rsid w:val="001F3079"/>
    <w:rsid w:val="001F4B62"/>
    <w:rsid w:val="001F5804"/>
    <w:rsid w:val="001F674A"/>
    <w:rsid w:val="002011DD"/>
    <w:rsid w:val="002014B8"/>
    <w:rsid w:val="0020184D"/>
    <w:rsid w:val="00201859"/>
    <w:rsid w:val="0020239C"/>
    <w:rsid w:val="00202DA8"/>
    <w:rsid w:val="00202FAB"/>
    <w:rsid w:val="002030CD"/>
    <w:rsid w:val="0020335D"/>
    <w:rsid w:val="00206057"/>
    <w:rsid w:val="002075D5"/>
    <w:rsid w:val="002075DB"/>
    <w:rsid w:val="00210A36"/>
    <w:rsid w:val="00211E0B"/>
    <w:rsid w:val="00212116"/>
    <w:rsid w:val="00212A4D"/>
    <w:rsid w:val="00213D22"/>
    <w:rsid w:val="0021468A"/>
    <w:rsid w:val="00215905"/>
    <w:rsid w:val="002169EF"/>
    <w:rsid w:val="00217884"/>
    <w:rsid w:val="00217F44"/>
    <w:rsid w:val="00220104"/>
    <w:rsid w:val="002206F1"/>
    <w:rsid w:val="00221652"/>
    <w:rsid w:val="00221950"/>
    <w:rsid w:val="00222E19"/>
    <w:rsid w:val="00222FDE"/>
    <w:rsid w:val="00223A94"/>
    <w:rsid w:val="00223BA7"/>
    <w:rsid w:val="00225B5C"/>
    <w:rsid w:val="00225D04"/>
    <w:rsid w:val="00226195"/>
    <w:rsid w:val="0022655F"/>
    <w:rsid w:val="00226CC3"/>
    <w:rsid w:val="0022744D"/>
    <w:rsid w:val="00230281"/>
    <w:rsid w:val="002310FE"/>
    <w:rsid w:val="002315CD"/>
    <w:rsid w:val="002324E5"/>
    <w:rsid w:val="00232F04"/>
    <w:rsid w:val="00233D22"/>
    <w:rsid w:val="00233EB2"/>
    <w:rsid w:val="00234CB7"/>
    <w:rsid w:val="00237512"/>
    <w:rsid w:val="002378E3"/>
    <w:rsid w:val="002400AB"/>
    <w:rsid w:val="002404F2"/>
    <w:rsid w:val="002405A0"/>
    <w:rsid w:val="002408D1"/>
    <w:rsid w:val="00240AB9"/>
    <w:rsid w:val="0024106F"/>
    <w:rsid w:val="00244325"/>
    <w:rsid w:val="00244ECC"/>
    <w:rsid w:val="00244F93"/>
    <w:rsid w:val="0024655D"/>
    <w:rsid w:val="00246576"/>
    <w:rsid w:val="00250478"/>
    <w:rsid w:val="00251C32"/>
    <w:rsid w:val="0025302E"/>
    <w:rsid w:val="00253F42"/>
    <w:rsid w:val="00255128"/>
    <w:rsid w:val="002560D0"/>
    <w:rsid w:val="00257124"/>
    <w:rsid w:val="0026063B"/>
    <w:rsid w:val="00260CC1"/>
    <w:rsid w:val="0026261F"/>
    <w:rsid w:val="002629D2"/>
    <w:rsid w:val="0026526C"/>
    <w:rsid w:val="00265BC8"/>
    <w:rsid w:val="00266617"/>
    <w:rsid w:val="002666E2"/>
    <w:rsid w:val="00266DAB"/>
    <w:rsid w:val="0026772B"/>
    <w:rsid w:val="00267BFF"/>
    <w:rsid w:val="00270D65"/>
    <w:rsid w:val="00271551"/>
    <w:rsid w:val="00271D4D"/>
    <w:rsid w:val="00271DBA"/>
    <w:rsid w:val="00272824"/>
    <w:rsid w:val="00274A23"/>
    <w:rsid w:val="00274FB6"/>
    <w:rsid w:val="00275D68"/>
    <w:rsid w:val="00276354"/>
    <w:rsid w:val="0027635E"/>
    <w:rsid w:val="0027653C"/>
    <w:rsid w:val="00276959"/>
    <w:rsid w:val="00277AC0"/>
    <w:rsid w:val="00277C8E"/>
    <w:rsid w:val="0028008A"/>
    <w:rsid w:val="0028019A"/>
    <w:rsid w:val="002816C1"/>
    <w:rsid w:val="0028188E"/>
    <w:rsid w:val="002824DA"/>
    <w:rsid w:val="002828EA"/>
    <w:rsid w:val="00282E8B"/>
    <w:rsid w:val="00284231"/>
    <w:rsid w:val="00285722"/>
    <w:rsid w:val="002858FB"/>
    <w:rsid w:val="0028680F"/>
    <w:rsid w:val="0028716A"/>
    <w:rsid w:val="00290449"/>
    <w:rsid w:val="00292095"/>
    <w:rsid w:val="002923C4"/>
    <w:rsid w:val="00292968"/>
    <w:rsid w:val="00293166"/>
    <w:rsid w:val="002938FD"/>
    <w:rsid w:val="00296198"/>
    <w:rsid w:val="00296676"/>
    <w:rsid w:val="00297313"/>
    <w:rsid w:val="002A05AA"/>
    <w:rsid w:val="002A0664"/>
    <w:rsid w:val="002A0A3B"/>
    <w:rsid w:val="002A0CC1"/>
    <w:rsid w:val="002A1C2F"/>
    <w:rsid w:val="002A26F3"/>
    <w:rsid w:val="002A28C3"/>
    <w:rsid w:val="002A307D"/>
    <w:rsid w:val="002A35FC"/>
    <w:rsid w:val="002A3DAB"/>
    <w:rsid w:val="002A7746"/>
    <w:rsid w:val="002A7984"/>
    <w:rsid w:val="002B0464"/>
    <w:rsid w:val="002B066B"/>
    <w:rsid w:val="002B0702"/>
    <w:rsid w:val="002B09ED"/>
    <w:rsid w:val="002B0DBD"/>
    <w:rsid w:val="002B305C"/>
    <w:rsid w:val="002B4A7E"/>
    <w:rsid w:val="002B6E37"/>
    <w:rsid w:val="002B750D"/>
    <w:rsid w:val="002C053D"/>
    <w:rsid w:val="002C0AC9"/>
    <w:rsid w:val="002C15F7"/>
    <w:rsid w:val="002C1615"/>
    <w:rsid w:val="002C16A2"/>
    <w:rsid w:val="002C194E"/>
    <w:rsid w:val="002C1C7A"/>
    <w:rsid w:val="002C1F59"/>
    <w:rsid w:val="002C2E14"/>
    <w:rsid w:val="002C39D8"/>
    <w:rsid w:val="002C3CB4"/>
    <w:rsid w:val="002C45EF"/>
    <w:rsid w:val="002C5A3C"/>
    <w:rsid w:val="002C5CCC"/>
    <w:rsid w:val="002C6DEC"/>
    <w:rsid w:val="002C7694"/>
    <w:rsid w:val="002D13B5"/>
    <w:rsid w:val="002D2AB8"/>
    <w:rsid w:val="002D2D29"/>
    <w:rsid w:val="002D2F07"/>
    <w:rsid w:val="002D537B"/>
    <w:rsid w:val="002D559C"/>
    <w:rsid w:val="002D6B2D"/>
    <w:rsid w:val="002D7604"/>
    <w:rsid w:val="002E011B"/>
    <w:rsid w:val="002E0717"/>
    <w:rsid w:val="002E126A"/>
    <w:rsid w:val="002E45B5"/>
    <w:rsid w:val="002E5156"/>
    <w:rsid w:val="002E5B90"/>
    <w:rsid w:val="002E6C62"/>
    <w:rsid w:val="002E6FF7"/>
    <w:rsid w:val="002E7806"/>
    <w:rsid w:val="002E7C9C"/>
    <w:rsid w:val="002F1368"/>
    <w:rsid w:val="002F175C"/>
    <w:rsid w:val="002F1DE5"/>
    <w:rsid w:val="002F2411"/>
    <w:rsid w:val="002F259B"/>
    <w:rsid w:val="002F34F0"/>
    <w:rsid w:val="002F3AA0"/>
    <w:rsid w:val="002F3BD8"/>
    <w:rsid w:val="002F40B9"/>
    <w:rsid w:val="002F41BC"/>
    <w:rsid w:val="002F5DD4"/>
    <w:rsid w:val="002F6279"/>
    <w:rsid w:val="002F6D8B"/>
    <w:rsid w:val="0030061A"/>
    <w:rsid w:val="0030075B"/>
    <w:rsid w:val="003012DC"/>
    <w:rsid w:val="00301552"/>
    <w:rsid w:val="00301B08"/>
    <w:rsid w:val="003025F6"/>
    <w:rsid w:val="00302F6E"/>
    <w:rsid w:val="00303724"/>
    <w:rsid w:val="0030396B"/>
    <w:rsid w:val="00303CB9"/>
    <w:rsid w:val="00304D3A"/>
    <w:rsid w:val="0030559C"/>
    <w:rsid w:val="00307310"/>
    <w:rsid w:val="00307632"/>
    <w:rsid w:val="00311696"/>
    <w:rsid w:val="00312AF9"/>
    <w:rsid w:val="00313326"/>
    <w:rsid w:val="00313633"/>
    <w:rsid w:val="0031391B"/>
    <w:rsid w:val="00313BD1"/>
    <w:rsid w:val="003148FA"/>
    <w:rsid w:val="0031569D"/>
    <w:rsid w:val="0031659B"/>
    <w:rsid w:val="003169A1"/>
    <w:rsid w:val="00316AA2"/>
    <w:rsid w:val="003170AC"/>
    <w:rsid w:val="003174EC"/>
    <w:rsid w:val="00320872"/>
    <w:rsid w:val="003229D8"/>
    <w:rsid w:val="0032345E"/>
    <w:rsid w:val="00324F6A"/>
    <w:rsid w:val="0032569F"/>
    <w:rsid w:val="00325970"/>
    <w:rsid w:val="00326672"/>
    <w:rsid w:val="0032709E"/>
    <w:rsid w:val="003273D7"/>
    <w:rsid w:val="0032796A"/>
    <w:rsid w:val="00327C37"/>
    <w:rsid w:val="00330343"/>
    <w:rsid w:val="003305AB"/>
    <w:rsid w:val="003308AA"/>
    <w:rsid w:val="00331467"/>
    <w:rsid w:val="0033223D"/>
    <w:rsid w:val="0033239F"/>
    <w:rsid w:val="00332AB3"/>
    <w:rsid w:val="00332BF9"/>
    <w:rsid w:val="003349FD"/>
    <w:rsid w:val="0033543C"/>
    <w:rsid w:val="00336B1B"/>
    <w:rsid w:val="0033720B"/>
    <w:rsid w:val="0034059D"/>
    <w:rsid w:val="00341156"/>
    <w:rsid w:val="003428EC"/>
    <w:rsid w:val="00342908"/>
    <w:rsid w:val="0034318B"/>
    <w:rsid w:val="00343A37"/>
    <w:rsid w:val="00345440"/>
    <w:rsid w:val="003457C3"/>
    <w:rsid w:val="00346602"/>
    <w:rsid w:val="0034697F"/>
    <w:rsid w:val="00346AC5"/>
    <w:rsid w:val="003503EB"/>
    <w:rsid w:val="003504C2"/>
    <w:rsid w:val="00350593"/>
    <w:rsid w:val="00350E01"/>
    <w:rsid w:val="00351286"/>
    <w:rsid w:val="00351BDC"/>
    <w:rsid w:val="00352155"/>
    <w:rsid w:val="00352709"/>
    <w:rsid w:val="00354146"/>
    <w:rsid w:val="00354D21"/>
    <w:rsid w:val="00355305"/>
    <w:rsid w:val="003559CC"/>
    <w:rsid w:val="00355E7B"/>
    <w:rsid w:val="00360C34"/>
    <w:rsid w:val="00360CEB"/>
    <w:rsid w:val="0036162E"/>
    <w:rsid w:val="00361B5E"/>
    <w:rsid w:val="0036427B"/>
    <w:rsid w:val="0036551E"/>
    <w:rsid w:val="00365DF6"/>
    <w:rsid w:val="00367044"/>
    <w:rsid w:val="00371178"/>
    <w:rsid w:val="00371342"/>
    <w:rsid w:val="003725D4"/>
    <w:rsid w:val="00372FB6"/>
    <w:rsid w:val="003737B6"/>
    <w:rsid w:val="00373923"/>
    <w:rsid w:val="00376B33"/>
    <w:rsid w:val="00377784"/>
    <w:rsid w:val="0038008E"/>
    <w:rsid w:val="00380194"/>
    <w:rsid w:val="00380645"/>
    <w:rsid w:val="00380A81"/>
    <w:rsid w:val="00380B03"/>
    <w:rsid w:val="003817AB"/>
    <w:rsid w:val="00383F1F"/>
    <w:rsid w:val="00383F2C"/>
    <w:rsid w:val="003845F9"/>
    <w:rsid w:val="003857F9"/>
    <w:rsid w:val="0038593A"/>
    <w:rsid w:val="00385B2E"/>
    <w:rsid w:val="00386D7F"/>
    <w:rsid w:val="00386E24"/>
    <w:rsid w:val="00386FAB"/>
    <w:rsid w:val="003871E3"/>
    <w:rsid w:val="00387B3F"/>
    <w:rsid w:val="00391543"/>
    <w:rsid w:val="00391AD3"/>
    <w:rsid w:val="0039273D"/>
    <w:rsid w:val="0039417E"/>
    <w:rsid w:val="00394208"/>
    <w:rsid w:val="00394417"/>
    <w:rsid w:val="00394D2B"/>
    <w:rsid w:val="00395728"/>
    <w:rsid w:val="00395ED8"/>
    <w:rsid w:val="00397901"/>
    <w:rsid w:val="003979C4"/>
    <w:rsid w:val="003A1A2B"/>
    <w:rsid w:val="003A29A9"/>
    <w:rsid w:val="003A37E3"/>
    <w:rsid w:val="003A4810"/>
    <w:rsid w:val="003A580E"/>
    <w:rsid w:val="003A5C0B"/>
    <w:rsid w:val="003A6810"/>
    <w:rsid w:val="003A6C54"/>
    <w:rsid w:val="003B0D12"/>
    <w:rsid w:val="003B1364"/>
    <w:rsid w:val="003B1BA8"/>
    <w:rsid w:val="003B1E17"/>
    <w:rsid w:val="003B2060"/>
    <w:rsid w:val="003B2334"/>
    <w:rsid w:val="003B282A"/>
    <w:rsid w:val="003B2CEF"/>
    <w:rsid w:val="003B36CE"/>
    <w:rsid w:val="003B40C2"/>
    <w:rsid w:val="003B470F"/>
    <w:rsid w:val="003B4E47"/>
    <w:rsid w:val="003B7FFC"/>
    <w:rsid w:val="003C02A2"/>
    <w:rsid w:val="003C0747"/>
    <w:rsid w:val="003C281C"/>
    <w:rsid w:val="003C2CC4"/>
    <w:rsid w:val="003C4663"/>
    <w:rsid w:val="003C60A3"/>
    <w:rsid w:val="003C737E"/>
    <w:rsid w:val="003D0DC7"/>
    <w:rsid w:val="003D0EAB"/>
    <w:rsid w:val="003D1129"/>
    <w:rsid w:val="003D2C86"/>
    <w:rsid w:val="003D2D13"/>
    <w:rsid w:val="003D2FA1"/>
    <w:rsid w:val="003D3451"/>
    <w:rsid w:val="003D4043"/>
    <w:rsid w:val="003D46EC"/>
    <w:rsid w:val="003D4B23"/>
    <w:rsid w:val="003D5B17"/>
    <w:rsid w:val="003D6664"/>
    <w:rsid w:val="003D6D66"/>
    <w:rsid w:val="003D6FBA"/>
    <w:rsid w:val="003E1E58"/>
    <w:rsid w:val="003E245D"/>
    <w:rsid w:val="003E37A0"/>
    <w:rsid w:val="003E38D2"/>
    <w:rsid w:val="003E3FD3"/>
    <w:rsid w:val="003E42B1"/>
    <w:rsid w:val="003E4973"/>
    <w:rsid w:val="003E4B3A"/>
    <w:rsid w:val="003E5042"/>
    <w:rsid w:val="003E5355"/>
    <w:rsid w:val="003E59E1"/>
    <w:rsid w:val="003E5FE2"/>
    <w:rsid w:val="003E653C"/>
    <w:rsid w:val="003E6AAB"/>
    <w:rsid w:val="003E70E1"/>
    <w:rsid w:val="003E7A90"/>
    <w:rsid w:val="003E7BBD"/>
    <w:rsid w:val="003E7D27"/>
    <w:rsid w:val="003F0D97"/>
    <w:rsid w:val="003F1F21"/>
    <w:rsid w:val="003F290C"/>
    <w:rsid w:val="003F2D3D"/>
    <w:rsid w:val="003F43B1"/>
    <w:rsid w:val="003F45F1"/>
    <w:rsid w:val="003F4BC2"/>
    <w:rsid w:val="003F590C"/>
    <w:rsid w:val="003F6833"/>
    <w:rsid w:val="003F75C2"/>
    <w:rsid w:val="00400977"/>
    <w:rsid w:val="004025B3"/>
    <w:rsid w:val="00403226"/>
    <w:rsid w:val="0040525C"/>
    <w:rsid w:val="004055FF"/>
    <w:rsid w:val="00405DDC"/>
    <w:rsid w:val="0040780A"/>
    <w:rsid w:val="00410C89"/>
    <w:rsid w:val="0041125F"/>
    <w:rsid w:val="00411DEA"/>
    <w:rsid w:val="004121A2"/>
    <w:rsid w:val="00413B41"/>
    <w:rsid w:val="00414427"/>
    <w:rsid w:val="004150D2"/>
    <w:rsid w:val="004158C5"/>
    <w:rsid w:val="004160B7"/>
    <w:rsid w:val="00416575"/>
    <w:rsid w:val="004168D1"/>
    <w:rsid w:val="00416E7E"/>
    <w:rsid w:val="00417B52"/>
    <w:rsid w:val="004203B8"/>
    <w:rsid w:val="00420F19"/>
    <w:rsid w:val="00421BCB"/>
    <w:rsid w:val="00424C27"/>
    <w:rsid w:val="00425336"/>
    <w:rsid w:val="00426223"/>
    <w:rsid w:val="004266CB"/>
    <w:rsid w:val="00427378"/>
    <w:rsid w:val="0043039E"/>
    <w:rsid w:val="00430748"/>
    <w:rsid w:val="00430F86"/>
    <w:rsid w:val="00431BF7"/>
    <w:rsid w:val="004325CB"/>
    <w:rsid w:val="0043290D"/>
    <w:rsid w:val="004330BC"/>
    <w:rsid w:val="00436F75"/>
    <w:rsid w:val="00437E65"/>
    <w:rsid w:val="00440010"/>
    <w:rsid w:val="004403E5"/>
    <w:rsid w:val="00440516"/>
    <w:rsid w:val="004414D2"/>
    <w:rsid w:val="00442100"/>
    <w:rsid w:val="00443BAF"/>
    <w:rsid w:val="004441A0"/>
    <w:rsid w:val="00447D18"/>
    <w:rsid w:val="004509A6"/>
    <w:rsid w:val="00450BA6"/>
    <w:rsid w:val="00450E63"/>
    <w:rsid w:val="004510EC"/>
    <w:rsid w:val="00451112"/>
    <w:rsid w:val="004518F5"/>
    <w:rsid w:val="00452786"/>
    <w:rsid w:val="00453392"/>
    <w:rsid w:val="0045350C"/>
    <w:rsid w:val="004538B7"/>
    <w:rsid w:val="0045495B"/>
    <w:rsid w:val="00455855"/>
    <w:rsid w:val="004566E4"/>
    <w:rsid w:val="00457787"/>
    <w:rsid w:val="00457807"/>
    <w:rsid w:val="00457DFF"/>
    <w:rsid w:val="00461142"/>
    <w:rsid w:val="00462306"/>
    <w:rsid w:val="004624F6"/>
    <w:rsid w:val="004627CA"/>
    <w:rsid w:val="004629BD"/>
    <w:rsid w:val="00462B34"/>
    <w:rsid w:val="004631E0"/>
    <w:rsid w:val="0046392E"/>
    <w:rsid w:val="00463E0C"/>
    <w:rsid w:val="00464302"/>
    <w:rsid w:val="004660E3"/>
    <w:rsid w:val="00466305"/>
    <w:rsid w:val="0047010A"/>
    <w:rsid w:val="0047090F"/>
    <w:rsid w:val="00471FE6"/>
    <w:rsid w:val="00474B26"/>
    <w:rsid w:val="00475086"/>
    <w:rsid w:val="00475236"/>
    <w:rsid w:val="00476ADC"/>
    <w:rsid w:val="00477761"/>
    <w:rsid w:val="004777B6"/>
    <w:rsid w:val="004777BD"/>
    <w:rsid w:val="00477FBB"/>
    <w:rsid w:val="004804F2"/>
    <w:rsid w:val="0048132D"/>
    <w:rsid w:val="004817DC"/>
    <w:rsid w:val="00482205"/>
    <w:rsid w:val="00483668"/>
    <w:rsid w:val="0048385E"/>
    <w:rsid w:val="00483986"/>
    <w:rsid w:val="00484DE3"/>
    <w:rsid w:val="00485B3E"/>
    <w:rsid w:val="00486227"/>
    <w:rsid w:val="00486258"/>
    <w:rsid w:val="00486A09"/>
    <w:rsid w:val="00487CD5"/>
    <w:rsid w:val="00487EA9"/>
    <w:rsid w:val="00491C5A"/>
    <w:rsid w:val="00491DDE"/>
    <w:rsid w:val="004929A9"/>
    <w:rsid w:val="00492DC2"/>
    <w:rsid w:val="00494398"/>
    <w:rsid w:val="00494A21"/>
    <w:rsid w:val="00495BFD"/>
    <w:rsid w:val="00496CB9"/>
    <w:rsid w:val="004A0178"/>
    <w:rsid w:val="004A2535"/>
    <w:rsid w:val="004A3B1C"/>
    <w:rsid w:val="004A3C43"/>
    <w:rsid w:val="004A4005"/>
    <w:rsid w:val="004A5B9F"/>
    <w:rsid w:val="004A5D31"/>
    <w:rsid w:val="004A60C8"/>
    <w:rsid w:val="004A685A"/>
    <w:rsid w:val="004A702E"/>
    <w:rsid w:val="004A7067"/>
    <w:rsid w:val="004A7B93"/>
    <w:rsid w:val="004B0563"/>
    <w:rsid w:val="004B0C93"/>
    <w:rsid w:val="004B1C91"/>
    <w:rsid w:val="004B4F7B"/>
    <w:rsid w:val="004B6CCA"/>
    <w:rsid w:val="004B7D10"/>
    <w:rsid w:val="004B7E1F"/>
    <w:rsid w:val="004C0FC1"/>
    <w:rsid w:val="004C1193"/>
    <w:rsid w:val="004C159E"/>
    <w:rsid w:val="004C2467"/>
    <w:rsid w:val="004C38CE"/>
    <w:rsid w:val="004C45AF"/>
    <w:rsid w:val="004C5F8F"/>
    <w:rsid w:val="004C5FD1"/>
    <w:rsid w:val="004C60A0"/>
    <w:rsid w:val="004C6C78"/>
    <w:rsid w:val="004D0A19"/>
    <w:rsid w:val="004D0F4E"/>
    <w:rsid w:val="004D25E4"/>
    <w:rsid w:val="004D274F"/>
    <w:rsid w:val="004D31A7"/>
    <w:rsid w:val="004D38E5"/>
    <w:rsid w:val="004D4BB9"/>
    <w:rsid w:val="004D4D8F"/>
    <w:rsid w:val="004D5A4C"/>
    <w:rsid w:val="004D6BF1"/>
    <w:rsid w:val="004D779A"/>
    <w:rsid w:val="004E00B0"/>
    <w:rsid w:val="004E0DFE"/>
    <w:rsid w:val="004E11FD"/>
    <w:rsid w:val="004E17B6"/>
    <w:rsid w:val="004E1897"/>
    <w:rsid w:val="004E2927"/>
    <w:rsid w:val="004E2B3B"/>
    <w:rsid w:val="004E3887"/>
    <w:rsid w:val="004E388B"/>
    <w:rsid w:val="004E3E1D"/>
    <w:rsid w:val="004E4C68"/>
    <w:rsid w:val="004E698A"/>
    <w:rsid w:val="004E7329"/>
    <w:rsid w:val="004F023D"/>
    <w:rsid w:val="004F0586"/>
    <w:rsid w:val="004F3141"/>
    <w:rsid w:val="004F330E"/>
    <w:rsid w:val="004F3674"/>
    <w:rsid w:val="004F3699"/>
    <w:rsid w:val="004F38A8"/>
    <w:rsid w:val="004F4767"/>
    <w:rsid w:val="004F48B5"/>
    <w:rsid w:val="004F5375"/>
    <w:rsid w:val="004F6070"/>
    <w:rsid w:val="004F70D4"/>
    <w:rsid w:val="004F723B"/>
    <w:rsid w:val="004F7C4F"/>
    <w:rsid w:val="004F7DB5"/>
    <w:rsid w:val="0050032A"/>
    <w:rsid w:val="0050039F"/>
    <w:rsid w:val="0050056B"/>
    <w:rsid w:val="00501CDB"/>
    <w:rsid w:val="00502318"/>
    <w:rsid w:val="00502458"/>
    <w:rsid w:val="005029EF"/>
    <w:rsid w:val="00503E88"/>
    <w:rsid w:val="00504164"/>
    <w:rsid w:val="0050474F"/>
    <w:rsid w:val="005049E7"/>
    <w:rsid w:val="00504E56"/>
    <w:rsid w:val="005068D0"/>
    <w:rsid w:val="005068F4"/>
    <w:rsid w:val="005075E4"/>
    <w:rsid w:val="00507639"/>
    <w:rsid w:val="00507877"/>
    <w:rsid w:val="00507A82"/>
    <w:rsid w:val="00507E12"/>
    <w:rsid w:val="00507EB4"/>
    <w:rsid w:val="005102B6"/>
    <w:rsid w:val="00510F83"/>
    <w:rsid w:val="00511C2F"/>
    <w:rsid w:val="005145E5"/>
    <w:rsid w:val="00515928"/>
    <w:rsid w:val="00515DB2"/>
    <w:rsid w:val="00516389"/>
    <w:rsid w:val="00516658"/>
    <w:rsid w:val="005167F7"/>
    <w:rsid w:val="00517B36"/>
    <w:rsid w:val="005205DA"/>
    <w:rsid w:val="00521DBB"/>
    <w:rsid w:val="00523650"/>
    <w:rsid w:val="00524F7B"/>
    <w:rsid w:val="00525421"/>
    <w:rsid w:val="005259F8"/>
    <w:rsid w:val="00525F4C"/>
    <w:rsid w:val="0052658A"/>
    <w:rsid w:val="005268B1"/>
    <w:rsid w:val="00526EEE"/>
    <w:rsid w:val="00527360"/>
    <w:rsid w:val="005279E8"/>
    <w:rsid w:val="0053199A"/>
    <w:rsid w:val="00531CCE"/>
    <w:rsid w:val="00533028"/>
    <w:rsid w:val="00533ED4"/>
    <w:rsid w:val="00534209"/>
    <w:rsid w:val="005347E7"/>
    <w:rsid w:val="00535B6A"/>
    <w:rsid w:val="00535C3F"/>
    <w:rsid w:val="00535D4C"/>
    <w:rsid w:val="00536CC7"/>
    <w:rsid w:val="00537AE8"/>
    <w:rsid w:val="00537FC9"/>
    <w:rsid w:val="005420F2"/>
    <w:rsid w:val="005425CF"/>
    <w:rsid w:val="00544041"/>
    <w:rsid w:val="00544212"/>
    <w:rsid w:val="005445CB"/>
    <w:rsid w:val="0054574A"/>
    <w:rsid w:val="00545BF7"/>
    <w:rsid w:val="00545E44"/>
    <w:rsid w:val="00546230"/>
    <w:rsid w:val="005466F9"/>
    <w:rsid w:val="00547AFD"/>
    <w:rsid w:val="00550922"/>
    <w:rsid w:val="0055362E"/>
    <w:rsid w:val="005536C6"/>
    <w:rsid w:val="00553AEB"/>
    <w:rsid w:val="00553B80"/>
    <w:rsid w:val="0055468A"/>
    <w:rsid w:val="00554757"/>
    <w:rsid w:val="00554C78"/>
    <w:rsid w:val="00556045"/>
    <w:rsid w:val="00557148"/>
    <w:rsid w:val="005613EF"/>
    <w:rsid w:val="00561A5C"/>
    <w:rsid w:val="005621AD"/>
    <w:rsid w:val="005637D8"/>
    <w:rsid w:val="00563B82"/>
    <w:rsid w:val="00564A61"/>
    <w:rsid w:val="00565A0F"/>
    <w:rsid w:val="00565D0F"/>
    <w:rsid w:val="00565D11"/>
    <w:rsid w:val="005662AB"/>
    <w:rsid w:val="005676B2"/>
    <w:rsid w:val="005702C9"/>
    <w:rsid w:val="005734BD"/>
    <w:rsid w:val="0057362B"/>
    <w:rsid w:val="00573C06"/>
    <w:rsid w:val="005743B3"/>
    <w:rsid w:val="00574EA7"/>
    <w:rsid w:val="005760E0"/>
    <w:rsid w:val="00576179"/>
    <w:rsid w:val="005773E2"/>
    <w:rsid w:val="0057778D"/>
    <w:rsid w:val="00577F11"/>
    <w:rsid w:val="005841A1"/>
    <w:rsid w:val="005841F4"/>
    <w:rsid w:val="00584BBD"/>
    <w:rsid w:val="00584E93"/>
    <w:rsid w:val="00585B32"/>
    <w:rsid w:val="00586B93"/>
    <w:rsid w:val="00587FF0"/>
    <w:rsid w:val="005905D1"/>
    <w:rsid w:val="005909B6"/>
    <w:rsid w:val="00590E71"/>
    <w:rsid w:val="005924B3"/>
    <w:rsid w:val="00592977"/>
    <w:rsid w:val="005936AB"/>
    <w:rsid w:val="00593FDB"/>
    <w:rsid w:val="005965CC"/>
    <w:rsid w:val="00596A6A"/>
    <w:rsid w:val="005973D8"/>
    <w:rsid w:val="0059794C"/>
    <w:rsid w:val="00597C55"/>
    <w:rsid w:val="005A02FA"/>
    <w:rsid w:val="005A0A2C"/>
    <w:rsid w:val="005A168D"/>
    <w:rsid w:val="005A1DE9"/>
    <w:rsid w:val="005A3964"/>
    <w:rsid w:val="005A3B5A"/>
    <w:rsid w:val="005A3D35"/>
    <w:rsid w:val="005A4210"/>
    <w:rsid w:val="005A5050"/>
    <w:rsid w:val="005A51B5"/>
    <w:rsid w:val="005A5648"/>
    <w:rsid w:val="005A5813"/>
    <w:rsid w:val="005A6536"/>
    <w:rsid w:val="005A7461"/>
    <w:rsid w:val="005B015F"/>
    <w:rsid w:val="005B0E09"/>
    <w:rsid w:val="005B2CC0"/>
    <w:rsid w:val="005B305F"/>
    <w:rsid w:val="005B3235"/>
    <w:rsid w:val="005B3DB3"/>
    <w:rsid w:val="005B3FFB"/>
    <w:rsid w:val="005B5A2E"/>
    <w:rsid w:val="005B6EB3"/>
    <w:rsid w:val="005B6FCF"/>
    <w:rsid w:val="005B6FE7"/>
    <w:rsid w:val="005B7288"/>
    <w:rsid w:val="005B7619"/>
    <w:rsid w:val="005B7C19"/>
    <w:rsid w:val="005B7E4C"/>
    <w:rsid w:val="005C0531"/>
    <w:rsid w:val="005C0A98"/>
    <w:rsid w:val="005C0FC7"/>
    <w:rsid w:val="005C1005"/>
    <w:rsid w:val="005C1198"/>
    <w:rsid w:val="005C200C"/>
    <w:rsid w:val="005C2351"/>
    <w:rsid w:val="005C2576"/>
    <w:rsid w:val="005C302A"/>
    <w:rsid w:val="005C30A2"/>
    <w:rsid w:val="005C3EBB"/>
    <w:rsid w:val="005C4039"/>
    <w:rsid w:val="005C416E"/>
    <w:rsid w:val="005C48F6"/>
    <w:rsid w:val="005C4D99"/>
    <w:rsid w:val="005C4EBB"/>
    <w:rsid w:val="005C54A5"/>
    <w:rsid w:val="005C55D3"/>
    <w:rsid w:val="005C56F1"/>
    <w:rsid w:val="005C6851"/>
    <w:rsid w:val="005C6A79"/>
    <w:rsid w:val="005C7148"/>
    <w:rsid w:val="005C7149"/>
    <w:rsid w:val="005C7396"/>
    <w:rsid w:val="005D0C4E"/>
    <w:rsid w:val="005D14C2"/>
    <w:rsid w:val="005D1D67"/>
    <w:rsid w:val="005D2947"/>
    <w:rsid w:val="005D318A"/>
    <w:rsid w:val="005D3D6C"/>
    <w:rsid w:val="005D4778"/>
    <w:rsid w:val="005D5CE0"/>
    <w:rsid w:val="005D618D"/>
    <w:rsid w:val="005D68B6"/>
    <w:rsid w:val="005D6B66"/>
    <w:rsid w:val="005E1736"/>
    <w:rsid w:val="005E1A53"/>
    <w:rsid w:val="005E3047"/>
    <w:rsid w:val="005E391E"/>
    <w:rsid w:val="005E4AA7"/>
    <w:rsid w:val="005E54A2"/>
    <w:rsid w:val="005E59E6"/>
    <w:rsid w:val="005E6BC3"/>
    <w:rsid w:val="005E77F7"/>
    <w:rsid w:val="005E7D3C"/>
    <w:rsid w:val="005F172D"/>
    <w:rsid w:val="005F39E8"/>
    <w:rsid w:val="005F3E92"/>
    <w:rsid w:val="005F4246"/>
    <w:rsid w:val="005F4CE6"/>
    <w:rsid w:val="005F5787"/>
    <w:rsid w:val="005F57F6"/>
    <w:rsid w:val="005F5B23"/>
    <w:rsid w:val="005F5D42"/>
    <w:rsid w:val="005F5E95"/>
    <w:rsid w:val="005F70CA"/>
    <w:rsid w:val="005F72F2"/>
    <w:rsid w:val="005F78BA"/>
    <w:rsid w:val="005F7916"/>
    <w:rsid w:val="005F7B0C"/>
    <w:rsid w:val="005F7E64"/>
    <w:rsid w:val="006001EE"/>
    <w:rsid w:val="0060082A"/>
    <w:rsid w:val="00602199"/>
    <w:rsid w:val="00602F87"/>
    <w:rsid w:val="006032C4"/>
    <w:rsid w:val="006035A7"/>
    <w:rsid w:val="00603AC2"/>
    <w:rsid w:val="006051D2"/>
    <w:rsid w:val="0060585C"/>
    <w:rsid w:val="006058B0"/>
    <w:rsid w:val="00605E41"/>
    <w:rsid w:val="006072C7"/>
    <w:rsid w:val="00607C70"/>
    <w:rsid w:val="00610704"/>
    <w:rsid w:val="00611FC4"/>
    <w:rsid w:val="00612830"/>
    <w:rsid w:val="00612A2A"/>
    <w:rsid w:val="006134D8"/>
    <w:rsid w:val="00614197"/>
    <w:rsid w:val="006143AA"/>
    <w:rsid w:val="00616461"/>
    <w:rsid w:val="006169D1"/>
    <w:rsid w:val="00616F47"/>
    <w:rsid w:val="006173D4"/>
    <w:rsid w:val="006176FB"/>
    <w:rsid w:val="006205B1"/>
    <w:rsid w:val="00621AFF"/>
    <w:rsid w:val="00621CEF"/>
    <w:rsid w:val="006227A9"/>
    <w:rsid w:val="006239E6"/>
    <w:rsid w:val="00624BA7"/>
    <w:rsid w:val="00624C34"/>
    <w:rsid w:val="006254DD"/>
    <w:rsid w:val="00626711"/>
    <w:rsid w:val="00626B3B"/>
    <w:rsid w:val="00627650"/>
    <w:rsid w:val="0062777C"/>
    <w:rsid w:val="006279D0"/>
    <w:rsid w:val="00627B35"/>
    <w:rsid w:val="00630BBE"/>
    <w:rsid w:val="0063103F"/>
    <w:rsid w:val="00631FBD"/>
    <w:rsid w:val="00632364"/>
    <w:rsid w:val="006326F1"/>
    <w:rsid w:val="00633F67"/>
    <w:rsid w:val="006344E5"/>
    <w:rsid w:val="00635B94"/>
    <w:rsid w:val="006366FA"/>
    <w:rsid w:val="00636799"/>
    <w:rsid w:val="00636BA0"/>
    <w:rsid w:val="006379E0"/>
    <w:rsid w:val="00637BA7"/>
    <w:rsid w:val="00640279"/>
    <w:rsid w:val="00640550"/>
    <w:rsid w:val="00640B26"/>
    <w:rsid w:val="006410C8"/>
    <w:rsid w:val="006425C4"/>
    <w:rsid w:val="00642B8D"/>
    <w:rsid w:val="006441DD"/>
    <w:rsid w:val="00644622"/>
    <w:rsid w:val="006452AE"/>
    <w:rsid w:val="00645963"/>
    <w:rsid w:val="00645BF9"/>
    <w:rsid w:val="006463A2"/>
    <w:rsid w:val="00646853"/>
    <w:rsid w:val="0065083E"/>
    <w:rsid w:val="00651508"/>
    <w:rsid w:val="00651513"/>
    <w:rsid w:val="00652F91"/>
    <w:rsid w:val="00653070"/>
    <w:rsid w:val="006539FB"/>
    <w:rsid w:val="00653AA3"/>
    <w:rsid w:val="00655D25"/>
    <w:rsid w:val="0065620A"/>
    <w:rsid w:val="00656255"/>
    <w:rsid w:val="00656A89"/>
    <w:rsid w:val="00656E53"/>
    <w:rsid w:val="006570FD"/>
    <w:rsid w:val="00660366"/>
    <w:rsid w:val="00660A1B"/>
    <w:rsid w:val="006630EB"/>
    <w:rsid w:val="006647F7"/>
    <w:rsid w:val="00664E48"/>
    <w:rsid w:val="006650D9"/>
    <w:rsid w:val="00665654"/>
    <w:rsid w:val="0066714A"/>
    <w:rsid w:val="00667699"/>
    <w:rsid w:val="00667B9B"/>
    <w:rsid w:val="00670DF5"/>
    <w:rsid w:val="00671047"/>
    <w:rsid w:val="00671A25"/>
    <w:rsid w:val="0067241F"/>
    <w:rsid w:val="00673330"/>
    <w:rsid w:val="00673485"/>
    <w:rsid w:val="00674194"/>
    <w:rsid w:val="00674371"/>
    <w:rsid w:val="00675330"/>
    <w:rsid w:val="006766D7"/>
    <w:rsid w:val="00677007"/>
    <w:rsid w:val="0067751A"/>
    <w:rsid w:val="00677BBB"/>
    <w:rsid w:val="00677F50"/>
    <w:rsid w:val="00680567"/>
    <w:rsid w:val="006807CA"/>
    <w:rsid w:val="00682C2B"/>
    <w:rsid w:val="00682EA4"/>
    <w:rsid w:val="00684E21"/>
    <w:rsid w:val="006854A0"/>
    <w:rsid w:val="00685826"/>
    <w:rsid w:val="00685AF4"/>
    <w:rsid w:val="006865F2"/>
    <w:rsid w:val="00686C51"/>
    <w:rsid w:val="006878EF"/>
    <w:rsid w:val="006908A8"/>
    <w:rsid w:val="0069099A"/>
    <w:rsid w:val="00690FA5"/>
    <w:rsid w:val="00691C8A"/>
    <w:rsid w:val="006922F2"/>
    <w:rsid w:val="006937AA"/>
    <w:rsid w:val="00693CB2"/>
    <w:rsid w:val="00693D33"/>
    <w:rsid w:val="006949BD"/>
    <w:rsid w:val="00696444"/>
    <w:rsid w:val="00696548"/>
    <w:rsid w:val="0069783E"/>
    <w:rsid w:val="00697A37"/>
    <w:rsid w:val="006A196D"/>
    <w:rsid w:val="006A1ABC"/>
    <w:rsid w:val="006A1BCD"/>
    <w:rsid w:val="006A2122"/>
    <w:rsid w:val="006A243A"/>
    <w:rsid w:val="006A4E53"/>
    <w:rsid w:val="006A5065"/>
    <w:rsid w:val="006A7154"/>
    <w:rsid w:val="006A7273"/>
    <w:rsid w:val="006A7FC2"/>
    <w:rsid w:val="006B049D"/>
    <w:rsid w:val="006B0645"/>
    <w:rsid w:val="006B27A3"/>
    <w:rsid w:val="006B4B92"/>
    <w:rsid w:val="006B5044"/>
    <w:rsid w:val="006B5090"/>
    <w:rsid w:val="006B5632"/>
    <w:rsid w:val="006C0626"/>
    <w:rsid w:val="006C08A4"/>
    <w:rsid w:val="006C0A46"/>
    <w:rsid w:val="006C2385"/>
    <w:rsid w:val="006C3B39"/>
    <w:rsid w:val="006C3C45"/>
    <w:rsid w:val="006C4A01"/>
    <w:rsid w:val="006C4B15"/>
    <w:rsid w:val="006C511F"/>
    <w:rsid w:val="006C5702"/>
    <w:rsid w:val="006C5E12"/>
    <w:rsid w:val="006C6367"/>
    <w:rsid w:val="006C7A13"/>
    <w:rsid w:val="006C7DDA"/>
    <w:rsid w:val="006D03F9"/>
    <w:rsid w:val="006D071D"/>
    <w:rsid w:val="006D1BE4"/>
    <w:rsid w:val="006D3DC9"/>
    <w:rsid w:val="006D52A1"/>
    <w:rsid w:val="006D5FC1"/>
    <w:rsid w:val="006D6896"/>
    <w:rsid w:val="006D6C9A"/>
    <w:rsid w:val="006D6E4F"/>
    <w:rsid w:val="006D7082"/>
    <w:rsid w:val="006D745E"/>
    <w:rsid w:val="006D7D39"/>
    <w:rsid w:val="006E0760"/>
    <w:rsid w:val="006E1126"/>
    <w:rsid w:val="006E15EC"/>
    <w:rsid w:val="006E4659"/>
    <w:rsid w:val="006E564B"/>
    <w:rsid w:val="006E5CED"/>
    <w:rsid w:val="006E6899"/>
    <w:rsid w:val="006F030F"/>
    <w:rsid w:val="006F18BE"/>
    <w:rsid w:val="006F1A56"/>
    <w:rsid w:val="006F2321"/>
    <w:rsid w:val="006F3A93"/>
    <w:rsid w:val="006F414C"/>
    <w:rsid w:val="006F4AC4"/>
    <w:rsid w:val="006F4B15"/>
    <w:rsid w:val="006F7666"/>
    <w:rsid w:val="006F77DA"/>
    <w:rsid w:val="00701138"/>
    <w:rsid w:val="00702738"/>
    <w:rsid w:val="0070313D"/>
    <w:rsid w:val="00703166"/>
    <w:rsid w:val="007039C3"/>
    <w:rsid w:val="007044B4"/>
    <w:rsid w:val="00704761"/>
    <w:rsid w:val="00706724"/>
    <w:rsid w:val="00707249"/>
    <w:rsid w:val="007102D8"/>
    <w:rsid w:val="007107D1"/>
    <w:rsid w:val="00710BA6"/>
    <w:rsid w:val="00711D05"/>
    <w:rsid w:val="00713725"/>
    <w:rsid w:val="00713A95"/>
    <w:rsid w:val="00715E56"/>
    <w:rsid w:val="00716AA2"/>
    <w:rsid w:val="00720817"/>
    <w:rsid w:val="00720AAB"/>
    <w:rsid w:val="00720AD7"/>
    <w:rsid w:val="00720DD3"/>
    <w:rsid w:val="0072178F"/>
    <w:rsid w:val="00721B5D"/>
    <w:rsid w:val="00721E9E"/>
    <w:rsid w:val="0072251A"/>
    <w:rsid w:val="007226A7"/>
    <w:rsid w:val="00722948"/>
    <w:rsid w:val="00724CAD"/>
    <w:rsid w:val="00725CEF"/>
    <w:rsid w:val="0072632A"/>
    <w:rsid w:val="00726E3A"/>
    <w:rsid w:val="0072718C"/>
    <w:rsid w:val="0072764F"/>
    <w:rsid w:val="007276FC"/>
    <w:rsid w:val="00727E19"/>
    <w:rsid w:val="00730257"/>
    <w:rsid w:val="007302E1"/>
    <w:rsid w:val="0073065B"/>
    <w:rsid w:val="00730CA8"/>
    <w:rsid w:val="00731815"/>
    <w:rsid w:val="00731C3A"/>
    <w:rsid w:val="007323B8"/>
    <w:rsid w:val="00733F31"/>
    <w:rsid w:val="007341CB"/>
    <w:rsid w:val="007348FC"/>
    <w:rsid w:val="00736334"/>
    <w:rsid w:val="00736D26"/>
    <w:rsid w:val="007377F9"/>
    <w:rsid w:val="007407DF"/>
    <w:rsid w:val="0074085F"/>
    <w:rsid w:val="007409D6"/>
    <w:rsid w:val="00740DC7"/>
    <w:rsid w:val="00741F53"/>
    <w:rsid w:val="0074272B"/>
    <w:rsid w:val="00742D2D"/>
    <w:rsid w:val="007431C2"/>
    <w:rsid w:val="007433BE"/>
    <w:rsid w:val="00743E8B"/>
    <w:rsid w:val="007442D8"/>
    <w:rsid w:val="00746EEA"/>
    <w:rsid w:val="007473C9"/>
    <w:rsid w:val="00747402"/>
    <w:rsid w:val="00747AB2"/>
    <w:rsid w:val="00747CFF"/>
    <w:rsid w:val="0075074D"/>
    <w:rsid w:val="00750C02"/>
    <w:rsid w:val="00750D82"/>
    <w:rsid w:val="00751B34"/>
    <w:rsid w:val="0075233B"/>
    <w:rsid w:val="00752662"/>
    <w:rsid w:val="0075392C"/>
    <w:rsid w:val="007541F6"/>
    <w:rsid w:val="0075499E"/>
    <w:rsid w:val="007550CE"/>
    <w:rsid w:val="0075531A"/>
    <w:rsid w:val="007555CB"/>
    <w:rsid w:val="0075571F"/>
    <w:rsid w:val="00756B88"/>
    <w:rsid w:val="00756EED"/>
    <w:rsid w:val="00757A4C"/>
    <w:rsid w:val="00757EE0"/>
    <w:rsid w:val="00757EF9"/>
    <w:rsid w:val="007606E7"/>
    <w:rsid w:val="00760781"/>
    <w:rsid w:val="00760D3B"/>
    <w:rsid w:val="00760D4B"/>
    <w:rsid w:val="00760EA2"/>
    <w:rsid w:val="0076143C"/>
    <w:rsid w:val="00763974"/>
    <w:rsid w:val="00765017"/>
    <w:rsid w:val="0076523C"/>
    <w:rsid w:val="00765604"/>
    <w:rsid w:val="00765D8E"/>
    <w:rsid w:val="00765F1B"/>
    <w:rsid w:val="0076656F"/>
    <w:rsid w:val="007666B3"/>
    <w:rsid w:val="007669F5"/>
    <w:rsid w:val="0076755C"/>
    <w:rsid w:val="00767757"/>
    <w:rsid w:val="0077041F"/>
    <w:rsid w:val="00772068"/>
    <w:rsid w:val="007726BA"/>
    <w:rsid w:val="0077284C"/>
    <w:rsid w:val="00774A00"/>
    <w:rsid w:val="007750EF"/>
    <w:rsid w:val="00776384"/>
    <w:rsid w:val="0077646A"/>
    <w:rsid w:val="00776A8D"/>
    <w:rsid w:val="007803C8"/>
    <w:rsid w:val="00781CF5"/>
    <w:rsid w:val="00781E5A"/>
    <w:rsid w:val="007835BE"/>
    <w:rsid w:val="0078369C"/>
    <w:rsid w:val="007840E3"/>
    <w:rsid w:val="00784A42"/>
    <w:rsid w:val="007855D9"/>
    <w:rsid w:val="00785CC8"/>
    <w:rsid w:val="007875F3"/>
    <w:rsid w:val="00787B01"/>
    <w:rsid w:val="00790B6A"/>
    <w:rsid w:val="007919F0"/>
    <w:rsid w:val="00791FA6"/>
    <w:rsid w:val="00791FFF"/>
    <w:rsid w:val="00793064"/>
    <w:rsid w:val="0079393D"/>
    <w:rsid w:val="00793E82"/>
    <w:rsid w:val="00794ADA"/>
    <w:rsid w:val="00795C33"/>
    <w:rsid w:val="00797B50"/>
    <w:rsid w:val="007A0516"/>
    <w:rsid w:val="007A13DC"/>
    <w:rsid w:val="007A225B"/>
    <w:rsid w:val="007A2871"/>
    <w:rsid w:val="007A2DDD"/>
    <w:rsid w:val="007A3995"/>
    <w:rsid w:val="007A530F"/>
    <w:rsid w:val="007A5909"/>
    <w:rsid w:val="007A610E"/>
    <w:rsid w:val="007A731E"/>
    <w:rsid w:val="007A7A52"/>
    <w:rsid w:val="007A7D45"/>
    <w:rsid w:val="007B06AB"/>
    <w:rsid w:val="007B0AC4"/>
    <w:rsid w:val="007B210B"/>
    <w:rsid w:val="007B29C7"/>
    <w:rsid w:val="007B33FD"/>
    <w:rsid w:val="007B45C5"/>
    <w:rsid w:val="007B5126"/>
    <w:rsid w:val="007B5CA0"/>
    <w:rsid w:val="007B6100"/>
    <w:rsid w:val="007B6661"/>
    <w:rsid w:val="007B6881"/>
    <w:rsid w:val="007B6BA5"/>
    <w:rsid w:val="007B7160"/>
    <w:rsid w:val="007B727B"/>
    <w:rsid w:val="007C1DBB"/>
    <w:rsid w:val="007C2867"/>
    <w:rsid w:val="007C29A0"/>
    <w:rsid w:val="007C2FFB"/>
    <w:rsid w:val="007C3390"/>
    <w:rsid w:val="007C4AF9"/>
    <w:rsid w:val="007C4F4B"/>
    <w:rsid w:val="007C5602"/>
    <w:rsid w:val="007C5CF8"/>
    <w:rsid w:val="007C606E"/>
    <w:rsid w:val="007C6927"/>
    <w:rsid w:val="007D352C"/>
    <w:rsid w:val="007D580D"/>
    <w:rsid w:val="007D6E17"/>
    <w:rsid w:val="007D6E19"/>
    <w:rsid w:val="007D7B64"/>
    <w:rsid w:val="007E0697"/>
    <w:rsid w:val="007E0C08"/>
    <w:rsid w:val="007E1D7F"/>
    <w:rsid w:val="007E3862"/>
    <w:rsid w:val="007E3C4B"/>
    <w:rsid w:val="007E4ABE"/>
    <w:rsid w:val="007E4D77"/>
    <w:rsid w:val="007E4ECE"/>
    <w:rsid w:val="007E5E5C"/>
    <w:rsid w:val="007E5E7E"/>
    <w:rsid w:val="007F0A0D"/>
    <w:rsid w:val="007F1236"/>
    <w:rsid w:val="007F1AC2"/>
    <w:rsid w:val="007F1F28"/>
    <w:rsid w:val="007F1FA0"/>
    <w:rsid w:val="007F2E78"/>
    <w:rsid w:val="007F3199"/>
    <w:rsid w:val="007F4622"/>
    <w:rsid w:val="007F5A01"/>
    <w:rsid w:val="007F5DD6"/>
    <w:rsid w:val="007F6611"/>
    <w:rsid w:val="007F782B"/>
    <w:rsid w:val="00800031"/>
    <w:rsid w:val="00801918"/>
    <w:rsid w:val="008025A4"/>
    <w:rsid w:val="00802E3C"/>
    <w:rsid w:val="00803853"/>
    <w:rsid w:val="008051AD"/>
    <w:rsid w:val="00805485"/>
    <w:rsid w:val="00805519"/>
    <w:rsid w:val="0080582E"/>
    <w:rsid w:val="00805AAD"/>
    <w:rsid w:val="00805F1B"/>
    <w:rsid w:val="00806081"/>
    <w:rsid w:val="00810406"/>
    <w:rsid w:val="00810C8D"/>
    <w:rsid w:val="0081113F"/>
    <w:rsid w:val="008112A1"/>
    <w:rsid w:val="008119BA"/>
    <w:rsid w:val="00811E99"/>
    <w:rsid w:val="0081259C"/>
    <w:rsid w:val="00812774"/>
    <w:rsid w:val="0081294A"/>
    <w:rsid w:val="00812CE5"/>
    <w:rsid w:val="00815625"/>
    <w:rsid w:val="00816119"/>
    <w:rsid w:val="00816E85"/>
    <w:rsid w:val="00817885"/>
    <w:rsid w:val="00817FB4"/>
    <w:rsid w:val="00820C72"/>
    <w:rsid w:val="00822473"/>
    <w:rsid w:val="00822511"/>
    <w:rsid w:val="00823125"/>
    <w:rsid w:val="008237B5"/>
    <w:rsid w:val="008242D7"/>
    <w:rsid w:val="00824A69"/>
    <w:rsid w:val="00825121"/>
    <w:rsid w:val="00826943"/>
    <w:rsid w:val="00827211"/>
    <w:rsid w:val="0082739E"/>
    <w:rsid w:val="00827417"/>
    <w:rsid w:val="00827F20"/>
    <w:rsid w:val="008307C8"/>
    <w:rsid w:val="0083083D"/>
    <w:rsid w:val="00830940"/>
    <w:rsid w:val="00831419"/>
    <w:rsid w:val="00832D01"/>
    <w:rsid w:val="008333DA"/>
    <w:rsid w:val="00833C7C"/>
    <w:rsid w:val="00834054"/>
    <w:rsid w:val="00834849"/>
    <w:rsid w:val="0083620A"/>
    <w:rsid w:val="00841225"/>
    <w:rsid w:val="00841414"/>
    <w:rsid w:val="008416FD"/>
    <w:rsid w:val="00841802"/>
    <w:rsid w:val="00841D55"/>
    <w:rsid w:val="00842ACE"/>
    <w:rsid w:val="00842D8B"/>
    <w:rsid w:val="00842F19"/>
    <w:rsid w:val="00843F3A"/>
    <w:rsid w:val="00844855"/>
    <w:rsid w:val="00844938"/>
    <w:rsid w:val="008453BB"/>
    <w:rsid w:val="0084613B"/>
    <w:rsid w:val="008467FD"/>
    <w:rsid w:val="0084791F"/>
    <w:rsid w:val="008503BC"/>
    <w:rsid w:val="0085099B"/>
    <w:rsid w:val="00850EAC"/>
    <w:rsid w:val="0085104D"/>
    <w:rsid w:val="008512A4"/>
    <w:rsid w:val="00852E51"/>
    <w:rsid w:val="0085323D"/>
    <w:rsid w:val="0085388C"/>
    <w:rsid w:val="00853E59"/>
    <w:rsid w:val="008560C1"/>
    <w:rsid w:val="008560F8"/>
    <w:rsid w:val="008569AA"/>
    <w:rsid w:val="00856B10"/>
    <w:rsid w:val="00857072"/>
    <w:rsid w:val="0085737D"/>
    <w:rsid w:val="008577F2"/>
    <w:rsid w:val="00860855"/>
    <w:rsid w:val="0086113E"/>
    <w:rsid w:val="008612D5"/>
    <w:rsid w:val="008616CB"/>
    <w:rsid w:val="00861CC9"/>
    <w:rsid w:val="00861FB2"/>
    <w:rsid w:val="008637B1"/>
    <w:rsid w:val="00863BEA"/>
    <w:rsid w:val="00865314"/>
    <w:rsid w:val="00866BA8"/>
    <w:rsid w:val="00867FEA"/>
    <w:rsid w:val="00870F03"/>
    <w:rsid w:val="008718E8"/>
    <w:rsid w:val="008719AE"/>
    <w:rsid w:val="008732D2"/>
    <w:rsid w:val="00873EA8"/>
    <w:rsid w:val="008746BD"/>
    <w:rsid w:val="008749A0"/>
    <w:rsid w:val="0087535A"/>
    <w:rsid w:val="00875451"/>
    <w:rsid w:val="008768E6"/>
    <w:rsid w:val="00876EC0"/>
    <w:rsid w:val="00877CC5"/>
    <w:rsid w:val="00880825"/>
    <w:rsid w:val="0088113E"/>
    <w:rsid w:val="00881756"/>
    <w:rsid w:val="008823C6"/>
    <w:rsid w:val="0088280F"/>
    <w:rsid w:val="00883DA2"/>
    <w:rsid w:val="00884A39"/>
    <w:rsid w:val="00884AA7"/>
    <w:rsid w:val="00885D7E"/>
    <w:rsid w:val="00886141"/>
    <w:rsid w:val="0088622D"/>
    <w:rsid w:val="00887F95"/>
    <w:rsid w:val="00887FE3"/>
    <w:rsid w:val="0089175E"/>
    <w:rsid w:val="00892A0C"/>
    <w:rsid w:val="0089313F"/>
    <w:rsid w:val="0089314B"/>
    <w:rsid w:val="00894629"/>
    <w:rsid w:val="00894D21"/>
    <w:rsid w:val="008953C6"/>
    <w:rsid w:val="00895CB0"/>
    <w:rsid w:val="00896129"/>
    <w:rsid w:val="008979B1"/>
    <w:rsid w:val="008A152E"/>
    <w:rsid w:val="008A197E"/>
    <w:rsid w:val="008A324B"/>
    <w:rsid w:val="008A35E8"/>
    <w:rsid w:val="008A3CA4"/>
    <w:rsid w:val="008A41F0"/>
    <w:rsid w:val="008A4B20"/>
    <w:rsid w:val="008A5482"/>
    <w:rsid w:val="008A60E2"/>
    <w:rsid w:val="008A64DA"/>
    <w:rsid w:val="008A6B25"/>
    <w:rsid w:val="008A6C4F"/>
    <w:rsid w:val="008A734F"/>
    <w:rsid w:val="008A7396"/>
    <w:rsid w:val="008B0109"/>
    <w:rsid w:val="008B0792"/>
    <w:rsid w:val="008B08C5"/>
    <w:rsid w:val="008B2335"/>
    <w:rsid w:val="008B30D7"/>
    <w:rsid w:val="008B3286"/>
    <w:rsid w:val="008B375B"/>
    <w:rsid w:val="008B385B"/>
    <w:rsid w:val="008B3949"/>
    <w:rsid w:val="008B3E20"/>
    <w:rsid w:val="008B46AE"/>
    <w:rsid w:val="008B5BE3"/>
    <w:rsid w:val="008B6DE8"/>
    <w:rsid w:val="008B7F96"/>
    <w:rsid w:val="008C1E62"/>
    <w:rsid w:val="008C24A4"/>
    <w:rsid w:val="008C266E"/>
    <w:rsid w:val="008C2B39"/>
    <w:rsid w:val="008C301D"/>
    <w:rsid w:val="008C3726"/>
    <w:rsid w:val="008C375A"/>
    <w:rsid w:val="008C46F0"/>
    <w:rsid w:val="008C51E1"/>
    <w:rsid w:val="008C611D"/>
    <w:rsid w:val="008C649A"/>
    <w:rsid w:val="008C7A4E"/>
    <w:rsid w:val="008D34AC"/>
    <w:rsid w:val="008D4AC7"/>
    <w:rsid w:val="008D757C"/>
    <w:rsid w:val="008E04A6"/>
    <w:rsid w:val="008E0E59"/>
    <w:rsid w:val="008E11A8"/>
    <w:rsid w:val="008E2EDF"/>
    <w:rsid w:val="008E3024"/>
    <w:rsid w:val="008E5C6A"/>
    <w:rsid w:val="008F047E"/>
    <w:rsid w:val="008F07FC"/>
    <w:rsid w:val="008F2872"/>
    <w:rsid w:val="008F4306"/>
    <w:rsid w:val="008F447A"/>
    <w:rsid w:val="008F4A12"/>
    <w:rsid w:val="008F542E"/>
    <w:rsid w:val="008F5AE6"/>
    <w:rsid w:val="008F5DF8"/>
    <w:rsid w:val="009003CE"/>
    <w:rsid w:val="00900CDB"/>
    <w:rsid w:val="0090154E"/>
    <w:rsid w:val="00901AE9"/>
    <w:rsid w:val="00901AF1"/>
    <w:rsid w:val="00901C27"/>
    <w:rsid w:val="009023FC"/>
    <w:rsid w:val="00902579"/>
    <w:rsid w:val="00902CE5"/>
    <w:rsid w:val="009041C0"/>
    <w:rsid w:val="00904EAE"/>
    <w:rsid w:val="0090541A"/>
    <w:rsid w:val="00907755"/>
    <w:rsid w:val="00910D17"/>
    <w:rsid w:val="00910D8E"/>
    <w:rsid w:val="009136B5"/>
    <w:rsid w:val="00913B4C"/>
    <w:rsid w:val="009208B6"/>
    <w:rsid w:val="009208E6"/>
    <w:rsid w:val="00921B80"/>
    <w:rsid w:val="009223CA"/>
    <w:rsid w:val="00922A39"/>
    <w:rsid w:val="00922CC8"/>
    <w:rsid w:val="009231A2"/>
    <w:rsid w:val="00924271"/>
    <w:rsid w:val="0092499E"/>
    <w:rsid w:val="00925392"/>
    <w:rsid w:val="00925996"/>
    <w:rsid w:val="00927314"/>
    <w:rsid w:val="0093216E"/>
    <w:rsid w:val="0093320D"/>
    <w:rsid w:val="009350EE"/>
    <w:rsid w:val="00936193"/>
    <w:rsid w:val="00936215"/>
    <w:rsid w:val="00936801"/>
    <w:rsid w:val="009369F6"/>
    <w:rsid w:val="009408D3"/>
    <w:rsid w:val="00940E24"/>
    <w:rsid w:val="00940F93"/>
    <w:rsid w:val="0094100C"/>
    <w:rsid w:val="00941A05"/>
    <w:rsid w:val="00941D54"/>
    <w:rsid w:val="009433F7"/>
    <w:rsid w:val="0094388D"/>
    <w:rsid w:val="00943A34"/>
    <w:rsid w:val="0094424E"/>
    <w:rsid w:val="00945D98"/>
    <w:rsid w:val="0094670F"/>
    <w:rsid w:val="00946DFD"/>
    <w:rsid w:val="009471F6"/>
    <w:rsid w:val="00947BD4"/>
    <w:rsid w:val="009517CB"/>
    <w:rsid w:val="00952311"/>
    <w:rsid w:val="00952E59"/>
    <w:rsid w:val="0095376F"/>
    <w:rsid w:val="00953BA3"/>
    <w:rsid w:val="0095432C"/>
    <w:rsid w:val="00954971"/>
    <w:rsid w:val="009550B7"/>
    <w:rsid w:val="00955485"/>
    <w:rsid w:val="00955D67"/>
    <w:rsid w:val="00955EEB"/>
    <w:rsid w:val="009562D4"/>
    <w:rsid w:val="00957A84"/>
    <w:rsid w:val="00957E5F"/>
    <w:rsid w:val="009603EF"/>
    <w:rsid w:val="00960C16"/>
    <w:rsid w:val="00960E42"/>
    <w:rsid w:val="00961987"/>
    <w:rsid w:val="0096294E"/>
    <w:rsid w:val="00962B42"/>
    <w:rsid w:val="009630C9"/>
    <w:rsid w:val="009664AA"/>
    <w:rsid w:val="00966EB2"/>
    <w:rsid w:val="00970170"/>
    <w:rsid w:val="0097109C"/>
    <w:rsid w:val="009758CC"/>
    <w:rsid w:val="00975D45"/>
    <w:rsid w:val="0097614A"/>
    <w:rsid w:val="00976484"/>
    <w:rsid w:val="009766A9"/>
    <w:rsid w:val="00976733"/>
    <w:rsid w:val="00976932"/>
    <w:rsid w:val="00976DB3"/>
    <w:rsid w:val="00977402"/>
    <w:rsid w:val="009777B3"/>
    <w:rsid w:val="00977DBF"/>
    <w:rsid w:val="00980DA7"/>
    <w:rsid w:val="0098233A"/>
    <w:rsid w:val="009841E5"/>
    <w:rsid w:val="009845D1"/>
    <w:rsid w:val="009852FE"/>
    <w:rsid w:val="00986A5B"/>
    <w:rsid w:val="00986F70"/>
    <w:rsid w:val="00991F5A"/>
    <w:rsid w:val="00992D03"/>
    <w:rsid w:val="00992E6B"/>
    <w:rsid w:val="009937F7"/>
    <w:rsid w:val="00993803"/>
    <w:rsid w:val="0099443F"/>
    <w:rsid w:val="009949B4"/>
    <w:rsid w:val="00996135"/>
    <w:rsid w:val="0099660F"/>
    <w:rsid w:val="009A2BCD"/>
    <w:rsid w:val="009A3570"/>
    <w:rsid w:val="009A3C9C"/>
    <w:rsid w:val="009A3CA1"/>
    <w:rsid w:val="009A3ECB"/>
    <w:rsid w:val="009A44C6"/>
    <w:rsid w:val="009A4B91"/>
    <w:rsid w:val="009A54F6"/>
    <w:rsid w:val="009A6B3F"/>
    <w:rsid w:val="009A7560"/>
    <w:rsid w:val="009A770B"/>
    <w:rsid w:val="009B1AD5"/>
    <w:rsid w:val="009B2F1C"/>
    <w:rsid w:val="009B37E3"/>
    <w:rsid w:val="009B4A1B"/>
    <w:rsid w:val="009B4B00"/>
    <w:rsid w:val="009B59CF"/>
    <w:rsid w:val="009B6A7E"/>
    <w:rsid w:val="009B7ADB"/>
    <w:rsid w:val="009B7CAA"/>
    <w:rsid w:val="009C0EE8"/>
    <w:rsid w:val="009C14AA"/>
    <w:rsid w:val="009C18B4"/>
    <w:rsid w:val="009C1F22"/>
    <w:rsid w:val="009C266D"/>
    <w:rsid w:val="009C5708"/>
    <w:rsid w:val="009C6633"/>
    <w:rsid w:val="009C77D7"/>
    <w:rsid w:val="009D021D"/>
    <w:rsid w:val="009D02A0"/>
    <w:rsid w:val="009D19A2"/>
    <w:rsid w:val="009D386D"/>
    <w:rsid w:val="009D3F8C"/>
    <w:rsid w:val="009D496B"/>
    <w:rsid w:val="009D4CAC"/>
    <w:rsid w:val="009D59AF"/>
    <w:rsid w:val="009D5AF5"/>
    <w:rsid w:val="009D5CF7"/>
    <w:rsid w:val="009D7320"/>
    <w:rsid w:val="009D76DB"/>
    <w:rsid w:val="009E02D5"/>
    <w:rsid w:val="009E0597"/>
    <w:rsid w:val="009E07E8"/>
    <w:rsid w:val="009E0917"/>
    <w:rsid w:val="009E0E91"/>
    <w:rsid w:val="009E234C"/>
    <w:rsid w:val="009E3B8A"/>
    <w:rsid w:val="009E3B8D"/>
    <w:rsid w:val="009E4E31"/>
    <w:rsid w:val="009E548B"/>
    <w:rsid w:val="009E58A2"/>
    <w:rsid w:val="009E5BB6"/>
    <w:rsid w:val="009E5FE1"/>
    <w:rsid w:val="009E69E8"/>
    <w:rsid w:val="009E7F8F"/>
    <w:rsid w:val="009F2312"/>
    <w:rsid w:val="009F2423"/>
    <w:rsid w:val="009F2B9F"/>
    <w:rsid w:val="009F3E26"/>
    <w:rsid w:val="009F41E4"/>
    <w:rsid w:val="009F57D4"/>
    <w:rsid w:val="009F59E0"/>
    <w:rsid w:val="009F5C37"/>
    <w:rsid w:val="009F6ED6"/>
    <w:rsid w:val="00A01489"/>
    <w:rsid w:val="00A04CEC"/>
    <w:rsid w:val="00A07B45"/>
    <w:rsid w:val="00A12D96"/>
    <w:rsid w:val="00A130AE"/>
    <w:rsid w:val="00A1392F"/>
    <w:rsid w:val="00A15BC5"/>
    <w:rsid w:val="00A15E45"/>
    <w:rsid w:val="00A16855"/>
    <w:rsid w:val="00A17630"/>
    <w:rsid w:val="00A1770D"/>
    <w:rsid w:val="00A20AC0"/>
    <w:rsid w:val="00A20DDE"/>
    <w:rsid w:val="00A22F03"/>
    <w:rsid w:val="00A23843"/>
    <w:rsid w:val="00A24573"/>
    <w:rsid w:val="00A24F10"/>
    <w:rsid w:val="00A25132"/>
    <w:rsid w:val="00A2563B"/>
    <w:rsid w:val="00A26C82"/>
    <w:rsid w:val="00A305AD"/>
    <w:rsid w:val="00A33423"/>
    <w:rsid w:val="00A346BA"/>
    <w:rsid w:val="00A35290"/>
    <w:rsid w:val="00A35887"/>
    <w:rsid w:val="00A36BBD"/>
    <w:rsid w:val="00A36DF5"/>
    <w:rsid w:val="00A379BE"/>
    <w:rsid w:val="00A40939"/>
    <w:rsid w:val="00A4182C"/>
    <w:rsid w:val="00A42C36"/>
    <w:rsid w:val="00A4331D"/>
    <w:rsid w:val="00A43B32"/>
    <w:rsid w:val="00A4401D"/>
    <w:rsid w:val="00A445DE"/>
    <w:rsid w:val="00A4546B"/>
    <w:rsid w:val="00A46460"/>
    <w:rsid w:val="00A47562"/>
    <w:rsid w:val="00A507D8"/>
    <w:rsid w:val="00A50D10"/>
    <w:rsid w:val="00A51DF1"/>
    <w:rsid w:val="00A5341A"/>
    <w:rsid w:val="00A5450A"/>
    <w:rsid w:val="00A5548A"/>
    <w:rsid w:val="00A5552D"/>
    <w:rsid w:val="00A559C2"/>
    <w:rsid w:val="00A56005"/>
    <w:rsid w:val="00A56356"/>
    <w:rsid w:val="00A56F18"/>
    <w:rsid w:val="00A56F5F"/>
    <w:rsid w:val="00A5777F"/>
    <w:rsid w:val="00A577A7"/>
    <w:rsid w:val="00A57DA0"/>
    <w:rsid w:val="00A60104"/>
    <w:rsid w:val="00A609E8"/>
    <w:rsid w:val="00A60E39"/>
    <w:rsid w:val="00A6140E"/>
    <w:rsid w:val="00A61CCD"/>
    <w:rsid w:val="00A62154"/>
    <w:rsid w:val="00A6380D"/>
    <w:rsid w:val="00A65415"/>
    <w:rsid w:val="00A66DDC"/>
    <w:rsid w:val="00A67D1F"/>
    <w:rsid w:val="00A705D6"/>
    <w:rsid w:val="00A709B2"/>
    <w:rsid w:val="00A72F22"/>
    <w:rsid w:val="00A748A6"/>
    <w:rsid w:val="00A7675D"/>
    <w:rsid w:val="00A76E5E"/>
    <w:rsid w:val="00A77081"/>
    <w:rsid w:val="00A776B4"/>
    <w:rsid w:val="00A82B14"/>
    <w:rsid w:val="00A83B1D"/>
    <w:rsid w:val="00A83F3E"/>
    <w:rsid w:val="00A83F7F"/>
    <w:rsid w:val="00A847E9"/>
    <w:rsid w:val="00A85913"/>
    <w:rsid w:val="00A85C5E"/>
    <w:rsid w:val="00A862A0"/>
    <w:rsid w:val="00A86703"/>
    <w:rsid w:val="00A869BE"/>
    <w:rsid w:val="00A90044"/>
    <w:rsid w:val="00A90867"/>
    <w:rsid w:val="00A91612"/>
    <w:rsid w:val="00A91CEE"/>
    <w:rsid w:val="00A93981"/>
    <w:rsid w:val="00A93B7F"/>
    <w:rsid w:val="00A93EC1"/>
    <w:rsid w:val="00A94361"/>
    <w:rsid w:val="00A945B6"/>
    <w:rsid w:val="00A94CC3"/>
    <w:rsid w:val="00A957C5"/>
    <w:rsid w:val="00A96127"/>
    <w:rsid w:val="00A96FCC"/>
    <w:rsid w:val="00A97515"/>
    <w:rsid w:val="00A9764E"/>
    <w:rsid w:val="00AA03A3"/>
    <w:rsid w:val="00AA04C9"/>
    <w:rsid w:val="00AA1C45"/>
    <w:rsid w:val="00AA1CA5"/>
    <w:rsid w:val="00AA3BCE"/>
    <w:rsid w:val="00AA4C1E"/>
    <w:rsid w:val="00AA6D18"/>
    <w:rsid w:val="00AA76A4"/>
    <w:rsid w:val="00AA7C55"/>
    <w:rsid w:val="00AA7E78"/>
    <w:rsid w:val="00AB0C62"/>
    <w:rsid w:val="00AB1485"/>
    <w:rsid w:val="00AB26D6"/>
    <w:rsid w:val="00AB2953"/>
    <w:rsid w:val="00AB4152"/>
    <w:rsid w:val="00AB4B06"/>
    <w:rsid w:val="00AB582A"/>
    <w:rsid w:val="00AB5DC1"/>
    <w:rsid w:val="00AB5E23"/>
    <w:rsid w:val="00AB6248"/>
    <w:rsid w:val="00AB7D67"/>
    <w:rsid w:val="00AC0E0F"/>
    <w:rsid w:val="00AC1552"/>
    <w:rsid w:val="00AC15D7"/>
    <w:rsid w:val="00AC1D38"/>
    <w:rsid w:val="00AC265C"/>
    <w:rsid w:val="00AC2A1A"/>
    <w:rsid w:val="00AC3CD4"/>
    <w:rsid w:val="00AC56B0"/>
    <w:rsid w:val="00AC6744"/>
    <w:rsid w:val="00AC7E76"/>
    <w:rsid w:val="00AD0CF5"/>
    <w:rsid w:val="00AD1BE4"/>
    <w:rsid w:val="00AD27E2"/>
    <w:rsid w:val="00AD2C9A"/>
    <w:rsid w:val="00AD3160"/>
    <w:rsid w:val="00AD3D78"/>
    <w:rsid w:val="00AD3EC4"/>
    <w:rsid w:val="00AD4613"/>
    <w:rsid w:val="00AD4954"/>
    <w:rsid w:val="00AD5213"/>
    <w:rsid w:val="00AD5A2E"/>
    <w:rsid w:val="00AD6140"/>
    <w:rsid w:val="00AD6785"/>
    <w:rsid w:val="00AD6FD1"/>
    <w:rsid w:val="00AD7A1A"/>
    <w:rsid w:val="00AE0C0E"/>
    <w:rsid w:val="00AE411E"/>
    <w:rsid w:val="00AE430C"/>
    <w:rsid w:val="00AE470C"/>
    <w:rsid w:val="00AE5C2A"/>
    <w:rsid w:val="00AE61BE"/>
    <w:rsid w:val="00AE64B9"/>
    <w:rsid w:val="00AE75BA"/>
    <w:rsid w:val="00AF051D"/>
    <w:rsid w:val="00AF1006"/>
    <w:rsid w:val="00AF1E85"/>
    <w:rsid w:val="00AF2BEE"/>
    <w:rsid w:val="00AF34FD"/>
    <w:rsid w:val="00AF3818"/>
    <w:rsid w:val="00AF4265"/>
    <w:rsid w:val="00AF45FB"/>
    <w:rsid w:val="00AF4955"/>
    <w:rsid w:val="00AF558A"/>
    <w:rsid w:val="00AF5A52"/>
    <w:rsid w:val="00AF69E2"/>
    <w:rsid w:val="00B00143"/>
    <w:rsid w:val="00B00B3C"/>
    <w:rsid w:val="00B010C7"/>
    <w:rsid w:val="00B0140A"/>
    <w:rsid w:val="00B01514"/>
    <w:rsid w:val="00B03183"/>
    <w:rsid w:val="00B04C6F"/>
    <w:rsid w:val="00B06775"/>
    <w:rsid w:val="00B06CA6"/>
    <w:rsid w:val="00B06E64"/>
    <w:rsid w:val="00B10294"/>
    <w:rsid w:val="00B10BAA"/>
    <w:rsid w:val="00B10C92"/>
    <w:rsid w:val="00B12FCE"/>
    <w:rsid w:val="00B13322"/>
    <w:rsid w:val="00B1342B"/>
    <w:rsid w:val="00B13ADE"/>
    <w:rsid w:val="00B13E02"/>
    <w:rsid w:val="00B142A6"/>
    <w:rsid w:val="00B152CC"/>
    <w:rsid w:val="00B15C75"/>
    <w:rsid w:val="00B15FB3"/>
    <w:rsid w:val="00B160F3"/>
    <w:rsid w:val="00B17925"/>
    <w:rsid w:val="00B17FBD"/>
    <w:rsid w:val="00B17FE5"/>
    <w:rsid w:val="00B20F6D"/>
    <w:rsid w:val="00B21DA6"/>
    <w:rsid w:val="00B22356"/>
    <w:rsid w:val="00B22935"/>
    <w:rsid w:val="00B24006"/>
    <w:rsid w:val="00B243C6"/>
    <w:rsid w:val="00B24D77"/>
    <w:rsid w:val="00B26482"/>
    <w:rsid w:val="00B27BF7"/>
    <w:rsid w:val="00B27EB1"/>
    <w:rsid w:val="00B30179"/>
    <w:rsid w:val="00B30D4E"/>
    <w:rsid w:val="00B33305"/>
    <w:rsid w:val="00B33B96"/>
    <w:rsid w:val="00B35292"/>
    <w:rsid w:val="00B3653A"/>
    <w:rsid w:val="00B365FC"/>
    <w:rsid w:val="00B36673"/>
    <w:rsid w:val="00B36A7C"/>
    <w:rsid w:val="00B371B9"/>
    <w:rsid w:val="00B37510"/>
    <w:rsid w:val="00B405FE"/>
    <w:rsid w:val="00B40879"/>
    <w:rsid w:val="00B40881"/>
    <w:rsid w:val="00B4163A"/>
    <w:rsid w:val="00B4325E"/>
    <w:rsid w:val="00B43656"/>
    <w:rsid w:val="00B4388D"/>
    <w:rsid w:val="00B43991"/>
    <w:rsid w:val="00B444E9"/>
    <w:rsid w:val="00B455F5"/>
    <w:rsid w:val="00B45B79"/>
    <w:rsid w:val="00B45F68"/>
    <w:rsid w:val="00B463E3"/>
    <w:rsid w:val="00B470B7"/>
    <w:rsid w:val="00B5023F"/>
    <w:rsid w:val="00B5077C"/>
    <w:rsid w:val="00B50ABF"/>
    <w:rsid w:val="00B515FD"/>
    <w:rsid w:val="00B51E30"/>
    <w:rsid w:val="00B526BB"/>
    <w:rsid w:val="00B53133"/>
    <w:rsid w:val="00B539D9"/>
    <w:rsid w:val="00B56E9C"/>
    <w:rsid w:val="00B57D78"/>
    <w:rsid w:val="00B57DDD"/>
    <w:rsid w:val="00B618DC"/>
    <w:rsid w:val="00B6242D"/>
    <w:rsid w:val="00B63648"/>
    <w:rsid w:val="00B64B1F"/>
    <w:rsid w:val="00B64DE3"/>
    <w:rsid w:val="00B6553F"/>
    <w:rsid w:val="00B66AFD"/>
    <w:rsid w:val="00B6716D"/>
    <w:rsid w:val="00B706AE"/>
    <w:rsid w:val="00B71159"/>
    <w:rsid w:val="00B713A8"/>
    <w:rsid w:val="00B716EF"/>
    <w:rsid w:val="00B71E08"/>
    <w:rsid w:val="00B71FFC"/>
    <w:rsid w:val="00B74CD2"/>
    <w:rsid w:val="00B75A56"/>
    <w:rsid w:val="00B76453"/>
    <w:rsid w:val="00B765A4"/>
    <w:rsid w:val="00B76C2B"/>
    <w:rsid w:val="00B76FE2"/>
    <w:rsid w:val="00B770D9"/>
    <w:rsid w:val="00B77442"/>
    <w:rsid w:val="00B779B7"/>
    <w:rsid w:val="00B80550"/>
    <w:rsid w:val="00B80A11"/>
    <w:rsid w:val="00B80FA2"/>
    <w:rsid w:val="00B81AEB"/>
    <w:rsid w:val="00B81E12"/>
    <w:rsid w:val="00B82198"/>
    <w:rsid w:val="00B83094"/>
    <w:rsid w:val="00B83DCB"/>
    <w:rsid w:val="00B84220"/>
    <w:rsid w:val="00B8426F"/>
    <w:rsid w:val="00B85938"/>
    <w:rsid w:val="00B875D5"/>
    <w:rsid w:val="00B8762F"/>
    <w:rsid w:val="00B87A6B"/>
    <w:rsid w:val="00B920D4"/>
    <w:rsid w:val="00B923B3"/>
    <w:rsid w:val="00B92D2E"/>
    <w:rsid w:val="00B943E4"/>
    <w:rsid w:val="00B95161"/>
    <w:rsid w:val="00B952C0"/>
    <w:rsid w:val="00B95833"/>
    <w:rsid w:val="00B958AB"/>
    <w:rsid w:val="00B965BC"/>
    <w:rsid w:val="00B96DA9"/>
    <w:rsid w:val="00BA0688"/>
    <w:rsid w:val="00BA0811"/>
    <w:rsid w:val="00BA0C3D"/>
    <w:rsid w:val="00BA2BDC"/>
    <w:rsid w:val="00BA2FD5"/>
    <w:rsid w:val="00BA321B"/>
    <w:rsid w:val="00BA3547"/>
    <w:rsid w:val="00BA394A"/>
    <w:rsid w:val="00BA397A"/>
    <w:rsid w:val="00BA4725"/>
    <w:rsid w:val="00BA71FD"/>
    <w:rsid w:val="00BA7873"/>
    <w:rsid w:val="00BA78A3"/>
    <w:rsid w:val="00BB3EAA"/>
    <w:rsid w:val="00BB3F54"/>
    <w:rsid w:val="00BB48C4"/>
    <w:rsid w:val="00BB4AEA"/>
    <w:rsid w:val="00BB7B11"/>
    <w:rsid w:val="00BC02F9"/>
    <w:rsid w:val="00BC0CC0"/>
    <w:rsid w:val="00BC12FC"/>
    <w:rsid w:val="00BC4A4F"/>
    <w:rsid w:val="00BC59AC"/>
    <w:rsid w:val="00BC74E9"/>
    <w:rsid w:val="00BC796B"/>
    <w:rsid w:val="00BC7A66"/>
    <w:rsid w:val="00BD1321"/>
    <w:rsid w:val="00BD1A99"/>
    <w:rsid w:val="00BD1D2B"/>
    <w:rsid w:val="00BD2C2F"/>
    <w:rsid w:val="00BD2D1A"/>
    <w:rsid w:val="00BD31A4"/>
    <w:rsid w:val="00BD37DD"/>
    <w:rsid w:val="00BD39E2"/>
    <w:rsid w:val="00BD458B"/>
    <w:rsid w:val="00BD5476"/>
    <w:rsid w:val="00BD58D4"/>
    <w:rsid w:val="00BD5E4A"/>
    <w:rsid w:val="00BD6367"/>
    <w:rsid w:val="00BD6F34"/>
    <w:rsid w:val="00BD7742"/>
    <w:rsid w:val="00BD7E49"/>
    <w:rsid w:val="00BE02BA"/>
    <w:rsid w:val="00BE0ADF"/>
    <w:rsid w:val="00BE1279"/>
    <w:rsid w:val="00BE216A"/>
    <w:rsid w:val="00BE263F"/>
    <w:rsid w:val="00BE5612"/>
    <w:rsid w:val="00BE668C"/>
    <w:rsid w:val="00BE66BB"/>
    <w:rsid w:val="00BE69B5"/>
    <w:rsid w:val="00BE6F0A"/>
    <w:rsid w:val="00BF0C10"/>
    <w:rsid w:val="00BF1591"/>
    <w:rsid w:val="00BF1C2E"/>
    <w:rsid w:val="00BF42E6"/>
    <w:rsid w:val="00BF4891"/>
    <w:rsid w:val="00BF4E8B"/>
    <w:rsid w:val="00BF52FC"/>
    <w:rsid w:val="00BF5F0D"/>
    <w:rsid w:val="00BF610F"/>
    <w:rsid w:val="00BF68A8"/>
    <w:rsid w:val="00BF69E7"/>
    <w:rsid w:val="00BF74D0"/>
    <w:rsid w:val="00BF7798"/>
    <w:rsid w:val="00C00280"/>
    <w:rsid w:val="00C009E1"/>
    <w:rsid w:val="00C01308"/>
    <w:rsid w:val="00C01D72"/>
    <w:rsid w:val="00C021BA"/>
    <w:rsid w:val="00C02A08"/>
    <w:rsid w:val="00C02B4D"/>
    <w:rsid w:val="00C03365"/>
    <w:rsid w:val="00C0345D"/>
    <w:rsid w:val="00C03A98"/>
    <w:rsid w:val="00C03AFE"/>
    <w:rsid w:val="00C04272"/>
    <w:rsid w:val="00C04C5E"/>
    <w:rsid w:val="00C06002"/>
    <w:rsid w:val="00C061DC"/>
    <w:rsid w:val="00C06434"/>
    <w:rsid w:val="00C06A6B"/>
    <w:rsid w:val="00C07660"/>
    <w:rsid w:val="00C07A86"/>
    <w:rsid w:val="00C07D78"/>
    <w:rsid w:val="00C10087"/>
    <w:rsid w:val="00C11C32"/>
    <w:rsid w:val="00C129D5"/>
    <w:rsid w:val="00C12A06"/>
    <w:rsid w:val="00C12B2B"/>
    <w:rsid w:val="00C12D09"/>
    <w:rsid w:val="00C1314F"/>
    <w:rsid w:val="00C15112"/>
    <w:rsid w:val="00C15871"/>
    <w:rsid w:val="00C162E7"/>
    <w:rsid w:val="00C1642A"/>
    <w:rsid w:val="00C16ACD"/>
    <w:rsid w:val="00C17218"/>
    <w:rsid w:val="00C17364"/>
    <w:rsid w:val="00C20334"/>
    <w:rsid w:val="00C203CA"/>
    <w:rsid w:val="00C21662"/>
    <w:rsid w:val="00C21B50"/>
    <w:rsid w:val="00C22E52"/>
    <w:rsid w:val="00C23C36"/>
    <w:rsid w:val="00C23DF6"/>
    <w:rsid w:val="00C249B5"/>
    <w:rsid w:val="00C25792"/>
    <w:rsid w:val="00C26B5D"/>
    <w:rsid w:val="00C279F3"/>
    <w:rsid w:val="00C3206E"/>
    <w:rsid w:val="00C33C7F"/>
    <w:rsid w:val="00C34147"/>
    <w:rsid w:val="00C34DEE"/>
    <w:rsid w:val="00C351D4"/>
    <w:rsid w:val="00C35566"/>
    <w:rsid w:val="00C356D2"/>
    <w:rsid w:val="00C3662A"/>
    <w:rsid w:val="00C377D0"/>
    <w:rsid w:val="00C37CAF"/>
    <w:rsid w:val="00C40270"/>
    <w:rsid w:val="00C41C71"/>
    <w:rsid w:val="00C42740"/>
    <w:rsid w:val="00C43044"/>
    <w:rsid w:val="00C43520"/>
    <w:rsid w:val="00C445B8"/>
    <w:rsid w:val="00C45CB9"/>
    <w:rsid w:val="00C463B7"/>
    <w:rsid w:val="00C463DD"/>
    <w:rsid w:val="00C46486"/>
    <w:rsid w:val="00C46D07"/>
    <w:rsid w:val="00C4724C"/>
    <w:rsid w:val="00C475AB"/>
    <w:rsid w:val="00C47C12"/>
    <w:rsid w:val="00C50EE5"/>
    <w:rsid w:val="00C51613"/>
    <w:rsid w:val="00C52242"/>
    <w:rsid w:val="00C53A77"/>
    <w:rsid w:val="00C53F63"/>
    <w:rsid w:val="00C5506C"/>
    <w:rsid w:val="00C554A3"/>
    <w:rsid w:val="00C559AD"/>
    <w:rsid w:val="00C56BF5"/>
    <w:rsid w:val="00C57401"/>
    <w:rsid w:val="00C57FC2"/>
    <w:rsid w:val="00C61717"/>
    <w:rsid w:val="00C617BE"/>
    <w:rsid w:val="00C61F83"/>
    <w:rsid w:val="00C62343"/>
    <w:rsid w:val="00C629A0"/>
    <w:rsid w:val="00C664C3"/>
    <w:rsid w:val="00C676B4"/>
    <w:rsid w:val="00C703AA"/>
    <w:rsid w:val="00C72470"/>
    <w:rsid w:val="00C7275C"/>
    <w:rsid w:val="00C72FD2"/>
    <w:rsid w:val="00C735B7"/>
    <w:rsid w:val="00C745C3"/>
    <w:rsid w:val="00C7471C"/>
    <w:rsid w:val="00C74CD5"/>
    <w:rsid w:val="00C750BD"/>
    <w:rsid w:val="00C75FB9"/>
    <w:rsid w:val="00C76BAC"/>
    <w:rsid w:val="00C77496"/>
    <w:rsid w:val="00C77CFD"/>
    <w:rsid w:val="00C80094"/>
    <w:rsid w:val="00C80E7C"/>
    <w:rsid w:val="00C813D6"/>
    <w:rsid w:val="00C835B3"/>
    <w:rsid w:val="00C86271"/>
    <w:rsid w:val="00C86AC4"/>
    <w:rsid w:val="00C86E18"/>
    <w:rsid w:val="00C86FDA"/>
    <w:rsid w:val="00C8794D"/>
    <w:rsid w:val="00C87A05"/>
    <w:rsid w:val="00C9214D"/>
    <w:rsid w:val="00C92503"/>
    <w:rsid w:val="00C92ED3"/>
    <w:rsid w:val="00C93151"/>
    <w:rsid w:val="00C93DEA"/>
    <w:rsid w:val="00C96715"/>
    <w:rsid w:val="00C975ED"/>
    <w:rsid w:val="00CA03E6"/>
    <w:rsid w:val="00CA04F7"/>
    <w:rsid w:val="00CA054C"/>
    <w:rsid w:val="00CA0BE9"/>
    <w:rsid w:val="00CA0E12"/>
    <w:rsid w:val="00CA140A"/>
    <w:rsid w:val="00CA179E"/>
    <w:rsid w:val="00CA2556"/>
    <w:rsid w:val="00CA2E8F"/>
    <w:rsid w:val="00CA3547"/>
    <w:rsid w:val="00CA4C82"/>
    <w:rsid w:val="00CA4D23"/>
    <w:rsid w:val="00CA6607"/>
    <w:rsid w:val="00CA6730"/>
    <w:rsid w:val="00CB1AF7"/>
    <w:rsid w:val="00CB1EF5"/>
    <w:rsid w:val="00CB23B1"/>
    <w:rsid w:val="00CB2711"/>
    <w:rsid w:val="00CB2BFB"/>
    <w:rsid w:val="00CB30A5"/>
    <w:rsid w:val="00CB39D6"/>
    <w:rsid w:val="00CB4A6D"/>
    <w:rsid w:val="00CB5DFF"/>
    <w:rsid w:val="00CB67AE"/>
    <w:rsid w:val="00CB7AEB"/>
    <w:rsid w:val="00CB7D0E"/>
    <w:rsid w:val="00CB7E2C"/>
    <w:rsid w:val="00CC00AC"/>
    <w:rsid w:val="00CC066A"/>
    <w:rsid w:val="00CC24D2"/>
    <w:rsid w:val="00CC338B"/>
    <w:rsid w:val="00CC3E85"/>
    <w:rsid w:val="00CC45A8"/>
    <w:rsid w:val="00CC46B3"/>
    <w:rsid w:val="00CC548A"/>
    <w:rsid w:val="00CC5DCF"/>
    <w:rsid w:val="00CC5E22"/>
    <w:rsid w:val="00CC6FE2"/>
    <w:rsid w:val="00CC73FA"/>
    <w:rsid w:val="00CC7C46"/>
    <w:rsid w:val="00CC7E4F"/>
    <w:rsid w:val="00CD061E"/>
    <w:rsid w:val="00CD12DE"/>
    <w:rsid w:val="00CD1407"/>
    <w:rsid w:val="00CD199F"/>
    <w:rsid w:val="00CD3044"/>
    <w:rsid w:val="00CD3551"/>
    <w:rsid w:val="00CD4368"/>
    <w:rsid w:val="00CD4480"/>
    <w:rsid w:val="00CD44E0"/>
    <w:rsid w:val="00CD488A"/>
    <w:rsid w:val="00CD6789"/>
    <w:rsid w:val="00CE005F"/>
    <w:rsid w:val="00CE07DC"/>
    <w:rsid w:val="00CE1E7D"/>
    <w:rsid w:val="00CE1FB0"/>
    <w:rsid w:val="00CE2F50"/>
    <w:rsid w:val="00CE4A8F"/>
    <w:rsid w:val="00CE5395"/>
    <w:rsid w:val="00CE5A12"/>
    <w:rsid w:val="00CE5D10"/>
    <w:rsid w:val="00CE60F4"/>
    <w:rsid w:val="00CE6FC0"/>
    <w:rsid w:val="00CE7480"/>
    <w:rsid w:val="00CE7510"/>
    <w:rsid w:val="00CE7527"/>
    <w:rsid w:val="00CF06CE"/>
    <w:rsid w:val="00CF071C"/>
    <w:rsid w:val="00CF16E3"/>
    <w:rsid w:val="00CF18CC"/>
    <w:rsid w:val="00CF1E05"/>
    <w:rsid w:val="00CF295F"/>
    <w:rsid w:val="00CF3896"/>
    <w:rsid w:val="00CF50EC"/>
    <w:rsid w:val="00CF53BE"/>
    <w:rsid w:val="00CF5BB2"/>
    <w:rsid w:val="00CF736A"/>
    <w:rsid w:val="00CF7729"/>
    <w:rsid w:val="00D014C1"/>
    <w:rsid w:val="00D014D8"/>
    <w:rsid w:val="00D022C3"/>
    <w:rsid w:val="00D031EB"/>
    <w:rsid w:val="00D0427F"/>
    <w:rsid w:val="00D0433F"/>
    <w:rsid w:val="00D100DE"/>
    <w:rsid w:val="00D10DCF"/>
    <w:rsid w:val="00D10E88"/>
    <w:rsid w:val="00D11231"/>
    <w:rsid w:val="00D11BC8"/>
    <w:rsid w:val="00D12877"/>
    <w:rsid w:val="00D12930"/>
    <w:rsid w:val="00D13181"/>
    <w:rsid w:val="00D132A7"/>
    <w:rsid w:val="00D13532"/>
    <w:rsid w:val="00D13EA0"/>
    <w:rsid w:val="00D143E8"/>
    <w:rsid w:val="00D14689"/>
    <w:rsid w:val="00D15A57"/>
    <w:rsid w:val="00D16B9B"/>
    <w:rsid w:val="00D172CA"/>
    <w:rsid w:val="00D172E8"/>
    <w:rsid w:val="00D176B3"/>
    <w:rsid w:val="00D178FB"/>
    <w:rsid w:val="00D2031B"/>
    <w:rsid w:val="00D2112B"/>
    <w:rsid w:val="00D218CB"/>
    <w:rsid w:val="00D227AE"/>
    <w:rsid w:val="00D22D7B"/>
    <w:rsid w:val="00D231A4"/>
    <w:rsid w:val="00D234BA"/>
    <w:rsid w:val="00D24ED0"/>
    <w:rsid w:val="00D253EC"/>
    <w:rsid w:val="00D25FE2"/>
    <w:rsid w:val="00D27146"/>
    <w:rsid w:val="00D27E92"/>
    <w:rsid w:val="00D3045B"/>
    <w:rsid w:val="00D30CC9"/>
    <w:rsid w:val="00D31A34"/>
    <w:rsid w:val="00D324C4"/>
    <w:rsid w:val="00D332F1"/>
    <w:rsid w:val="00D33BFE"/>
    <w:rsid w:val="00D34954"/>
    <w:rsid w:val="00D34A47"/>
    <w:rsid w:val="00D34B21"/>
    <w:rsid w:val="00D34F06"/>
    <w:rsid w:val="00D353DF"/>
    <w:rsid w:val="00D36108"/>
    <w:rsid w:val="00D371B0"/>
    <w:rsid w:val="00D40B0E"/>
    <w:rsid w:val="00D41BD3"/>
    <w:rsid w:val="00D41BE6"/>
    <w:rsid w:val="00D427C5"/>
    <w:rsid w:val="00D43252"/>
    <w:rsid w:val="00D435ED"/>
    <w:rsid w:val="00D44C45"/>
    <w:rsid w:val="00D452B7"/>
    <w:rsid w:val="00D4564F"/>
    <w:rsid w:val="00D457F9"/>
    <w:rsid w:val="00D46A22"/>
    <w:rsid w:val="00D46B4D"/>
    <w:rsid w:val="00D47004"/>
    <w:rsid w:val="00D4715C"/>
    <w:rsid w:val="00D47244"/>
    <w:rsid w:val="00D4734E"/>
    <w:rsid w:val="00D4797E"/>
    <w:rsid w:val="00D519D4"/>
    <w:rsid w:val="00D51E7F"/>
    <w:rsid w:val="00D520B2"/>
    <w:rsid w:val="00D520CF"/>
    <w:rsid w:val="00D52BA0"/>
    <w:rsid w:val="00D52FAE"/>
    <w:rsid w:val="00D53522"/>
    <w:rsid w:val="00D53A2F"/>
    <w:rsid w:val="00D54127"/>
    <w:rsid w:val="00D54A31"/>
    <w:rsid w:val="00D55676"/>
    <w:rsid w:val="00D55F22"/>
    <w:rsid w:val="00D5709B"/>
    <w:rsid w:val="00D578B1"/>
    <w:rsid w:val="00D57D32"/>
    <w:rsid w:val="00D60CA1"/>
    <w:rsid w:val="00D626BF"/>
    <w:rsid w:val="00D63837"/>
    <w:rsid w:val="00D650F3"/>
    <w:rsid w:val="00D653F6"/>
    <w:rsid w:val="00D66201"/>
    <w:rsid w:val="00D667B1"/>
    <w:rsid w:val="00D7087B"/>
    <w:rsid w:val="00D709E9"/>
    <w:rsid w:val="00D70B75"/>
    <w:rsid w:val="00D71C10"/>
    <w:rsid w:val="00D72312"/>
    <w:rsid w:val="00D729C7"/>
    <w:rsid w:val="00D7315F"/>
    <w:rsid w:val="00D7326C"/>
    <w:rsid w:val="00D73CF7"/>
    <w:rsid w:val="00D73E6E"/>
    <w:rsid w:val="00D74768"/>
    <w:rsid w:val="00D747EF"/>
    <w:rsid w:val="00D75B6B"/>
    <w:rsid w:val="00D76B67"/>
    <w:rsid w:val="00D7767E"/>
    <w:rsid w:val="00D77D1D"/>
    <w:rsid w:val="00D80D68"/>
    <w:rsid w:val="00D819DF"/>
    <w:rsid w:val="00D81B70"/>
    <w:rsid w:val="00D821C2"/>
    <w:rsid w:val="00D83595"/>
    <w:rsid w:val="00D83EBB"/>
    <w:rsid w:val="00D84D3E"/>
    <w:rsid w:val="00D855CB"/>
    <w:rsid w:val="00D87D4B"/>
    <w:rsid w:val="00D90315"/>
    <w:rsid w:val="00D90BE7"/>
    <w:rsid w:val="00D90FD4"/>
    <w:rsid w:val="00D917DE"/>
    <w:rsid w:val="00D9393A"/>
    <w:rsid w:val="00D9517D"/>
    <w:rsid w:val="00D953B9"/>
    <w:rsid w:val="00D953D1"/>
    <w:rsid w:val="00D96FD8"/>
    <w:rsid w:val="00D978C6"/>
    <w:rsid w:val="00D97EF4"/>
    <w:rsid w:val="00DA0D78"/>
    <w:rsid w:val="00DA0DC6"/>
    <w:rsid w:val="00DA0E6B"/>
    <w:rsid w:val="00DA0F45"/>
    <w:rsid w:val="00DA11C8"/>
    <w:rsid w:val="00DA149A"/>
    <w:rsid w:val="00DA1DC3"/>
    <w:rsid w:val="00DA33DB"/>
    <w:rsid w:val="00DA3C1C"/>
    <w:rsid w:val="00DA45F2"/>
    <w:rsid w:val="00DA53E9"/>
    <w:rsid w:val="00DA70BE"/>
    <w:rsid w:val="00DA718C"/>
    <w:rsid w:val="00DA7558"/>
    <w:rsid w:val="00DB0E39"/>
    <w:rsid w:val="00DB20FE"/>
    <w:rsid w:val="00DB2177"/>
    <w:rsid w:val="00DB3205"/>
    <w:rsid w:val="00DB3258"/>
    <w:rsid w:val="00DB4AC3"/>
    <w:rsid w:val="00DB6920"/>
    <w:rsid w:val="00DB6D77"/>
    <w:rsid w:val="00DB7AA6"/>
    <w:rsid w:val="00DC0081"/>
    <w:rsid w:val="00DC0348"/>
    <w:rsid w:val="00DC0882"/>
    <w:rsid w:val="00DC0C70"/>
    <w:rsid w:val="00DC2055"/>
    <w:rsid w:val="00DC2267"/>
    <w:rsid w:val="00DC62BC"/>
    <w:rsid w:val="00DC71E4"/>
    <w:rsid w:val="00DC73B6"/>
    <w:rsid w:val="00DD004A"/>
    <w:rsid w:val="00DD05EC"/>
    <w:rsid w:val="00DD134B"/>
    <w:rsid w:val="00DD1949"/>
    <w:rsid w:val="00DD2500"/>
    <w:rsid w:val="00DD26AC"/>
    <w:rsid w:val="00DD26C8"/>
    <w:rsid w:val="00DD2803"/>
    <w:rsid w:val="00DD2A43"/>
    <w:rsid w:val="00DD2E03"/>
    <w:rsid w:val="00DD32E7"/>
    <w:rsid w:val="00DD37D8"/>
    <w:rsid w:val="00DD3F71"/>
    <w:rsid w:val="00DD3F83"/>
    <w:rsid w:val="00DD43A9"/>
    <w:rsid w:val="00DD4F48"/>
    <w:rsid w:val="00DD4FE6"/>
    <w:rsid w:val="00DD53B6"/>
    <w:rsid w:val="00DD544C"/>
    <w:rsid w:val="00DD5B34"/>
    <w:rsid w:val="00DD5FE9"/>
    <w:rsid w:val="00DD6C22"/>
    <w:rsid w:val="00DD7846"/>
    <w:rsid w:val="00DD7D97"/>
    <w:rsid w:val="00DE11D5"/>
    <w:rsid w:val="00DE1540"/>
    <w:rsid w:val="00DE199A"/>
    <w:rsid w:val="00DE37B3"/>
    <w:rsid w:val="00DE5411"/>
    <w:rsid w:val="00DE55B3"/>
    <w:rsid w:val="00DE6F1D"/>
    <w:rsid w:val="00DE7F81"/>
    <w:rsid w:val="00DF0426"/>
    <w:rsid w:val="00DF0A46"/>
    <w:rsid w:val="00DF0AB8"/>
    <w:rsid w:val="00DF1923"/>
    <w:rsid w:val="00DF20A9"/>
    <w:rsid w:val="00DF2FBE"/>
    <w:rsid w:val="00DF3253"/>
    <w:rsid w:val="00DF3495"/>
    <w:rsid w:val="00DF3B5D"/>
    <w:rsid w:val="00DF4D2D"/>
    <w:rsid w:val="00DF5ABE"/>
    <w:rsid w:val="00DF766C"/>
    <w:rsid w:val="00DF7A52"/>
    <w:rsid w:val="00DF7FBE"/>
    <w:rsid w:val="00E00073"/>
    <w:rsid w:val="00E00D2F"/>
    <w:rsid w:val="00E01A86"/>
    <w:rsid w:val="00E02691"/>
    <w:rsid w:val="00E0390C"/>
    <w:rsid w:val="00E03A0F"/>
    <w:rsid w:val="00E03D52"/>
    <w:rsid w:val="00E061D4"/>
    <w:rsid w:val="00E0646D"/>
    <w:rsid w:val="00E07C9F"/>
    <w:rsid w:val="00E10942"/>
    <w:rsid w:val="00E109FB"/>
    <w:rsid w:val="00E10D79"/>
    <w:rsid w:val="00E13392"/>
    <w:rsid w:val="00E15AD5"/>
    <w:rsid w:val="00E17ECD"/>
    <w:rsid w:val="00E204BF"/>
    <w:rsid w:val="00E206B0"/>
    <w:rsid w:val="00E20B09"/>
    <w:rsid w:val="00E21484"/>
    <w:rsid w:val="00E21F7F"/>
    <w:rsid w:val="00E23419"/>
    <w:rsid w:val="00E24378"/>
    <w:rsid w:val="00E24BE2"/>
    <w:rsid w:val="00E25062"/>
    <w:rsid w:val="00E25379"/>
    <w:rsid w:val="00E255D9"/>
    <w:rsid w:val="00E26BB9"/>
    <w:rsid w:val="00E27B89"/>
    <w:rsid w:val="00E31946"/>
    <w:rsid w:val="00E31BA0"/>
    <w:rsid w:val="00E327D4"/>
    <w:rsid w:val="00E3286E"/>
    <w:rsid w:val="00E33255"/>
    <w:rsid w:val="00E33B3D"/>
    <w:rsid w:val="00E34AF2"/>
    <w:rsid w:val="00E35BF4"/>
    <w:rsid w:val="00E36240"/>
    <w:rsid w:val="00E36735"/>
    <w:rsid w:val="00E3738D"/>
    <w:rsid w:val="00E37CE2"/>
    <w:rsid w:val="00E37E7B"/>
    <w:rsid w:val="00E40DF4"/>
    <w:rsid w:val="00E41722"/>
    <w:rsid w:val="00E41BD2"/>
    <w:rsid w:val="00E41C00"/>
    <w:rsid w:val="00E41D13"/>
    <w:rsid w:val="00E4406B"/>
    <w:rsid w:val="00E44A5D"/>
    <w:rsid w:val="00E44E9B"/>
    <w:rsid w:val="00E4522A"/>
    <w:rsid w:val="00E462FF"/>
    <w:rsid w:val="00E46A17"/>
    <w:rsid w:val="00E46B89"/>
    <w:rsid w:val="00E502EA"/>
    <w:rsid w:val="00E50DC2"/>
    <w:rsid w:val="00E51008"/>
    <w:rsid w:val="00E51118"/>
    <w:rsid w:val="00E51985"/>
    <w:rsid w:val="00E5311E"/>
    <w:rsid w:val="00E5500E"/>
    <w:rsid w:val="00E56AA4"/>
    <w:rsid w:val="00E56F5B"/>
    <w:rsid w:val="00E572EB"/>
    <w:rsid w:val="00E6030D"/>
    <w:rsid w:val="00E61313"/>
    <w:rsid w:val="00E61A7F"/>
    <w:rsid w:val="00E61E50"/>
    <w:rsid w:val="00E624A5"/>
    <w:rsid w:val="00E62CB9"/>
    <w:rsid w:val="00E630BA"/>
    <w:rsid w:val="00E63389"/>
    <w:rsid w:val="00E640F9"/>
    <w:rsid w:val="00E640FD"/>
    <w:rsid w:val="00E643E6"/>
    <w:rsid w:val="00E64895"/>
    <w:rsid w:val="00E6571B"/>
    <w:rsid w:val="00E65A9E"/>
    <w:rsid w:val="00E666A7"/>
    <w:rsid w:val="00E67151"/>
    <w:rsid w:val="00E67310"/>
    <w:rsid w:val="00E70116"/>
    <w:rsid w:val="00E70F6C"/>
    <w:rsid w:val="00E71611"/>
    <w:rsid w:val="00E717DC"/>
    <w:rsid w:val="00E71BC8"/>
    <w:rsid w:val="00E7260F"/>
    <w:rsid w:val="00E72A03"/>
    <w:rsid w:val="00E73A2D"/>
    <w:rsid w:val="00E759D9"/>
    <w:rsid w:val="00E759E4"/>
    <w:rsid w:val="00E7646B"/>
    <w:rsid w:val="00E764FB"/>
    <w:rsid w:val="00E76F35"/>
    <w:rsid w:val="00E80196"/>
    <w:rsid w:val="00E80CD1"/>
    <w:rsid w:val="00E81D75"/>
    <w:rsid w:val="00E824B3"/>
    <w:rsid w:val="00E825D9"/>
    <w:rsid w:val="00E82C6E"/>
    <w:rsid w:val="00E8302C"/>
    <w:rsid w:val="00E841ED"/>
    <w:rsid w:val="00E8485D"/>
    <w:rsid w:val="00E8540B"/>
    <w:rsid w:val="00E85977"/>
    <w:rsid w:val="00E862C4"/>
    <w:rsid w:val="00E874B2"/>
    <w:rsid w:val="00E87EDB"/>
    <w:rsid w:val="00E90F09"/>
    <w:rsid w:val="00E931AD"/>
    <w:rsid w:val="00E93BF3"/>
    <w:rsid w:val="00E962B4"/>
    <w:rsid w:val="00E96630"/>
    <w:rsid w:val="00E97466"/>
    <w:rsid w:val="00E97C2C"/>
    <w:rsid w:val="00E97F6F"/>
    <w:rsid w:val="00EA0546"/>
    <w:rsid w:val="00EA062A"/>
    <w:rsid w:val="00EA0B62"/>
    <w:rsid w:val="00EA0B83"/>
    <w:rsid w:val="00EA2360"/>
    <w:rsid w:val="00EA280C"/>
    <w:rsid w:val="00EA33A3"/>
    <w:rsid w:val="00EA41D1"/>
    <w:rsid w:val="00EA4AD3"/>
    <w:rsid w:val="00EA4C44"/>
    <w:rsid w:val="00EA4F50"/>
    <w:rsid w:val="00EA62E4"/>
    <w:rsid w:val="00EA6C60"/>
    <w:rsid w:val="00EA6ECF"/>
    <w:rsid w:val="00EA70F8"/>
    <w:rsid w:val="00EB20DA"/>
    <w:rsid w:val="00EB39DA"/>
    <w:rsid w:val="00EB3E18"/>
    <w:rsid w:val="00EB4478"/>
    <w:rsid w:val="00EB4883"/>
    <w:rsid w:val="00EB4D15"/>
    <w:rsid w:val="00EB5729"/>
    <w:rsid w:val="00EB5B08"/>
    <w:rsid w:val="00EB60D3"/>
    <w:rsid w:val="00EB6658"/>
    <w:rsid w:val="00EB6B40"/>
    <w:rsid w:val="00EB7064"/>
    <w:rsid w:val="00EC07E8"/>
    <w:rsid w:val="00EC0D8B"/>
    <w:rsid w:val="00EC0D93"/>
    <w:rsid w:val="00EC1E55"/>
    <w:rsid w:val="00EC2F48"/>
    <w:rsid w:val="00EC2F7D"/>
    <w:rsid w:val="00EC4F00"/>
    <w:rsid w:val="00EC51D1"/>
    <w:rsid w:val="00EC5C25"/>
    <w:rsid w:val="00EC67A0"/>
    <w:rsid w:val="00EC6BD2"/>
    <w:rsid w:val="00ED06D3"/>
    <w:rsid w:val="00ED180D"/>
    <w:rsid w:val="00ED2B5B"/>
    <w:rsid w:val="00ED32A3"/>
    <w:rsid w:val="00ED48FF"/>
    <w:rsid w:val="00ED52B6"/>
    <w:rsid w:val="00ED5AD5"/>
    <w:rsid w:val="00ED5BF4"/>
    <w:rsid w:val="00ED616A"/>
    <w:rsid w:val="00ED6DE6"/>
    <w:rsid w:val="00ED7704"/>
    <w:rsid w:val="00ED7A2A"/>
    <w:rsid w:val="00EE0D4E"/>
    <w:rsid w:val="00EE13E2"/>
    <w:rsid w:val="00EE2480"/>
    <w:rsid w:val="00EE2EEF"/>
    <w:rsid w:val="00EE3D80"/>
    <w:rsid w:val="00EE4481"/>
    <w:rsid w:val="00EE5274"/>
    <w:rsid w:val="00EE53B9"/>
    <w:rsid w:val="00EE763F"/>
    <w:rsid w:val="00EE78C6"/>
    <w:rsid w:val="00EF001F"/>
    <w:rsid w:val="00EF02E2"/>
    <w:rsid w:val="00EF0CA4"/>
    <w:rsid w:val="00EF1BF4"/>
    <w:rsid w:val="00EF1D7F"/>
    <w:rsid w:val="00EF2786"/>
    <w:rsid w:val="00EF3A55"/>
    <w:rsid w:val="00EF3CB7"/>
    <w:rsid w:val="00EF46C2"/>
    <w:rsid w:val="00EF4899"/>
    <w:rsid w:val="00EF6807"/>
    <w:rsid w:val="00EF724A"/>
    <w:rsid w:val="00EF79FF"/>
    <w:rsid w:val="00F005A8"/>
    <w:rsid w:val="00F00834"/>
    <w:rsid w:val="00F00AD2"/>
    <w:rsid w:val="00F00D2C"/>
    <w:rsid w:val="00F00FB4"/>
    <w:rsid w:val="00F01A1B"/>
    <w:rsid w:val="00F03A07"/>
    <w:rsid w:val="00F03C8E"/>
    <w:rsid w:val="00F05F68"/>
    <w:rsid w:val="00F07A10"/>
    <w:rsid w:val="00F07C97"/>
    <w:rsid w:val="00F07E4C"/>
    <w:rsid w:val="00F108DD"/>
    <w:rsid w:val="00F10E2A"/>
    <w:rsid w:val="00F1237B"/>
    <w:rsid w:val="00F1311B"/>
    <w:rsid w:val="00F15673"/>
    <w:rsid w:val="00F158F5"/>
    <w:rsid w:val="00F16E1D"/>
    <w:rsid w:val="00F2093F"/>
    <w:rsid w:val="00F220C2"/>
    <w:rsid w:val="00F22F7D"/>
    <w:rsid w:val="00F24EAB"/>
    <w:rsid w:val="00F24F31"/>
    <w:rsid w:val="00F25647"/>
    <w:rsid w:val="00F257DA"/>
    <w:rsid w:val="00F257F4"/>
    <w:rsid w:val="00F25CA7"/>
    <w:rsid w:val="00F25D93"/>
    <w:rsid w:val="00F25EBA"/>
    <w:rsid w:val="00F263FD"/>
    <w:rsid w:val="00F26F49"/>
    <w:rsid w:val="00F30E97"/>
    <w:rsid w:val="00F30F13"/>
    <w:rsid w:val="00F31183"/>
    <w:rsid w:val="00F3284E"/>
    <w:rsid w:val="00F32E4E"/>
    <w:rsid w:val="00F33ECC"/>
    <w:rsid w:val="00F34583"/>
    <w:rsid w:val="00F34B2F"/>
    <w:rsid w:val="00F34B91"/>
    <w:rsid w:val="00F34E96"/>
    <w:rsid w:val="00F358F6"/>
    <w:rsid w:val="00F360A3"/>
    <w:rsid w:val="00F363D5"/>
    <w:rsid w:val="00F37B9B"/>
    <w:rsid w:val="00F37F49"/>
    <w:rsid w:val="00F40863"/>
    <w:rsid w:val="00F408A9"/>
    <w:rsid w:val="00F40FD6"/>
    <w:rsid w:val="00F4145E"/>
    <w:rsid w:val="00F41A83"/>
    <w:rsid w:val="00F42018"/>
    <w:rsid w:val="00F42E83"/>
    <w:rsid w:val="00F442DD"/>
    <w:rsid w:val="00F45072"/>
    <w:rsid w:val="00F45116"/>
    <w:rsid w:val="00F45237"/>
    <w:rsid w:val="00F456F8"/>
    <w:rsid w:val="00F45BC0"/>
    <w:rsid w:val="00F46236"/>
    <w:rsid w:val="00F47EB3"/>
    <w:rsid w:val="00F504DF"/>
    <w:rsid w:val="00F50707"/>
    <w:rsid w:val="00F50FC1"/>
    <w:rsid w:val="00F52455"/>
    <w:rsid w:val="00F527F7"/>
    <w:rsid w:val="00F53F34"/>
    <w:rsid w:val="00F54140"/>
    <w:rsid w:val="00F54914"/>
    <w:rsid w:val="00F55C37"/>
    <w:rsid w:val="00F55CE1"/>
    <w:rsid w:val="00F56ADA"/>
    <w:rsid w:val="00F56E84"/>
    <w:rsid w:val="00F60579"/>
    <w:rsid w:val="00F6161B"/>
    <w:rsid w:val="00F63327"/>
    <w:rsid w:val="00F633BD"/>
    <w:rsid w:val="00F634D9"/>
    <w:rsid w:val="00F63F6E"/>
    <w:rsid w:val="00F64571"/>
    <w:rsid w:val="00F64B65"/>
    <w:rsid w:val="00F650EF"/>
    <w:rsid w:val="00F655E8"/>
    <w:rsid w:val="00F6578B"/>
    <w:rsid w:val="00F65B34"/>
    <w:rsid w:val="00F65DA9"/>
    <w:rsid w:val="00F667BF"/>
    <w:rsid w:val="00F66BD2"/>
    <w:rsid w:val="00F67474"/>
    <w:rsid w:val="00F70800"/>
    <w:rsid w:val="00F7183F"/>
    <w:rsid w:val="00F7333D"/>
    <w:rsid w:val="00F73A31"/>
    <w:rsid w:val="00F748C9"/>
    <w:rsid w:val="00F748EC"/>
    <w:rsid w:val="00F7512F"/>
    <w:rsid w:val="00F75A21"/>
    <w:rsid w:val="00F76EF4"/>
    <w:rsid w:val="00F77C73"/>
    <w:rsid w:val="00F77EBD"/>
    <w:rsid w:val="00F81419"/>
    <w:rsid w:val="00F8191E"/>
    <w:rsid w:val="00F82028"/>
    <w:rsid w:val="00F83BDE"/>
    <w:rsid w:val="00F84D6A"/>
    <w:rsid w:val="00F854E6"/>
    <w:rsid w:val="00F85E5A"/>
    <w:rsid w:val="00F85FF5"/>
    <w:rsid w:val="00F861D5"/>
    <w:rsid w:val="00F86658"/>
    <w:rsid w:val="00F86E04"/>
    <w:rsid w:val="00F87404"/>
    <w:rsid w:val="00F878B2"/>
    <w:rsid w:val="00F91D40"/>
    <w:rsid w:val="00F9307C"/>
    <w:rsid w:val="00F93A90"/>
    <w:rsid w:val="00F94BE4"/>
    <w:rsid w:val="00F94D02"/>
    <w:rsid w:val="00F95050"/>
    <w:rsid w:val="00F95E57"/>
    <w:rsid w:val="00F97A74"/>
    <w:rsid w:val="00FA0EBE"/>
    <w:rsid w:val="00FA271C"/>
    <w:rsid w:val="00FA2865"/>
    <w:rsid w:val="00FA2886"/>
    <w:rsid w:val="00FA28A9"/>
    <w:rsid w:val="00FA2928"/>
    <w:rsid w:val="00FA2C86"/>
    <w:rsid w:val="00FA3BA8"/>
    <w:rsid w:val="00FA4315"/>
    <w:rsid w:val="00FA445D"/>
    <w:rsid w:val="00FA4577"/>
    <w:rsid w:val="00FA618F"/>
    <w:rsid w:val="00FA69E5"/>
    <w:rsid w:val="00FA7FDB"/>
    <w:rsid w:val="00FB0867"/>
    <w:rsid w:val="00FB1136"/>
    <w:rsid w:val="00FB30F6"/>
    <w:rsid w:val="00FB3636"/>
    <w:rsid w:val="00FB5384"/>
    <w:rsid w:val="00FB6265"/>
    <w:rsid w:val="00FB6874"/>
    <w:rsid w:val="00FB7463"/>
    <w:rsid w:val="00FB7604"/>
    <w:rsid w:val="00FB777F"/>
    <w:rsid w:val="00FB7DCC"/>
    <w:rsid w:val="00FC1039"/>
    <w:rsid w:val="00FC11F6"/>
    <w:rsid w:val="00FC1E71"/>
    <w:rsid w:val="00FC2418"/>
    <w:rsid w:val="00FC3003"/>
    <w:rsid w:val="00FC310C"/>
    <w:rsid w:val="00FC34D5"/>
    <w:rsid w:val="00FC3995"/>
    <w:rsid w:val="00FC3C66"/>
    <w:rsid w:val="00FC3E31"/>
    <w:rsid w:val="00FC44C6"/>
    <w:rsid w:val="00FC4BE1"/>
    <w:rsid w:val="00FC4E2F"/>
    <w:rsid w:val="00FC5119"/>
    <w:rsid w:val="00FC5848"/>
    <w:rsid w:val="00FC68B7"/>
    <w:rsid w:val="00FC7B31"/>
    <w:rsid w:val="00FD1CB2"/>
    <w:rsid w:val="00FD1E6D"/>
    <w:rsid w:val="00FD2942"/>
    <w:rsid w:val="00FD2F20"/>
    <w:rsid w:val="00FD3A3F"/>
    <w:rsid w:val="00FD418C"/>
    <w:rsid w:val="00FD4356"/>
    <w:rsid w:val="00FD4C4D"/>
    <w:rsid w:val="00FD5268"/>
    <w:rsid w:val="00FD528F"/>
    <w:rsid w:val="00FD5D24"/>
    <w:rsid w:val="00FD601B"/>
    <w:rsid w:val="00FD667A"/>
    <w:rsid w:val="00FD7BE9"/>
    <w:rsid w:val="00FE08A8"/>
    <w:rsid w:val="00FE0C23"/>
    <w:rsid w:val="00FE1314"/>
    <w:rsid w:val="00FE14B3"/>
    <w:rsid w:val="00FE43FC"/>
    <w:rsid w:val="00FE59E4"/>
    <w:rsid w:val="00FE5C83"/>
    <w:rsid w:val="00FE5E95"/>
    <w:rsid w:val="00FE6265"/>
    <w:rsid w:val="00FF0684"/>
    <w:rsid w:val="00FF0D36"/>
    <w:rsid w:val="00FF2DE4"/>
    <w:rsid w:val="00FF3387"/>
    <w:rsid w:val="00FF483D"/>
    <w:rsid w:val="00FF604C"/>
    <w:rsid w:val="00FF6395"/>
    <w:rsid w:val="00FF7279"/>
    <w:rsid w:val="00FF76BC"/>
    <w:rsid w:val="00FF78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9251350"/>
  <w15:docId w15:val="{A9906A97-1FEF-4344-934B-B4922212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50"/>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link w:val="Heading4Char"/>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23650"/>
    <w:pPr>
      <w:spacing w:after="120"/>
      <w:ind w:left="1134" w:right="1134"/>
      <w:jc w:val="both"/>
    </w:p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23650"/>
    <w:rPr>
      <w:rFonts w:ascii="Times New Roman" w:hAnsi="Times New Roman"/>
      <w:sz w:val="18"/>
      <w:vertAlign w:val="superscript"/>
    </w:rPr>
  </w:style>
  <w:style w:type="character" w:styleId="EndnoteReference">
    <w:name w:val="endnote reference"/>
    <w:aliases w:val="1_G"/>
    <w:basedOn w:val="FootnoteReference"/>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23650"/>
    <w:pPr>
      <w:tabs>
        <w:tab w:val="right" w:pos="1021"/>
      </w:tabs>
      <w:spacing w:line="220" w:lineRule="exact"/>
      <w:ind w:left="1134" w:right="1134" w:hanging="1134"/>
    </w:pPr>
    <w:rPr>
      <w:sz w:val="18"/>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rsid w:val="00523650"/>
    <w:pPr>
      <w:spacing w:line="240" w:lineRule="auto"/>
    </w:pPr>
    <w:rPr>
      <w:sz w:val="16"/>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paragraph" w:customStyle="1" w:styleId="Default">
    <w:name w:val="Default"/>
    <w:rsid w:val="003C737E"/>
    <w:pPr>
      <w:autoSpaceDE w:val="0"/>
      <w:autoSpaceDN w:val="0"/>
      <w:adjustRightInd w:val="0"/>
    </w:pPr>
    <w:rPr>
      <w:color w:val="000000"/>
      <w:sz w:val="24"/>
      <w:szCs w:val="24"/>
    </w:rPr>
  </w:style>
  <w:style w:type="character" w:customStyle="1" w:styleId="SingleTxtGChar">
    <w:name w:val="_ Single Txt_G Char"/>
    <w:link w:val="SingleTxtG"/>
    <w:rsid w:val="00274FB6"/>
    <w:rPr>
      <w:lang w:val="en-GB" w:eastAsia="en-US" w:bidi="ar-SA"/>
    </w:rPr>
  </w:style>
  <w:style w:type="paragraph" w:styleId="BalloonText">
    <w:name w:val="Balloon Text"/>
    <w:basedOn w:val="Normal"/>
    <w:link w:val="BalloonTextChar"/>
    <w:rsid w:val="007A7A52"/>
    <w:pPr>
      <w:spacing w:line="240" w:lineRule="auto"/>
    </w:pPr>
    <w:rPr>
      <w:rFonts w:ascii="Tahoma" w:hAnsi="Tahoma" w:cs="Tahoma"/>
      <w:sz w:val="16"/>
      <w:szCs w:val="16"/>
    </w:rPr>
  </w:style>
  <w:style w:type="character" w:customStyle="1" w:styleId="BalloonTextChar">
    <w:name w:val="Balloon Text Char"/>
    <w:link w:val="BalloonText"/>
    <w:rsid w:val="007A7A52"/>
    <w:rPr>
      <w:rFonts w:ascii="Tahoma" w:hAnsi="Tahoma" w:cs="Tahoma"/>
      <w:sz w:val="16"/>
      <w:szCs w:val="16"/>
      <w:lang w:eastAsia="en-US"/>
    </w:rPr>
  </w:style>
  <w:style w:type="character" w:customStyle="1" w:styleId="FootnoteTextChar">
    <w:name w:val="Footnote Text Char"/>
    <w:aliases w:val="5_G Char"/>
    <w:link w:val="FootnoteText"/>
    <w:rsid w:val="00303CB9"/>
    <w:rPr>
      <w:sz w:val="18"/>
      <w:lang w:val="en-GB" w:eastAsia="en-US"/>
    </w:rPr>
  </w:style>
  <w:style w:type="character" w:styleId="CommentReference">
    <w:name w:val="annotation reference"/>
    <w:rsid w:val="00D10DCF"/>
    <w:rPr>
      <w:sz w:val="16"/>
      <w:szCs w:val="16"/>
    </w:rPr>
  </w:style>
  <w:style w:type="paragraph" w:styleId="CommentText">
    <w:name w:val="annotation text"/>
    <w:basedOn w:val="Normal"/>
    <w:link w:val="CommentTextChar"/>
    <w:rsid w:val="00D10DCF"/>
  </w:style>
  <w:style w:type="character" w:customStyle="1" w:styleId="CommentTextChar">
    <w:name w:val="Comment Text Char"/>
    <w:link w:val="CommentText"/>
    <w:rsid w:val="00D10DCF"/>
    <w:rPr>
      <w:lang w:val="en-GB" w:eastAsia="en-US"/>
    </w:rPr>
  </w:style>
  <w:style w:type="paragraph" w:styleId="CommentSubject">
    <w:name w:val="annotation subject"/>
    <w:basedOn w:val="CommentText"/>
    <w:next w:val="CommentText"/>
    <w:link w:val="CommentSubjectChar"/>
    <w:rsid w:val="00D10DCF"/>
    <w:rPr>
      <w:b/>
      <w:bCs/>
    </w:rPr>
  </w:style>
  <w:style w:type="character" w:customStyle="1" w:styleId="CommentSubjectChar">
    <w:name w:val="Comment Subject Char"/>
    <w:link w:val="CommentSubject"/>
    <w:rsid w:val="00D10DCF"/>
    <w:rPr>
      <w:b/>
      <w:bCs/>
      <w:lang w:val="en-GB" w:eastAsia="en-US"/>
    </w:rPr>
  </w:style>
  <w:style w:type="paragraph" w:styleId="NoSpacing">
    <w:name w:val="No Spacing"/>
    <w:uiPriority w:val="1"/>
    <w:qFormat/>
    <w:rsid w:val="00CA6607"/>
    <w:pPr>
      <w:suppressAutoHyphens/>
    </w:pPr>
    <w:rPr>
      <w:lang w:val="en-GB" w:eastAsia="en-US"/>
    </w:rPr>
  </w:style>
  <w:style w:type="character" w:customStyle="1" w:styleId="SingleTxtGCar">
    <w:name w:val="_ Single Txt_G Car"/>
    <w:uiPriority w:val="99"/>
    <w:locked/>
    <w:rsid w:val="006E1126"/>
    <w:rPr>
      <w:rFonts w:ascii="Times New Roman" w:hAnsi="Times New Roman" w:cs="Times New Roman"/>
      <w:sz w:val="20"/>
      <w:szCs w:val="20"/>
    </w:rPr>
  </w:style>
  <w:style w:type="character" w:customStyle="1" w:styleId="highlight1">
    <w:name w:val="highlight1"/>
    <w:rsid w:val="000B3783"/>
    <w:rPr>
      <w:shd w:val="clear" w:color="auto" w:fill="FFCC33"/>
    </w:rPr>
  </w:style>
  <w:style w:type="paragraph" w:styleId="ListParagraph">
    <w:name w:val="List Paragraph"/>
    <w:aliases w:val="Unordered List Paragraph"/>
    <w:basedOn w:val="Normal"/>
    <w:uiPriority w:val="34"/>
    <w:qFormat/>
    <w:rsid w:val="00FE43FC"/>
    <w:pPr>
      <w:suppressAutoHyphens w:val="0"/>
      <w:spacing w:line="240" w:lineRule="auto"/>
      <w:ind w:left="720"/>
      <w:contextualSpacing/>
    </w:pPr>
    <w:rPr>
      <w:rFonts w:ascii="Cambria" w:eastAsia="MS Mincho" w:hAnsi="Cambria"/>
      <w:sz w:val="24"/>
      <w:szCs w:val="24"/>
      <w:lang w:val="en-US" w:eastAsia="it-IT"/>
    </w:rPr>
  </w:style>
  <w:style w:type="paragraph" w:styleId="NormalWeb">
    <w:name w:val="Normal (Web)"/>
    <w:basedOn w:val="Normal"/>
    <w:uiPriority w:val="99"/>
    <w:semiHidden/>
    <w:unhideWhenUsed/>
    <w:rsid w:val="002E5B90"/>
    <w:pPr>
      <w:suppressAutoHyphens w:val="0"/>
      <w:spacing w:before="100" w:beforeAutospacing="1" w:after="100" w:afterAutospacing="1" w:line="240" w:lineRule="auto"/>
    </w:pPr>
    <w:rPr>
      <w:rFonts w:eastAsia="Times New Roman"/>
      <w:sz w:val="24"/>
      <w:szCs w:val="24"/>
      <w:lang w:eastAsia="en-GB"/>
    </w:rPr>
  </w:style>
  <w:style w:type="character" w:customStyle="1" w:styleId="Heading4Char">
    <w:name w:val="Heading 4 Char"/>
    <w:link w:val="Heading4"/>
    <w:rsid w:val="009949B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7410">
      <w:bodyDiv w:val="1"/>
      <w:marLeft w:val="0"/>
      <w:marRight w:val="0"/>
      <w:marTop w:val="0"/>
      <w:marBottom w:val="0"/>
      <w:divBdr>
        <w:top w:val="none" w:sz="0" w:space="0" w:color="auto"/>
        <w:left w:val="none" w:sz="0" w:space="0" w:color="auto"/>
        <w:bottom w:val="none" w:sz="0" w:space="0" w:color="auto"/>
        <w:right w:val="none" w:sz="0" w:space="0" w:color="auto"/>
      </w:divBdr>
      <w:divsChild>
        <w:div w:id="1152990760">
          <w:marLeft w:val="0"/>
          <w:marRight w:val="0"/>
          <w:marTop w:val="0"/>
          <w:marBottom w:val="0"/>
          <w:divBdr>
            <w:top w:val="none" w:sz="0" w:space="0" w:color="auto"/>
            <w:left w:val="none" w:sz="0" w:space="0" w:color="auto"/>
            <w:bottom w:val="none" w:sz="0" w:space="0" w:color="auto"/>
            <w:right w:val="none" w:sz="0" w:space="0" w:color="auto"/>
          </w:divBdr>
          <w:divsChild>
            <w:div w:id="380128894">
              <w:marLeft w:val="0"/>
              <w:marRight w:val="0"/>
              <w:marTop w:val="0"/>
              <w:marBottom w:val="0"/>
              <w:divBdr>
                <w:top w:val="none" w:sz="0" w:space="0" w:color="auto"/>
                <w:left w:val="none" w:sz="0" w:space="0" w:color="auto"/>
                <w:bottom w:val="none" w:sz="0" w:space="0" w:color="auto"/>
                <w:right w:val="none" w:sz="0" w:space="0" w:color="auto"/>
              </w:divBdr>
            </w:div>
            <w:div w:id="1356157013">
              <w:marLeft w:val="0"/>
              <w:marRight w:val="0"/>
              <w:marTop w:val="0"/>
              <w:marBottom w:val="0"/>
              <w:divBdr>
                <w:top w:val="none" w:sz="0" w:space="0" w:color="auto"/>
                <w:left w:val="none" w:sz="0" w:space="0" w:color="auto"/>
                <w:bottom w:val="none" w:sz="0" w:space="0" w:color="auto"/>
                <w:right w:val="none" w:sz="0" w:space="0" w:color="auto"/>
              </w:divBdr>
            </w:div>
            <w:div w:id="1914389683">
              <w:marLeft w:val="0"/>
              <w:marRight w:val="0"/>
              <w:marTop w:val="0"/>
              <w:marBottom w:val="0"/>
              <w:divBdr>
                <w:top w:val="none" w:sz="0" w:space="0" w:color="auto"/>
                <w:left w:val="none" w:sz="0" w:space="0" w:color="auto"/>
                <w:bottom w:val="none" w:sz="0" w:space="0" w:color="auto"/>
                <w:right w:val="none" w:sz="0" w:space="0" w:color="auto"/>
              </w:divBdr>
            </w:div>
            <w:div w:id="451245645">
              <w:marLeft w:val="0"/>
              <w:marRight w:val="0"/>
              <w:marTop w:val="0"/>
              <w:marBottom w:val="0"/>
              <w:divBdr>
                <w:top w:val="none" w:sz="0" w:space="0" w:color="auto"/>
                <w:left w:val="none" w:sz="0" w:space="0" w:color="auto"/>
                <w:bottom w:val="none" w:sz="0" w:space="0" w:color="auto"/>
                <w:right w:val="none" w:sz="0" w:space="0" w:color="auto"/>
              </w:divBdr>
            </w:div>
            <w:div w:id="138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178">
      <w:bodyDiv w:val="1"/>
      <w:marLeft w:val="0"/>
      <w:marRight w:val="0"/>
      <w:marTop w:val="0"/>
      <w:marBottom w:val="0"/>
      <w:divBdr>
        <w:top w:val="none" w:sz="0" w:space="0" w:color="auto"/>
        <w:left w:val="none" w:sz="0" w:space="0" w:color="auto"/>
        <w:bottom w:val="none" w:sz="0" w:space="0" w:color="auto"/>
        <w:right w:val="none" w:sz="0" w:space="0" w:color="auto"/>
      </w:divBdr>
    </w:div>
    <w:div w:id="723024320">
      <w:bodyDiv w:val="1"/>
      <w:marLeft w:val="0"/>
      <w:marRight w:val="0"/>
      <w:marTop w:val="0"/>
      <w:marBottom w:val="0"/>
      <w:divBdr>
        <w:top w:val="none" w:sz="0" w:space="0" w:color="auto"/>
        <w:left w:val="none" w:sz="0" w:space="0" w:color="auto"/>
        <w:bottom w:val="none" w:sz="0" w:space="0" w:color="auto"/>
        <w:right w:val="none" w:sz="0" w:space="0" w:color="auto"/>
      </w:divBdr>
    </w:div>
    <w:div w:id="808936923">
      <w:bodyDiv w:val="1"/>
      <w:marLeft w:val="0"/>
      <w:marRight w:val="0"/>
      <w:marTop w:val="0"/>
      <w:marBottom w:val="0"/>
      <w:divBdr>
        <w:top w:val="none" w:sz="0" w:space="0" w:color="auto"/>
        <w:left w:val="none" w:sz="0" w:space="0" w:color="auto"/>
        <w:bottom w:val="none" w:sz="0" w:space="0" w:color="auto"/>
        <w:right w:val="none" w:sz="0" w:space="0" w:color="auto"/>
      </w:divBdr>
    </w:div>
    <w:div w:id="901988688">
      <w:bodyDiv w:val="1"/>
      <w:marLeft w:val="0"/>
      <w:marRight w:val="0"/>
      <w:marTop w:val="0"/>
      <w:marBottom w:val="0"/>
      <w:divBdr>
        <w:top w:val="none" w:sz="0" w:space="0" w:color="auto"/>
        <w:left w:val="none" w:sz="0" w:space="0" w:color="auto"/>
        <w:bottom w:val="none" w:sz="0" w:space="0" w:color="auto"/>
        <w:right w:val="none" w:sz="0" w:space="0" w:color="auto"/>
      </w:divBdr>
    </w:div>
    <w:div w:id="1249657903">
      <w:bodyDiv w:val="1"/>
      <w:marLeft w:val="0"/>
      <w:marRight w:val="0"/>
      <w:marTop w:val="0"/>
      <w:marBottom w:val="0"/>
      <w:divBdr>
        <w:top w:val="none" w:sz="0" w:space="0" w:color="auto"/>
        <w:left w:val="none" w:sz="0" w:space="0" w:color="auto"/>
        <w:bottom w:val="none" w:sz="0" w:space="0" w:color="auto"/>
        <w:right w:val="none" w:sz="0" w:space="0" w:color="auto"/>
      </w:divBdr>
    </w:div>
    <w:div w:id="1538619570">
      <w:bodyDiv w:val="1"/>
      <w:marLeft w:val="0"/>
      <w:marRight w:val="0"/>
      <w:marTop w:val="0"/>
      <w:marBottom w:val="0"/>
      <w:divBdr>
        <w:top w:val="none" w:sz="0" w:space="0" w:color="auto"/>
        <w:left w:val="none" w:sz="0" w:space="0" w:color="auto"/>
        <w:bottom w:val="none" w:sz="0" w:space="0" w:color="auto"/>
        <w:right w:val="none" w:sz="0" w:space="0" w:color="auto"/>
      </w:divBdr>
      <w:divsChild>
        <w:div w:id="998264616">
          <w:marLeft w:val="0"/>
          <w:marRight w:val="0"/>
          <w:marTop w:val="0"/>
          <w:marBottom w:val="0"/>
          <w:divBdr>
            <w:top w:val="none" w:sz="0" w:space="0" w:color="auto"/>
            <w:left w:val="none" w:sz="0" w:space="0" w:color="auto"/>
            <w:bottom w:val="none" w:sz="0" w:space="0" w:color="auto"/>
            <w:right w:val="none" w:sz="0" w:space="0" w:color="auto"/>
          </w:divBdr>
          <w:divsChild>
            <w:div w:id="1232081296">
              <w:marLeft w:val="0"/>
              <w:marRight w:val="0"/>
              <w:marTop w:val="0"/>
              <w:marBottom w:val="0"/>
              <w:divBdr>
                <w:top w:val="none" w:sz="0" w:space="0" w:color="auto"/>
                <w:left w:val="none" w:sz="0" w:space="0" w:color="auto"/>
                <w:bottom w:val="none" w:sz="0" w:space="0" w:color="auto"/>
                <w:right w:val="none" w:sz="0" w:space="0" w:color="auto"/>
              </w:divBdr>
              <w:divsChild>
                <w:div w:id="313920128">
                  <w:marLeft w:val="0"/>
                  <w:marRight w:val="0"/>
                  <w:marTop w:val="0"/>
                  <w:marBottom w:val="0"/>
                  <w:divBdr>
                    <w:top w:val="none" w:sz="0" w:space="0" w:color="auto"/>
                    <w:left w:val="none" w:sz="0" w:space="0" w:color="auto"/>
                    <w:bottom w:val="none" w:sz="0" w:space="0" w:color="auto"/>
                    <w:right w:val="none" w:sz="0" w:space="0" w:color="auto"/>
                  </w:divBdr>
                  <w:divsChild>
                    <w:div w:id="848375421">
                      <w:marLeft w:val="0"/>
                      <w:marRight w:val="0"/>
                      <w:marTop w:val="0"/>
                      <w:marBottom w:val="0"/>
                      <w:divBdr>
                        <w:top w:val="none" w:sz="0" w:space="0" w:color="auto"/>
                        <w:left w:val="none" w:sz="0" w:space="0" w:color="auto"/>
                        <w:bottom w:val="none" w:sz="0" w:space="0" w:color="auto"/>
                        <w:right w:val="none" w:sz="0" w:space="0" w:color="auto"/>
                      </w:divBdr>
                      <w:divsChild>
                        <w:div w:id="16798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497108">
      <w:bodyDiv w:val="1"/>
      <w:marLeft w:val="0"/>
      <w:marRight w:val="0"/>
      <w:marTop w:val="0"/>
      <w:marBottom w:val="0"/>
      <w:divBdr>
        <w:top w:val="none" w:sz="0" w:space="0" w:color="auto"/>
        <w:left w:val="none" w:sz="0" w:space="0" w:color="auto"/>
        <w:bottom w:val="none" w:sz="0" w:space="0" w:color="auto"/>
        <w:right w:val="none" w:sz="0" w:space="0" w:color="auto"/>
      </w:divBdr>
    </w:div>
    <w:div w:id="1687049441">
      <w:bodyDiv w:val="1"/>
      <w:marLeft w:val="0"/>
      <w:marRight w:val="0"/>
      <w:marTop w:val="0"/>
      <w:marBottom w:val="0"/>
      <w:divBdr>
        <w:top w:val="none" w:sz="0" w:space="0" w:color="auto"/>
        <w:left w:val="none" w:sz="0" w:space="0" w:color="auto"/>
        <w:bottom w:val="none" w:sz="0" w:space="0" w:color="auto"/>
        <w:right w:val="none" w:sz="0" w:space="0" w:color="auto"/>
      </w:divBdr>
      <w:divsChild>
        <w:div w:id="711224754">
          <w:marLeft w:val="0"/>
          <w:marRight w:val="0"/>
          <w:marTop w:val="0"/>
          <w:marBottom w:val="0"/>
          <w:divBdr>
            <w:top w:val="none" w:sz="0" w:space="0" w:color="auto"/>
            <w:left w:val="none" w:sz="0" w:space="0" w:color="auto"/>
            <w:bottom w:val="none" w:sz="0" w:space="0" w:color="auto"/>
            <w:right w:val="none" w:sz="0" w:space="0" w:color="auto"/>
          </w:divBdr>
          <w:divsChild>
            <w:div w:id="1948586668">
              <w:marLeft w:val="0"/>
              <w:marRight w:val="0"/>
              <w:marTop w:val="0"/>
              <w:marBottom w:val="0"/>
              <w:divBdr>
                <w:top w:val="none" w:sz="0" w:space="0" w:color="auto"/>
                <w:left w:val="none" w:sz="0" w:space="0" w:color="auto"/>
                <w:bottom w:val="none" w:sz="0" w:space="0" w:color="auto"/>
                <w:right w:val="none" w:sz="0" w:space="0" w:color="auto"/>
              </w:divBdr>
            </w:div>
            <w:div w:id="1453591984">
              <w:marLeft w:val="0"/>
              <w:marRight w:val="0"/>
              <w:marTop w:val="0"/>
              <w:marBottom w:val="0"/>
              <w:divBdr>
                <w:top w:val="none" w:sz="0" w:space="0" w:color="auto"/>
                <w:left w:val="none" w:sz="0" w:space="0" w:color="auto"/>
                <w:bottom w:val="none" w:sz="0" w:space="0" w:color="auto"/>
                <w:right w:val="none" w:sz="0" w:space="0" w:color="auto"/>
              </w:divBdr>
            </w:div>
            <w:div w:id="373189712">
              <w:marLeft w:val="0"/>
              <w:marRight w:val="0"/>
              <w:marTop w:val="0"/>
              <w:marBottom w:val="0"/>
              <w:divBdr>
                <w:top w:val="none" w:sz="0" w:space="0" w:color="auto"/>
                <w:left w:val="none" w:sz="0" w:space="0" w:color="auto"/>
                <w:bottom w:val="none" w:sz="0" w:space="0" w:color="auto"/>
                <w:right w:val="none" w:sz="0" w:space="0" w:color="auto"/>
              </w:divBdr>
            </w:div>
            <w:div w:id="1523130686">
              <w:marLeft w:val="0"/>
              <w:marRight w:val="0"/>
              <w:marTop w:val="0"/>
              <w:marBottom w:val="0"/>
              <w:divBdr>
                <w:top w:val="none" w:sz="0" w:space="0" w:color="auto"/>
                <w:left w:val="none" w:sz="0" w:space="0" w:color="auto"/>
                <w:bottom w:val="none" w:sz="0" w:space="0" w:color="auto"/>
                <w:right w:val="none" w:sz="0" w:space="0" w:color="auto"/>
              </w:divBdr>
            </w:div>
            <w:div w:id="1313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360">
      <w:bodyDiv w:val="1"/>
      <w:marLeft w:val="0"/>
      <w:marRight w:val="0"/>
      <w:marTop w:val="0"/>
      <w:marBottom w:val="0"/>
      <w:divBdr>
        <w:top w:val="none" w:sz="0" w:space="0" w:color="auto"/>
        <w:left w:val="none" w:sz="0" w:space="0" w:color="auto"/>
        <w:bottom w:val="none" w:sz="0" w:space="0" w:color="auto"/>
        <w:right w:val="none" w:sz="0" w:space="0" w:color="auto"/>
      </w:divBdr>
    </w:div>
    <w:div w:id="1875263089">
      <w:bodyDiv w:val="1"/>
      <w:marLeft w:val="0"/>
      <w:marRight w:val="0"/>
      <w:marTop w:val="0"/>
      <w:marBottom w:val="0"/>
      <w:divBdr>
        <w:top w:val="none" w:sz="0" w:space="0" w:color="auto"/>
        <w:left w:val="none" w:sz="0" w:space="0" w:color="auto"/>
        <w:bottom w:val="none" w:sz="0" w:space="0" w:color="auto"/>
        <w:right w:val="none" w:sz="0" w:space="0" w:color="auto"/>
      </w:divBdr>
    </w:div>
    <w:div w:id="19517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D4A9-7F1C-416C-9504-3712B5BA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3996</Words>
  <Characters>22549</Characters>
  <Application>Microsoft Office Word</Application>
  <DocSecurity>0</DocSecurity>
  <Lines>387</Lines>
  <Paragraphs>119</Paragraphs>
  <ScaleCrop>false</ScaleCrop>
  <HeadingPairs>
    <vt:vector size="2" baseType="variant">
      <vt:variant>
        <vt:lpstr>Title</vt:lpstr>
      </vt:variant>
      <vt:variant>
        <vt:i4>1</vt:i4>
      </vt:variant>
    </vt:vector>
  </HeadingPairs>
  <TitlesOfParts>
    <vt:vector size="1" baseType="lpstr">
      <vt:lpstr>1716711</vt:lpstr>
    </vt:vector>
  </TitlesOfParts>
  <Company>CSD</Company>
  <LinksUpToDate>false</LinksUpToDate>
  <CharactersWithSpaces>26518</CharactersWithSpaces>
  <SharedDoc>false</SharedDoc>
  <HLinks>
    <vt:vector size="120" baseType="variant">
      <vt:variant>
        <vt:i4>7405586</vt:i4>
      </vt:variant>
      <vt:variant>
        <vt:i4>60</vt:i4>
      </vt:variant>
      <vt:variant>
        <vt:i4>0</vt:i4>
      </vt:variant>
      <vt:variant>
        <vt:i4>5</vt:i4>
      </vt:variant>
      <vt:variant>
        <vt:lpwstr>http://tbinternet.ohchr.org/_layouts/TreatyBodyExternal/CoreDocuments.aspx</vt:lpwstr>
      </vt:variant>
      <vt:variant>
        <vt:lpwstr/>
      </vt:variant>
      <vt:variant>
        <vt:i4>7405676</vt:i4>
      </vt:variant>
      <vt:variant>
        <vt:i4>57</vt:i4>
      </vt:variant>
      <vt:variant>
        <vt:i4>0</vt:i4>
      </vt:variant>
      <vt:variant>
        <vt:i4>5</vt:i4>
      </vt:variant>
      <vt:variant>
        <vt:lpwstr>https://treaties.un.org/PAGES/ViewDetails.aspx?src=TREATY&amp;mtdsg_no=IV-2-a&amp;chapter=4&amp;clang=_en</vt:lpwstr>
      </vt:variant>
      <vt:variant>
        <vt:lpwstr/>
      </vt:variant>
      <vt:variant>
        <vt:i4>4194405</vt:i4>
      </vt:variant>
      <vt:variant>
        <vt:i4>54</vt:i4>
      </vt:variant>
      <vt:variant>
        <vt:i4>0</vt:i4>
      </vt:variant>
      <vt:variant>
        <vt:i4>5</vt:i4>
      </vt:variant>
      <vt:variant>
        <vt:lpwstr>http://tbinternet.ohchr.org/_layouts/TreatyBodyExternal/Treaty.aspx?CountryID=131&amp;Lang=en</vt:lpwstr>
      </vt:variant>
      <vt:variant>
        <vt:lpwstr/>
      </vt:variant>
      <vt:variant>
        <vt:i4>1703951</vt:i4>
      </vt:variant>
      <vt:variant>
        <vt:i4>51</vt:i4>
      </vt:variant>
      <vt:variant>
        <vt:i4>0</vt:i4>
      </vt:variant>
      <vt:variant>
        <vt:i4>5</vt:i4>
      </vt:variant>
      <vt:variant>
        <vt:lpwstr>http://www.ilo.org/dyn/normlex/en/f?p=NORMLEXPUB:11310:0::NO:11310:P11310_INSTRUMENT_ID:2551460:NO</vt:lpwstr>
      </vt:variant>
      <vt:variant>
        <vt:lpwstr/>
      </vt:variant>
      <vt:variant>
        <vt:i4>2424936</vt:i4>
      </vt:variant>
      <vt:variant>
        <vt:i4>48</vt:i4>
      </vt:variant>
      <vt:variant>
        <vt:i4>0</vt:i4>
      </vt:variant>
      <vt:variant>
        <vt:i4>5</vt:i4>
      </vt:variant>
      <vt:variant>
        <vt:lpwstr>http://www.ilo.org/dyn/normlex/en/f?p=NORMLEXPUB:11310:0::NO:11310:P11310_INSTRUMENT_ID:312314:NO</vt:lpwstr>
      </vt:variant>
      <vt:variant>
        <vt:lpwstr/>
      </vt:variant>
      <vt:variant>
        <vt:i4>1114142</vt:i4>
      </vt:variant>
      <vt:variant>
        <vt:i4>45</vt:i4>
      </vt:variant>
      <vt:variant>
        <vt:i4>0</vt:i4>
      </vt:variant>
      <vt:variant>
        <vt:i4>5</vt:i4>
      </vt:variant>
      <vt:variant>
        <vt:lpwstr>https://treaties.un.org/PAGES/ViewDetails.aspx?src=TREATY&amp;mtdsg_no=IV-13&amp;chapter=4&amp;clang=_en</vt:lpwstr>
      </vt:variant>
      <vt:variant>
        <vt:lpwstr/>
      </vt:variant>
      <vt:variant>
        <vt:i4>5832795</vt:i4>
      </vt:variant>
      <vt:variant>
        <vt:i4>42</vt:i4>
      </vt:variant>
      <vt:variant>
        <vt:i4>0</vt:i4>
      </vt:variant>
      <vt:variant>
        <vt:i4>5</vt:i4>
      </vt:variant>
      <vt:variant>
        <vt:lpwstr>http://www.stats.govt.nz/browse_for_stats/snapshots-of-nz/nz-social-indicators/Home/Culture and identity.aspx</vt:lpwstr>
      </vt:variant>
      <vt:variant>
        <vt:lpwstr/>
      </vt:variant>
      <vt:variant>
        <vt:i4>4718682</vt:i4>
      </vt:variant>
      <vt:variant>
        <vt:i4>36</vt:i4>
      </vt:variant>
      <vt:variant>
        <vt:i4>0</vt:i4>
      </vt:variant>
      <vt:variant>
        <vt:i4>5</vt:i4>
      </vt:variant>
      <vt:variant>
        <vt:lpwstr>http://www.health.govt.nz/our-work/populations/maori-health/he-korowai-oranga</vt:lpwstr>
      </vt:variant>
      <vt:variant>
        <vt:lpwstr/>
      </vt:variant>
      <vt:variant>
        <vt:i4>4653148</vt:i4>
      </vt:variant>
      <vt:variant>
        <vt:i4>33</vt:i4>
      </vt:variant>
      <vt:variant>
        <vt:i4>0</vt:i4>
      </vt:variant>
      <vt:variant>
        <vt:i4>5</vt:i4>
      </vt:variant>
      <vt:variant>
        <vt:lpwstr>http://www.tpk.govt.nz/en/whakamahia/maori-land-service/</vt:lpwstr>
      </vt:variant>
      <vt:variant>
        <vt:lpwstr/>
      </vt:variant>
      <vt:variant>
        <vt:i4>7929959</vt:i4>
      </vt:variant>
      <vt:variant>
        <vt:i4>30</vt:i4>
      </vt:variant>
      <vt:variant>
        <vt:i4>0</vt:i4>
      </vt:variant>
      <vt:variant>
        <vt:i4>5</vt:i4>
      </vt:variant>
      <vt:variant>
        <vt:lpwstr>http://www.legislation.govt.nz/act/public/2011/0003/latest/whole.html</vt:lpwstr>
      </vt:variant>
      <vt:variant>
        <vt:lpwstr>DLM3213131</vt:lpwstr>
      </vt:variant>
      <vt:variant>
        <vt:i4>1507421</vt:i4>
      </vt:variant>
      <vt:variant>
        <vt:i4>27</vt:i4>
      </vt:variant>
      <vt:variant>
        <vt:i4>0</vt:i4>
      </vt:variant>
      <vt:variant>
        <vt:i4>5</vt:i4>
      </vt:variant>
      <vt:variant>
        <vt:lpwstr>http://www.ourconstitution.org.nz/Recommendations</vt:lpwstr>
      </vt:variant>
      <vt:variant>
        <vt:lpwstr/>
      </vt:variant>
      <vt:variant>
        <vt:i4>7733348</vt:i4>
      </vt:variant>
      <vt:variant>
        <vt:i4>24</vt:i4>
      </vt:variant>
      <vt:variant>
        <vt:i4>0</vt:i4>
      </vt:variant>
      <vt:variant>
        <vt:i4>5</vt:i4>
      </vt:variant>
      <vt:variant>
        <vt:lpwstr>http://www.legislation.govt.nz/bill/government/2013/0124/3.0/whole.html</vt:lpwstr>
      </vt:variant>
      <vt:variant>
        <vt:lpwstr/>
      </vt:variant>
      <vt:variant>
        <vt:i4>1376348</vt:i4>
      </vt:variant>
      <vt:variant>
        <vt:i4>21</vt:i4>
      </vt:variant>
      <vt:variant>
        <vt:i4>0</vt:i4>
      </vt:variant>
      <vt:variant>
        <vt:i4>5</vt:i4>
      </vt:variant>
      <vt:variant>
        <vt:lpwstr>http://www.legislation.govt.nz/act/public/2015/0063/latest/whole.html</vt:lpwstr>
      </vt:variant>
      <vt:variant>
        <vt:lpwstr/>
      </vt:variant>
      <vt:variant>
        <vt:i4>5374038</vt:i4>
      </vt:variant>
      <vt:variant>
        <vt:i4>18</vt:i4>
      </vt:variant>
      <vt:variant>
        <vt:i4>0</vt:i4>
      </vt:variant>
      <vt:variant>
        <vt:i4>5</vt:i4>
      </vt:variant>
      <vt:variant>
        <vt:lpwstr>http://legislation.govt.nz/act/public/2002/0009/latest/DLM135342.html</vt:lpwstr>
      </vt:variant>
      <vt:variant>
        <vt:lpwstr/>
      </vt:variant>
      <vt:variant>
        <vt:i4>6029327</vt:i4>
      </vt:variant>
      <vt:variant>
        <vt:i4>15</vt:i4>
      </vt:variant>
      <vt:variant>
        <vt:i4>0</vt:i4>
      </vt:variant>
      <vt:variant>
        <vt:i4>5</vt:i4>
      </vt:variant>
      <vt:variant>
        <vt:lpwstr>http://www.legislation.govt.nz/act/public/1993/0082/latest/DLM305478.html</vt:lpwstr>
      </vt:variant>
      <vt:variant>
        <vt:lpwstr/>
      </vt:variant>
      <vt:variant>
        <vt:i4>6160397</vt:i4>
      </vt:variant>
      <vt:variant>
        <vt:i4>12</vt:i4>
      </vt:variant>
      <vt:variant>
        <vt:i4>0</vt:i4>
      </vt:variant>
      <vt:variant>
        <vt:i4>5</vt:i4>
      </vt:variant>
      <vt:variant>
        <vt:lpwstr>http://nhri.ohchr.org/EN/Documents/Status Accreditation Chart.pdf</vt:lpwstr>
      </vt:variant>
      <vt:variant>
        <vt:lpwstr/>
      </vt:variant>
      <vt:variant>
        <vt:i4>589846</vt:i4>
      </vt:variant>
      <vt:variant>
        <vt:i4>9</vt:i4>
      </vt:variant>
      <vt:variant>
        <vt:i4>0</vt:i4>
      </vt:variant>
      <vt:variant>
        <vt:i4>5</vt:i4>
      </vt:variant>
      <vt:variant>
        <vt:lpwstr>http://www.thatsus.co.nz/</vt:lpwstr>
      </vt:variant>
      <vt:variant>
        <vt:lpwstr/>
      </vt:variant>
      <vt:variant>
        <vt:i4>5308501</vt:i4>
      </vt:variant>
      <vt:variant>
        <vt:i4>6</vt:i4>
      </vt:variant>
      <vt:variant>
        <vt:i4>0</vt:i4>
      </vt:variant>
      <vt:variant>
        <vt:i4>5</vt:i4>
      </vt:variant>
      <vt:variant>
        <vt:lpwstr>https://www.tpk.govt.nz/en/a-matou-kaupapa/strengthening-maori-cultural-wealth/te-reo-maori/</vt:lpwstr>
      </vt:variant>
      <vt:variant>
        <vt:lpwstr>head0</vt:lpwstr>
      </vt:variant>
      <vt:variant>
        <vt:i4>1572901</vt:i4>
      </vt:variant>
      <vt:variant>
        <vt:i4>3</vt:i4>
      </vt:variant>
      <vt:variant>
        <vt:i4>0</vt:i4>
      </vt:variant>
      <vt:variant>
        <vt:i4>5</vt:i4>
      </vt:variant>
      <vt:variant>
        <vt:lpwstr>http://npa.hrc.co.nz/</vt:lpwstr>
      </vt:variant>
      <vt:variant>
        <vt:lpwstr>/</vt:lpwstr>
      </vt:variant>
      <vt:variant>
        <vt:i4>1572901</vt:i4>
      </vt:variant>
      <vt:variant>
        <vt:i4>0</vt:i4>
      </vt:variant>
      <vt:variant>
        <vt:i4>0</vt:i4>
      </vt:variant>
      <vt:variant>
        <vt:i4>5</vt:i4>
      </vt:variant>
      <vt:variant>
        <vt:lpwstr>http://npa.hrc.co.nz/</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1716711</dc:title>
  <dc:subject>CERD/C/NZL/CO/21-22</dc:subject>
  <dc:creator>default</dc:creator>
  <cp:keywords/>
  <dc:description/>
  <cp:lastModifiedBy>Generic Pdf eng</cp:lastModifiedBy>
  <cp:revision>2</cp:revision>
  <cp:lastPrinted>2017-09-18T07:22:00Z</cp:lastPrinted>
  <dcterms:created xsi:type="dcterms:W3CDTF">2017-09-22T14:26:00Z</dcterms:created>
  <dcterms:modified xsi:type="dcterms:W3CDTF">2017-09-22T14:26:00Z</dcterms:modified>
</cp:coreProperties>
</file>