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:rsidTr="008D2AAD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5474B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8D2AAD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5474B2" w:rsidP="005474B2">
            <w:pPr>
              <w:jc w:val="right"/>
            </w:pPr>
            <w:r w:rsidRPr="005474B2">
              <w:rPr>
                <w:sz w:val="40"/>
              </w:rPr>
              <w:t>CERD</w:t>
            </w:r>
            <w:r>
              <w:t>/C/NZL/CO/21-22</w:t>
            </w:r>
          </w:p>
        </w:tc>
      </w:tr>
      <w:tr w:rsidR="002D5AAC" w:rsidRPr="005474B2" w:rsidTr="008D2AAD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8D2AAD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2BBF7B9" wp14:editId="701B48F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2B74B1" w:rsidP="008D2AAD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7511D7">
              <w:rPr>
                <w:b/>
                <w:spacing w:val="-4"/>
                <w:w w:val="100"/>
                <w:sz w:val="34"/>
                <w:szCs w:val="40"/>
              </w:rPr>
              <w:t>Международная конвенция</w:t>
            </w:r>
            <w:r w:rsidRPr="007511D7">
              <w:rPr>
                <w:b/>
                <w:spacing w:val="-4"/>
                <w:w w:val="100"/>
                <w:sz w:val="34"/>
                <w:szCs w:val="40"/>
              </w:rPr>
              <w:br/>
              <w:t>о ликвидации всех форм</w:t>
            </w:r>
            <w:r w:rsidRPr="007511D7">
              <w:rPr>
                <w:b/>
                <w:spacing w:val="-4"/>
                <w:w w:val="100"/>
                <w:sz w:val="34"/>
                <w:szCs w:val="40"/>
              </w:rPr>
              <w:br/>
              <w:t>расовой дискриминации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5474B2" w:rsidRDefault="005474B2" w:rsidP="008D2AAD">
            <w:pPr>
              <w:spacing w:before="240"/>
              <w:rPr>
                <w:lang w:val="en-US"/>
              </w:rPr>
            </w:pPr>
            <w:r w:rsidRPr="005474B2">
              <w:rPr>
                <w:lang w:val="en-US"/>
              </w:rPr>
              <w:t>Distr.: General</w:t>
            </w:r>
          </w:p>
          <w:p w:rsidR="005474B2" w:rsidRPr="005474B2" w:rsidRDefault="005474B2" w:rsidP="005474B2">
            <w:pPr>
              <w:spacing w:line="240" w:lineRule="exact"/>
              <w:rPr>
                <w:lang w:val="en-US"/>
              </w:rPr>
            </w:pPr>
            <w:r w:rsidRPr="005474B2">
              <w:rPr>
                <w:lang w:val="en-US"/>
              </w:rPr>
              <w:t>22 September 2017</w:t>
            </w:r>
          </w:p>
          <w:p w:rsidR="005474B2" w:rsidRPr="005474B2" w:rsidRDefault="005474B2" w:rsidP="005474B2">
            <w:pPr>
              <w:spacing w:line="240" w:lineRule="exact"/>
              <w:rPr>
                <w:lang w:val="en-US"/>
              </w:rPr>
            </w:pPr>
            <w:r w:rsidRPr="005474B2">
              <w:rPr>
                <w:lang w:val="en-US"/>
              </w:rPr>
              <w:t>Russian</w:t>
            </w:r>
          </w:p>
          <w:p w:rsidR="005474B2" w:rsidRPr="005474B2" w:rsidRDefault="005474B2" w:rsidP="005474B2">
            <w:pPr>
              <w:spacing w:line="240" w:lineRule="exact"/>
              <w:rPr>
                <w:lang w:val="en-US"/>
              </w:rPr>
            </w:pPr>
            <w:r w:rsidRPr="005474B2">
              <w:rPr>
                <w:lang w:val="en-US"/>
              </w:rPr>
              <w:t>Original: English</w:t>
            </w:r>
          </w:p>
        </w:tc>
      </w:tr>
    </w:tbl>
    <w:p w:rsidR="005474B2" w:rsidRPr="005474B2" w:rsidRDefault="005474B2" w:rsidP="005474B2">
      <w:pPr>
        <w:pStyle w:val="SingleTxtGR"/>
        <w:spacing w:before="120"/>
        <w:ind w:left="0"/>
        <w:rPr>
          <w:b/>
          <w:bCs/>
          <w:sz w:val="24"/>
          <w:szCs w:val="24"/>
        </w:rPr>
      </w:pPr>
      <w:r w:rsidRPr="005474B2">
        <w:rPr>
          <w:b/>
          <w:sz w:val="24"/>
          <w:szCs w:val="24"/>
        </w:rPr>
        <w:t xml:space="preserve">Комитет по ликвидации расовой дискриминации </w:t>
      </w:r>
    </w:p>
    <w:p w:rsidR="005474B2" w:rsidRPr="005474B2" w:rsidRDefault="005474B2" w:rsidP="005474B2">
      <w:pPr>
        <w:pStyle w:val="HChGR"/>
      </w:pPr>
      <w:r w:rsidRPr="005474B2">
        <w:tab/>
      </w:r>
      <w:r w:rsidRPr="005474B2">
        <w:tab/>
        <w:t>Заключительные замечания по объединенным двадцать первому</w:t>
      </w:r>
      <w:r w:rsidR="00CE6244">
        <w:t xml:space="preserve"> </w:t>
      </w:r>
      <w:r w:rsidR="0007083C">
        <w:t>–</w:t>
      </w:r>
      <w:r w:rsidR="00CE6244">
        <w:t xml:space="preserve"> </w:t>
      </w:r>
      <w:r w:rsidRPr="005474B2">
        <w:t>двадцать второму периодическим докладам Новой Зеландии</w:t>
      </w:r>
      <w:r w:rsidRPr="005474B2">
        <w:rPr>
          <w:b w:val="0"/>
          <w:sz w:val="20"/>
        </w:rPr>
        <w:footnoteReference w:customMarkFollows="1" w:id="1"/>
        <w:t>*</w:t>
      </w:r>
    </w:p>
    <w:p w:rsidR="005474B2" w:rsidRPr="005474B2" w:rsidRDefault="005474B2" w:rsidP="005474B2">
      <w:pPr>
        <w:pStyle w:val="SingleTxtGR"/>
      </w:pPr>
      <w:r w:rsidRPr="005474B2">
        <w:t>1.</w:t>
      </w:r>
      <w:r w:rsidRPr="005474B2">
        <w:tab/>
        <w:t>Комитет рассмотрел объединенные двадцать первый и двадцать второй периодические доклады Новой Зеландии (</w:t>
      </w:r>
      <w:r w:rsidRPr="005474B2">
        <w:rPr>
          <w:lang w:val="en-GB"/>
        </w:rPr>
        <w:t>CERD</w:t>
      </w:r>
      <w:r w:rsidRPr="005474B2">
        <w:t>/</w:t>
      </w:r>
      <w:r w:rsidRPr="005474B2">
        <w:rPr>
          <w:lang w:val="en-GB"/>
        </w:rPr>
        <w:t>C</w:t>
      </w:r>
      <w:r w:rsidRPr="005474B2">
        <w:t>/</w:t>
      </w:r>
      <w:r w:rsidRPr="005474B2">
        <w:rPr>
          <w:lang w:val="en-GB"/>
        </w:rPr>
        <w:t>NZL</w:t>
      </w:r>
      <w:r w:rsidRPr="005474B2">
        <w:t>/21-22), представленные в одном документе, на своих 2568-м и 2569-м заседаниях (см. CERD/C/SR.2568 и 2569), состоявшихся 15 и 16 августа 2017</w:t>
      </w:r>
      <w:r w:rsidR="00706937">
        <w:t> год</w:t>
      </w:r>
      <w:r w:rsidRPr="005474B2">
        <w:t>а. На своих 2578-м, 2579-м и</w:t>
      </w:r>
      <w:r w:rsidR="007C556F">
        <w:rPr>
          <w:lang w:val="en-US"/>
        </w:rPr>
        <w:t> </w:t>
      </w:r>
      <w:r w:rsidRPr="005474B2">
        <w:t>2580-м заседаниях, состоявшихся 22 и 23 августа 2017</w:t>
      </w:r>
      <w:r w:rsidR="00706937">
        <w:t> год</w:t>
      </w:r>
      <w:r w:rsidRPr="005474B2">
        <w:t>а, он принял сл</w:t>
      </w:r>
      <w:r w:rsidRPr="005474B2">
        <w:t>е</w:t>
      </w:r>
      <w:r w:rsidRPr="005474B2">
        <w:t>дующие заключительные замечания.</w:t>
      </w:r>
    </w:p>
    <w:p w:rsidR="005474B2" w:rsidRPr="005474B2" w:rsidRDefault="005474B2" w:rsidP="005474B2">
      <w:pPr>
        <w:pStyle w:val="H1GR"/>
      </w:pPr>
      <w:r w:rsidRPr="007C556F">
        <w:tab/>
      </w:r>
      <w:r w:rsidRPr="005474B2">
        <w:t>A.</w:t>
      </w:r>
      <w:r w:rsidRPr="005474B2">
        <w:tab/>
        <w:t>Введение</w:t>
      </w:r>
    </w:p>
    <w:p w:rsidR="005474B2" w:rsidRPr="005474B2" w:rsidRDefault="005474B2" w:rsidP="005474B2">
      <w:pPr>
        <w:pStyle w:val="SingleTxtGR"/>
      </w:pPr>
      <w:r w:rsidRPr="005474B2">
        <w:t>2.</w:t>
      </w:r>
      <w:r w:rsidRPr="005474B2">
        <w:tab/>
        <w:t>Комитет приветствует представление объединенных двадцать первого и двадцать второго периодических докладов государства-участника. Комитет приветствует открытый и конструктивный диалог с многопрофильной делег</w:t>
      </w:r>
      <w:r w:rsidRPr="005474B2">
        <w:t>а</w:t>
      </w:r>
      <w:r w:rsidRPr="005474B2">
        <w:t>цией, и выражает признательность за статистическую информацию, предста</w:t>
      </w:r>
      <w:r w:rsidRPr="005474B2">
        <w:t>в</w:t>
      </w:r>
      <w:r w:rsidRPr="005474B2">
        <w:t xml:space="preserve">ленную до начала диалога, а также за устное выступление и подробные ответы, представленные делегацией в ходе рассмотрения доклада. </w:t>
      </w:r>
    </w:p>
    <w:p w:rsidR="005474B2" w:rsidRPr="005474B2" w:rsidRDefault="005474B2" w:rsidP="005474B2">
      <w:pPr>
        <w:pStyle w:val="H1GR"/>
      </w:pPr>
      <w:r>
        <w:rPr>
          <w:lang w:val="en-US"/>
        </w:rPr>
        <w:tab/>
      </w:r>
      <w:r w:rsidRPr="005474B2">
        <w:t>B.</w:t>
      </w:r>
      <w:r w:rsidRPr="005474B2">
        <w:tab/>
        <w:t>Позитивные аспекты</w:t>
      </w:r>
    </w:p>
    <w:p w:rsidR="005474B2" w:rsidRPr="005474B2" w:rsidRDefault="005474B2" w:rsidP="005474B2">
      <w:pPr>
        <w:pStyle w:val="SingleTxtGR"/>
      </w:pPr>
      <w:r w:rsidRPr="005474B2">
        <w:t>3.</w:t>
      </w:r>
      <w:r w:rsidRPr="005474B2">
        <w:tab/>
        <w:t>Комитет выражает признательность государству-участнику за:</w:t>
      </w:r>
    </w:p>
    <w:p w:rsidR="005474B2" w:rsidRPr="005474B2" w:rsidRDefault="005474B2" w:rsidP="005474B2">
      <w:pPr>
        <w:pStyle w:val="SingleTxtGR"/>
      </w:pPr>
      <w:r>
        <w:rPr>
          <w:lang w:val="en-US"/>
        </w:rPr>
        <w:tab/>
      </w:r>
      <w:r w:rsidRPr="005474B2">
        <w:t>а)</w:t>
      </w:r>
      <w:r w:rsidRPr="005474B2">
        <w:tab/>
        <w:t>признание факта наличия на сегодняшний день социального нер</w:t>
      </w:r>
      <w:r w:rsidRPr="005474B2">
        <w:t>а</w:t>
      </w:r>
      <w:r w:rsidRPr="005474B2">
        <w:t>венства между расовыми группами и принятие государством-участником отве</w:t>
      </w:r>
      <w:r w:rsidRPr="005474B2">
        <w:t>т</w:t>
      </w:r>
      <w:r w:rsidRPr="005474B2">
        <w:t>ственн</w:t>
      </w:r>
      <w:r w:rsidRPr="005474B2">
        <w:t>о</w:t>
      </w:r>
      <w:r w:rsidRPr="005474B2">
        <w:t>сти за их устранение;</w:t>
      </w:r>
    </w:p>
    <w:p w:rsidR="005474B2" w:rsidRPr="005474B2" w:rsidRDefault="005474B2" w:rsidP="005474B2">
      <w:pPr>
        <w:pStyle w:val="SingleTxtGR"/>
      </w:pPr>
      <w:r>
        <w:rPr>
          <w:lang w:val="en-US"/>
        </w:rPr>
        <w:tab/>
      </w:r>
      <w:r w:rsidRPr="005474B2">
        <w:t>b)</w:t>
      </w:r>
      <w:r w:rsidRPr="005474B2">
        <w:tab/>
        <w:t xml:space="preserve">принятие закона Te Awa Tupua (Закон об урегулировании претензий по реке </w:t>
      </w:r>
      <w:proofErr w:type="spellStart"/>
      <w:r w:rsidRPr="005474B2">
        <w:t>Вангануи</w:t>
      </w:r>
      <w:proofErr w:type="spellEnd"/>
      <w:r w:rsidRPr="005474B2">
        <w:t>)</w:t>
      </w:r>
      <w:r w:rsidR="001F4113">
        <w:t xml:space="preserve"> </w:t>
      </w:r>
      <w:r w:rsidRPr="005474B2">
        <w:t>2017</w:t>
      </w:r>
      <w:r w:rsidR="00706937">
        <w:t> год</w:t>
      </w:r>
      <w:r w:rsidRPr="005474B2">
        <w:t xml:space="preserve">а. </w:t>
      </w:r>
    </w:p>
    <w:p w:rsidR="005474B2" w:rsidRPr="005474B2" w:rsidRDefault="005474B2" w:rsidP="005474B2">
      <w:pPr>
        <w:pStyle w:val="SingleTxtGR"/>
      </w:pPr>
      <w:r w:rsidRPr="005474B2">
        <w:t>4.</w:t>
      </w:r>
      <w:r w:rsidRPr="005474B2">
        <w:tab/>
        <w:t>Комитет также приветствует недавние усилия государства-участника по разработке стратегий, программ и административных мер в целях обеспечения более эффективной защиты прав человека и осуществления Конвенции, вкл</w:t>
      </w:r>
      <w:r w:rsidRPr="005474B2">
        <w:t>ю</w:t>
      </w:r>
      <w:r w:rsidRPr="005474B2">
        <w:t>чая:</w:t>
      </w:r>
    </w:p>
    <w:p w:rsidR="005474B2" w:rsidRPr="005474B2" w:rsidRDefault="005474B2" w:rsidP="005474B2">
      <w:pPr>
        <w:pStyle w:val="SingleTxtGR"/>
      </w:pPr>
      <w:r>
        <w:rPr>
          <w:lang w:val="en-US"/>
        </w:rPr>
        <w:tab/>
      </w:r>
      <w:r w:rsidRPr="005474B2">
        <w:t>а)</w:t>
      </w:r>
      <w:r w:rsidRPr="005474B2">
        <w:tab/>
        <w:t>принятие второго национального плана действий в области прав человека на период 2015</w:t>
      </w:r>
      <w:r w:rsidR="00706937">
        <w:t>–</w:t>
      </w:r>
      <w:r w:rsidRPr="005474B2">
        <w:t>2019</w:t>
      </w:r>
      <w:r w:rsidR="00706937">
        <w:t> год</w:t>
      </w:r>
      <w:r w:rsidRPr="005474B2">
        <w:t>ов;</w:t>
      </w:r>
    </w:p>
    <w:p w:rsidR="005474B2" w:rsidRPr="005474B2" w:rsidRDefault="005474B2" w:rsidP="005474B2">
      <w:pPr>
        <w:pStyle w:val="SingleTxtGR"/>
      </w:pPr>
      <w:r w:rsidRPr="00706937">
        <w:tab/>
      </w:r>
      <w:r w:rsidRPr="005474B2">
        <w:t>b)</w:t>
      </w:r>
      <w:r w:rsidRPr="005474B2">
        <w:tab/>
        <w:t>различные образовательные и языковые стратегии и меры, орие</w:t>
      </w:r>
      <w:r w:rsidRPr="005474B2">
        <w:t>н</w:t>
      </w:r>
      <w:r w:rsidRPr="005474B2">
        <w:t>тированные на маори и пасифика, в том числе Закон о языке маори 2016</w:t>
      </w:r>
      <w:r w:rsidR="00706937">
        <w:t> год</w:t>
      </w:r>
      <w:r w:rsidRPr="005474B2">
        <w:t xml:space="preserve">а; </w:t>
      </w:r>
    </w:p>
    <w:p w:rsidR="005474B2" w:rsidRPr="005474B2" w:rsidRDefault="005474B2" w:rsidP="005474B2">
      <w:pPr>
        <w:pStyle w:val="SingleTxtGR"/>
      </w:pPr>
      <w:r w:rsidRPr="00706937">
        <w:lastRenderedPageBreak/>
        <w:tab/>
      </w:r>
      <w:r w:rsidRPr="005474B2">
        <w:t>с)</w:t>
      </w:r>
      <w:r w:rsidRPr="005474B2">
        <w:tab/>
      </w:r>
      <w:r w:rsidRPr="005474B2">
        <w:rPr>
          <w:lang w:val="en-GB"/>
        </w:rPr>
        <w:t>He</w:t>
      </w:r>
      <w:r w:rsidRPr="005474B2">
        <w:t xml:space="preserve"> </w:t>
      </w:r>
      <w:r w:rsidRPr="005474B2">
        <w:rPr>
          <w:lang w:val="en-GB"/>
        </w:rPr>
        <w:t>Kai</w:t>
      </w:r>
      <w:r w:rsidRPr="005474B2">
        <w:t xml:space="preserve"> </w:t>
      </w:r>
      <w:r w:rsidRPr="005474B2">
        <w:rPr>
          <w:lang w:val="en-GB"/>
        </w:rPr>
        <w:t>Kei</w:t>
      </w:r>
      <w:r w:rsidRPr="005474B2">
        <w:t xml:space="preserve"> </w:t>
      </w:r>
      <w:r w:rsidRPr="005474B2">
        <w:rPr>
          <w:lang w:val="en-GB"/>
        </w:rPr>
        <w:t>Aku</w:t>
      </w:r>
      <w:r w:rsidRPr="005474B2">
        <w:t xml:space="preserve"> </w:t>
      </w:r>
      <w:r w:rsidRPr="005474B2">
        <w:rPr>
          <w:lang w:val="en-GB"/>
        </w:rPr>
        <w:t>Ringa</w:t>
      </w:r>
      <w:r w:rsidRPr="005474B2">
        <w:t xml:space="preserve"> (стратегия и план действий по экономич</w:t>
      </w:r>
      <w:r w:rsidRPr="005474B2">
        <w:t>е</w:t>
      </w:r>
      <w:r w:rsidRPr="005474B2">
        <w:t>скому ра</w:t>
      </w:r>
      <w:r w:rsidRPr="005474B2">
        <w:t>з</w:t>
      </w:r>
      <w:r w:rsidRPr="005474B2">
        <w:t>витию маори);</w:t>
      </w:r>
    </w:p>
    <w:p w:rsidR="005474B2" w:rsidRPr="005474B2" w:rsidRDefault="005474B2" w:rsidP="005474B2">
      <w:pPr>
        <w:pStyle w:val="SingleTxtGR"/>
      </w:pPr>
      <w:r>
        <w:rPr>
          <w:lang w:val="en-US"/>
        </w:rPr>
        <w:tab/>
      </w:r>
      <w:r w:rsidRPr="005474B2">
        <w:t>d)</w:t>
      </w:r>
      <w:r w:rsidRPr="005474B2">
        <w:tab/>
        <w:t>оказание помощи в изучении английского языка в качестве второго языка учащимся из семей мигрантов и беженцев в школах;</w:t>
      </w:r>
    </w:p>
    <w:p w:rsidR="005474B2" w:rsidRPr="005474B2" w:rsidRDefault="005474B2" w:rsidP="005474B2">
      <w:pPr>
        <w:pStyle w:val="SingleTxtGR"/>
      </w:pPr>
      <w:r w:rsidRPr="001F4113">
        <w:tab/>
      </w:r>
      <w:r w:rsidRPr="005474B2">
        <w:t>e)</w:t>
      </w:r>
      <w:r w:rsidRPr="005474B2">
        <w:tab/>
      </w:r>
      <w:r w:rsidRPr="005474B2">
        <w:rPr>
          <w:lang w:val="en-GB"/>
        </w:rPr>
        <w:t>Ala</w:t>
      </w:r>
      <w:r w:rsidRPr="005474B2">
        <w:t xml:space="preserve"> </w:t>
      </w:r>
      <w:r w:rsidRPr="005474B2">
        <w:rPr>
          <w:lang w:val="en-GB"/>
        </w:rPr>
        <w:t>Mo</w:t>
      </w:r>
      <w:r w:rsidRPr="005474B2">
        <w:t>’</w:t>
      </w:r>
      <w:proofErr w:type="spellStart"/>
      <w:r w:rsidRPr="005474B2">
        <w:rPr>
          <w:lang w:val="en-GB"/>
        </w:rPr>
        <w:t>ui</w:t>
      </w:r>
      <w:proofErr w:type="spellEnd"/>
      <w:r w:rsidRPr="005474B2">
        <w:t xml:space="preserve"> (стратегия развития здравоохранения и обеспечения бл</w:t>
      </w:r>
      <w:r w:rsidRPr="005474B2">
        <w:t>а</w:t>
      </w:r>
      <w:r w:rsidRPr="005474B2">
        <w:t xml:space="preserve">госостояния общин </w:t>
      </w:r>
      <w:proofErr w:type="spellStart"/>
      <w:r w:rsidRPr="005474B2">
        <w:t>пасифика</w:t>
      </w:r>
      <w:proofErr w:type="spellEnd"/>
      <w:r w:rsidRPr="005474B2">
        <w:t xml:space="preserve"> на 2014</w:t>
      </w:r>
      <w:r w:rsidR="00706937">
        <w:t>–</w:t>
      </w:r>
      <w:r w:rsidRPr="005474B2">
        <w:t>2018</w:t>
      </w:r>
      <w:r w:rsidR="00706937">
        <w:t> год</w:t>
      </w:r>
      <w:r w:rsidRPr="005474B2">
        <w:t>ы</w:t>
      </w:r>
      <w:r w:rsidR="001F4113">
        <w:t>;</w:t>
      </w:r>
    </w:p>
    <w:p w:rsidR="005474B2" w:rsidRPr="005474B2" w:rsidRDefault="005474B2" w:rsidP="005474B2">
      <w:pPr>
        <w:pStyle w:val="SingleTxtGR"/>
      </w:pPr>
      <w:r w:rsidRPr="00706937">
        <w:tab/>
      </w:r>
      <w:r w:rsidRPr="005474B2">
        <w:t>f)</w:t>
      </w:r>
      <w:r w:rsidRPr="005474B2">
        <w:tab/>
        <w:t xml:space="preserve">учреждение фонда </w:t>
      </w:r>
      <w:r w:rsidRPr="005474B2">
        <w:rPr>
          <w:lang w:val="en-GB"/>
        </w:rPr>
        <w:t>Whenua</w:t>
      </w:r>
      <w:r w:rsidRPr="005474B2">
        <w:t xml:space="preserve"> </w:t>
      </w:r>
      <w:r w:rsidRPr="005474B2">
        <w:rPr>
          <w:lang w:val="en-GB"/>
        </w:rPr>
        <w:t>Maori</w:t>
      </w:r>
      <w:r w:rsidRPr="005474B2">
        <w:t xml:space="preserve"> с целью повышения производ</w:t>
      </w:r>
      <w:r w:rsidRPr="005474B2">
        <w:t>и</w:t>
      </w:r>
      <w:r w:rsidRPr="005474B2">
        <w:t xml:space="preserve">тельности земель маори; </w:t>
      </w:r>
    </w:p>
    <w:p w:rsidR="005474B2" w:rsidRPr="005474B2" w:rsidRDefault="005474B2" w:rsidP="005474B2">
      <w:pPr>
        <w:pStyle w:val="SingleTxtGR"/>
      </w:pPr>
      <w:r>
        <w:rPr>
          <w:lang w:val="en-US"/>
        </w:rPr>
        <w:tab/>
      </w:r>
      <w:r w:rsidRPr="005474B2">
        <w:t>g)</w:t>
      </w:r>
      <w:r w:rsidRPr="005474B2">
        <w:tab/>
        <w:t xml:space="preserve">стратегию в области развития </w:t>
      </w:r>
      <w:r w:rsidRPr="005474B2">
        <w:rPr>
          <w:lang w:val="en-GB"/>
        </w:rPr>
        <w:t>Whanau</w:t>
      </w:r>
      <w:r w:rsidRPr="005474B2">
        <w:t xml:space="preserve"> </w:t>
      </w:r>
      <w:r w:rsidRPr="005474B2">
        <w:rPr>
          <w:lang w:val="en-GB"/>
        </w:rPr>
        <w:t>Ora</w:t>
      </w:r>
      <w:r w:rsidRPr="005474B2">
        <w:t>;</w:t>
      </w:r>
    </w:p>
    <w:p w:rsidR="005474B2" w:rsidRPr="005474B2" w:rsidRDefault="005474B2" w:rsidP="005474B2">
      <w:pPr>
        <w:pStyle w:val="SingleTxtGR"/>
      </w:pPr>
      <w:r>
        <w:rPr>
          <w:lang w:val="en-US"/>
        </w:rPr>
        <w:tab/>
      </w:r>
      <w:r w:rsidRPr="005474B2">
        <w:t>h)</w:t>
      </w:r>
      <w:r w:rsidRPr="005474B2">
        <w:tab/>
        <w:t>принятие Плана действий по борьбе с преступностью среди нес</w:t>
      </w:r>
      <w:r w:rsidRPr="005474B2">
        <w:t>о</w:t>
      </w:r>
      <w:r w:rsidRPr="005474B2">
        <w:t>верше</w:t>
      </w:r>
      <w:r w:rsidRPr="005474B2">
        <w:t>н</w:t>
      </w:r>
      <w:r w:rsidRPr="005474B2">
        <w:t>нолетних на 2013–2023</w:t>
      </w:r>
      <w:r w:rsidR="00706937">
        <w:t> год</w:t>
      </w:r>
      <w:r w:rsidRPr="005474B2">
        <w:t xml:space="preserve">ы; </w:t>
      </w:r>
    </w:p>
    <w:p w:rsidR="005474B2" w:rsidRPr="005474B2" w:rsidRDefault="005474B2" w:rsidP="005474B2">
      <w:pPr>
        <w:pStyle w:val="SingleTxtGR"/>
      </w:pPr>
      <w:r w:rsidRPr="00706937">
        <w:tab/>
      </w:r>
      <w:r w:rsidRPr="005474B2">
        <w:t>i)</w:t>
      </w:r>
      <w:r w:rsidRPr="005474B2">
        <w:tab/>
        <w:t xml:space="preserve">принятие </w:t>
      </w:r>
      <w:r w:rsidRPr="005474B2">
        <w:rPr>
          <w:lang w:val="en-GB"/>
        </w:rPr>
        <w:t>He</w:t>
      </w:r>
      <w:r w:rsidRPr="005474B2">
        <w:t xml:space="preserve"> </w:t>
      </w:r>
      <w:r w:rsidRPr="005474B2">
        <w:rPr>
          <w:lang w:val="en-GB"/>
        </w:rPr>
        <w:t>Korowai</w:t>
      </w:r>
      <w:r w:rsidRPr="005474B2">
        <w:t xml:space="preserve"> </w:t>
      </w:r>
      <w:r w:rsidRPr="005474B2">
        <w:rPr>
          <w:lang w:val="en-GB"/>
        </w:rPr>
        <w:t>Oranga</w:t>
      </w:r>
      <w:r w:rsidRPr="005474B2">
        <w:t xml:space="preserve"> (стратегия охраны здоровья маори) и ин</w:t>
      </w:r>
      <w:r w:rsidRPr="005474B2">
        <w:t>и</w:t>
      </w:r>
      <w:r w:rsidRPr="005474B2">
        <w:t xml:space="preserve">циативы Новой Зеландии </w:t>
      </w:r>
      <w:r w:rsidR="00706937">
        <w:t>«</w:t>
      </w:r>
      <w:r w:rsidRPr="005474B2">
        <w:t>За здоровую семью</w:t>
      </w:r>
      <w:r w:rsidR="00706937">
        <w:t>»</w:t>
      </w:r>
      <w:r w:rsidRPr="005474B2">
        <w:t>;</w:t>
      </w:r>
    </w:p>
    <w:p w:rsidR="005474B2" w:rsidRPr="005474B2" w:rsidRDefault="005474B2" w:rsidP="005474B2">
      <w:pPr>
        <w:pStyle w:val="SingleTxtGR"/>
      </w:pPr>
      <w:r w:rsidRPr="00706937">
        <w:tab/>
      </w:r>
      <w:r w:rsidRPr="005474B2">
        <w:t>j)</w:t>
      </w:r>
      <w:r w:rsidRPr="005474B2">
        <w:tab/>
        <w:t xml:space="preserve">принятие Тихоокеанской экономической стратегии на </w:t>
      </w:r>
      <w:r w:rsidR="007C556F" w:rsidRPr="007C556F">
        <w:br/>
      </w:r>
      <w:r w:rsidRPr="005474B2">
        <w:t>2015</w:t>
      </w:r>
      <w:r w:rsidR="007C556F" w:rsidRPr="007C556F">
        <w:t>–</w:t>
      </w:r>
      <w:r w:rsidRPr="005474B2">
        <w:t>2021</w:t>
      </w:r>
      <w:r w:rsidR="00706937">
        <w:t> год</w:t>
      </w:r>
      <w:r w:rsidRPr="005474B2">
        <w:t>ы;</w:t>
      </w:r>
    </w:p>
    <w:p w:rsidR="005474B2" w:rsidRPr="005474B2" w:rsidRDefault="005474B2" w:rsidP="005474B2">
      <w:pPr>
        <w:pStyle w:val="SingleTxtGR"/>
      </w:pPr>
      <w:r w:rsidRPr="007C556F">
        <w:tab/>
      </w:r>
      <w:r w:rsidRPr="005474B2">
        <w:t>k)</w:t>
      </w:r>
      <w:r w:rsidRPr="005474B2">
        <w:tab/>
        <w:t>выделение 10 млн долл. США для решения проблемы чрезмерной представленности маори в системе уголовного правосудия.</w:t>
      </w:r>
    </w:p>
    <w:p w:rsidR="005474B2" w:rsidRPr="005474B2" w:rsidRDefault="005474B2" w:rsidP="005474B2">
      <w:pPr>
        <w:pStyle w:val="SingleTxtGR"/>
      </w:pPr>
      <w:r w:rsidRPr="005474B2">
        <w:t>5.</w:t>
      </w:r>
      <w:r w:rsidRPr="005474B2">
        <w:tab/>
        <w:t>Комитет с признательностью отмечает активную роль активного гра</w:t>
      </w:r>
      <w:r w:rsidRPr="005474B2">
        <w:t>ж</w:t>
      </w:r>
      <w:r w:rsidRPr="005474B2">
        <w:t xml:space="preserve">данского общества и национального учреждения по правам человека </w:t>
      </w:r>
      <w:r w:rsidR="007C556F" w:rsidRPr="007C556F">
        <w:t>–</w:t>
      </w:r>
      <w:r w:rsidRPr="005474B2">
        <w:t xml:space="preserve"> Коми</w:t>
      </w:r>
      <w:r w:rsidRPr="005474B2">
        <w:t>с</w:t>
      </w:r>
      <w:r w:rsidRPr="005474B2">
        <w:t>сии по правам человека, которой в мае 2016</w:t>
      </w:r>
      <w:r w:rsidR="00706937">
        <w:t> год</w:t>
      </w:r>
      <w:r w:rsidRPr="005474B2">
        <w:t>а вновь был присвоен ст</w:t>
      </w:r>
      <w:r w:rsidRPr="005474B2">
        <w:t>а</w:t>
      </w:r>
      <w:r w:rsidRPr="005474B2">
        <w:t>тус</w:t>
      </w:r>
      <w:r w:rsidR="0094756D">
        <w:t> </w:t>
      </w:r>
      <w:r w:rsidR="00706937">
        <w:t>«</w:t>
      </w:r>
      <w:r w:rsidRPr="005474B2">
        <w:t>A</w:t>
      </w:r>
      <w:r w:rsidR="00706937">
        <w:t>»</w:t>
      </w:r>
      <w:r w:rsidRPr="005474B2">
        <w:t xml:space="preserve"> Глобальным альянсом национальных правозащитных учреждений.</w:t>
      </w:r>
    </w:p>
    <w:p w:rsidR="005474B2" w:rsidRPr="005474B2" w:rsidRDefault="005474B2" w:rsidP="005474B2">
      <w:pPr>
        <w:pStyle w:val="H1GR"/>
      </w:pPr>
      <w:r w:rsidRPr="007C556F">
        <w:tab/>
      </w:r>
      <w:r w:rsidRPr="005474B2">
        <w:t>C.</w:t>
      </w:r>
      <w:r w:rsidRPr="005474B2">
        <w:tab/>
        <w:t>Вопросы, вызывающие озабоченность, и рекомендации</w:t>
      </w:r>
    </w:p>
    <w:p w:rsidR="005474B2" w:rsidRPr="005474B2" w:rsidRDefault="005474B2" w:rsidP="005474B2">
      <w:pPr>
        <w:pStyle w:val="H23GR"/>
      </w:pPr>
      <w:r w:rsidRPr="005474B2">
        <w:tab/>
      </w:r>
      <w:r w:rsidRPr="005474B2">
        <w:tab/>
        <w:t>Национальный план действий по борьбе с расизмом и Комиссар по</w:t>
      </w:r>
      <w:r>
        <w:rPr>
          <w:lang w:val="en-US"/>
        </w:rPr>
        <w:t> </w:t>
      </w:r>
      <w:r w:rsidRPr="005474B2">
        <w:t>межрасовым отношениям</w:t>
      </w:r>
    </w:p>
    <w:p w:rsidR="005474B2" w:rsidRPr="005474B2" w:rsidRDefault="005474B2" w:rsidP="005474B2">
      <w:pPr>
        <w:pStyle w:val="SingleTxtGR"/>
      </w:pPr>
      <w:r w:rsidRPr="005474B2">
        <w:t>6.</w:t>
      </w:r>
      <w:r w:rsidRPr="005474B2">
        <w:tab/>
        <w:t>Комитет приветствует по-прежнему важную роль Комиссара по межрас</w:t>
      </w:r>
      <w:r w:rsidRPr="005474B2">
        <w:t>о</w:t>
      </w:r>
      <w:r w:rsidRPr="005474B2">
        <w:t>вым отношениям и высоко оценивает работу, проделанную Комиссаром в теч</w:t>
      </w:r>
      <w:r w:rsidRPr="005474B2">
        <w:t>е</w:t>
      </w:r>
      <w:r w:rsidRPr="005474B2">
        <w:t>ние отчетного периода. Вместе с тем Комитет выражает обеспокоенность по поводу отсутствия на данный момент национального плана действий по борьбе с расизмом (ст</w:t>
      </w:r>
      <w:r w:rsidR="00250D8E">
        <w:t>атья</w:t>
      </w:r>
      <w:r w:rsidRPr="005474B2">
        <w:t xml:space="preserve"> 2).</w:t>
      </w:r>
    </w:p>
    <w:p w:rsidR="005474B2" w:rsidRPr="005474B2" w:rsidRDefault="005474B2" w:rsidP="005474B2">
      <w:pPr>
        <w:pStyle w:val="SingleTxtGR"/>
      </w:pPr>
      <w:r w:rsidRPr="005474B2">
        <w:t>7.</w:t>
      </w:r>
      <w:r w:rsidRPr="005474B2">
        <w:tab/>
      </w:r>
      <w:r w:rsidRPr="005474B2">
        <w:rPr>
          <w:b/>
        </w:rPr>
        <w:t>В контексте стремительных демографических изменений в госуда</w:t>
      </w:r>
      <w:r w:rsidRPr="005474B2">
        <w:rPr>
          <w:b/>
        </w:rPr>
        <w:t>р</w:t>
      </w:r>
      <w:r w:rsidRPr="005474B2">
        <w:rPr>
          <w:b/>
        </w:rPr>
        <w:t>стве-участнике Комитет рекомендует, чтобы Комиссар по межрасовым о</w:t>
      </w:r>
      <w:r w:rsidRPr="005474B2">
        <w:rPr>
          <w:b/>
        </w:rPr>
        <w:t>т</w:t>
      </w:r>
      <w:r w:rsidRPr="005474B2">
        <w:rPr>
          <w:b/>
        </w:rPr>
        <w:t>ношениям играл ведущую роль в разработке, в консультации со всеми з</w:t>
      </w:r>
      <w:r w:rsidRPr="005474B2">
        <w:rPr>
          <w:b/>
        </w:rPr>
        <w:t>а</w:t>
      </w:r>
      <w:r w:rsidRPr="005474B2">
        <w:rPr>
          <w:b/>
        </w:rPr>
        <w:t>интересованными сторонами, национального плана действий по борьбе с расовой дискриминацией и ксенофобией в соответствии с Дурбанской д</w:t>
      </w:r>
      <w:r w:rsidRPr="005474B2">
        <w:rPr>
          <w:b/>
        </w:rPr>
        <w:t>е</w:t>
      </w:r>
      <w:r w:rsidRPr="005474B2">
        <w:rPr>
          <w:b/>
        </w:rPr>
        <w:t xml:space="preserve">кларацией и Программой действий. Комитет призывает государство-участник гарантировать </w:t>
      </w:r>
      <w:bookmarkStart w:id="0" w:name="_GoBack"/>
      <w:bookmarkEnd w:id="0"/>
      <w:r w:rsidRPr="005474B2">
        <w:rPr>
          <w:b/>
        </w:rPr>
        <w:t>выделение достаточных финансовых средств для успешного осуществления плана. Этот план должен предусматривать без ограничений</w:t>
      </w:r>
      <w:r w:rsidRPr="00B71CBE">
        <w:rPr>
          <w:b/>
        </w:rPr>
        <w:t>:</w:t>
      </w:r>
    </w:p>
    <w:p w:rsidR="005474B2" w:rsidRPr="005474B2" w:rsidRDefault="005474B2" w:rsidP="005474B2">
      <w:pPr>
        <w:pStyle w:val="SingleTxtGR"/>
        <w:rPr>
          <w:b/>
        </w:rPr>
      </w:pPr>
      <w:r>
        <w:rPr>
          <w:b/>
          <w:lang w:val="en-US"/>
        </w:rPr>
        <w:tab/>
      </w:r>
      <w:r w:rsidRPr="005474B2">
        <w:rPr>
          <w:b/>
        </w:rPr>
        <w:t>а)</w:t>
      </w:r>
      <w:r w:rsidRPr="005474B2">
        <w:rPr>
          <w:b/>
        </w:rPr>
        <w:tab/>
        <w:t>оценку нынешних и прогнозирование будущих изменений дем</w:t>
      </w:r>
      <w:r w:rsidRPr="005474B2">
        <w:rPr>
          <w:b/>
        </w:rPr>
        <w:t>о</w:t>
      </w:r>
      <w:r w:rsidRPr="005474B2">
        <w:rPr>
          <w:b/>
        </w:rPr>
        <w:t>графической ситуации в стране;</w:t>
      </w:r>
    </w:p>
    <w:p w:rsidR="005474B2" w:rsidRPr="005474B2" w:rsidRDefault="005474B2" w:rsidP="005474B2">
      <w:pPr>
        <w:pStyle w:val="SingleTxtGR"/>
        <w:rPr>
          <w:b/>
        </w:rPr>
      </w:pPr>
      <w:r>
        <w:rPr>
          <w:b/>
          <w:lang w:val="en-US"/>
        </w:rPr>
        <w:tab/>
      </w:r>
      <w:r w:rsidRPr="005474B2">
        <w:rPr>
          <w:b/>
        </w:rPr>
        <w:t>b)</w:t>
      </w:r>
      <w:r w:rsidRPr="005474B2">
        <w:rPr>
          <w:b/>
        </w:rPr>
        <w:tab/>
        <w:t>оценку возможностей существующих структур и процессов э</w:t>
      </w:r>
      <w:r w:rsidRPr="005474B2">
        <w:rPr>
          <w:b/>
        </w:rPr>
        <w:t>ф</w:t>
      </w:r>
      <w:r w:rsidRPr="005474B2">
        <w:rPr>
          <w:b/>
        </w:rPr>
        <w:t>фективно реагировать на демографические изменения в стране;</w:t>
      </w:r>
    </w:p>
    <w:p w:rsidR="005474B2" w:rsidRPr="005474B2" w:rsidRDefault="005474B2" w:rsidP="005474B2">
      <w:pPr>
        <w:pStyle w:val="SingleTxtGR"/>
        <w:rPr>
          <w:b/>
        </w:rPr>
      </w:pPr>
      <w:r>
        <w:rPr>
          <w:b/>
          <w:lang w:val="en-US"/>
        </w:rPr>
        <w:tab/>
      </w:r>
      <w:r w:rsidRPr="005474B2">
        <w:rPr>
          <w:b/>
        </w:rPr>
        <w:t>с)</w:t>
      </w:r>
      <w:r w:rsidRPr="005474B2">
        <w:rPr>
          <w:b/>
        </w:rPr>
        <w:tab/>
        <w:t>внесение необходимых изменений, с тем чтобы разнообразие населения нашло надлежащее отражение в процессе планирования и предоставления услуг;</w:t>
      </w:r>
    </w:p>
    <w:p w:rsidR="005474B2" w:rsidRPr="005474B2" w:rsidRDefault="005474B2" w:rsidP="005474B2">
      <w:pPr>
        <w:pStyle w:val="SingleTxtGR"/>
        <w:rPr>
          <w:b/>
        </w:rPr>
      </w:pPr>
      <w:r>
        <w:rPr>
          <w:b/>
          <w:lang w:val="en-US"/>
        </w:rPr>
        <w:tab/>
      </w:r>
      <w:r w:rsidRPr="005474B2">
        <w:rPr>
          <w:b/>
        </w:rPr>
        <w:t>d)</w:t>
      </w:r>
      <w:r w:rsidRPr="005474B2">
        <w:rPr>
          <w:b/>
        </w:rPr>
        <w:tab/>
        <w:t>разработку и осуществление мер, направленных на повышение соц</w:t>
      </w:r>
      <w:r w:rsidRPr="005474B2">
        <w:rPr>
          <w:b/>
        </w:rPr>
        <w:t>и</w:t>
      </w:r>
      <w:r w:rsidRPr="005474B2">
        <w:rPr>
          <w:b/>
        </w:rPr>
        <w:t>альной сплоченности;</w:t>
      </w:r>
    </w:p>
    <w:p w:rsidR="005474B2" w:rsidRPr="005474B2" w:rsidRDefault="005474B2" w:rsidP="005474B2">
      <w:pPr>
        <w:pStyle w:val="SingleTxtGR"/>
      </w:pPr>
      <w:r>
        <w:rPr>
          <w:b/>
          <w:lang w:val="en-US"/>
        </w:rPr>
        <w:lastRenderedPageBreak/>
        <w:tab/>
      </w:r>
      <w:r w:rsidRPr="005474B2">
        <w:rPr>
          <w:b/>
        </w:rPr>
        <w:t>e)</w:t>
      </w:r>
      <w:r w:rsidRPr="005474B2">
        <w:rPr>
          <w:b/>
        </w:rPr>
        <w:tab/>
        <w:t>разработку в партнерстве с маори и другими соответствующ</w:t>
      </w:r>
      <w:r w:rsidRPr="005474B2">
        <w:rPr>
          <w:b/>
        </w:rPr>
        <w:t>и</w:t>
      </w:r>
      <w:r w:rsidRPr="005474B2">
        <w:rPr>
          <w:b/>
        </w:rPr>
        <w:t>ми группами комплексного плана, который позволит намечать меры, укреплять их вовлеченность в процесс и оценивать результаты работы по достижению целей в области устойчивого развития для сокращения нер</w:t>
      </w:r>
      <w:r w:rsidRPr="005474B2">
        <w:rPr>
          <w:b/>
        </w:rPr>
        <w:t>а</w:t>
      </w:r>
      <w:r w:rsidRPr="005474B2">
        <w:rPr>
          <w:b/>
        </w:rPr>
        <w:t>венства в социальных показателях среди этнических групп населения го</w:t>
      </w:r>
      <w:r w:rsidRPr="005474B2">
        <w:rPr>
          <w:b/>
        </w:rPr>
        <w:t>с</w:t>
      </w:r>
      <w:r w:rsidRPr="005474B2">
        <w:rPr>
          <w:b/>
        </w:rPr>
        <w:t>ударства-участника в области здравоохранения, занятости, образования и жилья, с акцентом на обеспечение достаточным, приемлемым по цене и безопасным жильем к 2030</w:t>
      </w:r>
      <w:r w:rsidR="00706937">
        <w:rPr>
          <w:b/>
        </w:rPr>
        <w:t> год</w:t>
      </w:r>
      <w:r w:rsidRPr="005474B2">
        <w:rPr>
          <w:b/>
        </w:rPr>
        <w:t>у. В плане осуществления особый упор сл</w:t>
      </w:r>
      <w:r w:rsidRPr="005474B2">
        <w:rPr>
          <w:b/>
        </w:rPr>
        <w:t>е</w:t>
      </w:r>
      <w:r w:rsidRPr="005474B2">
        <w:rPr>
          <w:b/>
        </w:rPr>
        <w:t>дует сделать на обеспечении гарантий прав владения.</w:t>
      </w:r>
    </w:p>
    <w:p w:rsidR="005474B2" w:rsidRPr="005474B2" w:rsidRDefault="005474B2" w:rsidP="005474B2">
      <w:pPr>
        <w:pStyle w:val="H23GR"/>
      </w:pPr>
      <w:r w:rsidRPr="005474B2">
        <w:tab/>
      </w:r>
      <w:r w:rsidRPr="005474B2">
        <w:tab/>
        <w:t>Ненавистнические высказывания расистского толка и преступления на</w:t>
      </w:r>
      <w:r>
        <w:rPr>
          <w:lang w:val="en-US"/>
        </w:rPr>
        <w:t> </w:t>
      </w:r>
      <w:r w:rsidRPr="005474B2">
        <w:t>почве ненависти</w:t>
      </w:r>
    </w:p>
    <w:p w:rsidR="005474B2" w:rsidRPr="005474B2" w:rsidRDefault="005474B2" w:rsidP="005474B2">
      <w:pPr>
        <w:pStyle w:val="SingleTxtGR"/>
      </w:pPr>
      <w:r w:rsidRPr="005474B2">
        <w:t>8.</w:t>
      </w:r>
      <w:r w:rsidRPr="005474B2">
        <w:tab/>
        <w:t>Комитет обеспокоен тем, что, хотя законодательство государства-участ</w:t>
      </w:r>
      <w:r w:rsidR="009741F0">
        <w:t>-</w:t>
      </w:r>
      <w:proofErr w:type="spellStart"/>
      <w:r w:rsidRPr="005474B2">
        <w:t>ника</w:t>
      </w:r>
      <w:proofErr w:type="spellEnd"/>
      <w:r w:rsidRPr="005474B2">
        <w:t xml:space="preserve"> предусматривает уголовную ответственность за подстрекательство к рас</w:t>
      </w:r>
      <w:r w:rsidRPr="005474B2">
        <w:t>о</w:t>
      </w:r>
      <w:r w:rsidRPr="005474B2">
        <w:t>вой дисгармонии и квалифицирует расовую неприязнь в качестве отягча</w:t>
      </w:r>
      <w:r w:rsidRPr="005474B2">
        <w:t>ю</w:t>
      </w:r>
      <w:r w:rsidRPr="005474B2">
        <w:t>щего обстоятельства при вынесении приговора, в течение отчетного периода не было зарегистрировано случаев судебного преследования за подстрекательство к р</w:t>
      </w:r>
      <w:r w:rsidRPr="005474B2">
        <w:t>а</w:t>
      </w:r>
      <w:r w:rsidRPr="005474B2">
        <w:t>совой дисгармонии. Комитет также обеспокоен отсутствием всеобъемлющих статистических данных о случаях уголовного преследования, обвинительных приговорах и наказаниях за ненавистнические высказывания расистского толка. Комитет с интересом отмечает текущие усилия, прилагаемые госуда</w:t>
      </w:r>
      <w:r w:rsidRPr="005474B2">
        <w:t>р</w:t>
      </w:r>
      <w:r w:rsidRPr="005474B2">
        <w:t>ством-участником для устранения этих недостатков, однако выражает обеспокое</w:t>
      </w:r>
      <w:r w:rsidRPr="005474B2">
        <w:t>н</w:t>
      </w:r>
      <w:r w:rsidRPr="005474B2">
        <w:t>ность в связи с тем, что действующее законодательство может быть недост</w:t>
      </w:r>
      <w:r w:rsidRPr="005474B2">
        <w:t>а</w:t>
      </w:r>
      <w:r w:rsidRPr="005474B2">
        <w:t>точным для эффективной борьбы с проявлениями расовой ненависти (ст</w:t>
      </w:r>
      <w:r w:rsidR="007C556F">
        <w:t>а</w:t>
      </w:r>
      <w:r w:rsidR="007C556F">
        <w:t>тьи </w:t>
      </w:r>
      <w:r w:rsidRPr="005474B2">
        <w:t>2 и 4).</w:t>
      </w:r>
    </w:p>
    <w:p w:rsidR="005474B2" w:rsidRPr="005474B2" w:rsidRDefault="005474B2" w:rsidP="005474B2">
      <w:pPr>
        <w:pStyle w:val="SingleTxtGR"/>
        <w:rPr>
          <w:b/>
        </w:rPr>
      </w:pPr>
      <w:r w:rsidRPr="005474B2">
        <w:t>9.</w:t>
      </w:r>
      <w:r w:rsidRPr="005474B2">
        <w:tab/>
      </w:r>
      <w:r w:rsidRPr="005474B2">
        <w:rPr>
          <w:b/>
        </w:rPr>
        <w:t>Ссылаясь на свою общую рекомендацию № 35 (2013) о борьбе с нен</w:t>
      </w:r>
      <w:r w:rsidRPr="005474B2">
        <w:rPr>
          <w:b/>
        </w:rPr>
        <w:t>а</w:t>
      </w:r>
      <w:r w:rsidRPr="005474B2">
        <w:rPr>
          <w:b/>
        </w:rPr>
        <w:t>вистническими высказываниями расистского толка, Комитет рек</w:t>
      </w:r>
      <w:r w:rsidRPr="005474B2">
        <w:rPr>
          <w:b/>
        </w:rPr>
        <w:t>о</w:t>
      </w:r>
      <w:r w:rsidRPr="005474B2">
        <w:rPr>
          <w:b/>
        </w:rPr>
        <w:t>мендует государству-участнику:</w:t>
      </w:r>
    </w:p>
    <w:p w:rsidR="005474B2" w:rsidRPr="005474B2" w:rsidRDefault="005474B2" w:rsidP="005474B2">
      <w:pPr>
        <w:pStyle w:val="SingleTxtGR"/>
        <w:rPr>
          <w:b/>
        </w:rPr>
      </w:pPr>
      <w:r w:rsidRPr="00706937">
        <w:rPr>
          <w:b/>
        </w:rPr>
        <w:tab/>
      </w:r>
      <w:r w:rsidRPr="005474B2">
        <w:rPr>
          <w:b/>
        </w:rPr>
        <w:t>а)</w:t>
      </w:r>
      <w:r w:rsidRPr="005474B2">
        <w:rPr>
          <w:b/>
        </w:rPr>
        <w:tab/>
        <w:t>оценить достаточность действующего законодательства для преследования и наказания за ненавистнические высказывания на почве расизма и подстрекательство к расовой ненависти, а также обеспечить с</w:t>
      </w:r>
      <w:r w:rsidRPr="005474B2">
        <w:rPr>
          <w:b/>
        </w:rPr>
        <w:t>о</w:t>
      </w:r>
      <w:r w:rsidRPr="005474B2">
        <w:rPr>
          <w:b/>
        </w:rPr>
        <w:t>ответствие законодательной базы статье 4 Конвенции;</w:t>
      </w:r>
    </w:p>
    <w:p w:rsidR="005474B2" w:rsidRPr="005474B2" w:rsidRDefault="005474B2" w:rsidP="005474B2">
      <w:pPr>
        <w:pStyle w:val="SingleTxtGR"/>
        <w:rPr>
          <w:b/>
        </w:rPr>
      </w:pPr>
      <w:r>
        <w:rPr>
          <w:b/>
          <w:lang w:val="en-US"/>
        </w:rPr>
        <w:tab/>
      </w:r>
      <w:r w:rsidRPr="005474B2">
        <w:rPr>
          <w:b/>
        </w:rPr>
        <w:t>b)</w:t>
      </w:r>
      <w:r w:rsidRPr="005474B2">
        <w:rPr>
          <w:b/>
        </w:rPr>
        <w:tab/>
        <w:t>обеспечить, чтобы в отношении всех преступлений на почве расовой ненависти и ненавистнических высказываний расистского толка проводились расследования и виновные преследовались в судебном поря</w:t>
      </w:r>
      <w:r w:rsidRPr="005474B2">
        <w:rPr>
          <w:b/>
        </w:rPr>
        <w:t>д</w:t>
      </w:r>
      <w:r w:rsidRPr="005474B2">
        <w:rPr>
          <w:b/>
        </w:rPr>
        <w:t>ке и наказывались, а потерпевшие получали компенсацию;</w:t>
      </w:r>
    </w:p>
    <w:p w:rsidR="005474B2" w:rsidRPr="005474B2" w:rsidRDefault="005474B2" w:rsidP="005474B2">
      <w:pPr>
        <w:pStyle w:val="SingleTxtGR"/>
      </w:pPr>
      <w:r>
        <w:rPr>
          <w:b/>
          <w:lang w:val="en-US"/>
        </w:rPr>
        <w:tab/>
      </w:r>
      <w:r w:rsidRPr="005474B2">
        <w:rPr>
          <w:b/>
        </w:rPr>
        <w:t>с)</w:t>
      </w:r>
      <w:r w:rsidRPr="005474B2">
        <w:rPr>
          <w:b/>
        </w:rPr>
        <w:tab/>
        <w:t>в качестве приоритетной задачи на уровне правительства обе</w:t>
      </w:r>
      <w:r w:rsidRPr="005474B2">
        <w:rPr>
          <w:b/>
        </w:rPr>
        <w:t>с</w:t>
      </w:r>
      <w:r w:rsidRPr="005474B2">
        <w:rPr>
          <w:b/>
        </w:rPr>
        <w:t>печить сбор надежных и всеобъемлющих статистических данных, в ра</w:t>
      </w:r>
      <w:r w:rsidRPr="005474B2">
        <w:rPr>
          <w:b/>
        </w:rPr>
        <w:t>з</w:t>
      </w:r>
      <w:r w:rsidRPr="005474B2">
        <w:rPr>
          <w:b/>
        </w:rPr>
        <w:t>бивке по этнической принадлежности потерпевших, о расследованиях, с</w:t>
      </w:r>
      <w:r w:rsidRPr="005474B2">
        <w:rPr>
          <w:b/>
        </w:rPr>
        <w:t>у</w:t>
      </w:r>
      <w:r w:rsidRPr="005474B2">
        <w:rPr>
          <w:b/>
        </w:rPr>
        <w:t>дебном преследовании, осуждениях и наказаниях за ненавистнические в</w:t>
      </w:r>
      <w:r w:rsidRPr="005474B2">
        <w:rPr>
          <w:b/>
        </w:rPr>
        <w:t>ы</w:t>
      </w:r>
      <w:r w:rsidRPr="005474B2">
        <w:rPr>
          <w:b/>
        </w:rPr>
        <w:t>сказывания расистского толка и подстрекательство к расовой ненависти и</w:t>
      </w:r>
      <w:r w:rsidR="00EE7393">
        <w:rPr>
          <w:b/>
        </w:rPr>
        <w:t> </w:t>
      </w:r>
      <w:r w:rsidRPr="005474B2">
        <w:rPr>
          <w:b/>
        </w:rPr>
        <w:t>пре</w:t>
      </w:r>
      <w:r w:rsidRPr="005474B2">
        <w:rPr>
          <w:b/>
        </w:rPr>
        <w:t>д</w:t>
      </w:r>
      <w:r w:rsidRPr="005474B2">
        <w:rPr>
          <w:b/>
        </w:rPr>
        <w:t>ставить эти данные в следующем периодическом докладе.</w:t>
      </w:r>
    </w:p>
    <w:p w:rsidR="005474B2" w:rsidRPr="005474B2" w:rsidRDefault="005474B2" w:rsidP="005474B2">
      <w:pPr>
        <w:pStyle w:val="H23GR"/>
      </w:pPr>
      <w:r w:rsidRPr="005474B2">
        <w:tab/>
      </w:r>
      <w:r w:rsidRPr="005474B2">
        <w:tab/>
        <w:t>Защита от актов расовой дискриминации</w:t>
      </w:r>
    </w:p>
    <w:p w:rsidR="005474B2" w:rsidRPr="005474B2" w:rsidRDefault="005474B2" w:rsidP="005474B2">
      <w:pPr>
        <w:pStyle w:val="SingleTxtGR"/>
      </w:pPr>
      <w:r w:rsidRPr="005474B2">
        <w:t>10.</w:t>
      </w:r>
      <w:r w:rsidRPr="005474B2">
        <w:tab/>
        <w:t>Комитет с обеспокоенностью отмечает, что, хотя Комиссия по правам ч</w:t>
      </w:r>
      <w:r w:rsidRPr="005474B2">
        <w:t>е</w:t>
      </w:r>
      <w:r w:rsidRPr="005474B2">
        <w:t>ловека получила в последние</w:t>
      </w:r>
      <w:r w:rsidR="00706937">
        <w:t> год</w:t>
      </w:r>
      <w:r w:rsidRPr="005474B2">
        <w:t>ы множество жалоб на дискриминацию по признаку расы, в том числе более 400 жалоб, касающихся дискриминации при приеме на работу и на рабочем месте, торговли людьми и преследований, по информации, представленной государством-участником, невозможно опред</w:t>
      </w:r>
      <w:r w:rsidRPr="005474B2">
        <w:t>е</w:t>
      </w:r>
      <w:r w:rsidRPr="005474B2">
        <w:t xml:space="preserve">лить количество соответствующих расследований и вынесенных наказаний, при этом Управление по вопросам отношений в сфере занятости зарегистрировало лишь шесть индивидуальных жалоб, касающихся расовой дискриминации или притеснений, одна из которых была удовлетворена. Комитет также выражает озабоченность в связи с отсутствием </w:t>
      </w:r>
      <w:r w:rsidR="002A74F3">
        <w:t xml:space="preserve">в </w:t>
      </w:r>
      <w:r w:rsidRPr="005474B2">
        <w:t>докладе государства-участника данных трудовых инспекций (ст</w:t>
      </w:r>
      <w:r w:rsidR="007C556F">
        <w:t>атьи</w:t>
      </w:r>
      <w:r w:rsidRPr="005474B2">
        <w:t xml:space="preserve"> 2, 5 и 6). </w:t>
      </w:r>
    </w:p>
    <w:p w:rsidR="005474B2" w:rsidRPr="005474B2" w:rsidRDefault="005474B2" w:rsidP="005474B2">
      <w:pPr>
        <w:pStyle w:val="SingleTxtGR"/>
        <w:rPr>
          <w:b/>
        </w:rPr>
      </w:pPr>
      <w:r w:rsidRPr="005474B2">
        <w:lastRenderedPageBreak/>
        <w:t>11.</w:t>
      </w:r>
      <w:r w:rsidRPr="005474B2">
        <w:tab/>
      </w:r>
      <w:r w:rsidRPr="005474B2">
        <w:rPr>
          <w:b/>
        </w:rPr>
        <w:t>Комитет рекомендует государству-участнику принять меры в целях проведения расследования по всем актам расовой дискриминации, а также судебного преследования и наказания виновных лиц. Государству-участ</w:t>
      </w:r>
      <w:r w:rsidR="009A3118">
        <w:rPr>
          <w:b/>
        </w:rPr>
        <w:t>-</w:t>
      </w:r>
      <w:r w:rsidRPr="005474B2">
        <w:rPr>
          <w:b/>
        </w:rPr>
        <w:t>нику предлагается представить в своем следующем периодическом докладе информацию о: трудовых инспекциях и иных административных или с</w:t>
      </w:r>
      <w:r w:rsidRPr="005474B2">
        <w:rPr>
          <w:b/>
        </w:rPr>
        <w:t>у</w:t>
      </w:r>
      <w:r w:rsidRPr="005474B2">
        <w:rPr>
          <w:b/>
        </w:rPr>
        <w:t>дебных процедурах, связанных с расовой дискриминацией; делах, каса</w:t>
      </w:r>
      <w:r w:rsidRPr="005474B2">
        <w:rPr>
          <w:b/>
        </w:rPr>
        <w:t>ю</w:t>
      </w:r>
      <w:r w:rsidRPr="005474B2">
        <w:rPr>
          <w:b/>
        </w:rPr>
        <w:t>щихся условий труда, притеснений и торговли людьми; инспекционных проверках, выявленных нарушениях и санкциях или мерах наказания за отчетный период; и предоставленных потерпевшим компенсациям в ра</w:t>
      </w:r>
      <w:r w:rsidRPr="005474B2">
        <w:rPr>
          <w:b/>
        </w:rPr>
        <w:t>з</w:t>
      </w:r>
      <w:r w:rsidRPr="005474B2">
        <w:rPr>
          <w:b/>
        </w:rPr>
        <w:t>бивке, в частности, по</w:t>
      </w:r>
      <w:r w:rsidR="00706937">
        <w:rPr>
          <w:b/>
        </w:rPr>
        <w:t> год</w:t>
      </w:r>
      <w:r w:rsidRPr="005474B2">
        <w:rPr>
          <w:b/>
        </w:rPr>
        <w:t>ам, видам нарушений и возрасту, полу, наци</w:t>
      </w:r>
      <w:r w:rsidRPr="005474B2">
        <w:rPr>
          <w:b/>
        </w:rPr>
        <w:t>о</w:t>
      </w:r>
      <w:r w:rsidRPr="005474B2">
        <w:rPr>
          <w:b/>
        </w:rPr>
        <w:t>нальному происхождению или этнической принадлежности.</w:t>
      </w:r>
      <w:r w:rsidRPr="005474B2">
        <w:t xml:space="preserve"> </w:t>
      </w:r>
    </w:p>
    <w:p w:rsidR="005474B2" w:rsidRPr="005474B2" w:rsidRDefault="005474B2" w:rsidP="005474B2">
      <w:pPr>
        <w:pStyle w:val="H23GR"/>
      </w:pPr>
      <w:r w:rsidRPr="005474B2">
        <w:tab/>
      </w:r>
      <w:r w:rsidRPr="005474B2">
        <w:tab/>
        <w:t>Договор Вайтанги</w:t>
      </w:r>
    </w:p>
    <w:p w:rsidR="005474B2" w:rsidRPr="005474B2" w:rsidRDefault="005474B2" w:rsidP="005474B2">
      <w:pPr>
        <w:pStyle w:val="SingleTxtGR"/>
      </w:pPr>
      <w:r w:rsidRPr="005474B2">
        <w:t>12.</w:t>
      </w:r>
      <w:r w:rsidRPr="005474B2">
        <w:tab/>
        <w:t>Комитет выражает озабоченность по поводу очевидного отсутствия пр</w:t>
      </w:r>
      <w:r w:rsidRPr="005474B2">
        <w:t>о</w:t>
      </w:r>
      <w:r w:rsidRPr="005474B2">
        <w:t>гресса в осуществлении рекомендаций Конституционного консультативного с</w:t>
      </w:r>
      <w:r w:rsidRPr="005474B2">
        <w:t>о</w:t>
      </w:r>
      <w:r w:rsidRPr="005474B2">
        <w:t>вета 2013</w:t>
      </w:r>
      <w:r w:rsidR="00706937">
        <w:t> год</w:t>
      </w:r>
      <w:r w:rsidRPr="005474B2">
        <w:t xml:space="preserve">а по Договору Вайтанги. Он отмечает, что в рамках независимой инициативы маори </w:t>
      </w:r>
      <w:r w:rsidRPr="005474B2">
        <w:rPr>
          <w:lang w:val="en-US"/>
        </w:rPr>
        <w:t>Matike</w:t>
      </w:r>
      <w:r w:rsidRPr="005474B2">
        <w:t xml:space="preserve"> </w:t>
      </w:r>
      <w:r w:rsidRPr="005474B2">
        <w:rPr>
          <w:lang w:val="en-US"/>
        </w:rPr>
        <w:t>Mai</w:t>
      </w:r>
      <w:r w:rsidRPr="005474B2">
        <w:t xml:space="preserve"> </w:t>
      </w:r>
      <w:r w:rsidRPr="005474B2">
        <w:rPr>
          <w:lang w:val="en-US"/>
        </w:rPr>
        <w:t>Aotearoa</w:t>
      </w:r>
      <w:r w:rsidRPr="005474B2">
        <w:t xml:space="preserve"> были также проведены широкие ко</w:t>
      </w:r>
      <w:r w:rsidRPr="005474B2">
        <w:t>н</w:t>
      </w:r>
      <w:r w:rsidRPr="005474B2">
        <w:t>сультации и опубликован собственный доклад, в котором были выдвинуты др</w:t>
      </w:r>
      <w:r w:rsidRPr="005474B2">
        <w:t>у</w:t>
      </w:r>
      <w:r w:rsidRPr="005474B2">
        <w:t>гие предложения для обсуждения по ряду конституционных моделей, которые также не были рассмотрены государством-участником. Комитет отмечает пра</w:t>
      </w:r>
      <w:r w:rsidRPr="005474B2">
        <w:t>к</w:t>
      </w:r>
      <w:r w:rsidRPr="005474B2">
        <w:t>тическое отсутствие прогресса за отчетный период в деле обеспечения права коренных народов на самоопределение согласно Договору и договоренностям о разделении власти между хапу и государством-участником согласно Договору. Комитет обеспокоен сообщениями о том, что трибунал Вайтанги испытывает нехватку ресурсов, что приводит к большим задержкам в рассмотрении дел (ст</w:t>
      </w:r>
      <w:r w:rsidR="007C556F">
        <w:t>атьи</w:t>
      </w:r>
      <w:r w:rsidRPr="005474B2">
        <w:t xml:space="preserve"> 2 и 6).</w:t>
      </w:r>
      <w:bookmarkStart w:id="1" w:name="_Hlk490982937"/>
      <w:bookmarkEnd w:id="1"/>
    </w:p>
    <w:p w:rsidR="005474B2" w:rsidRPr="005474B2" w:rsidRDefault="005474B2" w:rsidP="005474B2">
      <w:pPr>
        <w:pStyle w:val="SingleTxtGR"/>
        <w:rPr>
          <w:b/>
        </w:rPr>
      </w:pPr>
      <w:r w:rsidRPr="005474B2">
        <w:t>13.</w:t>
      </w:r>
      <w:r w:rsidRPr="005474B2">
        <w:tab/>
      </w:r>
      <w:r w:rsidRPr="005474B2">
        <w:rPr>
          <w:b/>
        </w:rPr>
        <w:t>Комитет рекомендует государству-участнику:</w:t>
      </w:r>
    </w:p>
    <w:p w:rsidR="005474B2" w:rsidRPr="005474B2" w:rsidRDefault="005474B2" w:rsidP="005474B2">
      <w:pPr>
        <w:pStyle w:val="SingleTxtGR"/>
        <w:rPr>
          <w:b/>
        </w:rPr>
      </w:pPr>
      <w:r>
        <w:rPr>
          <w:b/>
          <w:lang w:val="en-US"/>
        </w:rPr>
        <w:tab/>
      </w:r>
      <w:r w:rsidRPr="005474B2">
        <w:rPr>
          <w:b/>
        </w:rPr>
        <w:t>а)</w:t>
      </w:r>
      <w:r w:rsidRPr="005474B2">
        <w:rPr>
          <w:b/>
        </w:rPr>
        <w:tab/>
        <w:t xml:space="preserve">разработать, без каких-либо задержек и в партнерстве с маори, график обсуждения рекомендаций Конституционного консультативного совета относительно роли Договора </w:t>
      </w:r>
      <w:proofErr w:type="spellStart"/>
      <w:r w:rsidRPr="005474B2">
        <w:rPr>
          <w:b/>
        </w:rPr>
        <w:t>Вайтанги</w:t>
      </w:r>
      <w:proofErr w:type="spellEnd"/>
      <w:r w:rsidRPr="005474B2">
        <w:rPr>
          <w:b/>
        </w:rPr>
        <w:t xml:space="preserve"> в конституционном устро</w:t>
      </w:r>
      <w:r w:rsidRPr="005474B2">
        <w:rPr>
          <w:b/>
        </w:rPr>
        <w:t>й</w:t>
      </w:r>
      <w:r w:rsidRPr="005474B2">
        <w:rPr>
          <w:b/>
        </w:rPr>
        <w:t>стве наряду с предложениями, содержащимися в докладе</w:t>
      </w:r>
      <w:r w:rsidRPr="005474B2">
        <w:t xml:space="preserve"> </w:t>
      </w:r>
      <w:r w:rsidRPr="005474B2">
        <w:rPr>
          <w:b/>
          <w:lang w:val="en-US"/>
        </w:rPr>
        <w:t>Matike</w:t>
      </w:r>
      <w:r w:rsidRPr="005474B2">
        <w:rPr>
          <w:b/>
        </w:rPr>
        <w:t xml:space="preserve"> </w:t>
      </w:r>
      <w:r w:rsidRPr="005474B2">
        <w:rPr>
          <w:b/>
          <w:lang w:val="en-US"/>
        </w:rPr>
        <w:t>Mai</w:t>
      </w:r>
      <w:r w:rsidRPr="005474B2">
        <w:rPr>
          <w:b/>
        </w:rPr>
        <w:t xml:space="preserve"> </w:t>
      </w:r>
      <w:r w:rsidRPr="005474B2">
        <w:rPr>
          <w:b/>
          <w:lang w:val="en-US"/>
        </w:rPr>
        <w:t>Aote</w:t>
      </w:r>
      <w:r w:rsidRPr="005474B2">
        <w:rPr>
          <w:b/>
          <w:lang w:val="en-US"/>
        </w:rPr>
        <w:t>a</w:t>
      </w:r>
      <w:r w:rsidRPr="005474B2">
        <w:rPr>
          <w:b/>
          <w:lang w:val="en-US"/>
        </w:rPr>
        <w:t>roa</w:t>
      </w:r>
      <w:r w:rsidRPr="005474B2">
        <w:rPr>
          <w:b/>
        </w:rPr>
        <w:t xml:space="preserve">, и с участием всех заинтересованных сторон; </w:t>
      </w:r>
    </w:p>
    <w:p w:rsidR="005474B2" w:rsidRPr="005474B2" w:rsidRDefault="005474B2" w:rsidP="005474B2">
      <w:pPr>
        <w:pStyle w:val="SingleTxtGR"/>
        <w:rPr>
          <w:b/>
        </w:rPr>
      </w:pPr>
      <w:r w:rsidRPr="001F5F08">
        <w:rPr>
          <w:b/>
        </w:rPr>
        <w:tab/>
      </w:r>
      <w:r w:rsidRPr="005474B2">
        <w:rPr>
          <w:b/>
        </w:rPr>
        <w:t>b)</w:t>
      </w:r>
      <w:r w:rsidRPr="005474B2">
        <w:rPr>
          <w:b/>
        </w:rPr>
        <w:tab/>
        <w:t>обеспечить, чтобы государственная политика и законодател</w:t>
      </w:r>
      <w:r w:rsidRPr="005474B2">
        <w:rPr>
          <w:b/>
        </w:rPr>
        <w:t>ь</w:t>
      </w:r>
      <w:r w:rsidRPr="005474B2">
        <w:rPr>
          <w:b/>
        </w:rPr>
        <w:t>ные инициативы соответствовали принципу участия, закрепленному в статье 2 Договора Вайтанги;</w:t>
      </w:r>
    </w:p>
    <w:p w:rsidR="005474B2" w:rsidRPr="005474B2" w:rsidRDefault="005474B2" w:rsidP="005474B2">
      <w:pPr>
        <w:pStyle w:val="SingleTxtGR"/>
        <w:rPr>
          <w:b/>
        </w:rPr>
      </w:pPr>
      <w:r>
        <w:rPr>
          <w:b/>
          <w:lang w:val="en-US"/>
        </w:rPr>
        <w:tab/>
      </w:r>
      <w:r w:rsidRPr="005474B2">
        <w:rPr>
          <w:b/>
        </w:rPr>
        <w:t>с)</w:t>
      </w:r>
      <w:r w:rsidRPr="005474B2">
        <w:rPr>
          <w:b/>
        </w:rPr>
        <w:tab/>
        <w:t>предоставить более веские гарантии того, что государство-участник признает основополагающее право на самоопределение маори и обязател</w:t>
      </w:r>
      <w:r w:rsidRPr="005474B2">
        <w:rPr>
          <w:b/>
        </w:rPr>
        <w:t>ь</w:t>
      </w:r>
      <w:r w:rsidRPr="005474B2">
        <w:rPr>
          <w:b/>
        </w:rPr>
        <w:t>ство по организации совместного управления с хапу;</w:t>
      </w:r>
    </w:p>
    <w:p w:rsidR="005474B2" w:rsidRPr="005474B2" w:rsidRDefault="005474B2" w:rsidP="005474B2">
      <w:pPr>
        <w:pStyle w:val="SingleTxtGR"/>
        <w:rPr>
          <w:b/>
        </w:rPr>
      </w:pPr>
      <w:r>
        <w:rPr>
          <w:b/>
          <w:lang w:val="en-US"/>
        </w:rPr>
        <w:tab/>
      </w:r>
      <w:r w:rsidRPr="005474B2">
        <w:rPr>
          <w:b/>
        </w:rPr>
        <w:t>d)</w:t>
      </w:r>
      <w:r w:rsidRPr="005474B2">
        <w:rPr>
          <w:b/>
        </w:rPr>
        <w:tab/>
        <w:t>обеспечить выделение достаточных ресурсов для функцион</w:t>
      </w:r>
      <w:r w:rsidRPr="005474B2">
        <w:rPr>
          <w:b/>
        </w:rPr>
        <w:t>и</w:t>
      </w:r>
      <w:r w:rsidRPr="005474B2">
        <w:rPr>
          <w:b/>
        </w:rPr>
        <w:t>рования трибунала Вайтанги.</w:t>
      </w:r>
    </w:p>
    <w:p w:rsidR="005474B2" w:rsidRPr="005474B2" w:rsidRDefault="005474B2" w:rsidP="005474B2">
      <w:pPr>
        <w:pStyle w:val="H23GR"/>
      </w:pPr>
      <w:r w:rsidRPr="005474B2">
        <w:tab/>
      </w:r>
      <w:r w:rsidRPr="005474B2">
        <w:tab/>
        <w:t>Вопросы земель маори и процесс урегулирования противор</w:t>
      </w:r>
      <w:r w:rsidRPr="005474B2">
        <w:t>е</w:t>
      </w:r>
      <w:r w:rsidRPr="005474B2">
        <w:t>чий Договора</w:t>
      </w:r>
    </w:p>
    <w:p w:rsidR="005474B2" w:rsidRPr="005474B2" w:rsidRDefault="005474B2" w:rsidP="005474B2">
      <w:pPr>
        <w:pStyle w:val="SingleTxtGR"/>
      </w:pPr>
      <w:r w:rsidRPr="005474B2">
        <w:t>14.</w:t>
      </w:r>
      <w:r w:rsidRPr="005474B2">
        <w:tab/>
        <w:t>Комитет отмечает, что в его общей рекомендации № 23 (1997) о правах коренных народов, а также в Декларации Организации Объединенных Наций о правах коренных народов содержится четкое требование о том, что любые р</w:t>
      </w:r>
      <w:r w:rsidRPr="005474B2">
        <w:t>е</w:t>
      </w:r>
      <w:r w:rsidRPr="005474B2">
        <w:t>шения, затрагивающие права и интересы коренных народов, должны прин</w:t>
      </w:r>
      <w:r w:rsidRPr="005474B2">
        <w:t>и</w:t>
      </w:r>
      <w:r w:rsidRPr="005474B2">
        <w:t xml:space="preserve">маться и выполняться при условии их свободного, предварительного и </w:t>
      </w:r>
      <w:proofErr w:type="spellStart"/>
      <w:proofErr w:type="gramStart"/>
      <w:r w:rsidRPr="005474B2">
        <w:t>ос</w:t>
      </w:r>
      <w:r w:rsidRPr="005474B2">
        <w:t>о</w:t>
      </w:r>
      <w:r w:rsidRPr="005474B2">
        <w:t>з</w:t>
      </w:r>
      <w:r w:rsidR="001F5F08">
        <w:t>-</w:t>
      </w:r>
      <w:r w:rsidRPr="005474B2">
        <w:t>нанного</w:t>
      </w:r>
      <w:proofErr w:type="spellEnd"/>
      <w:proofErr w:type="gramEnd"/>
      <w:r w:rsidRPr="005474B2">
        <w:t xml:space="preserve"> согласия. </w:t>
      </w:r>
      <w:proofErr w:type="gramStart"/>
      <w:r w:rsidRPr="005474B2">
        <w:t>Комитет принимает к сведению процесс урегулирования пр</w:t>
      </w:r>
      <w:r w:rsidRPr="005474B2">
        <w:t>о</w:t>
      </w:r>
      <w:r w:rsidRPr="005474B2">
        <w:t>тиворечий Договора, направленного на урегулирование исторических земел</w:t>
      </w:r>
      <w:r w:rsidRPr="005474B2">
        <w:t>ь</w:t>
      </w:r>
      <w:r w:rsidRPr="005474B2">
        <w:t>ных претензий маори в обмен на извинения со стороны государства-участника и пакет мер по возмещению, который может включать в себя компе</w:t>
      </w:r>
      <w:r w:rsidRPr="005474B2">
        <w:t>н</w:t>
      </w:r>
      <w:r w:rsidRPr="005474B2">
        <w:t>сационные меры и стимулы в культурной, финансовой и коммерческой области, а также возможности для создания партнерств</w:t>
      </w:r>
      <w:r w:rsidR="001F4113">
        <w:t xml:space="preserve"> </w:t>
      </w:r>
      <w:r w:rsidRPr="005474B2">
        <w:t>с государством-участником (ст</w:t>
      </w:r>
      <w:r w:rsidR="007C556F">
        <w:t>а</w:t>
      </w:r>
      <w:r w:rsidR="007C556F">
        <w:t>тьи</w:t>
      </w:r>
      <w:r w:rsidRPr="005474B2">
        <w:t xml:space="preserve"> 2, 5</w:t>
      </w:r>
      <w:r w:rsidR="00844C11">
        <w:br/>
      </w:r>
      <w:r w:rsidRPr="005474B2">
        <w:t>и 6).</w:t>
      </w:r>
      <w:proofErr w:type="gramEnd"/>
    </w:p>
    <w:p w:rsidR="005474B2" w:rsidRPr="005474B2" w:rsidRDefault="005474B2" w:rsidP="005474B2">
      <w:pPr>
        <w:pStyle w:val="SingleTxtGR"/>
        <w:rPr>
          <w:b/>
        </w:rPr>
      </w:pPr>
      <w:r w:rsidRPr="005474B2">
        <w:lastRenderedPageBreak/>
        <w:t>15.</w:t>
      </w:r>
      <w:r w:rsidRPr="005474B2">
        <w:tab/>
      </w:r>
      <w:r w:rsidRPr="005474B2">
        <w:rPr>
          <w:b/>
        </w:rPr>
        <w:t>Поскольку процесс урегулирования противоречий Договора и его п</w:t>
      </w:r>
      <w:r w:rsidRPr="005474B2">
        <w:rPr>
          <w:b/>
        </w:rPr>
        <w:t>о</w:t>
      </w:r>
      <w:r w:rsidRPr="005474B2">
        <w:rPr>
          <w:b/>
        </w:rPr>
        <w:t>следствия затрагивают основные права маори на владение, освоение, ко</w:t>
      </w:r>
      <w:r w:rsidRPr="005474B2">
        <w:rPr>
          <w:b/>
        </w:rPr>
        <w:t>н</w:t>
      </w:r>
      <w:r w:rsidRPr="005474B2">
        <w:rPr>
          <w:b/>
        </w:rPr>
        <w:t>троль и использование своих общинных земель, территорий и ресурсов, а также их права по Конвенции, Комитет настоятельно просит государство-участник представить следующую информацию:</w:t>
      </w:r>
    </w:p>
    <w:p w:rsidR="005474B2" w:rsidRPr="005474B2" w:rsidRDefault="005474B2" w:rsidP="005474B2">
      <w:pPr>
        <w:pStyle w:val="SingleTxtGR"/>
        <w:rPr>
          <w:b/>
        </w:rPr>
      </w:pPr>
      <w:r>
        <w:rPr>
          <w:b/>
          <w:lang w:val="en-US"/>
        </w:rPr>
        <w:tab/>
      </w:r>
      <w:r w:rsidRPr="005474B2">
        <w:rPr>
          <w:b/>
        </w:rPr>
        <w:t>а)</w:t>
      </w:r>
      <w:r w:rsidRPr="005474B2">
        <w:rPr>
          <w:b/>
        </w:rPr>
        <w:tab/>
        <w:t>общая площадь являющихся предметом процесса урегулиров</w:t>
      </w:r>
      <w:r w:rsidRPr="005474B2">
        <w:rPr>
          <w:b/>
        </w:rPr>
        <w:t>а</w:t>
      </w:r>
      <w:r w:rsidRPr="005474B2">
        <w:rPr>
          <w:b/>
        </w:rPr>
        <w:t xml:space="preserve">ния земель и их процентная доля от всей территории; </w:t>
      </w:r>
    </w:p>
    <w:p w:rsidR="005474B2" w:rsidRPr="005474B2" w:rsidRDefault="005474B2" w:rsidP="005474B2">
      <w:pPr>
        <w:pStyle w:val="SingleTxtGR"/>
        <w:rPr>
          <w:b/>
        </w:rPr>
      </w:pPr>
      <w:r>
        <w:rPr>
          <w:b/>
          <w:lang w:val="en-US"/>
        </w:rPr>
        <w:tab/>
      </w:r>
      <w:r w:rsidRPr="005474B2">
        <w:rPr>
          <w:b/>
        </w:rPr>
        <w:t>b)</w:t>
      </w:r>
      <w:r w:rsidRPr="005474B2">
        <w:rPr>
          <w:b/>
        </w:rPr>
        <w:tab/>
        <w:t>общая площадь не являющихся предметом процесса урегул</w:t>
      </w:r>
      <w:r w:rsidRPr="005474B2">
        <w:rPr>
          <w:b/>
        </w:rPr>
        <w:t>и</w:t>
      </w:r>
      <w:r w:rsidRPr="005474B2">
        <w:rPr>
          <w:b/>
        </w:rPr>
        <w:t>рования земель и их процентная доля от всей территории и причины их исключ</w:t>
      </w:r>
      <w:r w:rsidRPr="005474B2">
        <w:rPr>
          <w:b/>
        </w:rPr>
        <w:t>е</w:t>
      </w:r>
      <w:r w:rsidRPr="005474B2">
        <w:rPr>
          <w:b/>
        </w:rPr>
        <w:t>ния из процесса;</w:t>
      </w:r>
    </w:p>
    <w:p w:rsidR="005474B2" w:rsidRPr="005474B2" w:rsidRDefault="005474B2" w:rsidP="005474B2">
      <w:pPr>
        <w:pStyle w:val="SingleTxtGR"/>
        <w:rPr>
          <w:b/>
        </w:rPr>
      </w:pPr>
      <w:r>
        <w:rPr>
          <w:b/>
          <w:lang w:val="en-US"/>
        </w:rPr>
        <w:tab/>
      </w:r>
      <w:r w:rsidRPr="005474B2">
        <w:rPr>
          <w:b/>
        </w:rPr>
        <w:t>с)</w:t>
      </w:r>
      <w:r w:rsidRPr="005474B2">
        <w:rPr>
          <w:b/>
        </w:rPr>
        <w:tab/>
        <w:t>описание пакета мер по возмещению в отношении каждого конкре</w:t>
      </w:r>
      <w:r w:rsidRPr="005474B2">
        <w:rPr>
          <w:b/>
        </w:rPr>
        <w:t>т</w:t>
      </w:r>
      <w:r w:rsidRPr="005474B2">
        <w:rPr>
          <w:b/>
        </w:rPr>
        <w:t>ного объекта с указанием его текущей рыночной стоимости;</w:t>
      </w:r>
    </w:p>
    <w:p w:rsidR="005474B2" w:rsidRPr="005474B2" w:rsidRDefault="005474B2" w:rsidP="005474B2">
      <w:pPr>
        <w:pStyle w:val="SingleTxtGR"/>
        <w:rPr>
          <w:b/>
        </w:rPr>
      </w:pPr>
      <w:r>
        <w:rPr>
          <w:b/>
          <w:lang w:val="en-US"/>
        </w:rPr>
        <w:tab/>
      </w:r>
      <w:r w:rsidRPr="005474B2">
        <w:rPr>
          <w:b/>
        </w:rPr>
        <w:t>d)</w:t>
      </w:r>
      <w:r w:rsidRPr="005474B2">
        <w:rPr>
          <w:b/>
        </w:rPr>
        <w:tab/>
        <w:t>процентная доля земель в собственност</w:t>
      </w:r>
      <w:r w:rsidR="00DD4BA2">
        <w:rPr>
          <w:b/>
        </w:rPr>
        <w:t>и</w:t>
      </w:r>
      <w:r w:rsidRPr="005474B2">
        <w:rPr>
          <w:b/>
        </w:rPr>
        <w:t xml:space="preserve"> маори, которые отк</w:t>
      </w:r>
      <w:r w:rsidRPr="005474B2">
        <w:rPr>
          <w:b/>
        </w:rPr>
        <w:t>а</w:t>
      </w:r>
      <w:r w:rsidRPr="005474B2">
        <w:rPr>
          <w:b/>
        </w:rPr>
        <w:t>зались от участия в процессе урегулирования;</w:t>
      </w:r>
    </w:p>
    <w:p w:rsidR="005474B2" w:rsidRPr="005474B2" w:rsidRDefault="005474B2" w:rsidP="005474B2">
      <w:pPr>
        <w:pStyle w:val="SingleTxtGR"/>
        <w:rPr>
          <w:b/>
        </w:rPr>
      </w:pPr>
      <w:r w:rsidRPr="00B92C4D">
        <w:rPr>
          <w:b/>
        </w:rPr>
        <w:tab/>
      </w:r>
      <w:r w:rsidRPr="005474B2">
        <w:rPr>
          <w:b/>
        </w:rPr>
        <w:t>e)</w:t>
      </w:r>
      <w:r w:rsidRPr="005474B2">
        <w:rPr>
          <w:b/>
        </w:rPr>
        <w:tab/>
        <w:t>будет ли, по мнению государства-участника, завершение пр</w:t>
      </w:r>
      <w:r w:rsidRPr="005474B2">
        <w:rPr>
          <w:b/>
        </w:rPr>
        <w:t>о</w:t>
      </w:r>
      <w:r w:rsidRPr="005474B2">
        <w:rPr>
          <w:b/>
        </w:rPr>
        <w:t>цесса урегулирования означать аннулирование прав, вытекающих из Д</w:t>
      </w:r>
      <w:r w:rsidRPr="005474B2">
        <w:rPr>
          <w:b/>
        </w:rPr>
        <w:t>о</w:t>
      </w:r>
      <w:r w:rsidRPr="005474B2">
        <w:rPr>
          <w:b/>
        </w:rPr>
        <w:t>говора.</w:t>
      </w:r>
    </w:p>
    <w:p w:rsidR="005474B2" w:rsidRPr="005474B2" w:rsidRDefault="005474B2" w:rsidP="005474B2">
      <w:pPr>
        <w:pStyle w:val="H23GR"/>
      </w:pPr>
      <w:r w:rsidRPr="005474B2">
        <w:tab/>
      </w:r>
      <w:r w:rsidRPr="005474B2">
        <w:tab/>
        <w:t>Права маори на интеллектуальную и культурную собстве</w:t>
      </w:r>
      <w:r w:rsidRPr="005474B2">
        <w:t>н</w:t>
      </w:r>
      <w:r w:rsidRPr="005474B2">
        <w:t>ность</w:t>
      </w:r>
    </w:p>
    <w:p w:rsidR="005474B2" w:rsidRPr="005474B2" w:rsidRDefault="005474B2" w:rsidP="005474B2">
      <w:pPr>
        <w:pStyle w:val="SingleTxtGR"/>
      </w:pPr>
      <w:r w:rsidRPr="005474B2">
        <w:t>16.</w:t>
      </w:r>
      <w:r w:rsidRPr="005474B2">
        <w:tab/>
        <w:t>Отмечая принятые меры, Комитет вместе с тем выражает обеспокое</w:t>
      </w:r>
      <w:r w:rsidRPr="005474B2">
        <w:t>н</w:t>
      </w:r>
      <w:r w:rsidRPr="005474B2">
        <w:t xml:space="preserve">ность по поводу отсутствия прогресса в деле осуществления содержащихся в докладе </w:t>
      </w:r>
      <w:r w:rsidRPr="005474B2">
        <w:rPr>
          <w:lang w:val="en-US"/>
        </w:rPr>
        <w:t>Wai</w:t>
      </w:r>
      <w:r w:rsidRPr="005474B2">
        <w:t xml:space="preserve"> 262 2011</w:t>
      </w:r>
      <w:r w:rsidR="00706937">
        <w:t> год</w:t>
      </w:r>
      <w:r w:rsidRPr="005474B2">
        <w:t>а трибунала Вайтанги рекомендаций, которые касаю</w:t>
      </w:r>
      <w:r w:rsidRPr="005474B2">
        <w:t>т</w:t>
      </w:r>
      <w:r w:rsidRPr="005474B2">
        <w:t>ся, среди прочего, интеллектуальной и культурной собственности маори, а та</w:t>
      </w:r>
      <w:r w:rsidRPr="005474B2">
        <w:t>к</w:t>
      </w:r>
      <w:r w:rsidRPr="005474B2">
        <w:t>же бесценного достояния маори, включая язык, культуру и знания (ст</w:t>
      </w:r>
      <w:r w:rsidR="00B92C4D">
        <w:t>атья</w:t>
      </w:r>
      <w:r w:rsidRPr="005474B2">
        <w:t xml:space="preserve"> 5).</w:t>
      </w:r>
    </w:p>
    <w:p w:rsidR="005474B2" w:rsidRPr="005474B2" w:rsidRDefault="005474B2" w:rsidP="005474B2">
      <w:pPr>
        <w:pStyle w:val="SingleTxtGR"/>
      </w:pPr>
      <w:r w:rsidRPr="005474B2">
        <w:t>17.</w:t>
      </w:r>
      <w:r w:rsidRPr="005474B2">
        <w:tab/>
      </w:r>
      <w:r w:rsidRPr="00174506">
        <w:rPr>
          <w:b/>
        </w:rPr>
        <w:t>Комитет рекомендует государству-участнику подготовить и опубл</w:t>
      </w:r>
      <w:r w:rsidRPr="00174506">
        <w:rPr>
          <w:b/>
        </w:rPr>
        <w:t>и</w:t>
      </w:r>
      <w:r w:rsidRPr="00174506">
        <w:rPr>
          <w:b/>
        </w:rPr>
        <w:t xml:space="preserve">ковать план, включающий целевые показатели и график осуществления остальных рекомендаций, содержащихся в решении по делу </w:t>
      </w:r>
      <w:r w:rsidRPr="00174506">
        <w:rPr>
          <w:b/>
          <w:lang w:val="en-US"/>
        </w:rPr>
        <w:t>Wai</w:t>
      </w:r>
      <w:r w:rsidRPr="00174506">
        <w:rPr>
          <w:b/>
        </w:rPr>
        <w:t xml:space="preserve"> 262. Он</w:t>
      </w:r>
      <w:r w:rsidR="001F3239">
        <w:rPr>
          <w:b/>
        </w:rPr>
        <w:t> </w:t>
      </w:r>
      <w:r w:rsidRPr="00174506">
        <w:rPr>
          <w:b/>
        </w:rPr>
        <w:t>также рекомендует государству-участнику принять необходимые меры для замораживания признания действительности принятых согласно п</w:t>
      </w:r>
      <w:r w:rsidRPr="00174506">
        <w:rPr>
          <w:b/>
        </w:rPr>
        <w:t>о</w:t>
      </w:r>
      <w:r w:rsidRPr="00174506">
        <w:rPr>
          <w:b/>
        </w:rPr>
        <w:t xml:space="preserve">ложениям доклада </w:t>
      </w:r>
      <w:r w:rsidRPr="00174506">
        <w:rPr>
          <w:b/>
          <w:lang w:val="en-US"/>
        </w:rPr>
        <w:t>Wai</w:t>
      </w:r>
      <w:r w:rsidRPr="00174506">
        <w:rPr>
          <w:b/>
        </w:rPr>
        <w:t xml:space="preserve"> 262 актов, которые не соответствуют Договору Ва</w:t>
      </w:r>
      <w:r w:rsidRPr="00174506">
        <w:rPr>
          <w:b/>
        </w:rPr>
        <w:t>й</w:t>
      </w:r>
      <w:r w:rsidRPr="00174506">
        <w:rPr>
          <w:b/>
        </w:rPr>
        <w:t>танги и Декларации Организации Объединенных Наций о правах коре</w:t>
      </w:r>
      <w:r w:rsidRPr="00174506">
        <w:rPr>
          <w:b/>
        </w:rPr>
        <w:t>н</w:t>
      </w:r>
      <w:r w:rsidRPr="00174506">
        <w:rPr>
          <w:b/>
        </w:rPr>
        <w:t>ных народов.</w:t>
      </w:r>
    </w:p>
    <w:p w:rsidR="005474B2" w:rsidRPr="005474B2" w:rsidRDefault="005474B2" w:rsidP="005474B2">
      <w:pPr>
        <w:pStyle w:val="H23GR"/>
      </w:pPr>
      <w:r w:rsidRPr="005474B2">
        <w:tab/>
      </w:r>
      <w:r w:rsidRPr="005474B2">
        <w:tab/>
        <w:t>Специальная зона жилой застройки 62</w:t>
      </w:r>
    </w:p>
    <w:p w:rsidR="005474B2" w:rsidRPr="005474B2" w:rsidRDefault="005474B2" w:rsidP="005474B2">
      <w:pPr>
        <w:pStyle w:val="SingleTxtGR"/>
      </w:pPr>
      <w:r w:rsidRPr="005474B2">
        <w:t>18.</w:t>
      </w:r>
      <w:r w:rsidRPr="005474B2">
        <w:tab/>
        <w:t>Комитет обеспокоен противоречивой информацией о консультациях с местной общиной маори в связи с выделением специальной зоны под жилую застройку 62 в Ихуматао, на землях, традиционно и ныне занимаемых маори. Комитет отмечает, что эта земля была продана коммерческому застройщику, к</w:t>
      </w:r>
      <w:r w:rsidRPr="005474B2">
        <w:t>о</w:t>
      </w:r>
      <w:r w:rsidRPr="005474B2">
        <w:t>торый обязан принять серьезные меры для смягчения последствий строител</w:t>
      </w:r>
      <w:r w:rsidRPr="005474B2">
        <w:t>ь</w:t>
      </w:r>
      <w:r w:rsidRPr="005474B2">
        <w:t xml:space="preserve">ства. </w:t>
      </w:r>
      <w:proofErr w:type="gramStart"/>
      <w:r w:rsidRPr="005474B2">
        <w:t>Принимая к сведению информацию государства-участника о том, что оно провело надлежащие консультации и заручилось поддержкой со стороны вл</w:t>
      </w:r>
      <w:r w:rsidRPr="005474B2">
        <w:t>а</w:t>
      </w:r>
      <w:r w:rsidRPr="005474B2">
        <w:t>стей маори в отношении выделения указанной территории, Комитет выражает озабоченность в связи с другими сообщениями, согласно которым маори не имели возможность официально участвовать в процессе принятия решений, к</w:t>
      </w:r>
      <w:r w:rsidRPr="005474B2">
        <w:t>а</w:t>
      </w:r>
      <w:r w:rsidRPr="005474B2">
        <w:t>сающихся использования этих земель (ст</w:t>
      </w:r>
      <w:r w:rsidR="00DF550E">
        <w:t>атьи</w:t>
      </w:r>
      <w:r w:rsidRPr="005474B2">
        <w:t xml:space="preserve"> 2 и 5).</w:t>
      </w:r>
      <w:proofErr w:type="gramEnd"/>
    </w:p>
    <w:p w:rsidR="005474B2" w:rsidRPr="005474B2" w:rsidRDefault="005474B2" w:rsidP="005474B2">
      <w:pPr>
        <w:pStyle w:val="SingleTxtGR"/>
        <w:rPr>
          <w:b/>
        </w:rPr>
      </w:pPr>
      <w:r w:rsidRPr="005474B2">
        <w:t>19.</w:t>
      </w:r>
      <w:r w:rsidRPr="005474B2">
        <w:tab/>
      </w:r>
      <w:r w:rsidRPr="005474B2">
        <w:rPr>
          <w:b/>
        </w:rPr>
        <w:t>Комитет рекомендует государству-участнику пересмотреть, в ко</w:t>
      </w:r>
      <w:r w:rsidRPr="005474B2">
        <w:rPr>
          <w:b/>
        </w:rPr>
        <w:t>н</w:t>
      </w:r>
      <w:r w:rsidRPr="005474B2">
        <w:rPr>
          <w:b/>
        </w:rPr>
        <w:t>сультации со всеми затрагиваемыми общинами маори, решение о выдел</w:t>
      </w:r>
      <w:r w:rsidRPr="005474B2">
        <w:rPr>
          <w:b/>
        </w:rPr>
        <w:t>е</w:t>
      </w:r>
      <w:r w:rsidRPr="005474B2">
        <w:rPr>
          <w:b/>
        </w:rPr>
        <w:t>нии под жилую застройку зоны 62 в целях оценки его соответствия Догов</w:t>
      </w:r>
      <w:r w:rsidRPr="005474B2">
        <w:rPr>
          <w:b/>
        </w:rPr>
        <w:t>о</w:t>
      </w:r>
      <w:r w:rsidRPr="005474B2">
        <w:rPr>
          <w:b/>
        </w:rPr>
        <w:t>ру Вайтанги, Декларации Организации Объединенных Наций о правах к</w:t>
      </w:r>
      <w:r w:rsidRPr="005474B2">
        <w:rPr>
          <w:b/>
        </w:rPr>
        <w:t>о</w:t>
      </w:r>
      <w:r w:rsidRPr="005474B2">
        <w:rPr>
          <w:b/>
        </w:rPr>
        <w:t>ренных народов и другим соответствующим международным нормам, и получать свободное и осознанное согласие до утверждения каких-либо пр</w:t>
      </w:r>
      <w:r w:rsidRPr="005474B2">
        <w:rPr>
          <w:b/>
        </w:rPr>
        <w:t>о</w:t>
      </w:r>
      <w:r w:rsidRPr="005474B2">
        <w:rPr>
          <w:b/>
        </w:rPr>
        <w:t>ектов, затрагивающих использование и освоение маори их традиционных земель и ресурсов.</w:t>
      </w:r>
      <w:r w:rsidRPr="005474B2">
        <w:t xml:space="preserve"> </w:t>
      </w:r>
    </w:p>
    <w:p w:rsidR="005474B2" w:rsidRPr="005474B2" w:rsidRDefault="005474B2" w:rsidP="005474B2">
      <w:pPr>
        <w:pStyle w:val="H23GR"/>
      </w:pPr>
      <w:r w:rsidRPr="005474B2">
        <w:lastRenderedPageBreak/>
        <w:tab/>
      </w:r>
      <w:r w:rsidRPr="005474B2">
        <w:tab/>
        <w:t>Права на морскую акваторию и береговую полосу</w:t>
      </w:r>
    </w:p>
    <w:p w:rsidR="005474B2" w:rsidRPr="005474B2" w:rsidRDefault="005474B2" w:rsidP="005474B2">
      <w:pPr>
        <w:pStyle w:val="SingleTxtGR"/>
      </w:pPr>
      <w:r w:rsidRPr="005474B2">
        <w:t>20.</w:t>
      </w:r>
      <w:r w:rsidRPr="005474B2">
        <w:tab/>
        <w:t>Комитет выражает обеспокоенность по поводу применения положений Закона о морской акватории и прибрежной полосе (Takutai Moana) 2011</w:t>
      </w:r>
      <w:r w:rsidR="00706937">
        <w:t> год</w:t>
      </w:r>
      <w:r w:rsidRPr="005474B2">
        <w:t>а, регулирующих права на землю и ресурсы маори, а также сообщениями о том, что государство-участник не приняло мер по пересмотру этого закона согласно соответствующей рекомендации, содержащейся в предыдущих заключительных замечаниях (см. CERD/C/NZL/CO/18-20, пункт 13). Принимая к сведению зая</w:t>
      </w:r>
      <w:r w:rsidRPr="005474B2">
        <w:t>в</w:t>
      </w:r>
      <w:r w:rsidRPr="005474B2">
        <w:t>ление делегации по этому вопросу, Комитет по-прежнему обеспокоен сообщ</w:t>
      </w:r>
      <w:r w:rsidRPr="005474B2">
        <w:t>е</w:t>
      </w:r>
      <w:r w:rsidRPr="005474B2">
        <w:t>ниями о том, что государство-участник не во всех случаях руководствуется принципом необходимости свободного, предварительного и осознанного согл</w:t>
      </w:r>
      <w:r w:rsidRPr="005474B2">
        <w:t>а</w:t>
      </w:r>
      <w:r w:rsidRPr="005474B2">
        <w:t>сия в вопросах, затрагивающих традиционные интересы маори в отношении морских зон (ст</w:t>
      </w:r>
      <w:r w:rsidR="00AF7809">
        <w:t>атьи</w:t>
      </w:r>
      <w:r w:rsidRPr="005474B2">
        <w:t xml:space="preserve"> 2, 5, 6).</w:t>
      </w:r>
    </w:p>
    <w:p w:rsidR="005474B2" w:rsidRPr="005474B2" w:rsidRDefault="005474B2" w:rsidP="005474B2">
      <w:pPr>
        <w:pStyle w:val="SingleTxtGR"/>
        <w:rPr>
          <w:b/>
        </w:rPr>
      </w:pPr>
      <w:r w:rsidRPr="005474B2">
        <w:t>21.</w:t>
      </w:r>
      <w:r w:rsidRPr="005474B2">
        <w:tab/>
      </w:r>
      <w:r w:rsidRPr="005474B2">
        <w:rPr>
          <w:b/>
        </w:rPr>
        <w:t>Комитет повторяет свою рекомендацию государству-участнику пер</w:t>
      </w:r>
      <w:r w:rsidRPr="005474B2">
        <w:rPr>
          <w:b/>
        </w:rPr>
        <w:t>е</w:t>
      </w:r>
      <w:r w:rsidRPr="005474B2">
        <w:rPr>
          <w:b/>
        </w:rPr>
        <w:t>смотреть Закон о морской акватории и прибрежной полосе (Takutai Moana) 2011</w:t>
      </w:r>
      <w:r w:rsidR="00706937">
        <w:rPr>
          <w:b/>
        </w:rPr>
        <w:t> год</w:t>
      </w:r>
      <w:r w:rsidRPr="005474B2">
        <w:rPr>
          <w:b/>
        </w:rPr>
        <w:t>а с целью обеспечения уважения и защиты полного осуществления общинами маори их прав в отношении традиционно находящихся в их владении или пользовании земель и ресурсов и их доступа к местам кул</w:t>
      </w:r>
      <w:r w:rsidRPr="005474B2">
        <w:rPr>
          <w:b/>
        </w:rPr>
        <w:t>ь</w:t>
      </w:r>
      <w:r w:rsidRPr="005474B2">
        <w:rPr>
          <w:b/>
        </w:rPr>
        <w:t>турной и традиционной значимости. Комитет просит государство-участник представить в своем следующем периодическом докладе информацию о всех заявках на признание традиционных интересов в общей морской зоне и прибрежной полосе.</w:t>
      </w:r>
    </w:p>
    <w:p w:rsidR="005474B2" w:rsidRPr="005474B2" w:rsidRDefault="005474B2" w:rsidP="005474B2">
      <w:pPr>
        <w:pStyle w:val="H23GR"/>
      </w:pPr>
      <w:r w:rsidRPr="005474B2">
        <w:tab/>
      </w:r>
      <w:r w:rsidRPr="005474B2">
        <w:tab/>
        <w:t>Пресноводные и геотермальные ресурсы</w:t>
      </w:r>
    </w:p>
    <w:p w:rsidR="005474B2" w:rsidRPr="005474B2" w:rsidRDefault="005474B2" w:rsidP="005474B2">
      <w:pPr>
        <w:pStyle w:val="SingleTxtGR"/>
      </w:pPr>
      <w:r w:rsidRPr="005474B2">
        <w:t>22.</w:t>
      </w:r>
      <w:r w:rsidRPr="005474B2">
        <w:tab/>
        <w:t>Комитет обеспокоен сообщениями о том, что государство-участник предоставило частным компаниям право на использование пресноводных р</w:t>
      </w:r>
      <w:r w:rsidRPr="005474B2">
        <w:t>е</w:t>
      </w:r>
      <w:r w:rsidRPr="005474B2">
        <w:t>сурсов, расположенных на традиционных землях маори, несмотря на постоя</w:t>
      </w:r>
      <w:r w:rsidRPr="005474B2">
        <w:t>н</w:t>
      </w:r>
      <w:r w:rsidRPr="005474B2">
        <w:t xml:space="preserve">ное сопротивление со стороны местной общины маори. Комитет приветствует принятие Закона </w:t>
      </w:r>
      <w:r w:rsidRPr="005474B2">
        <w:rPr>
          <w:lang w:val="en-US"/>
        </w:rPr>
        <w:t>Te</w:t>
      </w:r>
      <w:r w:rsidRPr="005474B2">
        <w:t xml:space="preserve"> </w:t>
      </w:r>
      <w:r w:rsidRPr="005474B2">
        <w:rPr>
          <w:lang w:val="en-US"/>
        </w:rPr>
        <w:t>Awa</w:t>
      </w:r>
      <w:r w:rsidRPr="005474B2">
        <w:t xml:space="preserve"> </w:t>
      </w:r>
      <w:r w:rsidRPr="005474B2">
        <w:rPr>
          <w:lang w:val="en-US"/>
        </w:rPr>
        <w:t>Tupua</w:t>
      </w:r>
      <w:r w:rsidRPr="005474B2">
        <w:t xml:space="preserve"> (Закон об урегулировании претензий по реке Вангануи) 2017</w:t>
      </w:r>
      <w:r w:rsidR="00706937">
        <w:t> год</w:t>
      </w:r>
      <w:r w:rsidRPr="005474B2">
        <w:t>а. Комитет с интересом отмечает предпринятые госуда</w:t>
      </w:r>
      <w:r w:rsidRPr="005474B2">
        <w:t>р</w:t>
      </w:r>
      <w:r w:rsidRPr="005474B2">
        <w:t>ством-участником усилия по налаживанию взаимодействия и проведению ко</w:t>
      </w:r>
      <w:r w:rsidRPr="005474B2">
        <w:t>н</w:t>
      </w:r>
      <w:r w:rsidRPr="005474B2">
        <w:t>сультаций с иви и хапу в отношении их прав на пресноводные р</w:t>
      </w:r>
      <w:r w:rsidR="008716F4">
        <w:t>е</w:t>
      </w:r>
      <w:r w:rsidRPr="005474B2">
        <w:t>сурсы, а также оказанию организациям маори консультативной помощи по геотермальным р</w:t>
      </w:r>
      <w:r w:rsidRPr="005474B2">
        <w:t>е</w:t>
      </w:r>
      <w:r w:rsidRPr="005474B2">
        <w:t>сурсам (ст</w:t>
      </w:r>
      <w:r w:rsidR="007C556F">
        <w:t>атьи</w:t>
      </w:r>
      <w:r w:rsidRPr="005474B2">
        <w:t xml:space="preserve"> 2, 5 и 6).</w:t>
      </w:r>
    </w:p>
    <w:p w:rsidR="005474B2" w:rsidRPr="005474B2" w:rsidRDefault="005474B2" w:rsidP="005474B2">
      <w:pPr>
        <w:pStyle w:val="SingleTxtGR"/>
        <w:rPr>
          <w:b/>
        </w:rPr>
      </w:pPr>
      <w:r w:rsidRPr="005474B2">
        <w:t>23.</w:t>
      </w:r>
      <w:r w:rsidRPr="005474B2">
        <w:tab/>
      </w:r>
      <w:r w:rsidRPr="005474B2">
        <w:rPr>
          <w:b/>
        </w:rPr>
        <w:t>Комитет настоятельно призывает государство-участник обеспечить полное уважение прав общин маори на пресноводные и геотермальные р</w:t>
      </w:r>
      <w:r w:rsidRPr="005474B2">
        <w:rPr>
          <w:b/>
        </w:rPr>
        <w:t>е</w:t>
      </w:r>
      <w:r w:rsidRPr="005474B2">
        <w:rPr>
          <w:b/>
        </w:rPr>
        <w:t>сурсы, защищаемые по Договору Вайтанги и в соответствии с положени</w:t>
      </w:r>
      <w:r w:rsidRPr="005474B2">
        <w:rPr>
          <w:b/>
        </w:rPr>
        <w:t>я</w:t>
      </w:r>
      <w:r w:rsidRPr="005474B2">
        <w:rPr>
          <w:b/>
        </w:rPr>
        <w:t>ми Конвенции.</w:t>
      </w:r>
      <w:r w:rsidRPr="005474B2">
        <w:t xml:space="preserve"> </w:t>
      </w:r>
    </w:p>
    <w:p w:rsidR="005474B2" w:rsidRPr="005474B2" w:rsidRDefault="005474B2" w:rsidP="005474B2">
      <w:pPr>
        <w:pStyle w:val="H23GR"/>
      </w:pPr>
      <w:r w:rsidRPr="005474B2">
        <w:tab/>
      </w:r>
      <w:r w:rsidRPr="005474B2">
        <w:tab/>
        <w:t>Уголовное правосудие</w:t>
      </w:r>
    </w:p>
    <w:p w:rsidR="005474B2" w:rsidRPr="005474B2" w:rsidRDefault="005474B2" w:rsidP="005474B2">
      <w:pPr>
        <w:pStyle w:val="SingleTxtGR"/>
      </w:pPr>
      <w:r w:rsidRPr="005474B2">
        <w:t>24.</w:t>
      </w:r>
      <w:r w:rsidRPr="005474B2">
        <w:tab/>
        <w:t>Несмотря на отрадное снижение уровня преступности среди взрослых и молодежи из числа маори в последние</w:t>
      </w:r>
      <w:r w:rsidR="00706937">
        <w:t> год</w:t>
      </w:r>
      <w:r w:rsidRPr="005474B2">
        <w:t>ы, которое было достигнуто благод</w:t>
      </w:r>
      <w:r w:rsidRPr="005474B2">
        <w:t>а</w:t>
      </w:r>
      <w:r w:rsidRPr="005474B2">
        <w:t>ря неустанным усилиям, Комитет обеспокоен представленной государством-участником информацией о том, что маори по-прежнему составляют непропо</w:t>
      </w:r>
      <w:r w:rsidRPr="005474B2">
        <w:t>р</w:t>
      </w:r>
      <w:r w:rsidRPr="005474B2">
        <w:t>ционально большую долю в статистике арестов, уголовных дел, судебных пр</w:t>
      </w:r>
      <w:r w:rsidRPr="005474B2">
        <w:t>и</w:t>
      </w:r>
      <w:r w:rsidRPr="005474B2">
        <w:t>говоров, заключения и повторного заключения (ст</w:t>
      </w:r>
      <w:r w:rsidR="007C556F">
        <w:t>атьи</w:t>
      </w:r>
      <w:r w:rsidRPr="005474B2">
        <w:t xml:space="preserve"> 2, 5 и 6).</w:t>
      </w:r>
    </w:p>
    <w:p w:rsidR="005474B2" w:rsidRPr="005474B2" w:rsidRDefault="005474B2" w:rsidP="005474B2">
      <w:pPr>
        <w:pStyle w:val="SingleTxtGR"/>
        <w:rPr>
          <w:b/>
        </w:rPr>
      </w:pPr>
      <w:r w:rsidRPr="005474B2">
        <w:t>25.</w:t>
      </w:r>
      <w:r w:rsidRPr="005474B2">
        <w:tab/>
      </w:r>
      <w:r w:rsidRPr="005474B2">
        <w:rPr>
          <w:b/>
        </w:rPr>
        <w:t>В свете этих соображений Комитет рекомендует государству-участнику активизировать свои усилия по устранению коренных причин, обусловливающих непропорционально высокую долю заключенных из числа маори. Кроме того, он рекомендует государству-участнику обесп</w:t>
      </w:r>
      <w:r w:rsidRPr="005474B2">
        <w:rPr>
          <w:b/>
        </w:rPr>
        <w:t>е</w:t>
      </w:r>
      <w:r w:rsidRPr="005474B2">
        <w:rPr>
          <w:b/>
        </w:rPr>
        <w:t>чить, чтобы инициативы в сфере правосудия, социального обеспечения, ухода и защиты для маори были взаимосвязаны, имели транспарентные механизмы управления и опирались на партнерские отношения и взаим</w:t>
      </w:r>
      <w:r w:rsidRPr="005474B2">
        <w:rPr>
          <w:b/>
        </w:rPr>
        <w:t>о</w:t>
      </w:r>
      <w:r w:rsidRPr="005474B2">
        <w:rPr>
          <w:b/>
        </w:rPr>
        <w:t>действие с маори. Комитет также рекомендует государству-участнику пр</w:t>
      </w:r>
      <w:r w:rsidRPr="005474B2">
        <w:rPr>
          <w:b/>
        </w:rPr>
        <w:t>и</w:t>
      </w:r>
      <w:r w:rsidRPr="005474B2">
        <w:rPr>
          <w:b/>
        </w:rPr>
        <w:t xml:space="preserve">нять эффективные меры для повышения уровня представленности маори, пасифика и других групп меньшинств в процессах принятия решений, в </w:t>
      </w:r>
      <w:r w:rsidRPr="005474B2">
        <w:rPr>
          <w:b/>
        </w:rPr>
        <w:lastRenderedPageBreak/>
        <w:t>том числе в качестве прокуроров и судей на всех уровнях системы уголо</w:t>
      </w:r>
      <w:r w:rsidRPr="005474B2">
        <w:rPr>
          <w:b/>
        </w:rPr>
        <w:t>в</w:t>
      </w:r>
      <w:r w:rsidRPr="005474B2">
        <w:rPr>
          <w:b/>
        </w:rPr>
        <w:t>ного правосудия.</w:t>
      </w:r>
    </w:p>
    <w:p w:rsidR="005474B2" w:rsidRPr="005474B2" w:rsidRDefault="005474B2" w:rsidP="005474B2">
      <w:pPr>
        <w:pStyle w:val="H23GR"/>
      </w:pPr>
      <w:r w:rsidRPr="005474B2">
        <w:tab/>
      </w:r>
      <w:r w:rsidRPr="005474B2">
        <w:tab/>
        <w:t>Охрана здоровья</w:t>
      </w:r>
    </w:p>
    <w:p w:rsidR="005474B2" w:rsidRPr="005474B2" w:rsidRDefault="005474B2" w:rsidP="005474B2">
      <w:pPr>
        <w:pStyle w:val="SingleTxtGR"/>
        <w:rPr>
          <w:b/>
        </w:rPr>
      </w:pPr>
      <w:r w:rsidRPr="005474B2">
        <w:t>26.</w:t>
      </w:r>
      <w:r w:rsidRPr="005474B2">
        <w:tab/>
        <w:t>Комитет обеспокоен более низкими показателями здоровья у маори и п</w:t>
      </w:r>
      <w:r w:rsidRPr="005474B2">
        <w:t>а</w:t>
      </w:r>
      <w:r w:rsidRPr="005474B2">
        <w:t>сифика по сравнению с другими группами, в том числе по ожидаемой продо</w:t>
      </w:r>
      <w:r w:rsidRPr="005474B2">
        <w:t>л</w:t>
      </w:r>
      <w:r w:rsidRPr="005474B2">
        <w:t xml:space="preserve">жительности жизни, смертности и инвалидности. </w:t>
      </w:r>
      <w:proofErr w:type="gramStart"/>
      <w:r w:rsidRPr="005474B2">
        <w:t>Он с озабоченностью отмеч</w:t>
      </w:r>
      <w:r w:rsidRPr="005474B2">
        <w:t>а</w:t>
      </w:r>
      <w:r w:rsidRPr="005474B2">
        <w:t>ет сообщения о том, что, несмотря на существование стратегии охраны здор</w:t>
      </w:r>
      <w:r w:rsidRPr="005474B2">
        <w:t>о</w:t>
      </w:r>
      <w:r w:rsidRPr="005474B2">
        <w:t xml:space="preserve">вья маори (He Korowai Oranga) и инициативы Новой Зеландии </w:t>
      </w:r>
      <w:r w:rsidR="00706937">
        <w:t>«</w:t>
      </w:r>
      <w:r w:rsidRPr="005474B2">
        <w:t>За здоровую семью</w:t>
      </w:r>
      <w:r w:rsidR="00706937">
        <w:t>»</w:t>
      </w:r>
      <w:r w:rsidRPr="005474B2">
        <w:t>, потребности маори не учтены должным образом в стратегиях в обл</w:t>
      </w:r>
      <w:r w:rsidRPr="005474B2">
        <w:t>а</w:t>
      </w:r>
      <w:r w:rsidRPr="005474B2">
        <w:t>сти здравоохранения и системе медицинского обслуживания и что маори ста</w:t>
      </w:r>
      <w:r w:rsidRPr="005474B2">
        <w:t>л</w:t>
      </w:r>
      <w:r w:rsidRPr="005474B2">
        <w:t>киваются с серьезными препятствиями при доступе к основным медицинским услугам на равной основе с другими гражданами Новой</w:t>
      </w:r>
      <w:proofErr w:type="gramEnd"/>
      <w:r w:rsidRPr="005474B2">
        <w:t xml:space="preserve"> Зеландии. Комитет обеспокоен сообщениями о наличии структурных перекосов в системе здрав</w:t>
      </w:r>
      <w:r w:rsidRPr="005474B2">
        <w:t>о</w:t>
      </w:r>
      <w:r w:rsidRPr="005474B2">
        <w:t>охранения, низкой долей медико-санитарных служб маори и их незначительным вкладом в политические решения, а также сохранением негативных различий в размере оплаты труда медработников из числа маори (ст</w:t>
      </w:r>
      <w:r w:rsidR="007C556F">
        <w:t>атьи</w:t>
      </w:r>
      <w:r w:rsidRPr="005474B2">
        <w:t xml:space="preserve"> 2 и 5).</w:t>
      </w:r>
    </w:p>
    <w:p w:rsidR="005474B2" w:rsidRPr="005474B2" w:rsidRDefault="005474B2" w:rsidP="005474B2">
      <w:pPr>
        <w:pStyle w:val="SingleTxtGR"/>
        <w:rPr>
          <w:b/>
        </w:rPr>
      </w:pPr>
      <w:r w:rsidRPr="005474B2">
        <w:t>27.</w:t>
      </w:r>
      <w:r w:rsidRPr="005474B2">
        <w:tab/>
      </w:r>
      <w:proofErr w:type="gramStart"/>
      <w:r w:rsidRPr="005474B2">
        <w:rPr>
          <w:b/>
        </w:rPr>
        <w:t>Комитет рекомендует государству-участнику значительно увеличить предоставление и доступность первичных медико-санитарных услуг для общин маори и пасифика и обеспечить, чтобы они были в равной степени представлены и наделены соответствующими возможностями и правами в процессе принятия решений, касающихся планирования политики в обл</w:t>
      </w:r>
      <w:r w:rsidRPr="005474B2">
        <w:rPr>
          <w:b/>
        </w:rPr>
        <w:t>а</w:t>
      </w:r>
      <w:r w:rsidRPr="005474B2">
        <w:rPr>
          <w:b/>
        </w:rPr>
        <w:t>сти здравоохранения и обслуживания инвалидов, а также в области оказ</w:t>
      </w:r>
      <w:r w:rsidRPr="005474B2">
        <w:rPr>
          <w:b/>
        </w:rPr>
        <w:t>а</w:t>
      </w:r>
      <w:r w:rsidRPr="005474B2">
        <w:rPr>
          <w:b/>
        </w:rPr>
        <w:t>ния и оценки услуг.</w:t>
      </w:r>
      <w:proofErr w:type="gramEnd"/>
    </w:p>
    <w:p w:rsidR="005474B2" w:rsidRPr="005474B2" w:rsidRDefault="005474B2" w:rsidP="005474B2">
      <w:pPr>
        <w:pStyle w:val="SingleTxtGR"/>
        <w:rPr>
          <w:b/>
        </w:rPr>
      </w:pPr>
      <w:r w:rsidRPr="005474B2">
        <w:t>28.</w:t>
      </w:r>
      <w:r w:rsidRPr="005474B2">
        <w:tab/>
      </w:r>
      <w:r w:rsidRPr="005474B2">
        <w:rPr>
          <w:b/>
        </w:rPr>
        <w:t>Комитет настоятельно призывает государство-участник принять м</w:t>
      </w:r>
      <w:r w:rsidRPr="005474B2">
        <w:rPr>
          <w:b/>
        </w:rPr>
        <w:t>е</w:t>
      </w:r>
      <w:r w:rsidRPr="005474B2">
        <w:rPr>
          <w:b/>
        </w:rPr>
        <w:t>ры в целях значительного снижения общего числа случаев госпитализации по медицинским показаниям с социальным уклоном и сокращения разл</w:t>
      </w:r>
      <w:r w:rsidRPr="005474B2">
        <w:rPr>
          <w:b/>
        </w:rPr>
        <w:t>и</w:t>
      </w:r>
      <w:r w:rsidRPr="005474B2">
        <w:rPr>
          <w:b/>
        </w:rPr>
        <w:t>чий по показателям</w:t>
      </w:r>
      <w:r w:rsidR="001F4113">
        <w:rPr>
          <w:b/>
        </w:rPr>
        <w:t xml:space="preserve"> </w:t>
      </w:r>
      <w:r w:rsidRPr="005474B2">
        <w:rPr>
          <w:b/>
        </w:rPr>
        <w:t>госпитализации и смертности, особенно среди детей маори и пасифика.</w:t>
      </w:r>
    </w:p>
    <w:p w:rsidR="005474B2" w:rsidRPr="005474B2" w:rsidRDefault="005474B2" w:rsidP="005474B2">
      <w:pPr>
        <w:pStyle w:val="H23GR"/>
      </w:pPr>
      <w:r w:rsidRPr="005474B2">
        <w:tab/>
      </w:r>
      <w:r w:rsidRPr="005474B2">
        <w:tab/>
        <w:t>Занятость</w:t>
      </w:r>
    </w:p>
    <w:p w:rsidR="005474B2" w:rsidRPr="005474B2" w:rsidRDefault="005474B2" w:rsidP="005474B2">
      <w:pPr>
        <w:pStyle w:val="SingleTxtGR"/>
      </w:pPr>
      <w:r w:rsidRPr="005474B2">
        <w:t>29.</w:t>
      </w:r>
      <w:r w:rsidRPr="005474B2">
        <w:tab/>
        <w:t>Комитет выражает обеспокоенность в связи с наличием данных о ди</w:t>
      </w:r>
      <w:r w:rsidRPr="005474B2">
        <w:t>с</w:t>
      </w:r>
      <w:r w:rsidRPr="005474B2">
        <w:t>криминации маори в сфере занятости. Приветствуя сокращение безработицы среди маори в последние</w:t>
      </w:r>
      <w:r w:rsidR="00706937">
        <w:t> год</w:t>
      </w:r>
      <w:r w:rsidRPr="005474B2">
        <w:t>ы и взятое государством-участником обязательство принять меры для снижения уровня безработицы до 7,5% к 2021</w:t>
      </w:r>
      <w:r w:rsidR="00706937">
        <w:t> год</w:t>
      </w:r>
      <w:r w:rsidRPr="005474B2">
        <w:t>у, Комитет в то же время выражает обеспокоенность по поводу информации государства-участника о недостаточной представленности представителей маори, пасифика и азиатских этносов на первых трех уровнях управления государственной службой. Кроме того, Комитет обеспокоен сообщениями о том, что квалифиц</w:t>
      </w:r>
      <w:r w:rsidRPr="005474B2">
        <w:t>и</w:t>
      </w:r>
      <w:r w:rsidRPr="005474B2">
        <w:t>рованные медсестры из числа маори получают значительно более низкую зар</w:t>
      </w:r>
      <w:r w:rsidRPr="005474B2">
        <w:t>а</w:t>
      </w:r>
      <w:r w:rsidRPr="005474B2">
        <w:t>ботную плату (ст</w:t>
      </w:r>
      <w:r w:rsidR="007C556F">
        <w:t>атьи</w:t>
      </w:r>
      <w:r w:rsidRPr="005474B2">
        <w:t xml:space="preserve"> 2 и 5).</w:t>
      </w:r>
    </w:p>
    <w:p w:rsidR="005474B2" w:rsidRPr="005474B2" w:rsidRDefault="005474B2" w:rsidP="005474B2">
      <w:pPr>
        <w:pStyle w:val="SingleTxtGR"/>
        <w:rPr>
          <w:b/>
          <w:bCs/>
        </w:rPr>
      </w:pPr>
      <w:r w:rsidRPr="005474B2">
        <w:t>30.</w:t>
      </w:r>
      <w:r w:rsidRPr="005474B2">
        <w:tab/>
      </w:r>
      <w:r w:rsidRPr="005474B2">
        <w:rPr>
          <w:b/>
        </w:rPr>
        <w:t>Комитет настоятельно призывает государство-участник принять э</w:t>
      </w:r>
      <w:r w:rsidRPr="005474B2">
        <w:rPr>
          <w:b/>
        </w:rPr>
        <w:t>ф</w:t>
      </w:r>
      <w:r w:rsidRPr="005474B2">
        <w:rPr>
          <w:b/>
        </w:rPr>
        <w:t>фективные меры в целях ликвидации расовой дискриминации в сфере з</w:t>
      </w:r>
      <w:r w:rsidRPr="005474B2">
        <w:rPr>
          <w:b/>
        </w:rPr>
        <w:t>а</w:t>
      </w:r>
      <w:r w:rsidRPr="005474B2">
        <w:rPr>
          <w:b/>
        </w:rPr>
        <w:t>нятости в государственном и частном секторах в отношении найма на р</w:t>
      </w:r>
      <w:r w:rsidRPr="005474B2">
        <w:rPr>
          <w:b/>
        </w:rPr>
        <w:t>а</w:t>
      </w:r>
      <w:r w:rsidRPr="005474B2">
        <w:rPr>
          <w:b/>
        </w:rPr>
        <w:t>боту, условий труда и продвижения по службе. Он просит государство-участник в своем следующем периодическом докладе представить опис</w:t>
      </w:r>
      <w:r w:rsidRPr="005474B2">
        <w:rPr>
          <w:b/>
        </w:rPr>
        <w:t>а</w:t>
      </w:r>
      <w:r w:rsidRPr="005474B2">
        <w:rPr>
          <w:b/>
        </w:rPr>
        <w:t>ние этих мер с указанием задач, целевых показателей и достигнутых р</w:t>
      </w:r>
      <w:r w:rsidRPr="005474B2">
        <w:rPr>
          <w:b/>
        </w:rPr>
        <w:t>е</w:t>
      </w:r>
      <w:r w:rsidRPr="005474B2">
        <w:rPr>
          <w:b/>
        </w:rPr>
        <w:t xml:space="preserve">зультатов. </w:t>
      </w:r>
      <w:proofErr w:type="gramStart"/>
      <w:r w:rsidRPr="005474B2">
        <w:rPr>
          <w:b/>
        </w:rPr>
        <w:t>Комитет настоятельно призывает государство-участник устан</w:t>
      </w:r>
      <w:r w:rsidRPr="005474B2">
        <w:rPr>
          <w:b/>
        </w:rPr>
        <w:t>о</w:t>
      </w:r>
      <w:r w:rsidRPr="005474B2">
        <w:rPr>
          <w:b/>
        </w:rPr>
        <w:t>вить целевые показатели в области увеличения представленности маори, пасифика и других меньшинств на уровне корпоративного управления и старшего руководящего звена в государственном секторе и сообщить да</w:t>
      </w:r>
      <w:r w:rsidRPr="005474B2">
        <w:rPr>
          <w:b/>
        </w:rPr>
        <w:t>н</w:t>
      </w:r>
      <w:r w:rsidRPr="005474B2">
        <w:rPr>
          <w:b/>
        </w:rPr>
        <w:t>ные о численности принадлежащих к маори, пасифика и другим меньши</w:t>
      </w:r>
      <w:r w:rsidRPr="005474B2">
        <w:rPr>
          <w:b/>
        </w:rPr>
        <w:t>н</w:t>
      </w:r>
      <w:r w:rsidRPr="005474B2">
        <w:rPr>
          <w:b/>
        </w:rPr>
        <w:t>ствам лиц, работающих в настоящее время в государственном секторе в разбивке по низовым и управленческим позициям.</w:t>
      </w:r>
      <w:proofErr w:type="gramEnd"/>
      <w:r w:rsidRPr="005474B2">
        <w:rPr>
          <w:b/>
        </w:rPr>
        <w:t xml:space="preserve"> Кроме того, он просит представить дополнительную информацию о программах, осуществляемых в целях обеспечения эффективного осуществления принципа равных во</w:t>
      </w:r>
      <w:r w:rsidRPr="005474B2">
        <w:rPr>
          <w:b/>
        </w:rPr>
        <w:t>з</w:t>
      </w:r>
      <w:r w:rsidRPr="005474B2">
        <w:rPr>
          <w:b/>
        </w:rPr>
        <w:t>можностей и равного обращения в сфере занятости без различия по пр</w:t>
      </w:r>
      <w:r w:rsidRPr="005474B2">
        <w:rPr>
          <w:b/>
        </w:rPr>
        <w:t>и</w:t>
      </w:r>
      <w:r w:rsidRPr="005474B2">
        <w:rPr>
          <w:b/>
        </w:rPr>
        <w:lastRenderedPageBreak/>
        <w:t>знаку расы, цвета кожи, родового, национального или этнического прои</w:t>
      </w:r>
      <w:r w:rsidRPr="005474B2">
        <w:rPr>
          <w:b/>
        </w:rPr>
        <w:t>с</w:t>
      </w:r>
      <w:r w:rsidRPr="005474B2">
        <w:rPr>
          <w:b/>
        </w:rPr>
        <w:t>хождения.</w:t>
      </w:r>
      <w:r w:rsidRPr="005474B2">
        <w:t xml:space="preserve"> </w:t>
      </w:r>
    </w:p>
    <w:p w:rsidR="005474B2" w:rsidRPr="005474B2" w:rsidRDefault="005474B2" w:rsidP="005474B2">
      <w:pPr>
        <w:pStyle w:val="H23GR"/>
      </w:pPr>
      <w:r w:rsidRPr="005474B2">
        <w:tab/>
      </w:r>
      <w:r w:rsidRPr="005474B2">
        <w:tab/>
        <w:t>Мигранты</w:t>
      </w:r>
    </w:p>
    <w:p w:rsidR="005474B2" w:rsidRPr="005474B2" w:rsidRDefault="005474B2" w:rsidP="005474B2">
      <w:pPr>
        <w:pStyle w:val="SingleTxtGR"/>
      </w:pPr>
      <w:r w:rsidRPr="005474B2">
        <w:t>31.</w:t>
      </w:r>
      <w:r w:rsidRPr="005474B2">
        <w:tab/>
        <w:t>С интересом отмечая стратегию Новой Зеландии по расселению и инт</w:t>
      </w:r>
      <w:r w:rsidRPr="005474B2">
        <w:t>е</w:t>
      </w:r>
      <w:r w:rsidRPr="005474B2">
        <w:t>грации мигрантов 2014</w:t>
      </w:r>
      <w:r w:rsidR="00706937">
        <w:t> год</w:t>
      </w:r>
      <w:r w:rsidRPr="005474B2">
        <w:t>а и стратегию по предотвращению эксплуатации м</w:t>
      </w:r>
      <w:r w:rsidRPr="005474B2">
        <w:t>и</w:t>
      </w:r>
      <w:r w:rsidRPr="005474B2">
        <w:t>грантов, Комитет вместе с тем обеспокоен сообщениями о том, что трудящиеся-мигранты подвергаются опасности дискриминации и эксплуатации труда, в том числе посредством выплаты им заработной платы ниже минимального размера оплаты труда. У Комитета также вызывает озабоченность проблема эксплуат</w:t>
      </w:r>
      <w:r w:rsidRPr="005474B2">
        <w:t>а</w:t>
      </w:r>
      <w:r w:rsidRPr="005474B2">
        <w:t>ции иностранных студентов. Наряду с этим он обеспокоен сообщениями об ограниченном доступе мигрантов, просителей убежища и беженцев к социал</w:t>
      </w:r>
      <w:r w:rsidRPr="005474B2">
        <w:t>ь</w:t>
      </w:r>
      <w:r w:rsidRPr="005474B2">
        <w:t>ным услугам, включая программы охраны психического здоровья, жилье и з</w:t>
      </w:r>
      <w:r w:rsidRPr="005474B2">
        <w:t>а</w:t>
      </w:r>
      <w:r w:rsidRPr="005474B2">
        <w:t>нятость. Комитет обеспокоен сообщениями о том, что некоторые просители убежища и мигранты, не имеющие документов, содержатся в исправительных учреждениях для уголовных преступников, а также сообщениями об условиях содержания некоторых мигрантов (ст</w:t>
      </w:r>
      <w:r w:rsidR="007C556F">
        <w:t>атьи</w:t>
      </w:r>
      <w:r w:rsidRPr="005474B2">
        <w:t xml:space="preserve"> 2 и 5).</w:t>
      </w:r>
    </w:p>
    <w:p w:rsidR="005474B2" w:rsidRPr="005474B2" w:rsidRDefault="005474B2" w:rsidP="005474B2">
      <w:pPr>
        <w:pStyle w:val="SingleTxtGR"/>
        <w:rPr>
          <w:b/>
          <w:bCs/>
        </w:rPr>
      </w:pPr>
      <w:r w:rsidRPr="005474B2">
        <w:t>32.</w:t>
      </w:r>
      <w:r w:rsidRPr="005474B2">
        <w:tab/>
      </w:r>
      <w:r w:rsidRPr="005474B2">
        <w:rPr>
          <w:b/>
        </w:rPr>
        <w:t>Комитет рекомендует государству-участнику:</w:t>
      </w:r>
    </w:p>
    <w:p w:rsidR="005474B2" w:rsidRPr="005474B2" w:rsidRDefault="005474B2" w:rsidP="005474B2">
      <w:pPr>
        <w:pStyle w:val="SingleTxtGR"/>
        <w:rPr>
          <w:b/>
          <w:bCs/>
        </w:rPr>
      </w:pPr>
      <w:r>
        <w:rPr>
          <w:b/>
          <w:lang w:val="en-US"/>
        </w:rPr>
        <w:tab/>
      </w:r>
      <w:r w:rsidRPr="005474B2">
        <w:rPr>
          <w:b/>
        </w:rPr>
        <w:t>а)</w:t>
      </w:r>
      <w:r w:rsidRPr="005474B2">
        <w:rPr>
          <w:b/>
        </w:rPr>
        <w:tab/>
        <w:t>принять надлежащие и эффективные меры для обеспечения равных возможностей для мигрантов и равного с ними обращения в сфере занят</w:t>
      </w:r>
      <w:r w:rsidRPr="005474B2">
        <w:rPr>
          <w:b/>
        </w:rPr>
        <w:t>о</w:t>
      </w:r>
      <w:r w:rsidRPr="005474B2">
        <w:rPr>
          <w:b/>
        </w:rPr>
        <w:t>сти;</w:t>
      </w:r>
    </w:p>
    <w:p w:rsidR="005474B2" w:rsidRPr="005474B2" w:rsidRDefault="005474B2" w:rsidP="005474B2">
      <w:pPr>
        <w:pStyle w:val="SingleTxtGR"/>
        <w:rPr>
          <w:b/>
          <w:bCs/>
        </w:rPr>
      </w:pPr>
      <w:r>
        <w:rPr>
          <w:b/>
          <w:lang w:val="en-US"/>
        </w:rPr>
        <w:tab/>
      </w:r>
      <w:r w:rsidRPr="005474B2">
        <w:rPr>
          <w:b/>
        </w:rPr>
        <w:t>b)</w:t>
      </w:r>
      <w:r w:rsidRPr="005474B2">
        <w:rPr>
          <w:b/>
        </w:rPr>
        <w:tab/>
        <w:t>в своем следующем периодическом докладе представить и</w:t>
      </w:r>
      <w:r w:rsidRPr="005474B2">
        <w:rPr>
          <w:b/>
        </w:rPr>
        <w:t>н</w:t>
      </w:r>
      <w:r w:rsidRPr="005474B2">
        <w:rPr>
          <w:b/>
        </w:rPr>
        <w:t>формацию о ходе работы по 16 целевым показателям, установленным в стратегии Новой Зеландии по расселению и интеграции мигрантов;</w:t>
      </w:r>
    </w:p>
    <w:p w:rsidR="005474B2" w:rsidRPr="005474B2" w:rsidRDefault="005474B2" w:rsidP="005474B2">
      <w:pPr>
        <w:pStyle w:val="SingleTxtGR"/>
        <w:rPr>
          <w:b/>
        </w:rPr>
      </w:pPr>
      <w:r w:rsidRPr="007C556F">
        <w:rPr>
          <w:b/>
        </w:rPr>
        <w:tab/>
      </w:r>
      <w:r w:rsidRPr="005474B2">
        <w:rPr>
          <w:b/>
        </w:rPr>
        <w:t>с)</w:t>
      </w:r>
      <w:r w:rsidRPr="005474B2">
        <w:rPr>
          <w:b/>
        </w:rPr>
        <w:tab/>
        <w:t>принять меры к тому, чтобы все просители убежища и беженцы имели доступ к адекватным и надлежащим услугам, включая социальную работу и консультативную помощь, с тем чтобы они могли в полной мере пользоваться своими экономическими, социальными и культурными пр</w:t>
      </w:r>
      <w:r w:rsidRPr="005474B2">
        <w:rPr>
          <w:b/>
        </w:rPr>
        <w:t>а</w:t>
      </w:r>
      <w:r w:rsidRPr="005474B2">
        <w:rPr>
          <w:b/>
        </w:rPr>
        <w:t>вами;</w:t>
      </w:r>
    </w:p>
    <w:p w:rsidR="005474B2" w:rsidRPr="005474B2" w:rsidRDefault="005474B2" w:rsidP="005474B2">
      <w:pPr>
        <w:pStyle w:val="SingleTxtGR"/>
        <w:rPr>
          <w:b/>
        </w:rPr>
      </w:pPr>
      <w:r>
        <w:rPr>
          <w:b/>
          <w:lang w:val="en-US"/>
        </w:rPr>
        <w:tab/>
      </w:r>
      <w:r w:rsidRPr="005474B2">
        <w:rPr>
          <w:b/>
        </w:rPr>
        <w:t>d)</w:t>
      </w:r>
      <w:r w:rsidRPr="005474B2">
        <w:rPr>
          <w:b/>
        </w:rPr>
        <w:tab/>
        <w:t>выделить достаточные средства для продолжения предоставл</w:t>
      </w:r>
      <w:r w:rsidRPr="005474B2">
        <w:rPr>
          <w:b/>
        </w:rPr>
        <w:t>е</w:t>
      </w:r>
      <w:r w:rsidRPr="005474B2">
        <w:rPr>
          <w:b/>
        </w:rPr>
        <w:t>ния услуг в области психосоциальной помощи;</w:t>
      </w:r>
    </w:p>
    <w:p w:rsidR="005474B2" w:rsidRPr="005474B2" w:rsidRDefault="005474B2" w:rsidP="005474B2">
      <w:pPr>
        <w:pStyle w:val="SingleTxtGR"/>
        <w:rPr>
          <w:b/>
        </w:rPr>
      </w:pPr>
      <w:r>
        <w:rPr>
          <w:b/>
          <w:lang w:val="en-US"/>
        </w:rPr>
        <w:tab/>
      </w:r>
      <w:r w:rsidRPr="005474B2">
        <w:rPr>
          <w:b/>
        </w:rPr>
        <w:t>e)</w:t>
      </w:r>
      <w:r w:rsidRPr="005474B2">
        <w:rPr>
          <w:b/>
        </w:rPr>
        <w:tab/>
        <w:t>принять меры к тому, чтобы мигранты не содержались под стражей в ненадлежащих условиях, и никогда не содержались вместе с з</w:t>
      </w:r>
      <w:r w:rsidRPr="005474B2">
        <w:rPr>
          <w:b/>
        </w:rPr>
        <w:t>а</w:t>
      </w:r>
      <w:r w:rsidRPr="005474B2">
        <w:rPr>
          <w:b/>
        </w:rPr>
        <w:t>ключенными в исправительных учреждениях, а также рассмотреть во</w:t>
      </w:r>
      <w:r w:rsidRPr="005474B2">
        <w:rPr>
          <w:b/>
        </w:rPr>
        <w:t>з</w:t>
      </w:r>
      <w:r w:rsidRPr="005474B2">
        <w:rPr>
          <w:b/>
        </w:rPr>
        <w:t>можность дальнейшего увеличения своей ежегодной квоты для беженцев.</w:t>
      </w:r>
    </w:p>
    <w:p w:rsidR="005474B2" w:rsidRPr="005474B2" w:rsidRDefault="005474B2" w:rsidP="005474B2">
      <w:pPr>
        <w:pStyle w:val="H23GR"/>
      </w:pPr>
      <w:r w:rsidRPr="005474B2">
        <w:tab/>
      </w:r>
      <w:r w:rsidRPr="005474B2">
        <w:tab/>
        <w:t>Дети маори и пасифика</w:t>
      </w:r>
    </w:p>
    <w:p w:rsidR="005474B2" w:rsidRPr="005474B2" w:rsidRDefault="005474B2" w:rsidP="005474B2">
      <w:pPr>
        <w:pStyle w:val="SingleTxtGR"/>
        <w:rPr>
          <w:b/>
        </w:rPr>
      </w:pPr>
      <w:r w:rsidRPr="005474B2">
        <w:t>33.</w:t>
      </w:r>
      <w:r w:rsidRPr="005474B2">
        <w:tab/>
        <w:t>Комитет выражает обеспокоенность по поводу сообщений о предполаг</w:t>
      </w:r>
      <w:r w:rsidRPr="005474B2">
        <w:t>а</w:t>
      </w:r>
      <w:r w:rsidRPr="005474B2">
        <w:t>емых нарушениях в отношении детей в приемных семьях и государственных учреждениях, которые, как сообщается, включают в себя физическое, сексуал</w:t>
      </w:r>
      <w:r w:rsidRPr="005474B2">
        <w:t>ь</w:t>
      </w:r>
      <w:r w:rsidRPr="005474B2">
        <w:t>ное и психологическое насилие. В сообщениях охватывается период примерно в</w:t>
      </w:r>
      <w:r w:rsidR="007C556F">
        <w:t> </w:t>
      </w:r>
      <w:r w:rsidRPr="005474B2">
        <w:t>40</w:t>
      </w:r>
      <w:r w:rsidR="007C556F">
        <w:t> </w:t>
      </w:r>
      <w:r w:rsidRPr="005474B2">
        <w:t>лет, в течение которого через систему попечения прошли около 100</w:t>
      </w:r>
      <w:r w:rsidR="007C556F">
        <w:t> </w:t>
      </w:r>
      <w:r w:rsidRPr="005474B2">
        <w:t>000</w:t>
      </w:r>
      <w:r w:rsidR="007C556F">
        <w:t> </w:t>
      </w:r>
      <w:r w:rsidRPr="005474B2">
        <w:t>детей, в основном из числа маори. Комитет отмечает, что государство-участник заявило о своем намерении предоставить компенсацию потерпевшим. Вместе с тем Комитет выражает обеспокоенность в связи с тем, что такой по</w:t>
      </w:r>
      <w:r w:rsidRPr="005474B2">
        <w:t>д</w:t>
      </w:r>
      <w:r w:rsidRPr="005474B2">
        <w:t>ход со стороны государства-участника не позволит выявить возможные систе</w:t>
      </w:r>
      <w:r w:rsidRPr="005474B2">
        <w:t>м</w:t>
      </w:r>
      <w:r w:rsidRPr="005474B2">
        <w:t>ные проблемы. Комитет также обеспокоен тем, что дети маори по-прежнему с</w:t>
      </w:r>
      <w:r w:rsidR="007C556F">
        <w:t> </w:t>
      </w:r>
      <w:r w:rsidRPr="005474B2">
        <w:t>большей вероятностью могут попасть в систему государственной опеки. Он</w:t>
      </w:r>
      <w:r w:rsidR="007C556F">
        <w:t> </w:t>
      </w:r>
      <w:r w:rsidRPr="005474B2">
        <w:t>отмечает, что недавно внесенные изменения в Закон Oranga Tamariki 1989</w:t>
      </w:r>
      <w:r w:rsidR="00706937">
        <w:t> год</w:t>
      </w:r>
      <w:r w:rsidRPr="005474B2">
        <w:t>а (посредством Закона о детях, молодежи и их семьях (Oranga Tamariki) 2017</w:t>
      </w:r>
      <w:r w:rsidR="00706937">
        <w:t> год</w:t>
      </w:r>
      <w:r w:rsidRPr="005474B2">
        <w:t>а) предусматривают определенные гарантии для детей, находящихся в с</w:t>
      </w:r>
      <w:r w:rsidRPr="005474B2">
        <w:t>и</w:t>
      </w:r>
      <w:r w:rsidRPr="005474B2">
        <w:t>стеме попечения, однако вместе с тем сохраняется озабоченность по поводу, в частности, внесенного в парламент предложения о направлении несоверше</w:t>
      </w:r>
      <w:r w:rsidRPr="005474B2">
        <w:t>н</w:t>
      </w:r>
      <w:r w:rsidRPr="005474B2">
        <w:t>нолетних правонарушителей в военизированные исправительные лагеря сроком на один</w:t>
      </w:r>
      <w:r w:rsidR="00706937">
        <w:t> год</w:t>
      </w:r>
      <w:r w:rsidRPr="005474B2">
        <w:t xml:space="preserve"> (ст</w:t>
      </w:r>
      <w:r w:rsidR="007C556F">
        <w:t>атьи</w:t>
      </w:r>
      <w:r w:rsidRPr="005474B2">
        <w:t xml:space="preserve"> 2, 5 и 6).</w:t>
      </w:r>
    </w:p>
    <w:p w:rsidR="005474B2" w:rsidRPr="005474B2" w:rsidRDefault="005474B2" w:rsidP="005474B2">
      <w:pPr>
        <w:pStyle w:val="SingleTxtGR"/>
        <w:rPr>
          <w:b/>
        </w:rPr>
      </w:pPr>
      <w:r w:rsidRPr="005474B2">
        <w:lastRenderedPageBreak/>
        <w:t>34.</w:t>
      </w:r>
      <w:r w:rsidRPr="005474B2">
        <w:tab/>
      </w:r>
      <w:r w:rsidRPr="005474B2">
        <w:rPr>
          <w:b/>
        </w:rPr>
        <w:t>Комитет рекомендует государству-участнику:</w:t>
      </w:r>
    </w:p>
    <w:p w:rsidR="005474B2" w:rsidRPr="005474B2" w:rsidRDefault="005474B2" w:rsidP="005474B2">
      <w:pPr>
        <w:pStyle w:val="SingleTxtGR"/>
        <w:rPr>
          <w:b/>
        </w:rPr>
      </w:pPr>
      <w:r>
        <w:rPr>
          <w:b/>
          <w:lang w:val="en-US"/>
        </w:rPr>
        <w:tab/>
      </w:r>
      <w:r w:rsidRPr="005474B2">
        <w:rPr>
          <w:b/>
        </w:rPr>
        <w:t>а)</w:t>
      </w:r>
      <w:r w:rsidRPr="005474B2">
        <w:rPr>
          <w:b/>
        </w:rPr>
        <w:tab/>
        <w:t>незамедлительно учредить и наделить соответствующими функциями и обеспечить ресурсами независимую комиссию по расслед</w:t>
      </w:r>
      <w:r w:rsidRPr="005474B2">
        <w:rPr>
          <w:b/>
        </w:rPr>
        <w:t>о</w:t>
      </w:r>
      <w:r w:rsidRPr="005474B2">
        <w:rPr>
          <w:b/>
        </w:rPr>
        <w:t>ванию зл</w:t>
      </w:r>
      <w:r w:rsidRPr="005474B2">
        <w:rPr>
          <w:b/>
        </w:rPr>
        <w:t>о</w:t>
      </w:r>
      <w:r w:rsidRPr="005474B2">
        <w:rPr>
          <w:b/>
        </w:rPr>
        <w:t xml:space="preserve">употреблений в отношении детей-инвалидов и взрослых-инвалидов в государственных учреждениях по опеке в период </w:t>
      </w:r>
      <w:r w:rsidR="00706937">
        <w:rPr>
          <w:b/>
        </w:rPr>
        <w:br/>
      </w:r>
      <w:r w:rsidRPr="005474B2">
        <w:rPr>
          <w:b/>
        </w:rPr>
        <w:t>1950</w:t>
      </w:r>
      <w:r w:rsidR="007C556F">
        <w:rPr>
          <w:b/>
        </w:rPr>
        <w:t>–</w:t>
      </w:r>
      <w:r w:rsidRPr="005474B2">
        <w:rPr>
          <w:b/>
        </w:rPr>
        <w:t>1990</w:t>
      </w:r>
      <w:r w:rsidR="00706937">
        <w:rPr>
          <w:b/>
        </w:rPr>
        <w:t> год</w:t>
      </w:r>
      <w:r w:rsidRPr="005474B2">
        <w:rPr>
          <w:b/>
        </w:rPr>
        <w:t>ов с полномочиями определять возмещение, компенсацию и другие средства правовой реабилитации потерпевших, включая извинения со ст</w:t>
      </w:r>
      <w:r w:rsidRPr="005474B2">
        <w:rPr>
          <w:b/>
        </w:rPr>
        <w:t>о</w:t>
      </w:r>
      <w:r w:rsidRPr="005474B2">
        <w:rPr>
          <w:b/>
        </w:rPr>
        <w:t>роны государства-участника;</w:t>
      </w:r>
    </w:p>
    <w:p w:rsidR="005474B2" w:rsidRPr="005474B2" w:rsidRDefault="005474B2" w:rsidP="005474B2">
      <w:pPr>
        <w:pStyle w:val="SingleTxtGR"/>
        <w:rPr>
          <w:b/>
        </w:rPr>
      </w:pPr>
      <w:r w:rsidRPr="007C556F">
        <w:rPr>
          <w:b/>
        </w:rPr>
        <w:tab/>
      </w:r>
      <w:r w:rsidRPr="005474B2">
        <w:rPr>
          <w:b/>
        </w:rPr>
        <w:t>b)</w:t>
      </w:r>
      <w:r w:rsidRPr="005474B2">
        <w:rPr>
          <w:b/>
        </w:rPr>
        <w:tab/>
        <w:t xml:space="preserve">принять эффективные меры для сокращения числа детей маори и пасифика в государственных учреждениях по опеке, в том числе благодаря принципу обслуживания </w:t>
      </w:r>
      <w:r w:rsidR="00706937">
        <w:rPr>
          <w:b/>
        </w:rPr>
        <w:t>«</w:t>
      </w:r>
      <w:r w:rsidRPr="005474B2">
        <w:rPr>
          <w:b/>
        </w:rPr>
        <w:t>сначала уэнау</w:t>
      </w:r>
      <w:r w:rsidR="00706937">
        <w:rPr>
          <w:b/>
        </w:rPr>
        <w:t>»</w:t>
      </w:r>
      <w:r w:rsidRPr="005474B2">
        <w:rPr>
          <w:b/>
        </w:rPr>
        <w:t xml:space="preserve"> для детей маори.</w:t>
      </w:r>
    </w:p>
    <w:p w:rsidR="005474B2" w:rsidRPr="005474B2" w:rsidRDefault="005474B2" w:rsidP="005474B2">
      <w:pPr>
        <w:pStyle w:val="H23GR"/>
      </w:pPr>
      <w:r w:rsidRPr="005474B2">
        <w:tab/>
      </w:r>
      <w:r w:rsidRPr="005474B2">
        <w:tab/>
        <w:t>Язык маори</w:t>
      </w:r>
    </w:p>
    <w:p w:rsidR="005474B2" w:rsidRPr="005474B2" w:rsidRDefault="005474B2" w:rsidP="005474B2">
      <w:pPr>
        <w:pStyle w:val="SingleTxtGR"/>
      </w:pPr>
      <w:r w:rsidRPr="005474B2">
        <w:t>35.</w:t>
      </w:r>
      <w:r w:rsidRPr="005474B2">
        <w:tab/>
        <w:t>Комитет отмечает, что, согласно статистическим данным, приведенным в докладе государства-участника, число учащихся, языком обучения которых я</w:t>
      </w:r>
      <w:r w:rsidRPr="005474B2">
        <w:t>в</w:t>
      </w:r>
      <w:r w:rsidRPr="005474B2">
        <w:t>ляется маори (Te Reo Maori), в последние</w:t>
      </w:r>
      <w:r w:rsidR="00706937">
        <w:t> год</w:t>
      </w:r>
      <w:r w:rsidRPr="005474B2">
        <w:t>ы неуклонно растет. Вместе с тем он обеспокоен сообщениями о низком уровне владения маори родным разг</w:t>
      </w:r>
      <w:r w:rsidRPr="005474B2">
        <w:t>о</w:t>
      </w:r>
      <w:r w:rsidRPr="005474B2">
        <w:t>ворным языком, и что в ряде случаев это якобы связано с тем, что учащимся з</w:t>
      </w:r>
      <w:r w:rsidRPr="005474B2">
        <w:t>а</w:t>
      </w:r>
      <w:r w:rsidRPr="005474B2">
        <w:t>прещают говорить на маори (ст</w:t>
      </w:r>
      <w:r w:rsidR="007C556F">
        <w:t>атья</w:t>
      </w:r>
      <w:r w:rsidRPr="005474B2">
        <w:t xml:space="preserve"> 5).</w:t>
      </w:r>
    </w:p>
    <w:p w:rsidR="005474B2" w:rsidRPr="005474B2" w:rsidRDefault="005474B2" w:rsidP="005474B2">
      <w:pPr>
        <w:pStyle w:val="SingleTxtGR"/>
        <w:rPr>
          <w:b/>
        </w:rPr>
      </w:pPr>
      <w:r w:rsidRPr="005474B2">
        <w:t>36.</w:t>
      </w:r>
      <w:r w:rsidRPr="005474B2">
        <w:tab/>
      </w:r>
      <w:r w:rsidRPr="005474B2">
        <w:rPr>
          <w:b/>
        </w:rPr>
        <w:t>Комитет рекомендует государству-участнику активизировать меры по включению обучения языку маори в основные учебные программы для всех учащихся Новой Зеландии, а также удвоить усилия для того, чтобы язык маори использовался по всей стране.</w:t>
      </w:r>
    </w:p>
    <w:p w:rsidR="005474B2" w:rsidRPr="005474B2" w:rsidRDefault="005474B2" w:rsidP="005474B2">
      <w:pPr>
        <w:pStyle w:val="H23GR"/>
      </w:pPr>
      <w:r w:rsidRPr="005474B2">
        <w:tab/>
      </w:r>
      <w:r w:rsidRPr="005474B2">
        <w:tab/>
        <w:t>Образование</w:t>
      </w:r>
    </w:p>
    <w:p w:rsidR="005474B2" w:rsidRPr="005474B2" w:rsidRDefault="005474B2" w:rsidP="005474B2">
      <w:pPr>
        <w:pStyle w:val="SingleTxtGR"/>
      </w:pPr>
      <w:r w:rsidRPr="005474B2">
        <w:t>37.</w:t>
      </w:r>
      <w:r w:rsidRPr="005474B2">
        <w:tab/>
        <w:t>Комитет выражает сожаление по поводу скудости информации и соц</w:t>
      </w:r>
      <w:r w:rsidRPr="005474B2">
        <w:t>и</w:t>
      </w:r>
      <w:r w:rsidRPr="005474B2">
        <w:t>ально-экономических показателей, указывающих на то, что расширение дост</w:t>
      </w:r>
      <w:r w:rsidRPr="005474B2">
        <w:t>у</w:t>
      </w:r>
      <w:r w:rsidRPr="005474B2">
        <w:t>па ко всем уровням системы образования и повышение квалификации выпус</w:t>
      </w:r>
      <w:r w:rsidRPr="005474B2">
        <w:t>к</w:t>
      </w:r>
      <w:r w:rsidRPr="005474B2">
        <w:t>ников учебных заведений создало социальные лифты для представителей о</w:t>
      </w:r>
      <w:r w:rsidRPr="005474B2">
        <w:t>б</w:t>
      </w:r>
      <w:r w:rsidRPr="005474B2">
        <w:t>щин маори и пасифика.</w:t>
      </w:r>
    </w:p>
    <w:p w:rsidR="005474B2" w:rsidRPr="005474B2" w:rsidRDefault="005474B2" w:rsidP="005474B2">
      <w:pPr>
        <w:pStyle w:val="SingleTxtGR"/>
        <w:rPr>
          <w:b/>
        </w:rPr>
      </w:pPr>
      <w:r w:rsidRPr="005474B2">
        <w:t>38.</w:t>
      </w:r>
      <w:r w:rsidRPr="005474B2">
        <w:tab/>
      </w:r>
      <w:r w:rsidRPr="005474B2">
        <w:rPr>
          <w:b/>
        </w:rPr>
        <w:t>Комитет призывает государство-участник представить в своем сл</w:t>
      </w:r>
      <w:r w:rsidRPr="005474B2">
        <w:rPr>
          <w:b/>
        </w:rPr>
        <w:t>е</w:t>
      </w:r>
      <w:r w:rsidRPr="005474B2">
        <w:rPr>
          <w:b/>
        </w:rPr>
        <w:t>дующем периодическом докладе информацию о принятых мерах по улу</w:t>
      </w:r>
      <w:r w:rsidRPr="005474B2">
        <w:rPr>
          <w:b/>
        </w:rPr>
        <w:t>ч</w:t>
      </w:r>
      <w:r w:rsidRPr="005474B2">
        <w:rPr>
          <w:b/>
        </w:rPr>
        <w:t xml:space="preserve">шению успеваемости учащихся маори и пасифика. </w:t>
      </w:r>
    </w:p>
    <w:p w:rsidR="005474B2" w:rsidRPr="005474B2" w:rsidRDefault="005474B2" w:rsidP="005474B2">
      <w:pPr>
        <w:pStyle w:val="H1GR"/>
      </w:pPr>
      <w:r>
        <w:rPr>
          <w:lang w:val="en-US"/>
        </w:rPr>
        <w:tab/>
      </w:r>
      <w:r w:rsidRPr="005474B2">
        <w:t>D.</w:t>
      </w:r>
      <w:r w:rsidRPr="005474B2">
        <w:tab/>
        <w:t xml:space="preserve">Другие рекомендации </w:t>
      </w:r>
    </w:p>
    <w:p w:rsidR="005474B2" w:rsidRPr="005474B2" w:rsidRDefault="005474B2" w:rsidP="005474B2">
      <w:pPr>
        <w:pStyle w:val="H23GR"/>
      </w:pPr>
      <w:r w:rsidRPr="005474B2">
        <w:tab/>
      </w:r>
      <w:r w:rsidRPr="005474B2">
        <w:tab/>
        <w:t>Ратификация других договоров</w:t>
      </w:r>
    </w:p>
    <w:p w:rsidR="005474B2" w:rsidRPr="005474B2" w:rsidRDefault="005474B2" w:rsidP="005474B2">
      <w:pPr>
        <w:pStyle w:val="SingleTxtGR"/>
        <w:rPr>
          <w:b/>
        </w:rPr>
      </w:pPr>
      <w:r w:rsidRPr="005474B2">
        <w:t>39.</w:t>
      </w:r>
      <w:r w:rsidRPr="005474B2">
        <w:tab/>
      </w:r>
      <w:r w:rsidRPr="005474B2">
        <w:rPr>
          <w:b/>
        </w:rPr>
        <w:t>Комитет призывает государство-участник рассмотреть вопрос о р</w:t>
      </w:r>
      <w:r w:rsidRPr="005474B2">
        <w:rPr>
          <w:b/>
        </w:rPr>
        <w:t>а</w:t>
      </w:r>
      <w:r w:rsidRPr="005474B2">
        <w:rPr>
          <w:b/>
        </w:rPr>
        <w:t>тификации Международной конвенции о защите прав всех трудящихся-мигрантов и членов их семей, Конвенции о коренных народах и народах, ведущих племенной образ жизни, 1989</w:t>
      </w:r>
      <w:r w:rsidR="00706937">
        <w:rPr>
          <w:b/>
        </w:rPr>
        <w:t> год</w:t>
      </w:r>
      <w:r w:rsidRPr="005474B2">
        <w:rPr>
          <w:b/>
        </w:rPr>
        <w:t xml:space="preserve"> (№ 169) и Конвенции Междун</w:t>
      </w:r>
      <w:r w:rsidRPr="005474B2">
        <w:rPr>
          <w:b/>
        </w:rPr>
        <w:t>а</w:t>
      </w:r>
      <w:r w:rsidRPr="005474B2">
        <w:rPr>
          <w:b/>
        </w:rPr>
        <w:t>родной организации труда о домашних работниках, 2011</w:t>
      </w:r>
      <w:r w:rsidR="00706937">
        <w:rPr>
          <w:b/>
        </w:rPr>
        <w:t> год</w:t>
      </w:r>
      <w:r w:rsidRPr="005474B2">
        <w:rPr>
          <w:b/>
        </w:rPr>
        <w:t xml:space="preserve"> (№ 189)</w:t>
      </w:r>
      <w:r w:rsidRPr="00170864">
        <w:rPr>
          <w:b/>
        </w:rPr>
        <w:t>.</w:t>
      </w:r>
    </w:p>
    <w:p w:rsidR="005474B2" w:rsidRPr="005474B2" w:rsidRDefault="005474B2" w:rsidP="005474B2">
      <w:pPr>
        <w:pStyle w:val="H23GR"/>
      </w:pPr>
      <w:r w:rsidRPr="005474B2">
        <w:tab/>
      </w:r>
      <w:r w:rsidRPr="005474B2">
        <w:tab/>
        <w:t xml:space="preserve">Международное десятилетие лиц африканского происхождения </w:t>
      </w:r>
    </w:p>
    <w:p w:rsidR="005474B2" w:rsidRPr="005474B2" w:rsidRDefault="005474B2" w:rsidP="005474B2">
      <w:pPr>
        <w:pStyle w:val="SingleTxtGR"/>
      </w:pPr>
      <w:r w:rsidRPr="005474B2">
        <w:t>40.</w:t>
      </w:r>
      <w:r w:rsidRPr="005474B2">
        <w:tab/>
      </w:r>
      <w:r w:rsidRPr="005474B2">
        <w:rPr>
          <w:b/>
        </w:rPr>
        <w:t>В свете резолюции 68/237 Генеральной Ассамблеи Комитет просит государство-участник включить в свой следующий периодический доклад точную информацию о конкретных мерах, принятых в рамках Междун</w:t>
      </w:r>
      <w:r w:rsidRPr="005474B2">
        <w:rPr>
          <w:b/>
        </w:rPr>
        <w:t>а</w:t>
      </w:r>
      <w:r w:rsidRPr="005474B2">
        <w:rPr>
          <w:b/>
        </w:rPr>
        <w:t>родного десятилетия лиц африканского происхождения, принимая во вн</w:t>
      </w:r>
      <w:r w:rsidRPr="005474B2">
        <w:rPr>
          <w:b/>
        </w:rPr>
        <w:t>и</w:t>
      </w:r>
      <w:r w:rsidRPr="005474B2">
        <w:rPr>
          <w:b/>
        </w:rPr>
        <w:t>мание его общую рекомендацию № 34 (2011), касающуюся расовой дискр</w:t>
      </w:r>
      <w:r w:rsidRPr="005474B2">
        <w:rPr>
          <w:b/>
        </w:rPr>
        <w:t>и</w:t>
      </w:r>
      <w:r w:rsidRPr="005474B2">
        <w:rPr>
          <w:b/>
        </w:rPr>
        <w:t>минации в отношении лиц африканского происхождения.</w:t>
      </w:r>
    </w:p>
    <w:p w:rsidR="005474B2" w:rsidRPr="005474B2" w:rsidRDefault="005474B2" w:rsidP="005474B2">
      <w:pPr>
        <w:pStyle w:val="H23GR"/>
      </w:pPr>
      <w:r w:rsidRPr="005474B2">
        <w:tab/>
      </w:r>
      <w:r w:rsidRPr="005474B2">
        <w:tab/>
        <w:t>Консультации с гражданским обществом</w:t>
      </w:r>
    </w:p>
    <w:p w:rsidR="005474B2" w:rsidRPr="005474B2" w:rsidRDefault="005474B2" w:rsidP="005474B2">
      <w:pPr>
        <w:pStyle w:val="SingleTxtGR"/>
        <w:rPr>
          <w:b/>
          <w:bCs/>
        </w:rPr>
      </w:pPr>
      <w:r w:rsidRPr="005474B2">
        <w:t>41.</w:t>
      </w:r>
      <w:r w:rsidRPr="005474B2">
        <w:tab/>
      </w:r>
      <w:r w:rsidRPr="005474B2">
        <w:rPr>
          <w:b/>
        </w:rPr>
        <w:t>Комитет рекомендует государству-участнику в связи с подготовкой следующего периодического доклада и с мерами по осуществлению наст</w:t>
      </w:r>
      <w:r w:rsidRPr="005474B2">
        <w:rPr>
          <w:b/>
        </w:rPr>
        <w:t>о</w:t>
      </w:r>
      <w:r w:rsidRPr="005474B2">
        <w:rPr>
          <w:b/>
        </w:rPr>
        <w:lastRenderedPageBreak/>
        <w:t>ящих заключительных замечаний проводить консультации и расширять диалог с организациями гражданского общества, работающими в области защиты прав человека, в частности в сфере борьбы с расовой дискримин</w:t>
      </w:r>
      <w:r w:rsidRPr="005474B2">
        <w:rPr>
          <w:b/>
        </w:rPr>
        <w:t>а</w:t>
      </w:r>
      <w:r w:rsidRPr="005474B2">
        <w:rPr>
          <w:b/>
        </w:rPr>
        <w:t>цией.</w:t>
      </w:r>
      <w:r w:rsidRPr="005474B2">
        <w:t xml:space="preserve"> </w:t>
      </w:r>
    </w:p>
    <w:p w:rsidR="005474B2" w:rsidRPr="005474B2" w:rsidRDefault="005474B2" w:rsidP="005474B2">
      <w:pPr>
        <w:pStyle w:val="H23GR"/>
      </w:pPr>
      <w:r w:rsidRPr="005474B2">
        <w:tab/>
      </w:r>
      <w:r w:rsidRPr="005474B2">
        <w:tab/>
        <w:t>Заявление в соответствии со статьей 14 Конвенции</w:t>
      </w:r>
    </w:p>
    <w:p w:rsidR="005474B2" w:rsidRPr="005474B2" w:rsidRDefault="005474B2" w:rsidP="005474B2">
      <w:pPr>
        <w:pStyle w:val="SingleTxtGR"/>
        <w:rPr>
          <w:b/>
          <w:bCs/>
        </w:rPr>
      </w:pPr>
      <w:r w:rsidRPr="005474B2">
        <w:t>42.</w:t>
      </w:r>
      <w:r w:rsidRPr="005474B2">
        <w:tab/>
      </w:r>
      <w:r w:rsidRPr="005474B2">
        <w:rPr>
          <w:b/>
        </w:rPr>
        <w:t>Комитет призывает государство-участник сделать предусмотренное в статье 14 Конвенции факультативное заявление о признании компетенции Комитета принимать и рассматривать индивидуальные сообщения</w:t>
      </w:r>
      <w:r w:rsidRPr="007F63C9">
        <w:rPr>
          <w:b/>
        </w:rPr>
        <w:t>.</w:t>
      </w:r>
    </w:p>
    <w:p w:rsidR="005474B2" w:rsidRPr="005474B2" w:rsidRDefault="005474B2" w:rsidP="005474B2">
      <w:pPr>
        <w:pStyle w:val="H23GR"/>
      </w:pPr>
      <w:r w:rsidRPr="005474B2">
        <w:tab/>
      </w:r>
      <w:r w:rsidRPr="005474B2">
        <w:tab/>
        <w:t>Общий базовый документ</w:t>
      </w:r>
    </w:p>
    <w:p w:rsidR="005474B2" w:rsidRPr="005474B2" w:rsidRDefault="005474B2" w:rsidP="005474B2">
      <w:pPr>
        <w:pStyle w:val="SingleTxtGR"/>
        <w:rPr>
          <w:b/>
          <w:bCs/>
        </w:rPr>
      </w:pPr>
      <w:r w:rsidRPr="005474B2">
        <w:t>43.</w:t>
      </w:r>
      <w:r w:rsidRPr="005474B2">
        <w:tab/>
      </w:r>
      <w:r w:rsidRPr="005474B2">
        <w:rPr>
          <w:b/>
        </w:rPr>
        <w:t>Комитет предлагает государству-участнику обновить свой общий б</w:t>
      </w:r>
      <w:r w:rsidRPr="005474B2">
        <w:rPr>
          <w:b/>
        </w:rPr>
        <w:t>а</w:t>
      </w:r>
      <w:r w:rsidRPr="005474B2">
        <w:rPr>
          <w:b/>
        </w:rPr>
        <w:t>зовый документ (HRI/CORE/NZL/2010) в соответствии с согласованными руководящими принципами представления докладов согласно междун</w:t>
      </w:r>
      <w:r w:rsidRPr="005474B2">
        <w:rPr>
          <w:b/>
        </w:rPr>
        <w:t>а</w:t>
      </w:r>
      <w:r w:rsidRPr="005474B2">
        <w:rPr>
          <w:b/>
        </w:rPr>
        <w:t>родным договорам о правах человека, в частности руководящими принц</w:t>
      </w:r>
      <w:r w:rsidRPr="005474B2">
        <w:rPr>
          <w:b/>
        </w:rPr>
        <w:t>и</w:t>
      </w:r>
      <w:r w:rsidRPr="005474B2">
        <w:rPr>
          <w:b/>
        </w:rPr>
        <w:t>пами подготовки общего базового документа, принятыми на пятом межк</w:t>
      </w:r>
      <w:r w:rsidRPr="005474B2">
        <w:rPr>
          <w:b/>
        </w:rPr>
        <w:t>о</w:t>
      </w:r>
      <w:r w:rsidRPr="005474B2">
        <w:rPr>
          <w:b/>
        </w:rPr>
        <w:t>митетском совещании договорных органов по правам человека в июне 2006</w:t>
      </w:r>
      <w:r w:rsidR="00706937">
        <w:rPr>
          <w:b/>
        </w:rPr>
        <w:t> год</w:t>
      </w:r>
      <w:r w:rsidRPr="005474B2">
        <w:rPr>
          <w:b/>
        </w:rPr>
        <w:t>а (HRI/GEN/2/Rev.6, глава I). В свете резолюции 68/268 Генерал</w:t>
      </w:r>
      <w:r w:rsidRPr="005474B2">
        <w:rPr>
          <w:b/>
        </w:rPr>
        <w:t>ь</w:t>
      </w:r>
      <w:r w:rsidRPr="005474B2">
        <w:rPr>
          <w:b/>
        </w:rPr>
        <w:t>ной Ассамблеи Комитет настоятельно призывает государство-участник с</w:t>
      </w:r>
      <w:r w:rsidRPr="005474B2">
        <w:rPr>
          <w:b/>
        </w:rPr>
        <w:t>о</w:t>
      </w:r>
      <w:r w:rsidRPr="005474B2">
        <w:rPr>
          <w:b/>
        </w:rPr>
        <w:t xml:space="preserve">блюдать установленное для объема таких документов ограничение </w:t>
      </w:r>
      <w:r w:rsidRPr="005474B2">
        <w:rPr>
          <w:b/>
        </w:rPr>
        <w:br/>
        <w:t>в 42 400 слов.</w:t>
      </w:r>
    </w:p>
    <w:p w:rsidR="005474B2" w:rsidRPr="005474B2" w:rsidRDefault="005474B2" w:rsidP="005474B2">
      <w:pPr>
        <w:pStyle w:val="H23GR"/>
      </w:pPr>
      <w:r w:rsidRPr="005474B2">
        <w:tab/>
      </w:r>
      <w:r w:rsidRPr="005474B2">
        <w:tab/>
        <w:t>Последующие меры по выполнению настоящих заключительных замечаний</w:t>
      </w:r>
    </w:p>
    <w:p w:rsidR="005474B2" w:rsidRPr="005474B2" w:rsidRDefault="005474B2" w:rsidP="005474B2">
      <w:pPr>
        <w:pStyle w:val="SingleTxtGR"/>
        <w:rPr>
          <w:b/>
          <w:bCs/>
        </w:rPr>
      </w:pPr>
      <w:r w:rsidRPr="005474B2">
        <w:t>44.</w:t>
      </w:r>
      <w:r w:rsidRPr="005474B2">
        <w:tab/>
      </w:r>
      <w:r w:rsidRPr="005474B2">
        <w:rPr>
          <w:b/>
        </w:rPr>
        <w:t>В соответствии с пунктом 1 статьи 9 Конвенции и правилом 65 своих правил процедуры Комитет просит государство-участник представить в течение одного</w:t>
      </w:r>
      <w:r w:rsidR="00706937">
        <w:rPr>
          <w:b/>
        </w:rPr>
        <w:t> год</w:t>
      </w:r>
      <w:r w:rsidRPr="005474B2">
        <w:rPr>
          <w:b/>
        </w:rPr>
        <w:t>а после принятия настоящих заключительных замеч</w:t>
      </w:r>
      <w:r w:rsidRPr="005474B2">
        <w:rPr>
          <w:b/>
        </w:rPr>
        <w:t>а</w:t>
      </w:r>
      <w:r w:rsidRPr="005474B2">
        <w:rPr>
          <w:b/>
        </w:rPr>
        <w:t>ний информацию о выполнении им рекомендаций, содержащихся в пун</w:t>
      </w:r>
      <w:r w:rsidRPr="005474B2">
        <w:rPr>
          <w:b/>
        </w:rPr>
        <w:t>к</w:t>
      </w:r>
      <w:r w:rsidRPr="005474B2">
        <w:rPr>
          <w:b/>
        </w:rPr>
        <w:t>тах 15, 17 и 34 выше.</w:t>
      </w:r>
      <w:r w:rsidRPr="005474B2">
        <w:t xml:space="preserve"> </w:t>
      </w:r>
    </w:p>
    <w:p w:rsidR="005474B2" w:rsidRPr="005474B2" w:rsidRDefault="005474B2" w:rsidP="005474B2">
      <w:pPr>
        <w:pStyle w:val="H23GR"/>
      </w:pPr>
      <w:r w:rsidRPr="005474B2">
        <w:tab/>
      </w:r>
      <w:r w:rsidRPr="005474B2">
        <w:tab/>
        <w:t>Распространение информации</w:t>
      </w:r>
    </w:p>
    <w:p w:rsidR="005474B2" w:rsidRPr="005474B2" w:rsidRDefault="005474B2" w:rsidP="005474B2">
      <w:pPr>
        <w:pStyle w:val="SingleTxtGR"/>
        <w:rPr>
          <w:b/>
          <w:bCs/>
        </w:rPr>
      </w:pPr>
      <w:r w:rsidRPr="005474B2">
        <w:t>45.</w:t>
      </w:r>
      <w:r w:rsidRPr="005474B2">
        <w:tab/>
      </w:r>
      <w:r w:rsidRPr="005474B2">
        <w:rPr>
          <w:b/>
        </w:rPr>
        <w:t xml:space="preserve">Комитет рекомендует государству-участнику обеспечить наличие и доступность для общественности его докладов в момент их представления, а также публикацию в надлежащем порядке заключительных замечаний Комитета по этим докладам на официальном языке государства-участника и других широко используемых языках. </w:t>
      </w:r>
    </w:p>
    <w:p w:rsidR="005474B2" w:rsidRPr="005474B2" w:rsidRDefault="005474B2" w:rsidP="005474B2">
      <w:pPr>
        <w:pStyle w:val="H23GR"/>
      </w:pPr>
      <w:r w:rsidRPr="005474B2">
        <w:tab/>
      </w:r>
      <w:r w:rsidRPr="005474B2">
        <w:tab/>
        <w:t>Подготовка следующего периодического доклада</w:t>
      </w:r>
    </w:p>
    <w:p w:rsidR="005474B2" w:rsidRPr="005474B2" w:rsidRDefault="005474B2" w:rsidP="005474B2">
      <w:pPr>
        <w:pStyle w:val="SingleTxtGR"/>
        <w:rPr>
          <w:b/>
        </w:rPr>
      </w:pPr>
      <w:r w:rsidRPr="005474B2">
        <w:t>46.</w:t>
      </w:r>
      <w:r w:rsidRPr="005474B2">
        <w:tab/>
      </w:r>
      <w:r w:rsidRPr="005474B2">
        <w:rPr>
          <w:b/>
        </w:rPr>
        <w:t>Комитет рекомендует государству-участнику представить свои об</w:t>
      </w:r>
      <w:r w:rsidRPr="005474B2">
        <w:rPr>
          <w:b/>
        </w:rPr>
        <w:t>ъ</w:t>
      </w:r>
      <w:r w:rsidRPr="005474B2">
        <w:rPr>
          <w:b/>
        </w:rPr>
        <w:t>единенные двадцать третий – двадцать четвертый периодические доклады в формате единого документа к 22 декабря 2021</w:t>
      </w:r>
      <w:r w:rsidR="00706937">
        <w:rPr>
          <w:b/>
        </w:rPr>
        <w:t> год</w:t>
      </w:r>
      <w:r w:rsidRPr="005474B2">
        <w:rPr>
          <w:b/>
        </w:rPr>
        <w:t>а с учетом требований в отношении представления докладов, принятых Комитетом на его семьд</w:t>
      </w:r>
      <w:r w:rsidRPr="005474B2">
        <w:rPr>
          <w:b/>
        </w:rPr>
        <w:t>е</w:t>
      </w:r>
      <w:r w:rsidRPr="005474B2">
        <w:rPr>
          <w:b/>
        </w:rPr>
        <w:t>сят первой сессии (CERD/C/2007/1), и рассмотреть в них все вопросы, по</w:t>
      </w:r>
      <w:r w:rsidRPr="005474B2">
        <w:rPr>
          <w:b/>
        </w:rPr>
        <w:t>д</w:t>
      </w:r>
      <w:r w:rsidRPr="005474B2">
        <w:rPr>
          <w:b/>
        </w:rPr>
        <w:t>нятые в настоящих заключительных замечаниях. В соответствии с рез</w:t>
      </w:r>
      <w:r w:rsidRPr="005474B2">
        <w:rPr>
          <w:b/>
        </w:rPr>
        <w:t>о</w:t>
      </w:r>
      <w:r w:rsidRPr="005474B2">
        <w:rPr>
          <w:b/>
        </w:rPr>
        <w:t>люцией 68/268 Генеральной Ассамблеи Комитет настоятельно призывает государство-участник соблюдать ограничение в 21 200 слов для периодич</w:t>
      </w:r>
      <w:r w:rsidRPr="005474B2">
        <w:rPr>
          <w:b/>
        </w:rPr>
        <w:t>е</w:t>
      </w:r>
      <w:r w:rsidRPr="005474B2">
        <w:rPr>
          <w:b/>
        </w:rPr>
        <w:t>ских докладов.</w:t>
      </w:r>
    </w:p>
    <w:p w:rsidR="00381C24" w:rsidRPr="005474B2" w:rsidRDefault="005474B2" w:rsidP="005474B2">
      <w:pPr>
        <w:pStyle w:val="SingleTxtGR"/>
        <w:spacing w:before="240" w:after="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5474B2" w:rsidSect="005474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87B" w:rsidRPr="00A312BC" w:rsidRDefault="00AB487B" w:rsidP="00A312BC"/>
  </w:endnote>
  <w:endnote w:type="continuationSeparator" w:id="0">
    <w:p w:rsidR="00AB487B" w:rsidRPr="00A312BC" w:rsidRDefault="00AB487B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4B2" w:rsidRPr="005474B2" w:rsidRDefault="005474B2">
    <w:pPr>
      <w:pStyle w:val="a8"/>
    </w:pPr>
    <w:r w:rsidRPr="005474B2">
      <w:rPr>
        <w:b/>
        <w:sz w:val="18"/>
      </w:rPr>
      <w:fldChar w:fldCharType="begin"/>
    </w:r>
    <w:r w:rsidRPr="005474B2">
      <w:rPr>
        <w:b/>
        <w:sz w:val="18"/>
      </w:rPr>
      <w:instrText xml:space="preserve"> PAGE  \* MERGEFORMAT </w:instrText>
    </w:r>
    <w:r w:rsidRPr="005474B2">
      <w:rPr>
        <w:b/>
        <w:sz w:val="18"/>
      </w:rPr>
      <w:fldChar w:fldCharType="separate"/>
    </w:r>
    <w:r w:rsidR="00C230DB">
      <w:rPr>
        <w:b/>
        <w:noProof/>
        <w:sz w:val="18"/>
      </w:rPr>
      <w:t>2</w:t>
    </w:r>
    <w:r w:rsidRPr="005474B2">
      <w:rPr>
        <w:b/>
        <w:sz w:val="18"/>
      </w:rPr>
      <w:fldChar w:fldCharType="end"/>
    </w:r>
    <w:r>
      <w:rPr>
        <w:b/>
        <w:sz w:val="18"/>
      </w:rPr>
      <w:tab/>
    </w:r>
    <w:r>
      <w:t>GE.17-16711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4B2" w:rsidRPr="005474B2" w:rsidRDefault="005474B2" w:rsidP="005474B2">
    <w:pPr>
      <w:pStyle w:val="a8"/>
      <w:tabs>
        <w:tab w:val="clear" w:pos="9639"/>
        <w:tab w:val="right" w:pos="9638"/>
      </w:tabs>
      <w:rPr>
        <w:b/>
        <w:sz w:val="18"/>
      </w:rPr>
    </w:pPr>
    <w:r>
      <w:t>GE.17-16711</w:t>
    </w:r>
    <w:r>
      <w:tab/>
    </w:r>
    <w:r w:rsidRPr="005474B2">
      <w:rPr>
        <w:b/>
        <w:sz w:val="18"/>
      </w:rPr>
      <w:fldChar w:fldCharType="begin"/>
    </w:r>
    <w:r w:rsidRPr="005474B2">
      <w:rPr>
        <w:b/>
        <w:sz w:val="18"/>
      </w:rPr>
      <w:instrText xml:space="preserve"> PAGE  \* MERGEFORMAT </w:instrText>
    </w:r>
    <w:r w:rsidRPr="005474B2">
      <w:rPr>
        <w:b/>
        <w:sz w:val="18"/>
      </w:rPr>
      <w:fldChar w:fldCharType="separate"/>
    </w:r>
    <w:r w:rsidR="00C230DB">
      <w:rPr>
        <w:b/>
        <w:noProof/>
        <w:sz w:val="18"/>
      </w:rPr>
      <w:t>3</w:t>
    </w:r>
    <w:r w:rsidRPr="005474B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72" w:rsidRPr="005474B2" w:rsidRDefault="005474B2" w:rsidP="005474B2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F028F10" wp14:editId="50373CB1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17-16711  (R)</w:t>
    </w:r>
    <w:r>
      <w:rPr>
        <w:lang w:val="en-US"/>
      </w:rPr>
      <w:t xml:space="preserve">  191017  201017</w:t>
    </w:r>
    <w:r>
      <w:br/>
    </w:r>
    <w:r w:rsidRPr="005474B2">
      <w:rPr>
        <w:rFonts w:ascii="C39T30Lfz" w:hAnsi="C39T30Lfz"/>
        <w:spacing w:val="0"/>
        <w:w w:val="100"/>
        <w:sz w:val="56"/>
      </w:rPr>
      <w:t></w:t>
    </w:r>
    <w:r w:rsidRPr="005474B2">
      <w:rPr>
        <w:rFonts w:ascii="C39T30Lfz" w:hAnsi="C39T30Lfz"/>
        <w:spacing w:val="0"/>
        <w:w w:val="100"/>
        <w:sz w:val="56"/>
      </w:rPr>
      <w:t></w:t>
    </w:r>
    <w:r w:rsidRPr="005474B2">
      <w:rPr>
        <w:rFonts w:ascii="C39T30Lfz" w:hAnsi="C39T30Lfz"/>
        <w:spacing w:val="0"/>
        <w:w w:val="100"/>
        <w:sz w:val="56"/>
      </w:rPr>
      <w:t></w:t>
    </w:r>
    <w:r w:rsidRPr="005474B2">
      <w:rPr>
        <w:rFonts w:ascii="C39T30Lfz" w:hAnsi="C39T30Lfz"/>
        <w:spacing w:val="0"/>
        <w:w w:val="100"/>
        <w:sz w:val="56"/>
      </w:rPr>
      <w:t></w:t>
    </w:r>
    <w:r w:rsidRPr="005474B2">
      <w:rPr>
        <w:rFonts w:ascii="C39T30Lfz" w:hAnsi="C39T30Lfz"/>
        <w:spacing w:val="0"/>
        <w:w w:val="100"/>
        <w:sz w:val="56"/>
      </w:rPr>
      <w:t></w:t>
    </w:r>
    <w:r w:rsidRPr="005474B2">
      <w:rPr>
        <w:rFonts w:ascii="C39T30Lfz" w:hAnsi="C39T30Lfz"/>
        <w:spacing w:val="0"/>
        <w:w w:val="100"/>
        <w:sz w:val="56"/>
      </w:rPr>
      <w:t></w:t>
    </w:r>
    <w:r w:rsidRPr="005474B2">
      <w:rPr>
        <w:rFonts w:ascii="C39T30Lfz" w:hAnsi="C39T30Lfz"/>
        <w:spacing w:val="0"/>
        <w:w w:val="100"/>
        <w:sz w:val="56"/>
      </w:rPr>
      <w:t></w:t>
    </w:r>
    <w:r w:rsidRPr="005474B2">
      <w:rPr>
        <w:rFonts w:ascii="C39T30Lfz" w:hAnsi="C39T30Lfz"/>
        <w:spacing w:val="0"/>
        <w:w w:val="100"/>
        <w:sz w:val="56"/>
      </w:rPr>
      <w:t></w:t>
    </w:r>
    <w:r w:rsidRPr="005474B2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355" cy="638355"/>
          <wp:effectExtent l="0" t="0" r="9525" b="9525"/>
          <wp:wrapNone/>
          <wp:docPr id="1" name="Рисунок 1" descr="https://undocs.org/m2/QRCode.ashx?DS=CERD/C/NZL/CO/21-22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ERD/C/NZL/CO/21-22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355" cy="63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87B" w:rsidRPr="001075E9" w:rsidRDefault="00AB487B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AB487B" w:rsidRDefault="00AB487B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5474B2" w:rsidRPr="0016233E" w:rsidRDefault="005474B2" w:rsidP="005474B2">
      <w:pPr>
        <w:pStyle w:val="ad"/>
        <w:rPr>
          <w:lang w:val="ru-RU"/>
        </w:rPr>
      </w:pPr>
      <w:r>
        <w:rPr>
          <w:lang w:val="ru-RU"/>
        </w:rPr>
        <w:tab/>
      </w:r>
      <w:r w:rsidRPr="005474B2">
        <w:rPr>
          <w:sz w:val="20"/>
          <w:lang w:val="ru-RU"/>
        </w:rPr>
        <w:t>*</w:t>
      </w:r>
      <w:r>
        <w:rPr>
          <w:lang w:val="ru-RU"/>
        </w:rPr>
        <w:tab/>
        <w:t>Приняты Комитетом на его девяносто третьей сессии (31 июля – 25 августа 2017</w:t>
      </w:r>
      <w:r w:rsidR="00706937">
        <w:rPr>
          <w:lang w:val="ru-RU"/>
        </w:rPr>
        <w:t> год</w:t>
      </w:r>
      <w:r>
        <w:rPr>
          <w:lang w:val="ru-RU"/>
        </w:rPr>
        <w:t>а).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4B2" w:rsidRPr="005474B2" w:rsidRDefault="005474B2">
    <w:pPr>
      <w:pStyle w:val="a5"/>
    </w:pPr>
    <w:fldSimple w:instr=" TITLE  \* MERGEFORMAT ">
      <w:r w:rsidR="00C230DB">
        <w:t>CERD/C/NZL/CO/21-22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4B2" w:rsidRPr="005474B2" w:rsidRDefault="005474B2" w:rsidP="005474B2">
    <w:pPr>
      <w:pStyle w:val="a5"/>
      <w:jc w:val="right"/>
    </w:pPr>
    <w:fldSimple w:instr=" TITLE  \* MERGEFORMAT ">
      <w:r w:rsidR="00C230DB">
        <w:t>CERD/C/NZL/CO/21-22</w:t>
      </w:r>
    </w:fldSimple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4B2" w:rsidRDefault="005474B2" w:rsidP="005474B2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87B"/>
    <w:rsid w:val="00033EE1"/>
    <w:rsid w:val="00042B72"/>
    <w:rsid w:val="00053909"/>
    <w:rsid w:val="000558BD"/>
    <w:rsid w:val="0007083C"/>
    <w:rsid w:val="000B57E7"/>
    <w:rsid w:val="000B6373"/>
    <w:rsid w:val="000F09DF"/>
    <w:rsid w:val="000F61B2"/>
    <w:rsid w:val="001075E9"/>
    <w:rsid w:val="00170864"/>
    <w:rsid w:val="00174506"/>
    <w:rsid w:val="00180183"/>
    <w:rsid w:val="0018024D"/>
    <w:rsid w:val="0018649F"/>
    <w:rsid w:val="00192859"/>
    <w:rsid w:val="00196389"/>
    <w:rsid w:val="001B3EF6"/>
    <w:rsid w:val="001C7A89"/>
    <w:rsid w:val="001F3239"/>
    <w:rsid w:val="001F4113"/>
    <w:rsid w:val="001F5F08"/>
    <w:rsid w:val="00250D8E"/>
    <w:rsid w:val="002A2EFC"/>
    <w:rsid w:val="002A517D"/>
    <w:rsid w:val="002A74F3"/>
    <w:rsid w:val="002B74B1"/>
    <w:rsid w:val="002C0E18"/>
    <w:rsid w:val="002D5AAC"/>
    <w:rsid w:val="002E5067"/>
    <w:rsid w:val="002F405F"/>
    <w:rsid w:val="002F7644"/>
    <w:rsid w:val="002F7EEC"/>
    <w:rsid w:val="00301299"/>
    <w:rsid w:val="00305C08"/>
    <w:rsid w:val="00307FB6"/>
    <w:rsid w:val="00317339"/>
    <w:rsid w:val="00322004"/>
    <w:rsid w:val="003402C2"/>
    <w:rsid w:val="00381C24"/>
    <w:rsid w:val="003958D0"/>
    <w:rsid w:val="003B00E5"/>
    <w:rsid w:val="003D11EA"/>
    <w:rsid w:val="004074C3"/>
    <w:rsid w:val="00407B78"/>
    <w:rsid w:val="00424203"/>
    <w:rsid w:val="00452493"/>
    <w:rsid w:val="00453318"/>
    <w:rsid w:val="00454E07"/>
    <w:rsid w:val="00472C5C"/>
    <w:rsid w:val="004902F3"/>
    <w:rsid w:val="004A1C15"/>
    <w:rsid w:val="004E104A"/>
    <w:rsid w:val="0050108D"/>
    <w:rsid w:val="00513081"/>
    <w:rsid w:val="00517901"/>
    <w:rsid w:val="00526683"/>
    <w:rsid w:val="005474B2"/>
    <w:rsid w:val="0057071C"/>
    <w:rsid w:val="005709E0"/>
    <w:rsid w:val="00572E19"/>
    <w:rsid w:val="005961C8"/>
    <w:rsid w:val="005D7914"/>
    <w:rsid w:val="005E2B41"/>
    <w:rsid w:val="005F0B42"/>
    <w:rsid w:val="00616AFA"/>
    <w:rsid w:val="0066327C"/>
    <w:rsid w:val="0067000F"/>
    <w:rsid w:val="00681A10"/>
    <w:rsid w:val="006A1ED8"/>
    <w:rsid w:val="006C2031"/>
    <w:rsid w:val="006D461A"/>
    <w:rsid w:val="006F35EE"/>
    <w:rsid w:val="007021FF"/>
    <w:rsid w:val="00706937"/>
    <w:rsid w:val="00706B3D"/>
    <w:rsid w:val="00712895"/>
    <w:rsid w:val="00757357"/>
    <w:rsid w:val="007C46C9"/>
    <w:rsid w:val="007C556F"/>
    <w:rsid w:val="007E48F2"/>
    <w:rsid w:val="007F63C9"/>
    <w:rsid w:val="00806C0F"/>
    <w:rsid w:val="00825F8D"/>
    <w:rsid w:val="00834B71"/>
    <w:rsid w:val="00844C11"/>
    <w:rsid w:val="0085289D"/>
    <w:rsid w:val="0086445C"/>
    <w:rsid w:val="008716F4"/>
    <w:rsid w:val="00886327"/>
    <w:rsid w:val="00894693"/>
    <w:rsid w:val="008A08D7"/>
    <w:rsid w:val="008A3166"/>
    <w:rsid w:val="008B227E"/>
    <w:rsid w:val="008B360C"/>
    <w:rsid w:val="008B6909"/>
    <w:rsid w:val="008C15A7"/>
    <w:rsid w:val="008D2AAD"/>
    <w:rsid w:val="0090054A"/>
    <w:rsid w:val="00906890"/>
    <w:rsid w:val="00911BE4"/>
    <w:rsid w:val="0094756D"/>
    <w:rsid w:val="00951972"/>
    <w:rsid w:val="009608F3"/>
    <w:rsid w:val="009741F0"/>
    <w:rsid w:val="009A24AC"/>
    <w:rsid w:val="009A3118"/>
    <w:rsid w:val="009A792D"/>
    <w:rsid w:val="009D5FCE"/>
    <w:rsid w:val="00A14DA8"/>
    <w:rsid w:val="00A312BC"/>
    <w:rsid w:val="00A84021"/>
    <w:rsid w:val="00A84D35"/>
    <w:rsid w:val="00A917B3"/>
    <w:rsid w:val="00AB487B"/>
    <w:rsid w:val="00AB4B51"/>
    <w:rsid w:val="00AE69DE"/>
    <w:rsid w:val="00AF7809"/>
    <w:rsid w:val="00B10CC7"/>
    <w:rsid w:val="00B27969"/>
    <w:rsid w:val="00B32719"/>
    <w:rsid w:val="00B36DF7"/>
    <w:rsid w:val="00B539E7"/>
    <w:rsid w:val="00B62458"/>
    <w:rsid w:val="00B71CBE"/>
    <w:rsid w:val="00B81650"/>
    <w:rsid w:val="00B92C4D"/>
    <w:rsid w:val="00BC18B2"/>
    <w:rsid w:val="00BD33EE"/>
    <w:rsid w:val="00C106D6"/>
    <w:rsid w:val="00C230DB"/>
    <w:rsid w:val="00C60F0C"/>
    <w:rsid w:val="00C805C9"/>
    <w:rsid w:val="00C92939"/>
    <w:rsid w:val="00CA1679"/>
    <w:rsid w:val="00CB151C"/>
    <w:rsid w:val="00CE5A1A"/>
    <w:rsid w:val="00CE6244"/>
    <w:rsid w:val="00CF55F6"/>
    <w:rsid w:val="00D33D63"/>
    <w:rsid w:val="00D44A84"/>
    <w:rsid w:val="00D90028"/>
    <w:rsid w:val="00D90138"/>
    <w:rsid w:val="00DD444E"/>
    <w:rsid w:val="00DD4BA2"/>
    <w:rsid w:val="00DD78D1"/>
    <w:rsid w:val="00DE32CD"/>
    <w:rsid w:val="00DF550E"/>
    <w:rsid w:val="00DF71B9"/>
    <w:rsid w:val="00E73F76"/>
    <w:rsid w:val="00EA2C9F"/>
    <w:rsid w:val="00EA420E"/>
    <w:rsid w:val="00ED0BDA"/>
    <w:rsid w:val="00EE7393"/>
    <w:rsid w:val="00EF1360"/>
    <w:rsid w:val="00EF3220"/>
    <w:rsid w:val="00F0540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166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8A316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8A316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8A31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8A31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8A31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8A316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8A316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8A316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8A316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A31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A3166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8A316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8A316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8A316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8A316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8A316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8A316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8A316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8A316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8A316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8A316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8A316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8A316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8A316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8A316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8A316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8A316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8A316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8A3166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8A3166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8A316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8A3166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8A3166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8A3166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3D11E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8A316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8A3166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8A3166"/>
  </w:style>
  <w:style w:type="character" w:customStyle="1" w:styleId="af0">
    <w:name w:val="Текст концевой сноски Знак"/>
    <w:aliases w:val="2_GR Знак"/>
    <w:basedOn w:val="a0"/>
    <w:link w:val="af"/>
    <w:rsid w:val="008A3166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8A316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semiHidden/>
    <w:unhideWhenUsed/>
    <w:rsid w:val="008A3166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8A3166"/>
    <w:rPr>
      <w:color w:val="800080" w:themeColor="followedHyperlink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166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8A316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8A316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8A31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8A31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8A31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8A316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8A316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8A316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8A316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A31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A3166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8A316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8A316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8A316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8A316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8A316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8A316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8A316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8A316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8A316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8A316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8A316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8A316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8A316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8A316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8A316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8A316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8A316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8A3166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8A3166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8A316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8A3166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8A3166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8A3166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3D11E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8A316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8A3166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8A3166"/>
  </w:style>
  <w:style w:type="character" w:customStyle="1" w:styleId="af0">
    <w:name w:val="Текст концевой сноски Знак"/>
    <w:aliases w:val="2_GR Знак"/>
    <w:basedOn w:val="a0"/>
    <w:link w:val="af"/>
    <w:rsid w:val="008A3166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8A316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semiHidden/>
    <w:unhideWhenUsed/>
    <w:rsid w:val="008A3166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8A316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ERD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CERD.dotm</Template>
  <TotalTime>2</TotalTime>
  <Pages>10</Pages>
  <Words>3727</Words>
  <Characters>25940</Characters>
  <Application>Microsoft Office Word</Application>
  <DocSecurity>0</DocSecurity>
  <Lines>498</Lines>
  <Paragraphs>120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CERD/C/NZL/CO/21-22</vt:lpstr>
      <vt:lpstr>A/</vt:lpstr>
    </vt:vector>
  </TitlesOfParts>
  <Company>DCM</Company>
  <LinksUpToDate>false</LinksUpToDate>
  <CharactersWithSpaces>29661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CERD/C/NZL/CO/21-22</dc:title>
  <dc:subject/>
  <dc:creator>Ovchinnikova Olga</dc:creator>
  <cp:keywords/>
  <cp:lastModifiedBy>Ovchinnikova Olga</cp:lastModifiedBy>
  <cp:revision>4</cp:revision>
  <cp:lastPrinted>2017-10-20T08:58:00Z</cp:lastPrinted>
  <dcterms:created xsi:type="dcterms:W3CDTF">2017-10-20T08:57:00Z</dcterms:created>
  <dcterms:modified xsi:type="dcterms:W3CDTF">2017-10-20T08:59:00Z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