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9E45ED" w:rsidP="009C3B0B">
            <w:pPr>
              <w:bidi w:val="0"/>
              <w:spacing w:after="20"/>
              <w:jc w:val="left"/>
              <w:rPr>
                <w:szCs w:val="20"/>
              </w:rPr>
            </w:pPr>
            <w:r w:rsidRPr="009E45ED">
              <w:rPr>
                <w:sz w:val="40"/>
                <w:szCs w:val="20"/>
              </w:rPr>
              <w:t>CERD</w:t>
            </w:r>
            <w:r>
              <w:rPr>
                <w:szCs w:val="20"/>
              </w:rPr>
              <w:t>/C/NZL/CO/21-22</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C3B0B" w:rsidP="009C3B0B">
            <w:pPr>
              <w:bidi w:val="0"/>
              <w:spacing w:before="240"/>
              <w:jc w:val="left"/>
            </w:pPr>
            <w:r>
              <w:t>Distr.: General</w:t>
            </w:r>
          </w:p>
          <w:p w:rsidR="009C3B0B" w:rsidRDefault="00523165" w:rsidP="009C3B0B">
            <w:pPr>
              <w:bidi w:val="0"/>
              <w:jc w:val="left"/>
            </w:pPr>
            <w:r>
              <w:t xml:space="preserve">22 September </w:t>
            </w:r>
            <w:r w:rsidR="009C3B0B">
              <w:t>2017</w:t>
            </w:r>
          </w:p>
          <w:p w:rsidR="009C3B0B" w:rsidRDefault="009C3B0B" w:rsidP="009C3B0B">
            <w:pPr>
              <w:bidi w:val="0"/>
              <w:jc w:val="left"/>
            </w:pPr>
            <w:r>
              <w:t>Arabic</w:t>
            </w:r>
          </w:p>
          <w:p w:rsidR="009C3B0B" w:rsidRPr="008B4BC6" w:rsidRDefault="009C3B0B" w:rsidP="009C3B0B">
            <w:pPr>
              <w:bidi w:val="0"/>
              <w:jc w:val="left"/>
            </w:pPr>
            <w:r>
              <w:t>Original: English</w:t>
            </w:r>
          </w:p>
        </w:tc>
      </w:tr>
    </w:tbl>
    <w:p w:rsidR="009C3B0B" w:rsidRPr="009C3B0B" w:rsidRDefault="009C3B0B" w:rsidP="009C3B0B">
      <w:pPr>
        <w:spacing w:before="120" w:line="380" w:lineRule="exact"/>
        <w:textDirection w:val="tbRlV"/>
        <w:rPr>
          <w:b/>
          <w:bCs/>
          <w:sz w:val="36"/>
          <w:szCs w:val="36"/>
          <w:rtl/>
          <w:lang w:eastAsia="zh-TW"/>
        </w:rPr>
      </w:pPr>
      <w:r w:rsidRPr="009C3B0B">
        <w:rPr>
          <w:b/>
          <w:bCs/>
          <w:sz w:val="36"/>
          <w:szCs w:val="36"/>
          <w:rtl/>
          <w:cs/>
          <w:lang w:eastAsia="zh-TW"/>
        </w:rPr>
        <w:t>‎لجنة القضاء على التمييز العنصري‏</w:t>
      </w:r>
      <w:r w:rsidRPr="009C3B0B">
        <w:rPr>
          <w:sz w:val="36"/>
          <w:szCs w:val="36"/>
          <w:rtl/>
          <w:lang w:eastAsia="zh-TW"/>
        </w:rPr>
        <w:t xml:space="preserve"> </w:t>
      </w:r>
    </w:p>
    <w:p w:rsidR="009C3B0B" w:rsidRPr="00247CC5" w:rsidRDefault="009C3B0B" w:rsidP="00523165">
      <w:pPr>
        <w:pStyle w:val="HChGA"/>
        <w:rPr>
          <w:sz w:val="20"/>
          <w:rtl/>
          <w:lang w:eastAsia="zh-TW" w:bidi="ar-DZ"/>
        </w:rPr>
      </w:pPr>
      <w:r>
        <w:rPr>
          <w:rtl/>
        </w:rPr>
        <w:tab/>
      </w:r>
      <w:r>
        <w:rPr>
          <w:rtl/>
        </w:rPr>
        <w:tab/>
      </w:r>
      <w:r w:rsidRPr="00247CC5">
        <w:rPr>
          <w:rtl/>
          <w:lang w:eastAsia="zh-TW"/>
        </w:rPr>
        <w:t>الملاحظات الختامية بشأن التقرير الجامع للتقريرين الدوريين الحادي والعشرين والثاني والعشرين لنيوزيلندا</w:t>
      </w:r>
      <w:r w:rsidR="00523165" w:rsidRPr="00523165">
        <w:rPr>
          <w:rStyle w:val="FootnoteReference"/>
          <w:sz w:val="20"/>
          <w:vertAlign w:val="baseline"/>
          <w:rtl/>
          <w:lang w:eastAsia="zh-TW"/>
        </w:rPr>
        <w:footnoteReference w:customMarkFollows="1" w:id="1"/>
        <w:t>*</w:t>
      </w:r>
    </w:p>
    <w:p w:rsidR="009C3B0B" w:rsidRPr="00B371B9" w:rsidRDefault="009C3B0B" w:rsidP="00523165">
      <w:pPr>
        <w:pStyle w:val="SingleTxtGA"/>
        <w:rPr>
          <w:rtl/>
          <w:lang w:eastAsia="zh-TW" w:bidi="ar-DZ"/>
        </w:rPr>
      </w:pPr>
      <w:r>
        <w:rPr>
          <w:rtl/>
          <w:lang w:eastAsia="zh-TW"/>
        </w:rPr>
        <w:t>١-</w:t>
      </w:r>
      <w:r>
        <w:rPr>
          <w:rtl/>
          <w:lang w:eastAsia="zh-TW"/>
        </w:rPr>
        <w:tab/>
        <w:t>نظرت اللجنة في التقريرين الدوريين الحادي والعشرين والثاني والعشرين لنيوزيلندا (</w:t>
      </w:r>
      <w:r w:rsidRPr="00B371B9">
        <w:t>CERD/C/NZL/21-22</w:t>
      </w:r>
      <w:r>
        <w:rPr>
          <w:rtl/>
          <w:lang w:eastAsia="zh-TW"/>
        </w:rPr>
        <w:t xml:space="preserve">)، المقدميْن في وثيقة واحدة، في جلستيها </w:t>
      </w:r>
      <w:r w:rsidR="00523165">
        <w:rPr>
          <w:rtl/>
          <w:lang w:eastAsia="zh-TW"/>
        </w:rPr>
        <w:t xml:space="preserve">2568 و2569 </w:t>
      </w:r>
      <w:r>
        <w:rPr>
          <w:rtl/>
          <w:lang w:eastAsia="zh-TW"/>
        </w:rPr>
        <w:t>(</w:t>
      </w:r>
      <w:r w:rsidRPr="00B371B9">
        <w:t>CERD/C/SR.2568</w:t>
      </w:r>
      <w:r>
        <w:rPr>
          <w:rtl/>
          <w:lang w:eastAsia="zh-TW"/>
        </w:rPr>
        <w:t xml:space="preserve"> و</w:t>
      </w:r>
      <w:r w:rsidR="00523165">
        <w:rPr>
          <w:lang w:eastAsia="zh-TW"/>
        </w:rPr>
        <w:t>2569</w:t>
      </w:r>
      <w:r>
        <w:rPr>
          <w:rtl/>
          <w:lang w:eastAsia="zh-TW"/>
        </w:rPr>
        <w:t>) المعقودتين في 15 و16 آب/أغسطس 2017. واعتمدت في جلساتها 2578، و2579 و2580 المعقودة في 22 و23 آب/أغس</w:t>
      </w:r>
      <w:r w:rsidR="00523165">
        <w:rPr>
          <w:rtl/>
          <w:lang w:eastAsia="zh-TW"/>
        </w:rPr>
        <w:t>طس 2017، هذه الملاحظات الختامية</w:t>
      </w:r>
      <w:r w:rsidR="00523165">
        <w:rPr>
          <w:rFonts w:hint="cs"/>
          <w:rtl/>
          <w:lang w:eastAsia="zh-TW"/>
        </w:rPr>
        <w:t xml:space="preserve">. </w:t>
      </w:r>
    </w:p>
    <w:p w:rsidR="009C3B0B" w:rsidRPr="00B371B9" w:rsidRDefault="009C3B0B" w:rsidP="009C3B0B">
      <w:pPr>
        <w:pStyle w:val="H1GA"/>
        <w:rPr>
          <w:sz w:val="20"/>
          <w:rtl/>
          <w:lang w:eastAsia="zh-TW"/>
        </w:rPr>
      </w:pPr>
      <w:r>
        <w:rPr>
          <w:rtl/>
          <w:lang w:eastAsia="zh-TW"/>
        </w:rPr>
        <w:tab/>
        <w:t>ألف-</w:t>
      </w:r>
      <w:r>
        <w:rPr>
          <w:rtl/>
          <w:lang w:eastAsia="zh-TW"/>
        </w:rPr>
        <w:tab/>
        <w:t>مقدمة</w:t>
      </w:r>
    </w:p>
    <w:p w:rsidR="009C3B0B" w:rsidRPr="00B371B9" w:rsidRDefault="009C3B0B" w:rsidP="009C3B0B">
      <w:pPr>
        <w:pStyle w:val="SingleTxtGA"/>
        <w:rPr>
          <w:rtl/>
          <w:lang w:eastAsia="zh-TW"/>
        </w:rPr>
      </w:pPr>
      <w:r>
        <w:rPr>
          <w:rtl/>
          <w:lang w:eastAsia="zh-TW"/>
        </w:rPr>
        <w:t>٢-</w:t>
      </w:r>
      <w:r>
        <w:rPr>
          <w:rtl/>
          <w:lang w:eastAsia="zh-TW"/>
        </w:rPr>
        <w:tab/>
        <w:t xml:space="preserve">ترحب اللجنة بتقديم التقرير الجامع للتقريرين الدوريين الحادي والعشرين والثاني والعشرين للدولة الطرف. </w:t>
      </w:r>
      <w:r>
        <w:rPr>
          <w:rFonts w:ascii="Traditional Arabic" w:hAnsi="Traditional Arabic" w:hint="cs"/>
          <w:rtl/>
          <w:lang w:eastAsia="zh-TW"/>
        </w:rPr>
        <w:t>وترحب</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بالحوار</w:t>
      </w:r>
      <w:r>
        <w:rPr>
          <w:rtl/>
          <w:lang w:eastAsia="zh-TW"/>
        </w:rPr>
        <w:t xml:space="preserve"> </w:t>
      </w:r>
      <w:r>
        <w:rPr>
          <w:rFonts w:ascii="Traditional Arabic" w:hAnsi="Traditional Arabic" w:hint="cs"/>
          <w:rtl/>
          <w:lang w:eastAsia="zh-TW"/>
        </w:rPr>
        <w:t>المنفتح</w:t>
      </w:r>
      <w:r>
        <w:rPr>
          <w:rtl/>
          <w:lang w:eastAsia="zh-TW"/>
        </w:rPr>
        <w:t xml:space="preserve"> </w:t>
      </w:r>
      <w:r>
        <w:rPr>
          <w:rFonts w:ascii="Traditional Arabic" w:hAnsi="Traditional Arabic" w:hint="cs"/>
          <w:rtl/>
          <w:lang w:eastAsia="zh-TW"/>
        </w:rPr>
        <w:t>والبناء</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دار</w:t>
      </w:r>
      <w:r>
        <w:rPr>
          <w:rtl/>
          <w:lang w:eastAsia="zh-TW"/>
        </w:rPr>
        <w:t xml:space="preserve"> </w:t>
      </w:r>
      <w:r>
        <w:rPr>
          <w:rFonts w:ascii="Traditional Arabic" w:hAnsi="Traditional Arabic" w:hint="cs"/>
          <w:rtl/>
          <w:lang w:eastAsia="zh-TW"/>
        </w:rPr>
        <w:t>مع</w:t>
      </w:r>
      <w:r>
        <w:rPr>
          <w:rtl/>
          <w:lang w:eastAsia="zh-TW"/>
        </w:rPr>
        <w:t xml:space="preserve"> </w:t>
      </w:r>
      <w:r>
        <w:rPr>
          <w:rFonts w:ascii="Traditional Arabic" w:hAnsi="Traditional Arabic" w:hint="cs"/>
          <w:rtl/>
          <w:lang w:eastAsia="zh-TW"/>
        </w:rPr>
        <w:t>الوفد</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يمثل</w:t>
      </w:r>
      <w:r>
        <w:rPr>
          <w:rtl/>
          <w:lang w:eastAsia="zh-TW"/>
        </w:rPr>
        <w:t xml:space="preserve"> </w:t>
      </w:r>
      <w:r>
        <w:rPr>
          <w:rFonts w:ascii="Traditional Arabic" w:hAnsi="Traditional Arabic" w:hint="cs"/>
          <w:rtl/>
          <w:lang w:eastAsia="zh-TW"/>
        </w:rPr>
        <w:t>قطاعات</w:t>
      </w:r>
      <w:r>
        <w:rPr>
          <w:rtl/>
          <w:lang w:eastAsia="zh-TW"/>
        </w:rPr>
        <w:t xml:space="preserve"> </w:t>
      </w:r>
      <w:r>
        <w:rPr>
          <w:rFonts w:ascii="Traditional Arabic" w:hAnsi="Traditional Arabic" w:hint="cs"/>
          <w:rtl/>
          <w:lang w:eastAsia="zh-TW"/>
        </w:rPr>
        <w:t>متعددة،</w:t>
      </w:r>
      <w:r>
        <w:rPr>
          <w:rtl/>
          <w:lang w:eastAsia="zh-TW"/>
        </w:rPr>
        <w:t xml:space="preserve"> </w:t>
      </w:r>
      <w:r>
        <w:rPr>
          <w:rFonts w:ascii="Traditional Arabic" w:hAnsi="Traditional Arabic" w:hint="cs"/>
          <w:rtl/>
          <w:lang w:eastAsia="zh-TW"/>
        </w:rPr>
        <w:t>وتعرب</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تقديرها</w:t>
      </w:r>
      <w:r>
        <w:rPr>
          <w:rtl/>
          <w:lang w:eastAsia="zh-TW"/>
        </w:rPr>
        <w:t xml:space="preserve"> </w:t>
      </w:r>
      <w:r>
        <w:rPr>
          <w:rFonts w:ascii="Traditional Arabic" w:hAnsi="Traditional Arabic" w:hint="cs"/>
          <w:rtl/>
          <w:lang w:eastAsia="zh-TW"/>
        </w:rPr>
        <w:t>للمعلومات</w:t>
      </w:r>
      <w:r>
        <w:rPr>
          <w:rtl/>
          <w:lang w:eastAsia="zh-TW"/>
        </w:rPr>
        <w:t xml:space="preserve"> </w:t>
      </w:r>
      <w:r>
        <w:rPr>
          <w:rFonts w:ascii="Traditional Arabic" w:hAnsi="Traditional Arabic" w:hint="cs"/>
          <w:rtl/>
          <w:lang w:eastAsia="zh-TW"/>
        </w:rPr>
        <w:t>الإحصائية</w:t>
      </w:r>
      <w:r>
        <w:rPr>
          <w:rtl/>
          <w:lang w:eastAsia="zh-TW"/>
        </w:rPr>
        <w:t xml:space="preserve"> </w:t>
      </w:r>
      <w:r>
        <w:rPr>
          <w:rFonts w:ascii="Traditional Arabic" w:hAnsi="Traditional Arabic" w:hint="cs"/>
          <w:rtl/>
          <w:lang w:eastAsia="zh-TW"/>
        </w:rPr>
        <w:t>المقدمة</w:t>
      </w:r>
      <w:r>
        <w:rPr>
          <w:rtl/>
          <w:lang w:eastAsia="zh-TW"/>
        </w:rPr>
        <w:t xml:space="preserve"> </w:t>
      </w:r>
      <w:r>
        <w:rPr>
          <w:rFonts w:ascii="Traditional Arabic" w:hAnsi="Traditional Arabic" w:hint="cs"/>
          <w:rtl/>
          <w:lang w:eastAsia="zh-TW"/>
        </w:rPr>
        <w:t>قبل</w:t>
      </w:r>
      <w:r>
        <w:rPr>
          <w:rtl/>
          <w:lang w:eastAsia="zh-TW"/>
        </w:rPr>
        <w:t xml:space="preserve"> </w:t>
      </w:r>
      <w:r>
        <w:rPr>
          <w:rFonts w:ascii="Traditional Arabic" w:hAnsi="Traditional Arabic" w:hint="cs"/>
          <w:rtl/>
          <w:lang w:eastAsia="zh-TW"/>
        </w:rPr>
        <w:t>إجراء</w:t>
      </w:r>
      <w:r>
        <w:rPr>
          <w:rtl/>
          <w:lang w:eastAsia="zh-TW"/>
        </w:rPr>
        <w:t xml:space="preserve"> </w:t>
      </w:r>
      <w:r>
        <w:rPr>
          <w:rFonts w:ascii="Traditional Arabic" w:hAnsi="Traditional Arabic" w:hint="cs"/>
          <w:rtl/>
          <w:lang w:eastAsia="zh-TW"/>
        </w:rPr>
        <w:t>الحوار،</w:t>
      </w:r>
      <w:r>
        <w:rPr>
          <w:rtl/>
          <w:lang w:eastAsia="zh-TW"/>
        </w:rPr>
        <w:t xml:space="preserve"> </w:t>
      </w:r>
      <w:r>
        <w:rPr>
          <w:rFonts w:ascii="Traditional Arabic" w:hAnsi="Traditional Arabic" w:hint="cs"/>
          <w:rtl/>
          <w:lang w:eastAsia="zh-TW"/>
        </w:rPr>
        <w:t>وللعرض</w:t>
      </w:r>
      <w:r>
        <w:rPr>
          <w:rtl/>
          <w:lang w:eastAsia="zh-TW"/>
        </w:rPr>
        <w:t xml:space="preserve"> </w:t>
      </w:r>
      <w:r>
        <w:rPr>
          <w:rFonts w:ascii="Traditional Arabic" w:hAnsi="Traditional Arabic" w:hint="cs"/>
          <w:rtl/>
          <w:lang w:eastAsia="zh-TW"/>
        </w:rPr>
        <w:t>الشفوي</w:t>
      </w:r>
      <w:r>
        <w:rPr>
          <w:rtl/>
          <w:lang w:eastAsia="zh-TW"/>
        </w:rPr>
        <w:t xml:space="preserve"> </w:t>
      </w:r>
      <w:r>
        <w:rPr>
          <w:rFonts w:ascii="Traditional Arabic" w:hAnsi="Traditional Arabic" w:hint="cs"/>
          <w:rtl/>
          <w:lang w:eastAsia="zh-TW"/>
        </w:rPr>
        <w:t>والردود</w:t>
      </w:r>
      <w:r>
        <w:rPr>
          <w:rtl/>
          <w:lang w:eastAsia="zh-TW"/>
        </w:rPr>
        <w:t xml:space="preserve"> </w:t>
      </w:r>
      <w:r>
        <w:rPr>
          <w:rFonts w:ascii="Traditional Arabic" w:hAnsi="Traditional Arabic" w:hint="cs"/>
          <w:rtl/>
          <w:lang w:eastAsia="zh-TW"/>
        </w:rPr>
        <w:t>المفصلة</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قدمها</w:t>
      </w:r>
      <w:r>
        <w:rPr>
          <w:rtl/>
          <w:lang w:eastAsia="zh-TW"/>
        </w:rPr>
        <w:t xml:space="preserve"> </w:t>
      </w:r>
      <w:r>
        <w:rPr>
          <w:rFonts w:ascii="Traditional Arabic" w:hAnsi="Traditional Arabic" w:hint="cs"/>
          <w:rtl/>
          <w:lang w:eastAsia="zh-TW"/>
        </w:rPr>
        <w:t>الوفد</w:t>
      </w:r>
      <w:r>
        <w:rPr>
          <w:rtl/>
          <w:lang w:eastAsia="zh-TW"/>
        </w:rPr>
        <w:t xml:space="preserve"> </w:t>
      </w:r>
      <w:r>
        <w:rPr>
          <w:rFonts w:ascii="Traditional Arabic" w:hAnsi="Traditional Arabic" w:hint="cs"/>
          <w:rtl/>
          <w:lang w:eastAsia="zh-TW"/>
        </w:rPr>
        <w:t>أثناء</w:t>
      </w:r>
      <w:r>
        <w:rPr>
          <w:rtl/>
          <w:lang w:eastAsia="zh-TW"/>
        </w:rPr>
        <w:t xml:space="preserve"> </w:t>
      </w:r>
      <w:r>
        <w:rPr>
          <w:rFonts w:ascii="Traditional Arabic" w:hAnsi="Traditional Arabic" w:hint="cs"/>
          <w:rtl/>
          <w:lang w:eastAsia="zh-TW"/>
        </w:rPr>
        <w:t>النظر</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التقرير</w:t>
      </w:r>
      <w:r>
        <w:rPr>
          <w:rtl/>
          <w:lang w:eastAsia="zh-TW"/>
        </w:rPr>
        <w:t xml:space="preserve">. </w:t>
      </w:r>
    </w:p>
    <w:p w:rsidR="009C3B0B" w:rsidRPr="00B920D4" w:rsidRDefault="009C3B0B" w:rsidP="009C3B0B">
      <w:pPr>
        <w:pStyle w:val="H1GA"/>
        <w:rPr>
          <w:rtl/>
          <w:lang w:eastAsia="zh-TW"/>
        </w:rPr>
      </w:pPr>
      <w:r>
        <w:rPr>
          <w:rtl/>
          <w:lang w:eastAsia="zh-TW"/>
        </w:rPr>
        <w:tab/>
        <w:t>باء-</w:t>
      </w:r>
      <w:r>
        <w:rPr>
          <w:rtl/>
          <w:lang w:eastAsia="zh-TW"/>
        </w:rPr>
        <w:tab/>
        <w:t>الجوانب الإيجابية</w:t>
      </w:r>
    </w:p>
    <w:p w:rsidR="009C3B0B" w:rsidRDefault="009C3B0B" w:rsidP="009C3B0B">
      <w:pPr>
        <w:pStyle w:val="SingleTxtGA"/>
        <w:rPr>
          <w:rtl/>
          <w:lang w:eastAsia="zh-TW"/>
        </w:rPr>
      </w:pPr>
      <w:r>
        <w:rPr>
          <w:rtl/>
          <w:lang w:eastAsia="zh-TW"/>
        </w:rPr>
        <w:t>٣-</w:t>
      </w:r>
      <w:r>
        <w:rPr>
          <w:rtl/>
          <w:lang w:eastAsia="zh-TW"/>
        </w:rPr>
        <w:tab/>
        <w:t xml:space="preserve">تثني اللجنة على الدولة الطرف لقيامها بما يلي: </w:t>
      </w:r>
    </w:p>
    <w:p w:rsidR="009C3B0B" w:rsidRDefault="009C3B0B" w:rsidP="009C3B0B">
      <w:pPr>
        <w:pStyle w:val="SingleTxtGA"/>
        <w:rPr>
          <w:rtl/>
          <w:lang w:eastAsia="zh-TW"/>
        </w:rPr>
      </w:pPr>
      <w:r>
        <w:rPr>
          <w:rtl/>
          <w:lang w:eastAsia="zh-TW"/>
        </w:rPr>
        <w:tab/>
        <w:t>(أ)</w:t>
      </w:r>
      <w:r>
        <w:rPr>
          <w:rtl/>
          <w:lang w:eastAsia="zh-TW"/>
        </w:rPr>
        <w:tab/>
        <w:t>إقرار الدولة الطرف بوجود فوارق اجتماعية تفصل اليوم بين المجموعات العرقية وقبولها بمسؤولية تصحيح هذه الفوارق؛</w:t>
      </w:r>
    </w:p>
    <w:p w:rsidR="009C3B0B" w:rsidRPr="00B57DDD" w:rsidRDefault="009C3B0B" w:rsidP="009C3B0B">
      <w:pPr>
        <w:pStyle w:val="SingleTxtGA"/>
        <w:rPr>
          <w:spacing w:val="-2"/>
          <w:rtl/>
          <w:lang w:eastAsia="zh-TW"/>
        </w:rPr>
      </w:pPr>
      <w:r>
        <w:rPr>
          <w:rtl/>
          <w:lang w:eastAsia="zh-TW"/>
        </w:rPr>
        <w:tab/>
        <w:t>(ب)</w:t>
      </w:r>
      <w:r>
        <w:rPr>
          <w:rtl/>
          <w:lang w:eastAsia="zh-TW"/>
        </w:rPr>
        <w:tab/>
        <w:t xml:space="preserve">اعتماد قانون تسوية المطالبات المتعلقة بنهر </w:t>
      </w:r>
      <w:proofErr w:type="spellStart"/>
      <w:r>
        <w:rPr>
          <w:rtl/>
          <w:lang w:eastAsia="zh-TW"/>
        </w:rPr>
        <w:t>وانغاوي</w:t>
      </w:r>
      <w:proofErr w:type="spellEnd"/>
      <w:r>
        <w:rPr>
          <w:rtl/>
          <w:lang w:eastAsia="zh-TW"/>
        </w:rPr>
        <w:t xml:space="preserve"> (</w:t>
      </w:r>
      <w:proofErr w:type="spellStart"/>
      <w:r>
        <w:rPr>
          <w:spacing w:val="-2"/>
        </w:rPr>
        <w:t>Te</w:t>
      </w:r>
      <w:proofErr w:type="spellEnd"/>
      <w:r>
        <w:rPr>
          <w:spacing w:val="-2"/>
        </w:rPr>
        <w:t> Awa </w:t>
      </w:r>
      <w:proofErr w:type="spellStart"/>
      <w:r w:rsidRPr="00B57DDD">
        <w:rPr>
          <w:spacing w:val="-2"/>
        </w:rPr>
        <w:t>Tupua</w:t>
      </w:r>
      <w:proofErr w:type="spellEnd"/>
      <w:r>
        <w:rPr>
          <w:rtl/>
          <w:lang w:eastAsia="zh-TW"/>
        </w:rPr>
        <w:t>) لعام</w:t>
      </w:r>
      <w:r>
        <w:rPr>
          <w:rFonts w:hint="cs"/>
          <w:rtl/>
          <w:lang w:eastAsia="zh-TW"/>
        </w:rPr>
        <w:t> </w:t>
      </w:r>
      <w:r>
        <w:rPr>
          <w:rtl/>
          <w:lang w:eastAsia="zh-TW"/>
        </w:rPr>
        <w:t xml:space="preserve">٢٠١٧. </w:t>
      </w:r>
    </w:p>
    <w:p w:rsidR="009C3B0B" w:rsidRPr="00B371B9" w:rsidRDefault="009C3B0B" w:rsidP="009C3B0B">
      <w:pPr>
        <w:pStyle w:val="SingleTxtGA"/>
        <w:rPr>
          <w:rtl/>
          <w:lang w:eastAsia="zh-TW"/>
        </w:rPr>
      </w:pPr>
      <w:r>
        <w:rPr>
          <w:rtl/>
          <w:lang w:eastAsia="zh-TW"/>
        </w:rPr>
        <w:lastRenderedPageBreak/>
        <w:t>٤-</w:t>
      </w:r>
      <w:r>
        <w:rPr>
          <w:rtl/>
          <w:lang w:eastAsia="zh-TW"/>
        </w:rPr>
        <w:tab/>
        <w:t xml:space="preserve">وترحب اللجنة </w:t>
      </w:r>
      <w:r w:rsidR="00E73BB3">
        <w:rPr>
          <w:rtl/>
          <w:lang w:eastAsia="zh-TW"/>
        </w:rPr>
        <w:t>أيضاً</w:t>
      </w:r>
      <w:r>
        <w:rPr>
          <w:rtl/>
          <w:lang w:eastAsia="zh-TW"/>
        </w:rPr>
        <w:t xml:space="preserve"> بالجهود التي بذلتها الدولة الطرف في الآونة الأخيرة من أجل وضع سياسات وبرامج وتدابير إدارية ترمي إلى ضمان حماية حقوق الإنسان بقدر أكبر وتنفيذ الاتفاقية، ويشمل ذلك ما يلي:</w:t>
      </w:r>
    </w:p>
    <w:p w:rsidR="009C3B0B" w:rsidRPr="00B57DDD" w:rsidRDefault="009C3B0B" w:rsidP="009C3B0B">
      <w:pPr>
        <w:pStyle w:val="SingleTxtGA"/>
        <w:rPr>
          <w:spacing w:val="-2"/>
          <w:rtl/>
          <w:lang w:eastAsia="zh-TW"/>
        </w:rPr>
      </w:pPr>
      <w:r>
        <w:rPr>
          <w:rtl/>
          <w:lang w:eastAsia="zh-TW"/>
        </w:rPr>
        <w:tab/>
        <w:t>(أ)</w:t>
      </w:r>
      <w:r>
        <w:rPr>
          <w:rtl/>
          <w:lang w:eastAsia="zh-TW"/>
        </w:rPr>
        <w:tab/>
        <w:t>خطة العمل الوطنية الثانية بشأن حقوق الإنسان للفترة 2015-2019؛</w:t>
      </w:r>
    </w:p>
    <w:p w:rsidR="009C3B0B" w:rsidRPr="00B371B9" w:rsidRDefault="009C3B0B" w:rsidP="009C3B0B">
      <w:pPr>
        <w:pStyle w:val="SingleTxtGA"/>
        <w:rPr>
          <w:rtl/>
          <w:lang w:eastAsia="zh-TW"/>
        </w:rPr>
      </w:pPr>
      <w:r>
        <w:rPr>
          <w:rtl/>
          <w:lang w:eastAsia="zh-TW"/>
        </w:rPr>
        <w:tab/>
        <w:t>(ب)</w:t>
      </w:r>
      <w:r>
        <w:rPr>
          <w:rtl/>
          <w:lang w:eastAsia="zh-TW"/>
        </w:rPr>
        <w:tab/>
        <w:t xml:space="preserve">استراتيجيات وتدابير شتى بشأن التعليم واللغة تستهدف </w:t>
      </w:r>
      <w:proofErr w:type="spellStart"/>
      <w:r>
        <w:rPr>
          <w:rtl/>
          <w:lang w:eastAsia="zh-TW"/>
        </w:rPr>
        <w:t>الماوريين</w:t>
      </w:r>
      <w:proofErr w:type="spellEnd"/>
      <w:r>
        <w:rPr>
          <w:rtl/>
          <w:lang w:eastAsia="zh-TW"/>
        </w:rPr>
        <w:t xml:space="preserve"> </w:t>
      </w:r>
      <w:proofErr w:type="spellStart"/>
      <w:r>
        <w:rPr>
          <w:rtl/>
          <w:lang w:eastAsia="zh-TW"/>
        </w:rPr>
        <w:t>والباسيفيكا</w:t>
      </w:r>
      <w:proofErr w:type="spellEnd"/>
      <w:r>
        <w:rPr>
          <w:rtl/>
          <w:lang w:eastAsia="zh-TW"/>
        </w:rPr>
        <w:t xml:space="preserve">، بما في ذلك القانون المتعلق باللغة الماورية لعام ٢٠١٦؛ </w:t>
      </w:r>
    </w:p>
    <w:p w:rsidR="009C3B0B" w:rsidRPr="00B371B9" w:rsidRDefault="009C3B0B" w:rsidP="009C3B0B">
      <w:pPr>
        <w:pStyle w:val="SingleTxtGA"/>
        <w:rPr>
          <w:rtl/>
          <w:lang w:eastAsia="zh-TW"/>
        </w:rPr>
      </w:pPr>
      <w:r>
        <w:rPr>
          <w:rtl/>
          <w:lang w:eastAsia="zh-TW"/>
        </w:rPr>
        <w:tab/>
        <w:t>(ج)</w:t>
      </w:r>
      <w:r>
        <w:rPr>
          <w:rtl/>
          <w:lang w:eastAsia="zh-TW"/>
        </w:rPr>
        <w:tab/>
        <w:t xml:space="preserve">الاستراتيجية وخطة العمل لتحقيق التنمية الاقتصادية </w:t>
      </w:r>
      <w:proofErr w:type="spellStart"/>
      <w:r>
        <w:rPr>
          <w:rtl/>
          <w:lang w:eastAsia="zh-TW"/>
        </w:rPr>
        <w:t>للماوريين</w:t>
      </w:r>
      <w:proofErr w:type="spellEnd"/>
      <w:r>
        <w:rPr>
          <w:rtl/>
          <w:lang w:eastAsia="zh-TW"/>
        </w:rPr>
        <w:t xml:space="preserve"> (</w:t>
      </w:r>
      <w:r w:rsidRPr="00B371B9">
        <w:t xml:space="preserve">He Kai Kei </w:t>
      </w:r>
      <w:proofErr w:type="spellStart"/>
      <w:r w:rsidRPr="00B371B9">
        <w:t>Aku</w:t>
      </w:r>
      <w:proofErr w:type="spellEnd"/>
      <w:r w:rsidRPr="00B371B9">
        <w:t xml:space="preserve"> </w:t>
      </w:r>
      <w:proofErr w:type="spellStart"/>
      <w:r w:rsidRPr="00B371B9">
        <w:t>Ringa</w:t>
      </w:r>
      <w:proofErr w:type="spellEnd"/>
      <w:r>
        <w:rPr>
          <w:rtl/>
          <w:lang w:eastAsia="zh-TW"/>
        </w:rPr>
        <w:t>)؛</w:t>
      </w:r>
    </w:p>
    <w:p w:rsidR="009C3B0B" w:rsidRPr="00B371B9" w:rsidRDefault="009C3B0B" w:rsidP="009C3B0B">
      <w:pPr>
        <w:pStyle w:val="SingleTxtGA"/>
        <w:rPr>
          <w:rtl/>
          <w:lang w:eastAsia="zh-TW"/>
        </w:rPr>
      </w:pPr>
      <w:r>
        <w:rPr>
          <w:rtl/>
          <w:lang w:eastAsia="zh-TW"/>
        </w:rPr>
        <w:tab/>
        <w:t>(د)</w:t>
      </w:r>
      <w:r>
        <w:rPr>
          <w:rtl/>
          <w:lang w:eastAsia="zh-TW"/>
        </w:rPr>
        <w:tab/>
        <w:t>تقديم الدعم في المدارس للطلاب المنحدرين من الأسر المهاجرة واللاجئة لتعلم اللغة الإنكليزية كلغة ثانية؛</w:t>
      </w:r>
    </w:p>
    <w:p w:rsidR="009C3B0B" w:rsidRPr="00B371B9" w:rsidRDefault="009C3B0B" w:rsidP="00BE323C">
      <w:pPr>
        <w:pStyle w:val="SingleTxtGA"/>
        <w:rPr>
          <w:rtl/>
          <w:lang w:eastAsia="zh-TW"/>
        </w:rPr>
      </w:pPr>
      <w:r>
        <w:rPr>
          <w:rtl/>
          <w:lang w:eastAsia="zh-TW"/>
        </w:rPr>
        <w:tab/>
        <w:t>(ه)</w:t>
      </w:r>
      <w:r>
        <w:rPr>
          <w:rtl/>
          <w:lang w:eastAsia="zh-TW"/>
        </w:rPr>
        <w:tab/>
        <w:t>خطة مسارات تحسين صحة ورفاه سكان جزر المحيط الهادئ (</w:t>
      </w:r>
      <w:proofErr w:type="spellStart"/>
      <w:r w:rsidRPr="009C3B0B">
        <w:rPr>
          <w:rFonts w:asciiTheme="majorBidi" w:hAnsiTheme="majorBidi" w:cstheme="majorBidi"/>
          <w:szCs w:val="20"/>
          <w:rtl/>
          <w:lang w:eastAsia="zh-TW"/>
        </w:rPr>
        <w:t>Ala</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Mo’ui</w:t>
      </w:r>
      <w:proofErr w:type="spellEnd"/>
      <w:r w:rsidR="00BE323C" w:rsidRPr="00BE323C">
        <w:rPr>
          <w:rFonts w:asciiTheme="majorBidi" w:hAnsiTheme="majorBidi" w:cstheme="majorBidi"/>
          <w:szCs w:val="20"/>
          <w:rtl/>
        </w:rPr>
        <w:t>‘</w:t>
      </w:r>
      <w:r>
        <w:rPr>
          <w:rtl/>
          <w:lang w:eastAsia="zh-TW"/>
        </w:rPr>
        <w:t>) للفترة 2014-2018؛</w:t>
      </w:r>
    </w:p>
    <w:p w:rsidR="009C3B0B" w:rsidRPr="00B371B9" w:rsidRDefault="009C3B0B" w:rsidP="009C3B0B">
      <w:pPr>
        <w:pStyle w:val="SingleTxtGA"/>
        <w:rPr>
          <w:rtl/>
          <w:lang w:eastAsia="zh-TW"/>
        </w:rPr>
      </w:pPr>
      <w:r>
        <w:rPr>
          <w:rtl/>
          <w:lang w:eastAsia="zh-TW"/>
        </w:rPr>
        <w:tab/>
        <w:t>(و)</w:t>
      </w:r>
      <w:r>
        <w:rPr>
          <w:rtl/>
          <w:lang w:eastAsia="zh-TW"/>
        </w:rPr>
        <w:tab/>
        <w:t>صندوق (</w:t>
      </w:r>
      <w:proofErr w:type="spellStart"/>
      <w:r w:rsidRPr="009C3B0B">
        <w:rPr>
          <w:rFonts w:asciiTheme="majorBidi" w:hAnsiTheme="majorBidi" w:cstheme="majorBidi"/>
          <w:szCs w:val="20"/>
          <w:rtl/>
          <w:lang w:eastAsia="zh-TW"/>
        </w:rPr>
        <w:t>Whenua</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Māori</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Fund</w:t>
      </w:r>
      <w:proofErr w:type="spellEnd"/>
      <w:r>
        <w:rPr>
          <w:rtl/>
          <w:lang w:eastAsia="zh-TW"/>
        </w:rPr>
        <w:t xml:space="preserve">) </w:t>
      </w:r>
      <w:r>
        <w:rPr>
          <w:rFonts w:hint="cs"/>
          <w:rtl/>
          <w:lang w:eastAsia="zh-TW"/>
        </w:rPr>
        <w:t>لتحسين</w:t>
      </w:r>
      <w:r>
        <w:rPr>
          <w:rtl/>
          <w:lang w:eastAsia="zh-TW"/>
        </w:rPr>
        <w:t xml:space="preserve"> </w:t>
      </w:r>
      <w:r>
        <w:rPr>
          <w:rFonts w:hint="cs"/>
          <w:rtl/>
          <w:lang w:eastAsia="zh-TW"/>
        </w:rPr>
        <w:t>إنتاجية</w:t>
      </w:r>
      <w:r>
        <w:rPr>
          <w:rtl/>
          <w:lang w:eastAsia="zh-TW"/>
        </w:rPr>
        <w:t xml:space="preserve"> </w:t>
      </w:r>
      <w:r>
        <w:rPr>
          <w:rFonts w:hint="cs"/>
          <w:rtl/>
          <w:lang w:eastAsia="zh-TW"/>
        </w:rPr>
        <w:t>أراضي</w:t>
      </w:r>
      <w:r>
        <w:rPr>
          <w:rtl/>
          <w:lang w:eastAsia="zh-TW"/>
        </w:rPr>
        <w:t xml:space="preserve"> </w:t>
      </w:r>
      <w:proofErr w:type="spellStart"/>
      <w:r>
        <w:rPr>
          <w:rFonts w:hint="cs"/>
          <w:rtl/>
          <w:lang w:eastAsia="zh-TW"/>
        </w:rPr>
        <w:t>الماوريين</w:t>
      </w:r>
      <w:proofErr w:type="spellEnd"/>
      <w:r>
        <w:rPr>
          <w:rFonts w:hint="cs"/>
          <w:rtl/>
          <w:lang w:eastAsia="zh-TW"/>
        </w:rPr>
        <w:t>؛</w:t>
      </w:r>
      <w:r>
        <w:rPr>
          <w:rtl/>
          <w:lang w:eastAsia="zh-TW"/>
        </w:rPr>
        <w:t xml:space="preserve"> </w:t>
      </w:r>
    </w:p>
    <w:p w:rsidR="009C3B0B" w:rsidRPr="00B371B9" w:rsidRDefault="009C3B0B" w:rsidP="009C3B0B">
      <w:pPr>
        <w:pStyle w:val="SingleTxtGA"/>
        <w:rPr>
          <w:rtl/>
          <w:lang w:eastAsia="zh-TW"/>
        </w:rPr>
      </w:pPr>
      <w:r>
        <w:rPr>
          <w:rtl/>
          <w:lang w:eastAsia="zh-TW"/>
        </w:rPr>
        <w:tab/>
        <w:t>(ز)</w:t>
      </w:r>
      <w:r>
        <w:rPr>
          <w:rtl/>
          <w:lang w:eastAsia="zh-TW"/>
        </w:rPr>
        <w:tab/>
        <w:t>استراتيجية النهوض بصحة الأسرة (</w:t>
      </w:r>
      <w:proofErr w:type="spellStart"/>
      <w:r w:rsidRPr="009C3B0B">
        <w:rPr>
          <w:rFonts w:asciiTheme="majorBidi" w:hAnsiTheme="majorBidi" w:cstheme="majorBidi"/>
          <w:szCs w:val="20"/>
          <w:rtl/>
          <w:lang w:eastAsia="zh-TW"/>
        </w:rPr>
        <w:t>Whanau</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Ora</w:t>
      </w:r>
      <w:proofErr w:type="spellEnd"/>
      <w:r>
        <w:rPr>
          <w:rtl/>
          <w:lang w:eastAsia="zh-TW"/>
        </w:rPr>
        <w:t>)؛</w:t>
      </w:r>
    </w:p>
    <w:p w:rsidR="009C3B0B" w:rsidRPr="00B371B9" w:rsidRDefault="009C3B0B" w:rsidP="009C3B0B">
      <w:pPr>
        <w:pStyle w:val="SingleTxtGA"/>
        <w:rPr>
          <w:rtl/>
          <w:lang w:eastAsia="zh-TW"/>
        </w:rPr>
      </w:pPr>
      <w:r>
        <w:rPr>
          <w:rtl/>
          <w:lang w:eastAsia="zh-TW"/>
        </w:rPr>
        <w:tab/>
        <w:t>(ح)</w:t>
      </w:r>
      <w:r>
        <w:rPr>
          <w:rtl/>
          <w:lang w:eastAsia="zh-TW"/>
        </w:rPr>
        <w:tab/>
        <w:t xml:space="preserve">خطة العمل لخفض معدل الجريمة بين الشباب للفترة 2013-2023؛ </w:t>
      </w:r>
    </w:p>
    <w:p w:rsidR="009C3B0B" w:rsidRPr="00B371B9" w:rsidRDefault="009C3B0B" w:rsidP="009C3B0B">
      <w:pPr>
        <w:pStyle w:val="SingleTxtGA"/>
        <w:rPr>
          <w:rtl/>
          <w:lang w:eastAsia="zh-TW"/>
        </w:rPr>
      </w:pPr>
      <w:r>
        <w:rPr>
          <w:rtl/>
          <w:lang w:eastAsia="zh-TW"/>
        </w:rPr>
        <w:tab/>
        <w:t>(ط)</w:t>
      </w:r>
      <w:r>
        <w:rPr>
          <w:rtl/>
          <w:lang w:eastAsia="zh-TW"/>
        </w:rPr>
        <w:tab/>
        <w:t xml:space="preserve">استراتيجية النهوض بصحة </w:t>
      </w:r>
      <w:proofErr w:type="spellStart"/>
      <w:r>
        <w:rPr>
          <w:rtl/>
          <w:lang w:eastAsia="zh-TW"/>
        </w:rPr>
        <w:t>الماوريين</w:t>
      </w:r>
      <w:proofErr w:type="spellEnd"/>
      <w:r>
        <w:rPr>
          <w:rtl/>
          <w:lang w:eastAsia="zh-TW"/>
        </w:rPr>
        <w:t xml:space="preserve"> (</w:t>
      </w:r>
      <w:proofErr w:type="spellStart"/>
      <w:r w:rsidRPr="009C3B0B">
        <w:rPr>
          <w:rFonts w:asciiTheme="majorBidi" w:hAnsiTheme="majorBidi" w:cstheme="majorBidi"/>
          <w:szCs w:val="20"/>
          <w:rtl/>
          <w:lang w:eastAsia="zh-TW"/>
        </w:rPr>
        <w:t>He</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Korowai</w:t>
      </w:r>
      <w:proofErr w:type="spellEnd"/>
      <w:r w:rsidRPr="009C3B0B">
        <w:rPr>
          <w:rFonts w:asciiTheme="majorBidi" w:hAnsiTheme="majorBidi" w:cstheme="majorBidi"/>
          <w:szCs w:val="20"/>
          <w:rtl/>
          <w:lang w:eastAsia="zh-TW"/>
        </w:rPr>
        <w:t xml:space="preserve"> </w:t>
      </w:r>
      <w:proofErr w:type="spellStart"/>
      <w:r w:rsidRPr="009C3B0B">
        <w:rPr>
          <w:rFonts w:asciiTheme="majorBidi" w:hAnsiTheme="majorBidi" w:cstheme="majorBidi"/>
          <w:szCs w:val="20"/>
          <w:rtl/>
          <w:lang w:eastAsia="zh-TW"/>
        </w:rPr>
        <w:t>Oranga</w:t>
      </w:r>
      <w:proofErr w:type="spellEnd"/>
      <w:r>
        <w:rPr>
          <w:rtl/>
          <w:lang w:eastAsia="zh-TW"/>
        </w:rPr>
        <w:t xml:space="preserve">) ومبادرة توفير أسباب الصحة للأسر النيوزيلندية؛ </w:t>
      </w:r>
    </w:p>
    <w:p w:rsidR="009C3B0B" w:rsidRPr="00B371B9" w:rsidRDefault="009C3B0B" w:rsidP="009C3B0B">
      <w:pPr>
        <w:pStyle w:val="SingleTxtGA"/>
        <w:rPr>
          <w:rtl/>
          <w:lang w:eastAsia="zh-TW"/>
        </w:rPr>
      </w:pPr>
      <w:r>
        <w:rPr>
          <w:rtl/>
          <w:lang w:eastAsia="zh-TW"/>
        </w:rPr>
        <w:tab/>
        <w:t>(ي)</w:t>
      </w:r>
      <w:r>
        <w:rPr>
          <w:rtl/>
          <w:lang w:eastAsia="zh-TW"/>
        </w:rPr>
        <w:tab/>
        <w:t>الاستراتيجية الاقتصادية الخاصة بجزر المحيط الهادئ 2015-2021؛</w:t>
      </w:r>
    </w:p>
    <w:p w:rsidR="009C3B0B" w:rsidRPr="00B371B9" w:rsidRDefault="009C3B0B" w:rsidP="009C3B0B">
      <w:pPr>
        <w:pStyle w:val="SingleTxtGA"/>
        <w:rPr>
          <w:rtl/>
          <w:lang w:eastAsia="zh-TW"/>
        </w:rPr>
      </w:pPr>
      <w:r>
        <w:rPr>
          <w:rtl/>
          <w:lang w:eastAsia="zh-TW"/>
        </w:rPr>
        <w:tab/>
        <w:t>(ك)</w:t>
      </w:r>
      <w:r>
        <w:rPr>
          <w:rtl/>
          <w:lang w:eastAsia="zh-TW"/>
        </w:rPr>
        <w:tab/>
        <w:t>إنشاء صندوق بقيمة ١٠ ملايين دولارا</w:t>
      </w:r>
      <w:r w:rsidR="00D51141">
        <w:rPr>
          <w:rFonts w:hint="cs"/>
          <w:rtl/>
          <w:lang w:eastAsia="zh-TW"/>
        </w:rPr>
        <w:t>ً</w:t>
      </w:r>
      <w:r>
        <w:rPr>
          <w:rtl/>
          <w:lang w:eastAsia="zh-TW"/>
        </w:rPr>
        <w:t xml:space="preserve"> لمعالجة الارتفاع المفرط في نسبة أبناء </w:t>
      </w:r>
      <w:proofErr w:type="spellStart"/>
      <w:r>
        <w:rPr>
          <w:rtl/>
          <w:lang w:eastAsia="zh-TW"/>
        </w:rPr>
        <w:t>الماوريين</w:t>
      </w:r>
      <w:proofErr w:type="spellEnd"/>
      <w:r>
        <w:rPr>
          <w:rtl/>
          <w:lang w:eastAsia="zh-TW"/>
        </w:rPr>
        <w:t xml:space="preserve"> في نظام العدالة الجنائية.</w:t>
      </w:r>
      <w:r w:rsidR="00D51141">
        <w:rPr>
          <w:rFonts w:hint="cs"/>
          <w:rtl/>
          <w:lang w:eastAsia="zh-TW"/>
        </w:rPr>
        <w:t xml:space="preserve"> </w:t>
      </w:r>
    </w:p>
    <w:p w:rsidR="009C3B0B" w:rsidRPr="00B371B9" w:rsidRDefault="009C3B0B" w:rsidP="009C3B0B">
      <w:pPr>
        <w:pStyle w:val="SingleTxtGA"/>
        <w:rPr>
          <w:rtl/>
          <w:lang w:eastAsia="zh-TW"/>
        </w:rPr>
      </w:pPr>
      <w:r>
        <w:rPr>
          <w:rtl/>
          <w:lang w:eastAsia="zh-TW"/>
        </w:rPr>
        <w:t>٥-</w:t>
      </w:r>
      <w:r>
        <w:rPr>
          <w:rtl/>
          <w:lang w:eastAsia="zh-TW"/>
        </w:rPr>
        <w:tab/>
        <w:t>وتلاحظ اللجنة مع التقدير الدور النشط الذي يضطلع به المجتمع المدني النابض، والمؤسسة الوطنية لحقوق الإنسان، ولجنة حقوق الإنسان، التي أسند لها التحالف العالمي للمؤسسات الوطنية لحقوق الإنسان المركز "ألف" مرة أخرى في أيار/مايو ٢٠١٦.</w:t>
      </w:r>
    </w:p>
    <w:p w:rsidR="009C3B0B" w:rsidRPr="00B920D4" w:rsidRDefault="009C3B0B" w:rsidP="009C3B0B">
      <w:pPr>
        <w:pStyle w:val="H1GA"/>
        <w:rPr>
          <w:sz w:val="22"/>
          <w:rtl/>
          <w:lang w:eastAsia="zh-TW"/>
        </w:rPr>
      </w:pPr>
      <w:r>
        <w:rPr>
          <w:rtl/>
          <w:lang w:eastAsia="zh-TW"/>
        </w:rPr>
        <w:tab/>
        <w:t>جيم-</w:t>
      </w:r>
      <w:r>
        <w:rPr>
          <w:rtl/>
          <w:lang w:eastAsia="zh-TW"/>
        </w:rPr>
        <w:tab/>
        <w:t>دواعي القلق والتوصيات</w:t>
      </w:r>
    </w:p>
    <w:p w:rsidR="009C3B0B" w:rsidRPr="00E845DF" w:rsidRDefault="009C3B0B" w:rsidP="00710BC8">
      <w:pPr>
        <w:pStyle w:val="H23GA"/>
        <w:keepNext/>
        <w:rPr>
          <w:rtl/>
        </w:rPr>
      </w:pPr>
      <w:r w:rsidRPr="00E845DF">
        <w:tab/>
      </w:r>
      <w:r w:rsidRPr="00E845DF">
        <w:tab/>
      </w:r>
      <w:r w:rsidRPr="00E845DF">
        <w:rPr>
          <w:rtl/>
        </w:rPr>
        <w:t>خطة العمل الوطنية للقضاء على العنصرية والمفوض المعني بالعلاقات بين الأعراق</w:t>
      </w:r>
    </w:p>
    <w:p w:rsidR="009C3B0B" w:rsidRPr="00B371B9" w:rsidRDefault="009C3B0B" w:rsidP="009C3B0B">
      <w:pPr>
        <w:pStyle w:val="SingleTxtGA"/>
        <w:rPr>
          <w:rtl/>
          <w:lang w:eastAsia="zh-TW"/>
        </w:rPr>
      </w:pPr>
      <w:r>
        <w:rPr>
          <w:rtl/>
          <w:lang w:eastAsia="zh-TW"/>
        </w:rPr>
        <w:t>٦-</w:t>
      </w:r>
      <w:r>
        <w:rPr>
          <w:rtl/>
          <w:lang w:eastAsia="zh-TW"/>
        </w:rPr>
        <w:tab/>
        <w:t>ترحب اللجنة بالدور الذي ما فتئ يؤديه المفوض المعني بالعلاقات بين الأعراق وتشيد بالعمل الذي أنجزه خلال الفترة المشمولة بالتقرير. بيد أن اللجنة تشعر بالقلق لعدم وجود خطة عمل وطنية حالية بشأن العنصرية (المادة ٢).</w:t>
      </w:r>
    </w:p>
    <w:p w:rsidR="009C3B0B" w:rsidRPr="009C3B0B" w:rsidRDefault="009C3B0B" w:rsidP="009C3B0B">
      <w:pPr>
        <w:pStyle w:val="SingleTxtGA"/>
        <w:rPr>
          <w:rFonts w:hint="cs"/>
          <w:b/>
          <w:bCs/>
          <w:rtl/>
        </w:rPr>
      </w:pPr>
      <w:r>
        <w:rPr>
          <w:rtl/>
          <w:lang w:eastAsia="zh-TW"/>
        </w:rPr>
        <w:t>٧-</w:t>
      </w:r>
      <w:r>
        <w:rPr>
          <w:rtl/>
          <w:lang w:eastAsia="zh-TW"/>
        </w:rPr>
        <w:tab/>
      </w:r>
      <w:r w:rsidRPr="009C3B0B">
        <w:rPr>
          <w:b/>
          <w:bCs/>
          <w:rtl/>
        </w:rPr>
        <w:t xml:space="preserve">بالنظر إلى تسارع وتيرة التغيرات الديموغرافية في التركيبة السكانية للدولة الطرف، توصي اللجنة بأن يضطلع المفوض المعني بالعلاقات بين الأعراق بدور قيادي في إعداد خطة عمل وطنية لمكافحة التمييز العنصري وكره الأجانب تتماشى مع إعلان وبرنامج عمل </w:t>
      </w:r>
      <w:r w:rsidRPr="009C3B0B">
        <w:rPr>
          <w:b/>
          <w:bCs/>
          <w:rtl/>
        </w:rPr>
        <w:lastRenderedPageBreak/>
        <w:t xml:space="preserve">ديربان، وذلك بالتشاور مع جميع الجهات صاحبة المصلحة. وتدعو اللجنة الدولة الطرف إلى ضمان التمويل الكافي لتنفيذ هذه الخطة بنجاح. وينبغي أن تشمل هذه الخطة، على سبيل المثال لا الحصر، ما يلي: </w:t>
      </w:r>
    </w:p>
    <w:p w:rsidR="009C3B0B" w:rsidRPr="00111BC5" w:rsidRDefault="00111BC5" w:rsidP="00111BC5">
      <w:pPr>
        <w:pStyle w:val="SingleTxtGA"/>
        <w:rPr>
          <w:b/>
          <w:bCs/>
          <w:rtl/>
          <w:lang w:eastAsia="zh-TW"/>
        </w:rPr>
      </w:pPr>
      <w:r>
        <w:rPr>
          <w:rtl/>
          <w:lang w:eastAsia="zh-TW"/>
        </w:rPr>
        <w:tab/>
      </w:r>
      <w:r w:rsidR="009C3B0B">
        <w:rPr>
          <w:rtl/>
          <w:lang w:eastAsia="zh-TW"/>
        </w:rPr>
        <w:t>(أ)</w:t>
      </w:r>
      <w:r w:rsidR="009C3B0B" w:rsidRPr="00111BC5">
        <w:rPr>
          <w:b/>
          <w:bCs/>
          <w:rtl/>
          <w:lang w:eastAsia="zh-TW"/>
        </w:rPr>
        <w:tab/>
        <w:t>تقييم التغيرات الحالية واستشراف التغيرات المستقبلية في الخصائص الديموغرافية في البلد؛</w:t>
      </w:r>
    </w:p>
    <w:p w:rsidR="009C3B0B" w:rsidRPr="00111BC5" w:rsidRDefault="00111BC5" w:rsidP="00111BC5">
      <w:pPr>
        <w:pStyle w:val="SingleTxtGA"/>
        <w:rPr>
          <w:b/>
          <w:bCs/>
          <w:rtl/>
          <w:lang w:eastAsia="zh-TW"/>
        </w:rPr>
      </w:pPr>
      <w:r>
        <w:rPr>
          <w:rtl/>
          <w:lang w:eastAsia="zh-TW"/>
        </w:rPr>
        <w:tab/>
      </w:r>
      <w:r w:rsidR="009C3B0B">
        <w:rPr>
          <w:rtl/>
          <w:lang w:eastAsia="zh-TW"/>
        </w:rPr>
        <w:t>(ب)</w:t>
      </w:r>
      <w:r w:rsidR="009C3B0B">
        <w:rPr>
          <w:rtl/>
          <w:lang w:eastAsia="zh-TW"/>
        </w:rPr>
        <w:tab/>
      </w:r>
      <w:r w:rsidR="009C3B0B" w:rsidRPr="00111BC5">
        <w:rPr>
          <w:b/>
          <w:bCs/>
          <w:rtl/>
          <w:lang w:eastAsia="zh-TW"/>
        </w:rPr>
        <w:t>تقييم مدى كفاية الهياكل والعمليات الموجودة حاليا</w:t>
      </w:r>
      <w:r w:rsidR="00F71D0B">
        <w:rPr>
          <w:rFonts w:hint="cs"/>
          <w:b/>
          <w:bCs/>
          <w:rtl/>
          <w:lang w:eastAsia="zh-TW"/>
        </w:rPr>
        <w:t>ً</w:t>
      </w:r>
      <w:r w:rsidR="009C3B0B" w:rsidRPr="00111BC5">
        <w:rPr>
          <w:b/>
          <w:bCs/>
          <w:rtl/>
          <w:lang w:eastAsia="zh-TW"/>
        </w:rPr>
        <w:t xml:space="preserve"> للاستجابة على النحو المناسب لتغير الخصائص الديموغ</w:t>
      </w:r>
      <w:r>
        <w:rPr>
          <w:b/>
          <w:bCs/>
          <w:rtl/>
          <w:lang w:eastAsia="zh-TW"/>
        </w:rPr>
        <w:t>رافية للبلد</w:t>
      </w:r>
      <w:r w:rsidR="009C3B0B" w:rsidRPr="00111BC5">
        <w:rPr>
          <w:b/>
          <w:bCs/>
          <w:rtl/>
          <w:lang w:eastAsia="zh-TW"/>
        </w:rPr>
        <w:t>؛</w:t>
      </w:r>
      <w:r>
        <w:rPr>
          <w:rFonts w:hint="cs"/>
          <w:b/>
          <w:bCs/>
          <w:rtl/>
          <w:lang w:eastAsia="zh-TW"/>
        </w:rPr>
        <w:t xml:space="preserve"> </w:t>
      </w:r>
    </w:p>
    <w:p w:rsidR="009C3B0B" w:rsidRPr="00111BC5" w:rsidRDefault="00111BC5" w:rsidP="00111BC5">
      <w:pPr>
        <w:pStyle w:val="SingleTxtGA"/>
        <w:rPr>
          <w:b/>
          <w:bCs/>
          <w:rtl/>
          <w:lang w:eastAsia="zh-TW"/>
        </w:rPr>
      </w:pPr>
      <w:r>
        <w:rPr>
          <w:rtl/>
          <w:lang w:eastAsia="zh-TW"/>
        </w:rPr>
        <w:tab/>
      </w:r>
      <w:r w:rsidR="009C3B0B">
        <w:rPr>
          <w:rtl/>
          <w:lang w:eastAsia="zh-TW"/>
        </w:rPr>
        <w:t>(ج)</w:t>
      </w:r>
      <w:r w:rsidR="009C3B0B" w:rsidRPr="00111BC5">
        <w:rPr>
          <w:b/>
          <w:bCs/>
          <w:rtl/>
          <w:lang w:eastAsia="zh-TW"/>
        </w:rPr>
        <w:tab/>
        <w:t>إدخال التغييرات اللازمة لضمان تجسُّد التنوع السكاني، على النحو المناسب، في تخطيط الخدمات وتقديمها؛</w:t>
      </w:r>
    </w:p>
    <w:p w:rsidR="009C3B0B" w:rsidRPr="00111BC5" w:rsidRDefault="00111BC5" w:rsidP="00111BC5">
      <w:pPr>
        <w:pStyle w:val="SingleTxtGA"/>
        <w:rPr>
          <w:b/>
          <w:bCs/>
          <w:rtl/>
          <w:lang w:eastAsia="zh-TW"/>
        </w:rPr>
      </w:pPr>
      <w:r>
        <w:rPr>
          <w:rtl/>
          <w:lang w:eastAsia="zh-TW"/>
        </w:rPr>
        <w:tab/>
      </w:r>
      <w:r w:rsidR="009C3B0B">
        <w:rPr>
          <w:rtl/>
          <w:lang w:eastAsia="zh-TW"/>
        </w:rPr>
        <w:t>(د)</w:t>
      </w:r>
      <w:r w:rsidR="009C3B0B">
        <w:rPr>
          <w:rtl/>
          <w:lang w:eastAsia="zh-TW"/>
        </w:rPr>
        <w:tab/>
      </w:r>
      <w:r w:rsidR="009C3B0B" w:rsidRPr="00111BC5">
        <w:rPr>
          <w:b/>
          <w:bCs/>
          <w:rtl/>
          <w:lang w:eastAsia="zh-TW"/>
        </w:rPr>
        <w:t>وضع وتنفيذ تدابير ترمي إلى زيادة التلاحم الاجتماعي؛</w:t>
      </w:r>
    </w:p>
    <w:p w:rsidR="009C3B0B" w:rsidRPr="00111BC5" w:rsidRDefault="00111BC5" w:rsidP="00111BC5">
      <w:pPr>
        <w:pStyle w:val="SingleTxtGA"/>
        <w:rPr>
          <w:b/>
          <w:bCs/>
          <w:rtl/>
          <w:lang w:eastAsia="zh-TW"/>
        </w:rPr>
      </w:pPr>
      <w:r>
        <w:rPr>
          <w:rtl/>
          <w:lang w:eastAsia="zh-TW"/>
        </w:rPr>
        <w:tab/>
      </w:r>
      <w:r w:rsidR="009C3B0B">
        <w:rPr>
          <w:rtl/>
          <w:lang w:eastAsia="zh-TW"/>
        </w:rPr>
        <w:t>(ه)</w:t>
      </w:r>
      <w:r>
        <w:rPr>
          <w:rtl/>
          <w:lang w:eastAsia="zh-TW"/>
        </w:rPr>
        <w:tab/>
      </w:r>
      <w:r w:rsidR="009C3B0B" w:rsidRPr="00111BC5">
        <w:rPr>
          <w:b/>
          <w:bCs/>
          <w:rtl/>
          <w:lang w:eastAsia="zh-TW"/>
        </w:rPr>
        <w:t xml:space="preserve">وضع خطة شاملة، من خلال العمل في إطار الشراكة مع </w:t>
      </w:r>
      <w:proofErr w:type="spellStart"/>
      <w:r w:rsidR="009C3B0B" w:rsidRPr="00111BC5">
        <w:rPr>
          <w:b/>
          <w:bCs/>
          <w:rtl/>
          <w:lang w:eastAsia="zh-TW"/>
        </w:rPr>
        <w:t>الماوريين</w:t>
      </w:r>
      <w:proofErr w:type="spellEnd"/>
      <w:r w:rsidR="009C3B0B" w:rsidRPr="00111BC5">
        <w:rPr>
          <w:b/>
          <w:bCs/>
          <w:rtl/>
          <w:lang w:eastAsia="zh-TW"/>
        </w:rPr>
        <w:t xml:space="preserve"> والمجموعات الأخرى المعنية، يمكن استخدامها لتحديد الإجراءات، وبناء القدرة على تولي زمام المبادرة وقياس النتائج لتحقيق الغايات المبينة في أهداف التنمية المستدامة من أجل الحد من تفاوت المؤشرات الاجتماعية بين المجموعات </w:t>
      </w:r>
      <w:proofErr w:type="spellStart"/>
      <w:r w:rsidR="009C3B0B" w:rsidRPr="00111BC5">
        <w:rPr>
          <w:b/>
          <w:bCs/>
          <w:rtl/>
          <w:lang w:eastAsia="zh-TW"/>
        </w:rPr>
        <w:t>الإثنية</w:t>
      </w:r>
      <w:proofErr w:type="spellEnd"/>
      <w:r w:rsidR="009C3B0B" w:rsidRPr="00111BC5">
        <w:rPr>
          <w:b/>
          <w:bCs/>
          <w:rtl/>
          <w:lang w:eastAsia="zh-TW"/>
        </w:rPr>
        <w:t xml:space="preserve"> لسكان الدولة الطرف فيما يتعلق بالصحة، والعمالة، والتعليم، والإسكان، مع التركيز بوجه خاص على توفير السكن الملائم والآمن والميسور التكلفة بحلول عام ٢٠٣٠. وينبغي أن تركز خطة التنفيذ على ضمان الحيازة بوجه خاص.</w:t>
      </w:r>
      <w:r>
        <w:rPr>
          <w:rFonts w:hint="cs"/>
          <w:b/>
          <w:bCs/>
          <w:rtl/>
          <w:lang w:eastAsia="zh-TW"/>
        </w:rPr>
        <w:t xml:space="preserve"> </w:t>
      </w:r>
    </w:p>
    <w:p w:rsidR="009C3B0B" w:rsidRPr="00B371B9" w:rsidRDefault="009C3B0B" w:rsidP="00710BC8">
      <w:pPr>
        <w:pStyle w:val="H23GA"/>
        <w:keepNext/>
        <w:rPr>
          <w:rtl/>
        </w:rPr>
      </w:pPr>
      <w:r>
        <w:tab/>
      </w:r>
      <w:r>
        <w:tab/>
      </w:r>
      <w:r>
        <w:rPr>
          <w:rtl/>
        </w:rPr>
        <w:t xml:space="preserve">خطاب الكراهية العنصرية والجرائم المرتكبة بدافع الكراهية </w:t>
      </w:r>
    </w:p>
    <w:p w:rsidR="009C3B0B" w:rsidRPr="00B371B9" w:rsidRDefault="005D110D" w:rsidP="00523165">
      <w:pPr>
        <w:pStyle w:val="SingleTxtGA"/>
        <w:rPr>
          <w:rtl/>
          <w:lang w:eastAsia="zh-TW"/>
        </w:rPr>
      </w:pPr>
      <w:r>
        <w:rPr>
          <w:rtl/>
          <w:lang w:eastAsia="zh-TW"/>
        </w:rPr>
        <w:t>٨-</w:t>
      </w:r>
      <w:r>
        <w:rPr>
          <w:rtl/>
          <w:lang w:eastAsia="zh-TW"/>
        </w:rPr>
        <w:tab/>
      </w:r>
      <w:r w:rsidR="009C3B0B">
        <w:rPr>
          <w:rtl/>
          <w:lang w:eastAsia="zh-TW"/>
        </w:rPr>
        <w:t xml:space="preserve">يساور اللجنة القلق لعدم مقاضاة أحد بتهمة التحريض على التنافر العرقي خلال الفترة المشمولة بالتقرير رغم أن تشريعات الدولة الطرف تجرم هذا التحريض وتجيز إدخال الاعتداء لدوافع عرقية ضمن الأسباب المشددة للعقوبة عند إصدار الحكم. وتشعر اللجنة بالقلق </w:t>
      </w:r>
      <w:r w:rsidR="00E73BB3">
        <w:rPr>
          <w:rtl/>
          <w:lang w:eastAsia="zh-TW"/>
        </w:rPr>
        <w:t>أيضاً</w:t>
      </w:r>
      <w:r w:rsidR="009C3B0B">
        <w:rPr>
          <w:rtl/>
          <w:lang w:eastAsia="zh-TW"/>
        </w:rPr>
        <w:t xml:space="preserve"> لعدم وجود إحصاءات شاملة عما جرى من ملاحقات قضائية وصدر من أحكام إدانة وفرض من عقوبات في القضايا المتعلقة بخطاب الكراهية العنصرية. وتلاحظ اللجنة باهتمام ما تبذله الدولة الطرف حاليا</w:t>
      </w:r>
      <w:r w:rsidR="00F71D0B">
        <w:rPr>
          <w:rFonts w:hint="cs"/>
          <w:rtl/>
          <w:lang w:eastAsia="zh-TW"/>
        </w:rPr>
        <w:t>ً</w:t>
      </w:r>
      <w:r w:rsidR="009C3B0B">
        <w:rPr>
          <w:rtl/>
          <w:lang w:eastAsia="zh-TW"/>
        </w:rPr>
        <w:t xml:space="preserve"> من جهود ترمي إلى معالجة هذه الثغرات، ولكنها تشعر بالقلق لأن التشريعات القائمة قد لا تكون كافية لمكافحة أفعال الكراهية العنصرية (المادتان ٢ و٤).</w:t>
      </w:r>
      <w:r w:rsidR="00523165">
        <w:rPr>
          <w:rFonts w:hint="cs"/>
          <w:rtl/>
          <w:lang w:eastAsia="zh-TW"/>
        </w:rPr>
        <w:t xml:space="preserve"> </w:t>
      </w:r>
    </w:p>
    <w:p w:rsidR="009C3B0B" w:rsidRPr="005D110D" w:rsidRDefault="005D110D" w:rsidP="005D110D">
      <w:pPr>
        <w:pStyle w:val="SingleTxtGA"/>
        <w:rPr>
          <w:b/>
          <w:bCs/>
          <w:rtl/>
          <w:lang w:eastAsia="zh-TW"/>
        </w:rPr>
      </w:pPr>
      <w:r>
        <w:rPr>
          <w:rtl/>
          <w:lang w:eastAsia="zh-TW"/>
        </w:rPr>
        <w:t>٩-</w:t>
      </w:r>
      <w:r>
        <w:rPr>
          <w:rtl/>
          <w:lang w:eastAsia="zh-TW"/>
        </w:rPr>
        <w:tab/>
      </w:r>
      <w:r w:rsidR="009C3B0B" w:rsidRPr="005D110D">
        <w:rPr>
          <w:b/>
          <w:bCs/>
          <w:rtl/>
          <w:lang w:eastAsia="zh-TW"/>
        </w:rPr>
        <w:t>تذكّ</w:t>
      </w:r>
      <w:r>
        <w:rPr>
          <w:b/>
          <w:bCs/>
          <w:rtl/>
          <w:lang w:eastAsia="zh-TW"/>
        </w:rPr>
        <w:t>ر اللجنة بتوصيتها العامة رقم 35</w:t>
      </w:r>
      <w:r w:rsidR="009C3B0B" w:rsidRPr="005D110D">
        <w:rPr>
          <w:b/>
          <w:bCs/>
          <w:rtl/>
          <w:lang w:eastAsia="zh-TW"/>
        </w:rPr>
        <w:t>(2013) بشأن مكافحة خطاب الكراهية العنصرية، وتوصي الدولة الطرف بما يلي:</w:t>
      </w:r>
    </w:p>
    <w:p w:rsidR="009C3B0B" w:rsidRPr="005D110D" w:rsidRDefault="005D110D" w:rsidP="005D110D">
      <w:pPr>
        <w:pStyle w:val="SingleTxtGA"/>
        <w:rPr>
          <w:b/>
          <w:bCs/>
          <w:rtl/>
          <w:lang w:eastAsia="zh-TW"/>
        </w:rPr>
      </w:pPr>
      <w:r>
        <w:rPr>
          <w:rtl/>
          <w:lang w:eastAsia="zh-TW"/>
        </w:rPr>
        <w:tab/>
      </w:r>
      <w:r w:rsidR="009C3B0B">
        <w:rPr>
          <w:rtl/>
          <w:lang w:eastAsia="zh-TW"/>
        </w:rPr>
        <w:t>(أ)</w:t>
      </w:r>
      <w:r w:rsidR="009C3B0B" w:rsidRPr="005D110D">
        <w:rPr>
          <w:b/>
          <w:bCs/>
          <w:rtl/>
          <w:lang w:eastAsia="zh-TW"/>
        </w:rPr>
        <w:tab/>
        <w:t>إعادة النظر في مدى كفاية التشريعات الحالية للتصدي لخطاب الكراهية العنصرية والتحريض على الكراهية العنصرية ومعاقبة الجناة، والتأكد من تطابق الإطار التشريعي مع المادة ٤ من الاتفاقية؛</w:t>
      </w:r>
    </w:p>
    <w:p w:rsidR="009C3B0B" w:rsidRPr="005D110D" w:rsidRDefault="005D110D" w:rsidP="005D110D">
      <w:pPr>
        <w:pStyle w:val="SingleTxtGA"/>
        <w:rPr>
          <w:b/>
          <w:bCs/>
          <w:rtl/>
          <w:lang w:eastAsia="zh-TW"/>
        </w:rPr>
      </w:pPr>
      <w:r>
        <w:rPr>
          <w:rtl/>
          <w:lang w:eastAsia="zh-TW"/>
        </w:rPr>
        <w:tab/>
      </w:r>
      <w:r w:rsidR="009C3B0B">
        <w:rPr>
          <w:rtl/>
          <w:lang w:eastAsia="zh-TW"/>
        </w:rPr>
        <w:t>(ب)</w:t>
      </w:r>
      <w:r w:rsidR="009C3B0B" w:rsidRPr="005D110D">
        <w:rPr>
          <w:b/>
          <w:bCs/>
          <w:rtl/>
          <w:lang w:eastAsia="zh-TW"/>
        </w:rPr>
        <w:tab/>
        <w:t>ضمان التحقيق في جميع جرائم الكراهية العنصرية وحالات استخدام خطاب الكراهية العنصرية ومقاضاة الجناة ومعاقبتهم وتعويض الضحايا؛</w:t>
      </w:r>
    </w:p>
    <w:p w:rsidR="009C3B0B" w:rsidRPr="005D110D" w:rsidRDefault="005D110D" w:rsidP="005D110D">
      <w:pPr>
        <w:pStyle w:val="SingleTxtGA"/>
        <w:rPr>
          <w:b/>
          <w:bCs/>
          <w:rtl/>
          <w:lang w:eastAsia="zh-TW"/>
        </w:rPr>
      </w:pPr>
      <w:r>
        <w:rPr>
          <w:rtl/>
          <w:lang w:eastAsia="zh-TW"/>
        </w:rPr>
        <w:lastRenderedPageBreak/>
        <w:tab/>
        <w:t>(ج)</w:t>
      </w:r>
      <w:r>
        <w:rPr>
          <w:rtl/>
          <w:lang w:eastAsia="zh-TW"/>
        </w:rPr>
        <w:tab/>
      </w:r>
      <w:r w:rsidR="009C3B0B" w:rsidRPr="005D110D">
        <w:rPr>
          <w:b/>
          <w:bCs/>
          <w:rtl/>
          <w:lang w:eastAsia="zh-TW"/>
        </w:rPr>
        <w:t xml:space="preserve">تضمين أولويات الحكومة جمع إحصاءات موثوقة وشاملة، تكون مصنفة حسب الأصل </w:t>
      </w:r>
      <w:proofErr w:type="spellStart"/>
      <w:r w:rsidR="009C3B0B" w:rsidRPr="005D110D">
        <w:rPr>
          <w:b/>
          <w:bCs/>
          <w:rtl/>
          <w:lang w:eastAsia="zh-TW"/>
        </w:rPr>
        <w:t>الإثني</w:t>
      </w:r>
      <w:proofErr w:type="spellEnd"/>
      <w:r w:rsidR="009C3B0B" w:rsidRPr="005D110D">
        <w:rPr>
          <w:b/>
          <w:bCs/>
          <w:rtl/>
          <w:lang w:eastAsia="zh-TW"/>
        </w:rPr>
        <w:t xml:space="preserve"> للضحايا، عما جرى من تحقيقات وملاحقات قضائية وصدر من أحكام الإدانة وعقوبات في قضايا استخدام خطاب الكراهية العنصرية والتحريض على الكراهية العنصرية، وتقديم هذه البيانات في تقريرها الدوري المقبل.</w:t>
      </w:r>
      <w:r>
        <w:rPr>
          <w:rFonts w:hint="cs"/>
          <w:b/>
          <w:bCs/>
          <w:rtl/>
          <w:lang w:eastAsia="zh-TW"/>
        </w:rPr>
        <w:t xml:space="preserve"> </w:t>
      </w:r>
    </w:p>
    <w:p w:rsidR="009C3B0B" w:rsidRPr="00B371B9" w:rsidRDefault="009C3B0B" w:rsidP="00710BC8">
      <w:pPr>
        <w:pStyle w:val="H23GA"/>
        <w:keepNext/>
        <w:rPr>
          <w:rtl/>
        </w:rPr>
      </w:pPr>
      <w:r>
        <w:tab/>
      </w:r>
      <w:r>
        <w:tab/>
      </w:r>
      <w:r>
        <w:rPr>
          <w:rtl/>
        </w:rPr>
        <w:t>أفعال التمييز العنصري</w:t>
      </w:r>
    </w:p>
    <w:p w:rsidR="009C3B0B" w:rsidRPr="00B371B9" w:rsidRDefault="005D110D" w:rsidP="005D110D">
      <w:pPr>
        <w:pStyle w:val="SingleTxtGA"/>
        <w:rPr>
          <w:rtl/>
          <w:lang w:eastAsia="zh-TW"/>
        </w:rPr>
      </w:pPr>
      <w:r>
        <w:rPr>
          <w:rtl/>
          <w:lang w:eastAsia="zh-TW"/>
        </w:rPr>
        <w:t>١٠-</w:t>
      </w:r>
      <w:r>
        <w:rPr>
          <w:rtl/>
          <w:lang w:eastAsia="zh-TW"/>
        </w:rPr>
        <w:tab/>
      </w:r>
      <w:r w:rsidR="009C3B0B">
        <w:rPr>
          <w:rtl/>
          <w:lang w:eastAsia="zh-TW"/>
        </w:rPr>
        <w:t xml:space="preserve">تلاحظ اللجنة مع القلق أن لجنة حقوق الإنسان تلقت، في السنوات الأخيرة، العديد من شكاوى التمييز القائم على أساس العرق، بما في ذلك أكثر من 400 شكوى يدعي أصحابها أنهم تعرضوا للتمييز في العمل أو قبل التوظيف أو للاتجار بالبشر أو التحرش، في حين أن المعلومات التي قدمتها الدولة الطرف لا توضح عدد التحقيقات التي أجريت بهذا الشأن والعقوبات التي فرضت، ولم تحدد الهيئة المعنية بعلاقات العمل إلا ست حالات من التظلم الفردي تضمنت ادعاءات بالتعرض للتمييز العنصري أو التحرش، استُجيب إلى تظلم واحد منها. وتشعر اللجنة بالقلق </w:t>
      </w:r>
      <w:r w:rsidR="00E73BB3">
        <w:rPr>
          <w:rtl/>
          <w:lang w:eastAsia="zh-TW"/>
        </w:rPr>
        <w:t>أيضاً</w:t>
      </w:r>
      <w:r w:rsidR="009C3B0B">
        <w:rPr>
          <w:rtl/>
          <w:lang w:eastAsia="zh-TW"/>
        </w:rPr>
        <w:t xml:space="preserve"> لنقص البيانات المتعلقة بتفتيش العمل في تقرير الدولة الطرف (المواد ٢ و٥ و٦). </w:t>
      </w:r>
    </w:p>
    <w:p w:rsidR="009C3B0B" w:rsidRPr="005D110D" w:rsidRDefault="005D110D" w:rsidP="005D110D">
      <w:pPr>
        <w:pStyle w:val="SingleTxtGA"/>
        <w:rPr>
          <w:b/>
          <w:bCs/>
          <w:rtl/>
          <w:lang w:eastAsia="zh-TW"/>
        </w:rPr>
      </w:pPr>
      <w:r>
        <w:rPr>
          <w:rtl/>
          <w:lang w:eastAsia="zh-TW"/>
        </w:rPr>
        <w:t>١١-</w:t>
      </w:r>
      <w:r>
        <w:rPr>
          <w:rtl/>
          <w:lang w:eastAsia="zh-TW"/>
        </w:rPr>
        <w:tab/>
      </w:r>
      <w:r w:rsidR="009C3B0B" w:rsidRPr="005D110D">
        <w:rPr>
          <w:b/>
          <w:bCs/>
          <w:rtl/>
          <w:lang w:eastAsia="zh-TW"/>
        </w:rPr>
        <w:t xml:space="preserve">توصي اللجنة بأن تضمن الدولة الطرف التحقيق في أفعال التمييز العنصري، ومقاضاة الجناة ومعاقبتهم. والدولة الطرف مطالبة بأن تقدم في تقريرها الدوري المقبل معلومات عما يلي: (أ) عمليات تفتيش العمل، وغير ذلك من الإجراءات الإدارية أو القانونية المتعلقة بالتمييز العنصري؛ والحالات المتعلقة بظروف العمل والتحرش والاتجار بالبشر؛ والبيانات المتعلقة بزيارات التفتيش وما كشف من انتهاكات </w:t>
      </w:r>
      <w:proofErr w:type="spellStart"/>
      <w:r w:rsidR="009C3B0B" w:rsidRPr="005D110D">
        <w:rPr>
          <w:b/>
          <w:bCs/>
          <w:rtl/>
          <w:lang w:eastAsia="zh-TW"/>
        </w:rPr>
        <w:t>والجزاءات</w:t>
      </w:r>
      <w:proofErr w:type="spellEnd"/>
      <w:r w:rsidR="009C3B0B" w:rsidRPr="005D110D">
        <w:rPr>
          <w:b/>
          <w:bCs/>
          <w:rtl/>
          <w:lang w:eastAsia="zh-TW"/>
        </w:rPr>
        <w:t xml:space="preserve"> أو العقوبات التي فرضت خلال الفترة المشمولة بالتقرير؛ والتعويضات المقدمة للضحايا، على أن تكون هذه البيانات مصنفة بحسب عناصر منها سنة وقوع الانتهاك ونوعه وعمر الضحية وجنسها وأصلها القومي وأصلها </w:t>
      </w:r>
      <w:proofErr w:type="spellStart"/>
      <w:r w:rsidR="009C3B0B" w:rsidRPr="005D110D">
        <w:rPr>
          <w:b/>
          <w:bCs/>
          <w:rtl/>
          <w:lang w:eastAsia="zh-TW"/>
        </w:rPr>
        <w:t>الإثني</w:t>
      </w:r>
      <w:proofErr w:type="spellEnd"/>
      <w:r w:rsidR="009C3B0B" w:rsidRPr="005D110D">
        <w:rPr>
          <w:b/>
          <w:bCs/>
          <w:rtl/>
          <w:lang w:eastAsia="zh-TW"/>
        </w:rPr>
        <w:t xml:space="preserve">. </w:t>
      </w:r>
    </w:p>
    <w:p w:rsidR="009C3B0B" w:rsidRPr="00B371B9" w:rsidRDefault="009C3B0B" w:rsidP="00710BC8">
      <w:pPr>
        <w:pStyle w:val="H23GA"/>
        <w:keepNext/>
        <w:rPr>
          <w:rtl/>
        </w:rPr>
      </w:pPr>
      <w:r>
        <w:tab/>
      </w:r>
      <w:r>
        <w:tab/>
      </w:r>
      <w:r>
        <w:rPr>
          <w:rtl/>
        </w:rPr>
        <w:t xml:space="preserve">معاهدة </w:t>
      </w:r>
      <w:proofErr w:type="spellStart"/>
      <w:r>
        <w:rPr>
          <w:rtl/>
        </w:rPr>
        <w:t>وايتانغي</w:t>
      </w:r>
      <w:proofErr w:type="spellEnd"/>
    </w:p>
    <w:p w:rsidR="009C3B0B" w:rsidRPr="00B371B9" w:rsidRDefault="005D110D" w:rsidP="005D110D">
      <w:pPr>
        <w:pStyle w:val="SingleTxtGA"/>
        <w:rPr>
          <w:rtl/>
          <w:lang w:eastAsia="zh-TW"/>
        </w:rPr>
      </w:pPr>
      <w:r>
        <w:rPr>
          <w:rtl/>
          <w:lang w:eastAsia="zh-TW"/>
        </w:rPr>
        <w:t>١٢-</w:t>
      </w:r>
      <w:r>
        <w:rPr>
          <w:rtl/>
          <w:lang w:eastAsia="zh-TW"/>
        </w:rPr>
        <w:tab/>
      </w:r>
      <w:r w:rsidR="009C3B0B">
        <w:rPr>
          <w:rtl/>
          <w:lang w:eastAsia="zh-TW"/>
        </w:rPr>
        <w:t xml:space="preserve">يساور اللجنة القلق بشأن الجمود الواضح في عملية تنفيذ التوصيات التي قدمها الفريق الاستشاري الدستوري، في عام ٢٠١٣، بشأن معاهدة </w:t>
      </w:r>
      <w:proofErr w:type="spellStart"/>
      <w:r w:rsidR="009C3B0B">
        <w:rPr>
          <w:rtl/>
          <w:lang w:eastAsia="zh-TW"/>
        </w:rPr>
        <w:t>وايتانغي</w:t>
      </w:r>
      <w:proofErr w:type="spellEnd"/>
      <w:r w:rsidR="009C3B0B">
        <w:rPr>
          <w:rtl/>
          <w:lang w:eastAsia="zh-TW"/>
        </w:rPr>
        <w:t>. وتلاحظ أن فريقا</w:t>
      </w:r>
      <w:r w:rsidR="00F71D0B">
        <w:rPr>
          <w:rFonts w:hint="cs"/>
          <w:rtl/>
          <w:lang w:eastAsia="zh-TW"/>
        </w:rPr>
        <w:t>ً</w:t>
      </w:r>
      <w:r w:rsidR="009C3B0B">
        <w:rPr>
          <w:rtl/>
          <w:lang w:eastAsia="zh-TW"/>
        </w:rPr>
        <w:t xml:space="preserve"> مستقلا</w:t>
      </w:r>
      <w:r w:rsidR="00F71D0B">
        <w:rPr>
          <w:rFonts w:hint="cs"/>
          <w:rtl/>
          <w:lang w:eastAsia="zh-TW"/>
        </w:rPr>
        <w:t>ً</w:t>
      </w:r>
      <w:r w:rsidR="009C3B0B">
        <w:rPr>
          <w:rtl/>
          <w:lang w:eastAsia="zh-TW"/>
        </w:rPr>
        <w:t xml:space="preserve"> يقوده </w:t>
      </w:r>
      <w:proofErr w:type="spellStart"/>
      <w:r w:rsidR="009C3B0B">
        <w:rPr>
          <w:rtl/>
          <w:lang w:eastAsia="zh-TW"/>
        </w:rPr>
        <w:t>ماوريون</w:t>
      </w:r>
      <w:proofErr w:type="spellEnd"/>
      <w:r w:rsidR="009C3B0B">
        <w:rPr>
          <w:rtl/>
          <w:lang w:eastAsia="zh-TW"/>
        </w:rPr>
        <w:t xml:space="preserve"> (</w:t>
      </w:r>
      <w:proofErr w:type="spellStart"/>
      <w:r w:rsidR="009C3B0B" w:rsidRPr="005D110D">
        <w:rPr>
          <w:rFonts w:asciiTheme="majorBidi" w:hAnsiTheme="majorBidi" w:cstheme="majorBidi"/>
          <w:szCs w:val="20"/>
          <w:rtl/>
          <w:lang w:eastAsia="zh-TW"/>
        </w:rPr>
        <w:t>Matike</w:t>
      </w:r>
      <w:proofErr w:type="spellEnd"/>
      <w:r w:rsidR="009C3B0B" w:rsidRPr="005D110D">
        <w:rPr>
          <w:rFonts w:asciiTheme="majorBidi" w:hAnsiTheme="majorBidi" w:cstheme="majorBidi"/>
          <w:szCs w:val="20"/>
          <w:rtl/>
          <w:lang w:eastAsia="zh-TW"/>
        </w:rPr>
        <w:t xml:space="preserve"> </w:t>
      </w:r>
      <w:proofErr w:type="spellStart"/>
      <w:r w:rsidR="009C3B0B" w:rsidRPr="005D110D">
        <w:rPr>
          <w:rFonts w:asciiTheme="majorBidi" w:hAnsiTheme="majorBidi" w:cstheme="majorBidi"/>
          <w:szCs w:val="20"/>
          <w:rtl/>
          <w:lang w:eastAsia="zh-TW"/>
        </w:rPr>
        <w:t>Mai</w:t>
      </w:r>
      <w:proofErr w:type="spellEnd"/>
      <w:r w:rsidR="009C3B0B" w:rsidRPr="005D110D">
        <w:rPr>
          <w:rFonts w:asciiTheme="majorBidi" w:hAnsiTheme="majorBidi" w:cstheme="majorBidi"/>
          <w:szCs w:val="20"/>
          <w:rtl/>
          <w:lang w:eastAsia="zh-TW"/>
        </w:rPr>
        <w:t xml:space="preserve"> </w:t>
      </w:r>
      <w:proofErr w:type="spellStart"/>
      <w:r w:rsidR="009C3B0B" w:rsidRPr="005D110D">
        <w:rPr>
          <w:rFonts w:asciiTheme="majorBidi" w:hAnsiTheme="majorBidi" w:cstheme="majorBidi"/>
          <w:szCs w:val="20"/>
          <w:rtl/>
          <w:lang w:eastAsia="zh-TW"/>
        </w:rPr>
        <w:t>Aotearoa</w:t>
      </w:r>
      <w:proofErr w:type="spellEnd"/>
      <w:r w:rsidR="009C3B0B">
        <w:rPr>
          <w:rtl/>
          <w:lang w:eastAsia="zh-TW"/>
        </w:rPr>
        <w:t xml:space="preserve">)، قد أجرى </w:t>
      </w:r>
      <w:r w:rsidR="00E73BB3">
        <w:rPr>
          <w:rtl/>
          <w:lang w:eastAsia="zh-TW"/>
        </w:rPr>
        <w:t>أيضاً</w:t>
      </w:r>
      <w:r w:rsidR="009C3B0B">
        <w:rPr>
          <w:rtl/>
          <w:lang w:eastAsia="zh-TW"/>
        </w:rPr>
        <w:t xml:space="preserve"> مشاورات واسعة النطاق، وأصدر تقريره الخاص الذي طرح فيه مقترحات أخرى للمناقشة بشأن مجموعة من النماذج الدستورية التي لم تتناولها الدولة الطرف </w:t>
      </w:r>
      <w:r w:rsidR="00E73BB3">
        <w:rPr>
          <w:rtl/>
          <w:lang w:eastAsia="zh-TW"/>
        </w:rPr>
        <w:t>أيضاً</w:t>
      </w:r>
      <w:r w:rsidR="009C3B0B">
        <w:rPr>
          <w:rtl/>
          <w:lang w:eastAsia="zh-TW"/>
        </w:rPr>
        <w:t>. وترى اللجنة أن الفترة المشمولة بالتقرير لم تشهد تقدما</w:t>
      </w:r>
      <w:r w:rsidR="00F71D0B">
        <w:rPr>
          <w:rFonts w:hint="cs"/>
          <w:rtl/>
          <w:lang w:eastAsia="zh-TW"/>
        </w:rPr>
        <w:t>ً</w:t>
      </w:r>
      <w:r w:rsidR="009C3B0B">
        <w:rPr>
          <w:rtl/>
          <w:lang w:eastAsia="zh-TW"/>
        </w:rPr>
        <w:t xml:space="preserve"> يُذكر فيما يخص تأمين حقوق الشعوب الأصلية في تقرير المصير بموجب هذه المعاهدة أو ترتيبات تقاسم السلطة بين العشيرة (</w:t>
      </w:r>
      <w:proofErr w:type="spellStart"/>
      <w:r w:rsidR="009C3B0B" w:rsidRPr="005D110D">
        <w:rPr>
          <w:rFonts w:asciiTheme="majorBidi" w:hAnsiTheme="majorBidi" w:cstheme="majorBidi"/>
          <w:sz w:val="10"/>
          <w:szCs w:val="20"/>
          <w:rtl/>
          <w:lang w:eastAsia="zh-TW"/>
        </w:rPr>
        <w:t>hapu</w:t>
      </w:r>
      <w:proofErr w:type="spellEnd"/>
      <w:r w:rsidR="009C3B0B">
        <w:rPr>
          <w:rtl/>
          <w:lang w:eastAsia="zh-TW"/>
        </w:rPr>
        <w:t xml:space="preserve">) والدولة الطرف بمقتضى المعاهدة. وتشعر اللجنة بالقلق لورود تقارير تفيد بأن محكمة </w:t>
      </w:r>
      <w:proofErr w:type="spellStart"/>
      <w:r w:rsidR="009C3B0B">
        <w:rPr>
          <w:rtl/>
          <w:lang w:eastAsia="zh-TW"/>
        </w:rPr>
        <w:t>وايتانغي</w:t>
      </w:r>
      <w:proofErr w:type="spellEnd"/>
      <w:r w:rsidR="009C3B0B">
        <w:rPr>
          <w:rtl/>
          <w:lang w:eastAsia="zh-TW"/>
        </w:rPr>
        <w:t xml:space="preserve"> تعاني من نقص الموارد، مما أدى إلى تأخر الفصل في القضايا فترات طويلة (المادتان ٢ و٦). </w:t>
      </w:r>
      <w:bookmarkStart w:id="0" w:name="_Hlk490982937"/>
      <w:bookmarkEnd w:id="0"/>
    </w:p>
    <w:p w:rsidR="009C3B0B" w:rsidRPr="005D110D" w:rsidRDefault="005D110D" w:rsidP="005D110D">
      <w:pPr>
        <w:pStyle w:val="SingleTxtGA"/>
        <w:rPr>
          <w:b/>
          <w:bCs/>
          <w:rtl/>
          <w:lang w:eastAsia="zh-TW"/>
        </w:rPr>
      </w:pPr>
      <w:r>
        <w:rPr>
          <w:rtl/>
          <w:lang w:eastAsia="zh-TW"/>
        </w:rPr>
        <w:t>١٣-</w:t>
      </w:r>
      <w:r>
        <w:rPr>
          <w:rtl/>
          <w:lang w:eastAsia="zh-TW"/>
        </w:rPr>
        <w:tab/>
      </w:r>
      <w:r w:rsidR="009C3B0B" w:rsidRPr="005D110D">
        <w:rPr>
          <w:b/>
          <w:bCs/>
          <w:rtl/>
          <w:lang w:eastAsia="zh-TW"/>
        </w:rPr>
        <w:t>توصي اللجنة الدولة الطرف بما يلي:</w:t>
      </w:r>
      <w:r>
        <w:rPr>
          <w:rFonts w:hint="cs"/>
          <w:b/>
          <w:bCs/>
          <w:rtl/>
          <w:lang w:eastAsia="zh-TW"/>
        </w:rPr>
        <w:t xml:space="preserve"> </w:t>
      </w:r>
    </w:p>
    <w:p w:rsidR="009C3B0B" w:rsidRPr="005D110D" w:rsidRDefault="005D110D" w:rsidP="005D110D">
      <w:pPr>
        <w:pStyle w:val="SingleTxtGA"/>
        <w:rPr>
          <w:b/>
          <w:bCs/>
          <w:rtl/>
          <w:lang w:eastAsia="zh-TW"/>
        </w:rPr>
      </w:pPr>
      <w:r>
        <w:rPr>
          <w:rtl/>
          <w:lang w:eastAsia="zh-TW"/>
        </w:rPr>
        <w:tab/>
      </w:r>
      <w:r w:rsidR="009C3B0B">
        <w:rPr>
          <w:rtl/>
          <w:lang w:eastAsia="zh-TW"/>
        </w:rPr>
        <w:t>(أ)</w:t>
      </w:r>
      <w:r>
        <w:rPr>
          <w:rtl/>
          <w:lang w:eastAsia="zh-TW"/>
        </w:rPr>
        <w:tab/>
      </w:r>
      <w:r w:rsidR="009C3B0B" w:rsidRPr="005D110D">
        <w:rPr>
          <w:b/>
          <w:bCs/>
          <w:rtl/>
          <w:lang w:eastAsia="zh-TW"/>
        </w:rPr>
        <w:t xml:space="preserve">العمل، من دون إبطاء، على إصدار جدول زمني لإجراء مناقشة، في إطار الشراكة مع </w:t>
      </w:r>
      <w:proofErr w:type="spellStart"/>
      <w:r w:rsidR="009C3B0B" w:rsidRPr="005D110D">
        <w:rPr>
          <w:b/>
          <w:bCs/>
          <w:rtl/>
          <w:lang w:eastAsia="zh-TW"/>
        </w:rPr>
        <w:t>الماوريين</w:t>
      </w:r>
      <w:proofErr w:type="spellEnd"/>
      <w:r w:rsidR="009C3B0B" w:rsidRPr="005D110D">
        <w:rPr>
          <w:b/>
          <w:bCs/>
          <w:rtl/>
          <w:lang w:eastAsia="zh-TW"/>
        </w:rPr>
        <w:t xml:space="preserve">، بشأن توصيات الفريق الاستشاري الدستوري المتعلقة بدور معاهدة </w:t>
      </w:r>
      <w:proofErr w:type="spellStart"/>
      <w:r w:rsidR="009C3B0B" w:rsidRPr="005D110D">
        <w:rPr>
          <w:b/>
          <w:bCs/>
          <w:rtl/>
          <w:lang w:eastAsia="zh-TW"/>
        </w:rPr>
        <w:lastRenderedPageBreak/>
        <w:t>وايتانغي</w:t>
      </w:r>
      <w:proofErr w:type="spellEnd"/>
      <w:r w:rsidR="009C3B0B" w:rsidRPr="005D110D">
        <w:rPr>
          <w:b/>
          <w:bCs/>
          <w:rtl/>
          <w:lang w:eastAsia="zh-TW"/>
        </w:rPr>
        <w:t xml:space="preserve"> في إطار الترتيبات الدستورية، إلى جانب المقترحات الواردة في تقرير الفريق المستقل (</w:t>
      </w:r>
      <w:proofErr w:type="spellStart"/>
      <w:r w:rsidR="009C3B0B" w:rsidRPr="005D110D">
        <w:rPr>
          <w:rFonts w:asciiTheme="majorBidi" w:hAnsiTheme="majorBidi" w:cstheme="majorBidi"/>
          <w:b/>
          <w:bCs/>
          <w:sz w:val="10"/>
          <w:szCs w:val="20"/>
          <w:rtl/>
          <w:lang w:eastAsia="zh-TW"/>
        </w:rPr>
        <w:t>Matike</w:t>
      </w:r>
      <w:proofErr w:type="spellEnd"/>
      <w:r w:rsidR="009C3B0B" w:rsidRPr="005D110D">
        <w:rPr>
          <w:rFonts w:asciiTheme="majorBidi" w:hAnsiTheme="majorBidi" w:cstheme="majorBidi"/>
          <w:b/>
          <w:bCs/>
          <w:sz w:val="10"/>
          <w:szCs w:val="20"/>
          <w:rtl/>
          <w:lang w:eastAsia="zh-TW"/>
        </w:rPr>
        <w:t xml:space="preserve"> </w:t>
      </w:r>
      <w:proofErr w:type="spellStart"/>
      <w:r w:rsidR="009C3B0B" w:rsidRPr="005D110D">
        <w:rPr>
          <w:rFonts w:asciiTheme="majorBidi" w:hAnsiTheme="majorBidi" w:cstheme="majorBidi"/>
          <w:b/>
          <w:bCs/>
          <w:sz w:val="10"/>
          <w:szCs w:val="20"/>
          <w:rtl/>
          <w:lang w:eastAsia="zh-TW"/>
        </w:rPr>
        <w:t>Mai</w:t>
      </w:r>
      <w:proofErr w:type="spellEnd"/>
      <w:r w:rsidR="009C3B0B" w:rsidRPr="005D110D">
        <w:rPr>
          <w:rFonts w:asciiTheme="majorBidi" w:hAnsiTheme="majorBidi" w:cstheme="majorBidi"/>
          <w:b/>
          <w:bCs/>
          <w:sz w:val="10"/>
          <w:szCs w:val="20"/>
          <w:rtl/>
          <w:lang w:eastAsia="zh-TW"/>
        </w:rPr>
        <w:t xml:space="preserve"> </w:t>
      </w:r>
      <w:proofErr w:type="spellStart"/>
      <w:r w:rsidR="009C3B0B" w:rsidRPr="005D110D">
        <w:rPr>
          <w:rFonts w:asciiTheme="majorBidi" w:hAnsiTheme="majorBidi" w:cstheme="majorBidi"/>
          <w:b/>
          <w:bCs/>
          <w:sz w:val="10"/>
          <w:szCs w:val="20"/>
          <w:rtl/>
          <w:lang w:eastAsia="zh-TW"/>
        </w:rPr>
        <w:t>Aotearoa</w:t>
      </w:r>
      <w:proofErr w:type="spellEnd"/>
      <w:r w:rsidR="009C3B0B" w:rsidRPr="005D110D">
        <w:rPr>
          <w:b/>
          <w:bCs/>
          <w:rtl/>
          <w:lang w:eastAsia="zh-TW"/>
        </w:rPr>
        <w:t xml:space="preserve">) وجميع الجهات صاحبة المصلحة؛ </w:t>
      </w:r>
    </w:p>
    <w:p w:rsidR="009C3B0B" w:rsidRPr="005D110D" w:rsidRDefault="005D110D" w:rsidP="005D110D">
      <w:pPr>
        <w:pStyle w:val="SingleTxtGA"/>
        <w:rPr>
          <w:b/>
          <w:bCs/>
          <w:rtl/>
          <w:lang w:eastAsia="zh-TW"/>
        </w:rPr>
      </w:pPr>
      <w:r>
        <w:rPr>
          <w:rtl/>
          <w:lang w:eastAsia="zh-TW"/>
        </w:rPr>
        <w:tab/>
      </w:r>
      <w:r w:rsidR="009C3B0B">
        <w:rPr>
          <w:rtl/>
          <w:lang w:eastAsia="zh-TW"/>
        </w:rPr>
        <w:t>(ب)</w:t>
      </w:r>
      <w:r w:rsidR="009C3B0B" w:rsidRPr="005D110D">
        <w:rPr>
          <w:b/>
          <w:bCs/>
          <w:rtl/>
          <w:lang w:eastAsia="zh-TW"/>
        </w:rPr>
        <w:tab/>
        <w:t xml:space="preserve">ضمان امتثال سياساتها العامة ومبادراتها التشريعية لمبدأ المشاركة المنصوص عليه في المادة ٢ من معاهدة </w:t>
      </w:r>
      <w:proofErr w:type="spellStart"/>
      <w:r w:rsidR="009C3B0B" w:rsidRPr="005D110D">
        <w:rPr>
          <w:b/>
          <w:bCs/>
          <w:rtl/>
          <w:lang w:eastAsia="zh-TW"/>
        </w:rPr>
        <w:t>وايتانغي</w:t>
      </w:r>
      <w:proofErr w:type="spellEnd"/>
      <w:r w:rsidR="009C3B0B" w:rsidRPr="005D110D">
        <w:rPr>
          <w:b/>
          <w:bCs/>
          <w:rtl/>
          <w:lang w:eastAsia="zh-TW"/>
        </w:rPr>
        <w:t>؛</w:t>
      </w:r>
    </w:p>
    <w:p w:rsidR="009C3B0B" w:rsidRPr="005D110D" w:rsidRDefault="005D110D" w:rsidP="005D110D">
      <w:pPr>
        <w:pStyle w:val="SingleTxtGA"/>
        <w:rPr>
          <w:b/>
          <w:bCs/>
          <w:rtl/>
          <w:lang w:eastAsia="zh-TW"/>
        </w:rPr>
      </w:pPr>
      <w:r>
        <w:rPr>
          <w:rtl/>
          <w:lang w:eastAsia="zh-TW"/>
        </w:rPr>
        <w:tab/>
      </w:r>
      <w:r w:rsidR="009C3B0B">
        <w:rPr>
          <w:rtl/>
          <w:lang w:eastAsia="zh-TW"/>
        </w:rPr>
        <w:t>(ج)</w:t>
      </w:r>
      <w:r>
        <w:rPr>
          <w:rtl/>
          <w:lang w:eastAsia="zh-TW"/>
        </w:rPr>
        <w:tab/>
      </w:r>
      <w:r w:rsidR="009C3B0B" w:rsidRPr="005D110D">
        <w:rPr>
          <w:b/>
          <w:bCs/>
          <w:rtl/>
          <w:lang w:eastAsia="zh-TW"/>
        </w:rPr>
        <w:t xml:space="preserve">إعطاء تطمينات أكثر بشأن اعتراف الدولة الطرف بحق </w:t>
      </w:r>
      <w:proofErr w:type="spellStart"/>
      <w:r w:rsidR="009C3B0B" w:rsidRPr="005D110D">
        <w:rPr>
          <w:b/>
          <w:bCs/>
          <w:rtl/>
          <w:lang w:eastAsia="zh-TW"/>
        </w:rPr>
        <w:t>الماوريين</w:t>
      </w:r>
      <w:proofErr w:type="spellEnd"/>
      <w:r w:rsidR="009C3B0B" w:rsidRPr="005D110D">
        <w:rPr>
          <w:b/>
          <w:bCs/>
          <w:rtl/>
          <w:lang w:eastAsia="zh-TW"/>
        </w:rPr>
        <w:t xml:space="preserve"> في تقرير المصير، الذي هو حق أساسي، وبالالتزام بإرساء مبدأ تقاسم الحكم مع العشيرة (</w:t>
      </w:r>
      <w:proofErr w:type="spellStart"/>
      <w:r w:rsidR="009C3B0B" w:rsidRPr="005D110D">
        <w:rPr>
          <w:rFonts w:asciiTheme="majorBidi" w:hAnsiTheme="majorBidi" w:cstheme="majorBidi"/>
          <w:b/>
          <w:bCs/>
          <w:sz w:val="10"/>
          <w:szCs w:val="20"/>
          <w:rtl/>
          <w:lang w:eastAsia="zh-TW"/>
        </w:rPr>
        <w:t>hapu</w:t>
      </w:r>
      <w:proofErr w:type="spellEnd"/>
      <w:r w:rsidR="009C3B0B" w:rsidRPr="005D110D">
        <w:rPr>
          <w:b/>
          <w:bCs/>
          <w:rtl/>
          <w:lang w:eastAsia="zh-TW"/>
        </w:rPr>
        <w:t>)؛</w:t>
      </w:r>
    </w:p>
    <w:p w:rsidR="009C3B0B" w:rsidRPr="005D110D" w:rsidRDefault="005D110D" w:rsidP="005D110D">
      <w:pPr>
        <w:pStyle w:val="SingleTxtGA"/>
        <w:rPr>
          <w:b/>
          <w:bCs/>
          <w:rtl/>
          <w:lang w:eastAsia="zh-TW"/>
        </w:rPr>
      </w:pPr>
      <w:r>
        <w:rPr>
          <w:rtl/>
          <w:lang w:eastAsia="zh-TW"/>
        </w:rPr>
        <w:tab/>
      </w:r>
      <w:r w:rsidR="009C3B0B">
        <w:rPr>
          <w:rtl/>
          <w:lang w:eastAsia="zh-TW"/>
        </w:rPr>
        <w:t>(د)</w:t>
      </w:r>
      <w:r>
        <w:rPr>
          <w:rtl/>
          <w:lang w:eastAsia="zh-TW"/>
        </w:rPr>
        <w:tab/>
      </w:r>
      <w:r w:rsidR="009C3B0B" w:rsidRPr="005D110D">
        <w:rPr>
          <w:b/>
          <w:bCs/>
          <w:rtl/>
          <w:lang w:eastAsia="zh-TW"/>
        </w:rPr>
        <w:t xml:space="preserve">توفير الموارد الكافية لمحكمة </w:t>
      </w:r>
      <w:proofErr w:type="spellStart"/>
      <w:r w:rsidR="009C3B0B" w:rsidRPr="005D110D">
        <w:rPr>
          <w:b/>
          <w:bCs/>
          <w:rtl/>
          <w:lang w:eastAsia="zh-TW"/>
        </w:rPr>
        <w:t>وايتانغي</w:t>
      </w:r>
      <w:proofErr w:type="spellEnd"/>
      <w:r w:rsidR="009C3B0B" w:rsidRPr="005D110D">
        <w:rPr>
          <w:b/>
          <w:bCs/>
          <w:rtl/>
          <w:lang w:eastAsia="zh-TW"/>
        </w:rPr>
        <w:t>.</w:t>
      </w:r>
      <w:r>
        <w:rPr>
          <w:rFonts w:hint="cs"/>
          <w:b/>
          <w:bCs/>
          <w:rtl/>
          <w:lang w:eastAsia="zh-TW"/>
        </w:rPr>
        <w:t xml:space="preserve"> </w:t>
      </w:r>
    </w:p>
    <w:p w:rsidR="009C3B0B" w:rsidRPr="00B371B9" w:rsidRDefault="0018103F" w:rsidP="00710BC8">
      <w:pPr>
        <w:pStyle w:val="H23GA"/>
        <w:keepNext/>
        <w:rPr>
          <w:rtl/>
        </w:rPr>
      </w:pPr>
      <w:r>
        <w:rPr>
          <w:rtl/>
        </w:rPr>
        <w:tab/>
      </w:r>
      <w:r>
        <w:rPr>
          <w:rtl/>
        </w:rPr>
        <w:tab/>
      </w:r>
      <w:r w:rsidR="009C3B0B">
        <w:rPr>
          <w:rtl/>
        </w:rPr>
        <w:t xml:space="preserve">المسائل المتعلقة بأراضي </w:t>
      </w:r>
      <w:proofErr w:type="spellStart"/>
      <w:r w:rsidR="009C3B0B">
        <w:rPr>
          <w:rtl/>
        </w:rPr>
        <w:t>الماوريين</w:t>
      </w:r>
      <w:proofErr w:type="spellEnd"/>
      <w:r w:rsidR="009C3B0B">
        <w:rPr>
          <w:rtl/>
        </w:rPr>
        <w:t xml:space="preserve"> وعملية التسوية في إطار المعاهدة</w:t>
      </w:r>
    </w:p>
    <w:p w:rsidR="009C3B0B" w:rsidRPr="00B371B9" w:rsidRDefault="0018103F" w:rsidP="0018103F">
      <w:pPr>
        <w:pStyle w:val="SingleTxtGA"/>
        <w:rPr>
          <w:rtl/>
          <w:lang w:eastAsia="zh-TW"/>
        </w:rPr>
      </w:pPr>
      <w:r>
        <w:rPr>
          <w:rtl/>
          <w:lang w:eastAsia="zh-TW"/>
        </w:rPr>
        <w:t>١٤-</w:t>
      </w:r>
      <w:r>
        <w:rPr>
          <w:rtl/>
          <w:lang w:eastAsia="zh-TW"/>
        </w:rPr>
        <w:tab/>
      </w:r>
      <w:r w:rsidR="009C3B0B">
        <w:rPr>
          <w:rtl/>
          <w:lang w:eastAsia="zh-TW"/>
        </w:rPr>
        <w:t>تشير اللج</w:t>
      </w:r>
      <w:r>
        <w:rPr>
          <w:rtl/>
          <w:lang w:eastAsia="zh-TW"/>
        </w:rPr>
        <w:t>نة إلى أن توصيتها العامة رقم 23</w:t>
      </w:r>
      <w:r w:rsidR="009C3B0B">
        <w:rPr>
          <w:rtl/>
          <w:lang w:eastAsia="zh-TW"/>
        </w:rPr>
        <w:t>(1997) بشأن حقوق الشعوب الأصلية، وكذلك إعلان الأمم المتحدة بشأن حقوق الشعوب الأصلية، قد اشترطا، اشتراطا</w:t>
      </w:r>
      <w:r w:rsidR="00F71D0B">
        <w:rPr>
          <w:rFonts w:hint="cs"/>
          <w:rtl/>
          <w:lang w:eastAsia="zh-TW"/>
        </w:rPr>
        <w:t>ً</w:t>
      </w:r>
      <w:r w:rsidR="009C3B0B">
        <w:rPr>
          <w:rtl/>
          <w:lang w:eastAsia="zh-TW"/>
        </w:rPr>
        <w:t xml:space="preserve"> لا لبس فيه، وجوب الحصول على موافقة حرة ومسبقة ومستنيرة من الشعوب الأصلية بشأن أي قرار يمس حقوقها ومصالحها. وتحيط اللجنة علما</w:t>
      </w:r>
      <w:r w:rsidR="00F71D0B">
        <w:rPr>
          <w:rFonts w:hint="cs"/>
          <w:rtl/>
          <w:lang w:eastAsia="zh-TW"/>
        </w:rPr>
        <w:t>ً</w:t>
      </w:r>
      <w:r w:rsidR="009C3B0B">
        <w:rPr>
          <w:rtl/>
          <w:lang w:eastAsia="zh-TW"/>
        </w:rPr>
        <w:t xml:space="preserve"> بعملية التسوية في إطار المعاهدة التي تتوخى تسوية مطالبات </w:t>
      </w:r>
      <w:proofErr w:type="spellStart"/>
      <w:r w:rsidR="009C3B0B">
        <w:rPr>
          <w:rtl/>
          <w:lang w:eastAsia="zh-TW"/>
        </w:rPr>
        <w:t>الماوريين</w:t>
      </w:r>
      <w:proofErr w:type="spellEnd"/>
      <w:r w:rsidR="009C3B0B">
        <w:rPr>
          <w:rtl/>
          <w:lang w:eastAsia="zh-TW"/>
        </w:rPr>
        <w:t xml:space="preserve"> التاريخية المتعلقة بالأراضي مقابل اعتذار يقدم باسم الدولة الطرف وحزمة تعويضات يمكن أن تشمل أشكالا</w:t>
      </w:r>
      <w:r w:rsidR="00F71D0B">
        <w:rPr>
          <w:rFonts w:hint="cs"/>
          <w:rtl/>
          <w:lang w:eastAsia="zh-TW"/>
        </w:rPr>
        <w:t>ً</w:t>
      </w:r>
      <w:r w:rsidR="009C3B0B">
        <w:rPr>
          <w:rtl/>
          <w:lang w:eastAsia="zh-TW"/>
        </w:rPr>
        <w:t xml:space="preserve"> من الجبر والحوافز الثقافية، و/أو المالية و/أو التجارية، إلى جانب مجموعة متنوعة من فرص الشراكة المحتمل إقامتها مع الدولة الطرف (المواد ٢ و٥ و٦).</w:t>
      </w:r>
    </w:p>
    <w:p w:rsidR="009C3B0B" w:rsidRPr="00E73BB3" w:rsidRDefault="0018103F" w:rsidP="0018103F">
      <w:pPr>
        <w:pStyle w:val="SingleTxtGA"/>
        <w:rPr>
          <w:b/>
          <w:bCs/>
          <w:spacing w:val="-4"/>
          <w:rtl/>
          <w:lang w:eastAsia="zh-TW"/>
        </w:rPr>
      </w:pPr>
      <w:r w:rsidRPr="00E73BB3">
        <w:rPr>
          <w:spacing w:val="-4"/>
          <w:rtl/>
          <w:lang w:eastAsia="zh-TW"/>
        </w:rPr>
        <w:t>١٥-</w:t>
      </w:r>
      <w:r w:rsidRPr="00E73BB3">
        <w:rPr>
          <w:spacing w:val="-4"/>
          <w:rtl/>
          <w:lang w:eastAsia="zh-TW"/>
        </w:rPr>
        <w:tab/>
      </w:r>
      <w:r w:rsidR="009C3B0B" w:rsidRPr="00E73BB3">
        <w:rPr>
          <w:b/>
          <w:bCs/>
          <w:spacing w:val="-4"/>
          <w:rtl/>
          <w:lang w:eastAsia="zh-TW"/>
        </w:rPr>
        <w:t xml:space="preserve">وبما أن عملية التسوية وما يترتب عليها من آثار وعواقب تمس جوهر حق </w:t>
      </w:r>
      <w:proofErr w:type="spellStart"/>
      <w:r w:rsidR="009C3B0B" w:rsidRPr="00E73BB3">
        <w:rPr>
          <w:b/>
          <w:bCs/>
          <w:spacing w:val="-4"/>
          <w:rtl/>
          <w:lang w:eastAsia="zh-TW"/>
        </w:rPr>
        <w:t>الماوريين</w:t>
      </w:r>
      <w:proofErr w:type="spellEnd"/>
      <w:r w:rsidR="009C3B0B" w:rsidRPr="00E73BB3">
        <w:rPr>
          <w:b/>
          <w:bCs/>
          <w:spacing w:val="-4"/>
          <w:rtl/>
          <w:lang w:eastAsia="zh-TW"/>
        </w:rPr>
        <w:t xml:space="preserve"> في امتلاك أراضيهم الجماعية وأقاليمهم ومواردهم وتنميتها والتحكم فيها واستغلالها، وحقوقهم المكفولة بموجب الاتفاقية، فإن اللجنة تحث الدولة الطرف على تقديم المعلومات التالية: </w:t>
      </w:r>
    </w:p>
    <w:p w:rsidR="009C3B0B" w:rsidRPr="00523165" w:rsidRDefault="0018103F" w:rsidP="0018103F">
      <w:pPr>
        <w:pStyle w:val="SingleTxtGA"/>
        <w:rPr>
          <w:b/>
          <w:bCs/>
          <w:rtl/>
          <w:lang w:eastAsia="zh-TW"/>
        </w:rPr>
      </w:pPr>
      <w:r>
        <w:rPr>
          <w:rtl/>
          <w:lang w:eastAsia="zh-TW"/>
        </w:rPr>
        <w:tab/>
      </w:r>
      <w:r w:rsidR="009C3B0B">
        <w:rPr>
          <w:rtl/>
          <w:lang w:eastAsia="zh-TW"/>
        </w:rPr>
        <w:t>(أ)</w:t>
      </w:r>
      <w:r w:rsidR="009C3B0B">
        <w:rPr>
          <w:rtl/>
          <w:lang w:eastAsia="zh-TW"/>
        </w:rPr>
        <w:tab/>
      </w:r>
      <w:r w:rsidR="009C3B0B" w:rsidRPr="00523165">
        <w:rPr>
          <w:b/>
          <w:bCs/>
          <w:rtl/>
          <w:lang w:eastAsia="zh-TW"/>
        </w:rPr>
        <w:t xml:space="preserve">إجمالي مساحة الأرض والنسبة المئوية لمجموع الأراضي الخاضعة لعملية التسوية؛ </w:t>
      </w:r>
    </w:p>
    <w:p w:rsidR="009C3B0B" w:rsidRPr="00523165" w:rsidRDefault="0018103F" w:rsidP="0018103F">
      <w:pPr>
        <w:pStyle w:val="SingleTxtGA"/>
        <w:rPr>
          <w:b/>
          <w:bCs/>
          <w:rtl/>
          <w:lang w:eastAsia="zh-TW"/>
        </w:rPr>
      </w:pPr>
      <w:r>
        <w:rPr>
          <w:rtl/>
          <w:lang w:eastAsia="zh-TW"/>
        </w:rPr>
        <w:tab/>
      </w:r>
      <w:r w:rsidR="009C3B0B">
        <w:rPr>
          <w:rtl/>
          <w:lang w:eastAsia="zh-TW"/>
        </w:rPr>
        <w:t>(ب)</w:t>
      </w:r>
      <w:r w:rsidR="009C3B0B">
        <w:rPr>
          <w:rtl/>
          <w:lang w:eastAsia="zh-TW"/>
        </w:rPr>
        <w:tab/>
      </w:r>
      <w:r w:rsidR="009C3B0B" w:rsidRPr="00523165">
        <w:rPr>
          <w:b/>
          <w:bCs/>
          <w:rtl/>
          <w:lang w:eastAsia="zh-TW"/>
        </w:rPr>
        <w:t xml:space="preserve">إجمالي مساحة الأرض والنسبة المئوية لمجموع الأراضي غير الخاضعة لعملية التسوية وأسباب الاستثناءات؛ </w:t>
      </w:r>
    </w:p>
    <w:p w:rsidR="009C3B0B" w:rsidRPr="00523165" w:rsidRDefault="0018103F" w:rsidP="0018103F">
      <w:pPr>
        <w:pStyle w:val="SingleTxtGA"/>
        <w:rPr>
          <w:b/>
          <w:bCs/>
          <w:rtl/>
          <w:lang w:eastAsia="zh-TW"/>
        </w:rPr>
      </w:pPr>
      <w:r>
        <w:rPr>
          <w:rtl/>
          <w:lang w:eastAsia="zh-TW"/>
        </w:rPr>
        <w:tab/>
      </w:r>
      <w:r w:rsidR="009C3B0B">
        <w:rPr>
          <w:rtl/>
          <w:lang w:eastAsia="zh-TW"/>
        </w:rPr>
        <w:t>(ج)</w:t>
      </w:r>
      <w:r w:rsidR="009C3B0B">
        <w:rPr>
          <w:rtl/>
          <w:lang w:eastAsia="zh-TW"/>
        </w:rPr>
        <w:tab/>
      </w:r>
      <w:r w:rsidR="009C3B0B" w:rsidRPr="00523165">
        <w:rPr>
          <w:b/>
          <w:bCs/>
          <w:rtl/>
          <w:lang w:eastAsia="zh-TW"/>
        </w:rPr>
        <w:t xml:space="preserve">بيان حزمة التعويضات المقدمة في إطار كل تسوية وقيمتها السوقية الحالية؛ </w:t>
      </w:r>
    </w:p>
    <w:p w:rsidR="009C3B0B" w:rsidRPr="00523165" w:rsidRDefault="0018103F" w:rsidP="0018103F">
      <w:pPr>
        <w:pStyle w:val="SingleTxtGA"/>
        <w:rPr>
          <w:b/>
          <w:bCs/>
          <w:rtl/>
          <w:lang w:eastAsia="zh-TW"/>
        </w:rPr>
      </w:pPr>
      <w:r>
        <w:rPr>
          <w:rtl/>
          <w:lang w:eastAsia="zh-TW"/>
        </w:rPr>
        <w:tab/>
      </w:r>
      <w:r w:rsidR="009C3B0B">
        <w:rPr>
          <w:rtl/>
          <w:lang w:eastAsia="zh-TW"/>
        </w:rPr>
        <w:t>(د)</w:t>
      </w:r>
      <w:r w:rsidR="009C3B0B">
        <w:rPr>
          <w:rtl/>
          <w:lang w:eastAsia="zh-TW"/>
        </w:rPr>
        <w:tab/>
      </w:r>
      <w:r w:rsidR="009C3B0B" w:rsidRPr="00523165">
        <w:rPr>
          <w:b/>
          <w:bCs/>
          <w:rtl/>
          <w:lang w:eastAsia="zh-TW"/>
        </w:rPr>
        <w:t xml:space="preserve">النسبة المئوية للأرض المملوكة </w:t>
      </w:r>
      <w:proofErr w:type="spellStart"/>
      <w:r w:rsidR="009C3B0B" w:rsidRPr="00523165">
        <w:rPr>
          <w:b/>
          <w:bCs/>
          <w:rtl/>
          <w:lang w:eastAsia="zh-TW"/>
        </w:rPr>
        <w:t>للماوريين</w:t>
      </w:r>
      <w:proofErr w:type="spellEnd"/>
      <w:r w:rsidR="009C3B0B" w:rsidRPr="00523165">
        <w:rPr>
          <w:b/>
          <w:bCs/>
          <w:rtl/>
          <w:lang w:eastAsia="zh-TW"/>
        </w:rPr>
        <w:t xml:space="preserve"> الذين رفضوا الانخراط في عملية التسوية؛ </w:t>
      </w:r>
    </w:p>
    <w:p w:rsidR="009C3B0B" w:rsidRPr="00B371B9" w:rsidRDefault="0018103F" w:rsidP="0018103F">
      <w:pPr>
        <w:pStyle w:val="SingleTxtGA"/>
        <w:rPr>
          <w:b/>
          <w:rtl/>
          <w:lang w:eastAsia="zh-TW"/>
        </w:rPr>
      </w:pPr>
      <w:r>
        <w:rPr>
          <w:rtl/>
          <w:lang w:eastAsia="zh-TW"/>
        </w:rPr>
        <w:tab/>
        <w:t>(ه)</w:t>
      </w:r>
      <w:r>
        <w:rPr>
          <w:rtl/>
          <w:lang w:eastAsia="zh-TW"/>
        </w:rPr>
        <w:tab/>
      </w:r>
      <w:r w:rsidR="009C3B0B" w:rsidRPr="00523165">
        <w:rPr>
          <w:b/>
          <w:bCs/>
          <w:rtl/>
          <w:lang w:eastAsia="zh-TW"/>
        </w:rPr>
        <w:t>تحديد ما إذا كان إنجاز عملية التسوية سيُسقط، في رأي الدولة الطرف، الحقوق المنصوص عليها في المعاهدة.</w:t>
      </w:r>
      <w:r w:rsidR="009C3B0B">
        <w:rPr>
          <w:rtl/>
          <w:lang w:eastAsia="zh-TW"/>
        </w:rPr>
        <w:t xml:space="preserve"> </w:t>
      </w:r>
    </w:p>
    <w:p w:rsidR="009C3B0B" w:rsidRPr="00B371B9" w:rsidRDefault="009C3B0B" w:rsidP="00710BC8">
      <w:pPr>
        <w:pStyle w:val="H23GA"/>
        <w:keepNext/>
        <w:rPr>
          <w:rtl/>
        </w:rPr>
      </w:pPr>
      <w:r>
        <w:tab/>
      </w:r>
      <w:r>
        <w:tab/>
      </w:r>
      <w:r>
        <w:rPr>
          <w:rtl/>
        </w:rPr>
        <w:t xml:space="preserve">حقوق الملكية الفكرية والثقافية </w:t>
      </w:r>
      <w:proofErr w:type="spellStart"/>
      <w:r>
        <w:rPr>
          <w:rtl/>
        </w:rPr>
        <w:t>للماوريين</w:t>
      </w:r>
      <w:proofErr w:type="spellEnd"/>
    </w:p>
    <w:p w:rsidR="009C3B0B" w:rsidRPr="00126B15" w:rsidRDefault="0018103F" w:rsidP="00126B15">
      <w:pPr>
        <w:pStyle w:val="SingleTxtGA"/>
        <w:rPr>
          <w:strike/>
          <w:spacing w:val="-2"/>
          <w:rtl/>
          <w:lang w:eastAsia="zh-TW"/>
        </w:rPr>
      </w:pPr>
      <w:r w:rsidRPr="00126B15">
        <w:rPr>
          <w:spacing w:val="-2"/>
          <w:rtl/>
          <w:lang w:eastAsia="zh-TW"/>
        </w:rPr>
        <w:t>١٦-</w:t>
      </w:r>
      <w:r w:rsidRPr="00126B15">
        <w:rPr>
          <w:spacing w:val="-2"/>
          <w:rtl/>
          <w:lang w:eastAsia="zh-TW"/>
        </w:rPr>
        <w:tab/>
      </w:r>
      <w:r w:rsidR="009C3B0B" w:rsidRPr="00126B15">
        <w:rPr>
          <w:spacing w:val="-2"/>
          <w:rtl/>
          <w:lang w:eastAsia="zh-TW"/>
        </w:rPr>
        <w:t>تحيط اللجنة علما</w:t>
      </w:r>
      <w:r w:rsidR="00F71D0B" w:rsidRPr="00126B15">
        <w:rPr>
          <w:rFonts w:hint="cs"/>
          <w:spacing w:val="-2"/>
          <w:rtl/>
          <w:lang w:eastAsia="zh-TW"/>
        </w:rPr>
        <w:t>ً</w:t>
      </w:r>
      <w:r w:rsidR="009C3B0B" w:rsidRPr="00126B15">
        <w:rPr>
          <w:spacing w:val="-2"/>
          <w:rtl/>
          <w:lang w:eastAsia="zh-TW"/>
        </w:rPr>
        <w:t xml:space="preserve"> بالخطوات المتخذة، لكنها تشعر بالقلق لعدم إحراز تقدم في تنفيذ التوصيات الواردة في التقرير واي 262 </w:t>
      </w:r>
      <w:r w:rsidR="0081199B" w:rsidRPr="00126B15">
        <w:rPr>
          <w:spacing w:val="-2"/>
          <w:rtl/>
          <w:lang w:eastAsia="zh-TW"/>
        </w:rPr>
        <w:t>(</w:t>
      </w:r>
      <w:proofErr w:type="spellStart"/>
      <w:r w:rsidR="0081199B" w:rsidRPr="00126B15">
        <w:rPr>
          <w:spacing w:val="-2"/>
          <w:lang w:eastAsia="zh-TW"/>
        </w:rPr>
        <w:t>Wai</w:t>
      </w:r>
      <w:proofErr w:type="spellEnd"/>
      <w:r w:rsidR="0081199B" w:rsidRPr="00126B15">
        <w:rPr>
          <w:spacing w:val="-2"/>
          <w:lang w:eastAsia="zh-TW"/>
        </w:rPr>
        <w:t> 262</w:t>
      </w:r>
      <w:r w:rsidR="0081199B" w:rsidRPr="00126B15">
        <w:rPr>
          <w:spacing w:val="-2"/>
          <w:rtl/>
          <w:lang w:eastAsia="zh-TW"/>
        </w:rPr>
        <w:t>)</w:t>
      </w:r>
      <w:r w:rsidR="009C3B0B" w:rsidRPr="00126B15">
        <w:rPr>
          <w:spacing w:val="-2"/>
          <w:rtl/>
          <w:lang w:eastAsia="zh-TW"/>
        </w:rPr>
        <w:t xml:space="preserve">، </w:t>
      </w:r>
      <w:r w:rsidRPr="00126B15">
        <w:rPr>
          <w:spacing w:val="-2"/>
          <w:rtl/>
          <w:lang w:eastAsia="zh-TW"/>
        </w:rPr>
        <w:t xml:space="preserve">الصادر عن محكمة </w:t>
      </w:r>
      <w:proofErr w:type="spellStart"/>
      <w:r w:rsidRPr="00126B15">
        <w:rPr>
          <w:spacing w:val="-2"/>
          <w:rtl/>
          <w:lang w:eastAsia="zh-TW"/>
        </w:rPr>
        <w:t>وايتانغي</w:t>
      </w:r>
      <w:proofErr w:type="spellEnd"/>
      <w:r w:rsidRPr="00126B15">
        <w:rPr>
          <w:spacing w:val="-2"/>
          <w:rtl/>
          <w:lang w:eastAsia="zh-TW"/>
        </w:rPr>
        <w:t xml:space="preserve"> في عام</w:t>
      </w:r>
      <w:r w:rsidR="00126B15" w:rsidRPr="00126B15">
        <w:rPr>
          <w:rFonts w:hint="cs"/>
          <w:spacing w:val="-2"/>
          <w:rtl/>
          <w:lang w:eastAsia="zh-TW"/>
        </w:rPr>
        <w:t xml:space="preserve"> </w:t>
      </w:r>
      <w:r w:rsidR="009C3B0B" w:rsidRPr="00126B15">
        <w:rPr>
          <w:spacing w:val="-2"/>
          <w:rtl/>
          <w:lang w:eastAsia="zh-TW"/>
        </w:rPr>
        <w:t xml:space="preserve">2011، </w:t>
      </w:r>
      <w:r w:rsidR="009C3B0B" w:rsidRPr="00126B15">
        <w:rPr>
          <w:spacing w:val="-2"/>
          <w:rtl/>
          <w:lang w:eastAsia="zh-TW"/>
        </w:rPr>
        <w:lastRenderedPageBreak/>
        <w:t xml:space="preserve">والمتعلق بحقوق الملكية الفكرية والثقافية </w:t>
      </w:r>
      <w:proofErr w:type="spellStart"/>
      <w:r w:rsidR="009C3B0B" w:rsidRPr="00126B15">
        <w:rPr>
          <w:spacing w:val="-2"/>
          <w:rtl/>
          <w:lang w:eastAsia="zh-TW"/>
        </w:rPr>
        <w:t>للماوريين</w:t>
      </w:r>
      <w:proofErr w:type="spellEnd"/>
      <w:r w:rsidR="009C3B0B" w:rsidRPr="00126B15">
        <w:rPr>
          <w:spacing w:val="-2"/>
          <w:rtl/>
          <w:lang w:eastAsia="zh-TW"/>
        </w:rPr>
        <w:t xml:space="preserve"> وممتلكاتهم الثمينة، بما في ذلك اللغة والثقافة والمعارف (المادة ٥).</w:t>
      </w:r>
      <w:r w:rsidRPr="00126B15">
        <w:rPr>
          <w:rFonts w:hint="cs"/>
          <w:strike/>
          <w:spacing w:val="-2"/>
          <w:rtl/>
          <w:lang w:eastAsia="zh-TW"/>
        </w:rPr>
        <w:t xml:space="preserve"> </w:t>
      </w:r>
    </w:p>
    <w:p w:rsidR="009C3B0B" w:rsidRPr="0018103F" w:rsidRDefault="0018103F" w:rsidP="0018103F">
      <w:pPr>
        <w:pStyle w:val="SingleTxtGA"/>
        <w:rPr>
          <w:b/>
          <w:bCs/>
          <w:strike/>
          <w:rtl/>
          <w:lang w:eastAsia="zh-TW"/>
        </w:rPr>
      </w:pPr>
      <w:r>
        <w:rPr>
          <w:rtl/>
          <w:lang w:eastAsia="zh-TW"/>
        </w:rPr>
        <w:t>١٧-</w:t>
      </w:r>
      <w:r>
        <w:rPr>
          <w:rtl/>
          <w:lang w:eastAsia="zh-TW"/>
        </w:rPr>
        <w:tab/>
      </w:r>
      <w:r w:rsidR="009C3B0B" w:rsidRPr="0018103F">
        <w:rPr>
          <w:b/>
          <w:bCs/>
          <w:rtl/>
          <w:lang w:eastAsia="zh-TW"/>
        </w:rPr>
        <w:t>توصي اللجنة الدولة الطرف بإعداد ونشر خطة تتضمن أهدافا</w:t>
      </w:r>
      <w:r w:rsidR="00734E2E">
        <w:rPr>
          <w:rFonts w:hint="cs"/>
          <w:b/>
          <w:bCs/>
          <w:rtl/>
          <w:lang w:eastAsia="zh-TW"/>
        </w:rPr>
        <w:t>ً</w:t>
      </w:r>
      <w:r w:rsidR="009C3B0B" w:rsidRPr="0018103F">
        <w:rPr>
          <w:b/>
          <w:bCs/>
          <w:rtl/>
          <w:lang w:eastAsia="zh-TW"/>
        </w:rPr>
        <w:t xml:space="preserve"> وجدولا</w:t>
      </w:r>
      <w:r w:rsidR="00734E2E">
        <w:rPr>
          <w:rFonts w:hint="cs"/>
          <w:b/>
          <w:bCs/>
          <w:rtl/>
          <w:lang w:eastAsia="zh-TW"/>
        </w:rPr>
        <w:t>ً</w:t>
      </w:r>
      <w:r w:rsidR="009C3B0B" w:rsidRPr="0018103F">
        <w:rPr>
          <w:b/>
          <w:bCs/>
          <w:rtl/>
          <w:lang w:eastAsia="zh-TW"/>
        </w:rPr>
        <w:t xml:space="preserve"> زمنيا</w:t>
      </w:r>
      <w:r w:rsidR="00734E2E">
        <w:rPr>
          <w:rFonts w:hint="cs"/>
          <w:b/>
          <w:bCs/>
          <w:rtl/>
          <w:lang w:eastAsia="zh-TW"/>
        </w:rPr>
        <w:t>ً</w:t>
      </w:r>
      <w:r w:rsidR="009C3B0B" w:rsidRPr="0018103F">
        <w:rPr>
          <w:b/>
          <w:bCs/>
          <w:rtl/>
          <w:lang w:eastAsia="zh-TW"/>
        </w:rPr>
        <w:t xml:space="preserve"> لتنفيذ ما تبقى من التوصيات الواردة في القرار واي ٢٦٢. وتوصي اللجنة الدولة الطرف </w:t>
      </w:r>
      <w:r w:rsidR="00E73BB3">
        <w:rPr>
          <w:b/>
          <w:bCs/>
          <w:rtl/>
          <w:lang w:eastAsia="zh-TW"/>
        </w:rPr>
        <w:t>أيضاً</w:t>
      </w:r>
      <w:r w:rsidR="009C3B0B" w:rsidRPr="0018103F">
        <w:rPr>
          <w:b/>
          <w:bCs/>
          <w:rtl/>
          <w:lang w:eastAsia="zh-TW"/>
        </w:rPr>
        <w:t xml:space="preserve"> باتخاذ الخطوات اللازمة لتجميد الاعتراف بصحة الأعمال المنفذة بمقتضى الإطار المحدد في التقرير واي ٢٦٢ والتي لا تمتثل لأحكام معاهدة </w:t>
      </w:r>
      <w:proofErr w:type="spellStart"/>
      <w:r w:rsidR="009C3B0B" w:rsidRPr="0018103F">
        <w:rPr>
          <w:b/>
          <w:bCs/>
          <w:rtl/>
          <w:lang w:eastAsia="zh-TW"/>
        </w:rPr>
        <w:t>وايتانغي</w:t>
      </w:r>
      <w:proofErr w:type="spellEnd"/>
      <w:r w:rsidR="009C3B0B" w:rsidRPr="0018103F">
        <w:rPr>
          <w:b/>
          <w:bCs/>
          <w:rtl/>
          <w:lang w:eastAsia="zh-TW"/>
        </w:rPr>
        <w:t xml:space="preserve"> وإعلان الأمم المتحدة بشأن حقوق الشعوب الأصلية.</w:t>
      </w:r>
    </w:p>
    <w:p w:rsidR="009C3B0B" w:rsidRPr="00B371B9" w:rsidRDefault="009C3B0B" w:rsidP="00710BC8">
      <w:pPr>
        <w:pStyle w:val="H23GA"/>
        <w:keepNext/>
        <w:rPr>
          <w:strike/>
          <w:rtl/>
        </w:rPr>
      </w:pPr>
      <w:r>
        <w:tab/>
      </w:r>
      <w:r>
        <w:tab/>
      </w:r>
      <w:r>
        <w:rPr>
          <w:rtl/>
        </w:rPr>
        <w:t>المنطقة السكنية الخاصة رقم ٦٢</w:t>
      </w:r>
    </w:p>
    <w:p w:rsidR="009C3B0B" w:rsidRPr="00B371B9" w:rsidRDefault="0018103F" w:rsidP="0018103F">
      <w:pPr>
        <w:pStyle w:val="SingleTxtGA"/>
        <w:rPr>
          <w:rtl/>
          <w:lang w:eastAsia="zh-TW"/>
        </w:rPr>
      </w:pPr>
      <w:r>
        <w:rPr>
          <w:rtl/>
          <w:lang w:eastAsia="zh-TW"/>
        </w:rPr>
        <w:t>١٨-</w:t>
      </w:r>
      <w:r>
        <w:rPr>
          <w:rtl/>
          <w:lang w:eastAsia="zh-TW"/>
        </w:rPr>
        <w:tab/>
      </w:r>
      <w:r w:rsidR="009C3B0B">
        <w:rPr>
          <w:rtl/>
          <w:lang w:eastAsia="zh-TW"/>
        </w:rPr>
        <w:t xml:space="preserve">تشعر اللجنة بالقلق لورود معلومات متضاربة فيما يتعلق بالتشاور مع </w:t>
      </w:r>
      <w:proofErr w:type="spellStart"/>
      <w:r w:rsidR="009C3B0B">
        <w:rPr>
          <w:rtl/>
          <w:lang w:eastAsia="zh-TW"/>
        </w:rPr>
        <w:t>الماوريين</w:t>
      </w:r>
      <w:proofErr w:type="spellEnd"/>
      <w:r w:rsidR="009C3B0B">
        <w:rPr>
          <w:rtl/>
          <w:lang w:eastAsia="zh-TW"/>
        </w:rPr>
        <w:t xml:space="preserve"> المحليين بشأن تعيين موقع المنطقة السكنية الخاصة رقم 62 في </w:t>
      </w:r>
      <w:proofErr w:type="spellStart"/>
      <w:r w:rsidR="009C3B0B">
        <w:rPr>
          <w:rtl/>
          <w:lang w:eastAsia="zh-TW"/>
        </w:rPr>
        <w:t>إيهوماتون</w:t>
      </w:r>
      <w:proofErr w:type="spellEnd"/>
      <w:r w:rsidR="009C3B0B">
        <w:rPr>
          <w:rtl/>
          <w:lang w:eastAsia="zh-TW"/>
        </w:rPr>
        <w:t xml:space="preserve"> في الأراضي التي كانت ولا تزال مأهولة </w:t>
      </w:r>
      <w:proofErr w:type="spellStart"/>
      <w:r w:rsidR="009C3B0B">
        <w:rPr>
          <w:rtl/>
          <w:lang w:eastAsia="zh-TW"/>
        </w:rPr>
        <w:t>بالماوريين</w:t>
      </w:r>
      <w:proofErr w:type="spellEnd"/>
      <w:r w:rsidR="009C3B0B">
        <w:rPr>
          <w:rtl/>
          <w:lang w:eastAsia="zh-TW"/>
        </w:rPr>
        <w:t xml:space="preserve">. وتلاحظ اللجنة أن هذه الأراضي بيعت إلى مطور تجاري وطلب إليه العمل بنشاط على التخفيف من آثار المشروع. وتحيط اللجنة بما ذكرته الدولة الطرف عن إجرائها مشاورات كافية مع السلطات الماورية والحصول على تأييدها لتعيين الموقع، لكنها تشعر بالقلق لورود تقارير أخرى تفيد بأن </w:t>
      </w:r>
      <w:proofErr w:type="spellStart"/>
      <w:r w:rsidR="009C3B0B">
        <w:rPr>
          <w:rtl/>
          <w:lang w:eastAsia="zh-TW"/>
        </w:rPr>
        <w:t>الماوريين</w:t>
      </w:r>
      <w:proofErr w:type="spellEnd"/>
      <w:r w:rsidR="009C3B0B">
        <w:rPr>
          <w:rtl/>
          <w:lang w:eastAsia="zh-TW"/>
        </w:rPr>
        <w:t xml:space="preserve"> لم تتح لهم فرصة المشاركة رسميا</w:t>
      </w:r>
      <w:r w:rsidR="00734E2E">
        <w:rPr>
          <w:rFonts w:hint="cs"/>
          <w:rtl/>
          <w:lang w:eastAsia="zh-TW"/>
        </w:rPr>
        <w:t>ً</w:t>
      </w:r>
      <w:r w:rsidR="009C3B0B">
        <w:rPr>
          <w:rtl/>
          <w:lang w:eastAsia="zh-TW"/>
        </w:rPr>
        <w:t xml:space="preserve"> في اتخاذ القرارات المتعلقة باستغلال الأرض (المادتان ٢ و٥).</w:t>
      </w:r>
      <w:r>
        <w:rPr>
          <w:rFonts w:hint="cs"/>
          <w:rtl/>
          <w:lang w:eastAsia="zh-TW"/>
        </w:rPr>
        <w:t xml:space="preserve"> </w:t>
      </w:r>
    </w:p>
    <w:p w:rsidR="009C3B0B" w:rsidRPr="0018103F" w:rsidRDefault="0018103F" w:rsidP="0018103F">
      <w:pPr>
        <w:pStyle w:val="SingleTxtGA"/>
        <w:rPr>
          <w:b/>
          <w:bCs/>
          <w:rtl/>
          <w:lang w:eastAsia="zh-TW"/>
        </w:rPr>
      </w:pPr>
      <w:r>
        <w:rPr>
          <w:rtl/>
          <w:lang w:eastAsia="zh-TW"/>
        </w:rPr>
        <w:t>١٩-</w:t>
      </w:r>
      <w:r>
        <w:rPr>
          <w:rtl/>
          <w:lang w:eastAsia="zh-TW"/>
        </w:rPr>
        <w:tab/>
      </w:r>
      <w:r w:rsidR="009C3B0B" w:rsidRPr="0018103F">
        <w:rPr>
          <w:b/>
          <w:bCs/>
          <w:rtl/>
          <w:lang w:eastAsia="zh-TW"/>
        </w:rPr>
        <w:t xml:space="preserve">توصي اللجنة الدولة الطرف بأن تعيد النظر، بالتشاور مع جميع </w:t>
      </w:r>
      <w:proofErr w:type="spellStart"/>
      <w:r w:rsidR="009C3B0B" w:rsidRPr="0018103F">
        <w:rPr>
          <w:b/>
          <w:bCs/>
          <w:rtl/>
          <w:lang w:eastAsia="zh-TW"/>
        </w:rPr>
        <w:t>الماوريين</w:t>
      </w:r>
      <w:proofErr w:type="spellEnd"/>
      <w:r w:rsidR="009C3B0B" w:rsidRPr="0018103F">
        <w:rPr>
          <w:b/>
          <w:bCs/>
          <w:rtl/>
          <w:lang w:eastAsia="zh-TW"/>
        </w:rPr>
        <w:t xml:space="preserve"> المتضررين، في تعيين موقع المنطقة السكنية الخاصة رقم ٦٢ لتقييم مدى توافق هذا القرار مع أحكام معاهدة </w:t>
      </w:r>
      <w:proofErr w:type="spellStart"/>
      <w:r w:rsidR="009C3B0B" w:rsidRPr="0018103F">
        <w:rPr>
          <w:b/>
          <w:bCs/>
          <w:rtl/>
          <w:lang w:eastAsia="zh-TW"/>
        </w:rPr>
        <w:t>وايتانغي</w:t>
      </w:r>
      <w:proofErr w:type="spellEnd"/>
      <w:r w:rsidR="009C3B0B" w:rsidRPr="0018103F">
        <w:rPr>
          <w:b/>
          <w:bCs/>
          <w:rtl/>
          <w:lang w:eastAsia="zh-TW"/>
        </w:rPr>
        <w:t xml:space="preserve">، ومع إعلان الأمم المتحدة بشأن حقوق الشعوب الأصلية وغيره من المعايير الدولية ذات الصلة، وبأن تحصل من </w:t>
      </w:r>
      <w:proofErr w:type="spellStart"/>
      <w:r w:rsidR="009C3B0B" w:rsidRPr="0018103F">
        <w:rPr>
          <w:b/>
          <w:bCs/>
          <w:rtl/>
          <w:lang w:eastAsia="zh-TW"/>
        </w:rPr>
        <w:t>الماوريين</w:t>
      </w:r>
      <w:proofErr w:type="spellEnd"/>
      <w:r w:rsidR="009C3B0B" w:rsidRPr="0018103F">
        <w:rPr>
          <w:b/>
          <w:bCs/>
          <w:rtl/>
          <w:lang w:eastAsia="zh-TW"/>
        </w:rPr>
        <w:t xml:space="preserve"> على موافقة حرة ومستنيرة قبل إقرار أي مشرو</w:t>
      </w:r>
      <w:r w:rsidR="00734E2E">
        <w:rPr>
          <w:b/>
          <w:bCs/>
          <w:rtl/>
          <w:lang w:eastAsia="zh-TW"/>
        </w:rPr>
        <w:t>ع يؤثر على استغلال وتنمية أراض</w:t>
      </w:r>
      <w:r w:rsidR="00734E2E">
        <w:rPr>
          <w:rFonts w:hint="cs"/>
          <w:b/>
          <w:bCs/>
          <w:rtl/>
          <w:lang w:eastAsia="zh-TW"/>
        </w:rPr>
        <w:t>يه</w:t>
      </w:r>
      <w:r w:rsidR="009C3B0B" w:rsidRPr="0018103F">
        <w:rPr>
          <w:b/>
          <w:bCs/>
          <w:rtl/>
          <w:lang w:eastAsia="zh-TW"/>
        </w:rPr>
        <w:t>م ومواردهم التقليدي</w:t>
      </w:r>
      <w:r>
        <w:rPr>
          <w:b/>
          <w:bCs/>
          <w:rtl/>
          <w:lang w:eastAsia="zh-TW"/>
        </w:rPr>
        <w:t>ة</w:t>
      </w:r>
      <w:r w:rsidR="009C3B0B" w:rsidRPr="0018103F">
        <w:rPr>
          <w:b/>
          <w:bCs/>
          <w:rtl/>
          <w:lang w:eastAsia="zh-TW"/>
        </w:rPr>
        <w:t xml:space="preserve">. </w:t>
      </w:r>
    </w:p>
    <w:p w:rsidR="009C3B0B" w:rsidRPr="00B371B9" w:rsidRDefault="009C3B0B" w:rsidP="00710BC8">
      <w:pPr>
        <w:pStyle w:val="H23GA"/>
        <w:keepNext/>
        <w:rPr>
          <w:rtl/>
        </w:rPr>
      </w:pPr>
      <w:r>
        <w:tab/>
      </w:r>
      <w:r>
        <w:tab/>
      </w:r>
      <w:r>
        <w:rPr>
          <w:rtl/>
        </w:rPr>
        <w:t>الحقوق البحرية والساحلية</w:t>
      </w:r>
    </w:p>
    <w:p w:rsidR="009C3B0B" w:rsidRPr="00B371B9" w:rsidRDefault="00DE7554" w:rsidP="00DE7554">
      <w:pPr>
        <w:pStyle w:val="SingleTxtGA"/>
        <w:rPr>
          <w:rtl/>
          <w:lang w:eastAsia="zh-TW"/>
        </w:rPr>
      </w:pPr>
      <w:r>
        <w:rPr>
          <w:rtl/>
          <w:lang w:eastAsia="zh-TW"/>
        </w:rPr>
        <w:t>٢٠-</w:t>
      </w:r>
      <w:r>
        <w:rPr>
          <w:rtl/>
          <w:lang w:eastAsia="zh-TW"/>
        </w:rPr>
        <w:tab/>
      </w:r>
      <w:r w:rsidR="009C3B0B">
        <w:rPr>
          <w:rtl/>
          <w:lang w:eastAsia="zh-TW"/>
        </w:rPr>
        <w:t>يساور اللجنة القلق بشأن تطبيق قانون المناطق البحرية والساحلية (</w:t>
      </w:r>
      <w:proofErr w:type="spellStart"/>
      <w:r w:rsidR="009C3B0B" w:rsidRPr="00DE7554">
        <w:rPr>
          <w:rFonts w:asciiTheme="majorBidi" w:hAnsiTheme="majorBidi" w:cstheme="majorBidi"/>
          <w:sz w:val="10"/>
          <w:szCs w:val="20"/>
          <w:rtl/>
          <w:lang w:eastAsia="zh-TW"/>
        </w:rPr>
        <w:t>Takutai</w:t>
      </w:r>
      <w:proofErr w:type="spellEnd"/>
      <w:r w:rsidR="009C3B0B" w:rsidRPr="00DE7554">
        <w:rPr>
          <w:rFonts w:asciiTheme="majorBidi" w:hAnsiTheme="majorBidi" w:cstheme="majorBidi"/>
          <w:sz w:val="10"/>
          <w:szCs w:val="20"/>
          <w:rtl/>
          <w:lang w:eastAsia="zh-TW"/>
        </w:rPr>
        <w:t xml:space="preserve"> </w:t>
      </w:r>
      <w:proofErr w:type="spellStart"/>
      <w:r w:rsidR="009C3B0B" w:rsidRPr="00DE7554">
        <w:rPr>
          <w:rFonts w:asciiTheme="majorBidi" w:hAnsiTheme="majorBidi" w:cstheme="majorBidi"/>
          <w:sz w:val="10"/>
          <w:szCs w:val="20"/>
          <w:rtl/>
          <w:lang w:eastAsia="zh-TW"/>
        </w:rPr>
        <w:t>Moana</w:t>
      </w:r>
      <w:proofErr w:type="spellEnd"/>
      <w:r w:rsidR="009C3B0B">
        <w:rPr>
          <w:rtl/>
          <w:lang w:eastAsia="zh-TW"/>
        </w:rPr>
        <w:t xml:space="preserve">) لعام ٢٠١١، المتعلق بحقوق </w:t>
      </w:r>
      <w:proofErr w:type="spellStart"/>
      <w:r w:rsidR="009C3B0B">
        <w:rPr>
          <w:rtl/>
          <w:lang w:eastAsia="zh-TW"/>
        </w:rPr>
        <w:t>الماوريين</w:t>
      </w:r>
      <w:proofErr w:type="spellEnd"/>
      <w:r w:rsidR="009C3B0B">
        <w:rPr>
          <w:rtl/>
          <w:lang w:eastAsia="zh-TW"/>
        </w:rPr>
        <w:t xml:space="preserve"> في الأرض والموارد، وبشأن ورود تقارير تفيد بأن الدولة الطرف لم تحاول مراجعة هذا القانون </w:t>
      </w:r>
      <w:r w:rsidR="00E73BB3">
        <w:rPr>
          <w:rtl/>
          <w:lang w:eastAsia="zh-TW"/>
        </w:rPr>
        <w:t>وفقاً</w:t>
      </w:r>
      <w:r w:rsidR="009C3B0B">
        <w:rPr>
          <w:rtl/>
          <w:lang w:eastAsia="zh-TW"/>
        </w:rPr>
        <w:t xml:space="preserve"> للتوصية ذات الصلة الواردة في الملاحظات الختامية السابقة (انظر </w:t>
      </w:r>
      <w:r w:rsidR="009C3B0B" w:rsidRPr="00323FDC">
        <w:t>CERD/C/NZL/CO/18-20</w:t>
      </w:r>
      <w:r w:rsidR="009C3B0B">
        <w:rPr>
          <w:rtl/>
          <w:lang w:eastAsia="zh-TW"/>
        </w:rPr>
        <w:t>، الفقرة 13). وتحيط اللجنة علما</w:t>
      </w:r>
      <w:r w:rsidR="00734E2E">
        <w:rPr>
          <w:rFonts w:hint="cs"/>
          <w:rtl/>
          <w:lang w:eastAsia="zh-TW"/>
        </w:rPr>
        <w:t>ً</w:t>
      </w:r>
      <w:r w:rsidR="009C3B0B">
        <w:rPr>
          <w:rtl/>
          <w:lang w:eastAsia="zh-TW"/>
        </w:rPr>
        <w:t xml:space="preserve"> ببيان الوفد في هذا الصدد، لكنها لا تزال تشعر بالقلق لورود تقارير تفيد بأن الدولة الطرف لم تطبق على نحو ثابت مبدأ الحصول على الموافقة الحرة والمسبقة والمستنيرة في المسائل التي تمس المصالح البحرية العرفية </w:t>
      </w:r>
      <w:proofErr w:type="spellStart"/>
      <w:r w:rsidR="009C3B0B">
        <w:rPr>
          <w:rtl/>
          <w:lang w:eastAsia="zh-TW"/>
        </w:rPr>
        <w:t>للماوريين</w:t>
      </w:r>
      <w:proofErr w:type="spellEnd"/>
      <w:r w:rsidR="009C3B0B">
        <w:rPr>
          <w:rtl/>
          <w:lang w:eastAsia="zh-TW"/>
        </w:rPr>
        <w:t xml:space="preserve"> (المواد ٢ و٥ و٦).</w:t>
      </w:r>
      <w:r>
        <w:rPr>
          <w:rFonts w:hint="cs"/>
          <w:rtl/>
          <w:lang w:eastAsia="zh-TW"/>
        </w:rPr>
        <w:t xml:space="preserve"> </w:t>
      </w:r>
    </w:p>
    <w:p w:rsidR="009C3B0B" w:rsidRPr="00DE7554" w:rsidRDefault="009C3B0B" w:rsidP="00DE7554">
      <w:pPr>
        <w:pStyle w:val="SingleTxtGA"/>
        <w:rPr>
          <w:b/>
          <w:bCs/>
          <w:rtl/>
          <w:lang w:eastAsia="zh-TW"/>
        </w:rPr>
      </w:pPr>
      <w:r>
        <w:rPr>
          <w:rtl/>
          <w:lang w:eastAsia="zh-TW"/>
        </w:rPr>
        <w:t>٢١-</w:t>
      </w:r>
      <w:r w:rsidR="00DE7554">
        <w:rPr>
          <w:b/>
          <w:bCs/>
          <w:rtl/>
          <w:lang w:eastAsia="zh-TW"/>
        </w:rPr>
        <w:tab/>
      </w:r>
      <w:r w:rsidRPr="00DE7554">
        <w:rPr>
          <w:b/>
          <w:bCs/>
          <w:rtl/>
          <w:lang w:eastAsia="zh-TW"/>
        </w:rPr>
        <w:t>تكرر اللجنة توصيتها بأن تراجع الدولة الطرف قانون المناطق البحرية والساحلية (</w:t>
      </w:r>
      <w:proofErr w:type="spellStart"/>
      <w:r w:rsidRPr="00DE7554">
        <w:rPr>
          <w:rFonts w:asciiTheme="majorBidi" w:hAnsiTheme="majorBidi" w:cstheme="majorBidi"/>
          <w:b/>
          <w:bCs/>
          <w:sz w:val="10"/>
          <w:szCs w:val="20"/>
          <w:rtl/>
          <w:lang w:eastAsia="zh-TW"/>
        </w:rPr>
        <w:t>Takutai</w:t>
      </w:r>
      <w:proofErr w:type="spellEnd"/>
      <w:r w:rsidRPr="00DE7554">
        <w:rPr>
          <w:rFonts w:asciiTheme="majorBidi" w:hAnsiTheme="majorBidi" w:cstheme="majorBidi"/>
          <w:b/>
          <w:bCs/>
          <w:sz w:val="10"/>
          <w:szCs w:val="20"/>
          <w:rtl/>
          <w:lang w:eastAsia="zh-TW"/>
        </w:rPr>
        <w:t xml:space="preserve"> </w:t>
      </w:r>
      <w:proofErr w:type="spellStart"/>
      <w:r w:rsidRPr="00DE7554">
        <w:rPr>
          <w:rFonts w:asciiTheme="majorBidi" w:hAnsiTheme="majorBidi" w:cstheme="majorBidi"/>
          <w:b/>
          <w:bCs/>
          <w:sz w:val="10"/>
          <w:szCs w:val="20"/>
          <w:rtl/>
          <w:lang w:eastAsia="zh-TW"/>
        </w:rPr>
        <w:t>Moana</w:t>
      </w:r>
      <w:proofErr w:type="spellEnd"/>
      <w:r w:rsidRPr="00DE7554">
        <w:rPr>
          <w:b/>
          <w:bCs/>
          <w:rtl/>
          <w:lang w:eastAsia="zh-TW"/>
        </w:rPr>
        <w:t>) لعام ٢٠١١ بهدف احترام وحماية تمتع المجتمعات الماورية، تمتعا</w:t>
      </w:r>
      <w:r w:rsidR="00DE7554">
        <w:rPr>
          <w:rFonts w:hint="cs"/>
          <w:b/>
          <w:bCs/>
          <w:rtl/>
          <w:lang w:eastAsia="zh-TW"/>
        </w:rPr>
        <w:t>ً</w:t>
      </w:r>
      <w:r w:rsidRPr="00DE7554">
        <w:rPr>
          <w:b/>
          <w:bCs/>
          <w:rtl/>
          <w:lang w:eastAsia="zh-TW"/>
        </w:rPr>
        <w:t xml:space="preserve"> كاملا</w:t>
      </w:r>
      <w:r w:rsidR="00DE7554">
        <w:rPr>
          <w:rFonts w:hint="cs"/>
          <w:b/>
          <w:bCs/>
          <w:rtl/>
          <w:lang w:eastAsia="zh-TW"/>
        </w:rPr>
        <w:t>ً</w:t>
      </w:r>
      <w:r w:rsidRPr="00DE7554">
        <w:rPr>
          <w:b/>
          <w:bCs/>
          <w:rtl/>
          <w:lang w:eastAsia="zh-TW"/>
        </w:rPr>
        <w:t>، بحقوقها في الأراضي والموارد التي تملكها أو تستغلها عرفيا</w:t>
      </w:r>
      <w:r w:rsidR="00734E2E">
        <w:rPr>
          <w:rFonts w:hint="cs"/>
          <w:b/>
          <w:bCs/>
          <w:rtl/>
          <w:lang w:eastAsia="zh-TW"/>
        </w:rPr>
        <w:t>ً</w:t>
      </w:r>
      <w:r w:rsidRPr="00DE7554">
        <w:rPr>
          <w:b/>
          <w:bCs/>
          <w:rtl/>
          <w:lang w:eastAsia="zh-TW"/>
        </w:rPr>
        <w:t>، وفي الوصول إلى المواقع التي لها مكانة ثقافية وتقليدية. وتطلب اللجنة إلى الدولة الطرف أن تقدم في تقريرها الدوري المقبل جميع المعلومات المتعلقة بطلبات الاعتراف بالمصالح العرفية في المنطقة البحرية والساحلية المشتركة.</w:t>
      </w:r>
    </w:p>
    <w:p w:rsidR="009C3B0B" w:rsidRPr="00B371B9" w:rsidRDefault="009C3B0B" w:rsidP="00710BC8">
      <w:pPr>
        <w:pStyle w:val="H23GA"/>
        <w:keepNext/>
        <w:keepLines/>
        <w:rPr>
          <w:rtl/>
        </w:rPr>
      </w:pPr>
      <w:r>
        <w:lastRenderedPageBreak/>
        <w:tab/>
      </w:r>
      <w:r>
        <w:tab/>
      </w:r>
      <w:r>
        <w:rPr>
          <w:rtl/>
        </w:rPr>
        <w:t>موارد المياه العذبة والطاقة الحرارية الأرضية</w:t>
      </w:r>
    </w:p>
    <w:p w:rsidR="009C3B0B" w:rsidRPr="00B371B9" w:rsidRDefault="00557A40" w:rsidP="00557A40">
      <w:pPr>
        <w:pStyle w:val="SingleTxtGA"/>
        <w:rPr>
          <w:rStyle w:val="FootnoteReference"/>
          <w:rtl/>
          <w:lang w:eastAsia="zh-TW"/>
        </w:rPr>
      </w:pPr>
      <w:r>
        <w:rPr>
          <w:rtl/>
          <w:lang w:eastAsia="zh-TW"/>
        </w:rPr>
        <w:t>٢٢-</w:t>
      </w:r>
      <w:r>
        <w:rPr>
          <w:rtl/>
          <w:lang w:eastAsia="zh-TW"/>
        </w:rPr>
        <w:tab/>
      </w:r>
      <w:r w:rsidR="009C3B0B">
        <w:rPr>
          <w:rtl/>
          <w:lang w:eastAsia="zh-TW"/>
        </w:rPr>
        <w:t xml:space="preserve">تشعر اللجنة بالقلق لورود تقارير تفيد بأن الدولة الطرف منحت شركات خاصة الحق في استغلال موارد المياه العذبة الموجودة في أراضي </w:t>
      </w:r>
      <w:proofErr w:type="spellStart"/>
      <w:r w:rsidR="009C3B0B">
        <w:rPr>
          <w:rtl/>
          <w:lang w:eastAsia="zh-TW"/>
        </w:rPr>
        <w:t>الماوريين</w:t>
      </w:r>
      <w:proofErr w:type="spellEnd"/>
      <w:r w:rsidR="009C3B0B">
        <w:rPr>
          <w:rtl/>
          <w:lang w:eastAsia="zh-TW"/>
        </w:rPr>
        <w:t xml:space="preserve"> التقليدية على الرغم من الموقف المعارض الثابت الذي أعرب عنه </w:t>
      </w:r>
      <w:proofErr w:type="spellStart"/>
      <w:r w:rsidR="009C3B0B">
        <w:rPr>
          <w:rtl/>
          <w:lang w:eastAsia="zh-TW"/>
        </w:rPr>
        <w:t>الماوريون</w:t>
      </w:r>
      <w:proofErr w:type="spellEnd"/>
      <w:r w:rsidR="009C3B0B">
        <w:rPr>
          <w:rtl/>
          <w:lang w:eastAsia="zh-TW"/>
        </w:rPr>
        <w:t xml:space="preserve"> المحليون. وترحب اللجنة باعتماد قانون تسوية المطالبات المتعلقة بنهر </w:t>
      </w:r>
      <w:proofErr w:type="spellStart"/>
      <w:r w:rsidR="009C3B0B">
        <w:rPr>
          <w:rtl/>
          <w:lang w:eastAsia="zh-TW"/>
        </w:rPr>
        <w:t>وانغاوي</w:t>
      </w:r>
      <w:proofErr w:type="spellEnd"/>
      <w:r w:rsidR="009C3B0B">
        <w:rPr>
          <w:rtl/>
          <w:lang w:eastAsia="zh-TW"/>
        </w:rPr>
        <w:t xml:space="preserve"> (تي </w:t>
      </w:r>
      <w:proofErr w:type="spellStart"/>
      <w:r w:rsidR="009C3B0B">
        <w:rPr>
          <w:rtl/>
          <w:lang w:eastAsia="zh-TW"/>
        </w:rPr>
        <w:t>آوا</w:t>
      </w:r>
      <w:proofErr w:type="spellEnd"/>
      <w:r w:rsidR="009C3B0B">
        <w:rPr>
          <w:rtl/>
          <w:lang w:eastAsia="zh-TW"/>
        </w:rPr>
        <w:t xml:space="preserve"> توبوا) لعام ٢٠١٧. وتلاحظ اللجنة باهتمام جهود الدولة الطرف الرامية إلى التواصل والتشاور مع قبائل (</w:t>
      </w:r>
      <w:r w:rsidR="009C3B0B" w:rsidRPr="00323FDC">
        <w:t>iwi</w:t>
      </w:r>
      <w:r w:rsidR="009C3B0B">
        <w:rPr>
          <w:rtl/>
          <w:lang w:eastAsia="zh-TW"/>
        </w:rPr>
        <w:t>) وعشائر (</w:t>
      </w:r>
      <w:proofErr w:type="spellStart"/>
      <w:r w:rsidR="009C3B0B" w:rsidRPr="00323FDC">
        <w:t>hapu</w:t>
      </w:r>
      <w:proofErr w:type="spellEnd"/>
      <w:r w:rsidR="009C3B0B">
        <w:rPr>
          <w:rtl/>
          <w:lang w:eastAsia="zh-TW"/>
        </w:rPr>
        <w:t xml:space="preserve">) </w:t>
      </w:r>
      <w:proofErr w:type="spellStart"/>
      <w:r w:rsidR="009C3B0B">
        <w:rPr>
          <w:rtl/>
          <w:lang w:eastAsia="zh-TW"/>
        </w:rPr>
        <w:t>الماوريين</w:t>
      </w:r>
      <w:proofErr w:type="spellEnd"/>
      <w:r w:rsidR="009C3B0B">
        <w:rPr>
          <w:rtl/>
          <w:lang w:eastAsia="zh-TW"/>
        </w:rPr>
        <w:t xml:space="preserve"> بشأن حقوقهم في المياه، وإلى تقديم المشورة إلى المنظمات الماورية بشأن الطاقة الحرارية ا</w:t>
      </w:r>
      <w:r>
        <w:rPr>
          <w:rtl/>
          <w:lang w:eastAsia="zh-TW"/>
        </w:rPr>
        <w:t>لأرضية (المواد</w:t>
      </w:r>
      <w:r>
        <w:rPr>
          <w:rFonts w:hint="cs"/>
          <w:rtl/>
          <w:lang w:eastAsia="zh-TW"/>
        </w:rPr>
        <w:t> </w:t>
      </w:r>
      <w:r>
        <w:rPr>
          <w:rtl/>
          <w:lang w:eastAsia="zh-TW"/>
        </w:rPr>
        <w:t>٢ و٥ و٦).</w:t>
      </w:r>
      <w:r>
        <w:rPr>
          <w:rFonts w:hint="cs"/>
          <w:rtl/>
          <w:lang w:eastAsia="zh-TW"/>
        </w:rPr>
        <w:t xml:space="preserve"> </w:t>
      </w:r>
    </w:p>
    <w:p w:rsidR="009C3B0B" w:rsidRPr="00557A40" w:rsidRDefault="00557A40" w:rsidP="00557A40">
      <w:pPr>
        <w:pStyle w:val="SingleTxtGA"/>
        <w:rPr>
          <w:b/>
          <w:bCs/>
          <w:rtl/>
          <w:lang w:eastAsia="zh-TW"/>
        </w:rPr>
      </w:pPr>
      <w:r>
        <w:rPr>
          <w:rtl/>
          <w:lang w:eastAsia="zh-TW"/>
        </w:rPr>
        <w:t>٢٣-</w:t>
      </w:r>
      <w:r>
        <w:rPr>
          <w:rtl/>
          <w:lang w:eastAsia="zh-TW"/>
        </w:rPr>
        <w:tab/>
      </w:r>
      <w:r w:rsidR="009C3B0B" w:rsidRPr="00557A40">
        <w:rPr>
          <w:b/>
          <w:bCs/>
          <w:rtl/>
          <w:lang w:eastAsia="zh-TW"/>
        </w:rPr>
        <w:t>تحث اللجنة الدولة الطرف على ضمان الاحترام الكامل لحقوق المجتمعات الماورية في موارد المياه العذبة</w:t>
      </w:r>
      <w:r>
        <w:rPr>
          <w:b/>
          <w:bCs/>
          <w:rtl/>
          <w:lang w:eastAsia="zh-TW"/>
        </w:rPr>
        <w:t xml:space="preserve"> والطاقة الحرارية الأرضية، </w:t>
      </w:r>
      <w:r w:rsidR="009C3B0B" w:rsidRPr="00557A40">
        <w:rPr>
          <w:b/>
          <w:bCs/>
          <w:rtl/>
          <w:lang w:eastAsia="zh-TW"/>
        </w:rPr>
        <w:t xml:space="preserve">التي تكفل حمايتها معاهدة </w:t>
      </w:r>
      <w:proofErr w:type="spellStart"/>
      <w:r w:rsidR="009C3B0B" w:rsidRPr="00557A40">
        <w:rPr>
          <w:b/>
          <w:bCs/>
          <w:rtl/>
          <w:lang w:eastAsia="zh-TW"/>
        </w:rPr>
        <w:t>وايتانغي</w:t>
      </w:r>
      <w:proofErr w:type="spellEnd"/>
      <w:r w:rsidR="009C3B0B" w:rsidRPr="00557A40">
        <w:rPr>
          <w:b/>
          <w:bCs/>
          <w:rtl/>
          <w:lang w:eastAsia="zh-TW"/>
        </w:rPr>
        <w:t xml:space="preserve">، بما يتفق مع أحكام الاتفاقية. </w:t>
      </w:r>
    </w:p>
    <w:p w:rsidR="009C3B0B" w:rsidRPr="00B371B9" w:rsidRDefault="009C3B0B" w:rsidP="00710BC8">
      <w:pPr>
        <w:pStyle w:val="H23GA"/>
        <w:keepNext/>
        <w:rPr>
          <w:rtl/>
        </w:rPr>
      </w:pPr>
      <w:r>
        <w:tab/>
      </w:r>
      <w:r>
        <w:tab/>
      </w:r>
      <w:r>
        <w:rPr>
          <w:rtl/>
        </w:rPr>
        <w:t>العدالة الجنائية</w:t>
      </w:r>
    </w:p>
    <w:p w:rsidR="009C3B0B" w:rsidRPr="00734E2E" w:rsidRDefault="00557A40" w:rsidP="00734E2E">
      <w:pPr>
        <w:pStyle w:val="SingleTxtGA"/>
        <w:rPr>
          <w:spacing w:val="-2"/>
          <w:rtl/>
          <w:lang w:eastAsia="zh-TW"/>
        </w:rPr>
      </w:pPr>
      <w:r w:rsidRPr="00734E2E">
        <w:rPr>
          <w:spacing w:val="-2"/>
          <w:rtl/>
          <w:lang w:eastAsia="zh-TW"/>
        </w:rPr>
        <w:t>٢٤-</w:t>
      </w:r>
      <w:r w:rsidRPr="00734E2E">
        <w:rPr>
          <w:spacing w:val="-2"/>
          <w:rtl/>
          <w:lang w:eastAsia="zh-TW"/>
        </w:rPr>
        <w:tab/>
      </w:r>
      <w:r w:rsidR="009C3B0B" w:rsidRPr="00734E2E">
        <w:rPr>
          <w:spacing w:val="-2"/>
          <w:rtl/>
          <w:lang w:eastAsia="zh-TW"/>
        </w:rPr>
        <w:t xml:space="preserve">ترحب اللجنة بانخفاض عدد البالغين والشباب الجانحين من </w:t>
      </w:r>
      <w:proofErr w:type="spellStart"/>
      <w:r w:rsidR="009C3B0B" w:rsidRPr="00734E2E">
        <w:rPr>
          <w:spacing w:val="-2"/>
          <w:rtl/>
          <w:lang w:eastAsia="zh-TW"/>
        </w:rPr>
        <w:t>الماوريين</w:t>
      </w:r>
      <w:proofErr w:type="spellEnd"/>
      <w:r w:rsidR="009C3B0B" w:rsidRPr="00734E2E">
        <w:rPr>
          <w:spacing w:val="-2"/>
          <w:rtl/>
          <w:lang w:eastAsia="zh-TW"/>
        </w:rPr>
        <w:t xml:space="preserve"> في السنوات الأخيرة، بفضل الجهود المحمودة، لكنها تشعر بالقلق بشأن المعلومات التي قدمتها الدولة الطرف بشأن ارتفاع نسبة </w:t>
      </w:r>
      <w:proofErr w:type="spellStart"/>
      <w:r w:rsidR="009C3B0B" w:rsidRPr="00734E2E">
        <w:rPr>
          <w:spacing w:val="-2"/>
          <w:rtl/>
          <w:lang w:eastAsia="zh-TW"/>
        </w:rPr>
        <w:t>الماوريين</w:t>
      </w:r>
      <w:proofErr w:type="spellEnd"/>
      <w:r w:rsidR="009C3B0B" w:rsidRPr="00734E2E">
        <w:rPr>
          <w:spacing w:val="-2"/>
          <w:rtl/>
          <w:lang w:eastAsia="zh-TW"/>
        </w:rPr>
        <w:t xml:space="preserve"> على نحو مفرط كمجرمين بين الأشخاص الموقوفين والملاحقين والمدانين والسجناء والأشخاص الذين يعاد حبسهم و</w:t>
      </w:r>
      <w:r w:rsidRPr="00734E2E">
        <w:rPr>
          <w:spacing w:val="-2"/>
          <w:rtl/>
          <w:lang w:eastAsia="zh-TW"/>
        </w:rPr>
        <w:t>كذلك نسبتهم بين الضحايا (المواد</w:t>
      </w:r>
      <w:r w:rsidR="00734E2E" w:rsidRPr="00734E2E">
        <w:rPr>
          <w:rFonts w:hint="cs"/>
          <w:spacing w:val="-2"/>
          <w:rtl/>
          <w:lang w:eastAsia="zh-TW"/>
        </w:rPr>
        <w:t xml:space="preserve"> </w:t>
      </w:r>
      <w:r w:rsidR="009C3B0B" w:rsidRPr="00734E2E">
        <w:rPr>
          <w:spacing w:val="-2"/>
          <w:rtl/>
          <w:lang w:eastAsia="zh-TW"/>
        </w:rPr>
        <w:t xml:space="preserve">٢ و٥ و٦). </w:t>
      </w:r>
    </w:p>
    <w:p w:rsidR="009C3B0B" w:rsidRPr="00557A40" w:rsidRDefault="00557A40" w:rsidP="00557A40">
      <w:pPr>
        <w:pStyle w:val="SingleTxtGA"/>
        <w:rPr>
          <w:b/>
          <w:bCs/>
          <w:rtl/>
          <w:lang w:eastAsia="zh-TW"/>
        </w:rPr>
      </w:pPr>
      <w:r>
        <w:rPr>
          <w:rtl/>
          <w:lang w:eastAsia="zh-TW"/>
        </w:rPr>
        <w:t>٢٥-</w:t>
      </w:r>
      <w:r>
        <w:rPr>
          <w:rtl/>
          <w:lang w:eastAsia="zh-TW"/>
        </w:rPr>
        <w:tab/>
      </w:r>
      <w:r w:rsidR="009C3B0B" w:rsidRPr="00557A40">
        <w:rPr>
          <w:b/>
          <w:bCs/>
          <w:rtl/>
          <w:lang w:eastAsia="zh-TW"/>
        </w:rPr>
        <w:t xml:space="preserve">وفي ضوء هذه الشواغل، توصي اللجنة الدولة الطرف بتعزيز جهودها الرامية إلى معالجة الأسباب الجذرية المؤدية إلى ارتفاع معدلات </w:t>
      </w:r>
      <w:proofErr w:type="spellStart"/>
      <w:r w:rsidR="009C3B0B" w:rsidRPr="00557A40">
        <w:rPr>
          <w:b/>
          <w:bCs/>
          <w:rtl/>
          <w:lang w:eastAsia="zh-TW"/>
        </w:rPr>
        <w:t>الماوريين</w:t>
      </w:r>
      <w:proofErr w:type="spellEnd"/>
      <w:r w:rsidR="009C3B0B" w:rsidRPr="00557A40">
        <w:rPr>
          <w:b/>
          <w:bCs/>
          <w:rtl/>
          <w:lang w:eastAsia="zh-TW"/>
        </w:rPr>
        <w:t xml:space="preserve"> في السجون. وتوصي اللجنة الدولة الطرف </w:t>
      </w:r>
      <w:r w:rsidR="00E73BB3">
        <w:rPr>
          <w:b/>
          <w:bCs/>
          <w:rtl/>
          <w:lang w:eastAsia="zh-TW"/>
        </w:rPr>
        <w:t>أيضاً</w:t>
      </w:r>
      <w:r w:rsidR="009C3B0B" w:rsidRPr="00557A40">
        <w:rPr>
          <w:b/>
          <w:bCs/>
          <w:rtl/>
          <w:lang w:eastAsia="zh-TW"/>
        </w:rPr>
        <w:t xml:space="preserve"> بضمان ترابط المبادرات المتعلقة </w:t>
      </w:r>
      <w:proofErr w:type="spellStart"/>
      <w:r w:rsidR="009C3B0B" w:rsidRPr="00557A40">
        <w:rPr>
          <w:b/>
          <w:bCs/>
          <w:rtl/>
          <w:lang w:eastAsia="zh-TW"/>
        </w:rPr>
        <w:t>بالماوريين</w:t>
      </w:r>
      <w:proofErr w:type="spellEnd"/>
      <w:r w:rsidR="009C3B0B" w:rsidRPr="00557A40">
        <w:rPr>
          <w:b/>
          <w:bCs/>
          <w:rtl/>
          <w:lang w:eastAsia="zh-TW"/>
        </w:rPr>
        <w:t xml:space="preserve"> في مجال العدالة، والإرشاد والرعاية الاجتماعيين، والحماية، وخضوعها لأطر </w:t>
      </w:r>
      <w:proofErr w:type="spellStart"/>
      <w:r w:rsidR="009C3B0B" w:rsidRPr="00557A40">
        <w:rPr>
          <w:b/>
          <w:bCs/>
          <w:rtl/>
          <w:lang w:eastAsia="zh-TW"/>
        </w:rPr>
        <w:t>حوكمة</w:t>
      </w:r>
      <w:proofErr w:type="spellEnd"/>
      <w:r w:rsidR="009C3B0B" w:rsidRPr="00557A40">
        <w:rPr>
          <w:b/>
          <w:bCs/>
          <w:rtl/>
          <w:lang w:eastAsia="zh-TW"/>
        </w:rPr>
        <w:t xml:space="preserve"> شفافة، وقيامها على الشراكة مع </w:t>
      </w:r>
      <w:proofErr w:type="spellStart"/>
      <w:r w:rsidR="009C3B0B" w:rsidRPr="00557A40">
        <w:rPr>
          <w:b/>
          <w:bCs/>
          <w:rtl/>
          <w:lang w:eastAsia="zh-TW"/>
        </w:rPr>
        <w:t>الماوريين</w:t>
      </w:r>
      <w:proofErr w:type="spellEnd"/>
      <w:r w:rsidR="009C3B0B" w:rsidRPr="00557A40">
        <w:rPr>
          <w:b/>
          <w:bCs/>
          <w:rtl/>
          <w:lang w:eastAsia="zh-TW"/>
        </w:rPr>
        <w:t xml:space="preserve"> وإدماجهم. وتوصي اللجنة الدولة الطرف </w:t>
      </w:r>
      <w:r w:rsidR="00E73BB3">
        <w:rPr>
          <w:b/>
          <w:bCs/>
          <w:rtl/>
          <w:lang w:eastAsia="zh-TW"/>
        </w:rPr>
        <w:t>أيضاً</w:t>
      </w:r>
      <w:r w:rsidR="009C3B0B" w:rsidRPr="00557A40">
        <w:rPr>
          <w:b/>
          <w:bCs/>
          <w:rtl/>
          <w:lang w:eastAsia="zh-TW"/>
        </w:rPr>
        <w:t xml:space="preserve"> باتخاذ تدابير محكمة لزيادة تمثيل </w:t>
      </w:r>
      <w:proofErr w:type="spellStart"/>
      <w:r w:rsidR="009C3B0B" w:rsidRPr="00557A40">
        <w:rPr>
          <w:b/>
          <w:bCs/>
          <w:rtl/>
          <w:lang w:eastAsia="zh-TW"/>
        </w:rPr>
        <w:t>الماوريين</w:t>
      </w:r>
      <w:proofErr w:type="spellEnd"/>
      <w:r w:rsidR="009C3B0B" w:rsidRPr="00557A40">
        <w:rPr>
          <w:b/>
          <w:bCs/>
          <w:rtl/>
          <w:lang w:eastAsia="zh-TW"/>
        </w:rPr>
        <w:t xml:space="preserve"> </w:t>
      </w:r>
      <w:proofErr w:type="spellStart"/>
      <w:r w:rsidR="009C3B0B" w:rsidRPr="00557A40">
        <w:rPr>
          <w:b/>
          <w:bCs/>
          <w:rtl/>
          <w:lang w:eastAsia="zh-TW"/>
        </w:rPr>
        <w:t>والباسيفيكا</w:t>
      </w:r>
      <w:proofErr w:type="spellEnd"/>
      <w:r w:rsidR="009C3B0B" w:rsidRPr="00557A40">
        <w:rPr>
          <w:b/>
          <w:bCs/>
          <w:rtl/>
          <w:lang w:eastAsia="zh-TW"/>
        </w:rPr>
        <w:t xml:space="preserve"> والأقليات الأخرى بين متخذي القرارات، بما في ذلك بين المدعين العامين والقضاة، على جميع مستويات نظام العدالة الجنائية.</w:t>
      </w:r>
      <w:r>
        <w:rPr>
          <w:rFonts w:hint="cs"/>
          <w:b/>
          <w:bCs/>
          <w:rtl/>
          <w:lang w:eastAsia="zh-TW"/>
        </w:rPr>
        <w:t xml:space="preserve"> </w:t>
      </w:r>
    </w:p>
    <w:p w:rsidR="009C3B0B" w:rsidRPr="00B371B9" w:rsidRDefault="009C3B0B" w:rsidP="00710BC8">
      <w:pPr>
        <w:pStyle w:val="H23GA"/>
        <w:keepNext/>
        <w:rPr>
          <w:rFonts w:hint="cs"/>
          <w:rtl/>
        </w:rPr>
      </w:pPr>
      <w:r>
        <w:tab/>
      </w:r>
      <w:r>
        <w:tab/>
      </w:r>
      <w:r>
        <w:rPr>
          <w:rtl/>
        </w:rPr>
        <w:t>الصحة</w:t>
      </w:r>
    </w:p>
    <w:p w:rsidR="009C3B0B" w:rsidRPr="00B371B9" w:rsidRDefault="00557A40" w:rsidP="00557A40">
      <w:pPr>
        <w:pStyle w:val="SingleTxtGA"/>
        <w:rPr>
          <w:b/>
          <w:rtl/>
          <w:lang w:eastAsia="zh-TW"/>
        </w:rPr>
      </w:pPr>
      <w:r>
        <w:rPr>
          <w:rtl/>
          <w:lang w:eastAsia="zh-TW"/>
        </w:rPr>
        <w:t>٢٦-</w:t>
      </w:r>
      <w:r>
        <w:rPr>
          <w:rtl/>
          <w:lang w:eastAsia="zh-TW"/>
        </w:rPr>
        <w:tab/>
      </w:r>
      <w:r w:rsidR="009C3B0B">
        <w:rPr>
          <w:rtl/>
          <w:lang w:eastAsia="zh-TW"/>
        </w:rPr>
        <w:t xml:space="preserve">يساور اللجنة القلق لأن النتائج الصحية في مجتمعات </w:t>
      </w:r>
      <w:proofErr w:type="spellStart"/>
      <w:r w:rsidR="009C3B0B">
        <w:rPr>
          <w:rtl/>
          <w:lang w:eastAsia="zh-TW"/>
        </w:rPr>
        <w:t>الماوريين</w:t>
      </w:r>
      <w:proofErr w:type="spellEnd"/>
      <w:r w:rsidR="009C3B0B">
        <w:rPr>
          <w:rtl/>
          <w:lang w:eastAsia="zh-TW"/>
        </w:rPr>
        <w:t xml:space="preserve"> </w:t>
      </w:r>
      <w:proofErr w:type="spellStart"/>
      <w:r w:rsidR="009C3B0B">
        <w:rPr>
          <w:rtl/>
          <w:lang w:eastAsia="zh-TW"/>
        </w:rPr>
        <w:t>والباس</w:t>
      </w:r>
      <w:r w:rsidR="00734E2E">
        <w:rPr>
          <w:rFonts w:hint="cs"/>
          <w:rtl/>
          <w:lang w:eastAsia="zh-TW"/>
        </w:rPr>
        <w:t>ي</w:t>
      </w:r>
      <w:r w:rsidR="009C3B0B">
        <w:rPr>
          <w:rtl/>
          <w:lang w:eastAsia="zh-TW"/>
        </w:rPr>
        <w:t>فيكا</w:t>
      </w:r>
      <w:proofErr w:type="spellEnd"/>
      <w:r w:rsidR="009C3B0B">
        <w:rPr>
          <w:rtl/>
          <w:lang w:eastAsia="zh-TW"/>
        </w:rPr>
        <w:t xml:space="preserve"> أسوأ مقارنة بالمجموعات الأخرى، بما في ذلك فيما يتعلق بمتوسط العمر المتوقع، ومعدل الوفيات، والإعاقة. وتشير اللجنة بقلق إلى ورود تقارير تفيد بأنه على الرغم من وجود استراتيجية النهوض بصحة </w:t>
      </w:r>
      <w:proofErr w:type="spellStart"/>
      <w:r w:rsidR="009C3B0B">
        <w:rPr>
          <w:rtl/>
          <w:lang w:eastAsia="zh-TW"/>
        </w:rPr>
        <w:t>الماوريين</w:t>
      </w:r>
      <w:proofErr w:type="spellEnd"/>
      <w:r w:rsidR="009C3B0B">
        <w:rPr>
          <w:rtl/>
          <w:lang w:eastAsia="zh-TW"/>
        </w:rPr>
        <w:t xml:space="preserve"> التي تسمى "</w:t>
      </w:r>
      <w:proofErr w:type="spellStart"/>
      <w:r w:rsidR="009C3B0B" w:rsidRPr="006D70B3">
        <w:rPr>
          <w:rFonts w:asciiTheme="majorBidi" w:hAnsiTheme="majorBidi" w:cstheme="majorBidi"/>
          <w:szCs w:val="20"/>
          <w:rtl/>
          <w:lang w:eastAsia="zh-TW"/>
        </w:rPr>
        <w:t>Korowai</w:t>
      </w:r>
      <w:proofErr w:type="spellEnd"/>
      <w:r w:rsidR="009C3B0B" w:rsidRPr="006D70B3">
        <w:rPr>
          <w:rFonts w:asciiTheme="majorBidi" w:hAnsiTheme="majorBidi" w:cstheme="majorBidi"/>
          <w:szCs w:val="20"/>
          <w:rtl/>
          <w:lang w:eastAsia="zh-TW"/>
        </w:rPr>
        <w:t xml:space="preserve"> </w:t>
      </w:r>
      <w:proofErr w:type="spellStart"/>
      <w:r w:rsidR="009C3B0B" w:rsidRPr="006D70B3">
        <w:rPr>
          <w:rFonts w:asciiTheme="majorBidi" w:hAnsiTheme="majorBidi" w:cstheme="majorBidi"/>
          <w:szCs w:val="20"/>
          <w:rtl/>
          <w:lang w:eastAsia="zh-TW"/>
        </w:rPr>
        <w:t>Oranga</w:t>
      </w:r>
      <w:proofErr w:type="spellEnd"/>
      <w:r w:rsidR="009C3B0B">
        <w:rPr>
          <w:rtl/>
          <w:lang w:eastAsia="zh-TW"/>
        </w:rPr>
        <w:t>" ومبادرة توفير أس</w:t>
      </w:r>
      <w:r w:rsidR="00E73BB3">
        <w:rPr>
          <w:rtl/>
          <w:lang w:eastAsia="zh-TW"/>
        </w:rPr>
        <w:t>باب الصحة للأسر النيوزيلندية لا</w:t>
      </w:r>
      <w:r w:rsidR="00E73BB3">
        <w:rPr>
          <w:rFonts w:hint="cs"/>
          <w:rtl/>
          <w:lang w:eastAsia="zh-TW"/>
        </w:rPr>
        <w:t> </w:t>
      </w:r>
      <w:r w:rsidR="009C3B0B">
        <w:rPr>
          <w:rtl/>
          <w:lang w:eastAsia="zh-TW"/>
        </w:rPr>
        <w:t xml:space="preserve">تراعى احتياجات </w:t>
      </w:r>
      <w:proofErr w:type="spellStart"/>
      <w:r w:rsidR="009C3B0B">
        <w:rPr>
          <w:rtl/>
          <w:lang w:eastAsia="zh-TW"/>
        </w:rPr>
        <w:t>الماوريين</w:t>
      </w:r>
      <w:proofErr w:type="spellEnd"/>
      <w:r w:rsidR="009C3B0B">
        <w:rPr>
          <w:rtl/>
          <w:lang w:eastAsia="zh-TW"/>
        </w:rPr>
        <w:t xml:space="preserve"> بالقدر الكافي في السياسات الصحية أو في إدارة الخدمات الصحية، وبأن </w:t>
      </w:r>
      <w:proofErr w:type="spellStart"/>
      <w:r w:rsidR="009C3B0B">
        <w:rPr>
          <w:rtl/>
          <w:lang w:eastAsia="zh-TW"/>
        </w:rPr>
        <w:t>الماوريين</w:t>
      </w:r>
      <w:proofErr w:type="spellEnd"/>
      <w:r w:rsidR="009C3B0B">
        <w:rPr>
          <w:rtl/>
          <w:lang w:eastAsia="zh-TW"/>
        </w:rPr>
        <w:t xml:space="preserve"> يواجهون عقبات كبيرة في الحصول على خدمات صحية أساسية على قدم المساواة مع سائر النيوزيلنديين. وتشعر اللجنة بالقلق لورود تقارير تفيد بوجود مظاهر تحيز بنيوية في نظام الرعاية الصحية، وبتعرض مقدمي الرعاية </w:t>
      </w:r>
      <w:proofErr w:type="spellStart"/>
      <w:r w:rsidR="009C3B0B">
        <w:rPr>
          <w:rtl/>
          <w:lang w:eastAsia="zh-TW"/>
        </w:rPr>
        <w:t>الماوريين</w:t>
      </w:r>
      <w:proofErr w:type="spellEnd"/>
      <w:r w:rsidR="009C3B0B">
        <w:rPr>
          <w:rtl/>
          <w:lang w:eastAsia="zh-TW"/>
        </w:rPr>
        <w:t xml:space="preserve"> للتهميش وتحجيم إسهامهم في القرارات </w:t>
      </w:r>
      <w:proofErr w:type="spellStart"/>
      <w:r w:rsidR="009C3B0B">
        <w:rPr>
          <w:rtl/>
          <w:lang w:eastAsia="zh-TW"/>
        </w:rPr>
        <w:t>السياساتية</w:t>
      </w:r>
      <w:proofErr w:type="spellEnd"/>
      <w:r w:rsidR="009C3B0B">
        <w:rPr>
          <w:rtl/>
          <w:lang w:eastAsia="zh-TW"/>
        </w:rPr>
        <w:t xml:space="preserve">، وباستمرار الفروق السلبية في تعويض مقدمي الخدمات من </w:t>
      </w:r>
      <w:proofErr w:type="spellStart"/>
      <w:r w:rsidR="009C3B0B">
        <w:rPr>
          <w:rtl/>
          <w:lang w:eastAsia="zh-TW"/>
        </w:rPr>
        <w:t>الماوريين</w:t>
      </w:r>
      <w:proofErr w:type="spellEnd"/>
      <w:r w:rsidR="009C3B0B">
        <w:rPr>
          <w:rtl/>
          <w:lang w:eastAsia="zh-TW"/>
        </w:rPr>
        <w:t xml:space="preserve"> (المادتان ٢ و٥).</w:t>
      </w:r>
      <w:r w:rsidR="006D70B3">
        <w:rPr>
          <w:rFonts w:hint="cs"/>
          <w:b/>
          <w:rtl/>
          <w:lang w:eastAsia="zh-TW"/>
        </w:rPr>
        <w:t xml:space="preserve"> </w:t>
      </w:r>
    </w:p>
    <w:p w:rsidR="009C3B0B" w:rsidRPr="00557A40" w:rsidRDefault="00557A40" w:rsidP="00557A40">
      <w:pPr>
        <w:pStyle w:val="SingleTxtGA"/>
        <w:rPr>
          <w:b/>
          <w:bCs/>
          <w:rtl/>
          <w:lang w:eastAsia="zh-TW"/>
        </w:rPr>
      </w:pPr>
      <w:r>
        <w:rPr>
          <w:rtl/>
          <w:lang w:eastAsia="zh-TW"/>
        </w:rPr>
        <w:lastRenderedPageBreak/>
        <w:t>٢٧-</w:t>
      </w:r>
      <w:r>
        <w:rPr>
          <w:rtl/>
          <w:lang w:eastAsia="zh-TW"/>
        </w:rPr>
        <w:tab/>
      </w:r>
      <w:r w:rsidR="009C3B0B" w:rsidRPr="00557A40">
        <w:rPr>
          <w:b/>
          <w:bCs/>
          <w:rtl/>
          <w:lang w:eastAsia="zh-TW"/>
        </w:rPr>
        <w:t xml:space="preserve">توصي اللجنة الدولة الطرف بزيادة توفير خدمات الرعاية الصحية الأولية لمجتمعيْ الماوري </w:t>
      </w:r>
      <w:proofErr w:type="spellStart"/>
      <w:r w:rsidR="009C3B0B" w:rsidRPr="00557A40">
        <w:rPr>
          <w:b/>
          <w:bCs/>
          <w:rtl/>
          <w:lang w:eastAsia="zh-TW"/>
        </w:rPr>
        <w:t>والباس</w:t>
      </w:r>
      <w:r w:rsidR="00710BC8">
        <w:rPr>
          <w:rFonts w:hint="cs"/>
          <w:b/>
          <w:bCs/>
          <w:rtl/>
          <w:lang w:eastAsia="zh-TW"/>
        </w:rPr>
        <w:t>ي</w:t>
      </w:r>
      <w:r w:rsidR="009C3B0B" w:rsidRPr="00557A40">
        <w:rPr>
          <w:b/>
          <w:bCs/>
          <w:rtl/>
          <w:lang w:eastAsia="zh-TW"/>
        </w:rPr>
        <w:t>ف</w:t>
      </w:r>
      <w:r>
        <w:rPr>
          <w:b/>
          <w:bCs/>
          <w:rtl/>
          <w:lang w:eastAsia="zh-TW"/>
        </w:rPr>
        <w:t>يكا</w:t>
      </w:r>
      <w:proofErr w:type="spellEnd"/>
      <w:r>
        <w:rPr>
          <w:b/>
          <w:bCs/>
          <w:rtl/>
          <w:lang w:eastAsia="zh-TW"/>
        </w:rPr>
        <w:t xml:space="preserve"> زيادة كبيرة، وتيسير وصولها </w:t>
      </w:r>
      <w:r w:rsidR="009C3B0B" w:rsidRPr="00557A40">
        <w:rPr>
          <w:b/>
          <w:bCs/>
          <w:rtl/>
          <w:lang w:eastAsia="zh-TW"/>
        </w:rPr>
        <w:t xml:space="preserve">إليها وبضمان تمثيلها وتمكينها على قدم المساواة مع غيرها في عمليات صنع القرار المتعلقة بوضع الخطط </w:t>
      </w:r>
      <w:proofErr w:type="spellStart"/>
      <w:r w:rsidR="009C3B0B" w:rsidRPr="00557A40">
        <w:rPr>
          <w:b/>
          <w:bCs/>
          <w:rtl/>
          <w:lang w:eastAsia="zh-TW"/>
        </w:rPr>
        <w:t>السياساتية</w:t>
      </w:r>
      <w:proofErr w:type="spellEnd"/>
      <w:r w:rsidR="009C3B0B" w:rsidRPr="00557A40">
        <w:rPr>
          <w:b/>
          <w:bCs/>
          <w:rtl/>
          <w:lang w:eastAsia="zh-TW"/>
        </w:rPr>
        <w:t xml:space="preserve"> بشأن الصحة والإعاقة وفي تقديم الخدمات والتقييم. </w:t>
      </w:r>
    </w:p>
    <w:p w:rsidR="009C3B0B" w:rsidRPr="006D70B3" w:rsidRDefault="006D70B3" w:rsidP="006D70B3">
      <w:pPr>
        <w:pStyle w:val="SingleTxtGA"/>
        <w:rPr>
          <w:b/>
          <w:bCs/>
          <w:rtl/>
          <w:lang w:eastAsia="zh-TW"/>
        </w:rPr>
      </w:pPr>
      <w:r>
        <w:rPr>
          <w:rtl/>
          <w:lang w:eastAsia="zh-TW"/>
        </w:rPr>
        <w:t>٢٨-</w:t>
      </w:r>
      <w:r>
        <w:rPr>
          <w:rtl/>
          <w:lang w:eastAsia="zh-TW"/>
        </w:rPr>
        <w:tab/>
      </w:r>
      <w:r w:rsidR="009C3B0B" w:rsidRPr="006D70B3">
        <w:rPr>
          <w:b/>
          <w:bCs/>
          <w:rtl/>
          <w:lang w:eastAsia="zh-TW"/>
        </w:rPr>
        <w:t xml:space="preserve">تحث اللجنة الدولة الطرف على الحد بدرجة كبيرة من إدخال الأشخاص إلى المستشفى لظروف طبية ذات صلة بوضعهم الاجتماعي والحد من الفوارق في معدلات الاستشفاء والوفاة على حد سواء، لا سيما في صفوف أطفال </w:t>
      </w:r>
      <w:proofErr w:type="spellStart"/>
      <w:r w:rsidR="009C3B0B" w:rsidRPr="006D70B3">
        <w:rPr>
          <w:b/>
          <w:bCs/>
          <w:rtl/>
          <w:lang w:eastAsia="zh-TW"/>
        </w:rPr>
        <w:t>الماوريين</w:t>
      </w:r>
      <w:proofErr w:type="spellEnd"/>
      <w:r w:rsidR="009C3B0B" w:rsidRPr="006D70B3">
        <w:rPr>
          <w:b/>
          <w:bCs/>
          <w:rtl/>
          <w:lang w:eastAsia="zh-TW"/>
        </w:rPr>
        <w:t xml:space="preserve"> </w:t>
      </w:r>
      <w:proofErr w:type="spellStart"/>
      <w:r w:rsidR="009C3B0B" w:rsidRPr="006D70B3">
        <w:rPr>
          <w:b/>
          <w:bCs/>
          <w:rtl/>
          <w:lang w:eastAsia="zh-TW"/>
        </w:rPr>
        <w:t>والباسيفيكا</w:t>
      </w:r>
      <w:proofErr w:type="spellEnd"/>
      <w:r w:rsidR="009C3B0B" w:rsidRPr="006D70B3">
        <w:rPr>
          <w:b/>
          <w:bCs/>
          <w:rtl/>
          <w:lang w:eastAsia="zh-TW"/>
        </w:rPr>
        <w:t>.</w:t>
      </w:r>
    </w:p>
    <w:p w:rsidR="009C3B0B" w:rsidRPr="00B371B9" w:rsidRDefault="009C3B0B" w:rsidP="00710BC8">
      <w:pPr>
        <w:pStyle w:val="H23GA"/>
        <w:keepNext/>
        <w:rPr>
          <w:rtl/>
        </w:rPr>
      </w:pPr>
      <w:r>
        <w:tab/>
      </w:r>
      <w:r>
        <w:tab/>
      </w:r>
      <w:r>
        <w:rPr>
          <w:rtl/>
        </w:rPr>
        <w:t>العمالة</w:t>
      </w:r>
    </w:p>
    <w:p w:rsidR="009C3B0B" w:rsidRPr="00E73BB3" w:rsidRDefault="006D70B3" w:rsidP="006D70B3">
      <w:pPr>
        <w:pStyle w:val="SingleTxtGA"/>
        <w:rPr>
          <w:spacing w:val="-2"/>
          <w:rtl/>
          <w:lang w:eastAsia="zh-TW"/>
        </w:rPr>
      </w:pPr>
      <w:r w:rsidRPr="00E73BB3">
        <w:rPr>
          <w:spacing w:val="-2"/>
          <w:rtl/>
          <w:lang w:eastAsia="zh-TW"/>
        </w:rPr>
        <w:t>٢٩-</w:t>
      </w:r>
      <w:r w:rsidRPr="00E73BB3">
        <w:rPr>
          <w:spacing w:val="-2"/>
          <w:rtl/>
          <w:lang w:eastAsia="zh-TW"/>
        </w:rPr>
        <w:tab/>
      </w:r>
      <w:r w:rsidR="009C3B0B" w:rsidRPr="00E73BB3">
        <w:rPr>
          <w:spacing w:val="-2"/>
          <w:rtl/>
          <w:lang w:eastAsia="zh-TW"/>
        </w:rPr>
        <w:t xml:space="preserve">تشعر اللجنة بالقلق لوجود أدلة على التمييز ضد </w:t>
      </w:r>
      <w:proofErr w:type="spellStart"/>
      <w:r w:rsidR="009C3B0B" w:rsidRPr="00E73BB3">
        <w:rPr>
          <w:spacing w:val="-2"/>
          <w:rtl/>
          <w:lang w:eastAsia="zh-TW"/>
        </w:rPr>
        <w:t>الماوريين</w:t>
      </w:r>
      <w:proofErr w:type="spellEnd"/>
      <w:r w:rsidR="009C3B0B" w:rsidRPr="00E73BB3">
        <w:rPr>
          <w:spacing w:val="-2"/>
          <w:rtl/>
          <w:lang w:eastAsia="zh-TW"/>
        </w:rPr>
        <w:t xml:space="preserve"> في مجال العمالة. وترحب اللجنة بانخفاض معدلات بطالة </w:t>
      </w:r>
      <w:proofErr w:type="spellStart"/>
      <w:r w:rsidR="009C3B0B" w:rsidRPr="00E73BB3">
        <w:rPr>
          <w:spacing w:val="-2"/>
          <w:rtl/>
          <w:lang w:eastAsia="zh-TW"/>
        </w:rPr>
        <w:t>الماوريين</w:t>
      </w:r>
      <w:proofErr w:type="spellEnd"/>
      <w:r w:rsidR="009C3B0B" w:rsidRPr="00E73BB3">
        <w:rPr>
          <w:spacing w:val="-2"/>
          <w:rtl/>
          <w:lang w:eastAsia="zh-TW"/>
        </w:rPr>
        <w:t xml:space="preserve"> في السنوات الأخيرة، وبالتزام الدولة الطرف بالعمل على خفضها إلى 7.5 في المائة في عام ٢٠٢١، لكنها تشعر </w:t>
      </w:r>
      <w:r w:rsidR="00710BC8">
        <w:rPr>
          <w:rFonts w:hint="cs"/>
          <w:spacing w:val="-2"/>
          <w:rtl/>
          <w:lang w:eastAsia="zh-TW"/>
        </w:rPr>
        <w:t>ب</w:t>
      </w:r>
      <w:r w:rsidR="009C3B0B" w:rsidRPr="00E73BB3">
        <w:rPr>
          <w:spacing w:val="-2"/>
          <w:rtl/>
          <w:lang w:eastAsia="zh-TW"/>
        </w:rPr>
        <w:t xml:space="preserve">القلق </w:t>
      </w:r>
      <w:r w:rsidR="00E73BB3">
        <w:rPr>
          <w:spacing w:val="-2"/>
          <w:rtl/>
          <w:lang w:eastAsia="zh-TW"/>
        </w:rPr>
        <w:t>أيضاً</w:t>
      </w:r>
      <w:r w:rsidR="009C3B0B" w:rsidRPr="00E73BB3">
        <w:rPr>
          <w:spacing w:val="-2"/>
          <w:rtl/>
          <w:lang w:eastAsia="zh-TW"/>
        </w:rPr>
        <w:t xml:space="preserve"> بشأن المعلومات التي قدمتها الدولة الطرف والتي تفيد بأن </w:t>
      </w:r>
      <w:proofErr w:type="spellStart"/>
      <w:r w:rsidR="009C3B0B" w:rsidRPr="00E73BB3">
        <w:rPr>
          <w:spacing w:val="-2"/>
          <w:rtl/>
          <w:lang w:eastAsia="zh-TW"/>
        </w:rPr>
        <w:t>الماوريين</w:t>
      </w:r>
      <w:proofErr w:type="spellEnd"/>
      <w:r w:rsidR="009C3B0B" w:rsidRPr="00E73BB3">
        <w:rPr>
          <w:spacing w:val="-2"/>
          <w:rtl/>
          <w:lang w:eastAsia="zh-TW"/>
        </w:rPr>
        <w:t xml:space="preserve"> </w:t>
      </w:r>
      <w:proofErr w:type="spellStart"/>
      <w:r w:rsidR="009C3B0B" w:rsidRPr="00E73BB3">
        <w:rPr>
          <w:spacing w:val="-2"/>
          <w:rtl/>
          <w:lang w:eastAsia="zh-TW"/>
        </w:rPr>
        <w:t>والباس</w:t>
      </w:r>
      <w:r w:rsidR="00710BC8">
        <w:rPr>
          <w:rFonts w:hint="cs"/>
          <w:spacing w:val="-2"/>
          <w:rtl/>
          <w:lang w:eastAsia="zh-TW"/>
        </w:rPr>
        <w:t>ي</w:t>
      </w:r>
      <w:r w:rsidR="009C3B0B" w:rsidRPr="00E73BB3">
        <w:rPr>
          <w:spacing w:val="-2"/>
          <w:rtl/>
          <w:lang w:eastAsia="zh-TW"/>
        </w:rPr>
        <w:t>فيكا</w:t>
      </w:r>
      <w:proofErr w:type="spellEnd"/>
      <w:r w:rsidR="009C3B0B" w:rsidRPr="00E73BB3">
        <w:rPr>
          <w:spacing w:val="-2"/>
          <w:rtl/>
          <w:lang w:eastAsia="zh-TW"/>
        </w:rPr>
        <w:t xml:space="preserve"> والمجموعات </w:t>
      </w:r>
      <w:proofErr w:type="spellStart"/>
      <w:r w:rsidR="009C3B0B" w:rsidRPr="00E73BB3">
        <w:rPr>
          <w:spacing w:val="-2"/>
          <w:rtl/>
          <w:lang w:eastAsia="zh-TW"/>
        </w:rPr>
        <w:t>الإثنية</w:t>
      </w:r>
      <w:proofErr w:type="spellEnd"/>
      <w:r w:rsidR="009C3B0B" w:rsidRPr="00E73BB3">
        <w:rPr>
          <w:spacing w:val="-2"/>
          <w:rtl/>
          <w:lang w:eastAsia="zh-TW"/>
        </w:rPr>
        <w:t xml:space="preserve"> الآسيوية ممثلة تمثيلا</w:t>
      </w:r>
      <w:r w:rsidR="00E73BB3">
        <w:rPr>
          <w:rFonts w:hint="cs"/>
          <w:spacing w:val="-2"/>
          <w:rtl/>
          <w:lang w:eastAsia="zh-TW"/>
        </w:rPr>
        <w:t>ً</w:t>
      </w:r>
      <w:r w:rsidR="009C3B0B" w:rsidRPr="00E73BB3">
        <w:rPr>
          <w:spacing w:val="-2"/>
          <w:rtl/>
          <w:lang w:eastAsia="zh-TW"/>
        </w:rPr>
        <w:t xml:space="preserve"> ناقصا</w:t>
      </w:r>
      <w:r w:rsidR="00E73BB3">
        <w:rPr>
          <w:rFonts w:hint="cs"/>
          <w:spacing w:val="-2"/>
          <w:rtl/>
          <w:lang w:eastAsia="zh-TW"/>
        </w:rPr>
        <w:t>ً</w:t>
      </w:r>
      <w:r w:rsidR="009C3B0B" w:rsidRPr="00E73BB3">
        <w:rPr>
          <w:spacing w:val="-2"/>
          <w:rtl/>
          <w:lang w:eastAsia="zh-TW"/>
        </w:rPr>
        <w:t xml:space="preserve"> في مستويات الإدارة العليا الثلاثة في قطاع الخدمة العامة. وتشعر اللجنة بالقلق كذلك لورود تقارير تفيد بأن الممرضين </w:t>
      </w:r>
      <w:proofErr w:type="spellStart"/>
      <w:r w:rsidR="009C3B0B" w:rsidRPr="00E73BB3">
        <w:rPr>
          <w:spacing w:val="-2"/>
          <w:rtl/>
          <w:lang w:eastAsia="zh-TW"/>
        </w:rPr>
        <w:t>الماوريين</w:t>
      </w:r>
      <w:proofErr w:type="spellEnd"/>
      <w:r w:rsidR="009C3B0B" w:rsidRPr="00E73BB3">
        <w:rPr>
          <w:spacing w:val="-2"/>
          <w:rtl/>
          <w:lang w:eastAsia="zh-TW"/>
        </w:rPr>
        <w:t xml:space="preserve"> المؤهلين يتقاضون أجرا</w:t>
      </w:r>
      <w:r w:rsidR="00E73BB3">
        <w:rPr>
          <w:rFonts w:hint="cs"/>
          <w:spacing w:val="-2"/>
          <w:rtl/>
          <w:lang w:eastAsia="zh-TW"/>
        </w:rPr>
        <w:t>ً</w:t>
      </w:r>
      <w:r w:rsidR="009C3B0B" w:rsidRPr="00E73BB3">
        <w:rPr>
          <w:spacing w:val="-2"/>
          <w:rtl/>
          <w:lang w:eastAsia="zh-TW"/>
        </w:rPr>
        <w:t xml:space="preserve"> أقل بكثير من غيرهم (المادتان ٢ و٥).</w:t>
      </w:r>
    </w:p>
    <w:p w:rsidR="009C3B0B" w:rsidRPr="006D70B3" w:rsidRDefault="006D70B3" w:rsidP="006D70B3">
      <w:pPr>
        <w:pStyle w:val="SingleTxtGA"/>
        <w:rPr>
          <w:b/>
          <w:bCs/>
          <w:rtl/>
          <w:lang w:eastAsia="zh-TW"/>
        </w:rPr>
      </w:pPr>
      <w:r>
        <w:rPr>
          <w:rtl/>
          <w:lang w:eastAsia="zh-TW"/>
        </w:rPr>
        <w:t>٣٠-</w:t>
      </w:r>
      <w:r>
        <w:rPr>
          <w:rtl/>
          <w:lang w:eastAsia="zh-TW"/>
        </w:rPr>
        <w:tab/>
      </w:r>
      <w:r w:rsidR="009C3B0B" w:rsidRPr="006D70B3">
        <w:rPr>
          <w:b/>
          <w:bCs/>
          <w:rtl/>
          <w:lang w:eastAsia="zh-TW"/>
        </w:rPr>
        <w:t>تحث اللجنة الدولة الطرف على اتخاذ تدابير فعالة للقضاء على التمييز العنصري في التوظيف في القطاعين العام والخاص، لا سيما فيما يتعلق بتعيين الأشخاص واستبقائهم في الوظيفة والترقيات. وتطلب إلى الدولة الطرف أن تقدم، في تقريرها الدوري المقبل، وصفا</w:t>
      </w:r>
      <w:r w:rsidR="00E73BB3">
        <w:rPr>
          <w:rFonts w:hint="cs"/>
          <w:b/>
          <w:bCs/>
          <w:rtl/>
          <w:lang w:eastAsia="zh-TW"/>
        </w:rPr>
        <w:t>ً</w:t>
      </w:r>
      <w:r w:rsidR="009C3B0B" w:rsidRPr="006D70B3">
        <w:rPr>
          <w:b/>
          <w:bCs/>
          <w:rtl/>
          <w:lang w:eastAsia="zh-TW"/>
        </w:rPr>
        <w:t xml:space="preserve"> لتلك التدابير إلى جانب الأهداف والغايات والنتائج التي تحققت. وتحث اللجنة الدولة الطرف على تحديد غايات لزيادة تمثيل شعبي الماوري </w:t>
      </w:r>
      <w:proofErr w:type="spellStart"/>
      <w:r w:rsidR="009C3B0B" w:rsidRPr="006D70B3">
        <w:rPr>
          <w:b/>
          <w:bCs/>
          <w:rtl/>
          <w:lang w:eastAsia="zh-TW"/>
        </w:rPr>
        <w:t>والباسيفيكا</w:t>
      </w:r>
      <w:proofErr w:type="spellEnd"/>
      <w:r w:rsidR="009C3B0B" w:rsidRPr="006D70B3">
        <w:rPr>
          <w:b/>
          <w:bCs/>
          <w:rtl/>
          <w:lang w:eastAsia="zh-TW"/>
        </w:rPr>
        <w:t xml:space="preserve"> والأقليات الأخرى في إدارة الشركات والإدارة العليا في القطاع العام، وعلى تقديم بيانات عن موظفي القطاع العام من شعبي الماوري </w:t>
      </w:r>
      <w:proofErr w:type="spellStart"/>
      <w:r w:rsidR="009C3B0B" w:rsidRPr="006D70B3">
        <w:rPr>
          <w:b/>
          <w:bCs/>
          <w:rtl/>
          <w:lang w:eastAsia="zh-TW"/>
        </w:rPr>
        <w:t>والباسيفيكا</w:t>
      </w:r>
      <w:proofErr w:type="spellEnd"/>
      <w:r w:rsidR="009C3B0B" w:rsidRPr="006D70B3">
        <w:rPr>
          <w:b/>
          <w:bCs/>
          <w:rtl/>
          <w:lang w:eastAsia="zh-TW"/>
        </w:rPr>
        <w:t xml:space="preserve"> والأقليات الأخرى، تتعلق بتوزيعهم في الوظائف والمناصب الإدارية. وتطلب اللجنة </w:t>
      </w:r>
      <w:r w:rsidR="00E73BB3">
        <w:rPr>
          <w:b/>
          <w:bCs/>
          <w:rtl/>
          <w:lang w:eastAsia="zh-TW"/>
        </w:rPr>
        <w:t>أيضاً</w:t>
      </w:r>
      <w:r w:rsidR="009C3B0B" w:rsidRPr="006D70B3">
        <w:rPr>
          <w:b/>
          <w:bCs/>
          <w:rtl/>
          <w:lang w:eastAsia="zh-TW"/>
        </w:rPr>
        <w:t xml:space="preserve"> معلومات إضافية عن البرامج التي اضطلع بها لضمان التنفيذ الفعال لمبدأ المساواة في الفرص والمعاملة في مجال العمالة، دون تمييز بسبب العرق أو اللون أو النسب أو الأصل القومي أو </w:t>
      </w:r>
      <w:proofErr w:type="spellStart"/>
      <w:r w:rsidR="009C3B0B" w:rsidRPr="006D70B3">
        <w:rPr>
          <w:b/>
          <w:bCs/>
          <w:rtl/>
          <w:lang w:eastAsia="zh-TW"/>
        </w:rPr>
        <w:t>الإثني</w:t>
      </w:r>
      <w:proofErr w:type="spellEnd"/>
      <w:r w:rsidR="009C3B0B" w:rsidRPr="006D70B3">
        <w:rPr>
          <w:b/>
          <w:bCs/>
          <w:rtl/>
          <w:lang w:eastAsia="zh-TW"/>
        </w:rPr>
        <w:t xml:space="preserve">. </w:t>
      </w:r>
    </w:p>
    <w:p w:rsidR="009C3B0B" w:rsidRPr="00B371B9" w:rsidRDefault="009C3B0B" w:rsidP="00710BC8">
      <w:pPr>
        <w:pStyle w:val="H23GA"/>
        <w:keepNext/>
        <w:rPr>
          <w:rtl/>
        </w:rPr>
      </w:pPr>
      <w:r>
        <w:tab/>
      </w:r>
      <w:r>
        <w:tab/>
      </w:r>
      <w:r>
        <w:rPr>
          <w:rtl/>
        </w:rPr>
        <w:t>المهاجرون</w:t>
      </w:r>
    </w:p>
    <w:p w:rsidR="009C3B0B" w:rsidRPr="00B371B9" w:rsidRDefault="002F26B9" w:rsidP="002F26B9">
      <w:pPr>
        <w:pStyle w:val="SingleTxtGA"/>
        <w:rPr>
          <w:rtl/>
          <w:lang w:eastAsia="zh-TW"/>
        </w:rPr>
      </w:pPr>
      <w:r>
        <w:rPr>
          <w:rtl/>
          <w:lang w:eastAsia="zh-TW"/>
        </w:rPr>
        <w:t>٣١-</w:t>
      </w:r>
      <w:r>
        <w:rPr>
          <w:rtl/>
          <w:lang w:eastAsia="zh-TW"/>
        </w:rPr>
        <w:tab/>
      </w:r>
      <w:r w:rsidR="009C3B0B">
        <w:rPr>
          <w:rtl/>
          <w:lang w:eastAsia="zh-TW"/>
        </w:rPr>
        <w:t>تلاحظ اللجنة باهتمام اعتماد استر</w:t>
      </w:r>
      <w:r w:rsidR="00D51141">
        <w:rPr>
          <w:rFonts w:hint="cs"/>
          <w:rtl/>
          <w:lang w:eastAsia="zh-TW"/>
        </w:rPr>
        <w:t>ا</w:t>
      </w:r>
      <w:r w:rsidR="009C3B0B">
        <w:rPr>
          <w:rtl/>
          <w:lang w:eastAsia="zh-TW"/>
        </w:rPr>
        <w:t xml:space="preserve">تيجية نيوزيلندا لتوطين وإدماج المهاجرين </w:t>
      </w:r>
      <w:r>
        <w:rPr>
          <w:rtl/>
          <w:lang w:eastAsia="zh-TW"/>
        </w:rPr>
        <w:t>لعام</w:t>
      </w:r>
      <w:r>
        <w:rPr>
          <w:rFonts w:hint="cs"/>
          <w:rtl/>
          <w:lang w:eastAsia="zh-TW"/>
        </w:rPr>
        <w:t> </w:t>
      </w:r>
      <w:r w:rsidR="009C3B0B">
        <w:rPr>
          <w:rtl/>
          <w:lang w:eastAsia="zh-TW"/>
        </w:rPr>
        <w:t>٢٠١٤ واستراتيجية منع استغلال المهاجرين، لكنها تشعر بالقلق لورود تقارير عن تعرض العمال المهاجرين للتمييز والاستغلال في العمل، بما في ذلك من خلال تقاضيهم أجورا</w:t>
      </w:r>
      <w:r w:rsidR="00E73BB3">
        <w:rPr>
          <w:rFonts w:hint="cs"/>
          <w:rtl/>
          <w:lang w:eastAsia="zh-TW"/>
        </w:rPr>
        <w:t>ً</w:t>
      </w:r>
      <w:r w:rsidR="009C3B0B">
        <w:rPr>
          <w:rtl/>
          <w:lang w:eastAsia="zh-TW"/>
        </w:rPr>
        <w:t xml:space="preserve"> تقل عن الحد الأدنى للأجور. وتشعر اللجنة بالقلق </w:t>
      </w:r>
      <w:r w:rsidR="00E73BB3">
        <w:rPr>
          <w:rtl/>
          <w:lang w:eastAsia="zh-TW"/>
        </w:rPr>
        <w:t>أيضاً</w:t>
      </w:r>
      <w:r w:rsidR="009C3B0B">
        <w:rPr>
          <w:rtl/>
          <w:lang w:eastAsia="zh-TW"/>
        </w:rPr>
        <w:t xml:space="preserve"> لما يتعرض له الطلبة الدوليون من استغلال. وتشعر اللجنة ب</w:t>
      </w:r>
      <w:r w:rsidR="00E73BB3">
        <w:rPr>
          <w:rtl/>
          <w:lang w:eastAsia="zh-TW"/>
        </w:rPr>
        <w:t xml:space="preserve">القلق كذلك لورود تقارير عن عدم </w:t>
      </w:r>
      <w:r w:rsidR="009C3B0B">
        <w:rPr>
          <w:rtl/>
          <w:lang w:eastAsia="zh-TW"/>
        </w:rPr>
        <w:t xml:space="preserve">توفر فرص كافية للمهاجرين وملتمسي اللجوء واللاجئين في الحصول على الخدمات الاجتماعية، بما في ذلك برامج الصحة العقلية والسكن والعمل. وتشعر اللجنة بالقلق لورود تقارير عن احتجاز بعض ملتمسي اللجوء والمهاجرين غير المسجلين في مرافق السجون الخاصة بالمجرمين وتقارير عن ظروف احتجاز بعض المهاجرين (المادتان ٢ و٥). </w:t>
      </w:r>
    </w:p>
    <w:p w:rsidR="009C3B0B" w:rsidRPr="002F26B9" w:rsidRDefault="002F26B9" w:rsidP="002F26B9">
      <w:pPr>
        <w:pStyle w:val="SingleTxtGA"/>
        <w:rPr>
          <w:b/>
          <w:bCs/>
          <w:rtl/>
          <w:lang w:eastAsia="zh-TW"/>
        </w:rPr>
      </w:pPr>
      <w:r>
        <w:rPr>
          <w:rtl/>
          <w:lang w:eastAsia="zh-TW"/>
        </w:rPr>
        <w:lastRenderedPageBreak/>
        <w:t>٣٢-</w:t>
      </w:r>
      <w:r>
        <w:rPr>
          <w:rtl/>
          <w:lang w:eastAsia="zh-TW"/>
        </w:rPr>
        <w:tab/>
      </w:r>
      <w:r w:rsidR="009C3B0B" w:rsidRPr="002F26B9">
        <w:rPr>
          <w:b/>
          <w:bCs/>
          <w:rtl/>
          <w:lang w:eastAsia="zh-TW"/>
        </w:rPr>
        <w:t>توصي اللجنة الدولة الطرف بما يلي:</w:t>
      </w:r>
    </w:p>
    <w:p w:rsidR="009C3B0B" w:rsidRPr="002F26B9" w:rsidRDefault="002F26B9" w:rsidP="002F26B9">
      <w:pPr>
        <w:pStyle w:val="SingleTxtGA"/>
        <w:rPr>
          <w:b/>
          <w:bCs/>
          <w:rtl/>
          <w:lang w:eastAsia="zh-TW"/>
        </w:rPr>
      </w:pPr>
      <w:r>
        <w:rPr>
          <w:rtl/>
          <w:lang w:eastAsia="zh-TW"/>
        </w:rPr>
        <w:tab/>
      </w:r>
      <w:r w:rsidR="009C3B0B">
        <w:rPr>
          <w:rtl/>
          <w:lang w:eastAsia="zh-TW"/>
        </w:rPr>
        <w:t>(أ)</w:t>
      </w:r>
      <w:r w:rsidR="009C3B0B">
        <w:rPr>
          <w:rtl/>
          <w:lang w:eastAsia="zh-TW"/>
        </w:rPr>
        <w:tab/>
      </w:r>
      <w:r w:rsidR="009C3B0B" w:rsidRPr="002F26B9">
        <w:rPr>
          <w:b/>
          <w:bCs/>
          <w:rtl/>
          <w:lang w:eastAsia="zh-TW"/>
        </w:rPr>
        <w:t>اتخاذ تدابير ملائمة وفعالة لضمان تكافؤ الفرص ومعاملة المهاجرين معاملة متساوية في العمل؛</w:t>
      </w:r>
    </w:p>
    <w:p w:rsidR="009C3B0B" w:rsidRPr="002F26B9" w:rsidRDefault="002F26B9" w:rsidP="002F26B9">
      <w:pPr>
        <w:pStyle w:val="SingleTxtGA"/>
        <w:rPr>
          <w:b/>
          <w:bCs/>
          <w:rtl/>
          <w:lang w:eastAsia="zh-TW"/>
        </w:rPr>
      </w:pPr>
      <w:r>
        <w:rPr>
          <w:rtl/>
          <w:lang w:eastAsia="zh-TW"/>
        </w:rPr>
        <w:tab/>
      </w:r>
      <w:r w:rsidR="009C3B0B">
        <w:rPr>
          <w:rtl/>
          <w:lang w:eastAsia="zh-TW"/>
        </w:rPr>
        <w:t>(ب)</w:t>
      </w:r>
      <w:r w:rsidR="009C3B0B">
        <w:rPr>
          <w:rtl/>
          <w:lang w:eastAsia="zh-TW"/>
        </w:rPr>
        <w:tab/>
      </w:r>
      <w:r w:rsidR="009C3B0B" w:rsidRPr="002F26B9">
        <w:rPr>
          <w:b/>
          <w:bCs/>
          <w:rtl/>
          <w:lang w:eastAsia="zh-TW"/>
        </w:rPr>
        <w:t>تضمين تقريرها الدوري المقبل معلومات عن التقدم المحرز بشأن المؤشرات الستة عشر في استراتيجية نيوزيلندا لتوطين المهاجرين وإدماجهم؛</w:t>
      </w:r>
    </w:p>
    <w:p w:rsidR="009C3B0B" w:rsidRPr="002F26B9" w:rsidRDefault="002F26B9" w:rsidP="002F26B9">
      <w:pPr>
        <w:pStyle w:val="SingleTxtGA"/>
        <w:rPr>
          <w:b/>
          <w:bCs/>
          <w:rtl/>
          <w:lang w:eastAsia="zh-TW"/>
        </w:rPr>
      </w:pPr>
      <w:r>
        <w:rPr>
          <w:rtl/>
          <w:lang w:eastAsia="zh-TW"/>
        </w:rPr>
        <w:tab/>
      </w:r>
      <w:r w:rsidR="009C3B0B">
        <w:rPr>
          <w:rtl/>
          <w:lang w:eastAsia="zh-TW"/>
        </w:rPr>
        <w:t>(ج)</w:t>
      </w:r>
      <w:r w:rsidR="009C3B0B">
        <w:rPr>
          <w:rtl/>
          <w:lang w:eastAsia="zh-TW"/>
        </w:rPr>
        <w:tab/>
      </w:r>
      <w:r>
        <w:rPr>
          <w:b/>
          <w:bCs/>
          <w:rtl/>
          <w:lang w:eastAsia="zh-TW"/>
        </w:rPr>
        <w:t xml:space="preserve">ضمان حصول جميع </w:t>
      </w:r>
      <w:r w:rsidR="009C3B0B" w:rsidRPr="002F26B9">
        <w:rPr>
          <w:b/>
          <w:bCs/>
          <w:rtl/>
          <w:lang w:eastAsia="zh-TW"/>
        </w:rPr>
        <w:t>طالبي اللجوء واللاجئين على خدمات كافية ومناسبة، بما في ذلك خدمات العمل الاجتماعي والمشورة، لكي يتمتعوا بحقوقهم الاقتصادية والاجتماعية والثقافية على أكمل وجه؛</w:t>
      </w:r>
    </w:p>
    <w:p w:rsidR="009C3B0B" w:rsidRPr="002F26B9" w:rsidRDefault="002F26B9" w:rsidP="002F26B9">
      <w:pPr>
        <w:pStyle w:val="SingleTxtGA"/>
        <w:rPr>
          <w:b/>
          <w:bCs/>
          <w:rtl/>
          <w:lang w:eastAsia="zh-TW"/>
        </w:rPr>
      </w:pPr>
      <w:r>
        <w:rPr>
          <w:rtl/>
          <w:lang w:eastAsia="zh-TW"/>
        </w:rPr>
        <w:tab/>
        <w:t>(د)</w:t>
      </w:r>
      <w:r>
        <w:rPr>
          <w:rtl/>
          <w:lang w:eastAsia="zh-TW"/>
        </w:rPr>
        <w:tab/>
      </w:r>
      <w:r w:rsidR="009C3B0B" w:rsidRPr="002F26B9">
        <w:rPr>
          <w:b/>
          <w:bCs/>
          <w:rtl/>
          <w:lang w:eastAsia="zh-TW"/>
        </w:rPr>
        <w:t>ضمان توفر التمويل الكافي لدعم تقديم الخدمات النفسية</w:t>
      </w:r>
      <w:r w:rsidR="00892FBE">
        <w:rPr>
          <w:rFonts w:hint="cs"/>
          <w:b/>
          <w:bCs/>
          <w:rtl/>
          <w:lang w:eastAsia="zh-TW"/>
        </w:rPr>
        <w:t xml:space="preserve"> </w:t>
      </w:r>
      <w:r w:rsidR="009C3B0B" w:rsidRPr="002F26B9">
        <w:rPr>
          <w:b/>
          <w:bCs/>
          <w:rtl/>
          <w:lang w:eastAsia="zh-TW"/>
        </w:rPr>
        <w:t>-</w:t>
      </w:r>
      <w:r w:rsidR="00892FBE">
        <w:rPr>
          <w:rFonts w:hint="cs"/>
          <w:b/>
          <w:bCs/>
          <w:rtl/>
          <w:lang w:eastAsia="zh-TW"/>
        </w:rPr>
        <w:t xml:space="preserve"> </w:t>
      </w:r>
      <w:r w:rsidR="009C3B0B" w:rsidRPr="002F26B9">
        <w:rPr>
          <w:b/>
          <w:bCs/>
          <w:rtl/>
          <w:lang w:eastAsia="zh-TW"/>
        </w:rPr>
        <w:t>الاجتماعية دون انقطاع؛</w:t>
      </w:r>
    </w:p>
    <w:p w:rsidR="009C3B0B" w:rsidRPr="002F26B9" w:rsidRDefault="002F26B9" w:rsidP="002F26B9">
      <w:pPr>
        <w:pStyle w:val="SingleTxtGA"/>
        <w:rPr>
          <w:b/>
          <w:bCs/>
          <w:rtl/>
          <w:lang w:eastAsia="zh-TW"/>
        </w:rPr>
      </w:pPr>
      <w:r>
        <w:rPr>
          <w:rtl/>
          <w:lang w:eastAsia="zh-TW"/>
        </w:rPr>
        <w:tab/>
      </w:r>
      <w:r w:rsidR="009C3B0B">
        <w:rPr>
          <w:rtl/>
          <w:lang w:eastAsia="zh-TW"/>
        </w:rPr>
        <w:t>(ه)</w:t>
      </w:r>
      <w:r>
        <w:rPr>
          <w:rtl/>
          <w:lang w:eastAsia="zh-TW"/>
        </w:rPr>
        <w:tab/>
      </w:r>
      <w:r w:rsidR="009C3B0B" w:rsidRPr="002F26B9">
        <w:rPr>
          <w:b/>
          <w:bCs/>
          <w:rtl/>
          <w:lang w:eastAsia="zh-TW"/>
        </w:rPr>
        <w:t>ضمان عدم احتجاز المهاجرين في مرافق غير ملائمة وعدم احتجازهم مطلقا</w:t>
      </w:r>
      <w:r w:rsidR="00892FBE">
        <w:rPr>
          <w:rFonts w:hint="cs"/>
          <w:b/>
          <w:bCs/>
          <w:rtl/>
          <w:lang w:eastAsia="zh-TW"/>
        </w:rPr>
        <w:t>ً</w:t>
      </w:r>
      <w:r w:rsidR="009C3B0B" w:rsidRPr="002F26B9">
        <w:rPr>
          <w:b/>
          <w:bCs/>
          <w:rtl/>
          <w:lang w:eastAsia="zh-TW"/>
        </w:rPr>
        <w:t xml:space="preserve"> مع السجناء في مرافق السجون، والنظر في زيادة حصتها السنوية من اللاجئين أكثر.</w:t>
      </w:r>
    </w:p>
    <w:p w:rsidR="009C3B0B" w:rsidRPr="00B371B9" w:rsidRDefault="009C3B0B" w:rsidP="00710BC8">
      <w:pPr>
        <w:pStyle w:val="H23GA"/>
        <w:keepNext/>
        <w:rPr>
          <w:rtl/>
        </w:rPr>
      </w:pPr>
      <w:r>
        <w:tab/>
      </w:r>
      <w:r>
        <w:tab/>
      </w:r>
      <w:r>
        <w:rPr>
          <w:rtl/>
        </w:rPr>
        <w:t xml:space="preserve">أطفال </w:t>
      </w:r>
      <w:proofErr w:type="spellStart"/>
      <w:r>
        <w:rPr>
          <w:rtl/>
        </w:rPr>
        <w:t>الماوريين</w:t>
      </w:r>
      <w:proofErr w:type="spellEnd"/>
      <w:r>
        <w:rPr>
          <w:rtl/>
        </w:rPr>
        <w:t xml:space="preserve"> </w:t>
      </w:r>
      <w:proofErr w:type="spellStart"/>
      <w:r>
        <w:rPr>
          <w:rtl/>
        </w:rPr>
        <w:t>والباسيفيكا</w:t>
      </w:r>
      <w:proofErr w:type="spellEnd"/>
    </w:p>
    <w:p w:rsidR="009C3B0B" w:rsidRPr="00724CAD" w:rsidRDefault="002F26B9" w:rsidP="002F26B9">
      <w:pPr>
        <w:pStyle w:val="SingleTxtGA"/>
        <w:rPr>
          <w:b/>
          <w:rtl/>
          <w:lang w:eastAsia="zh-TW"/>
        </w:rPr>
      </w:pPr>
      <w:r>
        <w:rPr>
          <w:rtl/>
          <w:lang w:eastAsia="zh-TW"/>
        </w:rPr>
        <w:t>٣٣-</w:t>
      </w:r>
      <w:r>
        <w:rPr>
          <w:rtl/>
          <w:lang w:eastAsia="zh-TW"/>
        </w:rPr>
        <w:tab/>
      </w:r>
      <w:r w:rsidR="009C3B0B">
        <w:rPr>
          <w:rtl/>
          <w:lang w:eastAsia="zh-TW"/>
        </w:rPr>
        <w:t xml:space="preserve">تعرب اللجنة عن جزعها لورود تقارير تتضمن مزاعم عن إساءة معاملة الأطفال الذين تتعهدهم بالرعاية أسر حاضنة أو مؤسسات حكومية، ويزعم أنها تشمل الإيذاء البدني والجنسي والنفسي. وتركز هذه التقارير على فترة تمتد لما يقارب 40 سنة، بلغ خلالها عدد الأطفال المودعين في مؤسسات الرعاية 000 100 طفل، غالبيتهم من </w:t>
      </w:r>
      <w:proofErr w:type="spellStart"/>
      <w:r w:rsidR="009C3B0B">
        <w:rPr>
          <w:rtl/>
          <w:lang w:eastAsia="zh-TW"/>
        </w:rPr>
        <w:t>الماوريين</w:t>
      </w:r>
      <w:proofErr w:type="spellEnd"/>
      <w:r w:rsidR="009C3B0B">
        <w:rPr>
          <w:rtl/>
          <w:lang w:eastAsia="zh-TW"/>
        </w:rPr>
        <w:t>. وتحيط اللجنة علما</w:t>
      </w:r>
      <w:r w:rsidR="00892FBE">
        <w:rPr>
          <w:rFonts w:hint="cs"/>
          <w:rtl/>
          <w:lang w:eastAsia="zh-TW"/>
        </w:rPr>
        <w:t>ً</w:t>
      </w:r>
      <w:r w:rsidR="009C3B0B">
        <w:rPr>
          <w:rtl/>
          <w:lang w:eastAsia="zh-TW"/>
        </w:rPr>
        <w:t xml:space="preserve"> بأن الدولة الطرف أعربت عن عزمها على تعويض الضحايا. بيد أن اللجنة تشعر بالقلق من أن يحول اتباع الدولة الطرف لهذا النهج دون كشف المشاكل البنيوية التي ربما تكون موجودة. وتشعر اللجنة بالقلق </w:t>
      </w:r>
      <w:r w:rsidR="00E73BB3">
        <w:rPr>
          <w:rtl/>
          <w:lang w:eastAsia="zh-TW"/>
        </w:rPr>
        <w:t>أيضاً</w:t>
      </w:r>
      <w:r w:rsidR="009C3B0B">
        <w:rPr>
          <w:rtl/>
          <w:lang w:eastAsia="zh-TW"/>
        </w:rPr>
        <w:t xml:space="preserve"> لأن أطفال </w:t>
      </w:r>
      <w:proofErr w:type="spellStart"/>
      <w:r w:rsidR="009C3B0B">
        <w:rPr>
          <w:rtl/>
          <w:lang w:eastAsia="zh-TW"/>
        </w:rPr>
        <w:t>الماوريين</w:t>
      </w:r>
      <w:proofErr w:type="spellEnd"/>
      <w:r w:rsidR="009C3B0B">
        <w:rPr>
          <w:rtl/>
          <w:lang w:eastAsia="zh-TW"/>
        </w:rPr>
        <w:t xml:space="preserve"> ما زالوا أكثر عرضة لإيداعهم في مؤسسات الرعاية الحكومية. وتلاحظ أن التعديلات التي أُدخلت مؤخرا</w:t>
      </w:r>
      <w:r w:rsidR="00E73BB3">
        <w:rPr>
          <w:rFonts w:hint="cs"/>
          <w:rtl/>
          <w:lang w:eastAsia="zh-TW"/>
        </w:rPr>
        <w:t>ً</w:t>
      </w:r>
      <w:r w:rsidR="009C3B0B">
        <w:rPr>
          <w:rtl/>
          <w:lang w:eastAsia="zh-TW"/>
        </w:rPr>
        <w:t xml:space="preserve"> على القانون المتعلق برفاه الأطفال والشباب (</w:t>
      </w:r>
      <w:proofErr w:type="spellStart"/>
      <w:r w:rsidR="009C3B0B">
        <w:rPr>
          <w:rtl/>
          <w:lang w:eastAsia="zh-TW"/>
        </w:rPr>
        <w:t>أورانغا</w:t>
      </w:r>
      <w:proofErr w:type="spellEnd"/>
      <w:r w:rsidR="009C3B0B">
        <w:rPr>
          <w:rtl/>
          <w:lang w:eastAsia="zh-TW"/>
        </w:rPr>
        <w:t xml:space="preserve"> </w:t>
      </w:r>
      <w:proofErr w:type="spellStart"/>
      <w:r w:rsidR="009C3B0B">
        <w:rPr>
          <w:rtl/>
          <w:lang w:eastAsia="zh-TW"/>
        </w:rPr>
        <w:t>تاماريكي</w:t>
      </w:r>
      <w:proofErr w:type="spellEnd"/>
      <w:r w:rsidR="009C3B0B">
        <w:rPr>
          <w:rtl/>
          <w:lang w:eastAsia="zh-TW"/>
        </w:rPr>
        <w:t>) لعام 1989 (عن طريق القانون المتعلق بالأطفال والشباب وأسرهم (</w:t>
      </w:r>
      <w:proofErr w:type="spellStart"/>
      <w:r w:rsidR="009C3B0B">
        <w:rPr>
          <w:rtl/>
          <w:lang w:eastAsia="zh-TW"/>
        </w:rPr>
        <w:t>أورانغا</w:t>
      </w:r>
      <w:proofErr w:type="spellEnd"/>
      <w:r w:rsidR="009C3B0B">
        <w:rPr>
          <w:rtl/>
          <w:lang w:eastAsia="zh-TW"/>
        </w:rPr>
        <w:t xml:space="preserve"> </w:t>
      </w:r>
      <w:proofErr w:type="spellStart"/>
      <w:r w:rsidR="009C3B0B">
        <w:rPr>
          <w:rtl/>
          <w:lang w:eastAsia="zh-TW"/>
        </w:rPr>
        <w:t>تاماريكي</w:t>
      </w:r>
      <w:proofErr w:type="spellEnd"/>
      <w:r w:rsidR="009C3B0B">
        <w:rPr>
          <w:rtl/>
          <w:lang w:eastAsia="zh-TW"/>
        </w:rPr>
        <w:t>) لعام ٢٠١٧) توفر بعض الضمانات للأطفال المودعين في مؤسسات الرعاية، ولكن ثمة أمور لا تزال تدعو للقلق من بينها مقترح برلماني يدعو إلى إرسال الأحداث الجانحين إلى معسكر تدر</w:t>
      </w:r>
      <w:r w:rsidR="00E73BB3">
        <w:rPr>
          <w:rtl/>
          <w:lang w:eastAsia="zh-TW"/>
        </w:rPr>
        <w:t>يب على النمط العسكري لمدة سنة (</w:t>
      </w:r>
      <w:r w:rsidR="009C3B0B">
        <w:rPr>
          <w:rtl/>
          <w:lang w:eastAsia="zh-TW"/>
        </w:rPr>
        <w:t xml:space="preserve">المواد ٢ و٥ و٦). </w:t>
      </w:r>
    </w:p>
    <w:p w:rsidR="009C3B0B" w:rsidRPr="002F26B9" w:rsidRDefault="002F26B9" w:rsidP="002F26B9">
      <w:pPr>
        <w:pStyle w:val="SingleTxtGA"/>
        <w:rPr>
          <w:b/>
          <w:bCs/>
          <w:rtl/>
          <w:lang w:eastAsia="zh-TW"/>
        </w:rPr>
      </w:pPr>
      <w:r>
        <w:rPr>
          <w:rtl/>
          <w:lang w:eastAsia="zh-TW"/>
        </w:rPr>
        <w:t>٣٤-</w:t>
      </w:r>
      <w:r>
        <w:rPr>
          <w:rtl/>
          <w:lang w:eastAsia="zh-TW"/>
        </w:rPr>
        <w:tab/>
      </w:r>
      <w:r w:rsidR="009C3B0B" w:rsidRPr="002F26B9">
        <w:rPr>
          <w:b/>
          <w:bCs/>
          <w:rtl/>
          <w:lang w:eastAsia="zh-TW"/>
        </w:rPr>
        <w:t>توصي اللجنة الدولة الطرف بما يلي:</w:t>
      </w:r>
    </w:p>
    <w:p w:rsidR="009C3B0B" w:rsidRPr="00523165" w:rsidRDefault="00523165" w:rsidP="00523165">
      <w:pPr>
        <w:pStyle w:val="SingleTxtGA"/>
        <w:rPr>
          <w:b/>
          <w:bCs/>
          <w:rtl/>
          <w:lang w:eastAsia="zh-TW"/>
        </w:rPr>
      </w:pPr>
      <w:r>
        <w:rPr>
          <w:rtl/>
          <w:lang w:eastAsia="zh-TW"/>
        </w:rPr>
        <w:tab/>
      </w:r>
      <w:r w:rsidR="009C3B0B">
        <w:rPr>
          <w:rtl/>
          <w:lang w:eastAsia="zh-TW"/>
        </w:rPr>
        <w:t>(أ)</w:t>
      </w:r>
      <w:r w:rsidR="009C3B0B" w:rsidRPr="00523165">
        <w:rPr>
          <w:b/>
          <w:bCs/>
          <w:rtl/>
          <w:lang w:eastAsia="zh-TW"/>
        </w:rPr>
        <w:tab/>
        <w:t>الشروع فورا</w:t>
      </w:r>
      <w:r w:rsidR="00E73BB3">
        <w:rPr>
          <w:rFonts w:hint="cs"/>
          <w:b/>
          <w:bCs/>
          <w:rtl/>
          <w:lang w:eastAsia="zh-TW"/>
        </w:rPr>
        <w:t>ً</w:t>
      </w:r>
      <w:r w:rsidR="009C3B0B" w:rsidRPr="00523165">
        <w:rPr>
          <w:b/>
          <w:bCs/>
          <w:rtl/>
          <w:lang w:eastAsia="zh-TW"/>
        </w:rPr>
        <w:t xml:space="preserve"> في إنشاء لجنة تحقيق مستقلة وتمكينها لكي تتولى التحقيق في الإساءة التي تعرض لها أطفال وأشخاص بالغون من ذوي الإعاقة في مؤسسات الرعاية الحكومية بين عامي ١٩٥٠ و١٩٩٠، ومنحها سلطة تحديد سبل إنصاف الضحايا وإعادة تأهيلهم وتعويضهم، بما في ذلك اعتذار من الدولة الطرف؛</w:t>
      </w:r>
    </w:p>
    <w:p w:rsidR="009C3B0B" w:rsidRPr="00523165" w:rsidRDefault="00523165" w:rsidP="00523165">
      <w:pPr>
        <w:pStyle w:val="SingleTxtGA"/>
        <w:rPr>
          <w:b/>
          <w:bCs/>
          <w:rtl/>
          <w:lang w:eastAsia="zh-TW"/>
        </w:rPr>
      </w:pPr>
      <w:r>
        <w:rPr>
          <w:rtl/>
          <w:lang w:eastAsia="zh-TW"/>
        </w:rPr>
        <w:tab/>
      </w:r>
      <w:r w:rsidR="009C3B0B">
        <w:rPr>
          <w:rtl/>
          <w:lang w:eastAsia="zh-TW"/>
        </w:rPr>
        <w:t>(ب)</w:t>
      </w:r>
      <w:r>
        <w:rPr>
          <w:rtl/>
          <w:lang w:eastAsia="zh-TW"/>
        </w:rPr>
        <w:tab/>
      </w:r>
      <w:r w:rsidR="009C3B0B" w:rsidRPr="00523165">
        <w:rPr>
          <w:b/>
          <w:bCs/>
          <w:rtl/>
          <w:lang w:eastAsia="zh-TW"/>
        </w:rPr>
        <w:t xml:space="preserve">اتخاذ تدابير فعالة لتقليص عدد أطفال </w:t>
      </w:r>
      <w:proofErr w:type="spellStart"/>
      <w:r w:rsidR="009C3B0B" w:rsidRPr="00523165">
        <w:rPr>
          <w:b/>
          <w:bCs/>
          <w:rtl/>
          <w:lang w:eastAsia="zh-TW"/>
        </w:rPr>
        <w:t>الماوريين</w:t>
      </w:r>
      <w:proofErr w:type="spellEnd"/>
      <w:r w:rsidR="009C3B0B" w:rsidRPr="00523165">
        <w:rPr>
          <w:b/>
          <w:bCs/>
          <w:rtl/>
          <w:lang w:eastAsia="zh-TW"/>
        </w:rPr>
        <w:t xml:space="preserve"> </w:t>
      </w:r>
      <w:proofErr w:type="spellStart"/>
      <w:r w:rsidR="009C3B0B" w:rsidRPr="00523165">
        <w:rPr>
          <w:b/>
          <w:bCs/>
          <w:rtl/>
          <w:lang w:eastAsia="zh-TW"/>
        </w:rPr>
        <w:t>والباسيفيكا</w:t>
      </w:r>
      <w:proofErr w:type="spellEnd"/>
      <w:r w:rsidR="009C3B0B" w:rsidRPr="00523165">
        <w:rPr>
          <w:b/>
          <w:bCs/>
          <w:rtl/>
          <w:lang w:eastAsia="zh-TW"/>
        </w:rPr>
        <w:t xml:space="preserve"> في مؤسسات الرعاية الحكومية، بسبل منها سياسة إعطاء "الأولوية للأسرة" (</w:t>
      </w:r>
      <w:r w:rsidR="009C3B0B" w:rsidRPr="00523165">
        <w:rPr>
          <w:b/>
          <w:bCs/>
          <w:iCs/>
        </w:rPr>
        <w:t>whanau-first</w:t>
      </w:r>
      <w:r w:rsidR="009C3B0B" w:rsidRPr="00523165">
        <w:rPr>
          <w:b/>
          <w:bCs/>
          <w:rtl/>
          <w:lang w:eastAsia="zh-TW"/>
        </w:rPr>
        <w:t xml:space="preserve">) في تكفيل أطفال </w:t>
      </w:r>
      <w:proofErr w:type="spellStart"/>
      <w:r w:rsidR="009C3B0B" w:rsidRPr="00523165">
        <w:rPr>
          <w:b/>
          <w:bCs/>
          <w:rtl/>
          <w:lang w:eastAsia="zh-TW"/>
        </w:rPr>
        <w:t>الماوريين</w:t>
      </w:r>
      <w:proofErr w:type="spellEnd"/>
      <w:r w:rsidR="009C3B0B" w:rsidRPr="00523165">
        <w:rPr>
          <w:b/>
          <w:bCs/>
          <w:rtl/>
          <w:lang w:eastAsia="zh-TW"/>
        </w:rPr>
        <w:t>.</w:t>
      </w:r>
    </w:p>
    <w:p w:rsidR="009C3B0B" w:rsidRPr="00B371B9" w:rsidRDefault="009C3B0B" w:rsidP="00710BC8">
      <w:pPr>
        <w:pStyle w:val="H23GA"/>
        <w:keepNext/>
        <w:rPr>
          <w:rtl/>
        </w:rPr>
      </w:pPr>
      <w:r>
        <w:lastRenderedPageBreak/>
        <w:tab/>
      </w:r>
      <w:r>
        <w:tab/>
      </w:r>
      <w:r>
        <w:rPr>
          <w:rtl/>
        </w:rPr>
        <w:t>اللغة الماورية</w:t>
      </w:r>
    </w:p>
    <w:p w:rsidR="009C3B0B" w:rsidRPr="00B371B9" w:rsidRDefault="00523165" w:rsidP="00523165">
      <w:pPr>
        <w:pStyle w:val="SingleTxtGA"/>
        <w:rPr>
          <w:rtl/>
          <w:lang w:eastAsia="zh-TW"/>
        </w:rPr>
      </w:pPr>
      <w:r>
        <w:rPr>
          <w:rtl/>
          <w:lang w:eastAsia="zh-TW"/>
        </w:rPr>
        <w:t>٣٥-</w:t>
      </w:r>
      <w:r>
        <w:rPr>
          <w:rtl/>
          <w:lang w:eastAsia="zh-TW"/>
        </w:rPr>
        <w:tab/>
      </w:r>
      <w:r w:rsidR="009C3B0B">
        <w:rPr>
          <w:rtl/>
          <w:lang w:eastAsia="zh-TW"/>
        </w:rPr>
        <w:t>تلاحظ اللجنة من خلال الإحصاءات الواردة في تقرير الدولة الطرف أن عدد الطلبة الذين يتعلمون باللغة الماورية (</w:t>
      </w:r>
      <w:proofErr w:type="spellStart"/>
      <w:r w:rsidR="009C3B0B" w:rsidRPr="00523165">
        <w:rPr>
          <w:rFonts w:asciiTheme="majorBidi" w:hAnsiTheme="majorBidi" w:cstheme="majorBidi"/>
          <w:sz w:val="10"/>
          <w:szCs w:val="20"/>
          <w:rtl/>
          <w:lang w:eastAsia="zh-TW"/>
        </w:rPr>
        <w:t>Te</w:t>
      </w:r>
      <w:proofErr w:type="spellEnd"/>
      <w:r w:rsidR="009C3B0B" w:rsidRPr="00523165">
        <w:rPr>
          <w:rFonts w:asciiTheme="majorBidi" w:hAnsiTheme="majorBidi" w:cstheme="majorBidi"/>
          <w:sz w:val="10"/>
          <w:szCs w:val="20"/>
          <w:rtl/>
          <w:lang w:eastAsia="zh-TW"/>
        </w:rPr>
        <w:t xml:space="preserve"> </w:t>
      </w:r>
      <w:proofErr w:type="spellStart"/>
      <w:r w:rsidR="009C3B0B" w:rsidRPr="00523165">
        <w:rPr>
          <w:rFonts w:asciiTheme="majorBidi" w:hAnsiTheme="majorBidi" w:cstheme="majorBidi"/>
          <w:sz w:val="10"/>
          <w:szCs w:val="20"/>
          <w:rtl/>
          <w:lang w:eastAsia="zh-TW"/>
        </w:rPr>
        <w:t>Reo</w:t>
      </w:r>
      <w:proofErr w:type="spellEnd"/>
      <w:r w:rsidR="009C3B0B" w:rsidRPr="00523165">
        <w:rPr>
          <w:rFonts w:asciiTheme="majorBidi" w:hAnsiTheme="majorBidi" w:cstheme="majorBidi"/>
          <w:sz w:val="10"/>
          <w:szCs w:val="20"/>
          <w:rtl/>
          <w:lang w:eastAsia="zh-TW"/>
        </w:rPr>
        <w:t xml:space="preserve"> </w:t>
      </w:r>
      <w:proofErr w:type="spellStart"/>
      <w:r w:rsidR="009C3B0B" w:rsidRPr="00523165">
        <w:rPr>
          <w:rFonts w:asciiTheme="majorBidi" w:hAnsiTheme="majorBidi" w:cstheme="majorBidi"/>
          <w:sz w:val="10"/>
          <w:szCs w:val="20"/>
          <w:rtl/>
          <w:lang w:eastAsia="zh-TW"/>
        </w:rPr>
        <w:t>Maori</w:t>
      </w:r>
      <w:proofErr w:type="spellEnd"/>
      <w:r w:rsidR="009C3B0B">
        <w:rPr>
          <w:rtl/>
          <w:lang w:eastAsia="zh-TW"/>
        </w:rPr>
        <w:t>) ارتفع ارتفاعا</w:t>
      </w:r>
      <w:r w:rsidR="00710BC8">
        <w:rPr>
          <w:rFonts w:hint="cs"/>
          <w:rtl/>
          <w:lang w:eastAsia="zh-TW"/>
        </w:rPr>
        <w:t>ً</w:t>
      </w:r>
      <w:r w:rsidR="009C3B0B">
        <w:rPr>
          <w:rtl/>
          <w:lang w:eastAsia="zh-TW"/>
        </w:rPr>
        <w:t xml:space="preserve"> مطردا</w:t>
      </w:r>
      <w:r w:rsidR="00D51141">
        <w:rPr>
          <w:rFonts w:hint="cs"/>
          <w:rtl/>
          <w:lang w:eastAsia="zh-TW"/>
        </w:rPr>
        <w:t>ً</w:t>
      </w:r>
      <w:r w:rsidR="009C3B0B">
        <w:rPr>
          <w:rtl/>
          <w:lang w:eastAsia="zh-TW"/>
        </w:rPr>
        <w:t xml:space="preserve"> في السنوات الأخيرة. ومع ذلك، تشعر اللجنة بالقلق لأن تقارير أخرى تفيد بأن قدرة </w:t>
      </w:r>
      <w:proofErr w:type="spellStart"/>
      <w:r w:rsidR="009C3B0B">
        <w:rPr>
          <w:rtl/>
          <w:lang w:eastAsia="zh-TW"/>
        </w:rPr>
        <w:t>الماوريين</w:t>
      </w:r>
      <w:proofErr w:type="spellEnd"/>
      <w:r w:rsidR="009C3B0B">
        <w:rPr>
          <w:rtl/>
          <w:lang w:eastAsia="zh-TW"/>
        </w:rPr>
        <w:t xml:space="preserve"> على التحدث باللغة الماورية ما زالت متدنية، ويرجع ذلك، في بعض الحالات، إلى ثني الطلاب عن استخدام هذه اللغة، بحسب التقارير (المادة ٥).</w:t>
      </w:r>
      <w:r>
        <w:rPr>
          <w:rFonts w:hint="cs"/>
          <w:rtl/>
          <w:lang w:eastAsia="zh-TW"/>
        </w:rPr>
        <w:t xml:space="preserve"> </w:t>
      </w:r>
    </w:p>
    <w:p w:rsidR="009C3B0B" w:rsidRPr="00523165" w:rsidRDefault="00523165" w:rsidP="00523165">
      <w:pPr>
        <w:pStyle w:val="SingleTxtGA"/>
        <w:rPr>
          <w:b/>
          <w:bCs/>
          <w:rtl/>
          <w:lang w:eastAsia="zh-TW"/>
        </w:rPr>
      </w:pPr>
      <w:r>
        <w:rPr>
          <w:rtl/>
          <w:lang w:eastAsia="zh-TW"/>
        </w:rPr>
        <w:t>٣٦-</w:t>
      </w:r>
      <w:r>
        <w:rPr>
          <w:rtl/>
          <w:lang w:eastAsia="zh-TW"/>
        </w:rPr>
        <w:tab/>
      </w:r>
      <w:r w:rsidR="009C3B0B" w:rsidRPr="00523165">
        <w:rPr>
          <w:b/>
          <w:bCs/>
          <w:rtl/>
          <w:lang w:eastAsia="zh-TW"/>
        </w:rPr>
        <w:t xml:space="preserve">توصي اللجنة الدولة الطرف بتعزيز إدماج التعليم باللغة الماورية في مناهجها التعليمية لجميع طلاب نيوزيلندا، وببذل مزيد من الجهود من أجل تعميم استخدام اللغة الماورية في جميع أنحاء البلد. </w:t>
      </w:r>
    </w:p>
    <w:p w:rsidR="009C3B0B" w:rsidRPr="00B371B9" w:rsidRDefault="009C3B0B" w:rsidP="00710BC8">
      <w:pPr>
        <w:pStyle w:val="H23GA"/>
        <w:keepNext/>
        <w:rPr>
          <w:rtl/>
        </w:rPr>
      </w:pPr>
      <w:r>
        <w:tab/>
      </w:r>
      <w:r>
        <w:tab/>
      </w:r>
      <w:r>
        <w:rPr>
          <w:rtl/>
        </w:rPr>
        <w:t>التعليم</w:t>
      </w:r>
    </w:p>
    <w:p w:rsidR="009C3B0B" w:rsidRDefault="00523165" w:rsidP="00523165">
      <w:pPr>
        <w:pStyle w:val="SingleTxtGA"/>
        <w:rPr>
          <w:rtl/>
          <w:lang w:eastAsia="zh-TW"/>
        </w:rPr>
      </w:pPr>
      <w:r>
        <w:rPr>
          <w:rtl/>
          <w:lang w:eastAsia="zh-TW"/>
        </w:rPr>
        <w:t>٣٧-</w:t>
      </w:r>
      <w:r>
        <w:rPr>
          <w:rtl/>
          <w:lang w:eastAsia="zh-TW"/>
        </w:rPr>
        <w:tab/>
      </w:r>
      <w:r w:rsidR="009C3B0B">
        <w:rPr>
          <w:rtl/>
          <w:lang w:eastAsia="zh-TW"/>
        </w:rPr>
        <w:t>تعرب اللجنة عن أسفها لندرة المعلومات أو المؤشرات الاجتماعية</w:t>
      </w:r>
      <w:r w:rsidR="00D51141">
        <w:rPr>
          <w:rFonts w:hint="cs"/>
          <w:rtl/>
          <w:lang w:eastAsia="zh-TW"/>
        </w:rPr>
        <w:t xml:space="preserve"> </w:t>
      </w:r>
      <w:r w:rsidR="009C3B0B">
        <w:rPr>
          <w:rtl/>
          <w:lang w:eastAsia="zh-TW"/>
        </w:rPr>
        <w:t>-</w:t>
      </w:r>
      <w:r w:rsidR="00D51141">
        <w:rPr>
          <w:rFonts w:hint="cs"/>
          <w:rtl/>
          <w:lang w:eastAsia="zh-TW"/>
        </w:rPr>
        <w:t xml:space="preserve"> </w:t>
      </w:r>
      <w:r w:rsidR="009C3B0B">
        <w:rPr>
          <w:rtl/>
          <w:lang w:eastAsia="zh-TW"/>
        </w:rPr>
        <w:t xml:space="preserve">الاقتصادية التي تدل على أن تحسين فرص الوصول إلى جميع مستويات النظام التعليمي وتحسين المؤهلات الممنوحة من المؤسسات التعليمية قد أديا إلى ترقي </w:t>
      </w:r>
      <w:proofErr w:type="spellStart"/>
      <w:r w:rsidR="009C3B0B">
        <w:rPr>
          <w:rtl/>
          <w:lang w:eastAsia="zh-TW"/>
        </w:rPr>
        <w:t>الماوريين</w:t>
      </w:r>
      <w:proofErr w:type="spellEnd"/>
      <w:r w:rsidR="009C3B0B">
        <w:rPr>
          <w:rtl/>
          <w:lang w:eastAsia="zh-TW"/>
        </w:rPr>
        <w:t xml:space="preserve"> </w:t>
      </w:r>
      <w:proofErr w:type="spellStart"/>
      <w:r w:rsidR="009C3B0B">
        <w:rPr>
          <w:rtl/>
          <w:lang w:eastAsia="zh-TW"/>
        </w:rPr>
        <w:t>والباس</w:t>
      </w:r>
      <w:r w:rsidR="00710BC8">
        <w:rPr>
          <w:rFonts w:hint="cs"/>
          <w:rtl/>
          <w:lang w:eastAsia="zh-TW"/>
        </w:rPr>
        <w:t>ي</w:t>
      </w:r>
      <w:r w:rsidR="009C3B0B">
        <w:rPr>
          <w:rtl/>
          <w:lang w:eastAsia="zh-TW"/>
        </w:rPr>
        <w:t>فيكا</w:t>
      </w:r>
      <w:proofErr w:type="spellEnd"/>
      <w:r w:rsidR="009C3B0B">
        <w:rPr>
          <w:rtl/>
          <w:lang w:eastAsia="zh-TW"/>
        </w:rPr>
        <w:t xml:space="preserve"> في السلم الاجتماعي.</w:t>
      </w:r>
      <w:r w:rsidR="00D51141">
        <w:rPr>
          <w:rFonts w:hint="cs"/>
          <w:rtl/>
          <w:lang w:eastAsia="zh-TW"/>
        </w:rPr>
        <w:t xml:space="preserve"> </w:t>
      </w:r>
    </w:p>
    <w:p w:rsidR="009C3B0B" w:rsidRPr="00523165" w:rsidRDefault="00523165" w:rsidP="00523165">
      <w:pPr>
        <w:pStyle w:val="SingleTxtGA"/>
        <w:rPr>
          <w:b/>
          <w:bCs/>
          <w:rtl/>
          <w:lang w:eastAsia="zh-TW"/>
        </w:rPr>
      </w:pPr>
      <w:r>
        <w:rPr>
          <w:rtl/>
          <w:lang w:eastAsia="zh-TW"/>
        </w:rPr>
        <w:t>٣٨-</w:t>
      </w:r>
      <w:r>
        <w:rPr>
          <w:rtl/>
          <w:lang w:eastAsia="zh-TW"/>
        </w:rPr>
        <w:tab/>
      </w:r>
      <w:r w:rsidR="009C3B0B" w:rsidRPr="00523165">
        <w:rPr>
          <w:b/>
          <w:bCs/>
          <w:rtl/>
          <w:lang w:eastAsia="zh-TW"/>
        </w:rPr>
        <w:t xml:space="preserve">تشجع اللجنة الدولة الطرف على أن تضمن تقريرها الدوري المقبل معلومات عن التدابير المتخذة لتحسين النتائج التعليمية لطلاب </w:t>
      </w:r>
      <w:proofErr w:type="spellStart"/>
      <w:r w:rsidR="009C3B0B" w:rsidRPr="00523165">
        <w:rPr>
          <w:b/>
          <w:bCs/>
          <w:rtl/>
          <w:lang w:eastAsia="zh-TW"/>
        </w:rPr>
        <w:t>الماوريين</w:t>
      </w:r>
      <w:proofErr w:type="spellEnd"/>
      <w:r w:rsidR="009C3B0B" w:rsidRPr="00523165">
        <w:rPr>
          <w:b/>
          <w:bCs/>
          <w:rtl/>
          <w:lang w:eastAsia="zh-TW"/>
        </w:rPr>
        <w:t xml:space="preserve"> </w:t>
      </w:r>
      <w:proofErr w:type="spellStart"/>
      <w:r w:rsidR="009C3B0B" w:rsidRPr="00523165">
        <w:rPr>
          <w:b/>
          <w:bCs/>
          <w:rtl/>
          <w:lang w:eastAsia="zh-TW"/>
        </w:rPr>
        <w:t>والباس</w:t>
      </w:r>
      <w:r w:rsidR="00710BC8">
        <w:rPr>
          <w:rFonts w:hint="cs"/>
          <w:b/>
          <w:bCs/>
          <w:rtl/>
          <w:lang w:eastAsia="zh-TW"/>
        </w:rPr>
        <w:t>ي</w:t>
      </w:r>
      <w:r w:rsidR="009C3B0B" w:rsidRPr="00523165">
        <w:rPr>
          <w:b/>
          <w:bCs/>
          <w:rtl/>
          <w:lang w:eastAsia="zh-TW"/>
        </w:rPr>
        <w:t>فيكا</w:t>
      </w:r>
      <w:proofErr w:type="spellEnd"/>
      <w:r w:rsidR="009C3B0B" w:rsidRPr="00523165">
        <w:rPr>
          <w:b/>
          <w:bCs/>
          <w:rtl/>
          <w:lang w:eastAsia="zh-TW"/>
        </w:rPr>
        <w:t xml:space="preserve">. </w:t>
      </w:r>
    </w:p>
    <w:p w:rsidR="009C3B0B" w:rsidRPr="0094670F" w:rsidRDefault="00523165" w:rsidP="00523165">
      <w:pPr>
        <w:pStyle w:val="H1GA"/>
        <w:rPr>
          <w:rtl/>
          <w:lang w:eastAsia="zh-TW"/>
        </w:rPr>
      </w:pPr>
      <w:r>
        <w:rPr>
          <w:rtl/>
          <w:lang w:eastAsia="zh-TW"/>
        </w:rPr>
        <w:tab/>
      </w:r>
      <w:r w:rsidR="009C3B0B">
        <w:rPr>
          <w:rtl/>
          <w:lang w:eastAsia="zh-TW"/>
        </w:rPr>
        <w:t>دال-</w:t>
      </w:r>
      <w:r>
        <w:rPr>
          <w:rtl/>
          <w:lang w:eastAsia="zh-TW"/>
        </w:rPr>
        <w:tab/>
      </w:r>
      <w:r w:rsidR="009C3B0B">
        <w:rPr>
          <w:rtl/>
          <w:lang w:eastAsia="zh-TW"/>
        </w:rPr>
        <w:t xml:space="preserve">توصيات أخرى </w:t>
      </w:r>
    </w:p>
    <w:p w:rsidR="009C3B0B" w:rsidRPr="0094670F" w:rsidRDefault="009C3B0B" w:rsidP="00710BC8">
      <w:pPr>
        <w:pStyle w:val="H23GA"/>
        <w:keepNext/>
        <w:rPr>
          <w:rtl/>
        </w:rPr>
      </w:pPr>
      <w:r>
        <w:tab/>
      </w:r>
      <w:r>
        <w:tab/>
      </w:r>
      <w:r>
        <w:rPr>
          <w:rtl/>
        </w:rPr>
        <w:t>التصديق على صكوك أخرى</w:t>
      </w:r>
    </w:p>
    <w:p w:rsidR="009C3B0B" w:rsidRPr="00523165" w:rsidRDefault="00523165" w:rsidP="00523165">
      <w:pPr>
        <w:pStyle w:val="SingleTxtGA"/>
        <w:rPr>
          <w:b/>
          <w:bCs/>
          <w:rtl/>
          <w:lang w:eastAsia="zh-TW"/>
        </w:rPr>
      </w:pPr>
      <w:r>
        <w:rPr>
          <w:rtl/>
          <w:lang w:eastAsia="zh-TW"/>
        </w:rPr>
        <w:t>٣٩-</w:t>
      </w:r>
      <w:r>
        <w:rPr>
          <w:rtl/>
          <w:lang w:eastAsia="zh-TW"/>
        </w:rPr>
        <w:tab/>
      </w:r>
      <w:r w:rsidR="009C3B0B" w:rsidRPr="00523165">
        <w:rPr>
          <w:b/>
          <w:bCs/>
          <w:rtl/>
          <w:lang w:eastAsia="zh-TW"/>
        </w:rPr>
        <w:t>تشجع اللجنة الدولة الطرف على النظر في التصديق على الاتفاقية الدولية لحماية حقوق جميع العمال المهاجرين وأفراد أسرهم، واتفاقية الشعوب الأصلية والقبلية، 1989 (رقم 169)، واتفاقية منظمة العمل الدولية بشأن العمال المنزليين، 2011 (رقم 189).</w:t>
      </w:r>
    </w:p>
    <w:p w:rsidR="009C3B0B" w:rsidRPr="0094670F" w:rsidRDefault="009C3B0B" w:rsidP="00710BC8">
      <w:pPr>
        <w:pStyle w:val="H23GA"/>
        <w:keepNext/>
        <w:rPr>
          <w:rtl/>
        </w:rPr>
      </w:pPr>
      <w:r>
        <w:tab/>
      </w:r>
      <w:r>
        <w:tab/>
      </w:r>
      <w:r>
        <w:rPr>
          <w:rtl/>
        </w:rPr>
        <w:t xml:space="preserve">العقد الدولي للمنحدرين من أصل أفريقي </w:t>
      </w:r>
    </w:p>
    <w:p w:rsidR="009C3B0B" w:rsidRPr="00523165" w:rsidRDefault="00523165" w:rsidP="00523165">
      <w:pPr>
        <w:pStyle w:val="SingleTxtGA"/>
        <w:rPr>
          <w:b/>
          <w:bCs/>
          <w:rtl/>
          <w:lang w:eastAsia="zh-TW"/>
        </w:rPr>
      </w:pPr>
      <w:r>
        <w:rPr>
          <w:rtl/>
          <w:lang w:eastAsia="zh-TW"/>
        </w:rPr>
        <w:t>٤٠-</w:t>
      </w:r>
      <w:r>
        <w:rPr>
          <w:rtl/>
          <w:lang w:eastAsia="zh-TW"/>
        </w:rPr>
        <w:tab/>
      </w:r>
      <w:r w:rsidR="009C3B0B" w:rsidRPr="00523165">
        <w:rPr>
          <w:b/>
          <w:bCs/>
          <w:rtl/>
          <w:lang w:eastAsia="zh-TW"/>
        </w:rPr>
        <w:t>في ضوء قرار الجمعية العامة 68/237، تطلب اللجنة إلى الدولة الطرف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 (2011) بشأن التمييز العنصري ضد المنحدرين من أصل أفريقي.</w:t>
      </w:r>
    </w:p>
    <w:p w:rsidR="009C3B0B" w:rsidRPr="0094670F" w:rsidRDefault="009C3B0B" w:rsidP="00710BC8">
      <w:pPr>
        <w:pStyle w:val="H23GA"/>
        <w:keepNext/>
        <w:rPr>
          <w:rtl/>
        </w:rPr>
      </w:pPr>
      <w:r>
        <w:tab/>
      </w:r>
      <w:r>
        <w:tab/>
      </w:r>
      <w:r>
        <w:rPr>
          <w:rtl/>
        </w:rPr>
        <w:t>التشاور مع المجتمع المدني</w:t>
      </w:r>
    </w:p>
    <w:p w:rsidR="009C3B0B" w:rsidRPr="00523165" w:rsidRDefault="00523165" w:rsidP="00523165">
      <w:pPr>
        <w:pStyle w:val="SingleTxtGA"/>
        <w:rPr>
          <w:b/>
          <w:bCs/>
          <w:rtl/>
          <w:lang w:eastAsia="zh-TW"/>
        </w:rPr>
      </w:pPr>
      <w:r>
        <w:rPr>
          <w:rtl/>
          <w:lang w:eastAsia="zh-TW"/>
        </w:rPr>
        <w:t>٤١-</w:t>
      </w:r>
      <w:r>
        <w:rPr>
          <w:rtl/>
          <w:lang w:eastAsia="zh-TW"/>
        </w:rPr>
        <w:tab/>
      </w:r>
      <w:r w:rsidR="009C3B0B" w:rsidRPr="00523165">
        <w:rPr>
          <w:b/>
          <w:bCs/>
          <w:rtl/>
          <w:lang w:eastAsia="zh-TW"/>
        </w:rPr>
        <w:t xml:space="preserve">توصي اللجنة الدولة الطرف بالتشاور وتوسيع نطاق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 </w:t>
      </w:r>
    </w:p>
    <w:p w:rsidR="009C3B0B" w:rsidRPr="0096199F" w:rsidRDefault="00523165" w:rsidP="00710BC8">
      <w:pPr>
        <w:pStyle w:val="H23GA"/>
        <w:keepNext/>
        <w:rPr>
          <w:rtl/>
        </w:rPr>
      </w:pPr>
      <w:r>
        <w:rPr>
          <w:rtl/>
        </w:rPr>
        <w:lastRenderedPageBreak/>
        <w:tab/>
      </w:r>
      <w:r>
        <w:rPr>
          <w:rtl/>
        </w:rPr>
        <w:tab/>
      </w:r>
      <w:r w:rsidR="009C3B0B" w:rsidRPr="0096199F">
        <w:rPr>
          <w:rtl/>
        </w:rPr>
        <w:t>الإعلان المنصوص عليه في المادة 14 من الاتفاقية</w:t>
      </w:r>
    </w:p>
    <w:p w:rsidR="009C3B0B" w:rsidRPr="00523165" w:rsidRDefault="00523165" w:rsidP="00523165">
      <w:pPr>
        <w:pStyle w:val="SingleTxtGA"/>
        <w:rPr>
          <w:b/>
          <w:bCs/>
          <w:rtl/>
          <w:lang w:eastAsia="zh-TW"/>
        </w:rPr>
      </w:pPr>
      <w:r>
        <w:rPr>
          <w:rtl/>
          <w:lang w:eastAsia="zh-TW"/>
        </w:rPr>
        <w:t>٤٢-</w:t>
      </w:r>
      <w:r>
        <w:rPr>
          <w:rtl/>
          <w:lang w:eastAsia="zh-TW"/>
        </w:rPr>
        <w:tab/>
      </w:r>
      <w:r w:rsidR="009C3B0B" w:rsidRPr="00523165">
        <w:rPr>
          <w:b/>
          <w:bCs/>
          <w:rtl/>
          <w:lang w:eastAsia="zh-TW"/>
        </w:rPr>
        <w:t>تشجع اللجنة الدولة الطرف على إصدار الإعلان الاختياري المنصوص عليه في المادة 14 من الاتفاقية والاعتراف بذلك باختصاص اللجنة في تلقي البلاغات المقدمة من الأفراد والنظر فيها.</w:t>
      </w:r>
    </w:p>
    <w:p w:rsidR="009C3B0B" w:rsidRPr="0094670F" w:rsidRDefault="009C3B0B" w:rsidP="00710BC8">
      <w:pPr>
        <w:pStyle w:val="H23GA"/>
        <w:keepNext/>
        <w:rPr>
          <w:rtl/>
        </w:rPr>
      </w:pPr>
      <w:r>
        <w:tab/>
      </w:r>
      <w:r>
        <w:tab/>
      </w:r>
      <w:r>
        <w:rPr>
          <w:rtl/>
        </w:rPr>
        <w:t>الوثيقة الأساسية الموحدة</w:t>
      </w:r>
    </w:p>
    <w:p w:rsidR="009C3B0B" w:rsidRPr="00523165" w:rsidRDefault="00523165" w:rsidP="00523165">
      <w:pPr>
        <w:pStyle w:val="SingleTxtGA"/>
        <w:rPr>
          <w:b/>
          <w:bCs/>
          <w:rtl/>
          <w:lang w:eastAsia="zh-TW"/>
        </w:rPr>
      </w:pPr>
      <w:r>
        <w:rPr>
          <w:rtl/>
          <w:lang w:eastAsia="zh-TW"/>
        </w:rPr>
        <w:t>٤٣-</w:t>
      </w:r>
      <w:r>
        <w:rPr>
          <w:rtl/>
          <w:lang w:eastAsia="zh-TW"/>
        </w:rPr>
        <w:tab/>
      </w:r>
      <w:r w:rsidR="009C3B0B" w:rsidRPr="00523165">
        <w:rPr>
          <w:b/>
          <w:bCs/>
          <w:rtl/>
          <w:lang w:eastAsia="zh-TW"/>
        </w:rPr>
        <w:t>تشجع اللجنة الدولة الطرف على تحديث وثيقتها الأساسية الموحدة (</w:t>
      </w:r>
      <w:r w:rsidR="009C3B0B" w:rsidRPr="00523165">
        <w:rPr>
          <w:b/>
          <w:bCs/>
        </w:rPr>
        <w:t>HRI/CORE/NZL/2010</w:t>
      </w:r>
      <w:r w:rsidR="009C3B0B" w:rsidRPr="00523165">
        <w:rPr>
          <w:b/>
          <w:bCs/>
          <w:rtl/>
          <w:lang w:eastAsia="zh-TW"/>
        </w:rPr>
        <w:t xml:space="preserve">)، </w:t>
      </w:r>
      <w:r w:rsidR="00E73BB3">
        <w:rPr>
          <w:b/>
          <w:bCs/>
          <w:rtl/>
          <w:lang w:eastAsia="zh-TW"/>
        </w:rPr>
        <w:t>وفقاً</w:t>
      </w:r>
      <w:r w:rsidR="009C3B0B" w:rsidRPr="00523165">
        <w:rPr>
          <w:b/>
          <w:bCs/>
          <w:rtl/>
          <w:lang w:eastAsia="zh-TW"/>
        </w:rPr>
        <w:t xml:space="preserve">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w:t>
      </w:r>
      <w:r w:rsidR="00AC29CE">
        <w:rPr>
          <w:b/>
          <w:bCs/>
          <w:rtl/>
          <w:lang w:eastAsia="zh-TW"/>
        </w:rPr>
        <w:t>حقوق الإنسان المعقود في حزيران/</w:t>
      </w:r>
      <w:bookmarkStart w:id="1" w:name="_GoBack"/>
      <w:bookmarkEnd w:id="1"/>
      <w:proofErr w:type="gramStart"/>
      <w:r w:rsidR="009C3B0B" w:rsidRPr="00523165">
        <w:rPr>
          <w:b/>
          <w:bCs/>
          <w:rtl/>
          <w:lang w:eastAsia="zh-TW"/>
        </w:rPr>
        <w:t>يونيه</w:t>
      </w:r>
      <w:proofErr w:type="gramEnd"/>
      <w:r w:rsidR="009C3B0B" w:rsidRPr="00523165">
        <w:rPr>
          <w:b/>
          <w:bCs/>
          <w:rtl/>
          <w:lang w:eastAsia="zh-TW"/>
        </w:rPr>
        <w:t xml:space="preserve"> 2006 (</w:t>
      </w:r>
      <w:r w:rsidR="009C3B0B" w:rsidRPr="00523165">
        <w:rPr>
          <w:b/>
          <w:bCs/>
          <w:color w:val="000000"/>
        </w:rPr>
        <w:t>HRI/GEN/2/Rev.6</w:t>
      </w:r>
      <w:r w:rsidR="009C3B0B" w:rsidRPr="00523165">
        <w:rPr>
          <w:b/>
          <w:bCs/>
          <w:rtl/>
          <w:lang w:eastAsia="zh-TW"/>
        </w:rPr>
        <w:t>، الفصل الأول). وفي ضوء قرار الجمعية العامة 68/268، تحث اللجنة الدولة الطرف على الالتزام بالحد الأقصى لعدد الكلمات في هذه الوثائق، وهو 400 42 كلمة.</w:t>
      </w:r>
    </w:p>
    <w:p w:rsidR="009C3B0B" w:rsidRPr="0094670F" w:rsidRDefault="009C3B0B" w:rsidP="00710BC8">
      <w:pPr>
        <w:pStyle w:val="H23GA"/>
        <w:keepNext/>
        <w:rPr>
          <w:rtl/>
        </w:rPr>
      </w:pPr>
      <w:r>
        <w:tab/>
      </w:r>
      <w:r>
        <w:tab/>
      </w:r>
      <w:r>
        <w:rPr>
          <w:rtl/>
        </w:rPr>
        <w:t>متابعة هذه الملاحظات الختامية</w:t>
      </w:r>
    </w:p>
    <w:p w:rsidR="009C3B0B" w:rsidRPr="00523165" w:rsidRDefault="00523165" w:rsidP="00523165">
      <w:pPr>
        <w:pStyle w:val="SingleTxtGA"/>
        <w:rPr>
          <w:b/>
          <w:bCs/>
          <w:rtl/>
          <w:lang w:eastAsia="zh-TW"/>
        </w:rPr>
      </w:pPr>
      <w:r>
        <w:rPr>
          <w:rtl/>
          <w:lang w:eastAsia="zh-TW"/>
        </w:rPr>
        <w:t>٤٤-</w:t>
      </w:r>
      <w:r>
        <w:rPr>
          <w:rtl/>
          <w:lang w:eastAsia="zh-TW"/>
        </w:rPr>
        <w:tab/>
      </w:r>
      <w:r w:rsidR="009C3B0B" w:rsidRPr="00523165">
        <w:rPr>
          <w:b/>
          <w:bCs/>
          <w:rtl/>
          <w:lang w:eastAsia="zh-TW"/>
        </w:rPr>
        <w:t xml:space="preserve">تطلب اللجنة إلى الدولة الطرف، </w:t>
      </w:r>
      <w:r w:rsidR="00E73BB3">
        <w:rPr>
          <w:b/>
          <w:bCs/>
          <w:rtl/>
          <w:lang w:eastAsia="zh-TW"/>
        </w:rPr>
        <w:t>وفقاً</w:t>
      </w:r>
      <w:r w:rsidR="009C3B0B" w:rsidRPr="00523165">
        <w:rPr>
          <w:b/>
          <w:bCs/>
          <w:rtl/>
          <w:lang w:eastAsia="zh-TW"/>
        </w:rPr>
        <w:t xml:space="preserve"> للفقرة (1) من المادة 9 من الاتفاقية والمادة 65 من نظامها الداخلي، أن تقدم، في غضون سنة واحدة من اعتماد هذه الملاحظات الختامية، معلومات عن تنفيذها ا</w:t>
      </w:r>
      <w:r w:rsidR="00E73BB3">
        <w:rPr>
          <w:b/>
          <w:bCs/>
          <w:rtl/>
          <w:lang w:eastAsia="zh-TW"/>
        </w:rPr>
        <w:t>لتوصيات الواردة في الفقرات 15 و17 و</w:t>
      </w:r>
      <w:r w:rsidR="009C3B0B" w:rsidRPr="00523165">
        <w:rPr>
          <w:b/>
          <w:bCs/>
          <w:rtl/>
          <w:lang w:eastAsia="zh-TW"/>
        </w:rPr>
        <w:t xml:space="preserve">34 أعلاه. </w:t>
      </w:r>
    </w:p>
    <w:p w:rsidR="009C3B0B" w:rsidRPr="0094670F" w:rsidRDefault="009C3B0B" w:rsidP="00710BC8">
      <w:pPr>
        <w:pStyle w:val="H23GA"/>
        <w:keepNext/>
        <w:rPr>
          <w:rtl/>
        </w:rPr>
      </w:pPr>
      <w:r>
        <w:tab/>
      </w:r>
      <w:r>
        <w:tab/>
      </w:r>
      <w:r>
        <w:rPr>
          <w:rtl/>
        </w:rPr>
        <w:t>نشر المعلومات</w:t>
      </w:r>
    </w:p>
    <w:p w:rsidR="009C3B0B" w:rsidRPr="00523165" w:rsidRDefault="00523165" w:rsidP="00523165">
      <w:pPr>
        <w:pStyle w:val="SingleTxtGA"/>
        <w:rPr>
          <w:b/>
          <w:bCs/>
          <w:rtl/>
          <w:lang w:eastAsia="zh-TW"/>
        </w:rPr>
      </w:pPr>
      <w:r>
        <w:rPr>
          <w:rtl/>
          <w:lang w:eastAsia="zh-TW"/>
        </w:rPr>
        <w:t>٤٥-</w:t>
      </w:r>
      <w:r>
        <w:rPr>
          <w:rtl/>
          <w:lang w:eastAsia="zh-TW"/>
        </w:rPr>
        <w:tab/>
      </w:r>
      <w:r w:rsidR="009C3B0B" w:rsidRPr="00523165">
        <w:rPr>
          <w:b/>
          <w:bCs/>
          <w:rtl/>
          <w:lang w:eastAsia="zh-TW"/>
        </w:rPr>
        <w:t xml:space="preserve">توصي اللجنة الدولة الطرف بإتاحة الملاحظات الختامية للجنة لعامة الجمهور وتيسير الاطلاع عليها وقت تقديمها، وبنشر الملاحظات الختامية للجنة المتعلقة بتلك التقارير باللغة الرسمية للدولة الطرف وغيرها من اللغات الشائع استخدامها. </w:t>
      </w:r>
    </w:p>
    <w:p w:rsidR="009C3B0B" w:rsidRPr="0094670F" w:rsidRDefault="009C3B0B" w:rsidP="00710BC8">
      <w:pPr>
        <w:pStyle w:val="H23GA"/>
        <w:keepNext/>
        <w:rPr>
          <w:rtl/>
        </w:rPr>
      </w:pPr>
      <w:r>
        <w:tab/>
      </w:r>
      <w:r>
        <w:tab/>
      </w:r>
      <w:r>
        <w:rPr>
          <w:rtl/>
        </w:rPr>
        <w:t>إعداد التقرير الدوري المقبل</w:t>
      </w:r>
    </w:p>
    <w:p w:rsidR="009C3B0B" w:rsidRPr="00523165" w:rsidRDefault="00523165" w:rsidP="00523165">
      <w:pPr>
        <w:pStyle w:val="SingleTxtGA"/>
        <w:rPr>
          <w:b/>
          <w:bCs/>
          <w:rtl/>
          <w:lang w:eastAsia="zh-TW"/>
        </w:rPr>
      </w:pPr>
      <w:r>
        <w:rPr>
          <w:rtl/>
          <w:lang w:eastAsia="zh-TW"/>
        </w:rPr>
        <w:t>٤٦-</w:t>
      </w:r>
      <w:r>
        <w:rPr>
          <w:rtl/>
          <w:lang w:eastAsia="zh-TW"/>
        </w:rPr>
        <w:tab/>
      </w:r>
      <w:r w:rsidR="009C3B0B" w:rsidRPr="00523165">
        <w:rPr>
          <w:b/>
          <w:bCs/>
          <w:rtl/>
          <w:lang w:eastAsia="zh-TW"/>
        </w:rPr>
        <w:t>توصي اللجنة الدولة الطرف بأن تقدم تقريرها الجامع لتقريريها الدوريين الثالث والعشرين والرابع والعشرين في وثيقة واحدة، بحلول ٢٢ كانون الأول/ديسمبر ٢٠٢١، مع مراعاة المبادئ التوجيهية لتقديم التقارير التي اعتمدتها اللجنة أثناء دورتها الحادية والسبعين (</w:t>
      </w:r>
      <w:r w:rsidR="009C3B0B" w:rsidRPr="00523165">
        <w:rPr>
          <w:b/>
          <w:bCs/>
        </w:rPr>
        <w:t>CERD/C/2007/1</w:t>
      </w:r>
      <w:r w:rsidR="009C3B0B" w:rsidRPr="00523165">
        <w:rPr>
          <w:b/>
          <w:bCs/>
          <w:rtl/>
          <w:lang w:eastAsia="zh-TW"/>
        </w:rPr>
        <w:t xml:space="preserve">) ومعالجة جميع النقاط المثارة في هذه الملاحظات الختامية. </w:t>
      </w:r>
      <w:r w:rsidR="009C3B0B" w:rsidRPr="00523165">
        <w:rPr>
          <w:rFonts w:ascii="Traditional Arabic" w:hAnsi="Traditional Arabic" w:hint="cs"/>
          <w:b/>
          <w:bCs/>
          <w:rtl/>
          <w:lang w:eastAsia="zh-TW"/>
        </w:rPr>
        <w:t>وفي</w:t>
      </w:r>
      <w:r w:rsidR="009C3B0B" w:rsidRPr="00523165">
        <w:rPr>
          <w:b/>
          <w:bCs/>
          <w:rtl/>
          <w:lang w:eastAsia="zh-TW"/>
        </w:rPr>
        <w:t xml:space="preserve"> </w:t>
      </w:r>
      <w:r w:rsidR="009C3B0B" w:rsidRPr="00523165">
        <w:rPr>
          <w:rFonts w:ascii="Traditional Arabic" w:hAnsi="Traditional Arabic" w:hint="cs"/>
          <w:b/>
          <w:bCs/>
          <w:rtl/>
          <w:lang w:eastAsia="zh-TW"/>
        </w:rPr>
        <w:t>ضوء</w:t>
      </w:r>
      <w:r w:rsidR="009C3B0B" w:rsidRPr="00523165">
        <w:rPr>
          <w:b/>
          <w:bCs/>
          <w:rtl/>
          <w:lang w:eastAsia="zh-TW"/>
        </w:rPr>
        <w:t xml:space="preserve"> </w:t>
      </w:r>
      <w:r w:rsidR="009C3B0B" w:rsidRPr="00523165">
        <w:rPr>
          <w:rFonts w:ascii="Traditional Arabic" w:hAnsi="Traditional Arabic" w:hint="cs"/>
          <w:b/>
          <w:bCs/>
          <w:rtl/>
          <w:lang w:eastAsia="zh-TW"/>
        </w:rPr>
        <w:t>قرار</w:t>
      </w:r>
      <w:r w:rsidR="009C3B0B" w:rsidRPr="00523165">
        <w:rPr>
          <w:b/>
          <w:bCs/>
          <w:rtl/>
          <w:lang w:eastAsia="zh-TW"/>
        </w:rPr>
        <w:t xml:space="preserve"> </w:t>
      </w:r>
      <w:r w:rsidR="009C3B0B" w:rsidRPr="00523165">
        <w:rPr>
          <w:rFonts w:ascii="Traditional Arabic" w:hAnsi="Traditional Arabic" w:hint="cs"/>
          <w:b/>
          <w:bCs/>
          <w:rtl/>
          <w:lang w:eastAsia="zh-TW"/>
        </w:rPr>
        <w:t>الجمعية</w:t>
      </w:r>
      <w:r w:rsidR="009C3B0B" w:rsidRPr="00523165">
        <w:rPr>
          <w:b/>
          <w:bCs/>
          <w:rtl/>
          <w:lang w:eastAsia="zh-TW"/>
        </w:rPr>
        <w:t xml:space="preserve"> </w:t>
      </w:r>
      <w:r w:rsidR="009C3B0B" w:rsidRPr="00523165">
        <w:rPr>
          <w:rFonts w:ascii="Traditional Arabic" w:hAnsi="Traditional Arabic" w:hint="cs"/>
          <w:b/>
          <w:bCs/>
          <w:rtl/>
          <w:lang w:eastAsia="zh-TW"/>
        </w:rPr>
        <w:t>العامة</w:t>
      </w:r>
      <w:r w:rsidR="009C3B0B" w:rsidRPr="00523165">
        <w:rPr>
          <w:b/>
          <w:bCs/>
          <w:rtl/>
          <w:lang w:eastAsia="zh-TW"/>
        </w:rPr>
        <w:t xml:space="preserve"> 68/268</w:t>
      </w:r>
      <w:r w:rsidR="009C3B0B" w:rsidRPr="00523165">
        <w:rPr>
          <w:rFonts w:ascii="Traditional Arabic" w:hAnsi="Traditional Arabic" w:hint="cs"/>
          <w:b/>
          <w:bCs/>
          <w:rtl/>
          <w:lang w:eastAsia="zh-TW"/>
        </w:rPr>
        <w:t>،</w:t>
      </w:r>
      <w:r w:rsidR="009C3B0B" w:rsidRPr="00523165">
        <w:rPr>
          <w:b/>
          <w:bCs/>
          <w:rtl/>
          <w:lang w:eastAsia="zh-TW"/>
        </w:rPr>
        <w:t xml:space="preserve"> </w:t>
      </w:r>
      <w:r w:rsidR="009C3B0B" w:rsidRPr="00523165">
        <w:rPr>
          <w:rFonts w:ascii="Traditional Arabic" w:hAnsi="Traditional Arabic" w:hint="cs"/>
          <w:b/>
          <w:bCs/>
          <w:rtl/>
          <w:lang w:eastAsia="zh-TW"/>
        </w:rPr>
        <w:t>تحث</w:t>
      </w:r>
      <w:r w:rsidR="009C3B0B" w:rsidRPr="00523165">
        <w:rPr>
          <w:b/>
          <w:bCs/>
          <w:rtl/>
          <w:lang w:eastAsia="zh-TW"/>
        </w:rPr>
        <w:t xml:space="preserve"> </w:t>
      </w:r>
      <w:r w:rsidR="009C3B0B" w:rsidRPr="00523165">
        <w:rPr>
          <w:rFonts w:ascii="Traditional Arabic" w:hAnsi="Traditional Arabic" w:hint="cs"/>
          <w:b/>
          <w:bCs/>
          <w:rtl/>
          <w:lang w:eastAsia="zh-TW"/>
        </w:rPr>
        <w:t>اللجنة</w:t>
      </w:r>
      <w:r w:rsidR="009C3B0B" w:rsidRPr="00523165">
        <w:rPr>
          <w:b/>
          <w:bCs/>
          <w:rtl/>
          <w:lang w:eastAsia="zh-TW"/>
        </w:rPr>
        <w:t xml:space="preserve"> </w:t>
      </w:r>
      <w:r w:rsidR="009C3B0B" w:rsidRPr="00523165">
        <w:rPr>
          <w:rFonts w:ascii="Traditional Arabic" w:hAnsi="Traditional Arabic" w:hint="cs"/>
          <w:b/>
          <w:bCs/>
          <w:rtl/>
          <w:lang w:eastAsia="zh-TW"/>
        </w:rPr>
        <w:t>الدولة</w:t>
      </w:r>
      <w:r w:rsidR="009C3B0B" w:rsidRPr="00523165">
        <w:rPr>
          <w:b/>
          <w:bCs/>
          <w:rtl/>
          <w:lang w:eastAsia="zh-TW"/>
        </w:rPr>
        <w:t xml:space="preserve"> </w:t>
      </w:r>
      <w:r w:rsidR="009C3B0B" w:rsidRPr="00523165">
        <w:rPr>
          <w:rFonts w:ascii="Traditional Arabic" w:hAnsi="Traditional Arabic" w:hint="cs"/>
          <w:b/>
          <w:bCs/>
          <w:rtl/>
          <w:lang w:eastAsia="zh-TW"/>
        </w:rPr>
        <w:t>الطرف</w:t>
      </w:r>
      <w:r w:rsidR="009C3B0B" w:rsidRPr="00523165">
        <w:rPr>
          <w:b/>
          <w:bCs/>
          <w:rtl/>
          <w:lang w:eastAsia="zh-TW"/>
        </w:rPr>
        <w:t xml:space="preserve"> </w:t>
      </w:r>
      <w:r w:rsidR="009C3B0B" w:rsidRPr="00523165">
        <w:rPr>
          <w:rFonts w:ascii="Traditional Arabic" w:hAnsi="Traditional Arabic" w:hint="cs"/>
          <w:b/>
          <w:bCs/>
          <w:rtl/>
          <w:lang w:eastAsia="zh-TW"/>
        </w:rPr>
        <w:t>على</w:t>
      </w:r>
      <w:r w:rsidR="009C3B0B" w:rsidRPr="00523165">
        <w:rPr>
          <w:b/>
          <w:bCs/>
          <w:rtl/>
          <w:lang w:eastAsia="zh-TW"/>
        </w:rPr>
        <w:t xml:space="preserve"> </w:t>
      </w:r>
      <w:r w:rsidR="009C3B0B" w:rsidRPr="00523165">
        <w:rPr>
          <w:rFonts w:ascii="Traditional Arabic" w:hAnsi="Traditional Arabic" w:hint="cs"/>
          <w:b/>
          <w:bCs/>
          <w:rtl/>
          <w:lang w:eastAsia="zh-TW"/>
        </w:rPr>
        <w:t>التقيد</w:t>
      </w:r>
      <w:r w:rsidR="009C3B0B" w:rsidRPr="00523165">
        <w:rPr>
          <w:b/>
          <w:bCs/>
          <w:rtl/>
          <w:lang w:eastAsia="zh-TW"/>
        </w:rPr>
        <w:t xml:space="preserve"> </w:t>
      </w:r>
      <w:r w:rsidR="009C3B0B" w:rsidRPr="00523165">
        <w:rPr>
          <w:rFonts w:ascii="Traditional Arabic" w:hAnsi="Traditional Arabic" w:hint="cs"/>
          <w:b/>
          <w:bCs/>
          <w:rtl/>
          <w:lang w:eastAsia="zh-TW"/>
        </w:rPr>
        <w:t>بالحد</w:t>
      </w:r>
      <w:r w:rsidR="009C3B0B" w:rsidRPr="00523165">
        <w:rPr>
          <w:b/>
          <w:bCs/>
          <w:rtl/>
          <w:lang w:eastAsia="zh-TW"/>
        </w:rPr>
        <w:t xml:space="preserve"> </w:t>
      </w:r>
      <w:r w:rsidR="009C3B0B" w:rsidRPr="00523165">
        <w:rPr>
          <w:rFonts w:ascii="Traditional Arabic" w:hAnsi="Traditional Arabic" w:hint="cs"/>
          <w:b/>
          <w:bCs/>
          <w:rtl/>
          <w:lang w:eastAsia="zh-TW"/>
        </w:rPr>
        <w:t>الأقصى</w:t>
      </w:r>
      <w:r w:rsidR="009C3B0B" w:rsidRPr="00523165">
        <w:rPr>
          <w:b/>
          <w:bCs/>
          <w:rtl/>
          <w:lang w:eastAsia="zh-TW"/>
        </w:rPr>
        <w:t xml:space="preserve"> </w:t>
      </w:r>
      <w:r w:rsidR="009C3B0B" w:rsidRPr="00523165">
        <w:rPr>
          <w:rFonts w:ascii="Traditional Arabic" w:hAnsi="Traditional Arabic" w:hint="cs"/>
          <w:b/>
          <w:bCs/>
          <w:rtl/>
          <w:lang w:eastAsia="zh-TW"/>
        </w:rPr>
        <w:t>لعدد</w:t>
      </w:r>
      <w:r w:rsidR="009C3B0B" w:rsidRPr="00523165">
        <w:rPr>
          <w:b/>
          <w:bCs/>
          <w:rtl/>
          <w:lang w:eastAsia="zh-TW"/>
        </w:rPr>
        <w:t xml:space="preserve"> </w:t>
      </w:r>
      <w:r w:rsidR="009C3B0B" w:rsidRPr="00523165">
        <w:rPr>
          <w:rFonts w:ascii="Traditional Arabic" w:hAnsi="Traditional Arabic" w:hint="cs"/>
          <w:b/>
          <w:bCs/>
          <w:rtl/>
          <w:lang w:eastAsia="zh-TW"/>
        </w:rPr>
        <w:t>الكلمات</w:t>
      </w:r>
      <w:r w:rsidR="009C3B0B" w:rsidRPr="00523165">
        <w:rPr>
          <w:b/>
          <w:bCs/>
          <w:rtl/>
          <w:lang w:eastAsia="zh-TW"/>
        </w:rPr>
        <w:t xml:space="preserve"> </w:t>
      </w:r>
      <w:r w:rsidR="009C3B0B" w:rsidRPr="00523165">
        <w:rPr>
          <w:rFonts w:ascii="Traditional Arabic" w:hAnsi="Traditional Arabic" w:hint="cs"/>
          <w:b/>
          <w:bCs/>
          <w:rtl/>
          <w:lang w:eastAsia="zh-TW"/>
        </w:rPr>
        <w:t>البالغ</w:t>
      </w:r>
      <w:r w:rsidR="009C3B0B" w:rsidRPr="00523165">
        <w:rPr>
          <w:b/>
          <w:bCs/>
          <w:rtl/>
          <w:lang w:eastAsia="zh-TW"/>
        </w:rPr>
        <w:t xml:space="preserve"> 200 21 </w:t>
      </w:r>
      <w:r w:rsidR="009C3B0B" w:rsidRPr="00523165">
        <w:rPr>
          <w:rFonts w:ascii="Traditional Arabic" w:hAnsi="Traditional Arabic" w:hint="cs"/>
          <w:b/>
          <w:bCs/>
          <w:rtl/>
          <w:lang w:eastAsia="zh-TW"/>
        </w:rPr>
        <w:t>كلمة</w:t>
      </w:r>
      <w:r w:rsidR="009C3B0B" w:rsidRPr="00523165">
        <w:rPr>
          <w:b/>
          <w:bCs/>
          <w:rtl/>
          <w:lang w:eastAsia="zh-TW"/>
        </w:rPr>
        <w:t xml:space="preserve"> </w:t>
      </w:r>
      <w:r w:rsidR="009C3B0B" w:rsidRPr="00523165">
        <w:rPr>
          <w:rFonts w:ascii="Traditional Arabic" w:hAnsi="Traditional Arabic" w:hint="cs"/>
          <w:b/>
          <w:bCs/>
          <w:rtl/>
          <w:lang w:eastAsia="zh-TW"/>
        </w:rPr>
        <w:t>للتقارير</w:t>
      </w:r>
      <w:r w:rsidR="009C3B0B" w:rsidRPr="00523165">
        <w:rPr>
          <w:b/>
          <w:bCs/>
          <w:rtl/>
          <w:lang w:eastAsia="zh-TW"/>
        </w:rPr>
        <w:t xml:space="preserve"> </w:t>
      </w:r>
      <w:r w:rsidR="009C3B0B" w:rsidRPr="00523165">
        <w:rPr>
          <w:rFonts w:ascii="Traditional Arabic" w:hAnsi="Traditional Arabic" w:hint="cs"/>
          <w:b/>
          <w:bCs/>
          <w:rtl/>
          <w:lang w:eastAsia="zh-TW"/>
        </w:rPr>
        <w:t>الدورية</w:t>
      </w:r>
      <w:r w:rsidR="009C3B0B" w:rsidRPr="00523165">
        <w:rPr>
          <w:b/>
          <w:bCs/>
          <w:rtl/>
          <w:lang w:eastAsia="zh-TW"/>
        </w:rPr>
        <w:t>.</w:t>
      </w:r>
    </w:p>
    <w:p w:rsidR="009C3B0B" w:rsidRPr="00B371B9" w:rsidRDefault="009C3B0B" w:rsidP="009C3B0B">
      <w:pPr>
        <w:spacing w:line="240" w:lineRule="auto"/>
        <w:jc w:val="center"/>
        <w:rPr>
          <w:u w:val="single"/>
        </w:rPr>
      </w:pPr>
      <w:r w:rsidRPr="00B371B9">
        <w:rPr>
          <w:u w:val="single"/>
        </w:rPr>
        <w:tab/>
      </w:r>
      <w:r w:rsidRPr="00B371B9">
        <w:rPr>
          <w:u w:val="single"/>
        </w:rPr>
        <w:tab/>
      </w:r>
      <w:r w:rsidRPr="00B371B9">
        <w:rPr>
          <w:u w:val="single"/>
        </w:rPr>
        <w:tab/>
      </w:r>
    </w:p>
    <w:sectPr w:rsidR="009C3B0B" w:rsidRPr="00B371B9" w:rsidSect="009E45E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B9" w:rsidRPr="002901D9" w:rsidRDefault="00B44DB9" w:rsidP="002901D9">
      <w:pPr>
        <w:spacing w:after="60" w:line="240" w:lineRule="auto"/>
        <w:rPr>
          <w:i/>
          <w:iCs/>
        </w:rPr>
      </w:pPr>
      <w:r>
        <w:rPr>
          <w:rFonts w:hint="cs"/>
          <w:i/>
          <w:iCs/>
          <w:rtl/>
        </w:rPr>
        <w:t>الحواشي</w:t>
      </w:r>
    </w:p>
  </w:endnote>
  <w:endnote w:type="continuationSeparator" w:id="0">
    <w:p w:rsidR="00B44DB9" w:rsidRDefault="00B44D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ED" w:rsidRPr="009C3B0B" w:rsidRDefault="009C3B0B" w:rsidP="009C3B0B">
    <w:pPr>
      <w:pStyle w:val="Footer"/>
      <w:tabs>
        <w:tab w:val="right" w:pos="9598"/>
      </w:tabs>
      <w:rPr>
        <w:sz w:val="17"/>
      </w:rPr>
    </w:pPr>
    <w:r>
      <w:rPr>
        <w:sz w:val="17"/>
      </w:rPr>
      <w:t>GE.17-16711</w:t>
    </w:r>
    <w:r>
      <w:rPr>
        <w:sz w:val="17"/>
      </w:rPr>
      <w:tab/>
    </w:r>
    <w:r w:rsidRPr="009C3B0B">
      <w:rPr>
        <w:b/>
        <w:sz w:val="18"/>
      </w:rPr>
      <w:fldChar w:fldCharType="begin"/>
    </w:r>
    <w:r w:rsidRPr="009C3B0B">
      <w:rPr>
        <w:b/>
        <w:sz w:val="18"/>
      </w:rPr>
      <w:instrText xml:space="preserve"> PAGE  \* MERGEFORMAT </w:instrText>
    </w:r>
    <w:r w:rsidRPr="009C3B0B">
      <w:rPr>
        <w:b/>
        <w:sz w:val="18"/>
      </w:rPr>
      <w:fldChar w:fldCharType="separate"/>
    </w:r>
    <w:r w:rsidR="002C3B14">
      <w:rPr>
        <w:b/>
        <w:noProof/>
        <w:sz w:val="18"/>
      </w:rPr>
      <w:t>10</w:t>
    </w:r>
    <w:r w:rsidRPr="009C3B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C3B0B" w:rsidRDefault="009C3B0B" w:rsidP="006959B0">
    <w:pPr>
      <w:pStyle w:val="Footer"/>
      <w:tabs>
        <w:tab w:val="right" w:pos="9599"/>
      </w:tabs>
      <w:jc w:val="left"/>
      <w:rPr>
        <w:b/>
        <w:sz w:val="18"/>
        <w:lang w:val="en-US"/>
      </w:rPr>
    </w:pPr>
    <w:r w:rsidRPr="009C3B0B">
      <w:rPr>
        <w:b/>
        <w:sz w:val="18"/>
        <w:lang w:val="en-US"/>
      </w:rPr>
      <w:fldChar w:fldCharType="begin"/>
    </w:r>
    <w:r w:rsidRPr="009C3B0B">
      <w:rPr>
        <w:b/>
        <w:sz w:val="18"/>
        <w:lang w:val="en-US"/>
      </w:rPr>
      <w:instrText xml:space="preserve"> PAGE  \* MERGEFORMAT </w:instrText>
    </w:r>
    <w:r w:rsidRPr="009C3B0B">
      <w:rPr>
        <w:b/>
        <w:sz w:val="18"/>
        <w:lang w:val="en-US"/>
      </w:rPr>
      <w:fldChar w:fldCharType="separate"/>
    </w:r>
    <w:r w:rsidR="002C3B14">
      <w:rPr>
        <w:b/>
        <w:noProof/>
        <w:sz w:val="18"/>
        <w:lang w:val="en-US"/>
      </w:rPr>
      <w:t>9</w:t>
    </w:r>
    <w:r w:rsidRPr="009C3B0B">
      <w:rPr>
        <w:b/>
        <w:sz w:val="18"/>
        <w:lang w:val="en-US"/>
      </w:rPr>
      <w:fldChar w:fldCharType="end"/>
    </w:r>
    <w:r>
      <w:rPr>
        <w:b/>
        <w:sz w:val="18"/>
        <w:lang w:val="en-US"/>
      </w:rPr>
      <w:tab/>
    </w:r>
    <w:r>
      <w:rPr>
        <w:sz w:val="17"/>
        <w:lang w:val="en-US"/>
      </w:rPr>
      <w:t>GE.17-16711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9E45ED" w:rsidP="00912700">
    <w:pPr>
      <w:pStyle w:val="Footer"/>
      <w:spacing w:before="360"/>
      <w:jc w:val="right"/>
      <w:rPr>
        <w:sz w:val="20"/>
        <w:szCs w:val="20"/>
      </w:rPr>
    </w:pPr>
    <w:r>
      <w:rPr>
        <w:sz w:val="20"/>
        <w:szCs w:val="20"/>
      </w:rPr>
      <w:t>GE.17-16711</w:t>
    </w:r>
    <w:r w:rsidR="00156D54">
      <w:rPr>
        <w:noProof/>
        <w:lang w:val="en-US"/>
      </w:rPr>
      <w:drawing>
        <wp:anchor distT="0" distB="0" distL="114300" distR="114300" simplePos="0" relativeHeight="251664384"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9E45ED" w:rsidRPr="009E45ED" w:rsidRDefault="009E45ED" w:rsidP="009E45E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B9" w:rsidRDefault="00B44DB9" w:rsidP="00CB28F9">
      <w:pPr>
        <w:pStyle w:val="Footer"/>
        <w:bidi/>
        <w:spacing w:after="80" w:line="200" w:lineRule="exact"/>
        <w:ind w:left="680"/>
      </w:pPr>
      <w:r>
        <w:rPr>
          <w:rtl/>
        </w:rPr>
        <w:t>__________</w:t>
      </w:r>
    </w:p>
  </w:footnote>
  <w:footnote w:type="continuationSeparator" w:id="0">
    <w:p w:rsidR="00B44DB9" w:rsidRDefault="00B44DB9" w:rsidP="00656392">
      <w:pPr>
        <w:spacing w:line="240" w:lineRule="auto"/>
      </w:pPr>
      <w:r>
        <w:continuationSeparator/>
      </w:r>
    </w:p>
  </w:footnote>
  <w:footnote w:id="1">
    <w:p w:rsidR="00523165" w:rsidRPr="00523165" w:rsidRDefault="00523165" w:rsidP="00523165">
      <w:pPr>
        <w:pStyle w:val="FootnoteText1"/>
        <w:rPr>
          <w:lang w:bidi="ar-DZ"/>
        </w:rPr>
      </w:pPr>
      <w:r>
        <w:rPr>
          <w:rtl/>
          <w:lang w:bidi="ar-DZ"/>
        </w:rPr>
        <w:t>*</w:t>
      </w:r>
      <w:r>
        <w:rPr>
          <w:rtl/>
          <w:lang w:bidi="ar-DZ"/>
        </w:rPr>
        <w:tab/>
      </w:r>
      <w:r w:rsidRPr="00523165">
        <w:rPr>
          <w:rtl/>
          <w:lang w:bidi="ar-DZ"/>
        </w:rPr>
        <w:t>اعتمدتها اللجنة في دورتها الثالثة والتسعين (31 تموز/يوليه - 25 آب/أغسطس 2017).</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ED" w:rsidRPr="009C3B0B" w:rsidRDefault="009C3B0B" w:rsidP="009C3B0B">
    <w:pPr>
      <w:pStyle w:val="Header"/>
      <w:jc w:val="right"/>
    </w:pPr>
    <w:r w:rsidRPr="009C3B0B">
      <w:t>CERD/C/NZL/CO/21-22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ED" w:rsidRPr="009C3B0B" w:rsidRDefault="009C3B0B" w:rsidP="009C3B0B">
    <w:pPr>
      <w:pStyle w:val="Header"/>
      <w:jc w:val="left"/>
    </w:pPr>
    <w:r w:rsidRPr="009C3B0B">
      <w:t>CERD/C/NZL/CO/21-22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44DB9"/>
    <w:rsid w:val="000076D5"/>
    <w:rsid w:val="00043663"/>
    <w:rsid w:val="000505CF"/>
    <w:rsid w:val="000D701C"/>
    <w:rsid w:val="000E2A71"/>
    <w:rsid w:val="00111BC5"/>
    <w:rsid w:val="00126B15"/>
    <w:rsid w:val="00156D54"/>
    <w:rsid w:val="00160263"/>
    <w:rsid w:val="0018103F"/>
    <w:rsid w:val="00181F96"/>
    <w:rsid w:val="001A1371"/>
    <w:rsid w:val="001B346A"/>
    <w:rsid w:val="001E1CAD"/>
    <w:rsid w:val="001E290D"/>
    <w:rsid w:val="002144FA"/>
    <w:rsid w:val="0023469A"/>
    <w:rsid w:val="00243C8A"/>
    <w:rsid w:val="00267A0E"/>
    <w:rsid w:val="002901D9"/>
    <w:rsid w:val="002976C2"/>
    <w:rsid w:val="002C3B14"/>
    <w:rsid w:val="002D2D42"/>
    <w:rsid w:val="002E1E51"/>
    <w:rsid w:val="002F26B9"/>
    <w:rsid w:val="003260FF"/>
    <w:rsid w:val="00326A5E"/>
    <w:rsid w:val="00343D95"/>
    <w:rsid w:val="00374341"/>
    <w:rsid w:val="003D1062"/>
    <w:rsid w:val="003E0437"/>
    <w:rsid w:val="00420D7B"/>
    <w:rsid w:val="00450B21"/>
    <w:rsid w:val="00453B63"/>
    <w:rsid w:val="00455780"/>
    <w:rsid w:val="004A14A6"/>
    <w:rsid w:val="004B0A1C"/>
    <w:rsid w:val="004D298E"/>
    <w:rsid w:val="00513C96"/>
    <w:rsid w:val="00523165"/>
    <w:rsid w:val="00523BAE"/>
    <w:rsid w:val="0054472E"/>
    <w:rsid w:val="00557A40"/>
    <w:rsid w:val="0056339E"/>
    <w:rsid w:val="005662A9"/>
    <w:rsid w:val="005827D4"/>
    <w:rsid w:val="0059622A"/>
    <w:rsid w:val="005C5878"/>
    <w:rsid w:val="005C7CEA"/>
    <w:rsid w:val="005D110D"/>
    <w:rsid w:val="005D3C0B"/>
    <w:rsid w:val="005E5217"/>
    <w:rsid w:val="005F0FA4"/>
    <w:rsid w:val="005F30EE"/>
    <w:rsid w:val="0060473A"/>
    <w:rsid w:val="00656392"/>
    <w:rsid w:val="0068781D"/>
    <w:rsid w:val="006959B0"/>
    <w:rsid w:val="006B3E27"/>
    <w:rsid w:val="006B6507"/>
    <w:rsid w:val="006C104C"/>
    <w:rsid w:val="006D70B3"/>
    <w:rsid w:val="00710BC8"/>
    <w:rsid w:val="00733704"/>
    <w:rsid w:val="00734E2E"/>
    <w:rsid w:val="0078071A"/>
    <w:rsid w:val="0081199B"/>
    <w:rsid w:val="00852A9A"/>
    <w:rsid w:val="00892FBE"/>
    <w:rsid w:val="008F49E1"/>
    <w:rsid w:val="0090370F"/>
    <w:rsid w:val="00912700"/>
    <w:rsid w:val="009269D2"/>
    <w:rsid w:val="00942135"/>
    <w:rsid w:val="009521B0"/>
    <w:rsid w:val="00994130"/>
    <w:rsid w:val="009A7E9F"/>
    <w:rsid w:val="009C3B0B"/>
    <w:rsid w:val="009E45ED"/>
    <w:rsid w:val="009E5018"/>
    <w:rsid w:val="00A12B37"/>
    <w:rsid w:val="00AB6758"/>
    <w:rsid w:val="00AC29CE"/>
    <w:rsid w:val="00B13763"/>
    <w:rsid w:val="00B44DB9"/>
    <w:rsid w:val="00B477A4"/>
    <w:rsid w:val="00B54045"/>
    <w:rsid w:val="00BE323C"/>
    <w:rsid w:val="00C438D7"/>
    <w:rsid w:val="00C50782"/>
    <w:rsid w:val="00C81B50"/>
    <w:rsid w:val="00CB28F9"/>
    <w:rsid w:val="00CD1801"/>
    <w:rsid w:val="00D10EF1"/>
    <w:rsid w:val="00D42810"/>
    <w:rsid w:val="00D51141"/>
    <w:rsid w:val="00D914A7"/>
    <w:rsid w:val="00DD13C3"/>
    <w:rsid w:val="00DD596E"/>
    <w:rsid w:val="00DD621E"/>
    <w:rsid w:val="00DE7554"/>
    <w:rsid w:val="00DF0575"/>
    <w:rsid w:val="00E70E04"/>
    <w:rsid w:val="00E73BB3"/>
    <w:rsid w:val="00E76499"/>
    <w:rsid w:val="00EC05A7"/>
    <w:rsid w:val="00EC4B6B"/>
    <w:rsid w:val="00EF1EE5"/>
    <w:rsid w:val="00F71D0B"/>
    <w:rsid w:val="00F763B4"/>
    <w:rsid w:val="00F900C3"/>
    <w:rsid w:val="00F93F15"/>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39C019"/>
  <w15:docId w15:val="{09B49839-1E36-4A7E-8F1E-65A80143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9C3B0B"/>
    <w:pPr>
      <w:suppressAutoHyphens/>
      <w:bidi w:val="0"/>
      <w:spacing w:after="120"/>
      <w:ind w:left="1134" w:right="1134"/>
      <w:jc w:val="both"/>
    </w:pPr>
    <w:rPr>
      <w:rFonts w:eastAsia="SimSun"/>
      <w:lang w:val="en-GB"/>
    </w:rPr>
  </w:style>
  <w:style w:type="paragraph" w:customStyle="1" w:styleId="HChG">
    <w:name w:val="_ H _Ch_G"/>
    <w:basedOn w:val="Normal"/>
    <w:next w:val="Normal"/>
    <w:rsid w:val="009C3B0B"/>
    <w:pPr>
      <w:keepNext/>
      <w:keepLines/>
      <w:tabs>
        <w:tab w:val="right" w:pos="851"/>
      </w:tabs>
      <w:suppressAutoHyphens/>
      <w:bidi w:val="0"/>
      <w:spacing w:before="360" w:after="240" w:line="300" w:lineRule="exact"/>
      <w:ind w:left="1134" w:right="1134" w:hanging="1134"/>
      <w:jc w:val="left"/>
    </w:pPr>
    <w:rPr>
      <w:rFonts w:eastAsia="SimSun" w:hint="cs"/>
      <w:b/>
      <w:sz w:val="28"/>
      <w:lang w:val="en-GB"/>
    </w:rPr>
  </w:style>
  <w:style w:type="paragraph" w:customStyle="1" w:styleId="H1G">
    <w:name w:val="_ H_1_G"/>
    <w:basedOn w:val="Normal"/>
    <w:next w:val="Normal"/>
    <w:rsid w:val="009C3B0B"/>
    <w:pPr>
      <w:keepNext/>
      <w:keepLines/>
      <w:tabs>
        <w:tab w:val="right" w:pos="851"/>
      </w:tabs>
      <w:suppressAutoHyphens/>
      <w:bidi w:val="0"/>
      <w:spacing w:before="360" w:after="240" w:line="270" w:lineRule="exact"/>
      <w:ind w:left="1134" w:right="1134" w:hanging="1134"/>
      <w:jc w:val="left"/>
    </w:pPr>
    <w:rPr>
      <w:rFonts w:eastAsia="SimSun" w:hint="cs"/>
      <w:b/>
      <w:sz w:val="24"/>
      <w:lang w:val="en-GB"/>
    </w:rPr>
  </w:style>
  <w:style w:type="paragraph" w:customStyle="1" w:styleId="H23G">
    <w:name w:val="_ H_2/3_G"/>
    <w:basedOn w:val="Normal"/>
    <w:next w:val="Normal"/>
    <w:rsid w:val="009C3B0B"/>
    <w:pPr>
      <w:keepNext/>
      <w:keepLines/>
      <w:tabs>
        <w:tab w:val="right" w:pos="851"/>
      </w:tabs>
      <w:suppressAutoHyphens/>
      <w:bidi w:val="0"/>
      <w:spacing w:before="240" w:after="120" w:line="240" w:lineRule="exact"/>
      <w:ind w:left="1134" w:right="1134" w:hanging="1134"/>
      <w:jc w:val="left"/>
    </w:pPr>
    <w:rPr>
      <w:rFonts w:eastAsia="SimSun" w:hint="cs"/>
      <w:b/>
      <w:lang w:val="en-GB"/>
    </w:rPr>
  </w:style>
  <w:style w:type="character" w:customStyle="1" w:styleId="SingleTxtGChar">
    <w:name w:val="_ Single Txt_G Char"/>
    <w:link w:val="SingleTxtG"/>
    <w:rsid w:val="009C3B0B"/>
    <w:rPr>
      <w:rFonts w:ascii="Times New Roman" w:eastAsia="SimSu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5A7B-BF1D-4B11-9E65-EDCE3DAD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CERD/C/NZL/CO/21-22</vt:lpstr>
    </vt:vector>
  </TitlesOfParts>
  <Company>DCM</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CERD/C/NZL/CO/21-22</dc:title>
  <dc:subject>GE.1716711A</dc:subject>
  <dc:creator>IHRZ</dc:creator>
  <cp:keywords>ODS No.1727764</cp:keywords>
  <dc:description>Distr.: General_x000d_
22 September 2017_x000d_
Original: English</dc:description>
  <cp:lastModifiedBy>Gamal MAHMOUD</cp:lastModifiedBy>
  <cp:revision>2</cp:revision>
  <cp:lastPrinted>2017-10-16T14:28:00Z</cp:lastPrinted>
  <dcterms:created xsi:type="dcterms:W3CDTF">2017-10-16T15:02:00Z</dcterms:created>
  <dcterms:modified xsi:type="dcterms:W3CDTF">2017-10-16T15:02:00Z</dcterms:modified>
  <cp:category>Final</cp:category>
</cp:coreProperties>
</file>