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2E41A6" w:rsidP="002E41A6">
            <w:pPr>
              <w:jc w:val="right"/>
            </w:pPr>
            <w:r w:rsidRPr="002E41A6">
              <w:rPr>
                <w:sz w:val="40"/>
              </w:rPr>
              <w:t>CERD</w:t>
            </w:r>
            <w:r>
              <w:t>/C/NZL/CO/18-20</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742D4E">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2E41A6" w:rsidRDefault="002E41A6" w:rsidP="00593658">
            <w:pPr>
              <w:spacing w:before="240"/>
            </w:pPr>
            <w:proofErr w:type="spellStart"/>
            <w:r>
              <w:t>Distr</w:t>
            </w:r>
            <w:proofErr w:type="spellEnd"/>
            <w:r>
              <w:t>. générale</w:t>
            </w:r>
          </w:p>
          <w:p w:rsidR="002E41A6" w:rsidRDefault="002E41A6" w:rsidP="002E41A6">
            <w:pPr>
              <w:spacing w:line="240" w:lineRule="exact"/>
            </w:pPr>
            <w:r>
              <w:t>17 avril 2013</w:t>
            </w:r>
          </w:p>
          <w:p w:rsidR="002E41A6" w:rsidRDefault="002E41A6" w:rsidP="002E41A6">
            <w:pPr>
              <w:spacing w:line="240" w:lineRule="exact"/>
            </w:pPr>
            <w:r>
              <w:t>Français</w:t>
            </w:r>
          </w:p>
          <w:p w:rsidR="002E0D40" w:rsidRPr="00DB58B5" w:rsidRDefault="002E41A6" w:rsidP="002E41A6">
            <w:pPr>
              <w:spacing w:line="240" w:lineRule="exact"/>
            </w:pPr>
            <w:r>
              <w:t>Original: anglais</w:t>
            </w:r>
          </w:p>
        </w:tc>
      </w:tr>
    </w:tbl>
    <w:p w:rsidR="00FF1DBD" w:rsidRDefault="0078670C" w:rsidP="002E41A6">
      <w:pPr>
        <w:spacing w:before="120"/>
        <w:rPr>
          <w:b/>
          <w:sz w:val="24"/>
          <w:szCs w:val="24"/>
        </w:rPr>
      </w:pPr>
      <w:r w:rsidRPr="00C56102">
        <w:rPr>
          <w:b/>
          <w:sz w:val="24"/>
          <w:szCs w:val="24"/>
        </w:rPr>
        <w:t>Comité pour l</w:t>
      </w:r>
      <w:r w:rsidR="00742D4E">
        <w:rPr>
          <w:b/>
          <w:sz w:val="24"/>
          <w:szCs w:val="24"/>
        </w:rPr>
        <w:t>’</w:t>
      </w:r>
      <w:r w:rsidRPr="00C56102">
        <w:rPr>
          <w:b/>
          <w:sz w:val="24"/>
          <w:szCs w:val="24"/>
        </w:rPr>
        <w:t>éliminati</w:t>
      </w:r>
      <w:r w:rsidR="002E41A6">
        <w:rPr>
          <w:b/>
          <w:sz w:val="24"/>
          <w:szCs w:val="24"/>
        </w:rPr>
        <w:t>on de la discrimination raciale</w:t>
      </w:r>
    </w:p>
    <w:p w:rsidR="002E41A6" w:rsidRPr="0055102C" w:rsidRDefault="002E41A6" w:rsidP="002E41A6">
      <w:pPr>
        <w:pStyle w:val="HChG"/>
        <w:rPr>
          <w:szCs w:val="24"/>
        </w:rPr>
      </w:pPr>
      <w:r w:rsidRPr="0055102C">
        <w:tab/>
      </w:r>
      <w:r w:rsidRPr="0055102C">
        <w:tab/>
        <w:t xml:space="preserve">Observations finales concernant les </w:t>
      </w:r>
      <w:proofErr w:type="spellStart"/>
      <w:r w:rsidRPr="0055102C">
        <w:t>dix</w:t>
      </w:r>
      <w:r w:rsidR="00CB3F7C">
        <w:noBreakHyphen/>
      </w:r>
      <w:r w:rsidRPr="0055102C">
        <w:t>huitième</w:t>
      </w:r>
      <w:proofErr w:type="spellEnd"/>
      <w:r w:rsidRPr="0055102C">
        <w:t xml:space="preserve"> à</w:t>
      </w:r>
      <w:r w:rsidR="00CB3F7C">
        <w:t> </w:t>
      </w:r>
      <w:r w:rsidRPr="0055102C">
        <w:t xml:space="preserve">vingtième rapports périodiques de la </w:t>
      </w:r>
      <w:proofErr w:type="spellStart"/>
      <w:r w:rsidRPr="0055102C">
        <w:t>Nouvelle</w:t>
      </w:r>
      <w:r w:rsidR="00CB3F7C">
        <w:noBreakHyphen/>
      </w:r>
      <w:r w:rsidRPr="0055102C">
        <w:t>Zélande</w:t>
      </w:r>
      <w:proofErr w:type="spellEnd"/>
      <w:r w:rsidRPr="0055102C">
        <w:t>, adoptées par</w:t>
      </w:r>
      <w:r w:rsidR="00CB3F7C">
        <w:t> </w:t>
      </w:r>
      <w:r w:rsidRPr="0055102C">
        <w:t>le</w:t>
      </w:r>
      <w:r w:rsidR="00CB3F7C">
        <w:t> </w:t>
      </w:r>
      <w:r w:rsidRPr="0055102C">
        <w:t xml:space="preserve">Comité à sa </w:t>
      </w:r>
      <w:proofErr w:type="spellStart"/>
      <w:r w:rsidRPr="0055102C">
        <w:t>quatre</w:t>
      </w:r>
      <w:r w:rsidR="00D332B5">
        <w:noBreakHyphen/>
      </w:r>
      <w:r w:rsidRPr="0055102C">
        <w:t>vingt</w:t>
      </w:r>
      <w:r w:rsidR="00D332B5">
        <w:noBreakHyphen/>
      </w:r>
      <w:r w:rsidRPr="0055102C">
        <w:t>deuxième</w:t>
      </w:r>
      <w:proofErr w:type="spellEnd"/>
      <w:r w:rsidRPr="0055102C">
        <w:t xml:space="preserve"> session</w:t>
      </w:r>
      <w:r w:rsidR="00CB3F7C">
        <w:br/>
      </w:r>
      <w:r w:rsidR="00D332B5">
        <w:t>(11 </w:t>
      </w:r>
      <w:r w:rsidRPr="0055102C">
        <w:t>février</w:t>
      </w:r>
      <w:r w:rsidR="00D332B5">
        <w:noBreakHyphen/>
        <w:t>1</w:t>
      </w:r>
      <w:r w:rsidR="00D332B5" w:rsidRPr="00D332B5">
        <w:rPr>
          <w:vertAlign w:val="superscript"/>
        </w:rPr>
        <w:t>er</w:t>
      </w:r>
      <w:r w:rsidR="00D332B5">
        <w:t> </w:t>
      </w:r>
      <w:r w:rsidRPr="0055102C">
        <w:t>mars 2013)</w:t>
      </w:r>
    </w:p>
    <w:p w:rsidR="002E41A6" w:rsidRPr="005F08F5" w:rsidRDefault="002E41A6" w:rsidP="002E41A6">
      <w:pPr>
        <w:pStyle w:val="SingleTxtG"/>
      </w:pPr>
      <w:r w:rsidRPr="005F08F5">
        <w:t>1.</w:t>
      </w:r>
      <w:r w:rsidRPr="005F08F5">
        <w:tab/>
      </w:r>
      <w:r w:rsidRPr="00D32563">
        <w:rPr>
          <w:lang w:val="fr-FR"/>
        </w:rPr>
        <w:t>Le Comité a examiné les dix-huitième à vingtième rapports périodiques de</w:t>
      </w:r>
      <w:r w:rsidRPr="005F08F5">
        <w:t xml:space="preserve"> </w:t>
      </w:r>
      <w:r>
        <w:rPr>
          <w:lang w:val="fr-FR"/>
        </w:rPr>
        <w:t xml:space="preserve">la </w:t>
      </w:r>
      <w:r w:rsidRPr="00F771ED">
        <w:t>Nouvelle-Zélande</w:t>
      </w:r>
      <w:r>
        <w:t xml:space="preserve"> (</w:t>
      </w:r>
      <w:r w:rsidR="00B21C0B" w:rsidRPr="005F08F5">
        <w:t>CERD/C/NZL/18-20</w:t>
      </w:r>
      <w:r>
        <w:t xml:space="preserve">), </w:t>
      </w:r>
      <w:r>
        <w:rPr>
          <w:lang w:val="fr-FR"/>
        </w:rPr>
        <w:t>soumis</w:t>
      </w:r>
      <w:r w:rsidRPr="00D32563">
        <w:rPr>
          <w:lang w:val="fr-FR"/>
        </w:rPr>
        <w:t xml:space="preserve"> en un seul document</w:t>
      </w:r>
      <w:r w:rsidRPr="005F08F5">
        <w:t xml:space="preserve">, </w:t>
      </w:r>
      <w:r>
        <w:t>à ses</w:t>
      </w:r>
      <w:r w:rsidRPr="005F08F5">
        <w:t xml:space="preserve"> 2221</w:t>
      </w:r>
      <w:r w:rsidRPr="00AA087A">
        <w:rPr>
          <w:vertAlign w:val="superscript"/>
        </w:rPr>
        <w:t>e</w:t>
      </w:r>
      <w:r>
        <w:t xml:space="preserve"> et 2122</w:t>
      </w:r>
      <w:r w:rsidRPr="00AA087A">
        <w:rPr>
          <w:vertAlign w:val="superscript"/>
        </w:rPr>
        <w:t>e</w:t>
      </w:r>
      <w:r w:rsidR="0054127A">
        <w:t> </w:t>
      </w:r>
      <w:r>
        <w:t>séances</w:t>
      </w:r>
      <w:r w:rsidRPr="005F08F5">
        <w:t xml:space="preserve"> (</w:t>
      </w:r>
      <w:r w:rsidR="00B21C0B" w:rsidRPr="005F08F5">
        <w:t>CERD/C/SR.2221</w:t>
      </w:r>
      <w:r w:rsidRPr="005F08F5">
        <w:t xml:space="preserve"> </w:t>
      </w:r>
      <w:r>
        <w:t>et</w:t>
      </w:r>
      <w:r w:rsidR="0054127A">
        <w:t> </w:t>
      </w:r>
      <w:r w:rsidRPr="005F08F5">
        <w:t xml:space="preserve">2222), </w:t>
      </w:r>
      <w:r>
        <w:t>les</w:t>
      </w:r>
      <w:r w:rsidRPr="005F08F5">
        <w:t xml:space="preserve"> 21 </w:t>
      </w:r>
      <w:r>
        <w:t>et</w:t>
      </w:r>
      <w:r w:rsidRPr="005F08F5">
        <w:t xml:space="preserve"> 22</w:t>
      </w:r>
      <w:r w:rsidR="0054127A">
        <w:t> </w:t>
      </w:r>
      <w:r>
        <w:t>février</w:t>
      </w:r>
      <w:r w:rsidRPr="005F08F5">
        <w:t xml:space="preserve"> 2013. </w:t>
      </w:r>
      <w:r>
        <w:t>À</w:t>
      </w:r>
      <w:r w:rsidR="0054127A">
        <w:t> </w:t>
      </w:r>
      <w:r>
        <w:t>sa 2230</w:t>
      </w:r>
      <w:r w:rsidRPr="00AA087A">
        <w:rPr>
          <w:vertAlign w:val="superscript"/>
        </w:rPr>
        <w:t>e</w:t>
      </w:r>
      <w:r w:rsidRPr="005F08F5">
        <w:t xml:space="preserve"> </w:t>
      </w:r>
      <w:r>
        <w:t>séance</w:t>
      </w:r>
      <w:r w:rsidRPr="005F08F5">
        <w:t xml:space="preserve"> (CERD/C/SR.2230), </w:t>
      </w:r>
      <w:r>
        <w:t>le</w:t>
      </w:r>
      <w:r w:rsidRPr="005F08F5">
        <w:t xml:space="preserve"> 28 </w:t>
      </w:r>
      <w:r>
        <w:t>février</w:t>
      </w:r>
      <w:r w:rsidRPr="005F08F5">
        <w:t xml:space="preserve"> 2013, </w:t>
      </w:r>
      <w:r w:rsidRPr="00D32563">
        <w:rPr>
          <w:lang w:val="fr-FR"/>
        </w:rPr>
        <w:t xml:space="preserve">il a adopté les observations finales </w:t>
      </w:r>
      <w:proofErr w:type="spellStart"/>
      <w:r w:rsidR="0054127A">
        <w:rPr>
          <w:lang w:val="fr-FR"/>
        </w:rPr>
        <w:t>ci</w:t>
      </w:r>
      <w:r w:rsidR="0054127A">
        <w:rPr>
          <w:lang w:val="fr-FR"/>
        </w:rPr>
        <w:noBreakHyphen/>
      </w:r>
      <w:r>
        <w:rPr>
          <w:lang w:val="fr-FR"/>
        </w:rPr>
        <w:t>après</w:t>
      </w:r>
      <w:proofErr w:type="spellEnd"/>
      <w:r w:rsidRPr="00D32563">
        <w:rPr>
          <w:lang w:val="fr-FR"/>
        </w:rPr>
        <w:t>.</w:t>
      </w:r>
    </w:p>
    <w:p w:rsidR="002E41A6" w:rsidRPr="0055102C" w:rsidRDefault="00E95F9C" w:rsidP="00E95F9C">
      <w:pPr>
        <w:pStyle w:val="H1G"/>
      </w:pPr>
      <w:r>
        <w:tab/>
      </w:r>
      <w:r w:rsidR="002E41A6" w:rsidRPr="0055102C">
        <w:t>A.</w:t>
      </w:r>
      <w:r w:rsidR="002E41A6" w:rsidRPr="0055102C">
        <w:tab/>
        <w:t>Introduction</w:t>
      </w:r>
    </w:p>
    <w:p w:rsidR="002E41A6" w:rsidRDefault="002E41A6" w:rsidP="002E41A6">
      <w:pPr>
        <w:pStyle w:val="SingleTxtG"/>
      </w:pPr>
      <w:r w:rsidRPr="005F08F5">
        <w:t>2.</w:t>
      </w:r>
      <w:r w:rsidRPr="005F08F5">
        <w:tab/>
      </w:r>
      <w:r w:rsidRPr="00D32563">
        <w:rPr>
          <w:lang w:val="fr-FR"/>
        </w:rPr>
        <w:t xml:space="preserve">Le Comité accueille avec satisfaction </w:t>
      </w:r>
      <w:r>
        <w:rPr>
          <w:lang w:val="fr-FR"/>
        </w:rPr>
        <w:t>le rapport unique valant</w:t>
      </w:r>
      <w:r w:rsidR="00E95F9C">
        <w:rPr>
          <w:lang w:val="fr-FR"/>
        </w:rPr>
        <w:t xml:space="preserve"> </w:t>
      </w:r>
      <w:proofErr w:type="spellStart"/>
      <w:r w:rsidR="00E95F9C">
        <w:rPr>
          <w:lang w:val="fr-FR"/>
        </w:rPr>
        <w:t>dix</w:t>
      </w:r>
      <w:r w:rsidR="00E95F9C">
        <w:rPr>
          <w:lang w:val="fr-FR"/>
        </w:rPr>
        <w:noBreakHyphen/>
      </w:r>
      <w:r w:rsidRPr="00D32563">
        <w:rPr>
          <w:lang w:val="fr-FR"/>
        </w:rPr>
        <w:t>huitième</w:t>
      </w:r>
      <w:proofErr w:type="spellEnd"/>
      <w:r w:rsidRPr="00D32563">
        <w:rPr>
          <w:lang w:val="fr-FR"/>
        </w:rPr>
        <w:t xml:space="preserve"> à</w:t>
      </w:r>
      <w:r w:rsidR="00E95F9C">
        <w:rPr>
          <w:lang w:val="fr-FR"/>
        </w:rPr>
        <w:t> </w:t>
      </w:r>
      <w:r w:rsidRPr="00D32563">
        <w:rPr>
          <w:lang w:val="fr-FR"/>
        </w:rPr>
        <w:t>vingtième rapports</w:t>
      </w:r>
      <w:r>
        <w:rPr>
          <w:lang w:val="fr-FR"/>
        </w:rPr>
        <w:t xml:space="preserve"> périodiques </w:t>
      </w:r>
      <w:r w:rsidRPr="00D32563">
        <w:rPr>
          <w:lang w:val="fr-FR"/>
        </w:rPr>
        <w:t>de l</w:t>
      </w:r>
      <w:r w:rsidR="00742D4E">
        <w:rPr>
          <w:lang w:val="fr-FR"/>
        </w:rPr>
        <w:t>’</w:t>
      </w:r>
      <w:r w:rsidRPr="00D32563">
        <w:rPr>
          <w:lang w:val="fr-FR"/>
        </w:rPr>
        <w:t>État partie</w:t>
      </w:r>
      <w:r>
        <w:rPr>
          <w:lang w:val="fr-FR"/>
        </w:rPr>
        <w:t>, qui suit les</w:t>
      </w:r>
      <w:r w:rsidRPr="00D32563">
        <w:rPr>
          <w:lang w:val="fr-FR"/>
        </w:rPr>
        <w:t xml:space="preserve"> directives </w:t>
      </w:r>
      <w:r>
        <w:rPr>
          <w:lang w:val="fr-FR"/>
        </w:rPr>
        <w:t xml:space="preserve">du Comité </w:t>
      </w:r>
      <w:r w:rsidRPr="00D32563">
        <w:rPr>
          <w:lang w:val="fr-FR"/>
        </w:rPr>
        <w:t xml:space="preserve">relatives </w:t>
      </w:r>
      <w:r>
        <w:rPr>
          <w:lang w:val="fr-FR"/>
        </w:rPr>
        <w:t>à l</w:t>
      </w:r>
      <w:r w:rsidR="00742D4E">
        <w:rPr>
          <w:lang w:val="fr-FR"/>
        </w:rPr>
        <w:t>’</w:t>
      </w:r>
      <w:r>
        <w:rPr>
          <w:lang w:val="fr-FR"/>
        </w:rPr>
        <w:t>établissement</w:t>
      </w:r>
      <w:r w:rsidRPr="00D32563">
        <w:rPr>
          <w:lang w:val="fr-FR"/>
        </w:rPr>
        <w:t xml:space="preserve"> des rapports</w:t>
      </w:r>
      <w:r>
        <w:rPr>
          <w:lang w:val="fr-FR"/>
        </w:rPr>
        <w:t xml:space="preserve">, notamment en ce qui concerne la limitation du nombre de pages, et tient compte des </w:t>
      </w:r>
      <w:r w:rsidR="00E95F9C">
        <w:rPr>
          <w:lang w:val="fr-FR"/>
        </w:rPr>
        <w:t xml:space="preserve">précédentes </w:t>
      </w:r>
      <w:r>
        <w:rPr>
          <w:lang w:val="fr-FR"/>
        </w:rPr>
        <w:t xml:space="preserve">observations </w:t>
      </w:r>
      <w:r w:rsidR="00E95F9C">
        <w:rPr>
          <w:lang w:val="fr-FR"/>
        </w:rPr>
        <w:t xml:space="preserve">finales </w:t>
      </w:r>
      <w:r>
        <w:rPr>
          <w:lang w:val="fr-FR"/>
        </w:rPr>
        <w:t>du Comité. Le</w:t>
      </w:r>
      <w:r w:rsidR="000C4B8B">
        <w:rPr>
          <w:lang w:val="fr-FR"/>
        </w:rPr>
        <w:t> </w:t>
      </w:r>
      <w:r>
        <w:rPr>
          <w:lang w:val="fr-FR"/>
        </w:rPr>
        <w:t>Comité se félicite du dialogue ouvert qui s</w:t>
      </w:r>
      <w:r w:rsidR="00742D4E">
        <w:rPr>
          <w:lang w:val="fr-FR"/>
        </w:rPr>
        <w:t>’</w:t>
      </w:r>
      <w:r>
        <w:rPr>
          <w:lang w:val="fr-FR"/>
        </w:rPr>
        <w:t xml:space="preserve">est instauré avec la délégation de haut niveau </w:t>
      </w:r>
      <w:r w:rsidR="000C4B8B">
        <w:rPr>
          <w:lang w:val="fr-FR"/>
        </w:rPr>
        <w:t xml:space="preserve">dépêchée </w:t>
      </w:r>
      <w:r>
        <w:t>par l</w:t>
      </w:r>
      <w:r w:rsidR="00742D4E">
        <w:t>’</w:t>
      </w:r>
      <w:r>
        <w:t xml:space="preserve">État partie et des efforts que </w:t>
      </w:r>
      <w:proofErr w:type="spellStart"/>
      <w:r>
        <w:t>celle</w:t>
      </w:r>
      <w:r w:rsidR="00E95F9C">
        <w:noBreakHyphen/>
      </w:r>
      <w:r>
        <w:t>ci</w:t>
      </w:r>
      <w:proofErr w:type="spellEnd"/>
      <w:r>
        <w:t xml:space="preserve"> a déployés pour apporter des réponses détaillées </w:t>
      </w:r>
      <w:r w:rsidR="000C4B8B">
        <w:t xml:space="preserve">et complémentaires </w:t>
      </w:r>
      <w:r>
        <w:t>aux questions posées par les membres du Comité durant le dialogue.</w:t>
      </w:r>
    </w:p>
    <w:p w:rsidR="002E41A6" w:rsidRPr="0055102C" w:rsidRDefault="000C4B8B" w:rsidP="000C4B8B">
      <w:pPr>
        <w:pStyle w:val="H1G"/>
        <w:rPr>
          <w:szCs w:val="24"/>
        </w:rPr>
      </w:pPr>
      <w:r>
        <w:rPr>
          <w:szCs w:val="24"/>
        </w:rPr>
        <w:tab/>
      </w:r>
      <w:r w:rsidR="002E41A6" w:rsidRPr="0055102C">
        <w:rPr>
          <w:szCs w:val="24"/>
        </w:rPr>
        <w:t>B.</w:t>
      </w:r>
      <w:r w:rsidR="002E41A6" w:rsidRPr="0055102C">
        <w:rPr>
          <w:szCs w:val="24"/>
        </w:rPr>
        <w:tab/>
      </w:r>
      <w:r w:rsidR="002E41A6" w:rsidRPr="0055102C">
        <w:t>Aspects positifs</w:t>
      </w:r>
    </w:p>
    <w:p w:rsidR="002E41A6" w:rsidRPr="007C0F73" w:rsidRDefault="002E41A6" w:rsidP="000C4B8B">
      <w:pPr>
        <w:pStyle w:val="SingleTxtG"/>
        <w:keepNext/>
      </w:pPr>
      <w:r w:rsidRPr="005F08F5">
        <w:t>3.</w:t>
      </w:r>
      <w:r w:rsidRPr="005F08F5">
        <w:tab/>
      </w:r>
      <w:r w:rsidRPr="007C0F73">
        <w:t xml:space="preserve">Le Comité </w:t>
      </w:r>
      <w:r>
        <w:t xml:space="preserve">prend </w:t>
      </w:r>
      <w:r w:rsidRPr="007C0F73">
        <w:t xml:space="preserve">note avec satisfaction </w:t>
      </w:r>
      <w:r>
        <w:t>des</w:t>
      </w:r>
      <w:r w:rsidR="000C4B8B">
        <w:t xml:space="preserve"> nombreux</w:t>
      </w:r>
      <w:r w:rsidRPr="007C0F73">
        <w:t xml:space="preserve"> </w:t>
      </w:r>
      <w:r>
        <w:t>changements qui ont été apportés sur les plans législatif et politique</w:t>
      </w:r>
      <w:r w:rsidRPr="007C0F73">
        <w:t xml:space="preserve"> dans l</w:t>
      </w:r>
      <w:r w:rsidR="00742D4E">
        <w:t>’</w:t>
      </w:r>
      <w:r w:rsidRPr="007C0F73">
        <w:t>État partie</w:t>
      </w:r>
      <w:r>
        <w:t>,</w:t>
      </w:r>
      <w:r w:rsidRPr="007C0F73">
        <w:t xml:space="preserve"> depuis la présentation de son dernier rapport</w:t>
      </w:r>
      <w:r>
        <w:t>, en vue</w:t>
      </w:r>
      <w:r w:rsidRPr="007C0F73">
        <w:t xml:space="preserve"> </w:t>
      </w:r>
      <w:r>
        <w:t>de</w:t>
      </w:r>
      <w:r w:rsidRPr="007C0F73">
        <w:t xml:space="preserve"> lutte</w:t>
      </w:r>
      <w:r>
        <w:t>r</w:t>
      </w:r>
      <w:r w:rsidRPr="007C0F73">
        <w:t xml:space="preserve"> contre la di</w:t>
      </w:r>
      <w:r>
        <w:t>scrimination raciale, notamment:</w:t>
      </w:r>
    </w:p>
    <w:p w:rsidR="000C4B8B" w:rsidRDefault="002E41A6" w:rsidP="000C4B8B">
      <w:pPr>
        <w:pStyle w:val="SingleTxtG"/>
        <w:ind w:firstLine="567"/>
      </w:pPr>
      <w:r w:rsidRPr="005F08F5">
        <w:t>a)</w:t>
      </w:r>
      <w:r w:rsidRPr="005F08F5">
        <w:tab/>
      </w:r>
      <w:r w:rsidRPr="007C0F73">
        <w:t xml:space="preserve">La </w:t>
      </w:r>
      <w:r>
        <w:t>l</w:t>
      </w:r>
      <w:r w:rsidRPr="007C0F73">
        <w:t>oi de 2009</w:t>
      </w:r>
      <w:r>
        <w:t xml:space="preserve"> </w:t>
      </w:r>
      <w:r w:rsidRPr="007C0F73">
        <w:t>sur l</w:t>
      </w:r>
      <w:r w:rsidR="00742D4E">
        <w:t>’</w:t>
      </w:r>
      <w:r w:rsidRPr="007C0F73">
        <w:t>immigration, entré</w:t>
      </w:r>
      <w:r>
        <w:t>e</w:t>
      </w:r>
      <w:r w:rsidRPr="007C0F73">
        <w:t xml:space="preserve"> en vigueur le 29</w:t>
      </w:r>
      <w:r w:rsidR="000C4B8B">
        <w:t> </w:t>
      </w:r>
      <w:r>
        <w:t>n</w:t>
      </w:r>
      <w:r w:rsidRPr="007C0F73">
        <w:t>ovembre 2010, qui</w:t>
      </w:r>
      <w:r w:rsidR="00AF2400">
        <w:t> </w:t>
      </w:r>
      <w:r w:rsidRPr="007C0F73">
        <w:t xml:space="preserve">a </w:t>
      </w:r>
      <w:r>
        <w:t>supprimé les dispositions limitant l</w:t>
      </w:r>
      <w:r w:rsidR="00742D4E">
        <w:t>’</w:t>
      </w:r>
      <w:r>
        <w:t>accès des</w:t>
      </w:r>
      <w:r w:rsidRPr="007C0F73">
        <w:t xml:space="preserve"> enfants </w:t>
      </w:r>
      <w:r>
        <w:t>étrangers</w:t>
      </w:r>
      <w:r w:rsidRPr="007C0F73">
        <w:t xml:space="preserve"> </w:t>
      </w:r>
      <w:r>
        <w:t>à</w:t>
      </w:r>
      <w:r w:rsidRPr="007C0F73">
        <w:t xml:space="preserve"> </w:t>
      </w:r>
      <w:r>
        <w:t>l</w:t>
      </w:r>
      <w:r w:rsidR="00742D4E">
        <w:t>’</w:t>
      </w:r>
      <w:r>
        <w:t>enseignement</w:t>
      </w:r>
      <w:r w:rsidRPr="007C0F73">
        <w:t xml:space="preserve"> et</w:t>
      </w:r>
      <w:r w:rsidR="00AF2400">
        <w:t> </w:t>
      </w:r>
      <w:r>
        <w:t>a</w:t>
      </w:r>
      <w:r w:rsidR="00AF2400">
        <w:t> </w:t>
      </w:r>
      <w:r>
        <w:t>restreint</w:t>
      </w:r>
      <w:r w:rsidRPr="007C0F73">
        <w:t xml:space="preserve"> les situations dans lesquelles les demandeurs d</w:t>
      </w:r>
      <w:r w:rsidR="00742D4E">
        <w:t>’</w:t>
      </w:r>
      <w:r w:rsidRPr="007C0F73">
        <w:t xml:space="preserve">asile </w:t>
      </w:r>
      <w:r>
        <w:t>pouvaient</w:t>
      </w:r>
      <w:r w:rsidRPr="007C0F73">
        <w:t xml:space="preserve"> être détenus;</w:t>
      </w:r>
    </w:p>
    <w:p w:rsidR="000C4B8B" w:rsidRDefault="002E41A6" w:rsidP="000C4B8B">
      <w:pPr>
        <w:pStyle w:val="SingleTxtG"/>
        <w:ind w:firstLine="567"/>
      </w:pPr>
      <w:r w:rsidRPr="005F08F5">
        <w:t>b)</w:t>
      </w:r>
      <w:r w:rsidRPr="005F08F5">
        <w:tab/>
      </w:r>
      <w:r>
        <w:t>La mise en œuvre du p</w:t>
      </w:r>
      <w:r w:rsidRPr="0016790F">
        <w:t xml:space="preserve">rogramme </w:t>
      </w:r>
      <w:proofErr w:type="spellStart"/>
      <w:r w:rsidRPr="0055102C">
        <w:t>Healthy</w:t>
      </w:r>
      <w:proofErr w:type="spellEnd"/>
      <w:r w:rsidRPr="0055102C">
        <w:t xml:space="preserve"> </w:t>
      </w:r>
      <w:proofErr w:type="spellStart"/>
      <w:r w:rsidRPr="0055102C">
        <w:t>Housing</w:t>
      </w:r>
      <w:proofErr w:type="spellEnd"/>
      <w:r>
        <w:t>,</w:t>
      </w:r>
      <w:r w:rsidRPr="0016790F">
        <w:t xml:space="preserve"> </w:t>
      </w:r>
      <w:r>
        <w:t>destiné</w:t>
      </w:r>
      <w:r w:rsidRPr="0016790F">
        <w:t xml:space="preserve"> à réduire </w:t>
      </w:r>
      <w:r>
        <w:t>le</w:t>
      </w:r>
      <w:r w:rsidR="00AF2400">
        <w:t> </w:t>
      </w:r>
      <w:r>
        <w:t>surpeuplement des</w:t>
      </w:r>
      <w:r w:rsidRPr="0016790F">
        <w:t xml:space="preserve"> logement</w:t>
      </w:r>
      <w:r>
        <w:t>s</w:t>
      </w:r>
      <w:r w:rsidRPr="0016790F">
        <w:t xml:space="preserve"> </w:t>
      </w:r>
      <w:r w:rsidR="000C4B8B">
        <w:t xml:space="preserve">chez </w:t>
      </w:r>
      <w:r>
        <w:t>les</w:t>
      </w:r>
      <w:r w:rsidRPr="0016790F">
        <w:t xml:space="preserve"> Pasifika</w:t>
      </w:r>
      <w:r>
        <w:t>s</w:t>
      </w:r>
      <w:r w:rsidRPr="0016790F">
        <w:t>;</w:t>
      </w:r>
    </w:p>
    <w:p w:rsidR="000C4B8B" w:rsidRDefault="002E41A6" w:rsidP="000C4B8B">
      <w:pPr>
        <w:pStyle w:val="SingleTxtG"/>
        <w:ind w:firstLine="567"/>
        <w:rPr>
          <w:lang w:val="fr-FR"/>
        </w:rPr>
      </w:pPr>
      <w:r w:rsidRPr="005F08F5">
        <w:t>c)</w:t>
      </w:r>
      <w:r w:rsidRPr="005F08F5">
        <w:tab/>
      </w:r>
      <w:r>
        <w:t>La publication d</w:t>
      </w:r>
      <w:r w:rsidR="00742D4E">
        <w:t>’</w:t>
      </w:r>
      <w:r>
        <w:t xml:space="preserve">une nouvelle </w:t>
      </w:r>
      <w:r w:rsidRPr="000D6F28">
        <w:rPr>
          <w:lang w:val="fr-FR"/>
        </w:rPr>
        <w:t>politique sur l</w:t>
      </w:r>
      <w:r w:rsidR="00742D4E">
        <w:rPr>
          <w:lang w:val="fr-FR"/>
        </w:rPr>
        <w:t>’</w:t>
      </w:r>
      <w:r w:rsidRPr="000D6F28">
        <w:rPr>
          <w:lang w:val="fr-FR"/>
        </w:rPr>
        <w:t>égalité et la diversité dans la</w:t>
      </w:r>
      <w:r w:rsidR="00AF2400">
        <w:rPr>
          <w:lang w:val="fr-FR"/>
        </w:rPr>
        <w:t> </w:t>
      </w:r>
      <w:r w:rsidRPr="000D6F28">
        <w:rPr>
          <w:lang w:val="fr-FR"/>
        </w:rPr>
        <w:t>fonction publique en 2008</w:t>
      </w:r>
      <w:r>
        <w:rPr>
          <w:lang w:val="fr-FR"/>
        </w:rPr>
        <w:t>;</w:t>
      </w:r>
    </w:p>
    <w:p w:rsidR="002E41A6" w:rsidRPr="005F08F5" w:rsidRDefault="002E41A6" w:rsidP="000C4B8B">
      <w:pPr>
        <w:pStyle w:val="SingleTxtG"/>
        <w:keepNext/>
        <w:ind w:firstLine="567"/>
      </w:pPr>
      <w:r w:rsidRPr="005F08F5">
        <w:t>d)</w:t>
      </w:r>
      <w:r w:rsidRPr="005F08F5">
        <w:tab/>
      </w:r>
      <w:r>
        <w:t>La</w:t>
      </w:r>
      <w:r w:rsidRPr="005F08F5">
        <w:t xml:space="preserve"> ratification </w:t>
      </w:r>
      <w:r>
        <w:t>des</w:t>
      </w:r>
      <w:r w:rsidRPr="005F08F5">
        <w:t xml:space="preserve"> instruments</w:t>
      </w:r>
      <w:r>
        <w:t xml:space="preserve"> internationaux </w:t>
      </w:r>
      <w:r w:rsidR="000C4B8B">
        <w:t xml:space="preserve">relatifs aux </w:t>
      </w:r>
      <w:r>
        <w:t>dr</w:t>
      </w:r>
      <w:r w:rsidR="000C4B8B">
        <w:t>oits de l</w:t>
      </w:r>
      <w:r w:rsidR="00742D4E">
        <w:t>’</w:t>
      </w:r>
      <w:r w:rsidR="000C4B8B">
        <w:t xml:space="preserve">homme </w:t>
      </w:r>
      <w:proofErr w:type="spellStart"/>
      <w:r w:rsidR="000C4B8B">
        <w:t>ci</w:t>
      </w:r>
      <w:r w:rsidR="000C4B8B">
        <w:noBreakHyphen/>
      </w:r>
      <w:r>
        <w:t>après</w:t>
      </w:r>
      <w:proofErr w:type="spellEnd"/>
      <w:r w:rsidRPr="005F08F5">
        <w:t>:</w:t>
      </w:r>
    </w:p>
    <w:p w:rsidR="00535115" w:rsidRDefault="002E41A6" w:rsidP="00535115">
      <w:pPr>
        <w:pStyle w:val="SingleTxtG"/>
        <w:ind w:left="1701"/>
      </w:pPr>
      <w:r w:rsidRPr="005F08F5">
        <w:t>i)</w:t>
      </w:r>
      <w:r w:rsidRPr="005F08F5">
        <w:tab/>
      </w:r>
      <w:r>
        <w:t>La</w:t>
      </w:r>
      <w:r w:rsidRPr="005F08F5">
        <w:t xml:space="preserve"> </w:t>
      </w:r>
      <w:r w:rsidRPr="000545B3">
        <w:rPr>
          <w:szCs w:val="24"/>
        </w:rPr>
        <w:t>Convention relative aux droits des personnes handicapées</w:t>
      </w:r>
      <w:r w:rsidRPr="005F08F5">
        <w:t xml:space="preserve">, </w:t>
      </w:r>
      <w:r>
        <w:t>le</w:t>
      </w:r>
      <w:r w:rsidR="005362AE">
        <w:t> </w:t>
      </w:r>
      <w:r w:rsidRPr="005F08F5">
        <w:t>25</w:t>
      </w:r>
      <w:r w:rsidR="005362AE">
        <w:t> </w:t>
      </w:r>
      <w:r>
        <w:t>septembre</w:t>
      </w:r>
      <w:r w:rsidR="00535115">
        <w:t xml:space="preserve"> 2008;</w:t>
      </w:r>
    </w:p>
    <w:p w:rsidR="002E41A6" w:rsidRPr="005F08F5" w:rsidRDefault="002E41A6" w:rsidP="00535115">
      <w:pPr>
        <w:pStyle w:val="SingleTxtG"/>
        <w:ind w:left="1701"/>
      </w:pPr>
      <w:r w:rsidRPr="005F08F5">
        <w:t>ii)</w:t>
      </w:r>
      <w:r w:rsidRPr="005F08F5">
        <w:tab/>
      </w:r>
      <w:r>
        <w:t xml:space="preserve">Le </w:t>
      </w:r>
      <w:r w:rsidRPr="0055102C">
        <w:t>Protocole facultatif à la Convention relative aux droits de l</w:t>
      </w:r>
      <w:r w:rsidR="00742D4E">
        <w:t>’</w:t>
      </w:r>
      <w:r w:rsidRPr="0055102C">
        <w:t>enfant, concernant la vente d</w:t>
      </w:r>
      <w:r w:rsidR="00742D4E">
        <w:t>’</w:t>
      </w:r>
      <w:r w:rsidRPr="0055102C">
        <w:t>enfants, la prostitution des enfants et la pornographie mettant en scène des enfants</w:t>
      </w:r>
      <w:r>
        <w:t>,</w:t>
      </w:r>
      <w:r w:rsidRPr="005F08F5">
        <w:t xml:space="preserve"> </w:t>
      </w:r>
      <w:r>
        <w:t>le</w:t>
      </w:r>
      <w:r w:rsidRPr="005F08F5">
        <w:t xml:space="preserve"> 20</w:t>
      </w:r>
      <w:r w:rsidR="00535115">
        <w:t> </w:t>
      </w:r>
      <w:r>
        <w:t>septembre</w:t>
      </w:r>
      <w:r w:rsidR="00F80E64">
        <w:t xml:space="preserve"> 2011;</w:t>
      </w:r>
    </w:p>
    <w:p w:rsidR="002E41A6" w:rsidRDefault="002E41A6" w:rsidP="0012279A">
      <w:pPr>
        <w:pStyle w:val="SingleTxtG"/>
        <w:ind w:firstLine="567"/>
      </w:pPr>
      <w:r w:rsidRPr="005F08F5">
        <w:t>e)</w:t>
      </w:r>
      <w:r w:rsidRPr="005F08F5">
        <w:tab/>
      </w:r>
      <w:r>
        <w:t>L</w:t>
      </w:r>
      <w:r w:rsidR="00742D4E">
        <w:t>’</w:t>
      </w:r>
      <w:r>
        <w:t>approbation</w:t>
      </w:r>
      <w:r w:rsidRPr="00E6065E">
        <w:t xml:space="preserve"> officielle </w:t>
      </w:r>
      <w:r>
        <w:t>(bien qu</w:t>
      </w:r>
      <w:r w:rsidR="00742D4E">
        <w:t>’</w:t>
      </w:r>
      <w:r>
        <w:t>avec des</w:t>
      </w:r>
      <w:r w:rsidRPr="00E6065E">
        <w:t xml:space="preserve"> réserves)</w:t>
      </w:r>
      <w:r>
        <w:t xml:space="preserve"> </w:t>
      </w:r>
      <w:r w:rsidRPr="00E6065E">
        <w:t xml:space="preserve">de la </w:t>
      </w:r>
      <w:r w:rsidRPr="0055102C">
        <w:t>Déclaration de</w:t>
      </w:r>
      <w:r w:rsidR="0012279A">
        <w:t> </w:t>
      </w:r>
      <w:r w:rsidR="00B40647">
        <w:t>2007 des Nations </w:t>
      </w:r>
      <w:r w:rsidRPr="0055102C">
        <w:t>Unies sur les droits des peuples autochtones</w:t>
      </w:r>
      <w:r>
        <w:t>,</w:t>
      </w:r>
      <w:r w:rsidRPr="00E6065E">
        <w:t xml:space="preserve"> </w:t>
      </w:r>
      <w:r>
        <w:t>et le fait que</w:t>
      </w:r>
      <w:r w:rsidRPr="00E6065E">
        <w:t xml:space="preserve"> la</w:t>
      </w:r>
      <w:r w:rsidR="00AF2400">
        <w:t> </w:t>
      </w:r>
      <w:r w:rsidRPr="00E6065E">
        <w:t>Cour</w:t>
      </w:r>
      <w:r w:rsidR="00AF2400">
        <w:t> </w:t>
      </w:r>
      <w:r w:rsidRPr="00E6065E">
        <w:t>suprême</w:t>
      </w:r>
      <w:r>
        <w:t xml:space="preserve"> </w:t>
      </w:r>
      <w:r w:rsidRPr="00E6065E">
        <w:t xml:space="preserve">de la </w:t>
      </w:r>
      <w:proofErr w:type="spellStart"/>
      <w:r w:rsidRPr="00E6065E">
        <w:t>Nouvelle</w:t>
      </w:r>
      <w:r w:rsidR="00B40647">
        <w:noBreakHyphen/>
      </w:r>
      <w:r w:rsidRPr="00E6065E">
        <w:t>Zélande</w:t>
      </w:r>
      <w:proofErr w:type="spellEnd"/>
      <w:r w:rsidRPr="00E6065E">
        <w:t xml:space="preserve"> </w:t>
      </w:r>
      <w:r w:rsidR="00B40647">
        <w:t>s</w:t>
      </w:r>
      <w:r w:rsidR="00742D4E">
        <w:t>’</w:t>
      </w:r>
      <w:r w:rsidR="00B40647">
        <w:t xml:space="preserve">est </w:t>
      </w:r>
      <w:r>
        <w:t>appuyée sur cette déclaration pour interpréter</w:t>
      </w:r>
      <w:r w:rsidRPr="00E6065E">
        <w:t xml:space="preserve"> la portée des droits des Maoris </w:t>
      </w:r>
      <w:r>
        <w:t>aux</w:t>
      </w:r>
      <w:r w:rsidRPr="00E6065E">
        <w:t xml:space="preserve"> ressources géothermiques </w:t>
      </w:r>
      <w:r w:rsidR="00B40647">
        <w:t xml:space="preserve">et aux ressources en eau douce </w:t>
      </w:r>
      <w:r w:rsidRPr="00E6065E">
        <w:t xml:space="preserve">dans </w:t>
      </w:r>
      <w:r>
        <w:t>l</w:t>
      </w:r>
      <w:r w:rsidR="00742D4E">
        <w:t>’</w:t>
      </w:r>
      <w:r>
        <w:t>affaire</w:t>
      </w:r>
      <w:r w:rsidRPr="00E6065E">
        <w:t xml:space="preserve"> </w:t>
      </w:r>
      <w:r w:rsidRPr="009274D2">
        <w:rPr>
          <w:i/>
        </w:rPr>
        <w:t xml:space="preserve">Conseil maori de </w:t>
      </w:r>
      <w:proofErr w:type="spellStart"/>
      <w:r w:rsidRPr="009274D2">
        <w:rPr>
          <w:i/>
        </w:rPr>
        <w:t>Nouvelle</w:t>
      </w:r>
      <w:r w:rsidR="0012279A">
        <w:rPr>
          <w:i/>
        </w:rPr>
        <w:noBreakHyphen/>
      </w:r>
      <w:r w:rsidRPr="009274D2">
        <w:rPr>
          <w:i/>
        </w:rPr>
        <w:t>Zélande</w:t>
      </w:r>
      <w:proofErr w:type="spellEnd"/>
      <w:r w:rsidRPr="009274D2">
        <w:rPr>
          <w:i/>
        </w:rPr>
        <w:t xml:space="preserve"> et consorts</w:t>
      </w:r>
      <w:r w:rsidRPr="00E6065E">
        <w:t xml:space="preserve"> </w:t>
      </w:r>
      <w:r>
        <w:t>c.</w:t>
      </w:r>
      <w:r w:rsidR="0012279A">
        <w:t> </w:t>
      </w:r>
      <w:r w:rsidRPr="009274D2">
        <w:rPr>
          <w:i/>
        </w:rPr>
        <w:t>Procureur général et consorts</w:t>
      </w:r>
      <w:r w:rsidRPr="00E6065E">
        <w:t xml:space="preserve"> SC</w:t>
      </w:r>
      <w:r w:rsidR="00535115">
        <w:t> </w:t>
      </w:r>
      <w:r w:rsidRPr="00E6065E">
        <w:t>98/2012, [2013] NZSC</w:t>
      </w:r>
      <w:r w:rsidR="00535115">
        <w:t> </w:t>
      </w:r>
      <w:r w:rsidR="00B40647">
        <w:t xml:space="preserve">6 (arrêt du </w:t>
      </w:r>
      <w:r w:rsidRPr="00E6065E">
        <w:t>27</w:t>
      </w:r>
      <w:r w:rsidR="00535115">
        <w:t> </w:t>
      </w:r>
      <w:r>
        <w:t>f</w:t>
      </w:r>
      <w:r w:rsidRPr="00E6065E">
        <w:t>évrier 2013</w:t>
      </w:r>
      <w:r w:rsidR="00B40647">
        <w:t>)</w:t>
      </w:r>
      <w:r w:rsidRPr="00E6065E">
        <w:t>.</w:t>
      </w:r>
    </w:p>
    <w:p w:rsidR="002E41A6" w:rsidRDefault="002E41A6" w:rsidP="002E41A6">
      <w:pPr>
        <w:pStyle w:val="SingleTxtG"/>
      </w:pPr>
      <w:r>
        <w:t>4.</w:t>
      </w:r>
      <w:r w:rsidRPr="005F08F5">
        <w:tab/>
      </w:r>
      <w:r w:rsidRPr="009274D2">
        <w:t xml:space="preserve">Le Comité </w:t>
      </w:r>
      <w:r>
        <w:t>accueille favorablement les nombreux</w:t>
      </w:r>
      <w:r w:rsidRPr="009274D2">
        <w:t xml:space="preserve"> programmes, stratégies et autres initiatives </w:t>
      </w:r>
      <w:r>
        <w:t xml:space="preserve">notables </w:t>
      </w:r>
      <w:r w:rsidRPr="009274D2">
        <w:t xml:space="preserve">visant à améliorer les relations </w:t>
      </w:r>
      <w:r>
        <w:t>inter</w:t>
      </w:r>
      <w:r w:rsidRPr="009274D2">
        <w:t xml:space="preserve">ethniques et </w:t>
      </w:r>
      <w:r>
        <w:t>à sensibiliser</w:t>
      </w:r>
      <w:r w:rsidRPr="009274D2">
        <w:t xml:space="preserve"> la population à la discrimination raciale, </w:t>
      </w:r>
      <w:r>
        <w:t xml:space="preserve">à </w:t>
      </w:r>
      <w:r w:rsidRPr="009274D2">
        <w:t>l</w:t>
      </w:r>
      <w:r w:rsidR="00742D4E">
        <w:t>’</w:t>
      </w:r>
      <w:r w:rsidRPr="009274D2">
        <w:t xml:space="preserve">intégration, </w:t>
      </w:r>
      <w:r>
        <w:t xml:space="preserve">à </w:t>
      </w:r>
      <w:r w:rsidRPr="009274D2">
        <w:t xml:space="preserve">la tolérance et </w:t>
      </w:r>
      <w:r>
        <w:t>au</w:t>
      </w:r>
      <w:r w:rsidRPr="009274D2">
        <w:t xml:space="preserve"> multiculturalisme, </w:t>
      </w:r>
      <w:r>
        <w:t>notamment</w:t>
      </w:r>
      <w:r w:rsidRPr="009274D2">
        <w:t xml:space="preserve"> le Programme pour l</w:t>
      </w:r>
      <w:r w:rsidR="00742D4E">
        <w:t>’</w:t>
      </w:r>
      <w:r w:rsidRPr="009274D2">
        <w:t>emploi des jeunes</w:t>
      </w:r>
      <w:r>
        <w:t>,</w:t>
      </w:r>
      <w:r w:rsidRPr="009274D2">
        <w:t xml:space="preserve"> l</w:t>
      </w:r>
      <w:r>
        <w:t xml:space="preserve">es tribunaux </w:t>
      </w:r>
      <w:r w:rsidR="00B74745">
        <w:t xml:space="preserve">spécialisés dans </w:t>
      </w:r>
      <w:r>
        <w:t>la lutte contre l</w:t>
      </w:r>
      <w:r w:rsidR="00742D4E">
        <w:t>’</w:t>
      </w:r>
      <w:r>
        <w:t>alcoolisme et la toxicomanie,</w:t>
      </w:r>
      <w:r w:rsidRPr="009274D2">
        <w:t xml:space="preserve"> </w:t>
      </w:r>
      <w:r>
        <w:t xml:space="preserve">la </w:t>
      </w:r>
      <w:r w:rsidRPr="009274D2">
        <w:t>stratégie</w:t>
      </w:r>
      <w:r>
        <w:t xml:space="preserve"> de la police </w:t>
      </w:r>
      <w:proofErr w:type="spellStart"/>
      <w:r>
        <w:t>néo</w:t>
      </w:r>
      <w:r w:rsidR="00B74745">
        <w:noBreakHyphen/>
      </w:r>
      <w:r>
        <w:t>zélandaise</w:t>
      </w:r>
      <w:proofErr w:type="spellEnd"/>
      <w:r>
        <w:t xml:space="preserve"> en faveur des groupes ethniques et l</w:t>
      </w:r>
      <w:r w:rsidRPr="009274D2">
        <w:t xml:space="preserve">es recommandations </w:t>
      </w:r>
      <w:r>
        <w:t>formulées dans</w:t>
      </w:r>
      <w:r w:rsidRPr="009274D2">
        <w:t xml:space="preserve"> l</w:t>
      </w:r>
      <w:r w:rsidR="00742D4E">
        <w:t>’</w:t>
      </w:r>
      <w:r w:rsidRPr="009274D2">
        <w:t xml:space="preserve">étude </w:t>
      </w:r>
      <w:r>
        <w:t xml:space="preserve">intitulée </w:t>
      </w:r>
      <w:r w:rsidRPr="0055102C">
        <w:t>«A</w:t>
      </w:r>
      <w:r w:rsidR="00B74745">
        <w:t> </w:t>
      </w:r>
      <w:proofErr w:type="spellStart"/>
      <w:r w:rsidRPr="0055102C">
        <w:t>Fair</w:t>
      </w:r>
      <w:proofErr w:type="spellEnd"/>
      <w:r w:rsidRPr="0055102C">
        <w:t xml:space="preserve"> Go For</w:t>
      </w:r>
      <w:r w:rsidR="00B74745">
        <w:t> </w:t>
      </w:r>
      <w:r w:rsidRPr="0055102C">
        <w:t xml:space="preserve">All?» </w:t>
      </w:r>
      <w:r w:rsidR="00322496">
        <w:t>(</w:t>
      </w:r>
      <w:r w:rsidR="00F80E64">
        <w:t>«</w:t>
      </w:r>
      <w:r w:rsidR="00322496">
        <w:t>Des chances égales pour tous</w:t>
      </w:r>
      <w:r w:rsidR="00F80E64">
        <w:t>?»</w:t>
      </w:r>
      <w:r w:rsidR="00322496">
        <w:t>).</w:t>
      </w:r>
    </w:p>
    <w:p w:rsidR="002E41A6" w:rsidRDefault="002E41A6" w:rsidP="002E41A6">
      <w:pPr>
        <w:pStyle w:val="SingleTxtG"/>
      </w:pPr>
      <w:r w:rsidRPr="005F08F5">
        <w:t>5.</w:t>
      </w:r>
      <w:r w:rsidRPr="005F08F5">
        <w:tab/>
      </w:r>
      <w:r w:rsidRPr="00AF2400">
        <w:rPr>
          <w:spacing w:val="-2"/>
        </w:rPr>
        <w:t>Le Comité salue les contributions du Commissaire aux relations raciales à ses travaux, ainsi que la participation active et les contributions des organisations de la société civile.</w:t>
      </w:r>
    </w:p>
    <w:p w:rsidR="002E41A6" w:rsidRPr="0055102C" w:rsidRDefault="00504980" w:rsidP="00504980">
      <w:pPr>
        <w:pStyle w:val="H1G"/>
        <w:rPr>
          <w:szCs w:val="24"/>
        </w:rPr>
      </w:pPr>
      <w:r>
        <w:rPr>
          <w:szCs w:val="24"/>
        </w:rPr>
        <w:tab/>
      </w:r>
      <w:r w:rsidR="002E41A6" w:rsidRPr="0055102C">
        <w:rPr>
          <w:szCs w:val="24"/>
        </w:rPr>
        <w:t>C.</w:t>
      </w:r>
      <w:r w:rsidR="002E41A6" w:rsidRPr="0055102C">
        <w:rPr>
          <w:szCs w:val="24"/>
        </w:rPr>
        <w:tab/>
      </w:r>
      <w:r w:rsidR="002E41A6" w:rsidRPr="0055102C">
        <w:t>Sujets de préoccupation et recommandations</w:t>
      </w:r>
    </w:p>
    <w:p w:rsidR="002E41A6" w:rsidRPr="0055102C" w:rsidRDefault="002E41A6" w:rsidP="00504980">
      <w:pPr>
        <w:pStyle w:val="H23G"/>
      </w:pPr>
      <w:r w:rsidRPr="0055102C">
        <w:tab/>
      </w:r>
      <w:r w:rsidRPr="0055102C">
        <w:tab/>
        <w:t>Institution nationale des droits de l</w:t>
      </w:r>
      <w:r w:rsidR="00742D4E">
        <w:t>’</w:t>
      </w:r>
      <w:r w:rsidRPr="0055102C">
        <w:t>homme</w:t>
      </w:r>
    </w:p>
    <w:p w:rsidR="002E41A6" w:rsidRDefault="002E41A6" w:rsidP="002E41A6">
      <w:pPr>
        <w:pStyle w:val="SingleTxtG"/>
      </w:pPr>
      <w:r w:rsidRPr="005F08F5">
        <w:t>6.</w:t>
      </w:r>
      <w:r w:rsidRPr="005F08F5">
        <w:tab/>
      </w:r>
      <w:r>
        <w:t>Le Comité note</w:t>
      </w:r>
      <w:r w:rsidRPr="00F05048">
        <w:t xml:space="preserve"> </w:t>
      </w:r>
      <w:r>
        <w:t>que le</w:t>
      </w:r>
      <w:r w:rsidRPr="00F05048">
        <w:t xml:space="preserve"> </w:t>
      </w:r>
      <w:r w:rsidRPr="0055102C">
        <w:t>projet de loi portant modification de la loi sur les droits de</w:t>
      </w:r>
      <w:r w:rsidR="00504980">
        <w:t> </w:t>
      </w:r>
      <w:r w:rsidRPr="0055102C">
        <w:t>l</w:t>
      </w:r>
      <w:r w:rsidR="00742D4E">
        <w:t>’</w:t>
      </w:r>
      <w:r w:rsidRPr="0055102C">
        <w:t>homme</w:t>
      </w:r>
      <w:r>
        <w:t xml:space="preserve"> est</w:t>
      </w:r>
      <w:r w:rsidRPr="00F05048">
        <w:t xml:space="preserve"> en partie </w:t>
      </w:r>
      <w:r>
        <w:t xml:space="preserve">destiné à </w:t>
      </w:r>
      <w:r w:rsidRPr="00F05048">
        <w:t>améliorer l</w:t>
      </w:r>
      <w:r w:rsidR="00742D4E">
        <w:t>’</w:t>
      </w:r>
      <w:r w:rsidRPr="00F05048">
        <w:t>efficacité de la Commission des droits de</w:t>
      </w:r>
      <w:r w:rsidR="00504980">
        <w:t> </w:t>
      </w:r>
      <w:r w:rsidRPr="00F05048">
        <w:t>l</w:t>
      </w:r>
      <w:r w:rsidR="00742D4E">
        <w:t>’</w:t>
      </w:r>
      <w:r w:rsidRPr="00F05048">
        <w:t xml:space="preserve">homme et </w:t>
      </w:r>
      <w:r>
        <w:t xml:space="preserve">à </w:t>
      </w:r>
      <w:r w:rsidRPr="00F05048">
        <w:t xml:space="preserve">élargir son mandat </w:t>
      </w:r>
      <w:r>
        <w:t>afin que celui-ci couvre</w:t>
      </w:r>
      <w:r w:rsidRPr="00F05048">
        <w:t xml:space="preserve"> des sujets tels que le handicap, </w:t>
      </w:r>
      <w:r>
        <w:t xml:space="preserve">mais il </w:t>
      </w:r>
      <w:r w:rsidRPr="00F05048">
        <w:t>craint que ce</w:t>
      </w:r>
      <w:r w:rsidR="00325BCA">
        <w:t>s</w:t>
      </w:r>
      <w:r w:rsidRPr="00F05048">
        <w:t xml:space="preserve"> modification</w:t>
      </w:r>
      <w:r w:rsidR="00325BCA">
        <w:t>s</w:t>
      </w:r>
      <w:r w:rsidRPr="00F05048">
        <w:t xml:space="preserve"> </w:t>
      </w:r>
      <w:r>
        <w:t>ne</w:t>
      </w:r>
      <w:r w:rsidRPr="00F05048">
        <w:t xml:space="preserve"> </w:t>
      </w:r>
      <w:r>
        <w:t>nuis</w:t>
      </w:r>
      <w:r w:rsidRPr="00F05048">
        <w:t>e</w:t>
      </w:r>
      <w:r w:rsidR="00325BCA">
        <w:t>nt</w:t>
      </w:r>
      <w:r w:rsidRPr="00F05048">
        <w:t xml:space="preserve"> à la visibilité, </w:t>
      </w:r>
      <w:r>
        <w:t xml:space="preserve">à </w:t>
      </w:r>
      <w:r w:rsidRPr="00F05048">
        <w:t>l</w:t>
      </w:r>
      <w:r w:rsidR="00742D4E">
        <w:t>’</w:t>
      </w:r>
      <w:r w:rsidRPr="00F05048">
        <w:t xml:space="preserve">accessibilité et </w:t>
      </w:r>
      <w:r>
        <w:t>à</w:t>
      </w:r>
      <w:r w:rsidR="00504980">
        <w:t> </w:t>
      </w:r>
      <w:r w:rsidRPr="00F05048">
        <w:t>l</w:t>
      </w:r>
      <w:r w:rsidR="00742D4E">
        <w:t>’</w:t>
      </w:r>
      <w:r w:rsidRPr="00F05048">
        <w:t xml:space="preserve">indépendance </w:t>
      </w:r>
      <w:r>
        <w:t>du C</w:t>
      </w:r>
      <w:r w:rsidRPr="00F05048">
        <w:t>ommissaire aux relations raciales (art.</w:t>
      </w:r>
      <w:r w:rsidR="00504980">
        <w:t> </w:t>
      </w:r>
      <w:r w:rsidRPr="00F05048">
        <w:t>2).</w:t>
      </w:r>
    </w:p>
    <w:p w:rsidR="002E41A6" w:rsidRDefault="002E41A6" w:rsidP="002E41A6">
      <w:pPr>
        <w:pStyle w:val="SingleTxtG"/>
        <w:rPr>
          <w:b/>
        </w:rPr>
      </w:pPr>
      <w:r w:rsidRPr="00FB6DB0">
        <w:rPr>
          <w:b/>
        </w:rPr>
        <w:t>Le Comité recommande à l</w:t>
      </w:r>
      <w:r w:rsidR="00742D4E">
        <w:rPr>
          <w:b/>
        </w:rPr>
        <w:t>’</w:t>
      </w:r>
      <w:r w:rsidRPr="00FB6DB0">
        <w:rPr>
          <w:b/>
        </w:rPr>
        <w:t>État partie d</w:t>
      </w:r>
      <w:r w:rsidR="00742D4E">
        <w:rPr>
          <w:b/>
        </w:rPr>
        <w:t>’</w:t>
      </w:r>
      <w:r w:rsidRPr="00FB6DB0">
        <w:rPr>
          <w:b/>
        </w:rPr>
        <w:t xml:space="preserve">envisager de conserver </w:t>
      </w:r>
      <w:r>
        <w:rPr>
          <w:b/>
        </w:rPr>
        <w:t>le poste</w:t>
      </w:r>
      <w:r w:rsidRPr="00FB6DB0">
        <w:rPr>
          <w:b/>
        </w:rPr>
        <w:t xml:space="preserve"> </w:t>
      </w:r>
      <w:r>
        <w:rPr>
          <w:b/>
        </w:rPr>
        <w:t xml:space="preserve">de </w:t>
      </w:r>
      <w:r w:rsidR="00F83B27">
        <w:rPr>
          <w:b/>
        </w:rPr>
        <w:t>c</w:t>
      </w:r>
      <w:r w:rsidRPr="00FB6DB0">
        <w:rPr>
          <w:b/>
        </w:rPr>
        <w:t xml:space="preserve">ommissaire aux relations raciales afin de maintenir sa visibilité et </w:t>
      </w:r>
      <w:r>
        <w:rPr>
          <w:b/>
        </w:rPr>
        <w:t xml:space="preserve">son </w:t>
      </w:r>
      <w:r w:rsidRPr="00FB6DB0">
        <w:rPr>
          <w:b/>
        </w:rPr>
        <w:t>accessibilité dans l</w:t>
      </w:r>
      <w:r w:rsidR="00742D4E">
        <w:rPr>
          <w:b/>
        </w:rPr>
        <w:t>’</w:t>
      </w:r>
      <w:r w:rsidRPr="00FB6DB0">
        <w:rPr>
          <w:b/>
        </w:rPr>
        <w:t xml:space="preserve">État partie. </w:t>
      </w:r>
      <w:r w:rsidR="00C63243">
        <w:rPr>
          <w:b/>
        </w:rPr>
        <w:t xml:space="preserve">Il lui </w:t>
      </w:r>
      <w:r w:rsidRPr="00FB6DB0">
        <w:rPr>
          <w:b/>
        </w:rPr>
        <w:t xml:space="preserve">recommande également de veiller à ce que tout changement </w:t>
      </w:r>
      <w:r>
        <w:rPr>
          <w:b/>
        </w:rPr>
        <w:t>lié à cette modification de la loi</w:t>
      </w:r>
      <w:r w:rsidRPr="00FB6DB0">
        <w:rPr>
          <w:b/>
        </w:rPr>
        <w:t xml:space="preserve"> </w:t>
      </w:r>
      <w:r>
        <w:rPr>
          <w:b/>
        </w:rPr>
        <w:t>garantisse</w:t>
      </w:r>
      <w:r w:rsidRPr="00FB6DB0">
        <w:rPr>
          <w:b/>
        </w:rPr>
        <w:t xml:space="preserve"> l</w:t>
      </w:r>
      <w:r w:rsidR="00742D4E">
        <w:rPr>
          <w:b/>
        </w:rPr>
        <w:t>’</w:t>
      </w:r>
      <w:r w:rsidRPr="00FB6DB0">
        <w:rPr>
          <w:b/>
        </w:rPr>
        <w:t xml:space="preserve">indépendance du Commissaire aux relations raciales </w:t>
      </w:r>
      <w:r>
        <w:rPr>
          <w:b/>
        </w:rPr>
        <w:t>afin que celui-ci puisse s</w:t>
      </w:r>
      <w:r w:rsidR="00742D4E">
        <w:rPr>
          <w:b/>
        </w:rPr>
        <w:t>’</w:t>
      </w:r>
      <w:r>
        <w:rPr>
          <w:b/>
        </w:rPr>
        <w:t>acquitter</w:t>
      </w:r>
      <w:r w:rsidRPr="00FB6DB0">
        <w:rPr>
          <w:b/>
        </w:rPr>
        <w:t xml:space="preserve"> efficacement de son</w:t>
      </w:r>
      <w:r w:rsidR="00C63243">
        <w:rPr>
          <w:b/>
        </w:rPr>
        <w:t> </w:t>
      </w:r>
      <w:r w:rsidRPr="00FB6DB0">
        <w:rPr>
          <w:b/>
        </w:rPr>
        <w:t>mandat.</w:t>
      </w:r>
    </w:p>
    <w:p w:rsidR="002E41A6" w:rsidRPr="0055102C" w:rsidRDefault="002E41A6" w:rsidP="00C63243">
      <w:pPr>
        <w:pStyle w:val="H23G"/>
      </w:pPr>
      <w:r w:rsidRPr="0055102C">
        <w:tab/>
      </w:r>
      <w:r w:rsidRPr="0055102C">
        <w:tab/>
        <w:t>Traité de Waitangi</w:t>
      </w:r>
    </w:p>
    <w:p w:rsidR="002E41A6" w:rsidRDefault="002E41A6" w:rsidP="002E41A6">
      <w:pPr>
        <w:pStyle w:val="SingleTxtG"/>
      </w:pPr>
      <w:r w:rsidRPr="005F08F5">
        <w:t>7.</w:t>
      </w:r>
      <w:r w:rsidRPr="005F08F5">
        <w:tab/>
      </w:r>
      <w:r>
        <w:t>Le Comité</w:t>
      </w:r>
      <w:r w:rsidRPr="0060630D">
        <w:t xml:space="preserve"> rappelle ses précédentes observations finales (CERD/C/NZL/CO/17, par.</w:t>
      </w:r>
      <w:r w:rsidR="00D96F49">
        <w:t> </w:t>
      </w:r>
      <w:r w:rsidRPr="0060630D">
        <w:t xml:space="preserve">13) et note avec regret que le Traité de Waitangi </w:t>
      </w:r>
      <w:r>
        <w:t>ne fait pas</w:t>
      </w:r>
      <w:r w:rsidRPr="0060630D">
        <w:t xml:space="preserve"> partie </w:t>
      </w:r>
      <w:r w:rsidR="00D96F49">
        <w:t xml:space="preserve">intégrante </w:t>
      </w:r>
      <w:r w:rsidRPr="0060630D">
        <w:t xml:space="preserve">du droit interne, </w:t>
      </w:r>
      <w:r>
        <w:t>bien que</w:t>
      </w:r>
      <w:r w:rsidRPr="0060630D">
        <w:t xml:space="preserve"> l</w:t>
      </w:r>
      <w:r w:rsidR="00742D4E">
        <w:t>’</w:t>
      </w:r>
      <w:r w:rsidRPr="0060630D">
        <w:t>État partie estime qu</w:t>
      </w:r>
      <w:r w:rsidR="00742D4E">
        <w:t>’</w:t>
      </w:r>
      <w:r w:rsidRPr="0060630D">
        <w:t xml:space="preserve">il </w:t>
      </w:r>
      <w:r>
        <w:t>s</w:t>
      </w:r>
      <w:r w:rsidR="00742D4E">
        <w:t>’</w:t>
      </w:r>
      <w:r>
        <w:t>agit du</w:t>
      </w:r>
      <w:r w:rsidRPr="0060630D">
        <w:t xml:space="preserve"> document fondateur de la nation. Le</w:t>
      </w:r>
      <w:r w:rsidR="00D96F49">
        <w:t> </w:t>
      </w:r>
      <w:r w:rsidRPr="0060630D">
        <w:t xml:space="preserve">Comité </w:t>
      </w:r>
      <w:r>
        <w:t>relève</w:t>
      </w:r>
      <w:r w:rsidRPr="0060630D">
        <w:t xml:space="preserve"> également que les décisions rendues par le Tribunal de Waitangi ne sont pas contraignantes. </w:t>
      </w:r>
      <w:r w:rsidR="00FE4668">
        <w:t xml:space="preserve">Il </w:t>
      </w:r>
      <w:r w:rsidRPr="0060630D">
        <w:t>note qu</w:t>
      </w:r>
      <w:r w:rsidR="00742D4E">
        <w:t>’</w:t>
      </w:r>
      <w:r w:rsidRPr="0060630D">
        <w:t xml:space="preserve">une révision de la Constitution est en cours et </w:t>
      </w:r>
      <w:r>
        <w:t>qu</w:t>
      </w:r>
      <w:r w:rsidR="00742D4E">
        <w:t>’</w:t>
      </w:r>
      <w:r>
        <w:t>une commission consultative</w:t>
      </w:r>
      <w:r w:rsidRPr="0060630D">
        <w:t xml:space="preserve"> constitutionnel</w:t>
      </w:r>
      <w:r>
        <w:t>le</w:t>
      </w:r>
      <w:r w:rsidRPr="0060630D">
        <w:t xml:space="preserve"> indépendant</w:t>
      </w:r>
      <w:r>
        <w:t>e</w:t>
      </w:r>
      <w:r w:rsidRPr="0060630D">
        <w:t xml:space="preserve"> a été nommé</w:t>
      </w:r>
      <w:r>
        <w:t>e</w:t>
      </w:r>
      <w:r w:rsidR="00FE4668">
        <w:t xml:space="preserve"> pour </w:t>
      </w:r>
      <w:r w:rsidRPr="0060630D">
        <w:t xml:space="preserve">examiner un large éventail de questions, notamment le rôle du Traité de Waitangi dans </w:t>
      </w:r>
      <w:r>
        <w:t>l</w:t>
      </w:r>
      <w:r w:rsidR="00742D4E">
        <w:t>’</w:t>
      </w:r>
      <w:r>
        <w:t>ordre</w:t>
      </w:r>
      <w:r w:rsidRPr="0060630D">
        <w:t xml:space="preserve"> constitutionnel de l</w:t>
      </w:r>
      <w:r w:rsidR="00742D4E">
        <w:t>’</w:t>
      </w:r>
      <w:r w:rsidRPr="0060630D">
        <w:t>État partie (art.</w:t>
      </w:r>
      <w:r w:rsidR="00FE4668">
        <w:t> </w:t>
      </w:r>
      <w:r w:rsidRPr="0060630D">
        <w:t>2 et</w:t>
      </w:r>
      <w:r w:rsidR="00FE4668">
        <w:t> </w:t>
      </w:r>
      <w:r w:rsidRPr="0060630D">
        <w:t>5).</w:t>
      </w:r>
    </w:p>
    <w:p w:rsidR="002E41A6" w:rsidRPr="005F08F5" w:rsidRDefault="002E41A6" w:rsidP="00AF2400">
      <w:pPr>
        <w:pStyle w:val="SingleTxtG"/>
        <w:keepLines/>
        <w:rPr>
          <w:b/>
        </w:rPr>
      </w:pPr>
      <w:r w:rsidRPr="008537CC">
        <w:rPr>
          <w:b/>
        </w:rPr>
        <w:t>Le Comité rappelle sa recommandation précédente (CERD/C/NZL/CO/17, par.</w:t>
      </w:r>
      <w:r w:rsidR="00C07D48">
        <w:rPr>
          <w:b/>
        </w:rPr>
        <w:t> </w:t>
      </w:r>
      <w:r w:rsidRPr="008537CC">
        <w:rPr>
          <w:b/>
        </w:rPr>
        <w:t>13), et</w:t>
      </w:r>
      <w:r w:rsidR="00C07D48">
        <w:rPr>
          <w:b/>
        </w:rPr>
        <w:t> </w:t>
      </w:r>
      <w:r w:rsidRPr="008537CC">
        <w:rPr>
          <w:b/>
        </w:rPr>
        <w:t>prie instamment l</w:t>
      </w:r>
      <w:r w:rsidR="00742D4E">
        <w:rPr>
          <w:b/>
        </w:rPr>
        <w:t>’</w:t>
      </w:r>
      <w:r w:rsidRPr="008537CC">
        <w:rPr>
          <w:b/>
        </w:rPr>
        <w:t xml:space="preserve">État partie de </w:t>
      </w:r>
      <w:r>
        <w:rPr>
          <w:b/>
        </w:rPr>
        <w:t>faire le nécessaire pour</w:t>
      </w:r>
      <w:r w:rsidRPr="008537CC">
        <w:rPr>
          <w:b/>
        </w:rPr>
        <w:t xml:space="preserve"> que des consultations </w:t>
      </w:r>
      <w:r>
        <w:rPr>
          <w:b/>
        </w:rPr>
        <w:t>et des débats public</w:t>
      </w:r>
      <w:r w:rsidRPr="008537CC">
        <w:rPr>
          <w:b/>
        </w:rPr>
        <w:t xml:space="preserve">s sur le statut du Traité de Waitangi </w:t>
      </w:r>
      <w:r>
        <w:rPr>
          <w:b/>
        </w:rPr>
        <w:t xml:space="preserve">soient organisés </w:t>
      </w:r>
      <w:r w:rsidRPr="008537CC">
        <w:rPr>
          <w:b/>
        </w:rPr>
        <w:t xml:space="preserve">dans le </w:t>
      </w:r>
      <w:r w:rsidR="00C07D48">
        <w:rPr>
          <w:b/>
        </w:rPr>
        <w:t xml:space="preserve">cadre de la </w:t>
      </w:r>
      <w:r w:rsidRPr="008537CC">
        <w:rPr>
          <w:b/>
        </w:rPr>
        <w:t>révision constitutionnelle</w:t>
      </w:r>
      <w:r>
        <w:rPr>
          <w:b/>
        </w:rPr>
        <w:t xml:space="preserve"> en cours</w:t>
      </w:r>
      <w:r w:rsidRPr="008537CC">
        <w:rPr>
          <w:b/>
        </w:rPr>
        <w:t xml:space="preserve">. </w:t>
      </w:r>
      <w:r>
        <w:rPr>
          <w:b/>
        </w:rPr>
        <w:t>L</w:t>
      </w:r>
      <w:r w:rsidRPr="008537CC">
        <w:rPr>
          <w:b/>
        </w:rPr>
        <w:t xml:space="preserve">e Comité recommande </w:t>
      </w:r>
      <w:r>
        <w:rPr>
          <w:b/>
        </w:rPr>
        <w:t>e</w:t>
      </w:r>
      <w:r w:rsidRPr="008537CC">
        <w:rPr>
          <w:b/>
        </w:rPr>
        <w:t>n particulier</w:t>
      </w:r>
      <w:r>
        <w:rPr>
          <w:b/>
        </w:rPr>
        <w:t xml:space="preserve"> que l</w:t>
      </w:r>
      <w:r w:rsidRPr="008537CC">
        <w:rPr>
          <w:b/>
        </w:rPr>
        <w:t xml:space="preserve">es consultations </w:t>
      </w:r>
      <w:r>
        <w:rPr>
          <w:b/>
        </w:rPr>
        <w:t>et débats public</w:t>
      </w:r>
      <w:r w:rsidRPr="008537CC">
        <w:rPr>
          <w:b/>
        </w:rPr>
        <w:t>s portent</w:t>
      </w:r>
      <w:r>
        <w:rPr>
          <w:b/>
        </w:rPr>
        <w:t xml:space="preserve"> entre autres sur la consécration éventuelle du</w:t>
      </w:r>
      <w:r w:rsidR="00AC70EF">
        <w:rPr>
          <w:b/>
        </w:rPr>
        <w:t> </w:t>
      </w:r>
      <w:r w:rsidRPr="008537CC">
        <w:rPr>
          <w:b/>
        </w:rPr>
        <w:t xml:space="preserve">Traité de Waitangi </w:t>
      </w:r>
      <w:r>
        <w:rPr>
          <w:b/>
        </w:rPr>
        <w:t>en tant que</w:t>
      </w:r>
      <w:r w:rsidRPr="008537CC">
        <w:rPr>
          <w:b/>
        </w:rPr>
        <w:t xml:space="preserve"> norme constitutionnelle. </w:t>
      </w:r>
      <w:r w:rsidR="00AC70EF">
        <w:rPr>
          <w:b/>
        </w:rPr>
        <w:t xml:space="preserve">Il </w:t>
      </w:r>
      <w:r w:rsidRPr="008537CC">
        <w:rPr>
          <w:b/>
        </w:rPr>
        <w:t>recommande en outre à</w:t>
      </w:r>
      <w:r w:rsidR="00AC70EF">
        <w:rPr>
          <w:b/>
        </w:rPr>
        <w:t> </w:t>
      </w:r>
      <w:r w:rsidRPr="008537CC">
        <w:rPr>
          <w:b/>
        </w:rPr>
        <w:t>l</w:t>
      </w:r>
      <w:r w:rsidR="00742D4E">
        <w:rPr>
          <w:b/>
        </w:rPr>
        <w:t>’</w:t>
      </w:r>
      <w:r w:rsidRPr="008537CC">
        <w:rPr>
          <w:b/>
        </w:rPr>
        <w:t>État partie d</w:t>
      </w:r>
      <w:r w:rsidR="00742D4E">
        <w:rPr>
          <w:b/>
        </w:rPr>
        <w:t>’</w:t>
      </w:r>
      <w:r w:rsidRPr="008537CC">
        <w:rPr>
          <w:b/>
        </w:rPr>
        <w:t xml:space="preserve">envisager </w:t>
      </w:r>
      <w:r>
        <w:rPr>
          <w:b/>
        </w:rPr>
        <w:t>de suivre</w:t>
      </w:r>
      <w:r w:rsidRPr="008537CC">
        <w:rPr>
          <w:b/>
        </w:rPr>
        <w:t xml:space="preserve"> la recommandation du Rapporteur spécial sur les droits des peuples autochtones </w:t>
      </w:r>
      <w:r>
        <w:rPr>
          <w:b/>
        </w:rPr>
        <w:t>engageant le Gouvernement à justifier par écrit toute</w:t>
      </w:r>
      <w:r w:rsidRPr="008537CC">
        <w:rPr>
          <w:b/>
        </w:rPr>
        <w:t xml:space="preserve"> dérogation aux dé</w:t>
      </w:r>
      <w:r>
        <w:rPr>
          <w:b/>
        </w:rPr>
        <w:t xml:space="preserve">cisions du </w:t>
      </w:r>
      <w:r w:rsidR="00437534">
        <w:rPr>
          <w:b/>
        </w:rPr>
        <w:t>T</w:t>
      </w:r>
      <w:r>
        <w:rPr>
          <w:b/>
        </w:rPr>
        <w:t>ribunal de Waitangi</w:t>
      </w:r>
      <w:r w:rsidRPr="008537CC">
        <w:rPr>
          <w:b/>
        </w:rPr>
        <w:t>.</w:t>
      </w:r>
    </w:p>
    <w:p w:rsidR="002E41A6" w:rsidRPr="0055102C" w:rsidRDefault="002E41A6" w:rsidP="00437534">
      <w:pPr>
        <w:pStyle w:val="H23G"/>
      </w:pPr>
      <w:r w:rsidRPr="0055102C">
        <w:tab/>
      </w:r>
      <w:r w:rsidRPr="0055102C">
        <w:tab/>
        <w:t>Plan national d</w:t>
      </w:r>
      <w:r w:rsidR="00742D4E">
        <w:t>’</w:t>
      </w:r>
      <w:r w:rsidRPr="0055102C">
        <w:t>action en faveur des droits de l</w:t>
      </w:r>
      <w:r w:rsidR="00742D4E">
        <w:t>’</w:t>
      </w:r>
      <w:r w:rsidRPr="0055102C">
        <w:t>homme</w:t>
      </w:r>
    </w:p>
    <w:p w:rsidR="002E41A6" w:rsidRDefault="002E41A6" w:rsidP="002E41A6">
      <w:pPr>
        <w:pStyle w:val="SingleTxtG"/>
      </w:pPr>
      <w:r w:rsidRPr="005F08F5">
        <w:t>8.</w:t>
      </w:r>
      <w:r w:rsidRPr="005F08F5">
        <w:tab/>
      </w:r>
      <w:r w:rsidRPr="009D2082">
        <w:t xml:space="preserve">Le Comité </w:t>
      </w:r>
      <w:r>
        <w:t>relève</w:t>
      </w:r>
      <w:r w:rsidRPr="009D2082">
        <w:t xml:space="preserve"> l</w:t>
      </w:r>
      <w:r w:rsidR="00742D4E">
        <w:t>’</w:t>
      </w:r>
      <w:r w:rsidRPr="009D2082">
        <w:t xml:space="preserve">absence </w:t>
      </w:r>
      <w:r>
        <w:t>de</w:t>
      </w:r>
      <w:r w:rsidRPr="009D2082">
        <w:t xml:space="preserve"> plan </w:t>
      </w:r>
      <w:r w:rsidR="00437534">
        <w:t xml:space="preserve">national </w:t>
      </w:r>
      <w:r w:rsidRPr="009D2082">
        <w:t>d</w:t>
      </w:r>
      <w:r w:rsidR="00742D4E">
        <w:t>’</w:t>
      </w:r>
      <w:r w:rsidRPr="009D2082">
        <w:t>action</w:t>
      </w:r>
      <w:r>
        <w:t xml:space="preserve"> relatif</w:t>
      </w:r>
      <w:r w:rsidRPr="009D2082">
        <w:t xml:space="preserve"> </w:t>
      </w:r>
      <w:r>
        <w:t>aux</w:t>
      </w:r>
      <w:r w:rsidRPr="009D2082">
        <w:t xml:space="preserve"> droits de l</w:t>
      </w:r>
      <w:r w:rsidR="00742D4E">
        <w:t>’</w:t>
      </w:r>
      <w:r w:rsidRPr="009D2082">
        <w:t>homme dans l</w:t>
      </w:r>
      <w:r w:rsidR="00742D4E">
        <w:t>’</w:t>
      </w:r>
      <w:r w:rsidRPr="009D2082">
        <w:t xml:space="preserve">État partie </w:t>
      </w:r>
      <w:r>
        <w:t>depuis la fin de la mise en œuvre du</w:t>
      </w:r>
      <w:r w:rsidRPr="009D2082">
        <w:t xml:space="preserve"> plan d</w:t>
      </w:r>
      <w:r w:rsidR="00742D4E">
        <w:t>’</w:t>
      </w:r>
      <w:r w:rsidRPr="009D2082">
        <w:t>a</w:t>
      </w:r>
      <w:r>
        <w:t>ction de 2005 en faveur des droits de l</w:t>
      </w:r>
      <w:r w:rsidR="00742D4E">
        <w:t>’</w:t>
      </w:r>
      <w:r>
        <w:t>homme</w:t>
      </w:r>
      <w:r w:rsidRPr="009D2082">
        <w:t xml:space="preserve">. </w:t>
      </w:r>
      <w:r w:rsidR="00437534">
        <w:t>Il </w:t>
      </w:r>
      <w:r>
        <w:t xml:space="preserve">note toutefois que </w:t>
      </w:r>
      <w:r w:rsidRPr="009D2082">
        <w:t>l</w:t>
      </w:r>
      <w:r w:rsidR="00742D4E">
        <w:t>’</w:t>
      </w:r>
      <w:r w:rsidRPr="009D2082">
        <w:t xml:space="preserve">État partie </w:t>
      </w:r>
      <w:r>
        <w:t>a l</w:t>
      </w:r>
      <w:r w:rsidR="00742D4E">
        <w:t>’</w:t>
      </w:r>
      <w:r>
        <w:t>intention</w:t>
      </w:r>
      <w:r w:rsidRPr="009D2082">
        <w:t xml:space="preserve"> </w:t>
      </w:r>
      <w:r>
        <w:t>d</w:t>
      </w:r>
      <w:r w:rsidR="00742D4E">
        <w:t>’</w:t>
      </w:r>
      <w:r w:rsidR="00632FCC">
        <w:t xml:space="preserve">en </w:t>
      </w:r>
      <w:r w:rsidRPr="009D2082">
        <w:t>élaborer un nouveau sous l</w:t>
      </w:r>
      <w:r w:rsidR="00742D4E">
        <w:t>’</w:t>
      </w:r>
      <w:r w:rsidRPr="009D2082">
        <w:t>égide de la Commission nationale des droits de l</w:t>
      </w:r>
      <w:r w:rsidR="00742D4E">
        <w:t>’</w:t>
      </w:r>
      <w:r w:rsidRPr="009D2082">
        <w:t>homme, dans le cadre du processus d</w:t>
      </w:r>
      <w:r w:rsidR="00742D4E">
        <w:t>’</w:t>
      </w:r>
      <w:r w:rsidRPr="009D2082">
        <w:t>examen périodique universel (art.</w:t>
      </w:r>
      <w:r w:rsidR="00632FCC">
        <w:t> </w:t>
      </w:r>
      <w:r w:rsidRPr="009D2082">
        <w:t>2).</w:t>
      </w:r>
    </w:p>
    <w:p w:rsidR="002E41A6" w:rsidRPr="0052331B" w:rsidRDefault="002E41A6" w:rsidP="002E41A6">
      <w:pPr>
        <w:pStyle w:val="SingleTxtG"/>
        <w:rPr>
          <w:b/>
        </w:rPr>
      </w:pPr>
      <w:r w:rsidRPr="0052331B">
        <w:rPr>
          <w:b/>
        </w:rPr>
        <w:t xml:space="preserve">Le Comité </w:t>
      </w:r>
      <w:r>
        <w:rPr>
          <w:b/>
        </w:rPr>
        <w:t>engage</w:t>
      </w:r>
      <w:r w:rsidRPr="0052331B">
        <w:rPr>
          <w:b/>
        </w:rPr>
        <w:t xml:space="preserve"> l</w:t>
      </w:r>
      <w:r w:rsidR="00742D4E">
        <w:rPr>
          <w:b/>
        </w:rPr>
        <w:t>’</w:t>
      </w:r>
      <w:r w:rsidRPr="0052331B">
        <w:rPr>
          <w:b/>
        </w:rPr>
        <w:t xml:space="preserve">État partie </w:t>
      </w:r>
      <w:r>
        <w:rPr>
          <w:b/>
        </w:rPr>
        <w:t xml:space="preserve">à </w:t>
      </w:r>
      <w:r w:rsidRPr="0052331B">
        <w:rPr>
          <w:b/>
        </w:rPr>
        <w:t>adopter un plan national d</w:t>
      </w:r>
      <w:r w:rsidR="00742D4E">
        <w:rPr>
          <w:b/>
        </w:rPr>
        <w:t>’</w:t>
      </w:r>
      <w:r w:rsidRPr="0052331B">
        <w:rPr>
          <w:b/>
        </w:rPr>
        <w:t xml:space="preserve">action </w:t>
      </w:r>
      <w:r>
        <w:rPr>
          <w:b/>
        </w:rPr>
        <w:t>en faveur d</w:t>
      </w:r>
      <w:r w:rsidRPr="0052331B">
        <w:rPr>
          <w:b/>
        </w:rPr>
        <w:t>es</w:t>
      </w:r>
      <w:r w:rsidR="00036668">
        <w:rPr>
          <w:b/>
        </w:rPr>
        <w:t xml:space="preserve"> </w:t>
      </w:r>
      <w:r w:rsidRPr="0052331B">
        <w:rPr>
          <w:b/>
        </w:rPr>
        <w:t>droits de l</w:t>
      </w:r>
      <w:r w:rsidR="00742D4E">
        <w:rPr>
          <w:b/>
        </w:rPr>
        <w:t>’</w:t>
      </w:r>
      <w:r w:rsidRPr="0052331B">
        <w:rPr>
          <w:b/>
        </w:rPr>
        <w:t xml:space="preserve">homme et </w:t>
      </w:r>
      <w:r>
        <w:rPr>
          <w:b/>
        </w:rPr>
        <w:t>à</w:t>
      </w:r>
      <w:r w:rsidRPr="0052331B">
        <w:rPr>
          <w:b/>
        </w:rPr>
        <w:t xml:space="preserve"> </w:t>
      </w:r>
      <w:r>
        <w:rPr>
          <w:b/>
        </w:rPr>
        <w:t>veiller à ce qu</w:t>
      </w:r>
      <w:r w:rsidR="00742D4E">
        <w:rPr>
          <w:b/>
        </w:rPr>
        <w:t>’</w:t>
      </w:r>
      <w:r>
        <w:rPr>
          <w:b/>
        </w:rPr>
        <w:t>il comprenne</w:t>
      </w:r>
      <w:r w:rsidRPr="0052331B">
        <w:rPr>
          <w:b/>
        </w:rPr>
        <w:t xml:space="preserve"> des </w:t>
      </w:r>
      <w:r>
        <w:rPr>
          <w:b/>
        </w:rPr>
        <w:t>projets de lutte</w:t>
      </w:r>
      <w:r w:rsidRPr="0052331B">
        <w:rPr>
          <w:b/>
        </w:rPr>
        <w:t xml:space="preserve"> contre la discrimination raciale</w:t>
      </w:r>
      <w:r>
        <w:rPr>
          <w:b/>
        </w:rPr>
        <w:t>, conformément à la Déclaration et a</w:t>
      </w:r>
      <w:r w:rsidRPr="0052331B">
        <w:rPr>
          <w:b/>
        </w:rPr>
        <w:t>u Programme d</w:t>
      </w:r>
      <w:r w:rsidR="00742D4E">
        <w:rPr>
          <w:b/>
        </w:rPr>
        <w:t>’</w:t>
      </w:r>
      <w:r w:rsidRPr="0052331B">
        <w:rPr>
          <w:b/>
        </w:rPr>
        <w:t>action de</w:t>
      </w:r>
      <w:r w:rsidR="00036668">
        <w:rPr>
          <w:b/>
        </w:rPr>
        <w:t> </w:t>
      </w:r>
      <w:r w:rsidRPr="0052331B">
        <w:rPr>
          <w:b/>
        </w:rPr>
        <w:t xml:space="preserve">Durban. </w:t>
      </w:r>
      <w:r w:rsidR="00036668">
        <w:rPr>
          <w:b/>
        </w:rPr>
        <w:t>Il </w:t>
      </w:r>
      <w:r w:rsidRPr="0052331B">
        <w:rPr>
          <w:b/>
        </w:rPr>
        <w:t xml:space="preserve">recommande en outre </w:t>
      </w:r>
      <w:r>
        <w:rPr>
          <w:b/>
        </w:rPr>
        <w:t>à</w:t>
      </w:r>
      <w:r w:rsidRPr="0052331B">
        <w:rPr>
          <w:b/>
        </w:rPr>
        <w:t xml:space="preserve"> l</w:t>
      </w:r>
      <w:r w:rsidR="00742D4E">
        <w:rPr>
          <w:b/>
        </w:rPr>
        <w:t>’</w:t>
      </w:r>
      <w:r w:rsidRPr="0052331B">
        <w:rPr>
          <w:b/>
        </w:rPr>
        <w:t xml:space="preserve">État partie </w:t>
      </w:r>
      <w:r>
        <w:rPr>
          <w:b/>
        </w:rPr>
        <w:t>de procéder à</w:t>
      </w:r>
      <w:r w:rsidRPr="0052331B">
        <w:rPr>
          <w:b/>
        </w:rPr>
        <w:t xml:space="preserve"> des</w:t>
      </w:r>
      <w:r w:rsidR="00036668">
        <w:rPr>
          <w:b/>
        </w:rPr>
        <w:t xml:space="preserve"> </w:t>
      </w:r>
      <w:r w:rsidRPr="0052331B">
        <w:rPr>
          <w:b/>
        </w:rPr>
        <w:t xml:space="preserve">consultations appropriées avec les parties prenantes </w:t>
      </w:r>
      <w:r>
        <w:rPr>
          <w:b/>
        </w:rPr>
        <w:t>lors de l</w:t>
      </w:r>
      <w:r w:rsidR="00742D4E">
        <w:rPr>
          <w:b/>
        </w:rPr>
        <w:t>’</w:t>
      </w:r>
      <w:r>
        <w:rPr>
          <w:b/>
        </w:rPr>
        <w:t>élaboration de ce</w:t>
      </w:r>
      <w:r w:rsidRPr="0052331B">
        <w:rPr>
          <w:b/>
        </w:rPr>
        <w:t xml:space="preserve"> plan d</w:t>
      </w:r>
      <w:r w:rsidR="00742D4E">
        <w:rPr>
          <w:b/>
        </w:rPr>
        <w:t>’</w:t>
      </w:r>
      <w:r w:rsidRPr="0052331B">
        <w:rPr>
          <w:b/>
        </w:rPr>
        <w:t>action.</w:t>
      </w:r>
    </w:p>
    <w:p w:rsidR="002E41A6" w:rsidRPr="0055102C" w:rsidRDefault="002E41A6" w:rsidP="00036668">
      <w:pPr>
        <w:pStyle w:val="H23G"/>
      </w:pPr>
      <w:r w:rsidRPr="0055102C">
        <w:tab/>
      </w:r>
      <w:r w:rsidRPr="0055102C">
        <w:tab/>
        <w:t>Incitation à la haine raciale et à la violence</w:t>
      </w:r>
    </w:p>
    <w:p w:rsidR="002E41A6" w:rsidRDefault="002E41A6" w:rsidP="002E41A6">
      <w:pPr>
        <w:pStyle w:val="SingleTxtG"/>
      </w:pPr>
      <w:r w:rsidRPr="005F08F5">
        <w:t>9.</w:t>
      </w:r>
      <w:r w:rsidRPr="005F08F5">
        <w:tab/>
      </w:r>
      <w:r>
        <w:t>L</w:t>
      </w:r>
      <w:r w:rsidRPr="00BD36BF">
        <w:t>e Comité</w:t>
      </w:r>
      <w:r>
        <w:t xml:space="preserve"> félicite l</w:t>
      </w:r>
      <w:r w:rsidR="00742D4E">
        <w:t>’</w:t>
      </w:r>
      <w:r>
        <w:t xml:space="preserve">État partie pour les dispositions de la </w:t>
      </w:r>
      <w:r w:rsidRPr="0055102C">
        <w:t>loi relative aux droits de l</w:t>
      </w:r>
      <w:r w:rsidR="00742D4E">
        <w:t>’</w:t>
      </w:r>
      <w:r w:rsidRPr="0055102C">
        <w:t xml:space="preserve">homme </w:t>
      </w:r>
      <w:r>
        <w:t>destinées</w:t>
      </w:r>
      <w:r w:rsidRPr="00BD36BF">
        <w:t xml:space="preserve"> </w:t>
      </w:r>
      <w:r>
        <w:t>à</w:t>
      </w:r>
      <w:r w:rsidRPr="00BD36BF">
        <w:t xml:space="preserve"> lutter contre </w:t>
      </w:r>
      <w:r>
        <w:t>l</w:t>
      </w:r>
      <w:r w:rsidR="00742D4E">
        <w:t>’</w:t>
      </w:r>
      <w:r>
        <w:t>incitation à la haine raciale,</w:t>
      </w:r>
      <w:r w:rsidRPr="00BD36BF">
        <w:t xml:space="preserve"> </w:t>
      </w:r>
      <w:r>
        <w:t xml:space="preserve">mais il </w:t>
      </w:r>
      <w:r w:rsidRPr="00BD36BF">
        <w:t>est préoccupé par l</w:t>
      </w:r>
      <w:r w:rsidR="00742D4E">
        <w:t>’</w:t>
      </w:r>
      <w:r w:rsidRPr="00BD36BF">
        <w:t xml:space="preserve">absence </w:t>
      </w:r>
      <w:r>
        <w:t>de</w:t>
      </w:r>
      <w:r w:rsidRPr="00BD36BF">
        <w:t xml:space="preserve"> stratégie globale pour </w:t>
      </w:r>
      <w:r>
        <w:t>combattre</w:t>
      </w:r>
      <w:r w:rsidRPr="00BD36BF">
        <w:t xml:space="preserve"> l</w:t>
      </w:r>
      <w:r w:rsidR="00742D4E">
        <w:t>’</w:t>
      </w:r>
      <w:r w:rsidRPr="00BD36BF">
        <w:t>incitation à la haine raciale dans le cyberespac</w:t>
      </w:r>
      <w:r>
        <w:t>e. Le Comité note toutefois que</w:t>
      </w:r>
      <w:r w:rsidRPr="00BD36BF">
        <w:t xml:space="preserve"> l</w:t>
      </w:r>
      <w:r w:rsidR="00742D4E">
        <w:t>’</w:t>
      </w:r>
      <w:r w:rsidRPr="00BD36BF">
        <w:t xml:space="preserve">État partie </w:t>
      </w:r>
      <w:r>
        <w:t xml:space="preserve">a </w:t>
      </w:r>
      <w:r w:rsidRPr="00BD36BF">
        <w:t>l</w:t>
      </w:r>
      <w:r w:rsidR="00742D4E">
        <w:t>’</w:t>
      </w:r>
      <w:r w:rsidRPr="00BD36BF">
        <w:t>intention</w:t>
      </w:r>
      <w:r>
        <w:t xml:space="preserve"> </w:t>
      </w:r>
      <w:r w:rsidRPr="00BD36BF">
        <w:t>d</w:t>
      </w:r>
      <w:r w:rsidR="00742D4E">
        <w:t>’</w:t>
      </w:r>
      <w:r w:rsidRPr="00BD36BF">
        <w:t xml:space="preserve">élaborer </w:t>
      </w:r>
      <w:r>
        <w:t>des dispositions législatives</w:t>
      </w:r>
      <w:r w:rsidRPr="00BD36BF">
        <w:t xml:space="preserve"> pour </w:t>
      </w:r>
      <w:r>
        <w:t>remédier au</w:t>
      </w:r>
      <w:r w:rsidRPr="00BD36BF">
        <w:t xml:space="preserve"> problème de l</w:t>
      </w:r>
      <w:r w:rsidR="00742D4E">
        <w:t>’</w:t>
      </w:r>
      <w:r w:rsidRPr="00BD36BF">
        <w:t xml:space="preserve">incitation à la haine raciale sur Internet, </w:t>
      </w:r>
      <w:r>
        <w:t>notamment</w:t>
      </w:r>
      <w:r w:rsidRPr="00BD36BF">
        <w:t xml:space="preserve"> </w:t>
      </w:r>
      <w:r>
        <w:t>quand elle prend la forme de harcèlement en ligne</w:t>
      </w:r>
      <w:r w:rsidR="00C821AF">
        <w:t xml:space="preserve"> (art. 2 et </w:t>
      </w:r>
      <w:r w:rsidRPr="00BD36BF">
        <w:t>4).</w:t>
      </w:r>
    </w:p>
    <w:p w:rsidR="002E41A6" w:rsidRDefault="002E41A6" w:rsidP="002E41A6">
      <w:pPr>
        <w:pStyle w:val="SingleTxtG"/>
        <w:rPr>
          <w:b/>
        </w:rPr>
      </w:pPr>
      <w:r w:rsidRPr="005C7399">
        <w:rPr>
          <w:b/>
        </w:rPr>
        <w:t>Le Comité recommande à l</w:t>
      </w:r>
      <w:r w:rsidR="00742D4E">
        <w:rPr>
          <w:b/>
        </w:rPr>
        <w:t>’</w:t>
      </w:r>
      <w:r w:rsidRPr="005C7399">
        <w:rPr>
          <w:b/>
        </w:rPr>
        <w:t>État partie d</w:t>
      </w:r>
      <w:r w:rsidR="00742D4E">
        <w:rPr>
          <w:b/>
        </w:rPr>
        <w:t>’</w:t>
      </w:r>
      <w:r w:rsidRPr="005C7399">
        <w:rPr>
          <w:b/>
        </w:rPr>
        <w:t xml:space="preserve">élaborer un cadre législatif complet </w:t>
      </w:r>
      <w:r>
        <w:rPr>
          <w:b/>
        </w:rPr>
        <w:t>en vue de</w:t>
      </w:r>
      <w:r w:rsidRPr="005C7399">
        <w:rPr>
          <w:b/>
        </w:rPr>
        <w:t xml:space="preserve"> </w:t>
      </w:r>
      <w:r>
        <w:rPr>
          <w:b/>
        </w:rPr>
        <w:t>remédier au</w:t>
      </w:r>
      <w:r w:rsidRPr="005C7399">
        <w:rPr>
          <w:b/>
        </w:rPr>
        <w:t xml:space="preserve"> problème de l</w:t>
      </w:r>
      <w:r w:rsidR="00742D4E">
        <w:rPr>
          <w:b/>
        </w:rPr>
        <w:t>’</w:t>
      </w:r>
      <w:r w:rsidRPr="005C7399">
        <w:rPr>
          <w:b/>
        </w:rPr>
        <w:t>incitation à la haine raciale sur Internet</w:t>
      </w:r>
      <w:r>
        <w:rPr>
          <w:b/>
        </w:rPr>
        <w:t>,</w:t>
      </w:r>
      <w:r w:rsidRPr="005C7399">
        <w:rPr>
          <w:b/>
        </w:rPr>
        <w:t xml:space="preserve"> conformément à l</w:t>
      </w:r>
      <w:r w:rsidR="00742D4E">
        <w:rPr>
          <w:b/>
        </w:rPr>
        <w:t>’</w:t>
      </w:r>
      <w:r w:rsidRPr="005C7399">
        <w:rPr>
          <w:b/>
        </w:rPr>
        <w:t>article</w:t>
      </w:r>
      <w:r w:rsidR="00C11393">
        <w:rPr>
          <w:b/>
        </w:rPr>
        <w:t> </w:t>
      </w:r>
      <w:r w:rsidRPr="005C7399">
        <w:rPr>
          <w:b/>
        </w:rPr>
        <w:t>4 de la Convention.</w:t>
      </w:r>
    </w:p>
    <w:p w:rsidR="002E41A6" w:rsidRPr="0055102C" w:rsidRDefault="002E41A6" w:rsidP="00C11393">
      <w:pPr>
        <w:pStyle w:val="H23G"/>
      </w:pPr>
      <w:r w:rsidRPr="0055102C">
        <w:tab/>
      </w:r>
      <w:r w:rsidRPr="0055102C">
        <w:tab/>
      </w:r>
      <w:r w:rsidR="00C11393">
        <w:t xml:space="preserve">Propos </w:t>
      </w:r>
      <w:r w:rsidRPr="0055102C">
        <w:t>politiques racistes</w:t>
      </w:r>
    </w:p>
    <w:p w:rsidR="002E41A6" w:rsidRDefault="002E41A6" w:rsidP="002E41A6">
      <w:pPr>
        <w:pStyle w:val="SingleTxtG"/>
      </w:pPr>
      <w:r w:rsidRPr="005F08F5">
        <w:t>10.</w:t>
      </w:r>
      <w:r w:rsidRPr="005F08F5">
        <w:tab/>
      </w:r>
      <w:r w:rsidRPr="00BC08E4">
        <w:t xml:space="preserve">Le Comité regrette les </w:t>
      </w:r>
      <w:r>
        <w:t>propos</w:t>
      </w:r>
      <w:r w:rsidRPr="00BC08E4">
        <w:t xml:space="preserve"> incendiaires </w:t>
      </w:r>
      <w:r>
        <w:t>récemment tenus par un</w:t>
      </w:r>
      <w:r w:rsidRPr="00BC08E4">
        <w:t xml:space="preserve"> député </w:t>
      </w:r>
      <w:r>
        <w:t>qui a</w:t>
      </w:r>
      <w:r w:rsidRPr="00BC08E4">
        <w:t xml:space="preserve"> </w:t>
      </w:r>
      <w:r>
        <w:t>dénigré</w:t>
      </w:r>
      <w:r w:rsidRPr="00BC08E4">
        <w:t xml:space="preserve"> les personnes originaires d</w:t>
      </w:r>
      <w:r w:rsidR="00742D4E">
        <w:t>’</w:t>
      </w:r>
      <w:r w:rsidRPr="00BC08E4">
        <w:t xml:space="preserve">Asie centrale </w:t>
      </w:r>
      <w:r>
        <w:t>ou d</w:t>
      </w:r>
      <w:r w:rsidRPr="00BC08E4">
        <w:t>u Moyen-</w:t>
      </w:r>
      <w:r>
        <w:t>Orient</w:t>
      </w:r>
      <w:r w:rsidRPr="00BC08E4">
        <w:t xml:space="preserve"> </w:t>
      </w:r>
      <w:r>
        <w:t>au motif de</w:t>
      </w:r>
      <w:r w:rsidRPr="00BC08E4">
        <w:t xml:space="preserve"> leur </w:t>
      </w:r>
      <w:r>
        <w:t>couleur de p</w:t>
      </w:r>
      <w:r w:rsidRPr="00BC08E4">
        <w:t>eau</w:t>
      </w:r>
      <w:r>
        <w:t>,</w:t>
      </w:r>
      <w:r w:rsidRPr="00BC08E4">
        <w:t xml:space="preserve"> </w:t>
      </w:r>
      <w:r>
        <w:t xml:space="preserve">de </w:t>
      </w:r>
      <w:r w:rsidRPr="00BC08E4">
        <w:t>le</w:t>
      </w:r>
      <w:r>
        <w:t>ur</w:t>
      </w:r>
      <w:r w:rsidRPr="00BC08E4">
        <w:t xml:space="preserve"> pays d</w:t>
      </w:r>
      <w:r w:rsidR="00742D4E">
        <w:t>’</w:t>
      </w:r>
      <w:r w:rsidRPr="00BC08E4">
        <w:t xml:space="preserve">origine </w:t>
      </w:r>
      <w:r>
        <w:t>et</w:t>
      </w:r>
      <w:r w:rsidRPr="00BC08E4">
        <w:t xml:space="preserve"> </w:t>
      </w:r>
      <w:r>
        <w:t xml:space="preserve">de </w:t>
      </w:r>
      <w:r w:rsidRPr="00BC08E4">
        <w:t xml:space="preserve">leur religion, mais </w:t>
      </w:r>
      <w:r>
        <w:t>il salue le fait que</w:t>
      </w:r>
      <w:r w:rsidRPr="00BC08E4">
        <w:t xml:space="preserve"> </w:t>
      </w:r>
      <w:r>
        <w:t>la M</w:t>
      </w:r>
      <w:r w:rsidRPr="00BC08E4">
        <w:t xml:space="preserve">inistre </w:t>
      </w:r>
      <w:r>
        <w:t>de la j</w:t>
      </w:r>
      <w:r w:rsidRPr="00BC08E4">
        <w:t xml:space="preserve">ustice et </w:t>
      </w:r>
      <w:r>
        <w:t xml:space="preserve">des </w:t>
      </w:r>
      <w:r w:rsidRPr="00BC08E4">
        <w:t>affaires ethniques</w:t>
      </w:r>
      <w:r>
        <w:t xml:space="preserve"> et le C</w:t>
      </w:r>
      <w:r w:rsidRPr="00BC08E4">
        <w:t xml:space="preserve">ommissaire </w:t>
      </w:r>
      <w:r>
        <w:t>aux</w:t>
      </w:r>
      <w:r w:rsidRPr="00BC08E4">
        <w:t xml:space="preserve"> relations raciales</w:t>
      </w:r>
      <w:r>
        <w:t xml:space="preserve">, </w:t>
      </w:r>
      <w:r w:rsidRPr="00BC08E4">
        <w:t xml:space="preserve">entre autres, </w:t>
      </w:r>
      <w:r w:rsidR="00A17B14">
        <w:t xml:space="preserve">ont </w:t>
      </w:r>
      <w:r>
        <w:t>vivement</w:t>
      </w:r>
      <w:r w:rsidRPr="00BC08E4">
        <w:t xml:space="preserve"> critiqu</w:t>
      </w:r>
      <w:r>
        <w:t>é</w:t>
      </w:r>
      <w:r w:rsidRPr="00BC08E4">
        <w:t xml:space="preserve"> ces déclarations, </w:t>
      </w:r>
      <w:r>
        <w:t xml:space="preserve">et </w:t>
      </w:r>
      <w:r w:rsidRPr="00BC08E4">
        <w:t xml:space="preserve">que le Parlement </w:t>
      </w:r>
      <w:r>
        <w:t xml:space="preserve">a adopté </w:t>
      </w:r>
      <w:r w:rsidRPr="00BC08E4">
        <w:t>à</w:t>
      </w:r>
      <w:r w:rsidR="00A17B14">
        <w:t> </w:t>
      </w:r>
      <w:r w:rsidRPr="00BC08E4">
        <w:t>l</w:t>
      </w:r>
      <w:r w:rsidR="00742D4E">
        <w:t>’</w:t>
      </w:r>
      <w:r w:rsidRPr="00BC08E4">
        <w:t xml:space="preserve">unanimité </w:t>
      </w:r>
      <w:r>
        <w:t>une</w:t>
      </w:r>
      <w:r w:rsidRPr="00BC08E4">
        <w:t xml:space="preserve"> résolution réaffirmant l</w:t>
      </w:r>
      <w:r w:rsidR="00742D4E">
        <w:t>’</w:t>
      </w:r>
      <w:r w:rsidRPr="00BC08E4">
        <w:t>engagement de l</w:t>
      </w:r>
      <w:r w:rsidR="00742D4E">
        <w:t>’</w:t>
      </w:r>
      <w:r w:rsidRPr="00BC08E4">
        <w:t xml:space="preserve">État partie à préserver une société multiethnique </w:t>
      </w:r>
      <w:r>
        <w:t>ouverte à tous</w:t>
      </w:r>
      <w:r w:rsidRPr="00BC08E4">
        <w:t xml:space="preserve"> (art.</w:t>
      </w:r>
      <w:r w:rsidR="00A17B14">
        <w:t> </w:t>
      </w:r>
      <w:r w:rsidRPr="00BC08E4">
        <w:t>4, 5 et</w:t>
      </w:r>
      <w:r w:rsidR="00A17B14">
        <w:t> </w:t>
      </w:r>
      <w:r w:rsidRPr="00BC08E4">
        <w:t>7).</w:t>
      </w:r>
    </w:p>
    <w:p w:rsidR="002E41A6" w:rsidRPr="003D65D8" w:rsidRDefault="002E41A6" w:rsidP="002E41A6">
      <w:pPr>
        <w:pStyle w:val="SingleTxtG"/>
        <w:rPr>
          <w:b/>
        </w:rPr>
      </w:pPr>
      <w:r w:rsidRPr="003D65D8">
        <w:rPr>
          <w:b/>
        </w:rPr>
        <w:t>Le Comité exhorte l</w:t>
      </w:r>
      <w:r w:rsidR="00742D4E">
        <w:rPr>
          <w:b/>
        </w:rPr>
        <w:t>’</w:t>
      </w:r>
      <w:r w:rsidRPr="003D65D8">
        <w:rPr>
          <w:b/>
        </w:rPr>
        <w:t>État partie à redoubler d</w:t>
      </w:r>
      <w:r w:rsidR="00742D4E">
        <w:rPr>
          <w:b/>
        </w:rPr>
        <w:t>’</w:t>
      </w:r>
      <w:r w:rsidRPr="003D65D8">
        <w:rPr>
          <w:b/>
        </w:rPr>
        <w:t>efforts pour favoriser l</w:t>
      </w:r>
      <w:r w:rsidR="00742D4E">
        <w:rPr>
          <w:b/>
        </w:rPr>
        <w:t>’</w:t>
      </w:r>
      <w:r w:rsidRPr="003D65D8">
        <w:rPr>
          <w:b/>
        </w:rPr>
        <w:t>harmonie entre les différents groupes ethniques</w:t>
      </w:r>
      <w:r>
        <w:rPr>
          <w:b/>
        </w:rPr>
        <w:t xml:space="preserve">, notamment en menant des actions de </w:t>
      </w:r>
      <w:r w:rsidRPr="003D65D8">
        <w:rPr>
          <w:b/>
        </w:rPr>
        <w:t xml:space="preserve">sensibilisation afin de </w:t>
      </w:r>
      <w:r>
        <w:rPr>
          <w:b/>
        </w:rPr>
        <w:t>combattre</w:t>
      </w:r>
      <w:r w:rsidRPr="003D65D8">
        <w:rPr>
          <w:b/>
        </w:rPr>
        <w:t xml:space="preserve"> les stéréotypes et les préjugés </w:t>
      </w:r>
      <w:r>
        <w:rPr>
          <w:b/>
        </w:rPr>
        <w:t>à l</w:t>
      </w:r>
      <w:r w:rsidR="00742D4E">
        <w:rPr>
          <w:b/>
        </w:rPr>
        <w:t>’</w:t>
      </w:r>
      <w:r>
        <w:rPr>
          <w:b/>
        </w:rPr>
        <w:t>égard de</w:t>
      </w:r>
      <w:r w:rsidRPr="003D65D8">
        <w:rPr>
          <w:b/>
        </w:rPr>
        <w:t xml:space="preserve"> certains groupes ethniques et religieux.</w:t>
      </w:r>
    </w:p>
    <w:p w:rsidR="002E41A6" w:rsidRPr="0055102C" w:rsidRDefault="0028584E" w:rsidP="0028584E">
      <w:pPr>
        <w:pStyle w:val="H23G"/>
      </w:pPr>
      <w:r>
        <w:tab/>
      </w:r>
      <w:r>
        <w:tab/>
      </w:r>
      <w:r w:rsidR="002E41A6" w:rsidRPr="0055102C">
        <w:t>Administration de la justice</w:t>
      </w:r>
    </w:p>
    <w:p w:rsidR="002E41A6" w:rsidRDefault="002E41A6" w:rsidP="002E41A6">
      <w:pPr>
        <w:pStyle w:val="SingleTxtG"/>
      </w:pPr>
      <w:r w:rsidRPr="005F08F5">
        <w:t>11.</w:t>
      </w:r>
      <w:r w:rsidRPr="005F08F5">
        <w:tab/>
      </w:r>
      <w:r w:rsidRPr="00F55D20">
        <w:t>Le Comité prend note des efforts déployés par l</w:t>
      </w:r>
      <w:r w:rsidR="00742D4E">
        <w:t>’</w:t>
      </w:r>
      <w:r w:rsidRPr="00F55D20">
        <w:t xml:space="preserve">État partie pour </w:t>
      </w:r>
      <w:r>
        <w:t>remédier à</w:t>
      </w:r>
      <w:r w:rsidRPr="00F55D20">
        <w:t xml:space="preserve"> la surreprésentation des membres des communautés maories dans le système de justice pénale, comme la mise en place des programmes </w:t>
      </w:r>
      <w:r>
        <w:t>d</w:t>
      </w:r>
      <w:r w:rsidR="00742D4E">
        <w:t>’</w:t>
      </w:r>
      <w:r>
        <w:t>amélioration des services publics,</w:t>
      </w:r>
      <w:r w:rsidRPr="00F55D20">
        <w:t xml:space="preserve"> </w:t>
      </w:r>
      <w:r>
        <w:t>de</w:t>
      </w:r>
      <w:r w:rsidR="0028584E">
        <w:t> </w:t>
      </w:r>
      <w:r w:rsidRPr="00F55D20">
        <w:t>l</w:t>
      </w:r>
      <w:r w:rsidR="00742D4E">
        <w:t>’</w:t>
      </w:r>
      <w:r w:rsidRPr="00F55D20">
        <w:t xml:space="preserve">initiative </w:t>
      </w:r>
      <w:r w:rsidRPr="0055102C">
        <w:t>«Drivers of crime» («Causes de la criminalité»)</w:t>
      </w:r>
      <w:r>
        <w:t xml:space="preserve"> et de</w:t>
      </w:r>
      <w:r w:rsidRPr="00F55D20">
        <w:t xml:space="preserve"> réformes </w:t>
      </w:r>
      <w:r>
        <w:t>du</w:t>
      </w:r>
      <w:r w:rsidRPr="00F55D20">
        <w:t xml:space="preserve"> système </w:t>
      </w:r>
      <w:r>
        <w:t>de sélection</w:t>
      </w:r>
      <w:r w:rsidRPr="00F55D20">
        <w:t xml:space="preserve"> des jurés. Le Comité r</w:t>
      </w:r>
      <w:r>
        <w:t>este toutefois préoccupé par le taux anormalement élevé</w:t>
      </w:r>
      <w:r w:rsidRPr="00F55D20">
        <w:t xml:space="preserve"> d</w:t>
      </w:r>
      <w:r w:rsidR="00742D4E">
        <w:t>’</w:t>
      </w:r>
      <w:r w:rsidRPr="00F55D20">
        <w:t>incarcération des memb</w:t>
      </w:r>
      <w:r>
        <w:t>res des communautés maories et p</w:t>
      </w:r>
      <w:r w:rsidRPr="00F55D20">
        <w:t>asifika</w:t>
      </w:r>
      <w:r>
        <w:t>s</w:t>
      </w:r>
      <w:r w:rsidRPr="00F55D20">
        <w:t xml:space="preserve"> et </w:t>
      </w:r>
      <w:r>
        <w:t>par leur</w:t>
      </w:r>
      <w:r w:rsidRPr="00F55D20">
        <w:t xml:space="preserve"> surreprésentation </w:t>
      </w:r>
      <w:r>
        <w:t>à tou</w:t>
      </w:r>
      <w:r w:rsidRPr="00F55D20">
        <w:t xml:space="preserve">s les </w:t>
      </w:r>
      <w:r>
        <w:t>stades</w:t>
      </w:r>
      <w:r w:rsidRPr="00F55D20">
        <w:t xml:space="preserve"> de </w:t>
      </w:r>
      <w:r>
        <w:t xml:space="preserve">la </w:t>
      </w:r>
      <w:r w:rsidRPr="00F55D20">
        <w:t>justice pénale (art.</w:t>
      </w:r>
      <w:r w:rsidR="0028584E">
        <w:t> </w:t>
      </w:r>
      <w:r w:rsidRPr="00F55D20">
        <w:t>2, 4, 5 et</w:t>
      </w:r>
      <w:r w:rsidR="00937B65">
        <w:t> </w:t>
      </w:r>
      <w:r w:rsidRPr="00F55D20">
        <w:t>6).</w:t>
      </w:r>
    </w:p>
    <w:p w:rsidR="002E41A6" w:rsidRPr="008053EA" w:rsidRDefault="002E41A6" w:rsidP="002E41A6">
      <w:pPr>
        <w:pStyle w:val="SingleTxtG"/>
      </w:pPr>
      <w:r w:rsidRPr="00A131C9">
        <w:t xml:space="preserve">Rappelant ses précédentes observations </w:t>
      </w:r>
      <w:r w:rsidR="0028584E">
        <w:t>finales (CERD/C/NZL/CO/17, par. </w:t>
      </w:r>
      <w:r w:rsidRPr="00A131C9">
        <w:t xml:space="preserve">21) et sa </w:t>
      </w:r>
      <w:r w:rsidR="00C560CB">
        <w:t>R</w:t>
      </w:r>
      <w:r w:rsidRPr="00A131C9">
        <w:t xml:space="preserve">ecommandation générale </w:t>
      </w:r>
      <w:r w:rsidR="00C560CB">
        <w:rPr>
          <w:rFonts w:eastAsia="MS Mincho"/>
        </w:rPr>
        <w:t>n</w:t>
      </w:r>
      <w:r w:rsidR="00C560CB">
        <w:rPr>
          <w:rFonts w:eastAsia="MS Mincho"/>
          <w:vertAlign w:val="superscript"/>
        </w:rPr>
        <w:t>o</w:t>
      </w:r>
      <w:r w:rsidR="00C560CB">
        <w:t> </w:t>
      </w:r>
      <w:r w:rsidRPr="00A131C9">
        <w:t>31 (2005) sur la prévention de la discrimination raciale dans l</w:t>
      </w:r>
      <w:r w:rsidR="00742D4E">
        <w:t>’</w:t>
      </w:r>
      <w:r w:rsidRPr="00A131C9">
        <w:t xml:space="preserve">administration et le fonctionnement du système de justice pénale, le Comité demande instamment </w:t>
      </w:r>
      <w:r>
        <w:t xml:space="preserve">à </w:t>
      </w:r>
      <w:r w:rsidRPr="00A131C9">
        <w:t>l</w:t>
      </w:r>
      <w:r w:rsidR="00742D4E">
        <w:t>’</w:t>
      </w:r>
      <w:r w:rsidRPr="00A131C9">
        <w:t xml:space="preserve">État partie </w:t>
      </w:r>
      <w:r>
        <w:t>de redoubler</w:t>
      </w:r>
      <w:r w:rsidRPr="00A131C9">
        <w:t xml:space="preserve"> </w:t>
      </w:r>
      <w:r>
        <w:t>d</w:t>
      </w:r>
      <w:r w:rsidR="00742D4E">
        <w:t>’</w:t>
      </w:r>
      <w:r w:rsidRPr="00A131C9">
        <w:t xml:space="preserve">efforts pour </w:t>
      </w:r>
      <w:r>
        <w:t>remédier à</w:t>
      </w:r>
      <w:r w:rsidRPr="00A131C9">
        <w:t xml:space="preserve"> la surreprésentation des membres des communa</w:t>
      </w:r>
      <w:r>
        <w:t>utés maories et pasifikas à tou</w:t>
      </w:r>
      <w:r w:rsidRPr="00A131C9">
        <w:t xml:space="preserve">s les </w:t>
      </w:r>
      <w:r>
        <w:t>stades</w:t>
      </w:r>
      <w:r w:rsidRPr="00A131C9">
        <w:t xml:space="preserve"> de </w:t>
      </w:r>
      <w:r>
        <w:t xml:space="preserve">la </w:t>
      </w:r>
      <w:r w:rsidR="00377405">
        <w:t>justice pénale. À </w:t>
      </w:r>
      <w:r w:rsidRPr="00A131C9">
        <w:t>cet</w:t>
      </w:r>
      <w:r w:rsidR="00344548">
        <w:t> </w:t>
      </w:r>
      <w:r w:rsidRPr="00A131C9">
        <w:t xml:space="preserve">égard, </w:t>
      </w:r>
      <w:r w:rsidR="00377405">
        <w:t xml:space="preserve">il </w:t>
      </w:r>
      <w:r w:rsidRPr="00A131C9">
        <w:t>prie instamment l</w:t>
      </w:r>
      <w:r w:rsidR="00742D4E">
        <w:t>’</w:t>
      </w:r>
      <w:r w:rsidRPr="00A131C9">
        <w:t xml:space="preserve">État partie de </w:t>
      </w:r>
      <w:r>
        <w:t xml:space="preserve">lui communiquer, </w:t>
      </w:r>
      <w:r w:rsidRPr="00A131C9">
        <w:t>dans son prochain rapport périodique</w:t>
      </w:r>
      <w:r>
        <w:t>, des données complètes</w:t>
      </w:r>
      <w:r w:rsidRPr="00A131C9">
        <w:t xml:space="preserve"> sur les progrès réalisés </w:t>
      </w:r>
      <w:r>
        <w:t>dans la lutte contre</w:t>
      </w:r>
      <w:r w:rsidRPr="00A131C9">
        <w:t xml:space="preserve"> ce</w:t>
      </w:r>
      <w:r w:rsidR="00344548">
        <w:t> </w:t>
      </w:r>
      <w:r w:rsidRPr="00A131C9">
        <w:t>phénomène.</w:t>
      </w:r>
    </w:p>
    <w:p w:rsidR="002E41A6" w:rsidRDefault="002E41A6" w:rsidP="002E41A6">
      <w:pPr>
        <w:pStyle w:val="SingleTxtG"/>
      </w:pPr>
      <w:r w:rsidRPr="005F08F5">
        <w:t>12.</w:t>
      </w:r>
      <w:r w:rsidRPr="005F08F5">
        <w:tab/>
      </w:r>
      <w:r w:rsidRPr="00CC608D">
        <w:t>Le Comité est préoccupé par l</w:t>
      </w:r>
      <w:r w:rsidR="00742D4E">
        <w:t>’</w:t>
      </w:r>
      <w:r w:rsidRPr="00CC608D">
        <w:t xml:space="preserve">absence de données sur les cas de discrimination raciale </w:t>
      </w:r>
      <w:r>
        <w:t>ayant donné lieu à l</w:t>
      </w:r>
      <w:r w:rsidR="00742D4E">
        <w:t>’</w:t>
      </w:r>
      <w:r>
        <w:t>imposition d</w:t>
      </w:r>
      <w:r w:rsidR="00742D4E">
        <w:t>’</w:t>
      </w:r>
      <w:r>
        <w:t>une peine ou d</w:t>
      </w:r>
      <w:r w:rsidR="00742D4E">
        <w:t>’</w:t>
      </w:r>
      <w:r>
        <w:t>une autre forme de sanction</w:t>
      </w:r>
      <w:r w:rsidRPr="00CC608D">
        <w:t xml:space="preserve"> par les </w:t>
      </w:r>
      <w:r>
        <w:t>autorités publiques</w:t>
      </w:r>
      <w:r w:rsidRPr="00CC608D">
        <w:t xml:space="preserve"> de la </w:t>
      </w:r>
      <w:proofErr w:type="spellStart"/>
      <w:r w:rsidRPr="00CC608D">
        <w:t>Nouvelle</w:t>
      </w:r>
      <w:r w:rsidR="00B40647">
        <w:noBreakHyphen/>
      </w:r>
      <w:r w:rsidRPr="00CC608D">
        <w:t>Zélande</w:t>
      </w:r>
      <w:proofErr w:type="spellEnd"/>
      <w:r w:rsidRPr="00CC608D">
        <w:t xml:space="preserve"> (art</w:t>
      </w:r>
      <w:r w:rsidR="00344548">
        <w:t>. </w:t>
      </w:r>
      <w:r w:rsidRPr="00CC608D">
        <w:t>2 et</w:t>
      </w:r>
      <w:r w:rsidR="00344548">
        <w:t> </w:t>
      </w:r>
      <w:r w:rsidRPr="00CC608D">
        <w:t>6).</w:t>
      </w:r>
    </w:p>
    <w:p w:rsidR="002E41A6" w:rsidRDefault="002E41A6" w:rsidP="002E41A6">
      <w:pPr>
        <w:pStyle w:val="SingleTxtG"/>
        <w:rPr>
          <w:b/>
        </w:rPr>
      </w:pPr>
      <w:r w:rsidRPr="00DE3DFF">
        <w:rPr>
          <w:b/>
        </w:rPr>
        <w:t>Le Comité recommande à l</w:t>
      </w:r>
      <w:r w:rsidR="00742D4E">
        <w:rPr>
          <w:b/>
        </w:rPr>
        <w:t>’</w:t>
      </w:r>
      <w:r w:rsidRPr="00DE3DFF">
        <w:rPr>
          <w:b/>
        </w:rPr>
        <w:t>État partie d</w:t>
      </w:r>
      <w:r w:rsidR="00742D4E">
        <w:rPr>
          <w:b/>
        </w:rPr>
        <w:t>’</w:t>
      </w:r>
      <w:r w:rsidRPr="00DE3DFF">
        <w:rPr>
          <w:b/>
        </w:rPr>
        <w:t xml:space="preserve">inclure dans son prochain rapport périodique des données </w:t>
      </w:r>
      <w:r>
        <w:rPr>
          <w:b/>
        </w:rPr>
        <w:t>sur l</w:t>
      </w:r>
      <w:r w:rsidR="00742D4E">
        <w:rPr>
          <w:b/>
        </w:rPr>
        <w:t>’</w:t>
      </w:r>
      <w:r>
        <w:rPr>
          <w:b/>
        </w:rPr>
        <w:t>examen de telles</w:t>
      </w:r>
      <w:r w:rsidRPr="00DE3DFF">
        <w:rPr>
          <w:b/>
        </w:rPr>
        <w:t xml:space="preserve"> affaires par les tribunaux et </w:t>
      </w:r>
      <w:r>
        <w:rPr>
          <w:b/>
        </w:rPr>
        <w:t>par d</w:t>
      </w:r>
      <w:r w:rsidR="00742D4E">
        <w:rPr>
          <w:b/>
        </w:rPr>
        <w:t>’</w:t>
      </w:r>
      <w:r w:rsidRPr="00DE3DFF">
        <w:rPr>
          <w:b/>
        </w:rPr>
        <w:t>autres autorités compétentes</w:t>
      </w:r>
      <w:r>
        <w:rPr>
          <w:b/>
        </w:rPr>
        <w:t>,</w:t>
      </w:r>
      <w:r w:rsidRPr="00DE3DFF">
        <w:rPr>
          <w:b/>
        </w:rPr>
        <w:t xml:space="preserve"> </w:t>
      </w:r>
      <w:r>
        <w:rPr>
          <w:b/>
        </w:rPr>
        <w:t>conformément aux</w:t>
      </w:r>
      <w:r w:rsidRPr="00DE3DFF">
        <w:rPr>
          <w:b/>
        </w:rPr>
        <w:t xml:space="preserve"> dispositions de la Convention.</w:t>
      </w:r>
    </w:p>
    <w:p w:rsidR="007D34DD" w:rsidRPr="00DB7425" w:rsidRDefault="007D34DD" w:rsidP="007D34DD">
      <w:pPr>
        <w:pStyle w:val="H23G"/>
      </w:pPr>
      <w:r w:rsidRPr="00DB7425">
        <w:tab/>
      </w:r>
      <w:r>
        <w:t xml:space="preserve"> </w:t>
      </w:r>
      <w:r w:rsidRPr="00DB7425">
        <w:tab/>
        <w:t>Peuples autochtones</w:t>
      </w:r>
    </w:p>
    <w:p w:rsidR="007D34DD" w:rsidRPr="00DB7425" w:rsidRDefault="007D34DD" w:rsidP="007D34DD">
      <w:pPr>
        <w:pStyle w:val="SingleTxtG"/>
      </w:pPr>
      <w:r w:rsidRPr="00DB7425">
        <w:t>13.</w:t>
      </w:r>
      <w:r w:rsidRPr="00DB7425">
        <w:tab/>
        <w:t>Le Comité félicite l</w:t>
      </w:r>
      <w:r w:rsidR="00742D4E">
        <w:t>’</w:t>
      </w:r>
      <w:r w:rsidRPr="00DB7425">
        <w:t>État partie d</w:t>
      </w:r>
      <w:r w:rsidR="00742D4E">
        <w:t>’</w:t>
      </w:r>
      <w:r w:rsidRPr="00DB7425">
        <w:t>avoir abrogé la loi de 2004 sur l</w:t>
      </w:r>
      <w:r w:rsidR="00742D4E">
        <w:t>’</w:t>
      </w:r>
      <w:r w:rsidRPr="00DB7425">
        <w:t>estran et les fonds marins, mais il reste préoccupé par le fait que la loi de 2011 relative aux zones côtières et maritimes (</w:t>
      </w:r>
      <w:bookmarkStart w:id="0" w:name="hit3"/>
      <w:bookmarkEnd w:id="0"/>
      <w:r w:rsidRPr="00AE04E9">
        <w:rPr>
          <w:i/>
        </w:rPr>
        <w:t xml:space="preserve">Takutai </w:t>
      </w:r>
      <w:bookmarkStart w:id="1" w:name="hit4"/>
      <w:bookmarkEnd w:id="1"/>
      <w:r w:rsidRPr="00AE04E9">
        <w:rPr>
          <w:i/>
        </w:rPr>
        <w:t>Moana</w:t>
      </w:r>
      <w:r w:rsidRPr="00DB7425">
        <w:t xml:space="preserve">) contient des dispositions qui, si elles sont appliquées, </w:t>
      </w:r>
      <w:r>
        <w:t xml:space="preserve">risquent </w:t>
      </w:r>
      <w:r w:rsidRPr="00DB7425">
        <w:t>de restreindre le plein exercice par les communautés maories des droits qui leur sont garantis par le Traité de Waitangi, par exemple la disposition exigeant de prouver l</w:t>
      </w:r>
      <w:r w:rsidR="00742D4E">
        <w:t>’</w:t>
      </w:r>
      <w:r w:rsidRPr="00DB7425">
        <w:t>utilisation et l</w:t>
      </w:r>
      <w:r w:rsidR="00742D4E">
        <w:t>’</w:t>
      </w:r>
      <w:r w:rsidRPr="00DB7425">
        <w:t>occupation exclusives de zones marines et côtières sans</w:t>
      </w:r>
      <w:r>
        <w:t xml:space="preserve"> interruption depuis</w:t>
      </w:r>
      <w:r w:rsidR="00F839A2">
        <w:t> </w:t>
      </w:r>
      <w:r>
        <w:t>1840 (art. </w:t>
      </w:r>
      <w:r w:rsidRPr="00DB7425">
        <w:t>2 et</w:t>
      </w:r>
      <w:r w:rsidR="00AE04E9">
        <w:t> </w:t>
      </w:r>
      <w:r w:rsidRPr="00DB7425">
        <w:t>5).</w:t>
      </w:r>
    </w:p>
    <w:p w:rsidR="007D34DD" w:rsidRPr="00DB7425" w:rsidRDefault="007D34DD" w:rsidP="00742D4E">
      <w:pPr>
        <w:pStyle w:val="SingleTxtG"/>
        <w:rPr>
          <w:b/>
        </w:rPr>
      </w:pPr>
      <w:r w:rsidRPr="00DB7425">
        <w:rPr>
          <w:b/>
        </w:rPr>
        <w:t>Le Comité prie instamment l</w:t>
      </w:r>
      <w:r w:rsidR="00742D4E">
        <w:rPr>
          <w:b/>
        </w:rPr>
        <w:t>’</w:t>
      </w:r>
      <w:r w:rsidRPr="00DB7425">
        <w:rPr>
          <w:b/>
        </w:rPr>
        <w:t>État partie de poursuivre le réexamen de la loi de 2011 relative aux zones côtières et maritimes (</w:t>
      </w:r>
      <w:r w:rsidRPr="00AE04E9">
        <w:rPr>
          <w:b/>
          <w:i/>
        </w:rPr>
        <w:t>Takutai Moana</w:t>
      </w:r>
      <w:r w:rsidRPr="00DB7425">
        <w:rPr>
          <w:b/>
        </w:rPr>
        <w:t>) en vue de faciliter le plein exercice par les communautés maories de leurs droits sur l</w:t>
      </w:r>
      <w:r>
        <w:rPr>
          <w:b/>
        </w:rPr>
        <w:t>es terres et les ressources qu</w:t>
      </w:r>
      <w:r w:rsidR="00742D4E">
        <w:rPr>
          <w:b/>
        </w:rPr>
        <w:t>’</w:t>
      </w:r>
      <w:r>
        <w:rPr>
          <w:b/>
        </w:rPr>
        <w:t>elles</w:t>
      </w:r>
      <w:r w:rsidRPr="00DB7425">
        <w:rPr>
          <w:b/>
        </w:rPr>
        <w:t xml:space="preserve"> possèdent ou utilisent traditionnellement, et en particulier leur accès aux lieux revêtant une importance culturelle et traditionnelle.</w:t>
      </w:r>
    </w:p>
    <w:p w:rsidR="007D34DD" w:rsidRPr="00DB7425" w:rsidRDefault="007D34DD" w:rsidP="007D34DD">
      <w:pPr>
        <w:pStyle w:val="SingleTxtG"/>
      </w:pPr>
      <w:r w:rsidRPr="00DB7425">
        <w:t>14.</w:t>
      </w:r>
      <w:r w:rsidRPr="00DB7425">
        <w:tab/>
        <w:t xml:space="preserve">Le Comité salue la décision rendue en 2011 par le Tribunal de Waitangi sur la </w:t>
      </w:r>
      <w:r>
        <w:t xml:space="preserve">réclamation </w:t>
      </w:r>
      <w:r w:rsidRPr="00DB7425">
        <w:t>Wai</w:t>
      </w:r>
      <w:r w:rsidR="00742D4E">
        <w:t> </w:t>
      </w:r>
      <w:r w:rsidRPr="00DB7425">
        <w:t xml:space="preserve">262 </w:t>
      </w:r>
      <w:r>
        <w:t xml:space="preserve">concernant les </w:t>
      </w:r>
      <w:r w:rsidRPr="00DB7425">
        <w:t xml:space="preserve">droits de propriété intellectuelle et culturelle des Maoris, dans laquelle cette juridiction a recommandé de modifier la législation, la politique et les pratiques en ce qui concerne les questions relatives aux savoirs traditionnels, aux ressources génétiques et biologiques des espèces </w:t>
      </w:r>
      <w:r>
        <w:t xml:space="preserve">autochtones </w:t>
      </w:r>
      <w:r w:rsidRPr="00DB7425">
        <w:t>et à la relation entre les communautés maories et l</w:t>
      </w:r>
      <w:r w:rsidR="00742D4E">
        <w:t>’</w:t>
      </w:r>
      <w:r w:rsidRPr="00DB7425">
        <w:t xml:space="preserve">environnement pour ce qui est de la conservation, de la langue, du patrimoine culturel et de la médecine traditionnelle, et a proposé un cadre de partenariat pour les relations entre la Couronne et les iwis dans ce domaine. Le Comité </w:t>
      </w:r>
      <w:r>
        <w:t xml:space="preserve">constate </w:t>
      </w:r>
      <w:r w:rsidRPr="00DB7425">
        <w:t xml:space="preserve">toutefois </w:t>
      </w:r>
      <w:r>
        <w:t xml:space="preserve">avec inquiétude </w:t>
      </w:r>
      <w:r w:rsidRPr="00DB7425">
        <w:t>que l</w:t>
      </w:r>
      <w:r w:rsidR="00742D4E">
        <w:t>’</w:t>
      </w:r>
      <w:r w:rsidRPr="00DB7425">
        <w:t>État partie n</w:t>
      </w:r>
      <w:r w:rsidR="00742D4E">
        <w:t>’</w:t>
      </w:r>
      <w:r w:rsidRPr="00DB7425">
        <w:t>a pas encore annoncé de calendrier pour la mise e</w:t>
      </w:r>
      <w:r>
        <w:t>n œuvre de cette décision (art. </w:t>
      </w:r>
      <w:r w:rsidRPr="00DB7425">
        <w:t>2, 5 et 6).</w:t>
      </w:r>
    </w:p>
    <w:p w:rsidR="007D34DD" w:rsidRPr="00DB7425" w:rsidRDefault="007D34DD" w:rsidP="007D34DD">
      <w:pPr>
        <w:pStyle w:val="SingleTxtG"/>
        <w:rPr>
          <w:b/>
        </w:rPr>
      </w:pPr>
      <w:r w:rsidRPr="00DB7425">
        <w:rPr>
          <w:b/>
        </w:rPr>
        <w:t>Le Comité recommande à l</w:t>
      </w:r>
      <w:r w:rsidR="00742D4E">
        <w:rPr>
          <w:b/>
        </w:rPr>
        <w:t>’</w:t>
      </w:r>
      <w:r w:rsidRPr="00DB7425">
        <w:rPr>
          <w:b/>
        </w:rPr>
        <w:t>État partie d</w:t>
      </w:r>
      <w:r w:rsidR="00742D4E">
        <w:rPr>
          <w:b/>
        </w:rPr>
        <w:t>’</w:t>
      </w:r>
      <w:r w:rsidRPr="00DB7425">
        <w:rPr>
          <w:b/>
        </w:rPr>
        <w:t>annoncer rapidement un calendrier pour la mise en œuvre de la décision du Tribunal de Waitangi</w:t>
      </w:r>
      <w:r w:rsidR="00376E74">
        <w:rPr>
          <w:b/>
        </w:rPr>
        <w:t>,</w:t>
      </w:r>
      <w:r w:rsidRPr="00DB7425">
        <w:rPr>
          <w:b/>
        </w:rPr>
        <w:t xml:space="preserve"> afin de protéger pleinement les droits de propriété intellectuelle des communautés maories sur leurs savoirs traditionnels et sur leurs ressources génétiques et biologiques.</w:t>
      </w:r>
    </w:p>
    <w:p w:rsidR="007D34DD" w:rsidRPr="00DB7425" w:rsidRDefault="007D34DD" w:rsidP="007D34DD">
      <w:pPr>
        <w:pStyle w:val="H23G"/>
      </w:pPr>
      <w:r w:rsidRPr="00DB7425">
        <w:tab/>
      </w:r>
      <w:r w:rsidRPr="00DB7425">
        <w:tab/>
        <w:t>Discrimination structurelle</w:t>
      </w:r>
    </w:p>
    <w:p w:rsidR="007D34DD" w:rsidRPr="00DB7425" w:rsidRDefault="007D34DD" w:rsidP="007D34DD">
      <w:pPr>
        <w:pStyle w:val="SingleTxtG"/>
      </w:pPr>
      <w:r w:rsidRPr="00DB7425">
        <w:t>15.</w:t>
      </w:r>
      <w:r w:rsidRPr="00DB7425">
        <w:tab/>
        <w:t>Le Comité prend note des efforts déployés par l</w:t>
      </w:r>
      <w:r w:rsidR="00742D4E">
        <w:t>’</w:t>
      </w:r>
      <w:r w:rsidRPr="00DB7425">
        <w:t>État partie pour améliorer la situation des communautés maories et pasifikas dans la société néo-zélandaise, et accueille favorablement le fait que l</w:t>
      </w:r>
      <w:r w:rsidR="00742D4E">
        <w:t>’</w:t>
      </w:r>
      <w:r w:rsidRPr="00DB7425">
        <w:t>État partie a reconnu que la discrimination structurelle dans le pays était en partie responsable de</w:t>
      </w:r>
      <w:r>
        <w:t>s</w:t>
      </w:r>
      <w:r w:rsidRPr="00DB7425">
        <w:t xml:space="preserve"> </w:t>
      </w:r>
      <w:r>
        <w:t xml:space="preserve">difficultés que continuent de rencontrer </w:t>
      </w:r>
      <w:r w:rsidRPr="00DB7425">
        <w:t>les membres des communautés maories et pasifikas dans les domaines de l</w:t>
      </w:r>
      <w:r w:rsidR="00742D4E">
        <w:t>’</w:t>
      </w:r>
      <w:r w:rsidRPr="00DB7425">
        <w:t>emploi, de la santé et de l</w:t>
      </w:r>
      <w:r w:rsidR="00742D4E">
        <w:t>’</w:t>
      </w:r>
      <w:r w:rsidRPr="00DB7425">
        <w:t>administration de la justice pénale. Le Comité est également préoccupé par le taux élevé d</w:t>
      </w:r>
      <w:r w:rsidR="00742D4E">
        <w:t>’</w:t>
      </w:r>
      <w:r w:rsidRPr="00DB7425">
        <w:t>absentéisme et d</w:t>
      </w:r>
      <w:r w:rsidR="00742D4E">
        <w:t>’</w:t>
      </w:r>
      <w:r w:rsidRPr="00DB7425">
        <w:t>abandon scolaires chez les élèves maoris et pasifikas</w:t>
      </w:r>
      <w:r>
        <w:t xml:space="preserve"> (art. </w:t>
      </w:r>
      <w:r w:rsidRPr="00DB7425">
        <w:t>2 et</w:t>
      </w:r>
      <w:r w:rsidR="00742D4E">
        <w:t> </w:t>
      </w:r>
      <w:r w:rsidRPr="00DB7425">
        <w:t>5).</w:t>
      </w:r>
    </w:p>
    <w:p w:rsidR="007D34DD" w:rsidRPr="00DB7425" w:rsidRDefault="007D34DD" w:rsidP="007D34DD">
      <w:pPr>
        <w:pStyle w:val="SingleTxtG"/>
        <w:rPr>
          <w:b/>
        </w:rPr>
      </w:pPr>
      <w:r w:rsidRPr="00593134">
        <w:rPr>
          <w:b/>
          <w:spacing w:val="-2"/>
        </w:rPr>
        <w:t>Le Comité recommande à l</w:t>
      </w:r>
      <w:r w:rsidR="00742D4E" w:rsidRPr="00593134">
        <w:rPr>
          <w:b/>
          <w:spacing w:val="-2"/>
        </w:rPr>
        <w:t>’</w:t>
      </w:r>
      <w:r w:rsidRPr="00593134">
        <w:rPr>
          <w:b/>
          <w:spacing w:val="-2"/>
        </w:rPr>
        <w:t>État partie de redoubler d</w:t>
      </w:r>
      <w:r w:rsidR="00742D4E" w:rsidRPr="00593134">
        <w:rPr>
          <w:b/>
          <w:spacing w:val="-2"/>
        </w:rPr>
        <w:t>’</w:t>
      </w:r>
      <w:r w:rsidRPr="00593134">
        <w:rPr>
          <w:b/>
          <w:spacing w:val="-2"/>
        </w:rPr>
        <w:t>efforts pour améliorer la</w:t>
      </w:r>
      <w:r w:rsidR="00593134" w:rsidRPr="00593134">
        <w:rPr>
          <w:b/>
          <w:spacing w:val="-2"/>
        </w:rPr>
        <w:t> </w:t>
      </w:r>
      <w:r w:rsidRPr="00593134">
        <w:rPr>
          <w:b/>
          <w:spacing w:val="-2"/>
        </w:rPr>
        <w:t>situation des Maoris et des Pasifikas dans les domaines de l</w:t>
      </w:r>
      <w:r w:rsidR="00742D4E" w:rsidRPr="00593134">
        <w:rPr>
          <w:b/>
          <w:spacing w:val="-2"/>
        </w:rPr>
        <w:t>’</w:t>
      </w:r>
      <w:r w:rsidRPr="00593134">
        <w:rPr>
          <w:b/>
          <w:spacing w:val="-2"/>
        </w:rPr>
        <w:t>emploi, de la santé et de</w:t>
      </w:r>
      <w:r w:rsidR="00593134" w:rsidRPr="00593134">
        <w:rPr>
          <w:b/>
          <w:spacing w:val="-2"/>
        </w:rPr>
        <w:t> </w:t>
      </w:r>
      <w:r w:rsidRPr="00593134">
        <w:rPr>
          <w:b/>
          <w:spacing w:val="-2"/>
        </w:rPr>
        <w:t>l</w:t>
      </w:r>
      <w:r w:rsidR="00742D4E" w:rsidRPr="00593134">
        <w:rPr>
          <w:b/>
          <w:spacing w:val="-2"/>
        </w:rPr>
        <w:t>’</w:t>
      </w:r>
      <w:r w:rsidRPr="00593134">
        <w:rPr>
          <w:b/>
          <w:spacing w:val="-2"/>
        </w:rPr>
        <w:t>administration de la justice pénale, notamment en luttant contre la discrimination structurelle dans le pays. Il lui recommande aussi d</w:t>
      </w:r>
      <w:r w:rsidR="00742D4E" w:rsidRPr="00593134">
        <w:rPr>
          <w:b/>
          <w:spacing w:val="-2"/>
        </w:rPr>
        <w:t>’</w:t>
      </w:r>
      <w:r w:rsidRPr="00593134">
        <w:rPr>
          <w:b/>
          <w:spacing w:val="-2"/>
        </w:rPr>
        <w:t>envisager de renforcer les</w:t>
      </w:r>
      <w:r w:rsidR="00593134" w:rsidRPr="00593134">
        <w:rPr>
          <w:b/>
          <w:spacing w:val="-2"/>
        </w:rPr>
        <w:t> </w:t>
      </w:r>
      <w:r w:rsidRPr="00593134">
        <w:rPr>
          <w:b/>
          <w:spacing w:val="-2"/>
        </w:rPr>
        <w:t>mesures spéciales qu</w:t>
      </w:r>
      <w:r w:rsidR="00742D4E" w:rsidRPr="00593134">
        <w:rPr>
          <w:b/>
          <w:spacing w:val="-2"/>
        </w:rPr>
        <w:t>’</w:t>
      </w:r>
      <w:r w:rsidRPr="00593134">
        <w:rPr>
          <w:b/>
          <w:spacing w:val="-2"/>
        </w:rPr>
        <w:t>il a prises pour relever le niveau d</w:t>
      </w:r>
      <w:r w:rsidR="00742D4E" w:rsidRPr="00593134">
        <w:rPr>
          <w:b/>
          <w:spacing w:val="-2"/>
        </w:rPr>
        <w:t>’</w:t>
      </w:r>
      <w:r w:rsidRPr="00593134">
        <w:rPr>
          <w:b/>
          <w:spacing w:val="-2"/>
        </w:rPr>
        <w:t>instruction des enfants maoris et pasifikas, en accordant une importance particulière aux mesures destinées à</w:t>
      </w:r>
      <w:r w:rsidR="00593134" w:rsidRPr="00593134">
        <w:rPr>
          <w:b/>
          <w:spacing w:val="-2"/>
        </w:rPr>
        <w:t> </w:t>
      </w:r>
      <w:r w:rsidRPr="00593134">
        <w:rPr>
          <w:b/>
          <w:spacing w:val="-2"/>
        </w:rPr>
        <w:t>remédier aux causes profondes de l</w:t>
      </w:r>
      <w:r w:rsidR="00742D4E" w:rsidRPr="00593134">
        <w:rPr>
          <w:b/>
          <w:spacing w:val="-2"/>
        </w:rPr>
        <w:t>’</w:t>
      </w:r>
      <w:r w:rsidRPr="00593134">
        <w:rPr>
          <w:b/>
          <w:spacing w:val="-2"/>
        </w:rPr>
        <w:t>absentéisme scolaire et du taux élevé d</w:t>
      </w:r>
      <w:r w:rsidR="00742D4E" w:rsidRPr="00593134">
        <w:rPr>
          <w:b/>
          <w:spacing w:val="-2"/>
        </w:rPr>
        <w:t>’</w:t>
      </w:r>
      <w:r w:rsidRPr="00593134">
        <w:rPr>
          <w:b/>
          <w:spacing w:val="-2"/>
        </w:rPr>
        <w:t>abandon scolaire</w:t>
      </w:r>
      <w:r w:rsidRPr="00DB7425">
        <w:rPr>
          <w:b/>
        </w:rPr>
        <w:t>.</w:t>
      </w:r>
    </w:p>
    <w:p w:rsidR="007D34DD" w:rsidRPr="00DB7425" w:rsidRDefault="007D34DD" w:rsidP="007D34DD">
      <w:pPr>
        <w:pStyle w:val="H23G"/>
      </w:pPr>
      <w:r w:rsidRPr="00DB7425">
        <w:tab/>
      </w:r>
      <w:r w:rsidRPr="00DB7425">
        <w:tab/>
        <w:t>Discrimination à l</w:t>
      </w:r>
      <w:r w:rsidR="00742D4E">
        <w:t>’</w:t>
      </w:r>
      <w:r w:rsidRPr="00DB7425">
        <w:t>égard des migrants</w:t>
      </w:r>
    </w:p>
    <w:p w:rsidR="007D34DD" w:rsidRPr="00DB7425" w:rsidRDefault="007D34DD" w:rsidP="007D34DD">
      <w:pPr>
        <w:pStyle w:val="SingleTxtG"/>
      </w:pPr>
      <w:r w:rsidRPr="00DB7425">
        <w:t>16.</w:t>
      </w:r>
      <w:r w:rsidRPr="00DB7425">
        <w:tab/>
        <w:t>Le Comité est préoccupé par les informations faisant état de la persistance de la discrimination à l</w:t>
      </w:r>
      <w:r w:rsidR="00742D4E">
        <w:t>’</w:t>
      </w:r>
      <w:r w:rsidRPr="00DB7425">
        <w:t>égard des migrants, en particulier ceux d</w:t>
      </w:r>
      <w:r w:rsidR="00742D4E">
        <w:t>’</w:t>
      </w:r>
      <w:r w:rsidRPr="00DB7425">
        <w:t>origine asiatique, sur le marché du travail, et notamment par les renseignements indiquant que leur niveau de qualification est mal reconnu, ce qui fait qu</w:t>
      </w:r>
      <w:r w:rsidR="00742D4E">
        <w:t>’</w:t>
      </w:r>
      <w:r w:rsidRPr="00DB7425">
        <w:t>un grand nombre d</w:t>
      </w:r>
      <w:r w:rsidR="00742D4E">
        <w:t>’</w:t>
      </w:r>
      <w:r w:rsidRPr="00DB7425">
        <w:t xml:space="preserve">entre eux </w:t>
      </w:r>
      <w:r>
        <w:t>occupent</w:t>
      </w:r>
      <w:r w:rsidRPr="00DB7425">
        <w:t xml:space="preserve"> </w:t>
      </w:r>
      <w:r>
        <w:t>des emplois peu rémunérés (art. </w:t>
      </w:r>
      <w:r w:rsidRPr="00DB7425">
        <w:t>2 et 5).</w:t>
      </w:r>
    </w:p>
    <w:p w:rsidR="007D34DD" w:rsidRPr="00DB7425" w:rsidRDefault="007D34DD" w:rsidP="007D34DD">
      <w:pPr>
        <w:pStyle w:val="SingleTxtG"/>
        <w:rPr>
          <w:b/>
        </w:rPr>
      </w:pPr>
      <w:r w:rsidRPr="00DB7425">
        <w:rPr>
          <w:b/>
        </w:rPr>
        <w:t>Le Comité recommande à l</w:t>
      </w:r>
      <w:r w:rsidR="00742D4E">
        <w:rPr>
          <w:b/>
        </w:rPr>
        <w:t>’</w:t>
      </w:r>
      <w:r w:rsidRPr="00DB7425">
        <w:rPr>
          <w:b/>
        </w:rPr>
        <w:t>État partie de veiller à l</w:t>
      </w:r>
      <w:r w:rsidR="00742D4E">
        <w:rPr>
          <w:b/>
        </w:rPr>
        <w:t>’</w:t>
      </w:r>
      <w:r w:rsidRPr="00DB7425">
        <w:rPr>
          <w:b/>
        </w:rPr>
        <w:t>application pleine et effective des mesures prises pour protéger les migrants asiatiques, y compris des mesures ciblées visant à renforcer l</w:t>
      </w:r>
      <w:r w:rsidR="00742D4E">
        <w:rPr>
          <w:b/>
        </w:rPr>
        <w:t>’</w:t>
      </w:r>
      <w:r w:rsidRPr="00DB7425">
        <w:rPr>
          <w:b/>
        </w:rPr>
        <w:t>égalité d</w:t>
      </w:r>
      <w:r w:rsidR="00742D4E">
        <w:rPr>
          <w:b/>
        </w:rPr>
        <w:t>’</w:t>
      </w:r>
      <w:r w:rsidRPr="00DB7425">
        <w:rPr>
          <w:b/>
        </w:rPr>
        <w:t>accès au marché du travail afin de limiter le nombre de personnes qualifiées exerçant des emplois peu rémunérés. Le Comité invite instamment l</w:t>
      </w:r>
      <w:r w:rsidR="00742D4E">
        <w:rPr>
          <w:b/>
        </w:rPr>
        <w:t>’</w:t>
      </w:r>
      <w:r w:rsidRPr="00DB7425">
        <w:rPr>
          <w:b/>
        </w:rPr>
        <w:t xml:space="preserve">État partie à apporter son soutien à un système permettant une évaluation objective </w:t>
      </w:r>
      <w:r>
        <w:rPr>
          <w:b/>
        </w:rPr>
        <w:t xml:space="preserve">du </w:t>
      </w:r>
      <w:r w:rsidRPr="00DB7425">
        <w:rPr>
          <w:b/>
        </w:rPr>
        <w:t>niveau de qualification</w:t>
      </w:r>
      <w:r>
        <w:rPr>
          <w:b/>
        </w:rPr>
        <w:t xml:space="preserve"> des migrants</w:t>
      </w:r>
      <w:r w:rsidRPr="00DB7425">
        <w:rPr>
          <w:b/>
        </w:rPr>
        <w:t>.</w:t>
      </w:r>
    </w:p>
    <w:p w:rsidR="007D34DD" w:rsidRPr="00DB7425" w:rsidRDefault="007D34DD" w:rsidP="007D34DD">
      <w:pPr>
        <w:pStyle w:val="H23G"/>
      </w:pPr>
      <w:r w:rsidRPr="00DB7425">
        <w:tab/>
      </w:r>
      <w:r w:rsidRPr="00DB7425">
        <w:tab/>
        <w:t>Langues</w:t>
      </w:r>
    </w:p>
    <w:p w:rsidR="007D34DD" w:rsidRPr="00DB7425" w:rsidRDefault="007D34DD" w:rsidP="007D34DD">
      <w:pPr>
        <w:pStyle w:val="SingleTxtG"/>
      </w:pPr>
      <w:r w:rsidRPr="00DB7425">
        <w:t>17.</w:t>
      </w:r>
      <w:r w:rsidRPr="00DB7425">
        <w:tab/>
        <w:t>Le Comité note que l</w:t>
      </w:r>
      <w:r w:rsidR="00742D4E">
        <w:t>’</w:t>
      </w:r>
      <w:r w:rsidRPr="00DB7425">
        <w:t>enseignement de la langue maorie (</w:t>
      </w:r>
      <w:r w:rsidRPr="00926D84">
        <w:rPr>
          <w:i/>
        </w:rPr>
        <w:t>te</w:t>
      </w:r>
      <w:r w:rsidR="00376E74" w:rsidRPr="00926D84">
        <w:rPr>
          <w:i/>
        </w:rPr>
        <w:t> </w:t>
      </w:r>
      <w:r w:rsidRPr="00926D84">
        <w:rPr>
          <w:i/>
        </w:rPr>
        <w:t>reo</w:t>
      </w:r>
      <w:r w:rsidR="00376E74" w:rsidRPr="00926D84">
        <w:rPr>
          <w:i/>
        </w:rPr>
        <w:t> </w:t>
      </w:r>
      <w:r w:rsidRPr="00926D84">
        <w:rPr>
          <w:i/>
        </w:rPr>
        <w:t>maori</w:t>
      </w:r>
      <w:r w:rsidRPr="00DB7425">
        <w:t>) fait partie du</w:t>
      </w:r>
      <w:r w:rsidR="00926D84">
        <w:t> </w:t>
      </w:r>
      <w:r w:rsidRPr="00DB7425">
        <w:t>programme scolaire général et qu</w:t>
      </w:r>
      <w:r w:rsidR="00742D4E">
        <w:t>’</w:t>
      </w:r>
      <w:r w:rsidRPr="00DB7425">
        <w:t>il existe des unités d</w:t>
      </w:r>
      <w:r w:rsidR="00742D4E">
        <w:t>’</w:t>
      </w:r>
      <w:r w:rsidRPr="00DB7425">
        <w:t>immersion en maori, mais il</w:t>
      </w:r>
      <w:r w:rsidR="00926D84">
        <w:t> </w:t>
      </w:r>
      <w:r w:rsidRPr="00DB7425">
        <w:t>s</w:t>
      </w:r>
      <w:r w:rsidR="00742D4E">
        <w:t>’</w:t>
      </w:r>
      <w:r w:rsidRPr="00DB7425">
        <w:t>inquiète de ce que le Tribunal de Waitangi a estimé que cette langue courait un risque d</w:t>
      </w:r>
      <w:r w:rsidR="00742D4E">
        <w:t>’</w:t>
      </w:r>
      <w:r w:rsidRPr="00DB7425">
        <w:t>érosion. Le Comité note également que l</w:t>
      </w:r>
      <w:r w:rsidR="00742D4E">
        <w:t>’</w:t>
      </w:r>
      <w:r w:rsidRPr="00DB7425">
        <w:t>État partie a adopté un</w:t>
      </w:r>
      <w:r>
        <w:t xml:space="preserve">e stratégie pour la </w:t>
      </w:r>
      <w:r w:rsidRPr="00DB7425">
        <w:t xml:space="preserve">langue pasifika mais regrette </w:t>
      </w:r>
      <w:r>
        <w:t>qu</w:t>
      </w:r>
      <w:r w:rsidR="00742D4E">
        <w:t>’</w:t>
      </w:r>
      <w:r>
        <w:t xml:space="preserve">aucune </w:t>
      </w:r>
      <w:r w:rsidRPr="00DB7425">
        <w:t>stratégie n</w:t>
      </w:r>
      <w:r w:rsidR="00742D4E">
        <w:t>’</w:t>
      </w:r>
      <w:r w:rsidRPr="00DB7425">
        <w:t xml:space="preserve">ait </w:t>
      </w:r>
      <w:r>
        <w:t xml:space="preserve">encore </w:t>
      </w:r>
      <w:r w:rsidRPr="00DB7425">
        <w:t>été élaborée</w:t>
      </w:r>
      <w:r>
        <w:t xml:space="preserve"> pour la langue maorie</w:t>
      </w:r>
      <w:r w:rsidRPr="00DB7425">
        <w:t>. Il</w:t>
      </w:r>
      <w:r w:rsidR="00926D84">
        <w:t> </w:t>
      </w:r>
      <w:r w:rsidRPr="00DB7425">
        <w:t>est également préoccupé par les informations faisant état de l</w:t>
      </w:r>
      <w:r w:rsidR="00742D4E">
        <w:t>’</w:t>
      </w:r>
      <w:r w:rsidRPr="00DB7425">
        <w:t>insuffisance des financements destinés à favoriser la préservation des langues communautaires (art.</w:t>
      </w:r>
      <w:r>
        <w:t> </w:t>
      </w:r>
      <w:r w:rsidRPr="00DB7425">
        <w:t>2 et</w:t>
      </w:r>
      <w:r w:rsidR="00926D84">
        <w:t> </w:t>
      </w:r>
      <w:r w:rsidRPr="00DB7425">
        <w:t>5).</w:t>
      </w:r>
    </w:p>
    <w:p w:rsidR="007D34DD" w:rsidRPr="00DB7425" w:rsidRDefault="007D34DD" w:rsidP="007D34DD">
      <w:pPr>
        <w:pStyle w:val="SingleTxtG"/>
      </w:pPr>
      <w:r w:rsidRPr="00DB7425">
        <w:rPr>
          <w:b/>
        </w:rPr>
        <w:t>L</w:t>
      </w:r>
      <w:r w:rsidR="00742D4E">
        <w:rPr>
          <w:b/>
        </w:rPr>
        <w:t>’</w:t>
      </w:r>
      <w:r w:rsidRPr="00DB7425">
        <w:rPr>
          <w:b/>
        </w:rPr>
        <w:t>État partie devrait prendre des mesures spécifiques pour préserver les langues maorie et pasifika</w:t>
      </w:r>
      <w:r w:rsidRPr="00DB7425">
        <w:t>,</w:t>
      </w:r>
      <w:r w:rsidRPr="00DB7425">
        <w:rPr>
          <w:b/>
        </w:rPr>
        <w:t xml:space="preserve"> ainsi que les langues communautaires, en veillant à ce que des fonds suffisants soient alloués à des programmes spécifiques. Le Comité engage l</w:t>
      </w:r>
      <w:r w:rsidR="00742D4E">
        <w:rPr>
          <w:b/>
        </w:rPr>
        <w:t>’</w:t>
      </w:r>
      <w:r w:rsidRPr="00DB7425">
        <w:rPr>
          <w:b/>
        </w:rPr>
        <w:t>État partie à accélérer l</w:t>
      </w:r>
      <w:r w:rsidR="00742D4E">
        <w:rPr>
          <w:b/>
        </w:rPr>
        <w:t>’</w:t>
      </w:r>
      <w:r w:rsidRPr="00DB7425">
        <w:rPr>
          <w:b/>
        </w:rPr>
        <w:t>élaboration d</w:t>
      </w:r>
      <w:r w:rsidR="00742D4E">
        <w:rPr>
          <w:b/>
        </w:rPr>
        <w:t>’</w:t>
      </w:r>
      <w:r w:rsidRPr="00DB7425">
        <w:rPr>
          <w:b/>
        </w:rPr>
        <w:t>une stratégie au sujet de la langue maorie.</w:t>
      </w:r>
    </w:p>
    <w:p w:rsidR="007D34DD" w:rsidRPr="00DB7425" w:rsidRDefault="007D34DD" w:rsidP="007D34DD">
      <w:pPr>
        <w:pStyle w:val="H23G"/>
      </w:pPr>
      <w:r w:rsidRPr="00DB7425">
        <w:tab/>
      </w:r>
      <w:r w:rsidRPr="00DB7425">
        <w:tab/>
        <w:t xml:space="preserve">Consultations avec les peuples </w:t>
      </w:r>
      <w:r>
        <w:t>autochtones</w:t>
      </w:r>
    </w:p>
    <w:p w:rsidR="007D34DD" w:rsidRPr="00DB7425" w:rsidRDefault="007D34DD" w:rsidP="007D34DD">
      <w:pPr>
        <w:pStyle w:val="SingleTxtG"/>
      </w:pPr>
      <w:r w:rsidRPr="00DB7425">
        <w:t>18.</w:t>
      </w:r>
      <w:r w:rsidRPr="00DB7425">
        <w:tab/>
        <w:t>Le Comité est préoccupé par les informations communiquées par des représentants des communautés maories selon lesquelles l</w:t>
      </w:r>
      <w:r w:rsidR="00742D4E">
        <w:t>’</w:t>
      </w:r>
      <w:r w:rsidRPr="00DB7425">
        <w:t>État n</w:t>
      </w:r>
      <w:r w:rsidR="00742D4E">
        <w:t>’</w:t>
      </w:r>
      <w:r w:rsidRPr="00DB7425">
        <w:t>a pas mené de consultation adéquate avant d</w:t>
      </w:r>
      <w:r w:rsidR="00742D4E">
        <w:t>’</w:t>
      </w:r>
      <w:r w:rsidRPr="00DB7425">
        <w:t>accorder à des sociétés commerciales des permis d</w:t>
      </w:r>
      <w:r w:rsidR="00742D4E">
        <w:t>’</w:t>
      </w:r>
      <w:r w:rsidRPr="00DB7425">
        <w:t>exploitation de gisements de pétrole en haute mer par forage et par fracturation sismique et hydraulique, dans des conditions susceptibles de menacer l</w:t>
      </w:r>
      <w:r w:rsidR="00742D4E">
        <w:t>’</w:t>
      </w:r>
      <w:r w:rsidRPr="00DB7425">
        <w:t>exercice par ces communautés de leurs droits sur les terres et les ressources qu</w:t>
      </w:r>
      <w:r w:rsidR="00742D4E">
        <w:t>’</w:t>
      </w:r>
      <w:r w:rsidRPr="00DB7425">
        <w:t>elles possèdent ou utilisent traditionnellement, ni avant de poursuivre la négociation d</w:t>
      </w:r>
      <w:r w:rsidR="00742D4E">
        <w:t>’</w:t>
      </w:r>
      <w:r w:rsidRPr="00DB7425">
        <w:t xml:space="preserve">accords de </w:t>
      </w:r>
      <w:proofErr w:type="spellStart"/>
      <w:r w:rsidRPr="00DB7425">
        <w:t>libre</w:t>
      </w:r>
      <w:r w:rsidR="00DA52A1">
        <w:noBreakHyphen/>
      </w:r>
      <w:r w:rsidRPr="00DB7425">
        <w:t>échange</w:t>
      </w:r>
      <w:proofErr w:type="spellEnd"/>
      <w:r w:rsidRPr="00DB7425">
        <w:t xml:space="preserve"> qui, de la même façon, risquent d</w:t>
      </w:r>
      <w:r w:rsidR="00742D4E">
        <w:t>’</w:t>
      </w:r>
      <w:r w:rsidRPr="00DB7425">
        <w:t xml:space="preserve">affecter les droits des peuples autochtones. Le Comité prend également note des préoccupations exprimées par les représentants des communautés maories </w:t>
      </w:r>
      <w:r>
        <w:t xml:space="preserve">concernant </w:t>
      </w:r>
      <w:r w:rsidRPr="00DB7425">
        <w:t>la validité et l</w:t>
      </w:r>
      <w:r w:rsidR="00742D4E">
        <w:t>’</w:t>
      </w:r>
      <w:r w:rsidRPr="00DB7425">
        <w:t>authenticité du processus de consultation préalable à l</w:t>
      </w:r>
      <w:r w:rsidR="00742D4E">
        <w:t>’</w:t>
      </w:r>
      <w:r w:rsidRPr="00DB7425">
        <w:t>adoption de la loi de</w:t>
      </w:r>
      <w:r w:rsidR="00DA52A1">
        <w:t> </w:t>
      </w:r>
      <w:r w:rsidRPr="00DB7425">
        <w:t>2012 relative aux régimes de propriété mixte portant modification de la loi sur les finances publiques et de la loi de 2012 portant modification de la loi sur les entreprises publiques (art.</w:t>
      </w:r>
      <w:r>
        <w:t> </w:t>
      </w:r>
      <w:r w:rsidRPr="00DB7425">
        <w:t>2 et</w:t>
      </w:r>
      <w:r w:rsidR="00DA52A1">
        <w:t> </w:t>
      </w:r>
      <w:r w:rsidRPr="00DB7425">
        <w:t>5).</w:t>
      </w:r>
    </w:p>
    <w:p w:rsidR="007D34DD" w:rsidRPr="00DB7425" w:rsidRDefault="007D34DD" w:rsidP="007D34DD">
      <w:pPr>
        <w:pStyle w:val="SingleTxtG"/>
        <w:rPr>
          <w:b/>
        </w:rPr>
      </w:pPr>
      <w:r w:rsidRPr="00DB7425">
        <w:rPr>
          <w:b/>
        </w:rPr>
        <w:t xml:space="preserve">Le Comité rappelle sa </w:t>
      </w:r>
      <w:r>
        <w:rPr>
          <w:b/>
        </w:rPr>
        <w:t>R</w:t>
      </w:r>
      <w:r w:rsidRPr="00DB7425">
        <w:rPr>
          <w:b/>
        </w:rPr>
        <w:t xml:space="preserve">ecommandation générale </w:t>
      </w:r>
      <w:r w:rsidRPr="00DB7425">
        <w:rPr>
          <w:rFonts w:eastAsia="MS Mincho"/>
          <w:b/>
        </w:rPr>
        <w:t>n</w:t>
      </w:r>
      <w:r w:rsidRPr="00DB7425">
        <w:rPr>
          <w:rFonts w:eastAsia="MS Mincho"/>
          <w:b/>
          <w:vertAlign w:val="superscript"/>
        </w:rPr>
        <w:t>o</w:t>
      </w:r>
      <w:r>
        <w:rPr>
          <w:b/>
        </w:rPr>
        <w:t> </w:t>
      </w:r>
      <w:r w:rsidRPr="00DB7425">
        <w:rPr>
          <w:b/>
        </w:rPr>
        <w:t>23 (1997) et réaffirme l</w:t>
      </w:r>
      <w:r w:rsidR="00742D4E">
        <w:rPr>
          <w:b/>
        </w:rPr>
        <w:t>’</w:t>
      </w:r>
      <w:r w:rsidRPr="00DB7425">
        <w:rPr>
          <w:b/>
        </w:rPr>
        <w:t>importance d</w:t>
      </w:r>
      <w:r w:rsidR="00742D4E">
        <w:rPr>
          <w:b/>
        </w:rPr>
        <w:t>’</w:t>
      </w:r>
      <w:r w:rsidRPr="00DB7425">
        <w:rPr>
          <w:b/>
        </w:rPr>
        <w:t xml:space="preserve">obtenir le consentement préalable, libre et </w:t>
      </w:r>
      <w:r>
        <w:rPr>
          <w:b/>
        </w:rPr>
        <w:t xml:space="preserve">éclairé </w:t>
      </w:r>
      <w:r w:rsidRPr="00DB7425">
        <w:rPr>
          <w:b/>
        </w:rPr>
        <w:t>des groupes autochtones au sujet des activités affectant les droits à la terre et aux ressources qu</w:t>
      </w:r>
      <w:r w:rsidR="00742D4E">
        <w:rPr>
          <w:b/>
        </w:rPr>
        <w:t>’</w:t>
      </w:r>
      <w:r w:rsidRPr="00DB7425">
        <w:rPr>
          <w:b/>
        </w:rPr>
        <w:t xml:space="preserve">ils possèdent ou utilisent traditionnellement </w:t>
      </w:r>
      <w:r>
        <w:rPr>
          <w:b/>
        </w:rPr>
        <w:t xml:space="preserve">et </w:t>
      </w:r>
      <w:r w:rsidRPr="00DB7425">
        <w:rPr>
          <w:b/>
        </w:rPr>
        <w:t>qui leur sont reconnus dans la Déclaration des Nations</w:t>
      </w:r>
      <w:r w:rsidR="00DA52A1">
        <w:rPr>
          <w:b/>
        </w:rPr>
        <w:t> </w:t>
      </w:r>
      <w:r w:rsidRPr="00DB7425">
        <w:rPr>
          <w:b/>
        </w:rPr>
        <w:t>Unies sur les droits des peuples autochtones. Il exhorte l</w:t>
      </w:r>
      <w:r w:rsidR="00742D4E">
        <w:rPr>
          <w:b/>
        </w:rPr>
        <w:t>’</w:t>
      </w:r>
      <w:r w:rsidRPr="00DB7425">
        <w:rPr>
          <w:b/>
        </w:rPr>
        <w:t>État partie à</w:t>
      </w:r>
      <w:r w:rsidR="00DA52A1">
        <w:rPr>
          <w:b/>
        </w:rPr>
        <w:t> </w:t>
      </w:r>
      <w:r w:rsidRPr="00DB7425">
        <w:rPr>
          <w:b/>
        </w:rPr>
        <w:t>apporter les améliorations nécessaires aux mécanismes de consultation des peuples autochtones afin que ceux-ci soient effectivement consultés sur toute politique susceptible d</w:t>
      </w:r>
      <w:r w:rsidR="00742D4E">
        <w:rPr>
          <w:b/>
        </w:rPr>
        <w:t>’</w:t>
      </w:r>
      <w:r w:rsidRPr="00DB7425">
        <w:rPr>
          <w:b/>
        </w:rPr>
        <w:t>avoir des répercussions sur leur mode de vie et leurs ressources.</w:t>
      </w:r>
    </w:p>
    <w:p w:rsidR="007D34DD" w:rsidRPr="00DB7425" w:rsidRDefault="007D34DD" w:rsidP="007D34DD">
      <w:pPr>
        <w:pStyle w:val="H23G"/>
      </w:pPr>
      <w:r w:rsidRPr="00DB7425">
        <w:tab/>
      </w:r>
      <w:r w:rsidRPr="00DB7425">
        <w:tab/>
        <w:t>Ressources géothermiques et ressources en eau douce des Maoris</w:t>
      </w:r>
    </w:p>
    <w:p w:rsidR="007D34DD" w:rsidRPr="00DB7425" w:rsidRDefault="007D34DD" w:rsidP="007D34DD">
      <w:pPr>
        <w:pStyle w:val="SingleTxtG"/>
      </w:pPr>
      <w:r w:rsidRPr="00DB7425">
        <w:t>19.</w:t>
      </w:r>
      <w:r w:rsidRPr="00DB7425">
        <w:tab/>
        <w:t xml:space="preserve">Le Comité prend note du récent arrêt de la Cour suprême </w:t>
      </w:r>
      <w:r>
        <w:t xml:space="preserve">de la </w:t>
      </w:r>
      <w:proofErr w:type="spellStart"/>
      <w:r>
        <w:t>Nouvelle</w:t>
      </w:r>
      <w:r w:rsidR="00C02B89">
        <w:noBreakHyphen/>
      </w:r>
      <w:r>
        <w:t>Zélande</w:t>
      </w:r>
      <w:proofErr w:type="spellEnd"/>
      <w:r>
        <w:t xml:space="preserve"> (27 </w:t>
      </w:r>
      <w:r w:rsidRPr="00DB7425">
        <w:t>février 2013) affirmant que la loi de 2012 relative aux régimes de propriété mixte portant modification de la loi sur les finances publiques ne compromet pas la capacité ni l</w:t>
      </w:r>
      <w:r w:rsidR="00742D4E">
        <w:t>’</w:t>
      </w:r>
      <w:r w:rsidRPr="00DB7425">
        <w:t>obligation de la Couronne de garantir les droits des communautés maories aux ressources géothermiques et aux ressources en eau douce, qui sont protégés par le Traité de Waitangi.</w:t>
      </w:r>
    </w:p>
    <w:p w:rsidR="007D34DD" w:rsidRPr="00DB7425" w:rsidRDefault="007D34DD" w:rsidP="007D34DD">
      <w:pPr>
        <w:pStyle w:val="SingleTxtG"/>
        <w:rPr>
          <w:b/>
        </w:rPr>
      </w:pPr>
      <w:r w:rsidRPr="00DB7425">
        <w:rPr>
          <w:b/>
        </w:rPr>
        <w:t>Le Comité prie instamment l</w:t>
      </w:r>
      <w:r w:rsidR="00742D4E">
        <w:rPr>
          <w:b/>
        </w:rPr>
        <w:t>’</w:t>
      </w:r>
      <w:r w:rsidRPr="00DB7425">
        <w:rPr>
          <w:b/>
        </w:rPr>
        <w:t xml:space="preserve">État partie de veiller à ce que toute privatisation des </w:t>
      </w:r>
      <w:r>
        <w:rPr>
          <w:b/>
        </w:rPr>
        <w:t xml:space="preserve">compagnies </w:t>
      </w:r>
      <w:r w:rsidRPr="00DB7425">
        <w:rPr>
          <w:b/>
        </w:rPr>
        <w:t>d</w:t>
      </w:r>
      <w:r w:rsidR="00742D4E">
        <w:rPr>
          <w:b/>
        </w:rPr>
        <w:t>’</w:t>
      </w:r>
      <w:r w:rsidRPr="00DB7425">
        <w:rPr>
          <w:b/>
        </w:rPr>
        <w:t xml:space="preserve">énergie soit réalisée </w:t>
      </w:r>
      <w:r>
        <w:rPr>
          <w:b/>
        </w:rPr>
        <w:t xml:space="preserve">de manière à </w:t>
      </w:r>
      <w:r w:rsidRPr="00DB7425">
        <w:rPr>
          <w:b/>
        </w:rPr>
        <w:t>respecte</w:t>
      </w:r>
      <w:r>
        <w:rPr>
          <w:b/>
        </w:rPr>
        <w:t>r</w:t>
      </w:r>
      <w:r w:rsidRPr="00DB7425">
        <w:rPr>
          <w:b/>
        </w:rPr>
        <w:t xml:space="preserve"> pleinement les droits des communautés maories aux ressources géothermiques et ressources en eau douce, qui sont protégés par le Traité de Waitangi.</w:t>
      </w:r>
    </w:p>
    <w:p w:rsidR="007D34DD" w:rsidRPr="00DB7425" w:rsidRDefault="007D34DD" w:rsidP="007D34DD">
      <w:pPr>
        <w:pStyle w:val="H23G"/>
      </w:pPr>
      <w:r w:rsidRPr="00DB7425">
        <w:tab/>
      </w:r>
      <w:r w:rsidRPr="00DB7425">
        <w:tab/>
        <w:t>Rétention des demandeurs d</w:t>
      </w:r>
      <w:r w:rsidR="00742D4E">
        <w:t>’</w:t>
      </w:r>
      <w:r w:rsidRPr="00DB7425">
        <w:t>asile</w:t>
      </w:r>
    </w:p>
    <w:p w:rsidR="007D34DD" w:rsidRPr="00DB7425" w:rsidRDefault="007D34DD" w:rsidP="007D34DD">
      <w:pPr>
        <w:pStyle w:val="SingleTxtG"/>
      </w:pPr>
      <w:r w:rsidRPr="00DB7425">
        <w:t>20.</w:t>
      </w:r>
      <w:r w:rsidRPr="00DB7425">
        <w:tab/>
        <w:t>Le Comité prend note de l</w:t>
      </w:r>
      <w:r w:rsidR="00742D4E">
        <w:t>’</w:t>
      </w:r>
      <w:r w:rsidRPr="00DB7425">
        <w:t>intention de l</w:t>
      </w:r>
      <w:r w:rsidR="00742D4E">
        <w:t>’</w:t>
      </w:r>
      <w:r w:rsidRPr="00DB7425">
        <w:t>État partie de déposer le projet de loi de</w:t>
      </w:r>
      <w:r w:rsidR="00C02B89">
        <w:t> </w:t>
      </w:r>
      <w:r w:rsidRPr="00DB7425">
        <w:t>2012 portant modification de la loi sur l</w:t>
      </w:r>
      <w:r w:rsidR="00742D4E">
        <w:t>’</w:t>
      </w:r>
      <w:r w:rsidRPr="00DB7425">
        <w:t>immigration, projet qui prévoit la rétention obligatoire des demandeurs d</w:t>
      </w:r>
      <w:r w:rsidR="00742D4E">
        <w:t>’</w:t>
      </w:r>
      <w:r w:rsidRPr="00DB7425">
        <w:t>asile et des personnes relevant de la définition légale d</w:t>
      </w:r>
      <w:r w:rsidR="00742D4E">
        <w:t>’</w:t>
      </w:r>
      <w:r w:rsidRPr="00DB7425">
        <w:t>une «arrivée massive», à savoir celles qui arrivent dans un groupe de plus de 10 personnes. Le</w:t>
      </w:r>
      <w:r w:rsidR="00C02B89">
        <w:t> </w:t>
      </w:r>
      <w:r w:rsidRPr="00DB7425">
        <w:t>Comité est préoccupé à l</w:t>
      </w:r>
      <w:r w:rsidR="00742D4E">
        <w:t>’</w:t>
      </w:r>
      <w:r w:rsidRPr="00DB7425">
        <w:t>idée que cette disposition ait pour effet de priver de liberté des personnes nécessitant une protection internationale uniquement en fonction de la façon dont elles sont arrivées sur le territoire de l</w:t>
      </w:r>
      <w:r w:rsidR="00742D4E">
        <w:t>’</w:t>
      </w:r>
      <w:r w:rsidRPr="00DB7425">
        <w:t>État partie (ar</w:t>
      </w:r>
      <w:r>
        <w:t>t. </w:t>
      </w:r>
      <w:r w:rsidRPr="00DB7425">
        <w:t>2 et 5).</w:t>
      </w:r>
    </w:p>
    <w:p w:rsidR="007D34DD" w:rsidRPr="00DB7425" w:rsidRDefault="007D34DD" w:rsidP="007D34DD">
      <w:pPr>
        <w:pStyle w:val="SingleTxtG"/>
        <w:rPr>
          <w:b/>
        </w:rPr>
      </w:pPr>
      <w:r>
        <w:rPr>
          <w:b/>
        </w:rPr>
        <w:t>Le Comité rappelle sa R</w:t>
      </w:r>
      <w:r w:rsidRPr="00DB7425">
        <w:rPr>
          <w:b/>
        </w:rPr>
        <w:t xml:space="preserve">ecommandation générale </w:t>
      </w:r>
      <w:r w:rsidRPr="00DB7425">
        <w:rPr>
          <w:rFonts w:eastAsia="MS Mincho"/>
          <w:b/>
        </w:rPr>
        <w:t>n</w:t>
      </w:r>
      <w:r w:rsidRPr="00DB7425">
        <w:rPr>
          <w:rFonts w:eastAsia="MS Mincho"/>
          <w:b/>
          <w:vertAlign w:val="superscript"/>
        </w:rPr>
        <w:t>o</w:t>
      </w:r>
      <w:r>
        <w:rPr>
          <w:b/>
        </w:rPr>
        <w:t> </w:t>
      </w:r>
      <w:r w:rsidRPr="00DB7425">
        <w:rPr>
          <w:b/>
        </w:rPr>
        <w:t>30 (2004) concernant la discrimination contre les non-ressortissants et réaffirme sa position selon laquelle les États parties à la Convention doivent assurer la sécurité des non-ressortissants, en</w:t>
      </w:r>
      <w:r w:rsidR="00C02B89">
        <w:rPr>
          <w:b/>
        </w:rPr>
        <w:t> </w:t>
      </w:r>
      <w:r w:rsidRPr="00DB7425">
        <w:rPr>
          <w:b/>
        </w:rPr>
        <w:t>particulier face à la détention arbitraire. Le Comité prie instamment l</w:t>
      </w:r>
      <w:r w:rsidR="00742D4E">
        <w:rPr>
          <w:b/>
        </w:rPr>
        <w:t>’</w:t>
      </w:r>
      <w:r w:rsidRPr="00DB7425">
        <w:rPr>
          <w:b/>
        </w:rPr>
        <w:t>État partie de veiller à ce que le projet de loi de 2012 portant modification de la loi sur l</w:t>
      </w:r>
      <w:r w:rsidR="00742D4E">
        <w:rPr>
          <w:b/>
        </w:rPr>
        <w:t>’</w:t>
      </w:r>
      <w:r w:rsidRPr="00DB7425">
        <w:rPr>
          <w:b/>
        </w:rPr>
        <w:t>immigration soit conforme aux normes internationales relatives au traitement des personnes nécessitant une protection internationale, afin que ce texte ne soit pas injustement et arbitrairement discriminatoire à l</w:t>
      </w:r>
      <w:r w:rsidR="00742D4E">
        <w:rPr>
          <w:b/>
        </w:rPr>
        <w:t>’</w:t>
      </w:r>
      <w:r w:rsidRPr="00DB7425">
        <w:rPr>
          <w:b/>
        </w:rPr>
        <w:t>égard des demandeurs d</w:t>
      </w:r>
      <w:r w:rsidR="00742D4E">
        <w:rPr>
          <w:b/>
        </w:rPr>
        <w:t>’</w:t>
      </w:r>
      <w:r w:rsidRPr="00DB7425">
        <w:rPr>
          <w:b/>
        </w:rPr>
        <w:t>asile.</w:t>
      </w:r>
    </w:p>
    <w:p w:rsidR="007D34DD" w:rsidRPr="00DB7425" w:rsidRDefault="007D34DD" w:rsidP="007D34DD">
      <w:pPr>
        <w:pStyle w:val="SingleTxtG"/>
      </w:pPr>
      <w:r w:rsidRPr="00DB7425">
        <w:t>21.</w:t>
      </w:r>
      <w:r w:rsidRPr="00DB7425">
        <w:tab/>
        <w:t>Le Comité constate avec satisfaction que l</w:t>
      </w:r>
      <w:r w:rsidR="00742D4E">
        <w:t>’</w:t>
      </w:r>
      <w:r w:rsidRPr="00DB7425">
        <w:t>État partie a décidé d</w:t>
      </w:r>
      <w:r w:rsidR="00742D4E">
        <w:t>’</w:t>
      </w:r>
      <w:r w:rsidRPr="00DB7425">
        <w:t xml:space="preserve">admettre sur son sol </w:t>
      </w:r>
      <w:r>
        <w:t>150 </w:t>
      </w:r>
      <w:r w:rsidRPr="00DB7425">
        <w:t>demandeurs d</w:t>
      </w:r>
      <w:r w:rsidR="00742D4E">
        <w:t>’</w:t>
      </w:r>
      <w:r w:rsidRPr="00DB7425">
        <w:t xml:space="preserve">asile venant de centres australiens de </w:t>
      </w:r>
      <w:r>
        <w:t xml:space="preserve">transit </w:t>
      </w:r>
      <w:r w:rsidRPr="00DB7425">
        <w:t>situés à l</w:t>
      </w:r>
      <w:r w:rsidR="00742D4E">
        <w:t>’</w:t>
      </w:r>
      <w:r w:rsidRPr="00DB7425">
        <w:t>étranger, en</w:t>
      </w:r>
      <w:r w:rsidR="00C02B89">
        <w:t> </w:t>
      </w:r>
      <w:proofErr w:type="spellStart"/>
      <w:r w:rsidRPr="00DB7425">
        <w:t>Papouasie</w:t>
      </w:r>
      <w:r w:rsidR="007C7980">
        <w:noBreakHyphen/>
      </w:r>
      <w:r w:rsidRPr="00DB7425">
        <w:t>Nouvelle</w:t>
      </w:r>
      <w:r w:rsidR="007C7980">
        <w:noBreakHyphen/>
      </w:r>
      <w:r w:rsidRPr="00DB7425">
        <w:t>Guinée</w:t>
      </w:r>
      <w:proofErr w:type="spellEnd"/>
      <w:r w:rsidRPr="00DB7425">
        <w:t xml:space="preserve"> et à Nauru. Toutefois, le Comité est préoccupé par les informations selon lesquelles l</w:t>
      </w:r>
      <w:r w:rsidR="00742D4E">
        <w:t>’</w:t>
      </w:r>
      <w:r w:rsidRPr="00DB7425">
        <w:t>État partie envisage d</w:t>
      </w:r>
      <w:r w:rsidR="00742D4E">
        <w:t>’</w:t>
      </w:r>
      <w:r w:rsidRPr="00DB7425">
        <w:t>envoyer à l</w:t>
      </w:r>
      <w:r w:rsidR="00742D4E">
        <w:t>’</w:t>
      </w:r>
      <w:r w:rsidRPr="00DB7425">
        <w:t>avenir d</w:t>
      </w:r>
      <w:r w:rsidR="00742D4E">
        <w:t>’</w:t>
      </w:r>
      <w:r w:rsidRPr="00DB7425">
        <w:t>autres demandeurs d</w:t>
      </w:r>
      <w:r w:rsidR="00742D4E">
        <w:t>’</w:t>
      </w:r>
      <w:r w:rsidRPr="00DB7425">
        <w:t xml:space="preserve">asile dans ces établissements, pratique qui a été critiquée par le </w:t>
      </w:r>
      <w:proofErr w:type="spellStart"/>
      <w:r w:rsidRPr="00DB7425">
        <w:rPr>
          <w:lang w:val="fr-FR"/>
        </w:rPr>
        <w:t>Haut</w:t>
      </w:r>
      <w:r w:rsidR="00C02B89">
        <w:rPr>
          <w:lang w:val="fr-FR"/>
        </w:rPr>
        <w:noBreakHyphen/>
      </w:r>
      <w:r w:rsidRPr="00DB7425">
        <w:rPr>
          <w:lang w:val="fr-FR"/>
        </w:rPr>
        <w:t>Commissariat</w:t>
      </w:r>
      <w:proofErr w:type="spellEnd"/>
      <w:r w:rsidRPr="00DB7425">
        <w:rPr>
          <w:lang w:val="fr-FR"/>
        </w:rPr>
        <w:t xml:space="preserve"> des Nations Unies pour les réfugiés</w:t>
      </w:r>
      <w:r w:rsidRPr="00DB7425">
        <w:t xml:space="preserve"> (HCR) en raison, entre autres problèmes, des conditions dans lesquelles les demand</w:t>
      </w:r>
      <w:r>
        <w:t>eurs d</w:t>
      </w:r>
      <w:r w:rsidR="00742D4E">
        <w:t>’</w:t>
      </w:r>
      <w:r>
        <w:t>asile y</w:t>
      </w:r>
      <w:r w:rsidR="00031F3A">
        <w:t> </w:t>
      </w:r>
      <w:r>
        <w:t>sont retenus (art. </w:t>
      </w:r>
      <w:r w:rsidRPr="00DB7425">
        <w:t>2 et</w:t>
      </w:r>
      <w:r w:rsidR="00C02B89">
        <w:t> </w:t>
      </w:r>
      <w:r w:rsidRPr="00DB7425">
        <w:t>5).</w:t>
      </w:r>
    </w:p>
    <w:p w:rsidR="007D34DD" w:rsidRPr="00DB7425" w:rsidRDefault="007D34DD" w:rsidP="007D34DD">
      <w:pPr>
        <w:pStyle w:val="SingleTxtG"/>
        <w:rPr>
          <w:b/>
        </w:rPr>
      </w:pPr>
      <w:r w:rsidRPr="00DB7425">
        <w:rPr>
          <w:b/>
        </w:rPr>
        <w:t>Le Comité prie instamment l</w:t>
      </w:r>
      <w:r w:rsidR="00742D4E">
        <w:rPr>
          <w:b/>
        </w:rPr>
        <w:t>’</w:t>
      </w:r>
      <w:r w:rsidRPr="00DB7425">
        <w:rPr>
          <w:b/>
        </w:rPr>
        <w:t>État partie de ne pas envoyer de demandeurs d</w:t>
      </w:r>
      <w:r w:rsidR="00742D4E">
        <w:rPr>
          <w:b/>
        </w:rPr>
        <w:t>’</w:t>
      </w:r>
      <w:r w:rsidRPr="00DB7425">
        <w:rPr>
          <w:b/>
        </w:rPr>
        <w:t xml:space="preserve">asile dans les centres de </w:t>
      </w:r>
      <w:r>
        <w:rPr>
          <w:b/>
        </w:rPr>
        <w:t>r</w:t>
      </w:r>
      <w:r w:rsidRPr="00DB7425">
        <w:rPr>
          <w:b/>
        </w:rPr>
        <w:t>étention australiens situés à l</w:t>
      </w:r>
      <w:r w:rsidR="00742D4E">
        <w:rPr>
          <w:b/>
        </w:rPr>
        <w:t>’</w:t>
      </w:r>
      <w:r w:rsidRPr="00DB7425">
        <w:rPr>
          <w:b/>
        </w:rPr>
        <w:t>étranger tant que les conditions de vie n</w:t>
      </w:r>
      <w:r w:rsidR="00742D4E">
        <w:rPr>
          <w:b/>
        </w:rPr>
        <w:t>’</w:t>
      </w:r>
      <w:r w:rsidRPr="00DB7425">
        <w:rPr>
          <w:b/>
        </w:rPr>
        <w:t>y sont pas conformes aux normes internationales.</w:t>
      </w:r>
    </w:p>
    <w:p w:rsidR="007D34DD" w:rsidRPr="00DB7425" w:rsidRDefault="007D34DD" w:rsidP="007D34DD">
      <w:pPr>
        <w:pStyle w:val="H1G"/>
      </w:pPr>
      <w:r w:rsidRPr="00DB7425">
        <w:tab/>
        <w:t>D.</w:t>
      </w:r>
      <w:r w:rsidRPr="00DB7425">
        <w:tab/>
        <w:t>Autres recommandations</w:t>
      </w:r>
    </w:p>
    <w:p w:rsidR="007D34DD" w:rsidRPr="00DB7425" w:rsidRDefault="007D34DD" w:rsidP="007D34DD">
      <w:pPr>
        <w:pStyle w:val="H23G"/>
      </w:pPr>
      <w:r w:rsidRPr="00DB7425">
        <w:tab/>
      </w:r>
      <w:r w:rsidRPr="00DB7425">
        <w:tab/>
        <w:t>Ratification d</w:t>
      </w:r>
      <w:r w:rsidR="00742D4E">
        <w:t>’</w:t>
      </w:r>
      <w:r w:rsidRPr="00DB7425">
        <w:t>autres instruments</w:t>
      </w:r>
    </w:p>
    <w:p w:rsidR="007D34DD" w:rsidRPr="00DB7425" w:rsidRDefault="007D34DD" w:rsidP="007D34DD">
      <w:pPr>
        <w:pStyle w:val="SingleTxtG"/>
        <w:rPr>
          <w:lang w:val="fr-FR"/>
        </w:rPr>
      </w:pPr>
      <w:r w:rsidRPr="00DB7425">
        <w:t>22.</w:t>
      </w:r>
      <w:r w:rsidRPr="00DB7425">
        <w:tab/>
      </w:r>
      <w:r w:rsidRPr="00DB7425">
        <w:rPr>
          <w:lang w:val="fr-FR"/>
        </w:rPr>
        <w:t>Ayant à l</w:t>
      </w:r>
      <w:r w:rsidR="00742D4E">
        <w:rPr>
          <w:lang w:val="fr-FR"/>
        </w:rPr>
        <w:t>’</w:t>
      </w:r>
      <w:r w:rsidRPr="00DB7425">
        <w:rPr>
          <w:lang w:val="fr-FR"/>
        </w:rPr>
        <w:t>esprit le caractère indivisible de tous les droits de l</w:t>
      </w:r>
      <w:r w:rsidR="00742D4E">
        <w:rPr>
          <w:lang w:val="fr-FR"/>
        </w:rPr>
        <w:t>’</w:t>
      </w:r>
      <w:r w:rsidRPr="00DB7425">
        <w:rPr>
          <w:lang w:val="fr-FR"/>
        </w:rPr>
        <w:t>homme, le Comité encourage l</w:t>
      </w:r>
      <w:r w:rsidR="00742D4E">
        <w:rPr>
          <w:lang w:val="fr-FR"/>
        </w:rPr>
        <w:t>’</w:t>
      </w:r>
      <w:r w:rsidRPr="00DB7425">
        <w:rPr>
          <w:lang w:val="fr-FR"/>
        </w:rPr>
        <w:t>État partie à envisager de ratifier les instruments internationaux relatifs aux droits de l</w:t>
      </w:r>
      <w:r w:rsidR="00742D4E">
        <w:rPr>
          <w:lang w:val="fr-FR"/>
        </w:rPr>
        <w:t>’</w:t>
      </w:r>
      <w:r w:rsidRPr="00DB7425">
        <w:rPr>
          <w:lang w:val="fr-FR"/>
        </w:rPr>
        <w:t>homme qu</w:t>
      </w:r>
      <w:r w:rsidR="00742D4E">
        <w:rPr>
          <w:lang w:val="fr-FR"/>
        </w:rPr>
        <w:t>’</w:t>
      </w:r>
      <w:r w:rsidRPr="00DB7425">
        <w:rPr>
          <w:lang w:val="fr-FR"/>
        </w:rPr>
        <w:t>il n</w:t>
      </w:r>
      <w:r w:rsidR="00742D4E">
        <w:rPr>
          <w:lang w:val="fr-FR"/>
        </w:rPr>
        <w:t>’</w:t>
      </w:r>
      <w:r w:rsidRPr="00DB7425">
        <w:rPr>
          <w:lang w:val="fr-FR"/>
        </w:rPr>
        <w:t>a pas encore ratifiés, en particulier ceux dont les dispositions intéressent directement les communautés susceptibles de faire l</w:t>
      </w:r>
      <w:r w:rsidR="00742D4E">
        <w:rPr>
          <w:lang w:val="fr-FR"/>
        </w:rPr>
        <w:t>’</w:t>
      </w:r>
      <w:r w:rsidRPr="00DB7425">
        <w:rPr>
          <w:lang w:val="fr-FR"/>
        </w:rPr>
        <w:t xml:space="preserve">objet de discrimination raciale, comme la Convention internationale sur la protection des droits de tous les travailleurs migrants et des membres de leur famille et la Convention </w:t>
      </w:r>
      <w:r w:rsidRPr="003D1599">
        <w:rPr>
          <w:rFonts w:eastAsia="MS Mincho"/>
          <w:lang w:val="fr-FR"/>
        </w:rPr>
        <w:t>n</w:t>
      </w:r>
      <w:r w:rsidRPr="003D1599">
        <w:rPr>
          <w:rFonts w:eastAsia="MS Mincho"/>
          <w:vertAlign w:val="superscript"/>
          <w:lang w:val="fr-FR"/>
        </w:rPr>
        <w:t>o</w:t>
      </w:r>
      <w:r>
        <w:rPr>
          <w:lang w:val="fr-FR"/>
        </w:rPr>
        <w:t> </w:t>
      </w:r>
      <w:r w:rsidRPr="00DB7425">
        <w:rPr>
          <w:lang w:val="fr-FR"/>
        </w:rPr>
        <w:t>169</w:t>
      </w:r>
      <w:r w:rsidRPr="00DB7425">
        <w:t xml:space="preserve"> </w:t>
      </w:r>
      <w:r w:rsidRPr="00DB7425">
        <w:rPr>
          <w:lang w:val="fr-FR"/>
        </w:rPr>
        <w:t>de l</w:t>
      </w:r>
      <w:r w:rsidR="00742D4E">
        <w:rPr>
          <w:lang w:val="fr-FR"/>
        </w:rPr>
        <w:t>’</w:t>
      </w:r>
      <w:r w:rsidRPr="00DB7425">
        <w:rPr>
          <w:lang w:val="fr-FR"/>
        </w:rPr>
        <w:t xml:space="preserve">OIT concernant les peuples indigènes et tribaux dans les pays indépendants </w:t>
      </w:r>
      <w:r w:rsidRPr="00DB7425">
        <w:t>(1989)</w:t>
      </w:r>
      <w:r w:rsidRPr="00DB7425">
        <w:rPr>
          <w:lang w:val="fr-FR"/>
        </w:rPr>
        <w:t>.</w:t>
      </w:r>
    </w:p>
    <w:p w:rsidR="007D34DD" w:rsidRPr="00DB7425" w:rsidRDefault="007D34DD" w:rsidP="007D34DD">
      <w:pPr>
        <w:pStyle w:val="SingleTxtG"/>
      </w:pPr>
      <w:r w:rsidRPr="00DB7425">
        <w:t>23.</w:t>
      </w:r>
      <w:r w:rsidRPr="00DB7425">
        <w:tab/>
      </w:r>
      <w:r w:rsidRPr="00DB7425">
        <w:rPr>
          <w:lang w:val="fr-FR"/>
        </w:rPr>
        <w:t>À la lumière de sa Recommandation générale n</w:t>
      </w:r>
      <w:r w:rsidRPr="00DB7425">
        <w:rPr>
          <w:vertAlign w:val="superscript"/>
          <w:lang w:val="fr-FR"/>
        </w:rPr>
        <w:t>o</w:t>
      </w:r>
      <w:r w:rsidRPr="00DB7425">
        <w:rPr>
          <w:lang w:val="fr-FR"/>
        </w:rPr>
        <w:t> 33 (2009) concernant le suivi de la Conférence d</w:t>
      </w:r>
      <w:r w:rsidR="00742D4E">
        <w:rPr>
          <w:lang w:val="fr-FR"/>
        </w:rPr>
        <w:t>’</w:t>
      </w:r>
      <w:r w:rsidRPr="00DB7425">
        <w:rPr>
          <w:lang w:val="fr-FR"/>
        </w:rPr>
        <w:t>examen de Durban, le Comité recommande à l</w:t>
      </w:r>
      <w:r w:rsidR="00742D4E">
        <w:rPr>
          <w:lang w:val="fr-FR"/>
        </w:rPr>
        <w:t>’</w:t>
      </w:r>
      <w:r w:rsidRPr="00DB7425">
        <w:rPr>
          <w:lang w:val="fr-FR"/>
        </w:rPr>
        <w:t>État partie, quand il applique la Convention, de donner effet à la Déclaration et au Programme d</w:t>
      </w:r>
      <w:r w:rsidR="00742D4E">
        <w:rPr>
          <w:lang w:val="fr-FR"/>
        </w:rPr>
        <w:t>’</w:t>
      </w:r>
      <w:r w:rsidRPr="00DB7425">
        <w:rPr>
          <w:lang w:val="fr-FR"/>
        </w:rPr>
        <w:t>action de Durban adoptés en septembre 2001 à la Conférence mondiale contre le racisme, la discrimination raciale, la xénophobie et l</w:t>
      </w:r>
      <w:r w:rsidR="00742D4E">
        <w:rPr>
          <w:lang w:val="fr-FR"/>
        </w:rPr>
        <w:t>’</w:t>
      </w:r>
      <w:r w:rsidRPr="00DB7425">
        <w:rPr>
          <w:lang w:val="fr-FR"/>
        </w:rPr>
        <w:t>intolérance qui y est associée, en tenant compte du Document final de la Conférence d</w:t>
      </w:r>
      <w:r w:rsidR="00742D4E">
        <w:rPr>
          <w:lang w:val="fr-FR"/>
        </w:rPr>
        <w:t>’</w:t>
      </w:r>
      <w:r w:rsidRPr="00DB7425">
        <w:rPr>
          <w:lang w:val="fr-FR"/>
        </w:rPr>
        <w:t>examen de Durban, qui s</w:t>
      </w:r>
      <w:r w:rsidR="00742D4E">
        <w:rPr>
          <w:lang w:val="fr-FR"/>
        </w:rPr>
        <w:t>’</w:t>
      </w:r>
      <w:r w:rsidRPr="00DB7425">
        <w:rPr>
          <w:lang w:val="fr-FR"/>
        </w:rPr>
        <w:t>est tenue à Genève en avril</w:t>
      </w:r>
      <w:r w:rsidR="00105E42">
        <w:rPr>
          <w:lang w:val="fr-FR"/>
        </w:rPr>
        <w:t> </w:t>
      </w:r>
      <w:r w:rsidRPr="00DB7425">
        <w:rPr>
          <w:lang w:val="fr-FR"/>
        </w:rPr>
        <w:t>2009. Il</w:t>
      </w:r>
      <w:r w:rsidR="00031F3A">
        <w:rPr>
          <w:lang w:val="fr-FR"/>
        </w:rPr>
        <w:t> </w:t>
      </w:r>
      <w:r w:rsidRPr="00DB7425">
        <w:rPr>
          <w:lang w:val="fr-FR"/>
        </w:rPr>
        <w:t>le</w:t>
      </w:r>
      <w:r w:rsidR="00031F3A">
        <w:rPr>
          <w:lang w:val="fr-FR"/>
        </w:rPr>
        <w:t> </w:t>
      </w:r>
      <w:r w:rsidRPr="00DB7425">
        <w:rPr>
          <w:lang w:val="fr-FR"/>
        </w:rPr>
        <w:t>prie de faire figurer dans son prochain rapport périodique des renseignements précis sur les plans d</w:t>
      </w:r>
      <w:r w:rsidR="00742D4E">
        <w:rPr>
          <w:lang w:val="fr-FR"/>
        </w:rPr>
        <w:t>’</w:t>
      </w:r>
      <w:r w:rsidRPr="00DB7425">
        <w:rPr>
          <w:lang w:val="fr-FR"/>
        </w:rPr>
        <w:t>action et autres mesures adoptés pour appliquer la Déclaration et le Programme d</w:t>
      </w:r>
      <w:r w:rsidR="00742D4E">
        <w:rPr>
          <w:lang w:val="fr-FR"/>
        </w:rPr>
        <w:t>’</w:t>
      </w:r>
      <w:r w:rsidRPr="00DB7425">
        <w:rPr>
          <w:lang w:val="fr-FR"/>
        </w:rPr>
        <w:t>action de Durban au niveau national.</w:t>
      </w:r>
    </w:p>
    <w:p w:rsidR="007D34DD" w:rsidRPr="00DB7425" w:rsidRDefault="007D34DD" w:rsidP="007D34DD">
      <w:pPr>
        <w:pStyle w:val="H23G"/>
      </w:pPr>
      <w:r w:rsidRPr="00DB7425">
        <w:tab/>
      </w:r>
      <w:r w:rsidRPr="00DB7425">
        <w:tab/>
        <w:t>Déclaration prévue à l</w:t>
      </w:r>
      <w:r w:rsidR="00742D4E">
        <w:t>’</w:t>
      </w:r>
      <w:r w:rsidRPr="00DB7425">
        <w:t>article 14 de la Convention</w:t>
      </w:r>
    </w:p>
    <w:p w:rsidR="007D34DD" w:rsidRPr="00DB7425" w:rsidRDefault="007D34DD" w:rsidP="007D34DD">
      <w:pPr>
        <w:pStyle w:val="SingleTxtG"/>
      </w:pPr>
      <w:r w:rsidRPr="00DB7425">
        <w:t>24.</w:t>
      </w:r>
      <w:r w:rsidRPr="00DB7425">
        <w:tab/>
        <w:t>Le Comité relève que l</w:t>
      </w:r>
      <w:r w:rsidR="00742D4E">
        <w:t>’</w:t>
      </w:r>
      <w:r w:rsidRPr="00DB7425">
        <w:t>État partie n</w:t>
      </w:r>
      <w:r w:rsidR="00742D4E">
        <w:t>’</w:t>
      </w:r>
      <w:r w:rsidRPr="00DB7425">
        <w:t>a pas fait la déclaration facultative prévue à</w:t>
      </w:r>
      <w:r w:rsidR="00107074">
        <w:t> </w:t>
      </w:r>
      <w:r w:rsidRPr="00DB7425">
        <w:t>l</w:t>
      </w:r>
      <w:r w:rsidR="00742D4E">
        <w:t>’</w:t>
      </w:r>
      <w:r w:rsidRPr="00DB7425">
        <w:t>article 14 de la Convention</w:t>
      </w:r>
      <w:r>
        <w:t xml:space="preserve"> mais que selon </w:t>
      </w:r>
      <w:r w:rsidRPr="00DB7425">
        <w:t>la délégation</w:t>
      </w:r>
      <w:r>
        <w:t xml:space="preserve">, </w:t>
      </w:r>
      <w:r w:rsidRPr="00DB7425">
        <w:t>l</w:t>
      </w:r>
      <w:r w:rsidR="00742D4E">
        <w:t>’</w:t>
      </w:r>
      <w:r w:rsidRPr="00DB7425">
        <w:t xml:space="preserve">État partie envisage de </w:t>
      </w:r>
      <w:r>
        <w:t xml:space="preserve">la </w:t>
      </w:r>
      <w:r w:rsidRPr="00DB7425">
        <w:t>faire à un moment qui coïnciderait avec le prochain examen de l</w:t>
      </w:r>
      <w:r w:rsidR="00742D4E">
        <w:t>’</w:t>
      </w:r>
      <w:r w:rsidRPr="00DB7425">
        <w:t>État partie dans le cadre de l</w:t>
      </w:r>
      <w:r w:rsidR="00742D4E">
        <w:t>’</w:t>
      </w:r>
      <w:r w:rsidRPr="00DB7425">
        <w:t>Examen périodique universel du Conseil des droits de l</w:t>
      </w:r>
      <w:r w:rsidR="00742D4E">
        <w:t>’</w:t>
      </w:r>
      <w:r w:rsidRPr="00DB7425">
        <w:t>homme. Le Comité invite cependant l</w:t>
      </w:r>
      <w:r w:rsidR="00742D4E">
        <w:t>’</w:t>
      </w:r>
      <w:r w:rsidRPr="00DB7425">
        <w:t>État partie à faire cette déclaration dès que possible.</w:t>
      </w:r>
    </w:p>
    <w:p w:rsidR="007D34DD" w:rsidRPr="00DB7425" w:rsidRDefault="007D34DD" w:rsidP="007D34DD">
      <w:pPr>
        <w:pStyle w:val="H23G"/>
      </w:pPr>
      <w:r w:rsidRPr="00DB7425">
        <w:tab/>
      </w:r>
      <w:r w:rsidRPr="00DB7425">
        <w:tab/>
        <w:t>Consultations avec les organisations de la société civile</w:t>
      </w:r>
    </w:p>
    <w:p w:rsidR="007D34DD" w:rsidRPr="00DB7425" w:rsidRDefault="007D34DD" w:rsidP="007D34DD">
      <w:pPr>
        <w:pStyle w:val="SingleTxtG"/>
      </w:pPr>
      <w:r w:rsidRPr="00DB7425">
        <w:t>25.</w:t>
      </w:r>
      <w:r w:rsidRPr="00DB7425">
        <w:tab/>
        <w:t>Le Comité recommande à l</w:t>
      </w:r>
      <w:r w:rsidR="00742D4E">
        <w:t>’</w:t>
      </w:r>
      <w:r w:rsidRPr="00DB7425">
        <w:t>État partie de continuer à tenir des consultations et à</w:t>
      </w:r>
      <w:r w:rsidR="00107074">
        <w:t> </w:t>
      </w:r>
      <w:r w:rsidRPr="00DB7425">
        <w:t>approfondir le dialogue avec les organisations de la société civile œuvrant dans le domaine de la protection des droits de l</w:t>
      </w:r>
      <w:r w:rsidR="00742D4E">
        <w:t>’</w:t>
      </w:r>
      <w:r w:rsidRPr="00DB7425">
        <w:t>homme, notamment celles qui s</w:t>
      </w:r>
      <w:r w:rsidR="00742D4E">
        <w:t>’</w:t>
      </w:r>
      <w:r w:rsidRPr="00DB7425">
        <w:t>emploient à</w:t>
      </w:r>
      <w:r w:rsidR="00107074">
        <w:t> </w:t>
      </w:r>
      <w:r w:rsidRPr="00DB7425">
        <w:t>combattre la discrimination raciale, dans l</w:t>
      </w:r>
      <w:r w:rsidR="00742D4E">
        <w:t>’</w:t>
      </w:r>
      <w:r w:rsidRPr="00DB7425">
        <w:t>optique de l</w:t>
      </w:r>
      <w:r w:rsidR="00742D4E">
        <w:t>’</w:t>
      </w:r>
      <w:r w:rsidRPr="00DB7425">
        <w:t xml:space="preserve">élaboration de son prochain rapport périodique et </w:t>
      </w:r>
      <w:r>
        <w:t>du suivi des</w:t>
      </w:r>
      <w:r w:rsidRPr="00DB7425">
        <w:t xml:space="preserve"> présentes observations finales.</w:t>
      </w:r>
    </w:p>
    <w:p w:rsidR="007D34DD" w:rsidRPr="00DB7425" w:rsidRDefault="007D34DD" w:rsidP="007D34DD">
      <w:pPr>
        <w:pStyle w:val="H23G"/>
      </w:pPr>
      <w:r w:rsidRPr="00DB7425">
        <w:tab/>
      </w:r>
      <w:r w:rsidRPr="00DB7425">
        <w:tab/>
        <w:t>Diffusion</w:t>
      </w:r>
    </w:p>
    <w:p w:rsidR="007D34DD" w:rsidRPr="00DB7425" w:rsidRDefault="007D34DD" w:rsidP="007D34DD">
      <w:pPr>
        <w:pStyle w:val="SingleTxtG"/>
      </w:pPr>
      <w:r w:rsidRPr="00DB7425">
        <w:t>26.</w:t>
      </w:r>
      <w:r w:rsidRPr="00DB7425">
        <w:tab/>
      </w:r>
      <w:r w:rsidRPr="00DB7425">
        <w:rPr>
          <w:lang w:val="fr-FR"/>
        </w:rPr>
        <w:t>Le Comité recommande à l</w:t>
      </w:r>
      <w:r w:rsidR="00742D4E">
        <w:rPr>
          <w:lang w:val="fr-FR"/>
        </w:rPr>
        <w:t>’</w:t>
      </w:r>
      <w:r w:rsidRPr="00DB7425">
        <w:rPr>
          <w:lang w:val="fr-FR"/>
        </w:rPr>
        <w:t>État partie de mettre ses rapports à la disposition du public dès leur soumission et de diffuser de même les observations finales adoptées par le Comité à l</w:t>
      </w:r>
      <w:r w:rsidR="00742D4E">
        <w:rPr>
          <w:lang w:val="fr-FR"/>
        </w:rPr>
        <w:t>’</w:t>
      </w:r>
      <w:r w:rsidRPr="00DB7425">
        <w:rPr>
          <w:lang w:val="fr-FR"/>
        </w:rPr>
        <w:t>issue de l</w:t>
      </w:r>
      <w:r w:rsidR="00742D4E">
        <w:rPr>
          <w:lang w:val="fr-FR"/>
        </w:rPr>
        <w:t>’</w:t>
      </w:r>
      <w:r w:rsidRPr="00DB7425">
        <w:rPr>
          <w:lang w:val="fr-FR"/>
        </w:rPr>
        <w:t>examen de ces rapports, dans les langues officielles et les autres langues d</w:t>
      </w:r>
      <w:r w:rsidR="00742D4E">
        <w:rPr>
          <w:lang w:val="fr-FR"/>
        </w:rPr>
        <w:t>’</w:t>
      </w:r>
      <w:r w:rsidRPr="00DB7425">
        <w:rPr>
          <w:lang w:val="fr-FR"/>
        </w:rPr>
        <w:t>usage courant, selon qu</w:t>
      </w:r>
      <w:r w:rsidR="00742D4E">
        <w:rPr>
          <w:lang w:val="fr-FR"/>
        </w:rPr>
        <w:t>’</w:t>
      </w:r>
      <w:r w:rsidRPr="00DB7425">
        <w:rPr>
          <w:lang w:val="fr-FR"/>
        </w:rPr>
        <w:t>il conviendra.</w:t>
      </w:r>
    </w:p>
    <w:p w:rsidR="007D34DD" w:rsidRPr="00DB7425" w:rsidRDefault="007D34DD" w:rsidP="007D34DD">
      <w:pPr>
        <w:pStyle w:val="H23G"/>
      </w:pPr>
      <w:r>
        <w:tab/>
      </w:r>
      <w:r>
        <w:tab/>
        <w:t>Suite donnée aux o</w:t>
      </w:r>
      <w:r w:rsidRPr="00DB7425">
        <w:t>bservations finales</w:t>
      </w:r>
    </w:p>
    <w:p w:rsidR="007D34DD" w:rsidRPr="00DB7425" w:rsidRDefault="007D34DD" w:rsidP="007D34DD">
      <w:pPr>
        <w:pStyle w:val="SingleTxtG"/>
      </w:pPr>
      <w:r w:rsidRPr="00DB7425">
        <w:t>27.</w:t>
      </w:r>
      <w:r w:rsidRPr="00DB7425">
        <w:tab/>
      </w:r>
      <w:r w:rsidRPr="00DB7425">
        <w:rPr>
          <w:lang w:val="fr-FR"/>
        </w:rPr>
        <w:t>Conformément au paragraphe 1 de l</w:t>
      </w:r>
      <w:r w:rsidR="00742D4E">
        <w:rPr>
          <w:lang w:val="fr-FR"/>
        </w:rPr>
        <w:t>’</w:t>
      </w:r>
      <w:r w:rsidRPr="00DB7425">
        <w:rPr>
          <w:lang w:val="fr-FR"/>
        </w:rPr>
        <w:t>article 9 de la Convention et à l</w:t>
      </w:r>
      <w:r w:rsidR="00742D4E">
        <w:rPr>
          <w:lang w:val="fr-FR"/>
        </w:rPr>
        <w:t>’</w:t>
      </w:r>
      <w:r w:rsidRPr="00DB7425">
        <w:rPr>
          <w:lang w:val="fr-FR"/>
        </w:rPr>
        <w:t>article 65 de son règlement intérieur modifié, le Comité prie l</w:t>
      </w:r>
      <w:r w:rsidR="00742D4E">
        <w:rPr>
          <w:lang w:val="fr-FR"/>
        </w:rPr>
        <w:t>’</w:t>
      </w:r>
      <w:r w:rsidRPr="00DB7425">
        <w:rPr>
          <w:lang w:val="fr-FR"/>
        </w:rPr>
        <w:t>État partie de l</w:t>
      </w:r>
      <w:r w:rsidR="00742D4E">
        <w:rPr>
          <w:lang w:val="fr-FR"/>
        </w:rPr>
        <w:t>’</w:t>
      </w:r>
      <w:r w:rsidRPr="00DB7425">
        <w:rPr>
          <w:lang w:val="fr-FR"/>
        </w:rPr>
        <w:t>informer dans l</w:t>
      </w:r>
      <w:r w:rsidR="00742D4E">
        <w:rPr>
          <w:lang w:val="fr-FR"/>
        </w:rPr>
        <w:t>’</w:t>
      </w:r>
      <w:r w:rsidRPr="00DB7425">
        <w:rPr>
          <w:lang w:val="fr-FR"/>
        </w:rPr>
        <w:t>année suivant l</w:t>
      </w:r>
      <w:r w:rsidR="00742D4E">
        <w:rPr>
          <w:lang w:val="fr-FR"/>
        </w:rPr>
        <w:t>’</w:t>
      </w:r>
      <w:r w:rsidRPr="00DB7425">
        <w:rPr>
          <w:lang w:val="fr-FR"/>
        </w:rPr>
        <w:t>adoption des présentes observations finales de la suite qu</w:t>
      </w:r>
      <w:r w:rsidR="00742D4E">
        <w:rPr>
          <w:lang w:val="fr-FR"/>
        </w:rPr>
        <w:t>’</w:t>
      </w:r>
      <w:r w:rsidRPr="00DB7425">
        <w:rPr>
          <w:lang w:val="fr-FR"/>
        </w:rPr>
        <w:t xml:space="preserve">il aura donnée aux recommandations figurant </w:t>
      </w:r>
      <w:r>
        <w:rPr>
          <w:lang w:val="fr-FR"/>
        </w:rPr>
        <w:t xml:space="preserve">dans les </w:t>
      </w:r>
      <w:r w:rsidRPr="00DB7425">
        <w:rPr>
          <w:lang w:val="fr-FR"/>
        </w:rPr>
        <w:t>paragraphes 8, 9, 14 et 17.</w:t>
      </w:r>
    </w:p>
    <w:p w:rsidR="007D34DD" w:rsidRPr="00DB7425" w:rsidRDefault="007D34DD" w:rsidP="007D34DD">
      <w:pPr>
        <w:pStyle w:val="H23G"/>
      </w:pPr>
      <w:r w:rsidRPr="00DB7425">
        <w:tab/>
      </w:r>
      <w:r w:rsidRPr="00DB7425">
        <w:tab/>
        <w:t>Paragraphes revêtant une importance particulière</w:t>
      </w:r>
    </w:p>
    <w:p w:rsidR="007D34DD" w:rsidRPr="00DB7425" w:rsidRDefault="007D34DD" w:rsidP="007D34DD">
      <w:pPr>
        <w:pStyle w:val="SingleTxtG"/>
      </w:pPr>
      <w:r w:rsidRPr="00DB7425">
        <w:t>28.</w:t>
      </w:r>
      <w:r w:rsidRPr="00DB7425">
        <w:tab/>
      </w:r>
      <w:r w:rsidRPr="00DB7425">
        <w:rPr>
          <w:lang w:val="fr-FR"/>
        </w:rPr>
        <w:t>Le Comité souhaite également appeler l</w:t>
      </w:r>
      <w:r w:rsidR="00742D4E">
        <w:rPr>
          <w:lang w:val="fr-FR"/>
        </w:rPr>
        <w:t>’</w:t>
      </w:r>
      <w:r w:rsidRPr="00DB7425">
        <w:rPr>
          <w:lang w:val="fr-FR"/>
        </w:rPr>
        <w:t>attention de l</w:t>
      </w:r>
      <w:r w:rsidR="00742D4E">
        <w:rPr>
          <w:lang w:val="fr-FR"/>
        </w:rPr>
        <w:t>’</w:t>
      </w:r>
      <w:r w:rsidRPr="00DB7425">
        <w:rPr>
          <w:lang w:val="fr-FR"/>
        </w:rPr>
        <w:t>État partie sur l</w:t>
      </w:r>
      <w:r w:rsidR="00742D4E">
        <w:rPr>
          <w:lang w:val="fr-FR"/>
        </w:rPr>
        <w:t>’</w:t>
      </w:r>
      <w:r w:rsidRPr="00DB7425">
        <w:rPr>
          <w:lang w:val="fr-FR"/>
        </w:rPr>
        <w:t>importance particulière que revêtent les recommandations figurant dans les paragraphes </w:t>
      </w:r>
      <w:r w:rsidRPr="00DB7425">
        <w:t>10, 15, 18 et</w:t>
      </w:r>
      <w:r w:rsidR="004E7200">
        <w:t> </w:t>
      </w:r>
      <w:r w:rsidRPr="00DB7425">
        <w:t>19</w:t>
      </w:r>
      <w:r w:rsidRPr="00DB7425">
        <w:rPr>
          <w:lang w:val="fr-FR"/>
        </w:rPr>
        <w:t>, et le prie de faire figurer dans son prochain rapport périodique des renseignements détaillés sur les mesures concrètes qu</w:t>
      </w:r>
      <w:r w:rsidR="00742D4E">
        <w:rPr>
          <w:lang w:val="fr-FR"/>
        </w:rPr>
        <w:t>’</w:t>
      </w:r>
      <w:r w:rsidRPr="00DB7425">
        <w:rPr>
          <w:lang w:val="fr-FR"/>
        </w:rPr>
        <w:t>il aura prises pour y donner suite.</w:t>
      </w:r>
    </w:p>
    <w:p w:rsidR="007D34DD" w:rsidRPr="00DB7425" w:rsidRDefault="007D34DD" w:rsidP="007D34DD">
      <w:pPr>
        <w:pStyle w:val="H23G"/>
      </w:pPr>
      <w:r w:rsidRPr="00DB7425">
        <w:tab/>
      </w:r>
      <w:r w:rsidRPr="00DB7425">
        <w:tab/>
        <w:t>Élaboration du prochain rapport</w:t>
      </w:r>
    </w:p>
    <w:p w:rsidR="00327A28" w:rsidRDefault="007D34DD" w:rsidP="007D34DD">
      <w:pPr>
        <w:pStyle w:val="SingleTxtG"/>
      </w:pPr>
      <w:r w:rsidRPr="00DB7425">
        <w:t>29.</w:t>
      </w:r>
      <w:r w:rsidRPr="00DB7425">
        <w:tab/>
        <w:t>Le Comité recommande à l</w:t>
      </w:r>
      <w:r w:rsidR="00742D4E">
        <w:t>’</w:t>
      </w:r>
      <w:r w:rsidRPr="00DB7425">
        <w:t>État partie de soumettre ses vingt et unième et vingt-deuxième rapports périodiques en un seul document, d</w:t>
      </w:r>
      <w:r w:rsidR="00742D4E">
        <w:t>’</w:t>
      </w:r>
      <w:r w:rsidRPr="00DB7425">
        <w:t>ici au 21 décembre 2015, en tenant compte des directives pour l</w:t>
      </w:r>
      <w:r w:rsidR="00742D4E">
        <w:t>’</w:t>
      </w:r>
      <w:r w:rsidRPr="00DB7425">
        <w:t>établissement du document se rapportant spécifiquement à la Convention sur l</w:t>
      </w:r>
      <w:r w:rsidR="00742D4E">
        <w:t>’</w:t>
      </w:r>
      <w:r w:rsidRPr="00DB7425">
        <w:t>élimination de toutes les formes de discrimination raciale adoptées par le Comité à sa soixante et onzième session (CERD/C/2007/1) et en traitant de tous les points soulevés dans les présentes observations finales. Le Comité demande instamment à l</w:t>
      </w:r>
      <w:r w:rsidR="00742D4E">
        <w:t>’</w:t>
      </w:r>
      <w:r w:rsidRPr="00DB7425">
        <w:t>État partie de respecter la limite de 40 pages fixée pour les rapports propres au Comité et la limite de 60 à 80 pages fixée pour le document de base commun (voir les directives harmonisées figurant dans le document HRI/GEN.2/Rev.6, chap. I, par. 19).</w:t>
      </w:r>
    </w:p>
    <w:p w:rsidR="00DD2296" w:rsidRPr="00DD2296" w:rsidRDefault="00DD2296" w:rsidP="00DD2296">
      <w:pPr>
        <w:pStyle w:val="SingleTxtG"/>
        <w:spacing w:before="240" w:after="0"/>
        <w:jc w:val="center"/>
        <w:rPr>
          <w:u w:val="single"/>
        </w:rPr>
      </w:pPr>
      <w:r>
        <w:rPr>
          <w:u w:val="single"/>
        </w:rPr>
        <w:tab/>
      </w:r>
      <w:r>
        <w:rPr>
          <w:u w:val="single"/>
        </w:rPr>
        <w:tab/>
      </w:r>
      <w:r>
        <w:rPr>
          <w:u w:val="single"/>
        </w:rPr>
        <w:tab/>
      </w:r>
    </w:p>
    <w:sectPr w:rsidR="00DD2296" w:rsidRPr="00DD2296" w:rsidSect="002E41A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68E" w:rsidRDefault="0059068E"/>
  </w:endnote>
  <w:endnote w:type="continuationSeparator" w:id="0">
    <w:p w:rsidR="0059068E" w:rsidRDefault="0059068E"/>
  </w:endnote>
  <w:endnote w:type="continuationNotice" w:id="1">
    <w:p w:rsidR="0059068E" w:rsidRPr="00201F68" w:rsidRDefault="0059068E" w:rsidP="00201F68">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A6" w:rsidRPr="002E41A6" w:rsidRDefault="002E41A6" w:rsidP="002E41A6">
    <w:pPr>
      <w:pStyle w:val="Footer"/>
      <w:tabs>
        <w:tab w:val="right" w:pos="9638"/>
      </w:tabs>
    </w:pPr>
    <w:r w:rsidRPr="002E41A6">
      <w:rPr>
        <w:b/>
        <w:sz w:val="18"/>
      </w:rPr>
      <w:fldChar w:fldCharType="begin"/>
    </w:r>
    <w:r w:rsidRPr="002E41A6">
      <w:rPr>
        <w:b/>
        <w:sz w:val="18"/>
      </w:rPr>
      <w:instrText xml:space="preserve"> PAGE  \* MERGEFORMAT </w:instrText>
    </w:r>
    <w:r w:rsidRPr="002E41A6">
      <w:rPr>
        <w:b/>
        <w:sz w:val="18"/>
      </w:rPr>
      <w:fldChar w:fldCharType="separate"/>
    </w:r>
    <w:r w:rsidR="004E7200">
      <w:rPr>
        <w:b/>
        <w:noProof/>
        <w:sz w:val="18"/>
      </w:rPr>
      <w:t>8</w:t>
    </w:r>
    <w:r w:rsidRPr="002E41A6">
      <w:rPr>
        <w:b/>
        <w:sz w:val="18"/>
      </w:rPr>
      <w:fldChar w:fldCharType="end"/>
    </w:r>
    <w:r>
      <w:rPr>
        <w:b/>
        <w:sz w:val="18"/>
      </w:rPr>
      <w:tab/>
    </w:r>
    <w:r>
      <w:t>GE.13-42771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A6" w:rsidRPr="002E41A6" w:rsidRDefault="002E41A6" w:rsidP="002E41A6">
    <w:pPr>
      <w:pStyle w:val="Footer"/>
      <w:tabs>
        <w:tab w:val="right" w:pos="9638"/>
      </w:tabs>
      <w:rPr>
        <w:b/>
        <w:sz w:val="18"/>
      </w:rPr>
    </w:pPr>
    <w:r>
      <w:t>GE.13-42771</w:t>
    </w:r>
    <w:r>
      <w:tab/>
    </w:r>
    <w:r w:rsidRPr="002E41A6">
      <w:rPr>
        <w:b/>
        <w:sz w:val="18"/>
      </w:rPr>
      <w:fldChar w:fldCharType="begin"/>
    </w:r>
    <w:r w:rsidRPr="002E41A6">
      <w:rPr>
        <w:b/>
        <w:sz w:val="18"/>
      </w:rPr>
      <w:instrText xml:space="preserve"> PAGE  \* MERGEFORMAT </w:instrText>
    </w:r>
    <w:r w:rsidRPr="002E41A6">
      <w:rPr>
        <w:b/>
        <w:sz w:val="18"/>
      </w:rPr>
      <w:fldChar w:fldCharType="separate"/>
    </w:r>
    <w:r w:rsidR="004E7200">
      <w:rPr>
        <w:b/>
        <w:noProof/>
        <w:sz w:val="18"/>
      </w:rPr>
      <w:t>7</w:t>
    </w:r>
    <w:r w:rsidRPr="002E41A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A6" w:rsidRDefault="002E41A6">
    <w:pPr>
      <w:pStyle w:val="Footer"/>
    </w:pPr>
    <w:r>
      <w:rPr>
        <w:sz w:val="20"/>
      </w:rPr>
      <w:t>GE.13-42771</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160513    </w:t>
    </w:r>
    <w:r w:rsidR="007D34DD">
      <w:rPr>
        <w:sz w:val="20"/>
      </w:rPr>
      <w:t>060613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68E" w:rsidRPr="00D27D5E" w:rsidRDefault="0059068E" w:rsidP="00D27D5E">
      <w:pPr>
        <w:tabs>
          <w:tab w:val="right" w:pos="2155"/>
        </w:tabs>
        <w:spacing w:after="80"/>
        <w:ind w:left="680"/>
        <w:rPr>
          <w:u w:val="single"/>
        </w:rPr>
      </w:pPr>
      <w:r>
        <w:rPr>
          <w:u w:val="single"/>
        </w:rPr>
        <w:tab/>
      </w:r>
    </w:p>
  </w:footnote>
  <w:footnote w:type="continuationSeparator" w:id="0">
    <w:p w:rsidR="0059068E" w:rsidRPr="00AA7FE7" w:rsidRDefault="0059068E" w:rsidP="00AA7FE7">
      <w:pPr>
        <w:tabs>
          <w:tab w:val="right" w:pos="2155"/>
        </w:tabs>
        <w:spacing w:after="80"/>
        <w:ind w:left="680"/>
        <w:rPr>
          <w:u w:val="single"/>
        </w:rPr>
      </w:pPr>
      <w:r w:rsidRPr="00AA7FE7">
        <w:rPr>
          <w:u w:val="single"/>
        </w:rPr>
        <w:tab/>
      </w:r>
    </w:p>
  </w:footnote>
  <w:footnote w:type="continuationNotice" w:id="1">
    <w:p w:rsidR="0059068E" w:rsidRPr="00201F68" w:rsidRDefault="0059068E" w:rsidP="00201F68">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A6" w:rsidRPr="002E41A6" w:rsidRDefault="002E41A6">
    <w:pPr>
      <w:pStyle w:val="Header"/>
    </w:pPr>
    <w:r>
      <w:t>CERD/C/NZL/CO/18-20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A6" w:rsidRPr="002E41A6" w:rsidRDefault="002E41A6" w:rsidP="002E41A6">
    <w:pPr>
      <w:pStyle w:val="Header"/>
      <w:jc w:val="right"/>
    </w:pPr>
    <w:r>
      <w:t>CERD/C/NZL/CO/18-20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145F2C"/>
    <w:lvl w:ilvl="0">
      <w:start w:val="1"/>
      <w:numFmt w:val="decimal"/>
      <w:lvlText w:val="%1."/>
      <w:lvlJc w:val="left"/>
      <w:pPr>
        <w:tabs>
          <w:tab w:val="num" w:pos="1492"/>
        </w:tabs>
        <w:ind w:left="1492" w:hanging="360"/>
      </w:pPr>
    </w:lvl>
  </w:abstractNum>
  <w:abstractNum w:abstractNumId="1">
    <w:nsid w:val="FFFFFF7D"/>
    <w:multiLevelType w:val="singleLevel"/>
    <w:tmpl w:val="E04ED150"/>
    <w:lvl w:ilvl="0">
      <w:start w:val="1"/>
      <w:numFmt w:val="decimal"/>
      <w:lvlText w:val="%1."/>
      <w:lvlJc w:val="left"/>
      <w:pPr>
        <w:tabs>
          <w:tab w:val="num" w:pos="1209"/>
        </w:tabs>
        <w:ind w:left="1209" w:hanging="360"/>
      </w:pPr>
    </w:lvl>
  </w:abstractNum>
  <w:abstractNum w:abstractNumId="2">
    <w:nsid w:val="FFFFFF7E"/>
    <w:multiLevelType w:val="singleLevel"/>
    <w:tmpl w:val="D6B6A964"/>
    <w:lvl w:ilvl="0">
      <w:start w:val="1"/>
      <w:numFmt w:val="decimal"/>
      <w:lvlText w:val="%1."/>
      <w:lvlJc w:val="left"/>
      <w:pPr>
        <w:tabs>
          <w:tab w:val="num" w:pos="926"/>
        </w:tabs>
        <w:ind w:left="926" w:hanging="360"/>
      </w:pPr>
    </w:lvl>
  </w:abstractNum>
  <w:abstractNum w:abstractNumId="3">
    <w:nsid w:val="FFFFFF7F"/>
    <w:multiLevelType w:val="singleLevel"/>
    <w:tmpl w:val="6628ADBE"/>
    <w:lvl w:ilvl="0">
      <w:start w:val="1"/>
      <w:numFmt w:val="decimal"/>
      <w:lvlText w:val="%1."/>
      <w:lvlJc w:val="left"/>
      <w:pPr>
        <w:tabs>
          <w:tab w:val="num" w:pos="643"/>
        </w:tabs>
        <w:ind w:left="643" w:hanging="360"/>
      </w:pPr>
    </w:lvl>
  </w:abstractNum>
  <w:abstractNum w:abstractNumId="4">
    <w:nsid w:val="FFFFFF80"/>
    <w:multiLevelType w:val="singleLevel"/>
    <w:tmpl w:val="3B6C27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C8F6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08B7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BA52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EE5A94"/>
    <w:lvl w:ilvl="0">
      <w:start w:val="1"/>
      <w:numFmt w:val="decimal"/>
      <w:lvlText w:val="%1."/>
      <w:lvlJc w:val="left"/>
      <w:pPr>
        <w:tabs>
          <w:tab w:val="num" w:pos="360"/>
        </w:tabs>
        <w:ind w:left="360" w:hanging="360"/>
      </w:pPr>
    </w:lvl>
  </w:abstractNum>
  <w:abstractNum w:abstractNumId="9">
    <w:nsid w:val="FFFFFF89"/>
    <w:multiLevelType w:val="singleLevel"/>
    <w:tmpl w:val="77EC1AE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5CD9"/>
    <w:rsid w:val="00016AC5"/>
    <w:rsid w:val="00031F3A"/>
    <w:rsid w:val="00036668"/>
    <w:rsid w:val="00054609"/>
    <w:rsid w:val="000A6F55"/>
    <w:rsid w:val="000C4B8B"/>
    <w:rsid w:val="000E7579"/>
    <w:rsid w:val="000F41F2"/>
    <w:rsid w:val="00105E42"/>
    <w:rsid w:val="00107074"/>
    <w:rsid w:val="0012279A"/>
    <w:rsid w:val="001231AD"/>
    <w:rsid w:val="001450E6"/>
    <w:rsid w:val="00150465"/>
    <w:rsid w:val="00160540"/>
    <w:rsid w:val="00192EEB"/>
    <w:rsid w:val="00197832"/>
    <w:rsid w:val="001A20FB"/>
    <w:rsid w:val="001B3867"/>
    <w:rsid w:val="001D72C5"/>
    <w:rsid w:val="001D7F8A"/>
    <w:rsid w:val="001E3FEB"/>
    <w:rsid w:val="001E4A02"/>
    <w:rsid w:val="00201F68"/>
    <w:rsid w:val="00225A8C"/>
    <w:rsid w:val="00247BED"/>
    <w:rsid w:val="002626D4"/>
    <w:rsid w:val="002659F1"/>
    <w:rsid w:val="00265CD7"/>
    <w:rsid w:val="0028584E"/>
    <w:rsid w:val="00287E79"/>
    <w:rsid w:val="002928F9"/>
    <w:rsid w:val="002A5D07"/>
    <w:rsid w:val="002D3F03"/>
    <w:rsid w:val="002E0D40"/>
    <w:rsid w:val="002E41A6"/>
    <w:rsid w:val="002E5B0C"/>
    <w:rsid w:val="00300D06"/>
    <w:rsid w:val="003016B7"/>
    <w:rsid w:val="00322496"/>
    <w:rsid w:val="00325BCA"/>
    <w:rsid w:val="00327A28"/>
    <w:rsid w:val="00344548"/>
    <w:rsid w:val="003515AA"/>
    <w:rsid w:val="00374106"/>
    <w:rsid w:val="00376E74"/>
    <w:rsid w:val="00377405"/>
    <w:rsid w:val="003976D5"/>
    <w:rsid w:val="003D6C68"/>
    <w:rsid w:val="004159D0"/>
    <w:rsid w:val="00437534"/>
    <w:rsid w:val="00472145"/>
    <w:rsid w:val="004E7200"/>
    <w:rsid w:val="00504980"/>
    <w:rsid w:val="00535115"/>
    <w:rsid w:val="005362AE"/>
    <w:rsid w:val="00540389"/>
    <w:rsid w:val="0054127A"/>
    <w:rsid w:val="00543D5E"/>
    <w:rsid w:val="00571F41"/>
    <w:rsid w:val="0059068E"/>
    <w:rsid w:val="00593134"/>
    <w:rsid w:val="00593658"/>
    <w:rsid w:val="005E5D1F"/>
    <w:rsid w:val="0060233F"/>
    <w:rsid w:val="006034FC"/>
    <w:rsid w:val="00611D43"/>
    <w:rsid w:val="00612D48"/>
    <w:rsid w:val="00616B45"/>
    <w:rsid w:val="00630D9B"/>
    <w:rsid w:val="00631953"/>
    <w:rsid w:val="00632FCC"/>
    <w:rsid w:val="006439EC"/>
    <w:rsid w:val="0065167E"/>
    <w:rsid w:val="00657120"/>
    <w:rsid w:val="00693E16"/>
    <w:rsid w:val="006B4590"/>
    <w:rsid w:val="006C340C"/>
    <w:rsid w:val="006D7B0B"/>
    <w:rsid w:val="006E6AE5"/>
    <w:rsid w:val="006F39E4"/>
    <w:rsid w:val="0070347C"/>
    <w:rsid w:val="007176C1"/>
    <w:rsid w:val="007231EF"/>
    <w:rsid w:val="00742D4E"/>
    <w:rsid w:val="00785CD9"/>
    <w:rsid w:val="0078670C"/>
    <w:rsid w:val="007C7980"/>
    <w:rsid w:val="007D34DD"/>
    <w:rsid w:val="007F55CB"/>
    <w:rsid w:val="00844750"/>
    <w:rsid w:val="008B44C4"/>
    <w:rsid w:val="008C79E7"/>
    <w:rsid w:val="008D2259"/>
    <w:rsid w:val="008E7FAE"/>
    <w:rsid w:val="00911BF7"/>
    <w:rsid w:val="00926D84"/>
    <w:rsid w:val="00937B65"/>
    <w:rsid w:val="00977EC8"/>
    <w:rsid w:val="009C17F5"/>
    <w:rsid w:val="009D3A8C"/>
    <w:rsid w:val="009E7956"/>
    <w:rsid w:val="00A17B14"/>
    <w:rsid w:val="00A2492E"/>
    <w:rsid w:val="00A82B6C"/>
    <w:rsid w:val="00AA7FE7"/>
    <w:rsid w:val="00AB3173"/>
    <w:rsid w:val="00AC01AA"/>
    <w:rsid w:val="00AC67A1"/>
    <w:rsid w:val="00AC70EF"/>
    <w:rsid w:val="00AC7977"/>
    <w:rsid w:val="00AE04E9"/>
    <w:rsid w:val="00AE352C"/>
    <w:rsid w:val="00AF2400"/>
    <w:rsid w:val="00B21C0B"/>
    <w:rsid w:val="00B32E2D"/>
    <w:rsid w:val="00B40647"/>
    <w:rsid w:val="00B61990"/>
    <w:rsid w:val="00B74745"/>
    <w:rsid w:val="00BF0556"/>
    <w:rsid w:val="00C02B89"/>
    <w:rsid w:val="00C03431"/>
    <w:rsid w:val="00C07D48"/>
    <w:rsid w:val="00C11393"/>
    <w:rsid w:val="00C261F8"/>
    <w:rsid w:val="00C33100"/>
    <w:rsid w:val="00C560CB"/>
    <w:rsid w:val="00C63243"/>
    <w:rsid w:val="00C821AF"/>
    <w:rsid w:val="00CB3F7C"/>
    <w:rsid w:val="00CD1A71"/>
    <w:rsid w:val="00CD1FBB"/>
    <w:rsid w:val="00D016B5"/>
    <w:rsid w:val="00D034F1"/>
    <w:rsid w:val="00D27D5E"/>
    <w:rsid w:val="00D332B5"/>
    <w:rsid w:val="00D37345"/>
    <w:rsid w:val="00D96F49"/>
    <w:rsid w:val="00DA52A1"/>
    <w:rsid w:val="00DB0436"/>
    <w:rsid w:val="00DC156C"/>
    <w:rsid w:val="00DD2296"/>
    <w:rsid w:val="00DE6D90"/>
    <w:rsid w:val="00DF002F"/>
    <w:rsid w:val="00E0244D"/>
    <w:rsid w:val="00E42D5E"/>
    <w:rsid w:val="00E81E94"/>
    <w:rsid w:val="00E82607"/>
    <w:rsid w:val="00E95F9C"/>
    <w:rsid w:val="00EC5A42"/>
    <w:rsid w:val="00F63BC6"/>
    <w:rsid w:val="00F80E64"/>
    <w:rsid w:val="00F839A2"/>
    <w:rsid w:val="00F83B27"/>
    <w:rsid w:val="00FA5A79"/>
    <w:rsid w:val="00FB0BFE"/>
    <w:rsid w:val="00FB4C51"/>
    <w:rsid w:val="00FE4668"/>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basedOn w:val="DefaultParagraphFont"/>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basedOn w:val="DefaultParagraphFont"/>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basedOn w:val="DefaultParagraphFont"/>
    <w:rsid w:val="00540389"/>
    <w:rPr>
      <w:color w:val="auto"/>
      <w:u w:val="none"/>
    </w:rPr>
  </w:style>
  <w:style w:type="character" w:styleId="FollowedHyperlink">
    <w:name w:val="FollowedHyperlink"/>
    <w:basedOn w:val="DefaultParagraphFont"/>
    <w:rsid w:val="00540389"/>
    <w:rPr>
      <w:color w:val="auto"/>
      <w:u w:val="none"/>
    </w:rPr>
  </w:style>
  <w:style w:type="character" w:customStyle="1" w:styleId="SingleTxtGCar">
    <w:name w:val="_ Single Txt_G Car"/>
    <w:link w:val="SingleTxtG"/>
    <w:locked/>
    <w:rsid w:val="002E41A6"/>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8</Pages>
  <Words>3753</Words>
  <Characters>20759</Characters>
  <Application>Microsoft Office Outlook</Application>
  <DocSecurity>4</DocSecurity>
  <Lines>351</Lines>
  <Paragraphs>123</Paragraphs>
  <ScaleCrop>false</ScaleCrop>
  <HeadingPairs>
    <vt:vector size="2" baseType="variant">
      <vt:variant>
        <vt:lpstr>Titre</vt:lpstr>
      </vt:variant>
      <vt:variant>
        <vt:i4>1</vt:i4>
      </vt:variant>
    </vt:vector>
  </HeadingPairs>
  <TitlesOfParts>
    <vt:vector size="1" baseType="lpstr">
      <vt:lpstr>CERD/C/NZL/CO/18-20</vt:lpstr>
    </vt:vector>
  </TitlesOfParts>
  <Company>CSD</Company>
  <LinksUpToDate>false</LinksUpToDate>
  <CharactersWithSpaces>24389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CERD/C/NZL/CO/18-20</dc:title>
  <dc:subject>FINAL CERD</dc:subject>
  <dc:creator>N-Rossi</dc:creator>
  <cp:keywords/>
  <dc:description/>
  <cp:lastModifiedBy>N-Rossi</cp:lastModifiedBy>
  <cp:revision>2</cp:revision>
  <cp:lastPrinted>2013-06-05T14:49:00Z</cp:lastPrinted>
  <dcterms:created xsi:type="dcterms:W3CDTF">2013-06-06T12:35:00Z</dcterms:created>
  <dcterms:modified xsi:type="dcterms:W3CDTF">2013-06-06T12:35:00Z</dcterms:modified>
</cp:coreProperties>
</file>