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3260"/>
        <w:gridCol w:w="141"/>
        <w:gridCol w:w="2127"/>
        <w:gridCol w:w="2835"/>
      </w:tblGrid>
      <w:tr w:rsidR="0084613B" w:rsidTr="00D76358">
        <w:trPr>
          <w:cantSplit/>
          <w:trHeight w:hRule="exact" w:val="851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84613B" w:rsidRPr="00B97172" w:rsidRDefault="0084613B" w:rsidP="00D76358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41" w:type="dxa"/>
            <w:tcBorders>
              <w:bottom w:val="single" w:sz="4" w:space="0" w:color="auto"/>
            </w:tcBorders>
            <w:vAlign w:val="bottom"/>
          </w:tcPr>
          <w:p w:rsidR="0084613B" w:rsidRPr="00EA2819" w:rsidRDefault="0084613B" w:rsidP="00D76358">
            <w:pPr>
              <w:spacing w:after="80" w:line="240" w:lineRule="auto"/>
              <w:jc w:val="right"/>
            </w:pPr>
          </w:p>
        </w:tc>
        <w:tc>
          <w:tcPr>
            <w:tcW w:w="4962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84613B" w:rsidRPr="00414448" w:rsidRDefault="0084613B" w:rsidP="00D76358">
            <w:pPr>
              <w:spacing w:after="80"/>
              <w:jc w:val="right"/>
              <w:rPr>
                <w:lang w:val="en-US"/>
              </w:rPr>
            </w:pPr>
            <w:r w:rsidRPr="000B4B07">
              <w:rPr>
                <w:sz w:val="40"/>
                <w:szCs w:val="40"/>
                <w:lang w:val="en-US"/>
              </w:rPr>
              <w:t>CCPR</w:t>
            </w:r>
            <w:r>
              <w:rPr>
                <w:lang w:val="en-US"/>
              </w:rPr>
              <w:t>/</w:t>
            </w:r>
            <w:fldSimple w:instr=" FILLIN  &quot;Введите часть символа после CCPR/&quot;  \* MERGEFORMAT ">
              <w:r w:rsidR="00612B27">
                <w:t>C/103/D/183</w:t>
              </w:r>
              <w:r w:rsidR="00612B27">
                <w:rPr>
                  <w:lang w:val="en-US"/>
                </w:rPr>
                <w:t>8</w:t>
              </w:r>
              <w:r w:rsidR="00A60F39">
                <w:t>/2008</w:t>
              </w:r>
            </w:fldSimple>
          </w:p>
        </w:tc>
      </w:tr>
      <w:tr w:rsidR="0084613B" w:rsidRPr="002C048B" w:rsidTr="00D76358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84613B" w:rsidRDefault="0084613B" w:rsidP="00D76358">
            <w:pPr>
              <w:spacing w:before="120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84613B" w:rsidRPr="0084613B" w:rsidRDefault="0084613B" w:rsidP="00D76358">
            <w:pPr>
              <w:spacing w:before="120" w:line="380" w:lineRule="exact"/>
              <w:rPr>
                <w:spacing w:val="-4"/>
                <w:w w:val="100"/>
                <w:sz w:val="34"/>
                <w:szCs w:val="34"/>
              </w:rPr>
            </w:pPr>
            <w:r w:rsidRPr="0084613B">
              <w:rPr>
                <w:b/>
                <w:spacing w:val="-4"/>
                <w:w w:val="100"/>
                <w:sz w:val="34"/>
                <w:szCs w:val="34"/>
              </w:rPr>
              <w:t xml:space="preserve">Международный пакт </w:t>
            </w:r>
            <w:r w:rsidRPr="0084613B">
              <w:rPr>
                <w:b/>
                <w:spacing w:val="-4"/>
                <w:w w:val="100"/>
                <w:sz w:val="34"/>
                <w:szCs w:val="34"/>
              </w:rPr>
              <w:br/>
              <w:t>о гражданских и политических правах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84613B" w:rsidRDefault="0084613B" w:rsidP="00D76358">
            <w:pPr>
              <w:spacing w:before="240"/>
              <w:rPr>
                <w:lang w:val="en-US"/>
              </w:rPr>
            </w:pPr>
            <w:proofErr w:type="spellStart"/>
            <w:r>
              <w:rPr>
                <w:lang w:val="en-US"/>
              </w:rPr>
              <w:t>Distr</w:t>
            </w:r>
            <w:proofErr w:type="spellEnd"/>
            <w:r>
              <w:t>.:</w:t>
            </w:r>
            <w:r>
              <w:rPr>
                <w:lang w:val="en-US"/>
              </w:rPr>
              <w:t xml:space="preserve"> </w:t>
            </w:r>
            <w:bookmarkStart w:id="0" w:name="ПолеСоСписком1"/>
            <w: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>
              <w:fldChar w:fldCharType="end"/>
            </w:r>
            <w:bookmarkEnd w:id="0"/>
          </w:p>
          <w:p w:rsidR="0084613B" w:rsidRDefault="0084613B" w:rsidP="00D76358">
            <w:pPr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FILLIN  "Введите дату документа" \* MERGEFORMAT </w:instrText>
            </w:r>
            <w:r w:rsidR="00A60F39">
              <w:rPr>
                <w:lang w:val="en-US"/>
              </w:rPr>
              <w:fldChar w:fldCharType="separate"/>
            </w:r>
            <w:r w:rsidR="00A60F39">
              <w:rPr>
                <w:lang w:val="en-US"/>
              </w:rPr>
              <w:t>17 January 2012</w:t>
            </w:r>
            <w:r>
              <w:rPr>
                <w:lang w:val="en-US"/>
              </w:rPr>
              <w:fldChar w:fldCharType="end"/>
            </w:r>
          </w:p>
          <w:p w:rsidR="0084613B" w:rsidRDefault="0084613B" w:rsidP="00D76358">
            <w:r>
              <w:rPr>
                <w:lang w:val="en-US"/>
              </w:rPr>
              <w:t>Russian</w:t>
            </w:r>
          </w:p>
          <w:p w:rsidR="0084613B" w:rsidRDefault="0084613B" w:rsidP="00D76358">
            <w:r>
              <w:rPr>
                <w:lang w:val="en-US"/>
              </w:rPr>
              <w:t>Original</w:t>
            </w:r>
            <w:r>
              <w:t xml:space="preserve">: </w:t>
            </w:r>
            <w:bookmarkStart w:id="1" w:name="ПолеСоСписком2"/>
            <w: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>
              <w:fldChar w:fldCharType="end"/>
            </w:r>
            <w:bookmarkEnd w:id="1"/>
          </w:p>
          <w:p w:rsidR="0084613B" w:rsidRPr="002C048B" w:rsidRDefault="0084613B" w:rsidP="00D76358"/>
        </w:tc>
      </w:tr>
    </w:tbl>
    <w:p w:rsidR="000E0608" w:rsidRPr="00856188" w:rsidRDefault="000E0608" w:rsidP="000E0608">
      <w:pPr>
        <w:spacing w:before="120"/>
        <w:rPr>
          <w:b/>
          <w:sz w:val="24"/>
          <w:szCs w:val="24"/>
        </w:rPr>
      </w:pPr>
      <w:r w:rsidRPr="00856188">
        <w:rPr>
          <w:b/>
          <w:sz w:val="24"/>
          <w:szCs w:val="24"/>
        </w:rPr>
        <w:t>Комитет по правам человека</w:t>
      </w:r>
    </w:p>
    <w:p w:rsidR="000E0608" w:rsidRPr="00EC23CC" w:rsidRDefault="000E0608" w:rsidP="001C28DB">
      <w:pPr>
        <w:pStyle w:val="HChGR"/>
      </w:pPr>
      <w:r>
        <w:tab/>
      </w:r>
      <w:r>
        <w:tab/>
      </w:r>
      <w:r w:rsidRPr="00411CDC">
        <w:t>Сообщение</w:t>
      </w:r>
      <w:r>
        <w:t xml:space="preserve"> № 183</w:t>
      </w:r>
      <w:r w:rsidR="00373362">
        <w:rPr>
          <w:lang w:val="en-US"/>
        </w:rPr>
        <w:t>8</w:t>
      </w:r>
      <w:r>
        <w:t>/2008</w:t>
      </w:r>
    </w:p>
    <w:p w:rsidR="000E0608" w:rsidRDefault="000E0608" w:rsidP="00865CCB">
      <w:pPr>
        <w:pStyle w:val="H1GR"/>
        <w:spacing w:after="360"/>
        <w:rPr>
          <w:lang w:val="en-US"/>
        </w:rPr>
      </w:pPr>
      <w:r>
        <w:tab/>
      </w:r>
      <w:r>
        <w:tab/>
      </w:r>
      <w:r w:rsidRPr="00411CDC">
        <w:t>Соображения</w:t>
      </w:r>
      <w:r>
        <w:t>, принятые Комитетом на его 103-й сессии, состоявшейся 17 октября</w:t>
      </w:r>
      <w:r w:rsidR="001C28DB" w:rsidRPr="001C28DB">
        <w:t xml:space="preserve"> </w:t>
      </w:r>
      <w:r>
        <w:sym w:font="Symbol" w:char="F02D"/>
      </w:r>
      <w:r w:rsidR="001C28DB" w:rsidRPr="001C28DB">
        <w:t xml:space="preserve"> </w:t>
      </w:r>
      <w:r>
        <w:t>4 ноября 2011 года</w:t>
      </w:r>
    </w:p>
    <w:tbl>
      <w:tblPr>
        <w:tblStyle w:val="TableGrid"/>
        <w:tblW w:w="7380" w:type="dxa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2903"/>
        <w:gridCol w:w="7"/>
        <w:gridCol w:w="4470"/>
      </w:tblGrid>
      <w:tr w:rsidR="00E36948" w:rsidRPr="006E09FF" w:rsidTr="003D66DE">
        <w:tc>
          <w:tcPr>
            <w:tcW w:w="2910" w:type="dxa"/>
            <w:gridSpan w:val="2"/>
          </w:tcPr>
          <w:p w:rsidR="00E36948" w:rsidRPr="00820C6C" w:rsidRDefault="00E36948" w:rsidP="00A1322C">
            <w:pPr>
              <w:pStyle w:val="SingleTxtG"/>
              <w:ind w:left="0" w:right="0"/>
              <w:jc w:val="left"/>
              <w:rPr>
                <w:i/>
                <w:iCs/>
                <w:spacing w:val="4"/>
                <w:w w:val="103"/>
              </w:rPr>
            </w:pPr>
            <w:r w:rsidRPr="00820C6C">
              <w:rPr>
                <w:i/>
                <w:iCs/>
                <w:spacing w:val="4"/>
                <w:w w:val="103"/>
              </w:rPr>
              <w:t>Представлено:</w:t>
            </w:r>
          </w:p>
        </w:tc>
        <w:tc>
          <w:tcPr>
            <w:tcW w:w="4470" w:type="dxa"/>
          </w:tcPr>
          <w:p w:rsidR="00E36948" w:rsidRPr="00820C6C" w:rsidRDefault="00E36948" w:rsidP="00A1322C">
            <w:pPr>
              <w:pStyle w:val="SingleTxtG"/>
              <w:ind w:left="0" w:right="0"/>
              <w:jc w:val="left"/>
              <w:rPr>
                <w:spacing w:val="4"/>
                <w:w w:val="103"/>
                <w:lang w:val="ru-RU"/>
              </w:rPr>
            </w:pPr>
            <w:r w:rsidRPr="00820C6C">
              <w:rPr>
                <w:spacing w:val="4"/>
                <w:w w:val="103"/>
                <w:lang w:val="ru-RU"/>
              </w:rPr>
              <w:t xml:space="preserve">Марией </w:t>
            </w:r>
            <w:proofErr w:type="spellStart"/>
            <w:r w:rsidRPr="00820C6C">
              <w:rPr>
                <w:spacing w:val="4"/>
                <w:w w:val="103"/>
                <w:lang w:val="ru-RU"/>
              </w:rPr>
              <w:t>Тулженковой</w:t>
            </w:r>
            <w:proofErr w:type="spellEnd"/>
            <w:r w:rsidR="00856C90" w:rsidRPr="00856C90">
              <w:rPr>
                <w:spacing w:val="4"/>
                <w:w w:val="103"/>
                <w:lang w:val="ru-RU"/>
              </w:rPr>
              <w:br/>
            </w:r>
            <w:r w:rsidRPr="00820C6C">
              <w:rPr>
                <w:spacing w:val="4"/>
                <w:w w:val="103"/>
                <w:lang w:val="ru-RU"/>
              </w:rPr>
              <w:t>(не представлена адвокатом)</w:t>
            </w:r>
          </w:p>
        </w:tc>
      </w:tr>
      <w:tr w:rsidR="00E36948" w:rsidRPr="006E09FF" w:rsidTr="003D66DE">
        <w:tc>
          <w:tcPr>
            <w:tcW w:w="2910" w:type="dxa"/>
            <w:gridSpan w:val="2"/>
          </w:tcPr>
          <w:p w:rsidR="00E36948" w:rsidRPr="00820C6C" w:rsidRDefault="00E36948" w:rsidP="00A1322C">
            <w:pPr>
              <w:pStyle w:val="SingleTxtG"/>
              <w:ind w:left="0" w:right="0"/>
              <w:jc w:val="left"/>
              <w:rPr>
                <w:i/>
                <w:iCs/>
                <w:spacing w:val="4"/>
                <w:w w:val="103"/>
              </w:rPr>
            </w:pPr>
            <w:r w:rsidRPr="00820C6C">
              <w:rPr>
                <w:i/>
                <w:iCs/>
                <w:spacing w:val="4"/>
                <w:w w:val="103"/>
              </w:rPr>
              <w:t>Предполагаем</w:t>
            </w:r>
            <w:r w:rsidRPr="00820C6C">
              <w:rPr>
                <w:i/>
                <w:iCs/>
                <w:spacing w:val="4"/>
                <w:w w:val="103"/>
                <w:lang w:val="ru-RU"/>
              </w:rPr>
              <w:t>ая</w:t>
            </w:r>
            <w:r w:rsidRPr="00820C6C">
              <w:rPr>
                <w:i/>
                <w:iCs/>
                <w:spacing w:val="4"/>
                <w:w w:val="103"/>
              </w:rPr>
              <w:t xml:space="preserve"> жертв</w:t>
            </w:r>
            <w:r w:rsidRPr="00820C6C">
              <w:rPr>
                <w:i/>
                <w:iCs/>
                <w:spacing w:val="4"/>
                <w:w w:val="103"/>
                <w:lang w:val="ru-RU"/>
              </w:rPr>
              <w:t>а</w:t>
            </w:r>
            <w:r w:rsidRPr="00820C6C">
              <w:rPr>
                <w:i/>
                <w:iCs/>
                <w:spacing w:val="4"/>
                <w:w w:val="103"/>
              </w:rPr>
              <w:t>:</w:t>
            </w:r>
          </w:p>
        </w:tc>
        <w:tc>
          <w:tcPr>
            <w:tcW w:w="4470" w:type="dxa"/>
          </w:tcPr>
          <w:p w:rsidR="00E36948" w:rsidRPr="00820C6C" w:rsidRDefault="00E36948" w:rsidP="00A1322C">
            <w:pPr>
              <w:pStyle w:val="SingleTxtG"/>
              <w:ind w:left="0" w:right="0"/>
              <w:jc w:val="left"/>
              <w:rPr>
                <w:spacing w:val="4"/>
                <w:w w:val="103"/>
                <w:lang w:val="ru-RU"/>
              </w:rPr>
            </w:pPr>
            <w:r w:rsidRPr="00820C6C">
              <w:rPr>
                <w:spacing w:val="4"/>
                <w:w w:val="103"/>
                <w:lang w:val="ru-RU"/>
              </w:rPr>
              <w:t>Автор сообщения</w:t>
            </w:r>
          </w:p>
        </w:tc>
      </w:tr>
      <w:tr w:rsidR="00E36948" w:rsidRPr="00856C90" w:rsidTr="003D66DE">
        <w:tc>
          <w:tcPr>
            <w:tcW w:w="2910" w:type="dxa"/>
            <w:gridSpan w:val="2"/>
          </w:tcPr>
          <w:p w:rsidR="00E36948" w:rsidRPr="00820C6C" w:rsidRDefault="00E36948" w:rsidP="00A1322C">
            <w:pPr>
              <w:pStyle w:val="SingleTxtG"/>
              <w:ind w:left="0" w:right="0"/>
              <w:jc w:val="left"/>
              <w:rPr>
                <w:i/>
                <w:iCs/>
                <w:spacing w:val="4"/>
                <w:w w:val="103"/>
              </w:rPr>
            </w:pPr>
            <w:r w:rsidRPr="00820C6C">
              <w:rPr>
                <w:i/>
                <w:iCs/>
                <w:spacing w:val="4"/>
                <w:w w:val="103"/>
              </w:rPr>
              <w:t>Государство-участник:</w:t>
            </w:r>
          </w:p>
        </w:tc>
        <w:tc>
          <w:tcPr>
            <w:tcW w:w="4470" w:type="dxa"/>
          </w:tcPr>
          <w:p w:rsidR="00E36948" w:rsidRPr="00820C6C" w:rsidRDefault="00E36948" w:rsidP="00A1322C">
            <w:pPr>
              <w:pStyle w:val="SingleTxtG"/>
              <w:ind w:left="0" w:right="0"/>
              <w:jc w:val="left"/>
              <w:rPr>
                <w:spacing w:val="4"/>
                <w:w w:val="103"/>
                <w:lang w:val="ru-RU"/>
              </w:rPr>
            </w:pPr>
            <w:r w:rsidRPr="00820C6C">
              <w:rPr>
                <w:spacing w:val="4"/>
                <w:w w:val="103"/>
                <w:lang w:val="ru-RU"/>
              </w:rPr>
              <w:t>Беларусь</w:t>
            </w:r>
          </w:p>
        </w:tc>
      </w:tr>
      <w:tr w:rsidR="00E36948" w:rsidRPr="00856C90" w:rsidTr="003D66DE">
        <w:tc>
          <w:tcPr>
            <w:tcW w:w="2910" w:type="dxa"/>
            <w:gridSpan w:val="2"/>
          </w:tcPr>
          <w:p w:rsidR="00E36948" w:rsidRPr="00820C6C" w:rsidRDefault="00E36948" w:rsidP="00A1322C">
            <w:pPr>
              <w:pStyle w:val="SingleTxtG"/>
              <w:ind w:left="0" w:right="0"/>
              <w:jc w:val="left"/>
              <w:rPr>
                <w:i/>
                <w:iCs/>
                <w:spacing w:val="4"/>
                <w:w w:val="103"/>
              </w:rPr>
            </w:pPr>
            <w:r w:rsidRPr="00820C6C">
              <w:rPr>
                <w:i/>
                <w:iCs/>
                <w:spacing w:val="4"/>
                <w:w w:val="103"/>
              </w:rPr>
              <w:t>Дата сообщения:</w:t>
            </w:r>
          </w:p>
        </w:tc>
        <w:tc>
          <w:tcPr>
            <w:tcW w:w="4470" w:type="dxa"/>
          </w:tcPr>
          <w:p w:rsidR="00E36948" w:rsidRPr="00856C90" w:rsidRDefault="00E36948" w:rsidP="00A1322C">
            <w:pPr>
              <w:pStyle w:val="SingleTxtG"/>
              <w:ind w:left="0" w:right="0"/>
              <w:jc w:val="left"/>
              <w:rPr>
                <w:spacing w:val="4"/>
                <w:w w:val="103"/>
                <w:lang w:val="ru-RU"/>
              </w:rPr>
            </w:pPr>
            <w:r w:rsidRPr="00820C6C">
              <w:rPr>
                <w:spacing w:val="4"/>
                <w:w w:val="103"/>
                <w:lang w:val="ru-RU"/>
              </w:rPr>
              <w:t>27 октября</w:t>
            </w:r>
            <w:r w:rsidRPr="00856C90">
              <w:rPr>
                <w:spacing w:val="4"/>
                <w:w w:val="103"/>
                <w:lang w:val="ru-RU"/>
              </w:rPr>
              <w:t xml:space="preserve"> 200</w:t>
            </w:r>
            <w:r w:rsidRPr="00820C6C">
              <w:rPr>
                <w:spacing w:val="4"/>
                <w:w w:val="103"/>
                <w:lang w:val="ru-RU"/>
              </w:rPr>
              <w:t>8</w:t>
            </w:r>
            <w:r w:rsidRPr="00856C90">
              <w:rPr>
                <w:spacing w:val="4"/>
                <w:w w:val="103"/>
                <w:lang w:val="ru-RU"/>
              </w:rPr>
              <w:t xml:space="preserve"> года</w:t>
            </w:r>
            <w:r w:rsidR="00856C90" w:rsidRPr="00856C90">
              <w:rPr>
                <w:spacing w:val="4"/>
                <w:w w:val="103"/>
                <w:lang w:val="ru-RU"/>
              </w:rPr>
              <w:br/>
            </w:r>
            <w:r w:rsidRPr="00856C90">
              <w:rPr>
                <w:spacing w:val="4"/>
                <w:w w:val="103"/>
                <w:lang w:val="ru-RU"/>
              </w:rPr>
              <w:t>(первоначальное представление)</w:t>
            </w:r>
          </w:p>
        </w:tc>
      </w:tr>
      <w:tr w:rsidR="00E36948" w:rsidRPr="006E09FF" w:rsidTr="003D66DE">
        <w:tc>
          <w:tcPr>
            <w:tcW w:w="2910" w:type="dxa"/>
            <w:gridSpan w:val="2"/>
          </w:tcPr>
          <w:p w:rsidR="00E36948" w:rsidRPr="00820C6C" w:rsidRDefault="00E36948" w:rsidP="00A1322C">
            <w:pPr>
              <w:pStyle w:val="SingleTxtG"/>
              <w:ind w:left="0" w:right="0"/>
              <w:jc w:val="left"/>
              <w:rPr>
                <w:i/>
                <w:iCs/>
                <w:spacing w:val="4"/>
                <w:w w:val="103"/>
              </w:rPr>
            </w:pPr>
            <w:r w:rsidRPr="00820C6C">
              <w:rPr>
                <w:i/>
                <w:iCs/>
                <w:spacing w:val="4"/>
                <w:w w:val="103"/>
              </w:rPr>
              <w:t>Справочная документация:</w:t>
            </w:r>
          </w:p>
        </w:tc>
        <w:tc>
          <w:tcPr>
            <w:tcW w:w="4470" w:type="dxa"/>
          </w:tcPr>
          <w:p w:rsidR="00E36948" w:rsidRPr="00820C6C" w:rsidRDefault="00E36948" w:rsidP="00A1322C">
            <w:pPr>
              <w:pStyle w:val="SingleTxtG"/>
              <w:ind w:left="0" w:right="0"/>
              <w:jc w:val="left"/>
              <w:rPr>
                <w:spacing w:val="4"/>
                <w:w w:val="103"/>
                <w:lang w:val="ru-RU"/>
              </w:rPr>
            </w:pPr>
            <w:r w:rsidRPr="00820C6C">
              <w:rPr>
                <w:spacing w:val="4"/>
                <w:w w:val="103"/>
                <w:lang w:val="ru-RU"/>
              </w:rPr>
              <w:t>Решение Специального докладчика в соответствии с правилом 97, препровожденное государству-участнику 10 декабря 2008 года (в</w:t>
            </w:r>
            <w:r w:rsidR="00856C90">
              <w:rPr>
                <w:spacing w:val="4"/>
                <w:w w:val="103"/>
                <w:lang w:val="en-US"/>
              </w:rPr>
              <w:t> </w:t>
            </w:r>
            <w:r w:rsidRPr="00820C6C">
              <w:rPr>
                <w:spacing w:val="4"/>
                <w:w w:val="103"/>
                <w:lang w:val="ru-RU"/>
              </w:rPr>
              <w:t>виде документа не издавалось)</w:t>
            </w:r>
          </w:p>
        </w:tc>
      </w:tr>
      <w:tr w:rsidR="00E36948" w:rsidRPr="006E09FF" w:rsidTr="003D66DE">
        <w:tc>
          <w:tcPr>
            <w:tcW w:w="2910" w:type="dxa"/>
            <w:gridSpan w:val="2"/>
          </w:tcPr>
          <w:p w:rsidR="00E36948" w:rsidRPr="00820C6C" w:rsidRDefault="00E36948" w:rsidP="00A1322C">
            <w:pPr>
              <w:pStyle w:val="SingleTxtG"/>
              <w:ind w:left="0" w:right="0"/>
              <w:jc w:val="left"/>
              <w:rPr>
                <w:i/>
                <w:iCs/>
                <w:spacing w:val="4"/>
                <w:w w:val="103"/>
              </w:rPr>
            </w:pPr>
            <w:r w:rsidRPr="00820C6C">
              <w:rPr>
                <w:i/>
                <w:iCs/>
                <w:spacing w:val="4"/>
                <w:w w:val="103"/>
              </w:rPr>
              <w:t xml:space="preserve">Дата принятия </w:t>
            </w:r>
            <w:proofErr w:type="spellStart"/>
            <w:r w:rsidRPr="00820C6C">
              <w:rPr>
                <w:i/>
                <w:iCs/>
                <w:spacing w:val="4"/>
                <w:w w:val="103"/>
              </w:rPr>
              <w:t>Cоображений</w:t>
            </w:r>
            <w:proofErr w:type="spellEnd"/>
            <w:r w:rsidRPr="00820C6C">
              <w:rPr>
                <w:i/>
                <w:iCs/>
                <w:spacing w:val="4"/>
                <w:w w:val="103"/>
              </w:rPr>
              <w:t>:</w:t>
            </w:r>
          </w:p>
        </w:tc>
        <w:tc>
          <w:tcPr>
            <w:tcW w:w="4470" w:type="dxa"/>
          </w:tcPr>
          <w:p w:rsidR="00E36948" w:rsidRPr="00820C6C" w:rsidRDefault="00E36948" w:rsidP="00A1322C">
            <w:pPr>
              <w:pStyle w:val="SingleTxtG"/>
              <w:ind w:left="0" w:right="0"/>
              <w:jc w:val="left"/>
              <w:rPr>
                <w:spacing w:val="4"/>
                <w:w w:val="103"/>
                <w:lang w:val="fr-FR"/>
              </w:rPr>
            </w:pPr>
            <w:r w:rsidRPr="00820C6C">
              <w:rPr>
                <w:spacing w:val="4"/>
                <w:w w:val="103"/>
                <w:lang w:val="ru-RU"/>
              </w:rPr>
              <w:t>26 октября 2011 года</w:t>
            </w:r>
          </w:p>
        </w:tc>
      </w:tr>
      <w:tr w:rsidR="00E36948" w:rsidRPr="009466F6" w:rsidTr="003D66DE">
        <w:tc>
          <w:tcPr>
            <w:tcW w:w="2910" w:type="dxa"/>
            <w:gridSpan w:val="2"/>
          </w:tcPr>
          <w:p w:rsidR="00E36948" w:rsidRPr="00820C6C" w:rsidRDefault="00E36948" w:rsidP="00A1322C">
            <w:pPr>
              <w:pStyle w:val="SingleTxtG"/>
              <w:ind w:left="0" w:right="0"/>
              <w:jc w:val="left"/>
              <w:rPr>
                <w:i/>
                <w:iCs/>
                <w:spacing w:val="4"/>
                <w:w w:val="103"/>
              </w:rPr>
            </w:pPr>
            <w:r w:rsidRPr="00820C6C">
              <w:rPr>
                <w:i/>
                <w:iCs/>
                <w:spacing w:val="4"/>
                <w:w w:val="103"/>
              </w:rPr>
              <w:t>Тема сообщения:</w:t>
            </w:r>
          </w:p>
        </w:tc>
        <w:tc>
          <w:tcPr>
            <w:tcW w:w="4470" w:type="dxa"/>
          </w:tcPr>
          <w:p w:rsidR="00E36948" w:rsidRPr="00820C6C" w:rsidRDefault="00E36948" w:rsidP="00A1322C">
            <w:pPr>
              <w:pStyle w:val="SingleTxtG"/>
              <w:ind w:left="0" w:right="0"/>
              <w:jc w:val="left"/>
              <w:rPr>
                <w:spacing w:val="4"/>
                <w:w w:val="103"/>
                <w:lang w:val="ru-RU"/>
              </w:rPr>
            </w:pPr>
            <w:r w:rsidRPr="00820C6C">
              <w:rPr>
                <w:spacing w:val="4"/>
                <w:w w:val="103"/>
                <w:lang w:val="ru-RU"/>
              </w:rPr>
              <w:t xml:space="preserve">Назначение штрафа за несоблюдение требований </w:t>
            </w:r>
            <w:r w:rsidR="00F8172E" w:rsidRPr="00820C6C">
              <w:rPr>
                <w:spacing w:val="4"/>
                <w:w w:val="103"/>
                <w:lang w:val="ru-RU"/>
              </w:rPr>
              <w:t xml:space="preserve">закона </w:t>
            </w:r>
            <w:r w:rsidRPr="00820C6C">
              <w:rPr>
                <w:spacing w:val="4"/>
                <w:w w:val="103"/>
                <w:lang w:val="ru-RU"/>
              </w:rPr>
              <w:t>относительно организации массовых мероприятий</w:t>
            </w:r>
          </w:p>
        </w:tc>
      </w:tr>
      <w:tr w:rsidR="00E36948" w:rsidRPr="006E09FF" w:rsidTr="003D66DE">
        <w:tc>
          <w:tcPr>
            <w:tcW w:w="2910" w:type="dxa"/>
            <w:gridSpan w:val="2"/>
          </w:tcPr>
          <w:p w:rsidR="00E36948" w:rsidRPr="00820C6C" w:rsidRDefault="00E36948" w:rsidP="00A1322C">
            <w:pPr>
              <w:pStyle w:val="SingleTxtG"/>
              <w:ind w:left="0" w:right="0"/>
              <w:jc w:val="left"/>
              <w:rPr>
                <w:i/>
                <w:iCs/>
                <w:spacing w:val="4"/>
                <w:w w:val="103"/>
              </w:rPr>
            </w:pPr>
            <w:r w:rsidRPr="00820C6C">
              <w:rPr>
                <w:i/>
                <w:iCs/>
                <w:spacing w:val="4"/>
                <w:w w:val="103"/>
              </w:rPr>
              <w:t>Процедурные вопросы:</w:t>
            </w:r>
          </w:p>
        </w:tc>
        <w:tc>
          <w:tcPr>
            <w:tcW w:w="4470" w:type="dxa"/>
          </w:tcPr>
          <w:p w:rsidR="00E36948" w:rsidRPr="00820C6C" w:rsidRDefault="00E36948" w:rsidP="00A1322C">
            <w:pPr>
              <w:pStyle w:val="SingleTxtG"/>
              <w:ind w:left="0" w:right="0"/>
              <w:jc w:val="left"/>
              <w:rPr>
                <w:spacing w:val="4"/>
                <w:w w:val="103"/>
                <w:lang w:val="ru-RU"/>
              </w:rPr>
            </w:pPr>
            <w:r w:rsidRPr="00820C6C">
              <w:rPr>
                <w:spacing w:val="4"/>
                <w:w w:val="103"/>
                <w:lang w:val="ru-RU"/>
              </w:rPr>
              <w:t xml:space="preserve">Исчерпание внутренних средств правовой защиты </w:t>
            </w:r>
          </w:p>
        </w:tc>
      </w:tr>
      <w:tr w:rsidR="00E36948" w:rsidRPr="006E09FF" w:rsidTr="003D66DE">
        <w:tc>
          <w:tcPr>
            <w:tcW w:w="2910" w:type="dxa"/>
            <w:gridSpan w:val="2"/>
          </w:tcPr>
          <w:p w:rsidR="00E36948" w:rsidRPr="00820C6C" w:rsidRDefault="00E36948" w:rsidP="00A1322C">
            <w:pPr>
              <w:pStyle w:val="SingleTxtG"/>
              <w:ind w:left="0" w:right="0"/>
              <w:jc w:val="left"/>
              <w:rPr>
                <w:i/>
                <w:iCs/>
                <w:spacing w:val="4"/>
                <w:w w:val="103"/>
                <w:lang w:val="ru-RU"/>
              </w:rPr>
            </w:pPr>
            <w:r w:rsidRPr="00820C6C">
              <w:rPr>
                <w:i/>
                <w:iCs/>
                <w:spacing w:val="4"/>
                <w:w w:val="103"/>
              </w:rPr>
              <w:t>Вопросы существа:</w:t>
            </w:r>
          </w:p>
        </w:tc>
        <w:tc>
          <w:tcPr>
            <w:tcW w:w="4470" w:type="dxa"/>
          </w:tcPr>
          <w:p w:rsidR="00E36948" w:rsidRPr="00820C6C" w:rsidRDefault="00E36948" w:rsidP="00A1322C">
            <w:pPr>
              <w:pStyle w:val="SingleTxtG"/>
              <w:ind w:left="0" w:right="0"/>
              <w:jc w:val="left"/>
              <w:rPr>
                <w:spacing w:val="4"/>
                <w:w w:val="103"/>
                <w:lang w:val="ru-RU"/>
              </w:rPr>
            </w:pPr>
            <w:r w:rsidRPr="00820C6C">
              <w:rPr>
                <w:spacing w:val="4"/>
                <w:w w:val="103"/>
                <w:lang w:val="ru-RU"/>
              </w:rPr>
              <w:t xml:space="preserve">Ограничение права на свободу выражения мнений, включая право </w:t>
            </w:r>
            <w:r w:rsidR="00F8172E" w:rsidRPr="00820C6C">
              <w:rPr>
                <w:spacing w:val="4"/>
                <w:w w:val="103"/>
                <w:lang w:val="ru-RU"/>
              </w:rPr>
              <w:t>распространять</w:t>
            </w:r>
            <w:r w:rsidRPr="00820C6C">
              <w:rPr>
                <w:spacing w:val="4"/>
                <w:w w:val="103"/>
                <w:lang w:val="ru-RU"/>
              </w:rPr>
              <w:t xml:space="preserve"> информацию</w:t>
            </w:r>
          </w:p>
        </w:tc>
      </w:tr>
      <w:tr w:rsidR="00E36948" w:rsidRPr="006E09FF" w:rsidTr="003D66DE">
        <w:tc>
          <w:tcPr>
            <w:tcW w:w="2903" w:type="dxa"/>
          </w:tcPr>
          <w:p w:rsidR="00E36948" w:rsidRPr="00820C6C" w:rsidRDefault="00E36948" w:rsidP="00A1322C">
            <w:pPr>
              <w:pStyle w:val="SingleTxtG"/>
              <w:ind w:left="0" w:right="0"/>
              <w:jc w:val="left"/>
              <w:rPr>
                <w:i/>
                <w:iCs/>
                <w:spacing w:val="4"/>
                <w:w w:val="103"/>
                <w:lang w:val="ru-RU"/>
              </w:rPr>
            </w:pPr>
            <w:r w:rsidRPr="00820C6C">
              <w:rPr>
                <w:i/>
                <w:iCs/>
                <w:spacing w:val="4"/>
                <w:w w:val="103"/>
                <w:lang w:val="ru-RU"/>
              </w:rPr>
              <w:t>Статьи Пакта:</w:t>
            </w:r>
          </w:p>
        </w:tc>
        <w:tc>
          <w:tcPr>
            <w:tcW w:w="4477" w:type="dxa"/>
            <w:gridSpan w:val="2"/>
          </w:tcPr>
          <w:p w:rsidR="00E36948" w:rsidRPr="00820C6C" w:rsidRDefault="00E36948" w:rsidP="00A1322C">
            <w:pPr>
              <w:pStyle w:val="SingleTxtG"/>
              <w:ind w:left="0" w:right="0"/>
              <w:jc w:val="left"/>
              <w:rPr>
                <w:spacing w:val="4"/>
                <w:w w:val="103"/>
                <w:lang w:val="ru-RU"/>
              </w:rPr>
            </w:pPr>
            <w:r w:rsidRPr="00820C6C">
              <w:rPr>
                <w:spacing w:val="4"/>
                <w:w w:val="103"/>
                <w:lang w:val="ru-RU"/>
              </w:rPr>
              <w:t>Пункт 2 статьи 19</w:t>
            </w:r>
          </w:p>
        </w:tc>
      </w:tr>
      <w:tr w:rsidR="00E36948" w:rsidRPr="006E09FF" w:rsidTr="003D66DE">
        <w:tc>
          <w:tcPr>
            <w:tcW w:w="2903" w:type="dxa"/>
          </w:tcPr>
          <w:p w:rsidR="00E36948" w:rsidRPr="00820C6C" w:rsidRDefault="00E36948" w:rsidP="00A1322C">
            <w:pPr>
              <w:pStyle w:val="SingleTxtG"/>
              <w:ind w:left="0" w:right="0"/>
              <w:jc w:val="left"/>
              <w:rPr>
                <w:i/>
                <w:iCs/>
                <w:spacing w:val="4"/>
                <w:w w:val="103"/>
                <w:lang w:val="ru-RU"/>
              </w:rPr>
            </w:pPr>
            <w:r w:rsidRPr="00820C6C">
              <w:rPr>
                <w:i/>
                <w:iCs/>
                <w:spacing w:val="4"/>
                <w:w w:val="103"/>
                <w:lang w:val="ru-RU"/>
              </w:rPr>
              <w:t>Статьи Факультативного протокола:</w:t>
            </w:r>
          </w:p>
        </w:tc>
        <w:tc>
          <w:tcPr>
            <w:tcW w:w="4477" w:type="dxa"/>
            <w:gridSpan w:val="2"/>
          </w:tcPr>
          <w:p w:rsidR="00E36948" w:rsidRPr="00820C6C" w:rsidRDefault="00E36948" w:rsidP="00A1322C">
            <w:pPr>
              <w:pStyle w:val="SingleTxtG"/>
              <w:ind w:left="0" w:right="0"/>
              <w:jc w:val="left"/>
              <w:rPr>
                <w:spacing w:val="4"/>
                <w:w w:val="103"/>
                <w:lang w:val="ru-RU"/>
              </w:rPr>
            </w:pPr>
            <w:r w:rsidRPr="00820C6C">
              <w:rPr>
                <w:spacing w:val="4"/>
                <w:w w:val="103"/>
                <w:lang w:val="ru-RU"/>
              </w:rPr>
              <w:t xml:space="preserve">Пункт 2 </w:t>
            </w:r>
            <w:proofErr w:type="spellStart"/>
            <w:r w:rsidRPr="00820C6C">
              <w:rPr>
                <w:spacing w:val="4"/>
                <w:w w:val="103"/>
                <w:lang w:val="ru-RU"/>
              </w:rPr>
              <w:t>b</w:t>
            </w:r>
            <w:proofErr w:type="spellEnd"/>
            <w:r w:rsidRPr="00820C6C">
              <w:rPr>
                <w:spacing w:val="4"/>
                <w:w w:val="103"/>
                <w:lang w:val="ru-RU"/>
              </w:rPr>
              <w:t>) статьи 5</w:t>
            </w:r>
          </w:p>
        </w:tc>
      </w:tr>
    </w:tbl>
    <w:p w:rsidR="00E36948" w:rsidRDefault="00E36948" w:rsidP="00E36948">
      <w:pPr>
        <w:suppressAutoHyphens/>
        <w:spacing w:line="720" w:lineRule="auto"/>
        <w:rPr>
          <w:sz w:val="24"/>
          <w:szCs w:val="24"/>
        </w:rPr>
      </w:pPr>
    </w:p>
    <w:p w:rsidR="00E36948" w:rsidRPr="001F3A55" w:rsidRDefault="00E36948" w:rsidP="00865CCB">
      <w:pPr>
        <w:pStyle w:val="HChGR"/>
      </w:pPr>
      <w:r>
        <w:br w:type="page"/>
      </w:r>
      <w:r w:rsidRPr="001F3A55">
        <w:t>Приложение</w:t>
      </w:r>
    </w:p>
    <w:p w:rsidR="00E36948" w:rsidRPr="001F3A55" w:rsidRDefault="005A12C2" w:rsidP="005A12C2">
      <w:pPr>
        <w:pStyle w:val="HChGR"/>
      </w:pPr>
      <w:r>
        <w:tab/>
      </w:r>
      <w:r>
        <w:tab/>
      </w:r>
      <w:r w:rsidR="00E36948" w:rsidRPr="001F3A55">
        <w:t>Соображения Комитета по правам человека в</w:t>
      </w:r>
      <w:r>
        <w:t> </w:t>
      </w:r>
      <w:r w:rsidR="00E36948" w:rsidRPr="001F3A55">
        <w:t>соответствии с пунктом 4 статьи 5 Факультативного протокола к Международному пакту о гражданских и политических правах (</w:t>
      </w:r>
      <w:r w:rsidR="00E36948">
        <w:t>103-я</w:t>
      </w:r>
      <w:r w:rsidR="00E36948" w:rsidRPr="001F3A55">
        <w:t xml:space="preserve"> сессия)</w:t>
      </w:r>
    </w:p>
    <w:p w:rsidR="00E36948" w:rsidRPr="005C0D24" w:rsidRDefault="00E36948" w:rsidP="00865CCB">
      <w:pPr>
        <w:pStyle w:val="SingleTxtGR"/>
      </w:pPr>
      <w:r w:rsidRPr="005C0D24">
        <w:t>относительно</w:t>
      </w:r>
    </w:p>
    <w:p w:rsidR="00E36948" w:rsidRPr="001F3A55" w:rsidRDefault="00E36948" w:rsidP="00A62183">
      <w:pPr>
        <w:pStyle w:val="SingleTxtGR"/>
        <w:spacing w:after="240"/>
      </w:pPr>
      <w:r w:rsidRPr="005C0D24">
        <w:rPr>
          <w:rStyle w:val="H1GR0"/>
        </w:rPr>
        <w:t>Сообщения № 1838/2008</w:t>
      </w:r>
      <w:r w:rsidRPr="006504AF">
        <w:rPr>
          <w:rStyle w:val="FootnoteReference"/>
          <w:szCs w:val="18"/>
          <w:vertAlign w:val="baseline"/>
        </w:rPr>
        <w:footnoteReference w:customMarkFollows="1" w:id="1"/>
        <w:sym w:font="Symbol" w:char="F02A"/>
      </w:r>
      <w:r w:rsidRPr="006504AF">
        <w:rPr>
          <w:sz w:val="18"/>
          <w:szCs w:val="18"/>
        </w:rPr>
        <w:t xml:space="preserve"> </w:t>
      </w:r>
    </w:p>
    <w:tbl>
      <w:tblPr>
        <w:tblStyle w:val="TableGrid"/>
        <w:tblW w:w="7326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3"/>
        <w:gridCol w:w="4393"/>
      </w:tblGrid>
      <w:tr w:rsidR="00E36948" w:rsidRPr="001F3A55" w:rsidTr="006504AF">
        <w:tc>
          <w:tcPr>
            <w:tcW w:w="2933" w:type="dxa"/>
            <w:tcMar>
              <w:left w:w="57" w:type="dxa"/>
            </w:tcMar>
          </w:tcPr>
          <w:p w:rsidR="00E36948" w:rsidRPr="00E86BB3" w:rsidRDefault="00E36948" w:rsidP="00E86BB3">
            <w:pPr>
              <w:pStyle w:val="SingleTxtG"/>
              <w:ind w:left="0" w:right="0"/>
              <w:jc w:val="left"/>
              <w:rPr>
                <w:i/>
                <w:spacing w:val="4"/>
                <w:w w:val="103"/>
                <w:lang w:val="ru-RU"/>
              </w:rPr>
            </w:pPr>
            <w:r w:rsidRPr="00E86BB3">
              <w:rPr>
                <w:i/>
                <w:spacing w:val="4"/>
                <w:w w:val="103"/>
                <w:lang w:val="ru-RU"/>
              </w:rPr>
              <w:t>Представлено:</w:t>
            </w:r>
          </w:p>
        </w:tc>
        <w:tc>
          <w:tcPr>
            <w:tcW w:w="4393" w:type="dxa"/>
            <w:tcMar>
              <w:left w:w="57" w:type="dxa"/>
            </w:tcMar>
          </w:tcPr>
          <w:p w:rsidR="00E36948" w:rsidRPr="00E86BB3" w:rsidRDefault="00E36948" w:rsidP="00E86BB3">
            <w:pPr>
              <w:pStyle w:val="SingleTxtG"/>
              <w:ind w:left="0" w:right="0"/>
              <w:jc w:val="left"/>
              <w:rPr>
                <w:spacing w:val="4"/>
                <w:w w:val="103"/>
                <w:lang w:val="ru-RU"/>
              </w:rPr>
            </w:pPr>
            <w:r w:rsidRPr="00E86BB3">
              <w:rPr>
                <w:spacing w:val="4"/>
                <w:w w:val="103"/>
                <w:lang w:val="ru-RU"/>
              </w:rPr>
              <w:t xml:space="preserve">Марией </w:t>
            </w:r>
            <w:proofErr w:type="spellStart"/>
            <w:r w:rsidRPr="00E86BB3">
              <w:rPr>
                <w:spacing w:val="4"/>
                <w:w w:val="103"/>
                <w:lang w:val="ru-RU"/>
              </w:rPr>
              <w:t>Тулженковой</w:t>
            </w:r>
            <w:proofErr w:type="spellEnd"/>
            <w:r w:rsidR="006504AF" w:rsidRPr="006504AF">
              <w:rPr>
                <w:spacing w:val="4"/>
                <w:w w:val="103"/>
                <w:lang w:val="ru-RU"/>
              </w:rPr>
              <w:br/>
            </w:r>
            <w:r w:rsidRPr="00E86BB3">
              <w:rPr>
                <w:spacing w:val="4"/>
                <w:w w:val="103"/>
                <w:lang w:val="ru-RU"/>
              </w:rPr>
              <w:t>(не представлена адвокатом)</w:t>
            </w:r>
          </w:p>
        </w:tc>
      </w:tr>
      <w:tr w:rsidR="00E36948" w:rsidRPr="001F3A55" w:rsidTr="006504AF">
        <w:tc>
          <w:tcPr>
            <w:tcW w:w="2933" w:type="dxa"/>
            <w:tcMar>
              <w:left w:w="57" w:type="dxa"/>
            </w:tcMar>
          </w:tcPr>
          <w:p w:rsidR="00E36948" w:rsidRPr="00E86BB3" w:rsidRDefault="00E36948" w:rsidP="00E86BB3">
            <w:pPr>
              <w:pStyle w:val="SingleTxtG"/>
              <w:ind w:left="0" w:right="0"/>
              <w:jc w:val="left"/>
              <w:rPr>
                <w:i/>
                <w:spacing w:val="4"/>
                <w:w w:val="103"/>
                <w:lang w:val="ru-RU"/>
              </w:rPr>
            </w:pPr>
            <w:r w:rsidRPr="00E86BB3">
              <w:rPr>
                <w:i/>
                <w:spacing w:val="4"/>
                <w:w w:val="103"/>
                <w:lang w:val="ru-RU"/>
              </w:rPr>
              <w:t>Предполагаемая жертва:</w:t>
            </w:r>
          </w:p>
        </w:tc>
        <w:tc>
          <w:tcPr>
            <w:tcW w:w="4393" w:type="dxa"/>
            <w:tcMar>
              <w:left w:w="57" w:type="dxa"/>
            </w:tcMar>
          </w:tcPr>
          <w:p w:rsidR="00E36948" w:rsidRPr="00E86BB3" w:rsidRDefault="00E36948" w:rsidP="00E86BB3">
            <w:pPr>
              <w:pStyle w:val="SingleTxtG"/>
              <w:ind w:left="0" w:right="0"/>
              <w:jc w:val="left"/>
              <w:rPr>
                <w:spacing w:val="4"/>
                <w:w w:val="103"/>
                <w:lang w:val="ru-RU"/>
              </w:rPr>
            </w:pPr>
            <w:r w:rsidRPr="00E86BB3">
              <w:rPr>
                <w:spacing w:val="4"/>
                <w:w w:val="103"/>
                <w:lang w:val="ru-RU"/>
              </w:rPr>
              <w:t>Автор с</w:t>
            </w:r>
            <w:r w:rsidRPr="00E86BB3">
              <w:rPr>
                <w:spacing w:val="4"/>
                <w:w w:val="103"/>
                <w:lang w:val="ru-RU"/>
              </w:rPr>
              <w:t>о</w:t>
            </w:r>
            <w:r w:rsidRPr="00E86BB3">
              <w:rPr>
                <w:spacing w:val="4"/>
                <w:w w:val="103"/>
                <w:lang w:val="ru-RU"/>
              </w:rPr>
              <w:t xml:space="preserve">общения </w:t>
            </w:r>
          </w:p>
        </w:tc>
      </w:tr>
      <w:tr w:rsidR="00E36948" w:rsidRPr="001F3A55" w:rsidTr="006504AF">
        <w:tc>
          <w:tcPr>
            <w:tcW w:w="2933" w:type="dxa"/>
            <w:tcMar>
              <w:left w:w="57" w:type="dxa"/>
            </w:tcMar>
          </w:tcPr>
          <w:p w:rsidR="00E36948" w:rsidRPr="00E86BB3" w:rsidRDefault="00E36948" w:rsidP="00E86BB3">
            <w:pPr>
              <w:pStyle w:val="SingleTxtG"/>
              <w:ind w:left="0" w:right="0"/>
              <w:jc w:val="left"/>
              <w:rPr>
                <w:i/>
                <w:spacing w:val="4"/>
                <w:w w:val="103"/>
                <w:lang w:val="ru-RU"/>
              </w:rPr>
            </w:pPr>
            <w:r w:rsidRPr="00E86BB3">
              <w:rPr>
                <w:i/>
                <w:spacing w:val="4"/>
                <w:w w:val="103"/>
                <w:lang w:val="ru-RU"/>
              </w:rPr>
              <w:t>Государство-участник:</w:t>
            </w:r>
          </w:p>
        </w:tc>
        <w:tc>
          <w:tcPr>
            <w:tcW w:w="4393" w:type="dxa"/>
            <w:tcMar>
              <w:left w:w="57" w:type="dxa"/>
            </w:tcMar>
          </w:tcPr>
          <w:p w:rsidR="00E36948" w:rsidRPr="00E86BB3" w:rsidRDefault="00E36948" w:rsidP="00E86BB3">
            <w:pPr>
              <w:pStyle w:val="SingleTxtG"/>
              <w:ind w:left="0" w:right="0"/>
              <w:jc w:val="left"/>
              <w:rPr>
                <w:spacing w:val="4"/>
                <w:w w:val="103"/>
                <w:lang w:val="ru-RU"/>
              </w:rPr>
            </w:pPr>
            <w:r w:rsidRPr="00E86BB3">
              <w:rPr>
                <w:spacing w:val="4"/>
                <w:w w:val="103"/>
                <w:lang w:val="ru-RU"/>
              </w:rPr>
              <w:t>Беларусь</w:t>
            </w:r>
          </w:p>
        </w:tc>
      </w:tr>
      <w:tr w:rsidR="00E36948" w:rsidRPr="001F3A55" w:rsidTr="006504AF">
        <w:tc>
          <w:tcPr>
            <w:tcW w:w="2933" w:type="dxa"/>
            <w:tcMar>
              <w:left w:w="57" w:type="dxa"/>
            </w:tcMar>
          </w:tcPr>
          <w:p w:rsidR="00E36948" w:rsidRPr="00E86BB3" w:rsidRDefault="00E36948" w:rsidP="00E86BB3">
            <w:pPr>
              <w:pStyle w:val="SingleTxtG"/>
              <w:ind w:left="0" w:right="0"/>
              <w:jc w:val="left"/>
              <w:rPr>
                <w:i/>
                <w:spacing w:val="4"/>
                <w:w w:val="103"/>
                <w:lang w:val="ru-RU"/>
              </w:rPr>
            </w:pPr>
            <w:r w:rsidRPr="00E86BB3">
              <w:rPr>
                <w:i/>
                <w:spacing w:val="4"/>
                <w:w w:val="103"/>
                <w:lang w:val="ru-RU"/>
              </w:rPr>
              <w:t>Дата сообщения:</w:t>
            </w:r>
          </w:p>
        </w:tc>
        <w:tc>
          <w:tcPr>
            <w:tcW w:w="4393" w:type="dxa"/>
            <w:tcMar>
              <w:left w:w="57" w:type="dxa"/>
            </w:tcMar>
          </w:tcPr>
          <w:p w:rsidR="00E36948" w:rsidRPr="00E86BB3" w:rsidRDefault="00E36948" w:rsidP="00E86BB3">
            <w:pPr>
              <w:pStyle w:val="SingleTxtG"/>
              <w:ind w:left="0" w:right="0"/>
              <w:jc w:val="left"/>
              <w:rPr>
                <w:spacing w:val="4"/>
                <w:w w:val="103"/>
                <w:lang w:val="ru-RU"/>
              </w:rPr>
            </w:pPr>
            <w:r w:rsidRPr="00E86BB3">
              <w:rPr>
                <w:spacing w:val="4"/>
                <w:w w:val="103"/>
                <w:lang w:val="ru-RU"/>
              </w:rPr>
              <w:t>27 октября 2008 года</w:t>
            </w:r>
            <w:r w:rsidR="006504AF" w:rsidRPr="006504AF">
              <w:rPr>
                <w:spacing w:val="4"/>
                <w:w w:val="103"/>
                <w:lang w:val="ru-RU"/>
              </w:rPr>
              <w:br/>
            </w:r>
            <w:r w:rsidRPr="00E86BB3">
              <w:rPr>
                <w:spacing w:val="4"/>
                <w:w w:val="103"/>
                <w:lang w:val="ru-RU"/>
              </w:rPr>
              <w:t>(первоначальное представл</w:t>
            </w:r>
            <w:r w:rsidRPr="00E86BB3">
              <w:rPr>
                <w:spacing w:val="4"/>
                <w:w w:val="103"/>
                <w:lang w:val="ru-RU"/>
              </w:rPr>
              <w:t>е</w:t>
            </w:r>
            <w:r w:rsidRPr="00E86BB3">
              <w:rPr>
                <w:spacing w:val="4"/>
                <w:w w:val="103"/>
                <w:lang w:val="ru-RU"/>
              </w:rPr>
              <w:t>ние)</w:t>
            </w:r>
          </w:p>
        </w:tc>
      </w:tr>
    </w:tbl>
    <w:p w:rsidR="00E36948" w:rsidRPr="001F3A55" w:rsidRDefault="00E36948" w:rsidP="00865CCB">
      <w:pPr>
        <w:pStyle w:val="SingleTxtGR"/>
      </w:pPr>
      <w:r w:rsidRPr="001F3A55">
        <w:tab/>
      </w:r>
      <w:r w:rsidRPr="001F3A55">
        <w:rPr>
          <w:i/>
        </w:rPr>
        <w:t>Комитет по правам человека</w:t>
      </w:r>
      <w:r w:rsidRPr="001F3A55">
        <w:t>, учрежденный в соответствии со статьей 28 Международного пакта о гражданских и политич</w:t>
      </w:r>
      <w:r w:rsidRPr="001F3A55">
        <w:t>е</w:t>
      </w:r>
      <w:r w:rsidRPr="001F3A55">
        <w:t xml:space="preserve">ских правах, </w:t>
      </w:r>
    </w:p>
    <w:p w:rsidR="00E36948" w:rsidRPr="001F3A55" w:rsidRDefault="00E36948" w:rsidP="00865CCB">
      <w:pPr>
        <w:pStyle w:val="SingleTxtGR"/>
      </w:pPr>
      <w:r w:rsidRPr="001F3A55">
        <w:tab/>
      </w:r>
      <w:r w:rsidRPr="001F3A55">
        <w:rPr>
          <w:i/>
        </w:rPr>
        <w:t>на своем заседании</w:t>
      </w:r>
      <w:r>
        <w:t xml:space="preserve"> 26 октября 2011</w:t>
      </w:r>
      <w:r w:rsidRPr="001F3A55">
        <w:t xml:space="preserve"> года,</w:t>
      </w:r>
    </w:p>
    <w:p w:rsidR="00E36948" w:rsidRPr="001F3A55" w:rsidRDefault="00E36948" w:rsidP="00865CCB">
      <w:pPr>
        <w:pStyle w:val="SingleTxtGR"/>
      </w:pPr>
      <w:r w:rsidRPr="001F3A55">
        <w:tab/>
      </w:r>
      <w:r w:rsidRPr="001F3A55">
        <w:rPr>
          <w:i/>
        </w:rPr>
        <w:t xml:space="preserve">завершив </w:t>
      </w:r>
      <w:r>
        <w:t>рассмотрение сообщения № 1</w:t>
      </w:r>
      <w:r w:rsidRPr="001F3A55">
        <w:t>8</w:t>
      </w:r>
      <w:r>
        <w:t>38/2008</w:t>
      </w:r>
      <w:r w:rsidRPr="001F3A55">
        <w:t xml:space="preserve">, представленного </w:t>
      </w:r>
      <w:r>
        <w:t>Ком</w:t>
      </w:r>
      <w:r>
        <w:t>и</w:t>
      </w:r>
      <w:r>
        <w:t xml:space="preserve">тету по правам человека г-жой Марией </w:t>
      </w:r>
      <w:proofErr w:type="spellStart"/>
      <w:r>
        <w:t>Тулженковой</w:t>
      </w:r>
      <w:proofErr w:type="spellEnd"/>
      <w:r>
        <w:t xml:space="preserve"> </w:t>
      </w:r>
      <w:r w:rsidRPr="001F3A55">
        <w:t xml:space="preserve"> в соответствии с Факул</w:t>
      </w:r>
      <w:r w:rsidRPr="001F3A55">
        <w:t>ь</w:t>
      </w:r>
      <w:r w:rsidRPr="001F3A55">
        <w:t>тативным протоколом к Межд</w:t>
      </w:r>
      <w:r w:rsidRPr="001F3A55">
        <w:t>у</w:t>
      </w:r>
      <w:r w:rsidRPr="001F3A55">
        <w:t>народному пакту о гражданских и политических правах,</w:t>
      </w:r>
    </w:p>
    <w:p w:rsidR="00E36948" w:rsidRPr="001F3A55" w:rsidRDefault="00E36948" w:rsidP="00865CCB">
      <w:pPr>
        <w:pStyle w:val="SingleTxtGR"/>
      </w:pPr>
      <w:r w:rsidRPr="001F3A55">
        <w:tab/>
      </w:r>
      <w:r w:rsidRPr="001F3A55">
        <w:rPr>
          <w:i/>
        </w:rPr>
        <w:t xml:space="preserve">приняв во внимание </w:t>
      </w:r>
      <w:r w:rsidRPr="001F3A55">
        <w:t xml:space="preserve">всю письменную информацию, представленную ему автором сообщения и государством-участником, </w:t>
      </w:r>
    </w:p>
    <w:p w:rsidR="00E36948" w:rsidRPr="001F3A55" w:rsidRDefault="00E36948" w:rsidP="00865CCB">
      <w:pPr>
        <w:pStyle w:val="SingleTxtGR"/>
      </w:pPr>
      <w:r w:rsidRPr="001F3A55">
        <w:tab/>
      </w:r>
      <w:r w:rsidRPr="001F3A55">
        <w:rPr>
          <w:i/>
        </w:rPr>
        <w:t xml:space="preserve">принимает </w:t>
      </w:r>
      <w:r w:rsidRPr="001F3A55">
        <w:t>следующее:</w:t>
      </w:r>
    </w:p>
    <w:p w:rsidR="00E36948" w:rsidRPr="001F3A55" w:rsidRDefault="00E36948" w:rsidP="005E5037">
      <w:pPr>
        <w:pStyle w:val="H1GR"/>
      </w:pPr>
      <w:r w:rsidRPr="001F3A55">
        <w:tab/>
      </w:r>
      <w:r w:rsidR="005E5037">
        <w:tab/>
      </w:r>
      <w:r w:rsidRPr="001F3A55">
        <w:t>Соображения в соответствии с пунктом 4 статьи 5 Факультативного протокола</w:t>
      </w:r>
    </w:p>
    <w:p w:rsidR="00E36948" w:rsidRDefault="00E36948" w:rsidP="00865CCB">
      <w:pPr>
        <w:pStyle w:val="SingleTxtGR"/>
      </w:pPr>
      <w:r>
        <w:t>1.</w:t>
      </w:r>
      <w:r w:rsidRPr="001F3A55">
        <w:tab/>
        <w:t>Автором сообщения</w:t>
      </w:r>
      <w:r w:rsidR="00EC3E37">
        <w:t xml:space="preserve"> от</w:t>
      </w:r>
      <w:r>
        <w:t xml:space="preserve"> 27 октября 2008 года</w:t>
      </w:r>
      <w:r w:rsidRPr="001F3A55">
        <w:t xml:space="preserve"> является г-жа</w:t>
      </w:r>
      <w:r>
        <w:t xml:space="preserve"> Мария </w:t>
      </w:r>
      <w:proofErr w:type="spellStart"/>
      <w:r>
        <w:t>Ту</w:t>
      </w:r>
      <w:r>
        <w:t>л</w:t>
      </w:r>
      <w:r>
        <w:t>женкова</w:t>
      </w:r>
      <w:proofErr w:type="spellEnd"/>
      <w:r>
        <w:t>, гражданка Белару</w:t>
      </w:r>
      <w:r w:rsidR="00EC3E37">
        <w:t>с</w:t>
      </w:r>
      <w:r>
        <w:t>и 1986 года рождения. Она утверждает, что стала жертвой нарушения Беларусью ее прав, предусмотренных пунктом 2 статьи 19 Международного пакта о гражданских и политических правах. Факультативный протокол вступил в силу для Беларуси 30 декабря 1992 года. Автор не пре</w:t>
      </w:r>
      <w:r>
        <w:t>д</w:t>
      </w:r>
      <w:r>
        <w:t>ставлена адвокатом.</w:t>
      </w:r>
    </w:p>
    <w:p w:rsidR="00E36948" w:rsidRPr="000F7C7B" w:rsidRDefault="00E36948" w:rsidP="00865CCB">
      <w:pPr>
        <w:pStyle w:val="SingleTxtGR"/>
        <w:rPr>
          <w:b/>
        </w:rPr>
      </w:pPr>
      <w:r w:rsidRPr="000F7C7B">
        <w:rPr>
          <w:b/>
        </w:rPr>
        <w:t>Изложение фактов</w:t>
      </w:r>
    </w:p>
    <w:p w:rsidR="00E36948" w:rsidRDefault="00E36948" w:rsidP="00865CCB">
      <w:pPr>
        <w:pStyle w:val="SingleTxtGR"/>
      </w:pPr>
      <w:r>
        <w:t>2.1</w:t>
      </w:r>
      <w:r>
        <w:tab/>
        <w:t xml:space="preserve">14 марта 2008 года автор распространяла листовки с информацией о предстоящем мирном собрании в Гомеле. Она была арестована </w:t>
      </w:r>
      <w:r w:rsidR="00EC3E37">
        <w:t>сотрудниками органов внутренних дел</w:t>
      </w:r>
      <w:r>
        <w:t>, и по этому факту был составлен протокол о соверш</w:t>
      </w:r>
      <w:r w:rsidR="00EC3E37">
        <w:t>е</w:t>
      </w:r>
      <w:r w:rsidR="00EC3E37">
        <w:t>нии</w:t>
      </w:r>
      <w:r>
        <w:t xml:space="preserve"> административно</w:t>
      </w:r>
      <w:r w:rsidR="00EC3E37">
        <w:t>го</w:t>
      </w:r>
      <w:r>
        <w:t xml:space="preserve"> правонарушени</w:t>
      </w:r>
      <w:r w:rsidR="00EC3E37">
        <w:t>я</w:t>
      </w:r>
      <w:r>
        <w:t>, предусмотренно</w:t>
      </w:r>
      <w:r w:rsidR="00EC3E37">
        <w:t>го</w:t>
      </w:r>
      <w:r>
        <w:t xml:space="preserve"> частью 1 ст</w:t>
      </w:r>
      <w:r>
        <w:t>а</w:t>
      </w:r>
      <w:r>
        <w:t>тьи</w:t>
      </w:r>
      <w:r w:rsidR="00E86BB3">
        <w:rPr>
          <w:lang w:val="en-US"/>
        </w:rPr>
        <w:t> </w:t>
      </w:r>
      <w:r>
        <w:t xml:space="preserve">23.34 Кодекса об административных правонарушениях Беларуси. Указанная статья устанавливает административную ответственность за нарушение </w:t>
      </w:r>
      <w:r w:rsidR="00EC3E37">
        <w:t>уст</w:t>
      </w:r>
      <w:r w:rsidR="00EC3E37">
        <w:t>а</w:t>
      </w:r>
      <w:r w:rsidR="00EC3E37">
        <w:t>новленного порядка</w:t>
      </w:r>
      <w:r>
        <w:t xml:space="preserve"> организации или проведения собраний, митингов, демо</w:t>
      </w:r>
      <w:r>
        <w:t>н</w:t>
      </w:r>
      <w:r>
        <w:t xml:space="preserve">страций, </w:t>
      </w:r>
      <w:r w:rsidR="00EC3E37">
        <w:t xml:space="preserve">уличных </w:t>
      </w:r>
      <w:r>
        <w:t>шествий и других массовых мероприятий. Автор сообщает, что организация массовых мероприятий регламентир</w:t>
      </w:r>
      <w:r w:rsidR="00EC3E37">
        <w:t>уется</w:t>
      </w:r>
      <w:r>
        <w:t xml:space="preserve"> Законом о массовых мероприятиях в Республике Беларусь (далее </w:t>
      </w:r>
      <w:r w:rsidR="00EC3E37">
        <w:t xml:space="preserve">− </w:t>
      </w:r>
      <w:r>
        <w:t>Закон о массовых мероприят</w:t>
      </w:r>
      <w:r>
        <w:t>и</w:t>
      </w:r>
      <w:r>
        <w:t>ях). В соответствии со статьей 8 Закона до получения разрешения на провед</w:t>
      </w:r>
      <w:r>
        <w:t>е</w:t>
      </w:r>
      <w:r>
        <w:t xml:space="preserve">ние массового мероприятия его </w:t>
      </w:r>
      <w:r w:rsidR="00AC1186">
        <w:t>организатор (</w:t>
      </w:r>
      <w:r>
        <w:t>организаторы</w:t>
      </w:r>
      <w:r w:rsidR="00AC1186">
        <w:t>), а также иные</w:t>
      </w:r>
      <w:r>
        <w:t xml:space="preserve"> лица не </w:t>
      </w:r>
      <w:r w:rsidR="00AC1186">
        <w:t>в</w:t>
      </w:r>
      <w:r>
        <w:t>прав</w:t>
      </w:r>
      <w:r w:rsidR="00AC1186">
        <w:t>е</w:t>
      </w:r>
      <w:r>
        <w:t xml:space="preserve"> сообщать в средствах массовой информации о дате, месте и времени его проведения, </w:t>
      </w:r>
      <w:r w:rsidR="00AC1186">
        <w:t>из</w:t>
      </w:r>
      <w:r>
        <w:t xml:space="preserve">готавливать и распространять </w:t>
      </w:r>
      <w:r w:rsidR="00AC1186">
        <w:t xml:space="preserve">с этой целью </w:t>
      </w:r>
      <w:r>
        <w:t>листовки, плак</w:t>
      </w:r>
      <w:r>
        <w:t>а</w:t>
      </w:r>
      <w:r>
        <w:t xml:space="preserve">ты и </w:t>
      </w:r>
      <w:r w:rsidR="00AC1186">
        <w:t>иные</w:t>
      </w:r>
      <w:r>
        <w:t xml:space="preserve"> материалы. Поскольку автор сообщения распространяла листовки с информацией о предстоящем мирном собрании, на проведение которого она еще не получила разрешения, сотрудники </w:t>
      </w:r>
      <w:r w:rsidR="00AC1186">
        <w:t>органов внутренних дел</w:t>
      </w:r>
      <w:r>
        <w:t xml:space="preserve"> посчитали, что она нарушила закон. </w:t>
      </w:r>
      <w:r w:rsidR="00AC1186">
        <w:t>Поэтому</w:t>
      </w:r>
      <w:r>
        <w:t xml:space="preserve"> сотрудники </w:t>
      </w:r>
      <w:r w:rsidR="00AC1186">
        <w:t>органов внутренних дел</w:t>
      </w:r>
      <w:r>
        <w:t xml:space="preserve"> состав</w:t>
      </w:r>
      <w:r>
        <w:t>и</w:t>
      </w:r>
      <w:r>
        <w:t>ли протокол о совершении административного правонарушения и передали его в</w:t>
      </w:r>
      <w:r w:rsidR="00AC1186">
        <w:t xml:space="preserve"> с</w:t>
      </w:r>
      <w:r>
        <w:t>уд Центрального района города Гомеля.</w:t>
      </w:r>
    </w:p>
    <w:p w:rsidR="00AE69EE" w:rsidRPr="00994C74" w:rsidRDefault="00AE69EE" w:rsidP="006475F4">
      <w:pPr>
        <w:pStyle w:val="SingleTxtGR"/>
      </w:pPr>
      <w:r w:rsidRPr="00994C74">
        <w:t>2.2</w:t>
      </w:r>
      <w:r w:rsidRPr="00994C74">
        <w:tab/>
        <w:t xml:space="preserve">17 марта 2008 года </w:t>
      </w:r>
      <w:r>
        <w:t>с</w:t>
      </w:r>
      <w:r w:rsidRPr="00994C74">
        <w:t>уд Центрального района города Гомеля признал авт</w:t>
      </w:r>
      <w:r w:rsidRPr="00994C74">
        <w:t>о</w:t>
      </w:r>
      <w:r w:rsidRPr="00994C74">
        <w:t>ра виновной в совершении административного правонарушения в соответс</w:t>
      </w:r>
      <w:r w:rsidRPr="00994C74">
        <w:t>т</w:t>
      </w:r>
      <w:r w:rsidRPr="00994C74">
        <w:t xml:space="preserve">вии с частью 1 статьи 23.34 Кодекса об административных правонарушениях и </w:t>
      </w:r>
      <w:r>
        <w:t>н</w:t>
      </w:r>
      <w:r>
        <w:t>а</w:t>
      </w:r>
      <w:r>
        <w:t>значил</w:t>
      </w:r>
      <w:r w:rsidRPr="00994C74">
        <w:t xml:space="preserve"> штраф в размере 350 000 рублей</w:t>
      </w:r>
      <w:r w:rsidRPr="00BD0DE8">
        <w:rPr>
          <w:sz w:val="18"/>
          <w:szCs w:val="18"/>
          <w:vertAlign w:val="superscript"/>
        </w:rPr>
        <w:footnoteReference w:id="2"/>
      </w:r>
      <w:r w:rsidRPr="00994C74">
        <w:t>. Суд особенно подчеркнул, что автор объяв</w:t>
      </w:r>
      <w:r>
        <w:t>и</w:t>
      </w:r>
      <w:r w:rsidRPr="00994C74">
        <w:t>ла о проведении массового мероприятия до получения соответствующ</w:t>
      </w:r>
      <w:r w:rsidRPr="00994C74">
        <w:t>е</w:t>
      </w:r>
      <w:r w:rsidRPr="00994C74">
        <w:t xml:space="preserve">го разрешения </w:t>
      </w:r>
      <w:r>
        <w:t xml:space="preserve">от </w:t>
      </w:r>
      <w:r w:rsidRPr="00994C74">
        <w:t>властей и тем самым нарушила</w:t>
      </w:r>
      <w:r>
        <w:t xml:space="preserve"> установленный</w:t>
      </w:r>
      <w:r w:rsidRPr="00994C74">
        <w:t xml:space="preserve"> порядок орг</w:t>
      </w:r>
      <w:r w:rsidRPr="00994C74">
        <w:t>а</w:t>
      </w:r>
      <w:r w:rsidRPr="00994C74">
        <w:t xml:space="preserve">низации и проведения массовых мероприятий. </w:t>
      </w:r>
      <w:r>
        <w:t>Автор утверждает, что суд п</w:t>
      </w:r>
      <w:r>
        <w:t>о</w:t>
      </w:r>
      <w:r>
        <w:t>строил свои выводы исключительно на протоколе, составленном органами внутренних дел, и не рассмотрел вопрос о том, было ли ограничение ее права на распространение информации необходимым для достижения какой-либо из целей, установленных в статье 19 Пакта</w:t>
      </w:r>
      <w:r w:rsidRPr="00994C74">
        <w:t xml:space="preserve">. Она утверждает, что в отсутствие </w:t>
      </w:r>
      <w:r>
        <w:t>к</w:t>
      </w:r>
      <w:r>
        <w:t>а</w:t>
      </w:r>
      <w:r>
        <w:t xml:space="preserve">кого-либо </w:t>
      </w:r>
      <w:r w:rsidRPr="00994C74">
        <w:t xml:space="preserve">разумного обоснования </w:t>
      </w:r>
      <w:r>
        <w:t>судебного решения назначенное</w:t>
      </w:r>
      <w:r w:rsidRPr="00994C74">
        <w:t xml:space="preserve"> ей наказание не может быть оправдано необходимостью </w:t>
      </w:r>
      <w:r>
        <w:t>охраны государственной</w:t>
      </w:r>
      <w:r w:rsidRPr="00994C74">
        <w:t xml:space="preserve"> безопасн</w:t>
      </w:r>
      <w:r w:rsidRPr="00994C74">
        <w:t>о</w:t>
      </w:r>
      <w:r w:rsidRPr="00994C74">
        <w:t xml:space="preserve">сти или общественного порядка, здоровья или нравственности </w:t>
      </w:r>
      <w:r>
        <w:t xml:space="preserve">населения </w:t>
      </w:r>
      <w:r w:rsidRPr="00994C74">
        <w:t xml:space="preserve">или уважения прав и репутации других лиц и поэтому </w:t>
      </w:r>
      <w:r>
        <w:t>пред</w:t>
      </w:r>
      <w:r w:rsidRPr="00994C74">
        <w:t>ставляет</w:t>
      </w:r>
      <w:r>
        <w:t xml:space="preserve"> собой </w:t>
      </w:r>
      <w:r w:rsidRPr="00994C74">
        <w:t>наруш</w:t>
      </w:r>
      <w:r w:rsidRPr="00994C74">
        <w:t>е</w:t>
      </w:r>
      <w:r w:rsidRPr="00994C74">
        <w:t xml:space="preserve">ние </w:t>
      </w:r>
      <w:r>
        <w:t xml:space="preserve">ее прав по </w:t>
      </w:r>
      <w:r w:rsidRPr="00994C74">
        <w:t>стать</w:t>
      </w:r>
      <w:r>
        <w:t>е</w:t>
      </w:r>
      <w:r w:rsidRPr="00994C74">
        <w:t xml:space="preserve"> 19 Пакта. Автор заявляет</w:t>
      </w:r>
      <w:r>
        <w:t xml:space="preserve"> далее</w:t>
      </w:r>
      <w:r w:rsidRPr="00994C74">
        <w:t xml:space="preserve">, что ее </w:t>
      </w:r>
      <w:r>
        <w:t xml:space="preserve">доводы </w:t>
      </w:r>
      <w:r w:rsidRPr="00994C74">
        <w:t>о незако</w:t>
      </w:r>
      <w:r w:rsidRPr="00994C74">
        <w:t>н</w:t>
      </w:r>
      <w:r w:rsidRPr="00994C74">
        <w:t>ности назначенного ей административного наказания подтверждаются Сообр</w:t>
      </w:r>
      <w:r w:rsidRPr="00994C74">
        <w:t>а</w:t>
      </w:r>
      <w:r w:rsidRPr="00994C74">
        <w:t xml:space="preserve">жениями Комитета по сообщению № 780/1997, </w:t>
      </w:r>
      <w:proofErr w:type="spellStart"/>
      <w:r w:rsidRPr="00994C74">
        <w:rPr>
          <w:i/>
        </w:rPr>
        <w:t>Лапцевич</w:t>
      </w:r>
      <w:proofErr w:type="spellEnd"/>
      <w:r w:rsidRPr="00994C74">
        <w:rPr>
          <w:i/>
        </w:rPr>
        <w:t xml:space="preserve"> против Бел</w:t>
      </w:r>
      <w:r w:rsidRPr="00994C74">
        <w:rPr>
          <w:i/>
        </w:rPr>
        <w:t>а</w:t>
      </w:r>
      <w:r w:rsidRPr="00994C74">
        <w:rPr>
          <w:i/>
        </w:rPr>
        <w:t>руси</w:t>
      </w:r>
      <w:r w:rsidRPr="00994C74">
        <w:t>.</w:t>
      </w:r>
    </w:p>
    <w:p w:rsidR="00AE69EE" w:rsidRPr="00994C74" w:rsidRDefault="00AE69EE" w:rsidP="006475F4">
      <w:pPr>
        <w:pStyle w:val="SingleTxtGR"/>
      </w:pPr>
      <w:r w:rsidRPr="00994C74">
        <w:t>2.3</w:t>
      </w:r>
      <w:r w:rsidRPr="00994C74">
        <w:tab/>
        <w:t xml:space="preserve">Автор утверждает, что она исчерпала все внутренние средства правовой защиты. 11 апреля 2008 года Гомельский </w:t>
      </w:r>
      <w:r>
        <w:t>областной</w:t>
      </w:r>
      <w:r w:rsidRPr="00994C74">
        <w:t xml:space="preserve"> суд оставил в силе решение </w:t>
      </w:r>
      <w:r>
        <w:t>с</w:t>
      </w:r>
      <w:r w:rsidRPr="00994C74">
        <w:t xml:space="preserve">уда Центрального района и отклонил апелляцию автора. 17 октября 2008 года ее жалоба в порядке надзора была отклонена Председателем Верховного суда Беларуси. Автор </w:t>
      </w:r>
      <w:r>
        <w:t>утверждает</w:t>
      </w:r>
      <w:r w:rsidRPr="00994C74">
        <w:t>, что национальные суды отказались квалифицир</w:t>
      </w:r>
      <w:r w:rsidRPr="00994C74">
        <w:t>о</w:t>
      </w:r>
      <w:r w:rsidRPr="00994C74">
        <w:t>вать ее действия в соответствии с положениями Пакта. В частности, автор о</w:t>
      </w:r>
      <w:r w:rsidRPr="00994C74">
        <w:t>б</w:t>
      </w:r>
      <w:r w:rsidRPr="00994C74">
        <w:t>ращала внимание суда на статьи 26 и 27 Венской конвенции о праве междун</w:t>
      </w:r>
      <w:r w:rsidRPr="00994C74">
        <w:t>а</w:t>
      </w:r>
      <w:r w:rsidRPr="00994C74">
        <w:t>родных договоров, в соответствии с которыми положения договоров должны добросовестно выполняться, а их участники не могут ссылаться на положения своего внутреннего права в качестве оправдания для невыполнения договора. Она напоминает</w:t>
      </w:r>
      <w:r w:rsidRPr="002174E5">
        <w:t xml:space="preserve"> </w:t>
      </w:r>
      <w:r w:rsidRPr="00994C74">
        <w:t>также, что в соответствии со статьей 15 Закона о междунаро</w:t>
      </w:r>
      <w:r w:rsidRPr="00994C74">
        <w:t>д</w:t>
      </w:r>
      <w:r w:rsidRPr="00994C74">
        <w:t>ных договорах общепризнанные принципы международного права и междун</w:t>
      </w:r>
      <w:r w:rsidRPr="00994C74">
        <w:t>а</w:t>
      </w:r>
      <w:r w:rsidRPr="00994C74">
        <w:t>родных договоров, участницей которых является Беларусь, составляют неот</w:t>
      </w:r>
      <w:r w:rsidRPr="00994C74">
        <w:t>ъ</w:t>
      </w:r>
      <w:r w:rsidRPr="00994C74">
        <w:t xml:space="preserve">емлемую часть </w:t>
      </w:r>
      <w:r>
        <w:t>внутригосударственного законодательства</w:t>
      </w:r>
      <w:r w:rsidRPr="00994C74">
        <w:t>.</w:t>
      </w:r>
    </w:p>
    <w:p w:rsidR="00AE69EE" w:rsidRPr="00994C74" w:rsidRDefault="00AE69EE" w:rsidP="006475F4">
      <w:pPr>
        <w:pStyle w:val="H23GR"/>
      </w:pPr>
      <w:r>
        <w:tab/>
      </w:r>
      <w:r>
        <w:tab/>
      </w:r>
      <w:r w:rsidRPr="00994C74">
        <w:t>Жалоба</w:t>
      </w:r>
    </w:p>
    <w:p w:rsidR="00AE69EE" w:rsidRPr="00994C74" w:rsidRDefault="00AE69EE" w:rsidP="006475F4">
      <w:pPr>
        <w:pStyle w:val="SingleTxtGR"/>
      </w:pPr>
      <w:r w:rsidRPr="00994C74">
        <w:t>3.</w:t>
      </w:r>
      <w:r w:rsidRPr="00994C74">
        <w:tab/>
        <w:t xml:space="preserve">Автор утверждает, что указанные выше факты </w:t>
      </w:r>
      <w:r>
        <w:t>пред</w:t>
      </w:r>
      <w:r w:rsidRPr="00994C74">
        <w:t xml:space="preserve">ставляют </w:t>
      </w:r>
      <w:r>
        <w:t xml:space="preserve">собой </w:t>
      </w:r>
      <w:r w:rsidRPr="00994C74">
        <w:t>нар</w:t>
      </w:r>
      <w:r w:rsidRPr="00994C74">
        <w:t>у</w:t>
      </w:r>
      <w:r w:rsidRPr="00994C74">
        <w:t>шение ее прав, предусмотренных пунктом 2 статьи 19 Пакта. Она добавляет, что положения Закона о массовых мероприятиях, ограничивающие право на свободн</w:t>
      </w:r>
      <w:r>
        <w:t>ое распространение</w:t>
      </w:r>
      <w:r w:rsidRPr="00994C74">
        <w:t xml:space="preserve"> информации, противоречат международным обяз</w:t>
      </w:r>
      <w:r w:rsidRPr="00994C74">
        <w:t>а</w:t>
      </w:r>
      <w:r w:rsidRPr="00994C74">
        <w:t>тельствам Беларуси, поскольку данные ограничения не являются необходим</w:t>
      </w:r>
      <w:r w:rsidRPr="00994C74">
        <w:t>ы</w:t>
      </w:r>
      <w:r w:rsidRPr="00994C74">
        <w:t xml:space="preserve">ми </w:t>
      </w:r>
      <w:proofErr w:type="spellStart"/>
      <w:r w:rsidRPr="00994C74">
        <w:rPr>
          <w:iCs/>
        </w:rPr>
        <w:t>a</w:t>
      </w:r>
      <w:proofErr w:type="spellEnd"/>
      <w:r w:rsidRPr="00994C74">
        <w:t xml:space="preserve">) для уважения прав и репутации других лиц; </w:t>
      </w:r>
      <w:proofErr w:type="spellStart"/>
      <w:r w:rsidRPr="00994C74">
        <w:rPr>
          <w:iCs/>
        </w:rPr>
        <w:t>b</w:t>
      </w:r>
      <w:proofErr w:type="spellEnd"/>
      <w:r w:rsidRPr="00994C74">
        <w:t>) для охраны государстве</w:t>
      </w:r>
      <w:r w:rsidRPr="00994C74">
        <w:t>н</w:t>
      </w:r>
      <w:r w:rsidRPr="00994C74">
        <w:t>ной безопасности, общественного порядка, здоровья или нравственности нас</w:t>
      </w:r>
      <w:r w:rsidRPr="00994C74">
        <w:t>е</w:t>
      </w:r>
      <w:r w:rsidRPr="00994C74">
        <w:t xml:space="preserve">ления. Она </w:t>
      </w:r>
      <w:r>
        <w:t>заявляет</w:t>
      </w:r>
      <w:r w:rsidRPr="00994C74">
        <w:t>, что требования национального законодательства против</w:t>
      </w:r>
      <w:r w:rsidRPr="00994C74">
        <w:t>о</w:t>
      </w:r>
      <w:r w:rsidRPr="00994C74">
        <w:t>речат статье 19 Пакта и являются недопустимым ограничением ее права на св</w:t>
      </w:r>
      <w:r w:rsidRPr="00994C74">
        <w:t>о</w:t>
      </w:r>
      <w:r w:rsidRPr="00994C74">
        <w:t>бодное выражение мнений, включая свободу распространять информацию в с</w:t>
      </w:r>
      <w:r w:rsidRPr="00994C74">
        <w:t>о</w:t>
      </w:r>
      <w:r w:rsidRPr="00994C74">
        <w:t>ответствии с пунктом 2 статьи 19.</w:t>
      </w:r>
    </w:p>
    <w:p w:rsidR="00AE69EE" w:rsidRPr="00994C74" w:rsidRDefault="00AE69EE" w:rsidP="006475F4">
      <w:pPr>
        <w:pStyle w:val="H23GR"/>
      </w:pPr>
      <w:r>
        <w:tab/>
      </w:r>
      <w:r>
        <w:tab/>
      </w:r>
      <w:r w:rsidRPr="00994C74">
        <w:t>Замечания государства-участника по поводу приемлемости и по существу сообщения</w:t>
      </w:r>
    </w:p>
    <w:p w:rsidR="00AE69EE" w:rsidRPr="00994C74" w:rsidRDefault="00AE69EE" w:rsidP="006475F4">
      <w:pPr>
        <w:pStyle w:val="SingleTxtGR"/>
      </w:pPr>
      <w:r w:rsidRPr="00994C74">
        <w:t>4.1</w:t>
      </w:r>
      <w:r w:rsidRPr="00994C74">
        <w:tab/>
        <w:t xml:space="preserve">19 февраля 2009 года государство-участник представило свои замечания по поводу приемлемости и </w:t>
      </w:r>
      <w:r>
        <w:t xml:space="preserve">по </w:t>
      </w:r>
      <w:r w:rsidRPr="00994C74">
        <w:t>существ</w:t>
      </w:r>
      <w:r>
        <w:t>у</w:t>
      </w:r>
      <w:r w:rsidRPr="00994C74">
        <w:t xml:space="preserve"> сообщения. Оно сообщает, что 17 марта 2008 года г-жа </w:t>
      </w:r>
      <w:proofErr w:type="spellStart"/>
      <w:r w:rsidRPr="00994C74">
        <w:t>Тулженкова</w:t>
      </w:r>
      <w:proofErr w:type="spellEnd"/>
      <w:r w:rsidRPr="00994C74">
        <w:t xml:space="preserve"> была привлечена к административной ответственн</w:t>
      </w:r>
      <w:r w:rsidRPr="00994C74">
        <w:t>о</w:t>
      </w:r>
      <w:r w:rsidRPr="00994C74">
        <w:t>сти в соответствии с частью 1 статьи 23.</w:t>
      </w:r>
      <w:r w:rsidR="00F970D2" w:rsidRPr="00F970D2">
        <w:t>3</w:t>
      </w:r>
      <w:r w:rsidRPr="00994C74">
        <w:t>4 Кодекса об административных пр</w:t>
      </w:r>
      <w:r w:rsidRPr="00994C74">
        <w:t>а</w:t>
      </w:r>
      <w:r w:rsidRPr="00994C74">
        <w:t xml:space="preserve">вонарушениях Беларуси за нарушение </w:t>
      </w:r>
      <w:r>
        <w:t>установленного порядка</w:t>
      </w:r>
      <w:r w:rsidRPr="00994C74">
        <w:t xml:space="preserve"> организации и проведения массовых мероприятий. Согласно статье 8 Закона о массовых мер</w:t>
      </w:r>
      <w:r w:rsidRPr="00994C74">
        <w:t>о</w:t>
      </w:r>
      <w:r w:rsidRPr="00994C74">
        <w:t>приятиях от 20 декабря 1997 года, до получения разрешения на проведение массового мероприятия его организатор (организаторы)</w:t>
      </w:r>
      <w:r>
        <w:t>, а также иные</w:t>
      </w:r>
      <w:r w:rsidRPr="00994C74">
        <w:t xml:space="preserve"> лица не вправе объя</w:t>
      </w:r>
      <w:r w:rsidRPr="00994C74">
        <w:t>в</w:t>
      </w:r>
      <w:r w:rsidRPr="00994C74">
        <w:t>лять в средствах массовой информации о дате, месте и времени его проведения, изготавливать и распространять с этой целью листо</w:t>
      </w:r>
      <w:r w:rsidRPr="00994C74">
        <w:t>в</w:t>
      </w:r>
      <w:r w:rsidRPr="00994C74">
        <w:t xml:space="preserve">ки, плакаты и иные материалы. Во время распространения г-жой </w:t>
      </w:r>
      <w:proofErr w:type="spellStart"/>
      <w:r w:rsidRPr="00994C74">
        <w:t>Тулженковой</w:t>
      </w:r>
      <w:proofErr w:type="spellEnd"/>
      <w:r w:rsidRPr="00994C74">
        <w:t xml:space="preserve"> листовок, в к</w:t>
      </w:r>
      <w:r w:rsidRPr="00994C74">
        <w:t>о</w:t>
      </w:r>
      <w:r w:rsidRPr="00994C74">
        <w:t>торых содержал</w:t>
      </w:r>
      <w:r>
        <w:t>ась информация о</w:t>
      </w:r>
      <w:r w:rsidRPr="00994C74">
        <w:t xml:space="preserve"> проведени</w:t>
      </w:r>
      <w:r>
        <w:t>и</w:t>
      </w:r>
      <w:r w:rsidRPr="00994C74">
        <w:t xml:space="preserve"> массового мероприятия 25 ма</w:t>
      </w:r>
      <w:r w:rsidRPr="00994C74">
        <w:t>р</w:t>
      </w:r>
      <w:r w:rsidRPr="00994C74">
        <w:t xml:space="preserve">та 2008 года, соответствующее разрешение получено не было. Поэтому г-же </w:t>
      </w:r>
      <w:proofErr w:type="spellStart"/>
      <w:r w:rsidRPr="00994C74">
        <w:t>Ту</w:t>
      </w:r>
      <w:r w:rsidRPr="00994C74">
        <w:t>л</w:t>
      </w:r>
      <w:r w:rsidRPr="00994C74">
        <w:t>женковой</w:t>
      </w:r>
      <w:proofErr w:type="spellEnd"/>
      <w:r w:rsidRPr="00994C74">
        <w:t xml:space="preserve"> было назначено административное наказание в соответствии с </w:t>
      </w:r>
      <w:r>
        <w:t>треб</w:t>
      </w:r>
      <w:r>
        <w:t>о</w:t>
      </w:r>
      <w:r>
        <w:t>ваниями</w:t>
      </w:r>
      <w:r w:rsidRPr="00994C74">
        <w:t xml:space="preserve"> национального закон</w:t>
      </w:r>
      <w:r w:rsidRPr="00994C74">
        <w:t>о</w:t>
      </w:r>
      <w:r w:rsidRPr="00994C74">
        <w:t>дательства.</w:t>
      </w:r>
    </w:p>
    <w:p w:rsidR="00AE69EE" w:rsidRPr="00994C74" w:rsidRDefault="00AE69EE" w:rsidP="006475F4">
      <w:pPr>
        <w:pStyle w:val="SingleTxtGR"/>
      </w:pPr>
      <w:r w:rsidRPr="00994C74">
        <w:t>4.2</w:t>
      </w:r>
      <w:r w:rsidRPr="00994C74">
        <w:tab/>
        <w:t>Государство-участник сообщает</w:t>
      </w:r>
      <w:r w:rsidRPr="00A0159A">
        <w:t xml:space="preserve"> </w:t>
      </w:r>
      <w:r w:rsidRPr="00994C74">
        <w:t>также, что в соответствии с национал</w:t>
      </w:r>
      <w:r w:rsidRPr="00994C74">
        <w:t>ь</w:t>
      </w:r>
      <w:r w:rsidRPr="00994C74">
        <w:t xml:space="preserve">ным законодательством г-жа </w:t>
      </w:r>
      <w:proofErr w:type="spellStart"/>
      <w:r w:rsidRPr="00994C74">
        <w:t>Тулженкова</w:t>
      </w:r>
      <w:proofErr w:type="spellEnd"/>
      <w:r w:rsidRPr="00994C74">
        <w:t xml:space="preserve"> </w:t>
      </w:r>
      <w:r>
        <w:t>имела возможность</w:t>
      </w:r>
      <w:r w:rsidRPr="00994C74">
        <w:t xml:space="preserve"> подать апелляцию на решение </w:t>
      </w:r>
      <w:r>
        <w:t>с</w:t>
      </w:r>
      <w:r w:rsidRPr="00994C74">
        <w:t>уда Центрального района города Гомел</w:t>
      </w:r>
      <w:r>
        <w:t>я</w:t>
      </w:r>
      <w:r w:rsidRPr="00994C74">
        <w:t xml:space="preserve"> Председателю Верховн</w:t>
      </w:r>
      <w:r w:rsidRPr="00994C74">
        <w:t>о</w:t>
      </w:r>
      <w:r w:rsidRPr="00994C74">
        <w:t>го суда, а также подать ходатайство Генеральному прокурору с просьбой предст</w:t>
      </w:r>
      <w:r w:rsidRPr="00994C74">
        <w:t>а</w:t>
      </w:r>
      <w:r w:rsidRPr="00994C74">
        <w:t>вить протест Председателю Верховного суда. Решение Председателя Верховн</w:t>
      </w:r>
      <w:r w:rsidRPr="00994C74">
        <w:t>о</w:t>
      </w:r>
      <w:r w:rsidRPr="00994C74">
        <w:t>го суда является окончательным и дальнейшему обжалованию не подлежит. В</w:t>
      </w:r>
      <w:r>
        <w:t> </w:t>
      </w:r>
      <w:r w:rsidRPr="00994C74">
        <w:t>соответствии с частями 3 и 4 статьи 12.11 Процессуально-исполнительного кодекса об административных нарушениях жалоба (протест) на вступившее в законную силу постановление по делу об административном правонарушении может быть подана в течение шести месяцев со дня вступления в законную с</w:t>
      </w:r>
      <w:r w:rsidRPr="00994C74">
        <w:t>и</w:t>
      </w:r>
      <w:r w:rsidRPr="00994C74">
        <w:t>лу постановления. Жалоба, поданная по истечении указанного срока, рассмо</w:t>
      </w:r>
      <w:r w:rsidRPr="00994C74">
        <w:t>т</w:t>
      </w:r>
      <w:r w:rsidRPr="00994C74">
        <w:t>рению не подлежит. Автор не подавала жалобу в прокуратуру. Следовательно, она не исчерпала все имеющиеся вну</w:t>
      </w:r>
      <w:r w:rsidRPr="00994C74">
        <w:t>т</w:t>
      </w:r>
      <w:r w:rsidRPr="00994C74">
        <w:t>ренние средства правовой защиты, и нет никаких оснований полагать, что применение этих средств правовой защиты было недоступным и</w:t>
      </w:r>
      <w:r>
        <w:t>ли</w:t>
      </w:r>
      <w:r w:rsidRPr="00994C74">
        <w:t xml:space="preserve"> неэффекти</w:t>
      </w:r>
      <w:r w:rsidRPr="00994C74">
        <w:t>в</w:t>
      </w:r>
      <w:r w:rsidRPr="00994C74">
        <w:t>ным.</w:t>
      </w:r>
    </w:p>
    <w:p w:rsidR="00AE69EE" w:rsidRPr="00994C74" w:rsidRDefault="00AE69EE" w:rsidP="006475F4">
      <w:pPr>
        <w:pStyle w:val="H23GR"/>
      </w:pPr>
      <w:r>
        <w:tab/>
      </w:r>
      <w:r>
        <w:tab/>
      </w:r>
      <w:r w:rsidRPr="00994C74">
        <w:t>Комментарии автора по поводу замечаний государства-участника</w:t>
      </w:r>
    </w:p>
    <w:p w:rsidR="00AE69EE" w:rsidRPr="00994C74" w:rsidRDefault="00AE69EE" w:rsidP="006475F4">
      <w:pPr>
        <w:pStyle w:val="SingleTxtGR"/>
      </w:pPr>
      <w:r w:rsidRPr="00994C74">
        <w:t>5.1</w:t>
      </w:r>
      <w:r w:rsidRPr="00994C74">
        <w:tab/>
        <w:t>В своих комментариях от 11 апреля 2009 года автор сообщает, что гос</w:t>
      </w:r>
      <w:r w:rsidRPr="00994C74">
        <w:t>у</w:t>
      </w:r>
      <w:r w:rsidRPr="00994C74">
        <w:t>дарство-участник в своих замечаниях не указало, по какой причине предусмо</w:t>
      </w:r>
      <w:r w:rsidRPr="00994C74">
        <w:t>т</w:t>
      </w:r>
      <w:r w:rsidRPr="00994C74">
        <w:t>ренное национальным законодательством требов</w:t>
      </w:r>
      <w:r w:rsidRPr="00994C74">
        <w:t>а</w:t>
      </w:r>
      <w:r w:rsidRPr="00994C74">
        <w:t>ние о получении разрешения на проведение мирного собрания с целью распространения информации в ее конкретном случае можно считать допустимым ограничением ее права по смыслу пункта 3 статьи 19 Пакта. Несмотря на намерения законодательных о</w:t>
      </w:r>
      <w:r w:rsidRPr="00994C74">
        <w:t>р</w:t>
      </w:r>
      <w:r w:rsidRPr="00994C74">
        <w:t>ганов, национальный закон может сам по себе нар</w:t>
      </w:r>
      <w:r w:rsidRPr="00994C74">
        <w:t>у</w:t>
      </w:r>
      <w:r w:rsidRPr="00994C74">
        <w:t xml:space="preserve">шать положения Пакта, если </w:t>
      </w:r>
      <w:r>
        <w:t xml:space="preserve">в результате </w:t>
      </w:r>
      <w:r w:rsidRPr="00994C74">
        <w:t>его применени</w:t>
      </w:r>
      <w:r>
        <w:t>я</w:t>
      </w:r>
      <w:r w:rsidRPr="00994C74">
        <w:t xml:space="preserve"> огранич</w:t>
      </w:r>
      <w:r>
        <w:t>иваются</w:t>
      </w:r>
      <w:r w:rsidRPr="00994C74">
        <w:t xml:space="preserve"> или наруш</w:t>
      </w:r>
      <w:r>
        <w:t>аются права и свободы</w:t>
      </w:r>
      <w:r w:rsidRPr="00994C74">
        <w:t>, гарантированны</w:t>
      </w:r>
      <w:r>
        <w:t>е</w:t>
      </w:r>
      <w:r w:rsidRPr="00994C74">
        <w:t xml:space="preserve"> Пактом.</w:t>
      </w:r>
    </w:p>
    <w:p w:rsidR="00AE69EE" w:rsidRPr="00F0414A" w:rsidRDefault="00AE69EE" w:rsidP="006475F4">
      <w:pPr>
        <w:pStyle w:val="SingleTxtGR"/>
      </w:pPr>
      <w:r w:rsidRPr="00F0414A">
        <w:t>5.2</w:t>
      </w:r>
      <w:r w:rsidRPr="00F0414A">
        <w:tab/>
        <w:t>Что касается утверждения государства-участника о том, что она не и</w:t>
      </w:r>
      <w:r w:rsidRPr="00F0414A">
        <w:t>с</w:t>
      </w:r>
      <w:r w:rsidRPr="00F0414A">
        <w:t xml:space="preserve">черпала все доступные внутренние средства правовой защиты, </w:t>
      </w:r>
      <w:r>
        <w:t xml:space="preserve">то </w:t>
      </w:r>
      <w:r w:rsidRPr="00F0414A">
        <w:t>автор отмеч</w:t>
      </w:r>
      <w:r w:rsidRPr="00F0414A">
        <w:t>а</w:t>
      </w:r>
      <w:r w:rsidRPr="00F0414A">
        <w:t>ет, что в соответствии с практикой Комитета в государствах, в которых реш</w:t>
      </w:r>
      <w:r w:rsidRPr="00F0414A">
        <w:t>е</w:t>
      </w:r>
      <w:r w:rsidRPr="00F0414A">
        <w:t>ния, принимаемые в порядке пересмотра судебных постановлений в рамках проц</w:t>
      </w:r>
      <w:r w:rsidRPr="00F0414A">
        <w:t>е</w:t>
      </w:r>
      <w:r w:rsidRPr="00F0414A">
        <w:t>дуры надзора, зависят от усмотрения ограниченного числа должностных лиц, исчерпание внутренних средств правовой защиты ограничено кассацио</w:t>
      </w:r>
      <w:r w:rsidRPr="00F0414A">
        <w:t>н</w:t>
      </w:r>
      <w:r w:rsidRPr="00F0414A">
        <w:t xml:space="preserve">ной процедурой. Автор напоминает </w:t>
      </w:r>
      <w:r>
        <w:t>дале</w:t>
      </w:r>
      <w:r w:rsidRPr="00F0414A">
        <w:t>е, что воспользовалась правом подачи апелляции Председателю Верховного суда Беларуси. Вместе с тем она не пре</w:t>
      </w:r>
      <w:r w:rsidRPr="00F0414A">
        <w:t>д</w:t>
      </w:r>
      <w:r w:rsidRPr="00F0414A">
        <w:t>ставила надзорную жалобу в прокуратуру, поскольку это не является эффекти</w:t>
      </w:r>
      <w:r w:rsidRPr="00F0414A">
        <w:t>в</w:t>
      </w:r>
      <w:r w:rsidRPr="00F0414A">
        <w:t>ным внутренним средством правовой защиты. Она напоминает также, что в с</w:t>
      </w:r>
      <w:r w:rsidRPr="00F0414A">
        <w:t>о</w:t>
      </w:r>
      <w:r w:rsidRPr="00F0414A">
        <w:t>ответствии со сложившейся практикой Комитета по правам человека внутре</w:t>
      </w:r>
      <w:r w:rsidRPr="00F0414A">
        <w:t>н</w:t>
      </w:r>
      <w:r w:rsidRPr="00F0414A">
        <w:t xml:space="preserve">ние средства правовой защиты должны быть исчерпаны </w:t>
      </w:r>
      <w:r>
        <w:t xml:space="preserve">только в той </w:t>
      </w:r>
      <w:r w:rsidRPr="00F0414A">
        <w:t>степени, в</w:t>
      </w:r>
      <w:r>
        <w:t> </w:t>
      </w:r>
      <w:r w:rsidRPr="00F0414A">
        <w:t>какой их можно считать доступными и эффективными. Поэтому все внутре</w:t>
      </w:r>
      <w:r w:rsidRPr="00F0414A">
        <w:t>н</w:t>
      </w:r>
      <w:r w:rsidRPr="00F0414A">
        <w:t>ние средства правовой защиты были исчерпаны после того, как суд рассмотрел ее кассационную жалобу.</w:t>
      </w:r>
    </w:p>
    <w:p w:rsidR="00AE69EE" w:rsidRPr="00F0414A" w:rsidRDefault="00AE69EE" w:rsidP="006475F4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 w:rsidRPr="00F0414A">
        <w:t>Дополнительные замечания государства-участника</w:t>
      </w:r>
    </w:p>
    <w:p w:rsidR="00AE69EE" w:rsidRPr="00F0414A" w:rsidRDefault="00AE69EE" w:rsidP="006475F4">
      <w:pPr>
        <w:pStyle w:val="SingleTxtGR"/>
      </w:pPr>
      <w:r w:rsidRPr="00F0414A">
        <w:t>6.1</w:t>
      </w:r>
      <w:r w:rsidRPr="00F0414A">
        <w:tab/>
        <w:t>26 мая 2009 года государство-участник сообщило, что статьей 35 Конст</w:t>
      </w:r>
      <w:r w:rsidRPr="00F0414A">
        <w:t>и</w:t>
      </w:r>
      <w:r w:rsidRPr="00F0414A">
        <w:t>туции гарантирована свобода собраний, митингов, уличных шествий, демонс</w:t>
      </w:r>
      <w:r w:rsidRPr="00F0414A">
        <w:t>т</w:t>
      </w:r>
      <w:r w:rsidRPr="00F0414A">
        <w:t>раций и пикетирования, не нарушающих правопорядок и права других граждан. П</w:t>
      </w:r>
      <w:r>
        <w:t>орядок</w:t>
      </w:r>
      <w:r w:rsidRPr="00F0414A">
        <w:t xml:space="preserve"> проведения таких мероприятий </w:t>
      </w:r>
      <w:r>
        <w:t>определяется</w:t>
      </w:r>
      <w:r w:rsidRPr="00F0414A">
        <w:t xml:space="preserve"> законом. В связи </w:t>
      </w:r>
      <w:r>
        <w:t xml:space="preserve">с </w:t>
      </w:r>
      <w:r w:rsidRPr="00F0414A">
        <w:t>эт</w:t>
      </w:r>
      <w:r>
        <w:t>им</w:t>
      </w:r>
      <w:r w:rsidRPr="00F0414A">
        <w:t xml:space="preserve"> положения Закона о массовых мероприятиях направлены на создание условий для осуществления конституционных прав и свобод граждан и защиты общес</w:t>
      </w:r>
      <w:r w:rsidRPr="00F0414A">
        <w:t>т</w:t>
      </w:r>
      <w:r w:rsidRPr="00F0414A">
        <w:t>венной безопасности и общественного порядка во время проведения таких м</w:t>
      </w:r>
      <w:r w:rsidRPr="00F0414A">
        <w:t>е</w:t>
      </w:r>
      <w:r w:rsidRPr="00F0414A">
        <w:t>роприятий на улица</w:t>
      </w:r>
      <w:r>
        <w:t>х</w:t>
      </w:r>
      <w:r w:rsidRPr="00F0414A">
        <w:t>, площадях и в других общественных местах. Государс</w:t>
      </w:r>
      <w:r w:rsidRPr="00F0414A">
        <w:t>т</w:t>
      </w:r>
      <w:r w:rsidRPr="00F0414A">
        <w:t>во-участник далее повторяет информацию, представленную в его предыдущих з</w:t>
      </w:r>
      <w:r w:rsidRPr="00F0414A">
        <w:t>а</w:t>
      </w:r>
      <w:r w:rsidRPr="00F0414A">
        <w:t xml:space="preserve">мечаниях (см. пункт 4.1 выше), </w:t>
      </w:r>
      <w:r>
        <w:t xml:space="preserve">относительно </w:t>
      </w:r>
      <w:r w:rsidRPr="00F0414A">
        <w:t xml:space="preserve">правового основания </w:t>
      </w:r>
      <w:r>
        <w:t xml:space="preserve">для </w:t>
      </w:r>
      <w:r w:rsidRPr="00F0414A">
        <w:t>админ</w:t>
      </w:r>
      <w:r w:rsidRPr="00F0414A">
        <w:t>и</w:t>
      </w:r>
      <w:r w:rsidRPr="00F0414A">
        <w:t>стративн</w:t>
      </w:r>
      <w:r>
        <w:t>ого наказания</w:t>
      </w:r>
      <w:r w:rsidRPr="00F0414A">
        <w:t>, назначенн</w:t>
      </w:r>
      <w:r>
        <w:t>ого</w:t>
      </w:r>
      <w:r w:rsidRPr="00F0414A">
        <w:t xml:space="preserve"> автору, и напоминает о том, что во время распространения г-жой Тулженковой листовок с призывом о проведении масс</w:t>
      </w:r>
      <w:r w:rsidRPr="00F0414A">
        <w:t>о</w:t>
      </w:r>
      <w:r w:rsidRPr="00F0414A">
        <w:t xml:space="preserve">вого мероприятия 25 марта 2008 года никакого разрешения на </w:t>
      </w:r>
      <w:r>
        <w:t xml:space="preserve">проведение </w:t>
      </w:r>
      <w:r w:rsidRPr="00F0414A">
        <w:t>да</w:t>
      </w:r>
      <w:r w:rsidRPr="00F0414A">
        <w:t>н</w:t>
      </w:r>
      <w:r w:rsidRPr="00F0414A">
        <w:t>ного мероприятия получено не было, поэтому она была привлечена к админ</w:t>
      </w:r>
      <w:r w:rsidRPr="00F0414A">
        <w:t>и</w:t>
      </w:r>
      <w:r w:rsidRPr="00F0414A">
        <w:t xml:space="preserve">стративной ответственности в соответствии с </w:t>
      </w:r>
      <w:r>
        <w:t xml:space="preserve">требованиями </w:t>
      </w:r>
      <w:r w:rsidRPr="00F0414A">
        <w:t>национального з</w:t>
      </w:r>
      <w:r w:rsidRPr="00F0414A">
        <w:t>а</w:t>
      </w:r>
      <w:r w:rsidRPr="00F0414A">
        <w:t>конодательства.</w:t>
      </w:r>
    </w:p>
    <w:p w:rsidR="00AE69EE" w:rsidRPr="00F0414A" w:rsidRDefault="00AE69EE" w:rsidP="006475F4">
      <w:pPr>
        <w:pStyle w:val="SingleTxtGR"/>
      </w:pPr>
      <w:r w:rsidRPr="00F0414A">
        <w:t>6.2</w:t>
      </w:r>
      <w:r w:rsidRPr="00F0414A">
        <w:tab/>
        <w:t>Государство-участник сообщает далее, что в соответствии с пунктом</w:t>
      </w:r>
      <w:r>
        <w:t> </w:t>
      </w:r>
      <w:r w:rsidRPr="00F0414A">
        <w:t>2 статьи 19 Пакта каждый человек имеет право на свободное выражение своего мнения; это право включает свободу искать, получать и распространять всякого рода информацию и идеи, независимо от государственных границ, устно, пис</w:t>
      </w:r>
      <w:r w:rsidRPr="00F0414A">
        <w:t>ь</w:t>
      </w:r>
      <w:r w:rsidRPr="00F0414A">
        <w:t>менно или посредством печати или художественных форм выражения, или иными способами по своему выбору. Вместе с тем пункт 3 статьи 19 Пакта н</w:t>
      </w:r>
      <w:r w:rsidRPr="00F0414A">
        <w:t>а</w:t>
      </w:r>
      <w:r w:rsidRPr="00F0414A">
        <w:t>лагает на правообладателей особые обязанности и особую ответственность</w:t>
      </w:r>
      <w:r>
        <w:t>;</w:t>
      </w:r>
      <w:r w:rsidRPr="00F0414A">
        <w:t xml:space="preserve"> следовательно, право на свободное выражение мнения может быть сопряжено с</w:t>
      </w:r>
      <w:r>
        <w:t> </w:t>
      </w:r>
      <w:r w:rsidRPr="00F0414A">
        <w:t>некоторыми ограничениями, которые, однако, должны быть установлены з</w:t>
      </w:r>
      <w:r w:rsidRPr="00F0414A">
        <w:t>а</w:t>
      </w:r>
      <w:r w:rsidRPr="00F0414A">
        <w:t>коном и являться необходимыми: a) для уважения прав и репутации других лиц;</w:t>
      </w:r>
      <w:r>
        <w:t xml:space="preserve"> </w:t>
      </w:r>
      <w:r w:rsidRPr="00F0414A">
        <w:t>b)</w:t>
      </w:r>
      <w:r>
        <w:t> </w:t>
      </w:r>
      <w:r w:rsidRPr="00F0414A">
        <w:t>для охраны государственной безопасности, общественного порядка, здор</w:t>
      </w:r>
      <w:r w:rsidRPr="00F0414A">
        <w:t>о</w:t>
      </w:r>
      <w:r w:rsidRPr="00F0414A">
        <w:t>вья или нравственности населения. В статье 21 Пакта признается право на ми</w:t>
      </w:r>
      <w:r w:rsidRPr="00F0414A">
        <w:t>р</w:t>
      </w:r>
      <w:r w:rsidRPr="00F0414A">
        <w:t>ные собрания. Пользование этим правом не подлежит никаким ограничениям, кроме тех, которые налагаются в соответствии с законом и которые необходимы в д</w:t>
      </w:r>
      <w:r w:rsidRPr="00F0414A">
        <w:t>е</w:t>
      </w:r>
      <w:r w:rsidRPr="00F0414A">
        <w:t>мократическом обществе в интересах государственной или общественной без</w:t>
      </w:r>
      <w:r w:rsidRPr="00F0414A">
        <w:t>о</w:t>
      </w:r>
      <w:r w:rsidRPr="00F0414A">
        <w:t>пасности, общественного порядка, охраны здоровья и нравственности насел</w:t>
      </w:r>
      <w:r w:rsidRPr="00F0414A">
        <w:t>е</w:t>
      </w:r>
      <w:r w:rsidRPr="00F0414A">
        <w:t>ния или защиты прав и свобод других лиц.</w:t>
      </w:r>
    </w:p>
    <w:p w:rsidR="00AE69EE" w:rsidRPr="00F0414A" w:rsidRDefault="00AE69EE" w:rsidP="006475F4">
      <w:pPr>
        <w:pStyle w:val="SingleTxtGR"/>
      </w:pPr>
      <w:r w:rsidRPr="00F0414A">
        <w:t>6.3</w:t>
      </w:r>
      <w:r w:rsidRPr="00F0414A">
        <w:tab/>
        <w:t>Республика Беларусь, будучи государством</w:t>
      </w:r>
      <w:r w:rsidR="00FA125C" w:rsidRPr="00FA125C">
        <w:t xml:space="preserve"> − </w:t>
      </w:r>
      <w:r w:rsidRPr="00F0414A">
        <w:t>участником Пакта, включ</w:t>
      </w:r>
      <w:r w:rsidRPr="00F0414A">
        <w:t>и</w:t>
      </w:r>
      <w:r w:rsidRPr="00F0414A">
        <w:t>л</w:t>
      </w:r>
      <w:r>
        <w:t>а</w:t>
      </w:r>
      <w:r w:rsidRPr="00F0414A">
        <w:t xml:space="preserve"> положения статей 19 и 21 в сво</w:t>
      </w:r>
      <w:r>
        <w:t>ю внутреннюю</w:t>
      </w:r>
      <w:r w:rsidRPr="00F0414A">
        <w:t xml:space="preserve"> право</w:t>
      </w:r>
      <w:r>
        <w:t>вую систему</w:t>
      </w:r>
      <w:r w:rsidRPr="00F0414A">
        <w:t>. В соотве</w:t>
      </w:r>
      <w:r w:rsidRPr="00F0414A">
        <w:t>т</w:t>
      </w:r>
      <w:r w:rsidRPr="00F0414A">
        <w:t>ствии со статьей 23 Конституции ограничение прав и свобод личности допуск</w:t>
      </w:r>
      <w:r w:rsidRPr="00F0414A">
        <w:t>а</w:t>
      </w:r>
      <w:r w:rsidRPr="00F0414A">
        <w:t>ется только в случаях, предусмотренных законом, в интересах национальной безопасности, общественного порядка, защиты нравственности, здоровья нас</w:t>
      </w:r>
      <w:r w:rsidRPr="00F0414A">
        <w:t>е</w:t>
      </w:r>
      <w:r w:rsidRPr="00F0414A">
        <w:t>ления, прав и свобод других лиц. Анализ статьи 35 Конституции, гарантиру</w:t>
      </w:r>
      <w:r w:rsidRPr="00F0414A">
        <w:t>ю</w:t>
      </w:r>
      <w:r w:rsidRPr="00F0414A">
        <w:t>щей право на свободу общественных мероприятий, я</w:t>
      </w:r>
      <w:r>
        <w:t>с</w:t>
      </w:r>
      <w:r w:rsidRPr="00F0414A">
        <w:t xml:space="preserve">но свидетельствует о том, что Конституция создает </w:t>
      </w:r>
      <w:r>
        <w:t xml:space="preserve">законодательную </w:t>
      </w:r>
      <w:r w:rsidRPr="00F0414A">
        <w:t xml:space="preserve">основу </w:t>
      </w:r>
      <w:r>
        <w:t xml:space="preserve">порядка </w:t>
      </w:r>
      <w:r w:rsidRPr="00F0414A">
        <w:t>проведения таких мероприятий. В настоящее время порядок организации и проведения со</w:t>
      </w:r>
      <w:r w:rsidRPr="00F0414A">
        <w:t>б</w:t>
      </w:r>
      <w:r w:rsidRPr="00F0414A">
        <w:t>раний, митингов, уличных шествий, демонстраций и пикет</w:t>
      </w:r>
      <w:r>
        <w:t>ирования</w:t>
      </w:r>
      <w:r w:rsidRPr="00F0414A">
        <w:t xml:space="preserve"> регламе</w:t>
      </w:r>
      <w:r w:rsidRPr="00F0414A">
        <w:t>н</w:t>
      </w:r>
      <w:r w:rsidRPr="00F0414A">
        <w:t>тирован Законом о массовых мероприятиях от 7 августа 2003 года. Свобода в</w:t>
      </w:r>
      <w:r w:rsidRPr="00F0414A">
        <w:t>ы</w:t>
      </w:r>
      <w:r w:rsidRPr="00F0414A">
        <w:t>ражения мнений, гарантированная Конституцией, может подлежать ограничениям тол</w:t>
      </w:r>
      <w:r w:rsidRPr="00F0414A">
        <w:t>ь</w:t>
      </w:r>
      <w:r w:rsidRPr="00F0414A">
        <w:t>ко в предусмотренных законом случаях в интересах национальной безопасн</w:t>
      </w:r>
      <w:r w:rsidRPr="00F0414A">
        <w:t>о</w:t>
      </w:r>
      <w:r w:rsidRPr="00F0414A">
        <w:t>сти, общественного порядка, защиты нравственности</w:t>
      </w:r>
      <w:r>
        <w:t xml:space="preserve"> и</w:t>
      </w:r>
      <w:r w:rsidRPr="00F0414A">
        <w:t xml:space="preserve"> здоровья н</w:t>
      </w:r>
      <w:r w:rsidRPr="00F0414A">
        <w:t>а</w:t>
      </w:r>
      <w:r w:rsidRPr="00F0414A">
        <w:t>селения, а</w:t>
      </w:r>
      <w:r>
        <w:t> </w:t>
      </w:r>
      <w:r w:rsidRPr="00F0414A">
        <w:t>также прав и свобод других лиц. Следовательно, ограничения, предусмотре</w:t>
      </w:r>
      <w:r w:rsidRPr="00F0414A">
        <w:t>н</w:t>
      </w:r>
      <w:r w:rsidRPr="00F0414A">
        <w:t>ные белорусским законодательством, не противоречат международным обяз</w:t>
      </w:r>
      <w:r w:rsidRPr="00F0414A">
        <w:t>а</w:t>
      </w:r>
      <w:r w:rsidRPr="00F0414A">
        <w:t>тельствам государства и имеют своей целью защиту национальной безопасн</w:t>
      </w:r>
      <w:r w:rsidRPr="00F0414A">
        <w:t>о</w:t>
      </w:r>
      <w:r w:rsidRPr="00F0414A">
        <w:t>сти и общественного порядка</w:t>
      </w:r>
      <w:r>
        <w:t>;</w:t>
      </w:r>
      <w:r w:rsidRPr="00F0414A">
        <w:t xml:space="preserve"> это, в частности, касается положений ст</w:t>
      </w:r>
      <w:r w:rsidRPr="00F0414A">
        <w:t>а</w:t>
      </w:r>
      <w:r w:rsidRPr="00F0414A">
        <w:t>тьи</w:t>
      </w:r>
      <w:r w:rsidR="00FA125C">
        <w:rPr>
          <w:lang w:val="en-US"/>
        </w:rPr>
        <w:t> </w:t>
      </w:r>
      <w:r w:rsidRPr="00F0414A">
        <w:t>23.34 Кодекса об административных нарушениях Республики Беларусь и статьи 8 Закона о массовых м</w:t>
      </w:r>
      <w:r w:rsidRPr="00F0414A">
        <w:t>е</w:t>
      </w:r>
      <w:r w:rsidRPr="00F0414A">
        <w:t>роприятиях.</w:t>
      </w:r>
    </w:p>
    <w:p w:rsidR="00AE69EE" w:rsidRPr="00F0414A" w:rsidRDefault="00AE69EE" w:rsidP="006475F4">
      <w:pPr>
        <w:pStyle w:val="H23GR"/>
      </w:pPr>
      <w:r w:rsidRPr="006F1F0B">
        <w:tab/>
      </w:r>
      <w:r w:rsidRPr="006F1F0B">
        <w:tab/>
      </w:r>
      <w:r w:rsidRPr="00F0414A">
        <w:t>Дополнительные замечания автора</w:t>
      </w:r>
    </w:p>
    <w:p w:rsidR="00AE69EE" w:rsidRDefault="00AE69EE" w:rsidP="006475F4">
      <w:pPr>
        <w:pStyle w:val="SingleTxtGR"/>
      </w:pPr>
      <w:r w:rsidRPr="00F0414A">
        <w:t>7.1</w:t>
      </w:r>
      <w:r w:rsidRPr="00F0414A">
        <w:tab/>
        <w:t>В письме от 14 ноября 2009 года автор опровергает доводы государства-участника о том, что назначенн</w:t>
      </w:r>
      <w:r>
        <w:t>о</w:t>
      </w:r>
      <w:r w:rsidRPr="00F0414A">
        <w:t>е ей административн</w:t>
      </w:r>
      <w:r>
        <w:t xml:space="preserve">ое наказание за нарушение порядка </w:t>
      </w:r>
      <w:r w:rsidRPr="00F0414A">
        <w:t>организации и проведения массовых мероприятий предусмот</w:t>
      </w:r>
      <w:r>
        <w:t>рено</w:t>
      </w:r>
      <w:r w:rsidRPr="00F0414A">
        <w:t xml:space="preserve"> з</w:t>
      </w:r>
      <w:r w:rsidRPr="00F0414A">
        <w:t>а</w:t>
      </w:r>
      <w:r w:rsidRPr="00F0414A">
        <w:t>коном и соответству</w:t>
      </w:r>
      <w:r w:rsidR="00FA125C">
        <w:t>е</w:t>
      </w:r>
      <w:r w:rsidRPr="00F0414A">
        <w:t>т допустимым ограничениям, установленным в статье 19 Пакта. Беларусь обязана уважать и обеспечивать всем находящимся на ее те</w:t>
      </w:r>
      <w:r w:rsidRPr="00F0414A">
        <w:t>р</w:t>
      </w:r>
      <w:r w:rsidRPr="00F0414A">
        <w:t>ритории и под ее юрисдикцией лицам пр</w:t>
      </w:r>
      <w:r w:rsidRPr="00F0414A">
        <w:t>а</w:t>
      </w:r>
      <w:r w:rsidRPr="00F0414A">
        <w:t>ва, признаваемые в Пакте, а также принять необходимые меры в соответствии со своими конституционными пр</w:t>
      </w:r>
      <w:r w:rsidRPr="00F0414A">
        <w:t>о</w:t>
      </w:r>
      <w:r w:rsidRPr="00F0414A">
        <w:t xml:space="preserve">цедурами и положениями </w:t>
      </w:r>
      <w:r>
        <w:t>этого</w:t>
      </w:r>
      <w:r w:rsidRPr="00F0414A">
        <w:t xml:space="preserve"> Пакта для принятия таких законодательных или других мер, которые могут оказаться необходимыми для осуществления прав, признаваемых в Пакте. </w:t>
      </w:r>
      <w:r>
        <w:t>П</w:t>
      </w:r>
      <w:r w:rsidRPr="00F0414A">
        <w:t>редусмотренное</w:t>
      </w:r>
      <w:r w:rsidRPr="00DE3D74">
        <w:t xml:space="preserve"> </w:t>
      </w:r>
      <w:r w:rsidRPr="00F0414A">
        <w:t>в статье 8 Закона о массовых мер</w:t>
      </w:r>
      <w:r w:rsidRPr="00F0414A">
        <w:t>о</w:t>
      </w:r>
      <w:r w:rsidRPr="00F0414A">
        <w:t>приятиях</w:t>
      </w:r>
      <w:r w:rsidRPr="00DE3D74">
        <w:t xml:space="preserve"> </w:t>
      </w:r>
      <w:r>
        <w:t>о</w:t>
      </w:r>
      <w:r w:rsidRPr="00F0414A">
        <w:t>граничение, в соответствии с которым до получения разрешения на проведение мероприятия запрещено объявлять в средствах массовой информ</w:t>
      </w:r>
      <w:r w:rsidRPr="00F0414A">
        <w:t>а</w:t>
      </w:r>
      <w:r w:rsidRPr="00F0414A">
        <w:t>ции</w:t>
      </w:r>
      <w:r>
        <w:t xml:space="preserve"> </w:t>
      </w:r>
      <w:r w:rsidRPr="00F0414A">
        <w:t>о дате, месте и времени его проведения, изготавливать и распространять с этой целью листовки, плакаты и иные материалы, не является необходимым для уважения прав и репутации других лиц, защиты национальной безопасности или общественного порядка, здоровья</w:t>
      </w:r>
      <w:r>
        <w:t xml:space="preserve"> </w:t>
      </w:r>
      <w:r w:rsidRPr="00F0414A">
        <w:t>и нравственности</w:t>
      </w:r>
      <w:r>
        <w:t xml:space="preserve"> населения</w:t>
      </w:r>
      <w:r w:rsidRPr="00F0414A">
        <w:t>, и поэтому каждый раз</w:t>
      </w:r>
      <w:r>
        <w:t>,</w:t>
      </w:r>
      <w:r w:rsidRPr="00F0414A">
        <w:t xml:space="preserve"> когда применяется данное положение, происходит нарушение пункта 2 ст</w:t>
      </w:r>
      <w:r w:rsidRPr="00F0414A">
        <w:t>а</w:t>
      </w:r>
      <w:r w:rsidRPr="00F0414A">
        <w:t>тьи 19 Пакта.</w:t>
      </w:r>
    </w:p>
    <w:p w:rsidR="00AE69EE" w:rsidRPr="00F97260" w:rsidRDefault="00AE69EE" w:rsidP="006475F4">
      <w:pPr>
        <w:pStyle w:val="SingleTxtGR"/>
      </w:pPr>
      <w:r w:rsidRPr="00F97260">
        <w:t>7.2</w:t>
      </w:r>
      <w:r w:rsidRPr="00F97260">
        <w:tab/>
        <w:t>Автор не согласна с точкой зрения государства-участника о том, что п</w:t>
      </w:r>
      <w:r w:rsidRPr="00F97260">
        <w:t>о</w:t>
      </w:r>
      <w:r w:rsidRPr="00F97260">
        <w:t>скольку ограничения права на свободное выражение мнений, предусмотренные национальным законодательством, направлены на охрану национальной без</w:t>
      </w:r>
      <w:r w:rsidRPr="00F97260">
        <w:t>о</w:t>
      </w:r>
      <w:r w:rsidRPr="00F97260">
        <w:t>пасности и общественного порядка, то они не противоречат международным обязательствам Беларуси. Этот довод был бы состоятельным только в том сл</w:t>
      </w:r>
      <w:r w:rsidRPr="00F97260">
        <w:t>у</w:t>
      </w:r>
      <w:r w:rsidRPr="00F97260">
        <w:t>чае, если бы национальные суды квалифицировали ее действия как подпада</w:t>
      </w:r>
      <w:r w:rsidRPr="00F97260">
        <w:t>ю</w:t>
      </w:r>
      <w:r w:rsidRPr="00F97260">
        <w:t>щие под какое-либо из допустимых ограничений по смыслу статьи 19. П</w:t>
      </w:r>
      <w:r w:rsidRPr="00F97260">
        <w:t>о</w:t>
      </w:r>
      <w:r w:rsidRPr="00F97260">
        <w:t>скольку государство-участник не представило оснований, по которым запрещ</w:t>
      </w:r>
      <w:r w:rsidRPr="00F97260">
        <w:t>е</w:t>
      </w:r>
      <w:r w:rsidRPr="00F97260">
        <w:t>ние подготовки и распространения информации о предстоящем массовом мер</w:t>
      </w:r>
      <w:r w:rsidRPr="00F97260">
        <w:t>о</w:t>
      </w:r>
      <w:r w:rsidRPr="00F97260">
        <w:t>приятии было необходимым в силу одной из причин, установленных в пункте 3 статьи 19, такое ограничение нарушает ее права, предусмотренные статьей 19 Пакта. Налагаемые государством-участником ограничения на осуществление свободы выражения мнений не должны ставить под угрозу само право, и гос</w:t>
      </w:r>
      <w:r w:rsidRPr="00F97260">
        <w:t>у</w:t>
      </w:r>
      <w:r w:rsidRPr="00F97260">
        <w:t>дарство должно каждый раз обосновывать "необходимость" устанавливаемых ограничений для достижения одной из законных целей.</w:t>
      </w:r>
    </w:p>
    <w:p w:rsidR="00AE69EE" w:rsidRPr="00F97260" w:rsidRDefault="00AE69EE" w:rsidP="006475F4">
      <w:pPr>
        <w:pStyle w:val="H23GR"/>
      </w:pPr>
      <w:r>
        <w:tab/>
      </w:r>
      <w:r>
        <w:tab/>
      </w:r>
      <w:r w:rsidRPr="00F97260">
        <w:t>Вопросы и процедура их рассмотрения в Комитете</w:t>
      </w:r>
    </w:p>
    <w:p w:rsidR="00AE69EE" w:rsidRPr="00F97260" w:rsidRDefault="00AE69EE" w:rsidP="006475F4">
      <w:pPr>
        <w:pStyle w:val="H23GR"/>
      </w:pPr>
      <w:r>
        <w:tab/>
      </w:r>
      <w:r>
        <w:tab/>
      </w:r>
      <w:r w:rsidRPr="00F97260">
        <w:t>Рассмотрение вопроса о приемлемости</w:t>
      </w:r>
    </w:p>
    <w:p w:rsidR="00AE69EE" w:rsidRPr="00F97260" w:rsidRDefault="00AE69EE" w:rsidP="006475F4">
      <w:pPr>
        <w:pStyle w:val="SingleTxtGR"/>
      </w:pPr>
      <w:r w:rsidRPr="00F97260">
        <w:t>8.1</w:t>
      </w:r>
      <w:r w:rsidRPr="00F97260">
        <w:tab/>
        <w:t>Прежде чем рассматривать какое-либо содержащееся в сообщении у</w:t>
      </w:r>
      <w:r w:rsidRPr="00F97260">
        <w:t>т</w:t>
      </w:r>
      <w:r w:rsidRPr="00F97260">
        <w:t>верждение, Комитет по правам человека должен в соответствии с правилом 93</w:t>
      </w:r>
      <w:r>
        <w:t xml:space="preserve"> </w:t>
      </w:r>
      <w:r w:rsidRPr="00F97260">
        <w:t>своих правил процедуры принять решение о том, является ли это сообщение приемлемым согласно Факультативному протоколу к Пакту о гражданских и политических правах.</w:t>
      </w:r>
    </w:p>
    <w:p w:rsidR="00AE69EE" w:rsidRPr="00F97260" w:rsidRDefault="00AE69EE" w:rsidP="006475F4">
      <w:pPr>
        <w:pStyle w:val="SingleTxtGR"/>
      </w:pPr>
      <w:r w:rsidRPr="00F97260">
        <w:t>8.2</w:t>
      </w:r>
      <w:r w:rsidRPr="00F97260">
        <w:tab/>
        <w:t>Во исполнение пункта 2 a) статьи 5 Факультативного протокола Комитет</w:t>
      </w:r>
      <w:r>
        <w:t xml:space="preserve"> </w:t>
      </w:r>
      <w:r w:rsidRPr="00F97260">
        <w:t>удостоверился в том, что этот же вопрос не рассматривается в соответствии с другой процедурой ме</w:t>
      </w:r>
      <w:r w:rsidRPr="00F97260">
        <w:t>ж</w:t>
      </w:r>
      <w:r w:rsidRPr="00F97260">
        <w:t>дународного разбирательства или урегулирования.</w:t>
      </w:r>
    </w:p>
    <w:p w:rsidR="00AE69EE" w:rsidRPr="00F97260" w:rsidRDefault="00AE69EE" w:rsidP="006475F4">
      <w:pPr>
        <w:pStyle w:val="SingleTxtGR"/>
      </w:pPr>
      <w:r w:rsidRPr="00F97260">
        <w:t>8.3</w:t>
      </w:r>
      <w:r w:rsidRPr="00F97260">
        <w:tab/>
        <w:t>Что касается требования, предусмотренного в пункте 2 b) статьи 5 Ф</w:t>
      </w:r>
      <w:r w:rsidRPr="00F97260">
        <w:t>а</w:t>
      </w:r>
      <w:r w:rsidRPr="00F97260">
        <w:t>культативного протокола, то Комитет принимает во внимание довод государс</w:t>
      </w:r>
      <w:r w:rsidRPr="00F97260">
        <w:t>т</w:t>
      </w:r>
      <w:r w:rsidRPr="00F97260">
        <w:t>ва-участника о том, что автор не подала надзорную жалобу Генеральному пр</w:t>
      </w:r>
      <w:r w:rsidRPr="00F97260">
        <w:t>о</w:t>
      </w:r>
      <w:r w:rsidRPr="00F97260">
        <w:t>курору, чтобы он представил протест Председателю Верховного суда, и поэтому не исчерпала все доступные внутренние средства правовой защиты. Комитет отмечает также пояснения автора о том, что ее жалоба в порядке надзора была отклонена Председателем Верховного суда Беларуси и что она не подавала ж</w:t>
      </w:r>
      <w:r w:rsidRPr="00F97260">
        <w:t>а</w:t>
      </w:r>
      <w:r w:rsidRPr="00F97260">
        <w:t>лобу в прокуратуру, так как надзорное производство не является эффективным средством правовой защиты. В этой связи Комитет напоминает о своей практ</w:t>
      </w:r>
      <w:r w:rsidRPr="00F97260">
        <w:t>и</w:t>
      </w:r>
      <w:r w:rsidRPr="00F97260">
        <w:t>ке, согласно которой процедуры пересмотра в порядке надзора вступивших в силу решений суда представляют собой чрезвычайное средство обжалования, которое зависит от дискреционных полномочий судьи или прокурора и огран</w:t>
      </w:r>
      <w:r w:rsidRPr="00F97260">
        <w:t>и</w:t>
      </w:r>
      <w:r w:rsidRPr="00F97260">
        <w:t>чивается рассмотрением лишь правовых вопросов</w:t>
      </w:r>
      <w:r>
        <w:rPr>
          <w:rStyle w:val="FootnoteReference"/>
        </w:rPr>
        <w:footnoteReference w:id="3"/>
      </w:r>
      <w:r>
        <w:t>.</w:t>
      </w:r>
      <w:r w:rsidRPr="00F97260">
        <w:t xml:space="preserve"> С учетом этих обсто</w:t>
      </w:r>
      <w:r w:rsidRPr="00F97260">
        <w:t>я</w:t>
      </w:r>
      <w:r w:rsidRPr="00F97260">
        <w:t>тельств Комитет считает, что в рассматриваемом случае он не имеет препятс</w:t>
      </w:r>
      <w:r w:rsidRPr="00F97260">
        <w:t>т</w:t>
      </w:r>
      <w:r w:rsidRPr="00F97260">
        <w:t>вий с точки зрения требований пункта 2 b) статьи 5 Факультативного проток</w:t>
      </w:r>
      <w:r w:rsidRPr="00F97260">
        <w:t>о</w:t>
      </w:r>
      <w:r w:rsidRPr="00F97260">
        <w:t>ла, касающихся приемлемости, для рассмотрения данного сообщения.</w:t>
      </w:r>
    </w:p>
    <w:p w:rsidR="00AE69EE" w:rsidRPr="00F97260" w:rsidRDefault="00AE69EE" w:rsidP="006475F4">
      <w:pPr>
        <w:pStyle w:val="SingleTxtGR"/>
      </w:pPr>
      <w:r w:rsidRPr="00F97260">
        <w:t>8.4</w:t>
      </w:r>
      <w:r w:rsidRPr="00F97260">
        <w:tab/>
        <w:t>Комитет считает, что автор сообщения достаточно обосновала свои у</w:t>
      </w:r>
      <w:r w:rsidRPr="00F97260">
        <w:t>т</w:t>
      </w:r>
      <w:r w:rsidRPr="00F97260">
        <w:t>верждения о нарушении пункта 2 статьи 19 Пакта для целей приемлемости. Учитывая выполнение всех других требований в отношении приемлемости, Комитет признает данное сообщение приемлемым и приступает к его рассмо</w:t>
      </w:r>
      <w:r w:rsidRPr="00F97260">
        <w:t>т</w:t>
      </w:r>
      <w:r w:rsidRPr="00F97260">
        <w:t>рению по существу.</w:t>
      </w:r>
    </w:p>
    <w:p w:rsidR="00AE69EE" w:rsidRPr="00F97260" w:rsidRDefault="00AE69EE" w:rsidP="006475F4">
      <w:pPr>
        <w:pStyle w:val="H23GR"/>
      </w:pPr>
      <w:r>
        <w:tab/>
      </w:r>
      <w:r>
        <w:tab/>
      </w:r>
      <w:r w:rsidRPr="00F97260">
        <w:t>Рассмотрение сообщения по существу</w:t>
      </w:r>
    </w:p>
    <w:p w:rsidR="00AE69EE" w:rsidRPr="00F97260" w:rsidRDefault="00AE69EE" w:rsidP="006475F4">
      <w:pPr>
        <w:pStyle w:val="SingleTxtGR"/>
      </w:pPr>
      <w:r w:rsidRPr="00F97260">
        <w:t>9.1</w:t>
      </w:r>
      <w:r w:rsidRPr="00F97260">
        <w:tab/>
        <w:t>Комитет по правам человека рассмотрел настоящее сообщение в свете всех данных, представле</w:t>
      </w:r>
      <w:r w:rsidRPr="00F97260">
        <w:t>н</w:t>
      </w:r>
      <w:r w:rsidRPr="00F97260">
        <w:t>ных ему сторонами, как это предусмотрено в пункте 1 статьи 5 Факультативного протокола.</w:t>
      </w:r>
    </w:p>
    <w:p w:rsidR="00AE69EE" w:rsidRPr="00F97260" w:rsidRDefault="00AE69EE" w:rsidP="006475F4">
      <w:pPr>
        <w:pStyle w:val="SingleTxtGR"/>
      </w:pPr>
      <w:r w:rsidRPr="00F97260">
        <w:t>9.2</w:t>
      </w:r>
      <w:r w:rsidRPr="00F97260">
        <w:tab/>
        <w:t>Комитет отмечает утверждения автора о том, что назначенное ей админ</w:t>
      </w:r>
      <w:r w:rsidRPr="00F97260">
        <w:t>и</w:t>
      </w:r>
      <w:r w:rsidRPr="00F97260">
        <w:t>стративное наказание за распространение листовок с информацией о предсто</w:t>
      </w:r>
      <w:r w:rsidRPr="00F97260">
        <w:t>я</w:t>
      </w:r>
      <w:r w:rsidRPr="00F97260">
        <w:t>щем мирном собрании до получения разрешения на его проведение в соотве</w:t>
      </w:r>
      <w:r w:rsidRPr="00F97260">
        <w:t>т</w:t>
      </w:r>
      <w:r w:rsidRPr="00F97260">
        <w:t>ствии с требованием национального законодательства является необоснова</w:t>
      </w:r>
      <w:r w:rsidRPr="00F97260">
        <w:t>н</w:t>
      </w:r>
      <w:r w:rsidRPr="00F97260">
        <w:t>ным ограничением ее свободы распространять информацию, которая защищ</w:t>
      </w:r>
      <w:r w:rsidRPr="00F97260">
        <w:t>а</w:t>
      </w:r>
      <w:r w:rsidRPr="00F97260">
        <w:t>ется пунктом 2 статьи 19 Пакта. Он отмечает далее утверждение государства-участника о том, что автор была привлечена к административной ответственн</w:t>
      </w:r>
      <w:r w:rsidRPr="00F97260">
        <w:t>о</w:t>
      </w:r>
      <w:r w:rsidRPr="00F97260">
        <w:t>сти в соответствии с требованиями национального законодательства за наруш</w:t>
      </w:r>
      <w:r w:rsidRPr="00F97260">
        <w:t>е</w:t>
      </w:r>
      <w:r w:rsidRPr="00F97260">
        <w:t>ние порядка организации и проведения массовых мероприятий. В настоящем деле Комитет до</w:t>
      </w:r>
      <w:r w:rsidRPr="00F97260">
        <w:t>л</w:t>
      </w:r>
      <w:r w:rsidRPr="00F97260">
        <w:t>жен рассмотреть вопрос о том, отвечает ли ограничение права автора на свободное выражение мнений какому-либо из критериев, установле</w:t>
      </w:r>
      <w:r w:rsidRPr="00F97260">
        <w:t>н</w:t>
      </w:r>
      <w:r w:rsidRPr="00F97260">
        <w:t>ных в пункте 3 статьи 19. Комитет отмечает, что в статье 19 предусмотрены о</w:t>
      </w:r>
      <w:r w:rsidRPr="00F97260">
        <w:t>п</w:t>
      </w:r>
      <w:r w:rsidRPr="00F97260">
        <w:t>ределенные ограничения, которые должны быть установлены законом и являт</w:t>
      </w:r>
      <w:r w:rsidRPr="00F97260">
        <w:t>ь</w:t>
      </w:r>
      <w:r w:rsidRPr="00F97260">
        <w:t xml:space="preserve">ся необходимыми </w:t>
      </w:r>
      <w:proofErr w:type="spellStart"/>
      <w:r w:rsidRPr="00F97260">
        <w:t>a</w:t>
      </w:r>
      <w:proofErr w:type="spellEnd"/>
      <w:r w:rsidRPr="00F97260">
        <w:t>) для уважения прав и репутации других лиц и b) для охр</w:t>
      </w:r>
      <w:r w:rsidRPr="00F97260">
        <w:t>а</w:t>
      </w:r>
      <w:r w:rsidRPr="00F97260">
        <w:t>ны государственной безопасности, общественного порядка, здоровья или нравс</w:t>
      </w:r>
      <w:r w:rsidRPr="00F97260">
        <w:t>т</w:t>
      </w:r>
      <w:r w:rsidRPr="00F97260">
        <w:t>венности населения. Он напоминает, что свобода мнений и свобода их выраж</w:t>
      </w:r>
      <w:r w:rsidRPr="00F97260">
        <w:t>е</w:t>
      </w:r>
      <w:r w:rsidRPr="00F97260">
        <w:t>ния являются неотъемлемыми условиями всестороннего развития личности. Они имеют ключевое значение для любого общества и являются основопол</w:t>
      </w:r>
      <w:r w:rsidRPr="00F97260">
        <w:t>а</w:t>
      </w:r>
      <w:r w:rsidRPr="00F97260">
        <w:t>гающими элементами любого свободного и демократического общества</w:t>
      </w:r>
      <w:r>
        <w:rPr>
          <w:rStyle w:val="FootnoteReference"/>
        </w:rPr>
        <w:footnoteReference w:id="4"/>
      </w:r>
      <w:r w:rsidRPr="00F97260">
        <w:t>. Л</w:t>
      </w:r>
      <w:r w:rsidRPr="00F97260">
        <w:t>ю</w:t>
      </w:r>
      <w:r w:rsidRPr="00F97260">
        <w:t>бые ограничения этих свобод должны строго отвечать требованию необходим</w:t>
      </w:r>
      <w:r w:rsidRPr="00F97260">
        <w:t>о</w:t>
      </w:r>
      <w:r w:rsidRPr="00F97260">
        <w:t>сти и соразмерности и "устанавливаться лишь для тех целей, для которых они предназначены, и они должны быть прямо связаны с конкретной целью, дост</w:t>
      </w:r>
      <w:r w:rsidRPr="00F97260">
        <w:t>и</w:t>
      </w:r>
      <w:r w:rsidRPr="00F97260">
        <w:t>жение которой они пр</w:t>
      </w:r>
      <w:r w:rsidRPr="00F97260">
        <w:t>е</w:t>
      </w:r>
      <w:r w:rsidRPr="00F97260">
        <w:t>следуют"</w:t>
      </w:r>
      <w:r>
        <w:rPr>
          <w:rStyle w:val="FootnoteReference"/>
        </w:rPr>
        <w:footnoteReference w:id="5"/>
      </w:r>
      <w:r w:rsidRPr="00F97260">
        <w:t>.</w:t>
      </w:r>
    </w:p>
    <w:p w:rsidR="00AE69EE" w:rsidRPr="00F97260" w:rsidRDefault="00AE69EE" w:rsidP="006475F4">
      <w:pPr>
        <w:pStyle w:val="SingleTxtGR"/>
      </w:pPr>
      <w:r w:rsidRPr="00F97260">
        <w:t>9.3</w:t>
      </w:r>
      <w:r w:rsidRPr="00F97260">
        <w:tab/>
        <w:t>Комитет отмечает, что в данном случае государство-участник привело д</w:t>
      </w:r>
      <w:r w:rsidRPr="00F97260">
        <w:t>о</w:t>
      </w:r>
      <w:r w:rsidRPr="00F97260">
        <w:t>вод о том, что положения Закона о массовых мероприятиях направлены на со</w:t>
      </w:r>
      <w:r w:rsidRPr="00F97260">
        <w:t>з</w:t>
      </w:r>
      <w:r w:rsidRPr="00F97260">
        <w:t>дание условий для осуществления конституционных прав и свобод граждан и защиты общественной безопасности и общественного порядка во время пров</w:t>
      </w:r>
      <w:r w:rsidRPr="00F97260">
        <w:t>е</w:t>
      </w:r>
      <w:r w:rsidRPr="00F97260">
        <w:t>дения таких мероприятий на улицах, площадях и в других общественных ме</w:t>
      </w:r>
      <w:r w:rsidRPr="00F97260">
        <w:t>с</w:t>
      </w:r>
      <w:r w:rsidRPr="00F97260">
        <w:t>тах. Вместе с тем государство-участник не представило никаких конкретных пояснений относительно того, какую опасность может представлять заблаг</w:t>
      </w:r>
      <w:r w:rsidRPr="00F97260">
        <w:t>о</w:t>
      </w:r>
      <w:r w:rsidRPr="00F97260">
        <w:t>временное распространение информации, содержащейся в листовках автора. Комитет считает, что с учетом обстоятельств данного дела государство-участник не доказало обоснованность назначенного автору штрафа и его соо</w:t>
      </w:r>
      <w:r w:rsidRPr="00F97260">
        <w:t>т</w:t>
      </w:r>
      <w:r w:rsidRPr="00F97260">
        <w:t>ветствие какому-либо из критериев, перечисленных в пункте 3 статьи 19. П</w:t>
      </w:r>
      <w:r w:rsidRPr="00F97260">
        <w:t>о</w:t>
      </w:r>
      <w:r w:rsidRPr="00F97260">
        <w:t>этому Комитет приходит к выводу о нарушении прав автора, предусмотренных пунктом 2 статьи 19 Пакта.</w:t>
      </w:r>
    </w:p>
    <w:p w:rsidR="00AE69EE" w:rsidRPr="00F97260" w:rsidRDefault="00AE69EE" w:rsidP="006475F4">
      <w:pPr>
        <w:pStyle w:val="SingleTxtGR"/>
      </w:pPr>
      <w:r w:rsidRPr="00F97260">
        <w:t>10.</w:t>
      </w:r>
      <w:r w:rsidRPr="00F97260">
        <w:tab/>
        <w:t>Комитет по правам человека, действуя в соответствии с пунктом 4 ст</w:t>
      </w:r>
      <w:r w:rsidRPr="00F97260">
        <w:t>а</w:t>
      </w:r>
      <w:r w:rsidRPr="00F97260">
        <w:t>тьи 5 Факультативного протокола к Международному пакту о гражданских и политических правах, считает, что государство-участник нарушило права авт</w:t>
      </w:r>
      <w:r w:rsidRPr="00F97260">
        <w:t>о</w:t>
      </w:r>
      <w:r w:rsidRPr="00F97260">
        <w:t>ра, предусмотренные пунктом 2 статьи 19 Международного пакта о гражда</w:t>
      </w:r>
      <w:r w:rsidRPr="00F97260">
        <w:t>н</w:t>
      </w:r>
      <w:r w:rsidRPr="00F97260">
        <w:t>ских и политических правах.</w:t>
      </w:r>
    </w:p>
    <w:p w:rsidR="00AE69EE" w:rsidRPr="00F97260" w:rsidRDefault="00AE69EE" w:rsidP="006475F4">
      <w:pPr>
        <w:pStyle w:val="SingleTxtGR"/>
      </w:pPr>
      <w:r w:rsidRPr="00F97260">
        <w:t>11.</w:t>
      </w:r>
      <w:r w:rsidRPr="00F97260">
        <w:tab/>
        <w:t>В соответствии с пунктом 3 а) статьи 2 Пакта государство-участник об</w:t>
      </w:r>
      <w:r w:rsidRPr="00F97260">
        <w:t>я</w:t>
      </w:r>
      <w:r w:rsidRPr="00F97260">
        <w:t>зано обеспечить автору сообщения эффективное средство правовой защиты, включая возмещение суммы выплаченного штрафа по обменному курсу, дейс</w:t>
      </w:r>
      <w:r w:rsidRPr="00F97260">
        <w:t>т</w:t>
      </w:r>
      <w:r w:rsidRPr="00F97260">
        <w:t>вовавшему в марте 2008 года, и любых понесенных автором юридических и</w:t>
      </w:r>
      <w:r w:rsidRPr="00F97260">
        <w:t>з</w:t>
      </w:r>
      <w:r w:rsidRPr="00F97260">
        <w:t>держек, а также предоставить соответствующую компенсацию. Кроме того, г</w:t>
      </w:r>
      <w:r w:rsidRPr="00F97260">
        <w:t>о</w:t>
      </w:r>
      <w:r w:rsidRPr="00F97260">
        <w:t>сударство-участник обязано предпринять шаги для недопущения аналогичных нарушений в будущем.</w:t>
      </w:r>
    </w:p>
    <w:p w:rsidR="00AE69EE" w:rsidRPr="00F97260" w:rsidRDefault="00AE69EE" w:rsidP="006475F4">
      <w:pPr>
        <w:pStyle w:val="SingleTxtGR"/>
      </w:pPr>
      <w:r w:rsidRPr="00F97260">
        <w:t>12.</w:t>
      </w:r>
      <w:r w:rsidRPr="00F97260">
        <w:tab/>
        <w:t>С учетом того, что, став участником Факультативного протокола, гос</w:t>
      </w:r>
      <w:r w:rsidRPr="00F97260">
        <w:t>у</w:t>
      </w:r>
      <w:r w:rsidRPr="00F97260">
        <w:t>дарство-участник признало компетенцию Комитета выносить решения по факту наличия или отсутствия нарушений Пакта и что, согласно статье 2 Пакта, гос</w:t>
      </w:r>
      <w:r w:rsidRPr="00F97260">
        <w:t>у</w:t>
      </w:r>
      <w:r w:rsidRPr="00F97260">
        <w:t>дарство-участник обязано обеспечивать всем находящимся в пределах его те</w:t>
      </w:r>
      <w:r w:rsidRPr="00F97260">
        <w:t>р</w:t>
      </w:r>
      <w:r w:rsidRPr="00F97260">
        <w:t>ритории и под его юрисдикцией лицам признаваемые в Пакте права, Комитет хотел бы получить от государства-участника в течение 180 дней информацию о мерах, принятых во исполнение настоящих соображений. Государству-участнику предлагается также обнародовать Соображения Комитета, пер</w:t>
      </w:r>
      <w:r w:rsidRPr="00F97260">
        <w:t>е</w:t>
      </w:r>
      <w:r w:rsidRPr="00F97260">
        <w:t>вести их на белорусский язык и обеспечить их широкое распространение на двух официальных языках государства-участника.</w:t>
      </w:r>
    </w:p>
    <w:p w:rsidR="00AE69EE" w:rsidRPr="00F97260" w:rsidRDefault="00AE69EE" w:rsidP="006475F4">
      <w:pPr>
        <w:pStyle w:val="SingleTxtGR"/>
      </w:pPr>
      <w:r w:rsidRPr="00F97260">
        <w:t>[Принято на английском, испанском и французском языках, причем языком ор</w:t>
      </w:r>
      <w:r w:rsidRPr="00F97260">
        <w:t>и</w:t>
      </w:r>
      <w:r w:rsidRPr="00F97260">
        <w:t>гинала является английский. Впоследствии будет также издано на арабском, к</w:t>
      </w:r>
      <w:r w:rsidRPr="00F97260">
        <w:t>и</w:t>
      </w:r>
      <w:r w:rsidRPr="00F97260">
        <w:t>тайском и русском языках в качестве части ежегодного доклада Комитета Ген</w:t>
      </w:r>
      <w:r w:rsidRPr="00F97260">
        <w:t>е</w:t>
      </w:r>
      <w:r w:rsidRPr="00F97260">
        <w:t>ральной Ассамблее.]</w:t>
      </w:r>
    </w:p>
    <w:p w:rsidR="00AE69EE" w:rsidRPr="0008795F" w:rsidRDefault="001D4428" w:rsidP="00D90EAC">
      <w:pPr>
        <w:pStyle w:val="HChGR"/>
      </w:pPr>
      <w:r>
        <w:br w:type="page"/>
      </w:r>
      <w:r w:rsidR="00AE69EE" w:rsidRPr="0008795F">
        <w:t>Добавление</w:t>
      </w:r>
    </w:p>
    <w:p w:rsidR="00AE69EE" w:rsidRPr="0008795F" w:rsidRDefault="00AE69EE" w:rsidP="006475F4">
      <w:pPr>
        <w:pStyle w:val="H1GR"/>
      </w:pPr>
      <w:r w:rsidRPr="0008795F">
        <w:tab/>
      </w:r>
      <w:r w:rsidRPr="0008795F">
        <w:tab/>
        <w:t xml:space="preserve">Особое мнение члена Комитета г-на </w:t>
      </w:r>
      <w:proofErr w:type="spellStart"/>
      <w:r w:rsidRPr="0008795F">
        <w:t>Фабиана</w:t>
      </w:r>
      <w:proofErr w:type="spellEnd"/>
      <w:r w:rsidRPr="0008795F">
        <w:t xml:space="preserve"> </w:t>
      </w:r>
      <w:proofErr w:type="spellStart"/>
      <w:r w:rsidRPr="0008795F">
        <w:t>Сальвиоли</w:t>
      </w:r>
      <w:proofErr w:type="spellEnd"/>
      <w:r w:rsidRPr="0008795F">
        <w:t xml:space="preserve"> (со</w:t>
      </w:r>
      <w:r>
        <w:t>гласное</w:t>
      </w:r>
      <w:r w:rsidRPr="0008795F">
        <w:t>)</w:t>
      </w:r>
    </w:p>
    <w:p w:rsidR="00AE69EE" w:rsidRPr="0008795F" w:rsidRDefault="00AE69EE" w:rsidP="006475F4">
      <w:pPr>
        <w:pStyle w:val="SingleTxtGR"/>
      </w:pPr>
      <w:r w:rsidRPr="0008795F">
        <w:t>1.</w:t>
      </w:r>
      <w:r w:rsidRPr="0008795F">
        <w:tab/>
        <w:t>Я согласен с решением Комитета по правам человека по сообщ</w:t>
      </w:r>
      <w:r w:rsidRPr="0008795F">
        <w:t>е</w:t>
      </w:r>
      <w:r w:rsidRPr="0008795F">
        <w:t>нию</w:t>
      </w:r>
      <w:r>
        <w:t> </w:t>
      </w:r>
      <w:r w:rsidRPr="0008795F">
        <w:t>№</w:t>
      </w:r>
      <w:r>
        <w:t> </w:t>
      </w:r>
      <w:r w:rsidRPr="0008795F">
        <w:t xml:space="preserve">1838/2008 </w:t>
      </w:r>
      <w:proofErr w:type="spellStart"/>
      <w:r w:rsidRPr="0008795F">
        <w:rPr>
          <w:i/>
        </w:rPr>
        <w:t>Тулженкова</w:t>
      </w:r>
      <w:proofErr w:type="spellEnd"/>
      <w:r w:rsidRPr="0008795F">
        <w:rPr>
          <w:i/>
        </w:rPr>
        <w:t xml:space="preserve"> против Беларуси</w:t>
      </w:r>
      <w:r>
        <w:rPr>
          <w:i/>
        </w:rPr>
        <w:t>,</w:t>
      </w:r>
      <w:r>
        <w:t xml:space="preserve"> касающемуся</w:t>
      </w:r>
      <w:r w:rsidRPr="0008795F">
        <w:t xml:space="preserve"> нарушения ст</w:t>
      </w:r>
      <w:r w:rsidRPr="0008795F">
        <w:t>а</w:t>
      </w:r>
      <w:r w:rsidRPr="0008795F">
        <w:t>тьи</w:t>
      </w:r>
      <w:r>
        <w:t xml:space="preserve"> </w:t>
      </w:r>
      <w:r w:rsidRPr="0008795F">
        <w:t xml:space="preserve">19 Пакта, </w:t>
      </w:r>
      <w:r>
        <w:t xml:space="preserve">в отношении </w:t>
      </w:r>
      <w:r w:rsidRPr="0008795F">
        <w:t>назначения административного наказания за нар</w:t>
      </w:r>
      <w:r w:rsidRPr="0008795F">
        <w:t>у</w:t>
      </w:r>
      <w:r w:rsidRPr="0008795F">
        <w:t>шение статьи 8 Закона о массовых мероприятиях в Республике Беларусь, с</w:t>
      </w:r>
      <w:r w:rsidRPr="0008795F">
        <w:t>о</w:t>
      </w:r>
      <w:r w:rsidRPr="0008795F">
        <w:t>гласно к</w:t>
      </w:r>
      <w:r w:rsidRPr="0008795F">
        <w:t>о</w:t>
      </w:r>
      <w:r w:rsidRPr="0008795F">
        <w:t xml:space="preserve">торой </w:t>
      </w:r>
      <w:r>
        <w:t>никто</w:t>
      </w:r>
      <w:r w:rsidRPr="0008795F">
        <w:t xml:space="preserve"> не вправе объявлять</w:t>
      </w:r>
      <w:r>
        <w:t xml:space="preserve"> в средствах массовой информации </w:t>
      </w:r>
      <w:r w:rsidRPr="0008795F">
        <w:t>о дате, ме</w:t>
      </w:r>
      <w:r w:rsidRPr="0008795F">
        <w:t>с</w:t>
      </w:r>
      <w:r w:rsidRPr="0008795F">
        <w:t>те и времени проведения массового мероприятия или изготавливать и распространять листовки, плакаты и иные материалы с этой целью до получ</w:t>
      </w:r>
      <w:r w:rsidRPr="0008795F">
        <w:t>е</w:t>
      </w:r>
      <w:r w:rsidRPr="0008795F">
        <w:t xml:space="preserve">ния разрешения на </w:t>
      </w:r>
      <w:r>
        <w:t>проведение</w:t>
      </w:r>
      <w:r w:rsidRPr="0008795F">
        <w:t xml:space="preserve"> этого мер</w:t>
      </w:r>
      <w:r w:rsidRPr="0008795F">
        <w:t>о</w:t>
      </w:r>
      <w:r w:rsidRPr="0008795F">
        <w:t>приятия.</w:t>
      </w:r>
    </w:p>
    <w:p w:rsidR="00AE69EE" w:rsidRPr="0008795F" w:rsidRDefault="00AE69EE" w:rsidP="006475F4">
      <w:pPr>
        <w:pStyle w:val="SingleTxtGR"/>
      </w:pPr>
      <w:r w:rsidRPr="0008795F">
        <w:t>2.</w:t>
      </w:r>
      <w:r w:rsidRPr="0008795F">
        <w:tab/>
        <w:t xml:space="preserve">Вместе с тем по изложенным ниже причинам я считаю, что Комитету следовало постановить, что в </w:t>
      </w:r>
      <w:r>
        <w:t>данном</w:t>
      </w:r>
      <w:r w:rsidRPr="0008795F">
        <w:t xml:space="preserve"> случае государство-участник нарушило также пункт 2 статьи 2 Международного пакта о гражданских и политических правах. Комитету следовало также в своих Соображениях рекомендовать гос</w:t>
      </w:r>
      <w:r w:rsidRPr="0008795F">
        <w:t>у</w:t>
      </w:r>
      <w:r w:rsidRPr="0008795F">
        <w:t xml:space="preserve">дарству-участнику внести поправки в свое законодательство, которое было применено по отношению к автору и которое </w:t>
      </w:r>
      <w:r>
        <w:t>несовместимо с</w:t>
      </w:r>
      <w:r w:rsidRPr="0008795F">
        <w:t xml:space="preserve"> положениям</w:t>
      </w:r>
      <w:r>
        <w:t>и</w:t>
      </w:r>
      <w:r w:rsidRPr="0008795F">
        <w:t xml:space="preserve"> Пакта.</w:t>
      </w:r>
    </w:p>
    <w:p w:rsidR="00AE69EE" w:rsidRPr="0008795F" w:rsidRDefault="00AE69EE" w:rsidP="006475F4">
      <w:pPr>
        <w:pStyle w:val="SingleTxtGR"/>
      </w:pPr>
      <w:r w:rsidRPr="0008795F">
        <w:t>3.</w:t>
      </w:r>
      <w:r w:rsidRPr="0008795F">
        <w:tab/>
        <w:t>С тех пор как я стал членом Комитета, я придерживаюсь той точки зр</w:t>
      </w:r>
      <w:r w:rsidRPr="0008795F">
        <w:t>е</w:t>
      </w:r>
      <w:r w:rsidRPr="0008795F">
        <w:t>ния, что Комитет по собственно</w:t>
      </w:r>
      <w:r>
        <w:t>й воле</w:t>
      </w:r>
      <w:r w:rsidRPr="0008795F">
        <w:t xml:space="preserve"> и без видимых причин ограничил свою компетенцию </w:t>
      </w:r>
      <w:r>
        <w:t xml:space="preserve">устанавливать факты </w:t>
      </w:r>
      <w:r w:rsidRPr="0008795F">
        <w:t xml:space="preserve">нарушений Пакта в отсутствие конкретной жалобы. </w:t>
      </w:r>
      <w:r>
        <w:t>Если</w:t>
      </w:r>
      <w:r w:rsidRPr="0008795F">
        <w:t xml:space="preserve"> представленные факты я</w:t>
      </w:r>
      <w:r>
        <w:t>с</w:t>
      </w:r>
      <w:r w:rsidRPr="0008795F">
        <w:t>но свидетельствуют о таких нарушен</w:t>
      </w:r>
      <w:r w:rsidRPr="0008795F">
        <w:t>и</w:t>
      </w:r>
      <w:r w:rsidRPr="0008795F">
        <w:t xml:space="preserve">ях, Комитет может и должен в соответствии с принципом </w:t>
      </w:r>
      <w:proofErr w:type="spellStart"/>
      <w:r w:rsidRPr="0008795F">
        <w:rPr>
          <w:i/>
          <w:lang w:val="en-US"/>
        </w:rPr>
        <w:t>iura</w:t>
      </w:r>
      <w:proofErr w:type="spellEnd"/>
      <w:r w:rsidRPr="0008795F">
        <w:rPr>
          <w:i/>
        </w:rPr>
        <w:t xml:space="preserve"> </w:t>
      </w:r>
      <w:proofErr w:type="spellStart"/>
      <w:r w:rsidRPr="0008795F">
        <w:rPr>
          <w:i/>
          <w:lang w:val="en-US"/>
        </w:rPr>
        <w:t>novit</w:t>
      </w:r>
      <w:proofErr w:type="spellEnd"/>
      <w:r w:rsidRPr="0008795F">
        <w:rPr>
          <w:i/>
        </w:rPr>
        <w:t xml:space="preserve"> </w:t>
      </w:r>
      <w:r w:rsidRPr="0008795F">
        <w:rPr>
          <w:i/>
          <w:lang w:val="en-US"/>
        </w:rPr>
        <w:t>curiae</w:t>
      </w:r>
      <w:r w:rsidRPr="0008795F">
        <w:t xml:space="preserve"> ("суд знает закон") рассм</w:t>
      </w:r>
      <w:r>
        <w:t>атривать</w:t>
      </w:r>
      <w:r w:rsidRPr="0008795F">
        <w:t xml:space="preserve"> правовые аспекты дела. Правов</w:t>
      </w:r>
      <w:r>
        <w:t xml:space="preserve">ое обоснование </w:t>
      </w:r>
      <w:r w:rsidRPr="0008795F">
        <w:t xml:space="preserve">и </w:t>
      </w:r>
      <w:r>
        <w:t>объя</w:t>
      </w:r>
      <w:r w:rsidRPr="0008795F">
        <w:t>снение того, почему это не означает, что государства останутся без защиты</w:t>
      </w:r>
      <w:r>
        <w:t>,</w:t>
      </w:r>
      <w:r w:rsidRPr="0008795F">
        <w:t xml:space="preserve"> можно найти в пунктах 3</w:t>
      </w:r>
      <w:r>
        <w:t>−</w:t>
      </w:r>
      <w:r w:rsidRPr="0008795F">
        <w:t xml:space="preserve">5 моего частично несогласного особого мнения по делу </w:t>
      </w:r>
      <w:proofErr w:type="spellStart"/>
      <w:r w:rsidRPr="009751F4">
        <w:rPr>
          <w:i/>
        </w:rPr>
        <w:t>Вираванса</w:t>
      </w:r>
      <w:proofErr w:type="spellEnd"/>
      <w:r w:rsidRPr="009751F4">
        <w:rPr>
          <w:i/>
        </w:rPr>
        <w:t xml:space="preserve"> против Шри-Ланки,</w:t>
      </w:r>
      <w:r w:rsidRPr="0008795F">
        <w:t xml:space="preserve"> на которое я ссылаюсь, чтобы их не повт</w:t>
      </w:r>
      <w:r w:rsidRPr="0008795F">
        <w:t>о</w:t>
      </w:r>
      <w:r w:rsidRPr="0008795F">
        <w:t>рять</w:t>
      </w:r>
      <w:r w:rsidRPr="009751F4">
        <w:rPr>
          <w:sz w:val="18"/>
          <w:szCs w:val="18"/>
          <w:vertAlign w:val="superscript"/>
        </w:rPr>
        <w:footnoteReference w:id="6"/>
      </w:r>
      <w:r w:rsidRPr="0008795F">
        <w:t>.</w:t>
      </w:r>
    </w:p>
    <w:p w:rsidR="00AE69EE" w:rsidRPr="0008795F" w:rsidRDefault="00AE69EE" w:rsidP="006475F4">
      <w:pPr>
        <w:pStyle w:val="SingleTxtGR"/>
      </w:pPr>
      <w:r w:rsidRPr="0008795F">
        <w:t>4.</w:t>
      </w:r>
      <w:r w:rsidRPr="0008795F">
        <w:tab/>
        <w:t xml:space="preserve">Следует отметить, что в деле </w:t>
      </w:r>
      <w:proofErr w:type="spellStart"/>
      <w:r w:rsidRPr="007F30F9">
        <w:rPr>
          <w:i/>
        </w:rPr>
        <w:t>Тулженкова</w:t>
      </w:r>
      <w:proofErr w:type="spellEnd"/>
      <w:r w:rsidRPr="007F30F9">
        <w:rPr>
          <w:i/>
        </w:rPr>
        <w:t xml:space="preserve"> против Беларуси</w:t>
      </w:r>
      <w:r w:rsidRPr="0008795F">
        <w:t xml:space="preserve"> автор со ссы</w:t>
      </w:r>
      <w:r w:rsidRPr="0008795F">
        <w:t>л</w:t>
      </w:r>
      <w:r w:rsidRPr="0008795F">
        <w:t xml:space="preserve">кой на примененное по отношению к ней законодательство утверждает, что "национальный закон может сам по себе нарушать положения Пакта, если </w:t>
      </w:r>
      <w:r>
        <w:t>в р</w:t>
      </w:r>
      <w:r>
        <w:t>е</w:t>
      </w:r>
      <w:r>
        <w:t xml:space="preserve">зультате </w:t>
      </w:r>
      <w:r w:rsidRPr="0008795F">
        <w:t>его применени</w:t>
      </w:r>
      <w:r>
        <w:t>я</w:t>
      </w:r>
      <w:r w:rsidRPr="0008795F">
        <w:t xml:space="preserve"> огранич</w:t>
      </w:r>
      <w:r>
        <w:t>иваются</w:t>
      </w:r>
      <w:r w:rsidRPr="0008795F">
        <w:t xml:space="preserve"> или наруш</w:t>
      </w:r>
      <w:r>
        <w:t>аются</w:t>
      </w:r>
      <w:r w:rsidRPr="0008795F">
        <w:t xml:space="preserve"> прав</w:t>
      </w:r>
      <w:r>
        <w:t>а</w:t>
      </w:r>
      <w:r w:rsidRPr="0008795F">
        <w:t xml:space="preserve"> и свобод</w:t>
      </w:r>
      <w:r>
        <w:t>ы</w:t>
      </w:r>
      <w:r w:rsidRPr="0008795F">
        <w:t>, г</w:t>
      </w:r>
      <w:r w:rsidRPr="0008795F">
        <w:t>а</w:t>
      </w:r>
      <w:r w:rsidRPr="0008795F">
        <w:t>рантир</w:t>
      </w:r>
      <w:r>
        <w:t>ованные</w:t>
      </w:r>
      <w:r w:rsidRPr="0008795F">
        <w:t xml:space="preserve"> Пактом".</w:t>
      </w:r>
    </w:p>
    <w:p w:rsidR="00AE69EE" w:rsidRPr="0008795F" w:rsidRDefault="00AE69EE" w:rsidP="006475F4">
      <w:pPr>
        <w:pStyle w:val="H23GR"/>
      </w:pPr>
      <w:r>
        <w:tab/>
      </w:r>
      <w:r w:rsidRPr="0008795F">
        <w:t>а)</w:t>
      </w:r>
      <w:r w:rsidRPr="0008795F">
        <w:tab/>
        <w:t>Нарушение пункта 2 статьи 2 Пакта</w:t>
      </w:r>
    </w:p>
    <w:p w:rsidR="00AE69EE" w:rsidRPr="0008795F" w:rsidRDefault="00AE69EE" w:rsidP="006475F4">
      <w:pPr>
        <w:pStyle w:val="SingleTxtGR"/>
      </w:pPr>
      <w:r w:rsidRPr="0008795F">
        <w:t>5.</w:t>
      </w:r>
      <w:r w:rsidRPr="0008795F">
        <w:tab/>
        <w:t>Международная ответственность государства может наступить, в частн</w:t>
      </w:r>
      <w:r w:rsidRPr="0008795F">
        <w:t>о</w:t>
      </w:r>
      <w:r w:rsidRPr="0008795F">
        <w:t>сти, в результате действия или бездействия любой из его ветвей власти, вкл</w:t>
      </w:r>
      <w:r w:rsidRPr="0008795F">
        <w:t>ю</w:t>
      </w:r>
      <w:r w:rsidRPr="0008795F">
        <w:t>чая, разумеется, законодательную власть или любые другие органы, облада</w:t>
      </w:r>
      <w:r w:rsidRPr="0008795F">
        <w:t>ю</w:t>
      </w:r>
      <w:r w:rsidRPr="0008795F">
        <w:t xml:space="preserve">щие законодательными полномочиями в соответствии с Конституцией. </w:t>
      </w:r>
      <w:r>
        <w:t>В п</w:t>
      </w:r>
      <w:r w:rsidRPr="0008795F">
        <w:t>ун</w:t>
      </w:r>
      <w:r w:rsidRPr="0008795F">
        <w:t>к</w:t>
      </w:r>
      <w:r w:rsidRPr="0008795F">
        <w:t>т</w:t>
      </w:r>
      <w:r>
        <w:t>е</w:t>
      </w:r>
      <w:r w:rsidRPr="0008795F">
        <w:t xml:space="preserve"> 2 статьи 2 Пакта устанавливает</w:t>
      </w:r>
      <w:r>
        <w:t>ся</w:t>
      </w:r>
      <w:r w:rsidRPr="0008795F">
        <w:t>:</w:t>
      </w:r>
      <w:r>
        <w:t xml:space="preserve"> </w:t>
      </w:r>
      <w:r w:rsidRPr="0008795F">
        <w:t>"Если это уже не предусмотрено сущес</w:t>
      </w:r>
      <w:r w:rsidRPr="0008795F">
        <w:t>т</w:t>
      </w:r>
      <w:r w:rsidRPr="0008795F">
        <w:t>вующими законодательными или другими мерами, каждое участвующее в н</w:t>
      </w:r>
      <w:r w:rsidRPr="0008795F">
        <w:t>а</w:t>
      </w:r>
      <w:r w:rsidRPr="0008795F">
        <w:t>стоящем Пакте Государство обязуется принять необходимые меры в соответс</w:t>
      </w:r>
      <w:r w:rsidRPr="0008795F">
        <w:t>т</w:t>
      </w:r>
      <w:r w:rsidRPr="0008795F">
        <w:t>вии со своими конституционными процедурами и положениями настоящего Пакта для принятия таких законодательных или других мер, которые могут ок</w:t>
      </w:r>
      <w:r w:rsidRPr="0008795F">
        <w:t>а</w:t>
      </w:r>
      <w:r w:rsidRPr="0008795F">
        <w:t>заться необходимыми для осущес</w:t>
      </w:r>
      <w:r w:rsidRPr="0008795F">
        <w:t>т</w:t>
      </w:r>
      <w:r w:rsidRPr="0008795F">
        <w:t>вления прав, признаваемых в настоящем Пакте". Хотя обязательство, предусмотренное в пункте 2 статьи 2</w:t>
      </w:r>
      <w:r>
        <w:t>,</w:t>
      </w:r>
      <w:r w:rsidRPr="0008795F">
        <w:t xml:space="preserve"> носит общий характер, его невыполнение может повлечь </w:t>
      </w:r>
      <w:r>
        <w:t xml:space="preserve">за собой </w:t>
      </w:r>
      <w:r w:rsidRPr="0008795F">
        <w:t>международную ответс</w:t>
      </w:r>
      <w:r w:rsidRPr="0008795F">
        <w:t>т</w:t>
      </w:r>
      <w:r w:rsidRPr="0008795F">
        <w:t>венность государс</w:t>
      </w:r>
      <w:r w:rsidRPr="0008795F">
        <w:t>т</w:t>
      </w:r>
      <w:r w:rsidRPr="0008795F">
        <w:t>ва-участника.</w:t>
      </w:r>
    </w:p>
    <w:p w:rsidR="00AE69EE" w:rsidRPr="0008795F" w:rsidRDefault="00AE69EE" w:rsidP="006475F4">
      <w:pPr>
        <w:pStyle w:val="SingleTxtGR"/>
      </w:pPr>
      <w:r w:rsidRPr="0008795F">
        <w:t>6.</w:t>
      </w:r>
      <w:r w:rsidRPr="0008795F">
        <w:tab/>
        <w:t>Данное положение само по себе обладает исполнительной силой, Ком</w:t>
      </w:r>
      <w:r w:rsidRPr="0008795F">
        <w:t>и</w:t>
      </w:r>
      <w:r w:rsidRPr="0008795F">
        <w:t>тет</w:t>
      </w:r>
      <w:r>
        <w:t xml:space="preserve"> совершенно</w:t>
      </w:r>
      <w:r w:rsidRPr="0008795F">
        <w:t xml:space="preserve"> верно указал в своем замечании общего порядка № 31: "</w:t>
      </w:r>
      <w:r>
        <w:t>О</w:t>
      </w:r>
      <w:r w:rsidRPr="0008795F">
        <w:t>бяз</w:t>
      </w:r>
      <w:r w:rsidRPr="0008795F">
        <w:t>а</w:t>
      </w:r>
      <w:r w:rsidRPr="0008795F">
        <w:t>тельства по Пакту в целом и по статье 2 в частности являются юридически об</w:t>
      </w:r>
      <w:r w:rsidRPr="0008795F">
        <w:t>я</w:t>
      </w:r>
      <w:r w:rsidRPr="0008795F">
        <w:t>зательными для каждого государства-участника в целом.</w:t>
      </w:r>
      <w:r>
        <w:t xml:space="preserve"> </w:t>
      </w:r>
      <w:r w:rsidRPr="0008795F">
        <w:t>Действия всех ветвей государственного управления (исполнительной, законодательной и суде</w:t>
      </w:r>
      <w:r w:rsidRPr="0008795F">
        <w:t>б</w:t>
      </w:r>
      <w:r w:rsidRPr="0008795F">
        <w:t>ной) и других органов государственной или правительственной власти любого уровня (национального, регионального или местного) могут повлечь за собой ответс</w:t>
      </w:r>
      <w:r w:rsidRPr="0008795F">
        <w:t>т</w:t>
      </w:r>
      <w:r w:rsidRPr="0008795F">
        <w:t>венность государства-участника"</w:t>
      </w:r>
      <w:r w:rsidRPr="00D11480">
        <w:rPr>
          <w:sz w:val="18"/>
          <w:szCs w:val="18"/>
          <w:vertAlign w:val="superscript"/>
        </w:rPr>
        <w:footnoteReference w:id="7"/>
      </w:r>
      <w:r w:rsidRPr="0008795F">
        <w:t>.</w:t>
      </w:r>
    </w:p>
    <w:p w:rsidR="00AE69EE" w:rsidRPr="0008795F" w:rsidRDefault="00AE69EE" w:rsidP="006475F4">
      <w:pPr>
        <w:pStyle w:val="SingleTxtGR"/>
      </w:pPr>
      <w:r w:rsidRPr="0008795F">
        <w:t>7.</w:t>
      </w:r>
      <w:r w:rsidRPr="0008795F">
        <w:tab/>
        <w:t xml:space="preserve">Наряду с обязанностью принимать законодательные меры в целях </w:t>
      </w:r>
      <w:r>
        <w:t>осущ</w:t>
      </w:r>
      <w:r>
        <w:t>е</w:t>
      </w:r>
      <w:r>
        <w:t>ствления</w:t>
      </w:r>
      <w:r w:rsidRPr="0008795F">
        <w:t xml:space="preserve"> прав государства-участники Пакта несут также негативное обязател</w:t>
      </w:r>
      <w:r w:rsidRPr="0008795F">
        <w:t>ь</w:t>
      </w:r>
      <w:r w:rsidRPr="0008795F">
        <w:t xml:space="preserve">ство, вытекающее из пункта 2 статьи 2, </w:t>
      </w:r>
      <w:r>
        <w:t>не предпринимать законодательные м</w:t>
      </w:r>
      <w:r>
        <w:t>е</w:t>
      </w:r>
      <w:r>
        <w:t>ры,</w:t>
      </w:r>
      <w:r w:rsidRPr="0008795F">
        <w:t xml:space="preserve"> нарушающи</w:t>
      </w:r>
      <w:r>
        <w:t>е</w:t>
      </w:r>
      <w:r w:rsidRPr="0008795F">
        <w:t xml:space="preserve"> положения Пакта; в противном случае государство-участник </w:t>
      </w:r>
      <w:r>
        <w:t xml:space="preserve">прямо </w:t>
      </w:r>
      <w:r w:rsidRPr="0008795F">
        <w:t>нарушает обяз</w:t>
      </w:r>
      <w:r w:rsidRPr="0008795F">
        <w:t>а</w:t>
      </w:r>
      <w:r w:rsidRPr="0008795F">
        <w:t>тельства, предусмотренные в пункте 2 статьи 2.</w:t>
      </w:r>
    </w:p>
    <w:p w:rsidR="00AE69EE" w:rsidRPr="0008795F" w:rsidRDefault="00AE69EE" w:rsidP="006475F4">
      <w:pPr>
        <w:pStyle w:val="SingleTxtGR"/>
      </w:pPr>
      <w:r w:rsidRPr="0008795F">
        <w:t>8.</w:t>
      </w:r>
      <w:r w:rsidRPr="0008795F">
        <w:tab/>
        <w:t>Республика Беларусь ратифицировала Пакт 12 ноября 1973 года. С этого момента она взяла на себя четко выраженное обязательство принимать необх</w:t>
      </w:r>
      <w:r w:rsidRPr="0008795F">
        <w:t>о</w:t>
      </w:r>
      <w:r w:rsidRPr="0008795F">
        <w:t xml:space="preserve">димые законодательные или иные меры для осуществления признаваемых в </w:t>
      </w:r>
      <w:r>
        <w:t>Пакте прав (пункт 2 статьи 2) и, следовательно</w:t>
      </w:r>
      <w:r w:rsidRPr="0008795F">
        <w:t>, обязательство не принимать нормы, противоречащие правам, установленным Пактом. Кроме того, Беларусь присоединилась к Факультативному протоколу к Пакту 30 декабря 1992 года</w:t>
      </w:r>
      <w:r>
        <w:t>,</w:t>
      </w:r>
      <w:r w:rsidRPr="0008795F">
        <w:t xml:space="preserve"> признав тем самым компетенцию Комитета рассматривать индивидуальные с</w:t>
      </w:r>
      <w:r w:rsidRPr="0008795F">
        <w:t>о</w:t>
      </w:r>
      <w:r w:rsidRPr="0008795F">
        <w:t>общения.</w:t>
      </w:r>
    </w:p>
    <w:p w:rsidR="00AE69EE" w:rsidRPr="0008795F" w:rsidRDefault="00AE69EE" w:rsidP="006475F4">
      <w:pPr>
        <w:pStyle w:val="SingleTxtGR"/>
      </w:pPr>
      <w:r w:rsidRPr="0008795F">
        <w:t>9.</w:t>
      </w:r>
      <w:r w:rsidRPr="0008795F">
        <w:tab/>
        <w:t>Республика Беларусь приняла Закон о массовых мероприятиях 20 декабря 1997 года; этим она нарушила Пакт, независимо от того, применя</w:t>
      </w:r>
      <w:r>
        <w:t>л</w:t>
      </w:r>
      <w:r w:rsidRPr="0008795F">
        <w:t xml:space="preserve">ся ли </w:t>
      </w:r>
      <w:r>
        <w:t>данный</w:t>
      </w:r>
      <w:r w:rsidRPr="0008795F">
        <w:t xml:space="preserve"> закон. Впоследствии автор направила сообщение в Комитет, поскольку в отн</w:t>
      </w:r>
      <w:r w:rsidRPr="0008795F">
        <w:t>о</w:t>
      </w:r>
      <w:r w:rsidRPr="0008795F">
        <w:t>шении нее был применен Закон о массовых мероприятиях; Комитету следовало указать в своих Соображениях не только то, что государство-участник наруш</w:t>
      </w:r>
      <w:r w:rsidRPr="0008795F">
        <w:t>и</w:t>
      </w:r>
      <w:r w:rsidRPr="0008795F">
        <w:t>ло статью 19, но и то, что принятие этого закона было нарушением пункта 2 статьи 2 Па</w:t>
      </w:r>
      <w:r w:rsidRPr="0008795F">
        <w:t>к</w:t>
      </w:r>
      <w:r w:rsidRPr="0008795F">
        <w:t>та.</w:t>
      </w:r>
    </w:p>
    <w:p w:rsidR="00AE69EE" w:rsidRPr="0008795F" w:rsidRDefault="00AE69EE" w:rsidP="006475F4">
      <w:pPr>
        <w:pStyle w:val="SingleTxtGR"/>
      </w:pPr>
      <w:r w:rsidRPr="0008795F">
        <w:t>10.</w:t>
      </w:r>
      <w:r w:rsidRPr="0008795F">
        <w:tab/>
        <w:t>Закон о массовых мероприятиях был непосредственно применен в да</w:t>
      </w:r>
      <w:r w:rsidRPr="0008795F">
        <w:t>н</w:t>
      </w:r>
      <w:r w:rsidRPr="0008795F">
        <w:t xml:space="preserve">ном деле; соответственно, вывод о нарушении в деле </w:t>
      </w:r>
      <w:proofErr w:type="spellStart"/>
      <w:r w:rsidRPr="0008795F">
        <w:t>Тулженковой</w:t>
      </w:r>
      <w:proofErr w:type="spellEnd"/>
      <w:r w:rsidRPr="0008795F">
        <w:t xml:space="preserve"> пункта 2 статьи 2 не является ни абстрактным, ни чисто </w:t>
      </w:r>
      <w:r>
        <w:t>академическим</w:t>
      </w:r>
      <w:r w:rsidRPr="0008795F">
        <w:t xml:space="preserve">. </w:t>
      </w:r>
      <w:r>
        <w:t>И н</w:t>
      </w:r>
      <w:r w:rsidRPr="0008795F">
        <w:t xml:space="preserve">аконец, не следует </w:t>
      </w:r>
      <w:r>
        <w:t>забывать о том,</w:t>
      </w:r>
      <w:r w:rsidRPr="0008795F">
        <w:t xml:space="preserve"> что от того, какие нарушения были выявлены Комит</w:t>
      </w:r>
      <w:r w:rsidRPr="0008795F">
        <w:t>е</w:t>
      </w:r>
      <w:r w:rsidRPr="0008795F">
        <w:t xml:space="preserve">том, напрямую зависит решение о возмещении при рассмотрении </w:t>
      </w:r>
      <w:r>
        <w:t>каждого</w:t>
      </w:r>
      <w:r w:rsidRPr="0008795F">
        <w:t xml:space="preserve"> и</w:t>
      </w:r>
      <w:r w:rsidRPr="0008795F">
        <w:t>н</w:t>
      </w:r>
      <w:r w:rsidRPr="0008795F">
        <w:t xml:space="preserve">дивидуального сообщения. </w:t>
      </w:r>
    </w:p>
    <w:p w:rsidR="00AE69EE" w:rsidRPr="0008795F" w:rsidRDefault="00AE69EE" w:rsidP="006475F4">
      <w:pPr>
        <w:pStyle w:val="H23GR"/>
      </w:pPr>
      <w:r>
        <w:tab/>
      </w:r>
      <w:r w:rsidRPr="0008795F">
        <w:rPr>
          <w:lang w:val="en-US"/>
        </w:rPr>
        <w:t>b</w:t>
      </w:r>
      <w:r w:rsidRPr="0008795F">
        <w:t>)</w:t>
      </w:r>
      <w:r w:rsidRPr="0008795F">
        <w:tab/>
        <w:t xml:space="preserve">Возмещение в деле </w:t>
      </w:r>
      <w:proofErr w:type="spellStart"/>
      <w:r w:rsidRPr="0008795F">
        <w:t>Тулженковой</w:t>
      </w:r>
      <w:proofErr w:type="spellEnd"/>
    </w:p>
    <w:p w:rsidR="00AE69EE" w:rsidRPr="0008795F" w:rsidRDefault="00AE69EE" w:rsidP="006475F4">
      <w:pPr>
        <w:pStyle w:val="SingleTxtGR"/>
      </w:pPr>
      <w:r w:rsidRPr="0008795F">
        <w:t>11.</w:t>
      </w:r>
      <w:r w:rsidRPr="0008795F">
        <w:tab/>
        <w:t xml:space="preserve">В пункте 11 Соображений Комитета сказано: "Кроме того, государство-участник обязано </w:t>
      </w:r>
      <w:r>
        <w:t>предпринять шаги для недопущения</w:t>
      </w:r>
      <w:r w:rsidRPr="0008795F">
        <w:t xml:space="preserve"> аналогичны</w:t>
      </w:r>
      <w:r>
        <w:t>х</w:t>
      </w:r>
      <w:r w:rsidRPr="0008795F">
        <w:t xml:space="preserve"> нарушени</w:t>
      </w:r>
      <w:r>
        <w:t>й</w:t>
      </w:r>
      <w:r w:rsidRPr="0008795F">
        <w:t xml:space="preserve"> в будущем</w:t>
      </w:r>
      <w:r w:rsidR="00D7482E">
        <w:t xml:space="preserve"> </w:t>
      </w:r>
      <w:r w:rsidRPr="0008795F">
        <w:t>…", и этим он ограничивается. Каким образом гос</w:t>
      </w:r>
      <w:r w:rsidRPr="0008795F">
        <w:t>у</w:t>
      </w:r>
      <w:r w:rsidRPr="0008795F">
        <w:t>дарство-участник должно выполнить эту часть Соображений Комитета, если оно не внесет изм</w:t>
      </w:r>
      <w:r w:rsidRPr="0008795F">
        <w:t>е</w:t>
      </w:r>
      <w:r w:rsidRPr="0008795F">
        <w:t xml:space="preserve">нения в законодательство, признанное Комитетом </w:t>
      </w:r>
      <w:r>
        <w:t>нарушающим</w:t>
      </w:r>
      <w:r w:rsidRPr="0008795F">
        <w:t xml:space="preserve"> положения Пакта? Несомненно, Комитету следовало бы рекомендовать Республике Бел</w:t>
      </w:r>
      <w:r w:rsidRPr="0008795F">
        <w:t>а</w:t>
      </w:r>
      <w:r w:rsidRPr="0008795F">
        <w:t>русь внести поправки в соответствующее законодательство (статья 8 Закона о массовых мероприятиях), чтобы привести его в соответствие со своими обяз</w:t>
      </w:r>
      <w:r w:rsidRPr="0008795F">
        <w:t>а</w:t>
      </w:r>
      <w:r w:rsidRPr="0008795F">
        <w:t>тельствами</w:t>
      </w:r>
      <w:r>
        <w:t xml:space="preserve"> по</w:t>
      </w:r>
      <w:r w:rsidRPr="0008795F">
        <w:t xml:space="preserve"> Международн</w:t>
      </w:r>
      <w:r>
        <w:t>ому</w:t>
      </w:r>
      <w:r w:rsidRPr="0008795F">
        <w:t xml:space="preserve"> пакт</w:t>
      </w:r>
      <w:r>
        <w:t>у</w:t>
      </w:r>
      <w:r w:rsidRPr="0008795F">
        <w:t xml:space="preserve"> о гражданских и политических правах. Сохранение в силе закона, который </w:t>
      </w:r>
      <w:r>
        <w:t xml:space="preserve">прямо несовместим с </w:t>
      </w:r>
      <w:r w:rsidRPr="0008795F">
        <w:t>Пакт</w:t>
      </w:r>
      <w:r>
        <w:t>ом</w:t>
      </w:r>
      <w:r w:rsidRPr="0008795F">
        <w:t xml:space="preserve">, само по себе противоречит международным стандартам в отношении </w:t>
      </w:r>
      <w:r>
        <w:t xml:space="preserve">предоставления </w:t>
      </w:r>
      <w:r w:rsidRPr="0008795F">
        <w:t>во</w:t>
      </w:r>
      <w:r w:rsidRPr="0008795F">
        <w:t>з</w:t>
      </w:r>
      <w:r w:rsidRPr="0008795F">
        <w:t>мещения в делах о нарушениях прав человека.</w:t>
      </w:r>
    </w:p>
    <w:p w:rsidR="00AE69EE" w:rsidRPr="0008795F" w:rsidRDefault="00AE69EE" w:rsidP="006475F4">
      <w:pPr>
        <w:pStyle w:val="SingleTxtGR"/>
      </w:pPr>
      <w:r w:rsidRPr="0008795F">
        <w:t>12.</w:t>
      </w:r>
      <w:r w:rsidRPr="0008795F">
        <w:tab/>
      </w:r>
      <w:r>
        <w:t>Таким образом</w:t>
      </w:r>
      <w:r w:rsidRPr="0008795F">
        <w:t xml:space="preserve">, Комитету </w:t>
      </w:r>
      <w:r>
        <w:t xml:space="preserve">крайне </w:t>
      </w:r>
      <w:r w:rsidRPr="0008795F">
        <w:t xml:space="preserve">важно занять более четкую позицию в отношении </w:t>
      </w:r>
      <w:r>
        <w:t xml:space="preserve">нематериального </w:t>
      </w:r>
      <w:r w:rsidRPr="0008795F">
        <w:t xml:space="preserve">возмещения, особенно в </w:t>
      </w:r>
      <w:r>
        <w:t>части</w:t>
      </w:r>
      <w:r w:rsidRPr="0008795F">
        <w:t xml:space="preserve"> мер по восстано</w:t>
      </w:r>
      <w:r w:rsidRPr="0008795F">
        <w:t>в</w:t>
      </w:r>
      <w:r w:rsidRPr="0008795F">
        <w:t>лению нарушенного права, удовлетворения и недопущения повторения наруш</w:t>
      </w:r>
      <w:r w:rsidRPr="0008795F">
        <w:t>е</w:t>
      </w:r>
      <w:r w:rsidRPr="0008795F">
        <w:t xml:space="preserve">ний в будущем. Чем более четким будет принятое Комитетом решение, тем </w:t>
      </w:r>
      <w:r>
        <w:t>ле</w:t>
      </w:r>
      <w:r>
        <w:t>г</w:t>
      </w:r>
      <w:r>
        <w:t>че</w:t>
      </w:r>
      <w:r w:rsidRPr="0008795F">
        <w:t xml:space="preserve"> будет государству-участнику его выпо</w:t>
      </w:r>
      <w:r w:rsidRPr="0008795F">
        <w:t>л</w:t>
      </w:r>
      <w:r w:rsidRPr="0008795F">
        <w:t>нить.</w:t>
      </w:r>
    </w:p>
    <w:p w:rsidR="00AE69EE" w:rsidRPr="0008795F" w:rsidRDefault="00AE69EE" w:rsidP="006475F4">
      <w:pPr>
        <w:pStyle w:val="SingleTxtGR"/>
        <w:jc w:val="right"/>
      </w:pPr>
      <w:r w:rsidRPr="0008795F">
        <w:t>(</w:t>
      </w:r>
      <w:r w:rsidRPr="0008795F">
        <w:rPr>
          <w:i/>
        </w:rPr>
        <w:t>Подпись</w:t>
      </w:r>
      <w:r>
        <w:t>)</w:t>
      </w:r>
      <w:r>
        <w:tab/>
      </w:r>
      <w:proofErr w:type="spellStart"/>
      <w:r w:rsidRPr="0008795F">
        <w:t>Фабиан</w:t>
      </w:r>
      <w:proofErr w:type="spellEnd"/>
      <w:r w:rsidRPr="0008795F">
        <w:t xml:space="preserve"> </w:t>
      </w:r>
      <w:proofErr w:type="spellStart"/>
      <w:r w:rsidRPr="0008795F">
        <w:t>Сальвиоли</w:t>
      </w:r>
      <w:proofErr w:type="spellEnd"/>
    </w:p>
    <w:p w:rsidR="00AE69EE" w:rsidRPr="0008795F" w:rsidRDefault="00AE69EE" w:rsidP="006475F4">
      <w:pPr>
        <w:pStyle w:val="SingleTxtGR"/>
      </w:pPr>
      <w:r w:rsidRPr="0008795F">
        <w:t>[Совершено на английском, испанском и французском языках, причем языком оригинала является испанский. Впоследствии будет также издано на арабском, китайском и русском языках в качестве части ежегодного доклада Комитета Г</w:t>
      </w:r>
      <w:r w:rsidRPr="0008795F">
        <w:t>е</w:t>
      </w:r>
      <w:r w:rsidRPr="0008795F">
        <w:t>неральной Ассамблее.]</w:t>
      </w:r>
    </w:p>
    <w:p w:rsidR="00AE69EE" w:rsidRPr="0008795F" w:rsidRDefault="00AE69EE" w:rsidP="004A773D">
      <w:pPr>
        <w:pStyle w:val="H1GR"/>
      </w:pPr>
      <w:r w:rsidRPr="0008795F">
        <w:br w:type="page"/>
      </w:r>
      <w:r>
        <w:tab/>
      </w:r>
      <w:r>
        <w:tab/>
      </w:r>
      <w:r w:rsidRPr="0008795F">
        <w:t xml:space="preserve">Особое мнение члена Комитета г-на </w:t>
      </w:r>
      <w:proofErr w:type="spellStart"/>
      <w:r w:rsidRPr="0008795F">
        <w:t>Раджсумера</w:t>
      </w:r>
      <w:proofErr w:type="spellEnd"/>
      <w:r w:rsidRPr="0008795F">
        <w:t xml:space="preserve"> </w:t>
      </w:r>
      <w:proofErr w:type="spellStart"/>
      <w:r w:rsidRPr="0008795F">
        <w:t>Лаллаха</w:t>
      </w:r>
      <w:proofErr w:type="spellEnd"/>
      <w:r w:rsidRPr="0008795F">
        <w:t xml:space="preserve"> (со</w:t>
      </w:r>
      <w:r>
        <w:t>гласное</w:t>
      </w:r>
      <w:r w:rsidRPr="0008795F">
        <w:t>)</w:t>
      </w:r>
    </w:p>
    <w:p w:rsidR="00AE69EE" w:rsidRPr="0008795F" w:rsidRDefault="00AE69EE" w:rsidP="006475F4">
      <w:pPr>
        <w:pStyle w:val="SingleTxtGR"/>
      </w:pPr>
      <w:r>
        <w:tab/>
        <w:t>Я отмечаю, что в</w:t>
      </w:r>
      <w:r w:rsidRPr="0008795F">
        <w:t>ыводы Комитета (пункт 9.3) касаются конкретных о</w:t>
      </w:r>
      <w:r w:rsidRPr="0008795F">
        <w:t>б</w:t>
      </w:r>
      <w:r w:rsidRPr="0008795F">
        <w:t>стоятельств сообщения, а именно недостаточности или отсутствия предста</w:t>
      </w:r>
      <w:r w:rsidRPr="0008795F">
        <w:t>в</w:t>
      </w:r>
      <w:r w:rsidRPr="0008795F">
        <w:t>ленной государством-участником информации в обоснование ограничений, к</w:t>
      </w:r>
      <w:r w:rsidRPr="0008795F">
        <w:t>о</w:t>
      </w:r>
      <w:r w:rsidRPr="0008795F">
        <w:t>торые в противном случае</w:t>
      </w:r>
      <w:r>
        <w:t>, вероятно,</w:t>
      </w:r>
      <w:r w:rsidRPr="0008795F">
        <w:t xml:space="preserve"> могли бы считаться допустимыми в соо</w:t>
      </w:r>
      <w:r w:rsidRPr="0008795F">
        <w:t>т</w:t>
      </w:r>
      <w:r w:rsidRPr="0008795F">
        <w:t xml:space="preserve">ветствии с пунктом 3 статьи 19 Пакта. </w:t>
      </w:r>
      <w:r>
        <w:t xml:space="preserve">В связи с этим </w:t>
      </w:r>
      <w:r w:rsidRPr="0008795F">
        <w:t>Комитет признал наруш</w:t>
      </w:r>
      <w:r w:rsidRPr="0008795F">
        <w:t>е</w:t>
      </w:r>
      <w:r w:rsidRPr="0008795F">
        <w:t>ние основного права автора на свободу выражения мнений, предусмотренно</w:t>
      </w:r>
      <w:r>
        <w:t>го</w:t>
      </w:r>
      <w:r w:rsidRPr="0008795F">
        <w:t xml:space="preserve"> пунктом 2 статьи 19 Пакта, на которое она и жалуется.</w:t>
      </w:r>
    </w:p>
    <w:p w:rsidR="00AE69EE" w:rsidRPr="0008795F" w:rsidRDefault="00AE69EE" w:rsidP="006475F4">
      <w:pPr>
        <w:pStyle w:val="SingleTxtGR"/>
      </w:pPr>
      <w:r>
        <w:tab/>
      </w:r>
      <w:r w:rsidRPr="0008795F">
        <w:t>Очевидно, что признанное нарушение стало результатом применения з</w:t>
      </w:r>
      <w:r w:rsidRPr="0008795F">
        <w:t>а</w:t>
      </w:r>
      <w:r w:rsidRPr="0008795F">
        <w:t>кона, в котором не уточняется, что он не может применяться в тех случаях, к</w:t>
      </w:r>
      <w:r w:rsidRPr="0008795F">
        <w:t>о</w:t>
      </w:r>
      <w:r w:rsidRPr="0008795F">
        <w:t>гда не доказано, что ограничения свободы выражения мнений выходят за рамки д</w:t>
      </w:r>
      <w:r w:rsidRPr="0008795F">
        <w:t>о</w:t>
      </w:r>
      <w:r w:rsidRPr="0008795F">
        <w:t xml:space="preserve">пустимых по смыслу пункта 3 </w:t>
      </w:r>
      <w:r w:rsidRPr="0008795F">
        <w:rPr>
          <w:lang w:val="en-US"/>
        </w:rPr>
        <w:t>b</w:t>
      </w:r>
      <w:r w:rsidRPr="0008795F">
        <w:t xml:space="preserve">) статьи 19 Пакта. </w:t>
      </w:r>
    </w:p>
    <w:p w:rsidR="00AE69EE" w:rsidRPr="0008795F" w:rsidRDefault="00AE69EE" w:rsidP="006475F4">
      <w:pPr>
        <w:pStyle w:val="SingleTxtGR"/>
      </w:pPr>
      <w:r>
        <w:tab/>
      </w:r>
      <w:r w:rsidRPr="0008795F">
        <w:t xml:space="preserve">По причинам, приведенным в моем особом мнении по делу </w:t>
      </w:r>
      <w:r w:rsidRPr="0008795F">
        <w:rPr>
          <w:i/>
        </w:rPr>
        <w:t>Адонис пр</w:t>
      </w:r>
      <w:r w:rsidRPr="0008795F">
        <w:rPr>
          <w:i/>
        </w:rPr>
        <w:t>о</w:t>
      </w:r>
      <w:r w:rsidRPr="0008795F">
        <w:rPr>
          <w:i/>
        </w:rPr>
        <w:t>тив Филиппин</w:t>
      </w:r>
      <w:r w:rsidRPr="0008795F">
        <w:t xml:space="preserve"> (сообщение № 1838/2008), я считаю, что озабоченность моего коллеги г-на </w:t>
      </w:r>
      <w:proofErr w:type="spellStart"/>
      <w:r w:rsidRPr="0008795F">
        <w:t>Сальвиоли</w:t>
      </w:r>
      <w:proofErr w:type="spellEnd"/>
      <w:r w:rsidRPr="0008795F">
        <w:t xml:space="preserve"> относительно невыполнения г</w:t>
      </w:r>
      <w:r w:rsidRPr="0008795F">
        <w:t>о</w:t>
      </w:r>
      <w:r w:rsidRPr="0008795F">
        <w:t xml:space="preserve">сударством-участником своего обязательства по принятию соответствующего законодательства вполне можно было бы </w:t>
      </w:r>
      <w:r>
        <w:t>снять</w:t>
      </w:r>
      <w:r w:rsidRPr="0008795F">
        <w:t>, предложив государству-участнику пересмотреть закон</w:t>
      </w:r>
      <w:r w:rsidRPr="0008795F">
        <w:t>о</w:t>
      </w:r>
      <w:r w:rsidRPr="0008795F">
        <w:t>дательство во испо</w:t>
      </w:r>
      <w:r w:rsidRPr="0008795F">
        <w:t>л</w:t>
      </w:r>
      <w:r w:rsidRPr="0008795F">
        <w:t>нение пункта 2 статьи 2 Пакта.</w:t>
      </w:r>
    </w:p>
    <w:p w:rsidR="00AE69EE" w:rsidRPr="0008795F" w:rsidRDefault="00AE69EE" w:rsidP="006475F4">
      <w:pPr>
        <w:pStyle w:val="SingleTxtGR"/>
      </w:pPr>
      <w:r>
        <w:tab/>
      </w:r>
      <w:r w:rsidRPr="0008795F">
        <w:t xml:space="preserve">По моему мнению, было бы более конструктивно и практично включить в пункт 11 Соображений просьбу Комитета, с которой он обычно обращается к государствам в том случае, когда спорное или по какой-либо </w:t>
      </w:r>
      <w:r>
        <w:t xml:space="preserve">иной </w:t>
      </w:r>
      <w:r w:rsidRPr="0008795F">
        <w:t>причине н</w:t>
      </w:r>
      <w:r w:rsidRPr="0008795F">
        <w:t>е</w:t>
      </w:r>
      <w:r w:rsidRPr="0008795F">
        <w:t xml:space="preserve">совершенное законодательство приводит к конкретному нарушению. </w:t>
      </w:r>
      <w:r>
        <w:t>С</w:t>
      </w:r>
      <w:r w:rsidRPr="0008795F">
        <w:t xml:space="preserve"> эт</w:t>
      </w:r>
      <w:r>
        <w:t>ой</w:t>
      </w:r>
      <w:r w:rsidRPr="0008795F">
        <w:t xml:space="preserve"> ц</w:t>
      </w:r>
      <w:r w:rsidRPr="0008795F">
        <w:t>е</w:t>
      </w:r>
      <w:r w:rsidRPr="0008795F">
        <w:t>л</w:t>
      </w:r>
      <w:r>
        <w:t>ью</w:t>
      </w:r>
      <w:r w:rsidRPr="0008795F">
        <w:t xml:space="preserve"> в пункт 11 Соображений можно было бы </w:t>
      </w:r>
      <w:r>
        <w:t>включить фразу о том, что</w:t>
      </w:r>
      <w:r w:rsidRPr="0008795F">
        <w:t xml:space="preserve"> гос</w:t>
      </w:r>
      <w:r w:rsidRPr="0008795F">
        <w:t>у</w:t>
      </w:r>
      <w:r w:rsidRPr="0008795F">
        <w:t xml:space="preserve">дарству-участнику </w:t>
      </w:r>
      <w:r>
        <w:t xml:space="preserve">следует </w:t>
      </w:r>
      <w:r w:rsidRPr="0008795F">
        <w:t>пересмотреть свое законодательство во исполнение пункта 2 статьи 2 Пакта.</w:t>
      </w:r>
    </w:p>
    <w:p w:rsidR="00AE69EE" w:rsidRPr="0008795F" w:rsidRDefault="00AE69EE" w:rsidP="006475F4">
      <w:pPr>
        <w:pStyle w:val="SingleTxtGR"/>
        <w:jc w:val="right"/>
      </w:pPr>
      <w:r w:rsidRPr="0008795F">
        <w:t>(</w:t>
      </w:r>
      <w:r w:rsidRPr="0008795F">
        <w:rPr>
          <w:i/>
        </w:rPr>
        <w:t>Подпись</w:t>
      </w:r>
      <w:r w:rsidRPr="0008795F">
        <w:t>)</w:t>
      </w:r>
      <w:r w:rsidRPr="0008795F">
        <w:tab/>
      </w:r>
      <w:proofErr w:type="spellStart"/>
      <w:r w:rsidRPr="0008795F">
        <w:t>Раджсумер</w:t>
      </w:r>
      <w:proofErr w:type="spellEnd"/>
      <w:r w:rsidRPr="0008795F">
        <w:t xml:space="preserve"> </w:t>
      </w:r>
      <w:proofErr w:type="spellStart"/>
      <w:r w:rsidRPr="0008795F">
        <w:t>Ла</w:t>
      </w:r>
      <w:r w:rsidRPr="0008795F">
        <w:t>л</w:t>
      </w:r>
      <w:r w:rsidRPr="0008795F">
        <w:t>лах</w:t>
      </w:r>
      <w:proofErr w:type="spellEnd"/>
    </w:p>
    <w:p w:rsidR="00AE69EE" w:rsidRDefault="00AE69EE" w:rsidP="006475F4">
      <w:pPr>
        <w:pStyle w:val="SingleTxtGR"/>
      </w:pPr>
      <w:r w:rsidRPr="0008795F">
        <w:t>[Совершено на английском, испанском и французском языках, причем языком оригинала является английский. Впоследствии будет также издано на арабском, китайском и русском языках в качестве части ежегодного доклада Комитета Г</w:t>
      </w:r>
      <w:r w:rsidRPr="0008795F">
        <w:t>е</w:t>
      </w:r>
      <w:r w:rsidRPr="0008795F">
        <w:t>неральной Ассамблее.]</w:t>
      </w:r>
    </w:p>
    <w:p w:rsidR="00AE69EE" w:rsidRPr="00F51B3A" w:rsidRDefault="00AE69EE" w:rsidP="006475F4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E69EE" w:rsidRPr="00F51B3A" w:rsidSect="0084613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5F4" w:rsidRDefault="006475F4">
      <w:r>
        <w:rPr>
          <w:lang w:val="en-US"/>
        </w:rPr>
        <w:tab/>
      </w:r>
      <w:r>
        <w:separator/>
      </w:r>
    </w:p>
  </w:endnote>
  <w:endnote w:type="continuationSeparator" w:id="0">
    <w:p w:rsidR="006475F4" w:rsidRDefault="00647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5F4" w:rsidRPr="00612B27" w:rsidRDefault="006475F4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  <w:r>
      <w:rPr>
        <w:lang w:val="en-US"/>
      </w:rPr>
      <w:tab/>
    </w:r>
    <w:r w:rsidRPr="007040EC">
      <w:rPr>
        <w:lang w:val="en-US"/>
      </w:rPr>
      <w:t>GE.1</w:t>
    </w:r>
    <w:r w:rsidRPr="007040EC">
      <w:rPr>
        <w:lang w:val="ru-RU"/>
      </w:rPr>
      <w:t>2</w:t>
    </w:r>
    <w:r w:rsidRPr="007040EC">
      <w:rPr>
        <w:lang w:val="en-US"/>
      </w:rPr>
      <w:t>-</w:t>
    </w:r>
    <w:r w:rsidRPr="007040EC">
      <w:rPr>
        <w:lang w:val="ru-RU"/>
      </w:rPr>
      <w:t>40</w:t>
    </w:r>
    <w:r>
      <w:rPr>
        <w:lang w:val="en-US"/>
      </w:rPr>
      <w:t>194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5F4" w:rsidRPr="005F0588" w:rsidRDefault="006475F4">
    <w:pPr>
      <w:pStyle w:val="Footer"/>
      <w:rPr>
        <w:lang w:val="en-US"/>
      </w:rPr>
    </w:pPr>
    <w:r w:rsidRPr="007040EC">
      <w:rPr>
        <w:lang w:val="en-US"/>
      </w:rPr>
      <w:t>GE.1</w:t>
    </w:r>
    <w:r w:rsidRPr="007040EC">
      <w:rPr>
        <w:lang w:val="ru-RU"/>
      </w:rPr>
      <w:t>2</w:t>
    </w:r>
    <w:r w:rsidRPr="007040EC">
      <w:rPr>
        <w:lang w:val="en-US"/>
      </w:rPr>
      <w:t>-</w:t>
    </w:r>
    <w:r w:rsidRPr="007040EC">
      <w:rPr>
        <w:lang w:val="ru-RU"/>
      </w:rPr>
      <w:t>40</w:t>
    </w:r>
    <w:r>
      <w:rPr>
        <w:lang w:val="en-US"/>
      </w:rPr>
      <w:t>194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5F4" w:rsidRPr="007B2C3F" w:rsidRDefault="006475F4">
    <w:pPr>
      <w:pStyle w:val="Footer"/>
      <w:rPr>
        <w:sz w:val="20"/>
        <w:lang w:val="en-US"/>
      </w:rPr>
    </w:pPr>
    <w:r>
      <w:rPr>
        <w:sz w:val="20"/>
        <w:lang w:val="en-US"/>
      </w:rPr>
      <w:t>GE.1</w:t>
    </w:r>
    <w:r>
      <w:rPr>
        <w:sz w:val="20"/>
        <w:lang w:val="ru-RU"/>
      </w:rPr>
      <w:t>2</w:t>
    </w:r>
    <w:r>
      <w:rPr>
        <w:sz w:val="20"/>
        <w:lang w:val="en-US"/>
      </w:rPr>
      <w:t>-</w:t>
    </w:r>
    <w:r>
      <w:rPr>
        <w:sz w:val="20"/>
        <w:lang w:val="ru-RU"/>
      </w:rPr>
      <w:t>4</w:t>
    </w:r>
    <w:r>
      <w:rPr>
        <w:sz w:val="20"/>
        <w:lang w:val="en-US"/>
      </w:rPr>
      <w:t>0194  (R)  230212  240212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5F4" w:rsidRPr="00F71F63" w:rsidRDefault="006475F4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6475F4" w:rsidRPr="00F71F63" w:rsidRDefault="006475F4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6475F4" w:rsidRPr="00635E86" w:rsidRDefault="006475F4" w:rsidP="00635E86">
      <w:pPr>
        <w:pStyle w:val="Footer"/>
      </w:pPr>
    </w:p>
  </w:footnote>
  <w:footnote w:id="1">
    <w:p w:rsidR="006475F4" w:rsidRPr="004A773D" w:rsidRDefault="006475F4" w:rsidP="005E5037">
      <w:pPr>
        <w:pStyle w:val="FootnoteText"/>
        <w:rPr>
          <w:lang w:val="ru-RU"/>
        </w:rPr>
      </w:pPr>
      <w:r w:rsidRPr="004A773D">
        <w:rPr>
          <w:lang w:val="ru-RU"/>
        </w:rPr>
        <w:tab/>
      </w:r>
      <w:r w:rsidRPr="004A773D">
        <w:rPr>
          <w:rStyle w:val="FootnoteReference"/>
          <w:lang w:val="ru-RU"/>
        </w:rPr>
        <w:sym w:font="Symbol" w:char="F02A"/>
      </w:r>
      <w:r w:rsidRPr="004A773D">
        <w:rPr>
          <w:lang w:val="ru-RU"/>
        </w:rPr>
        <w:tab/>
        <w:t>В рассмотрении настоящего сообщения принимали участие следующие члены Комитета: г-н Лазхари Бузид, г-жа Кристина Шане, г-н Ахмад Амин Фатхалла, г</w:t>
      </w:r>
      <w:r w:rsidRPr="004A773D">
        <w:rPr>
          <w:lang w:val="ru-RU"/>
        </w:rPr>
        <w:noBreakHyphen/>
        <w:t>н Корнелис Флинтерман, г-н Юдзи Ивасава, г-н Раджсумер Лаллах, г-жа Юлия Антоанелла Моток, г-н Джеральд Л. Нойман, г-н Майкл О'Флаэрти, г-н Рафаэль Ривас Посада, г-н Фабиан Омар Сальвиоли, г-н Кристер Телин и г-жа Марго Ватервал.</w:t>
      </w:r>
    </w:p>
    <w:p w:rsidR="006475F4" w:rsidRPr="004A773D" w:rsidRDefault="006475F4" w:rsidP="00DF36C9">
      <w:pPr>
        <w:pStyle w:val="FootnoteText"/>
        <w:rPr>
          <w:lang w:val="ru-RU"/>
        </w:rPr>
      </w:pPr>
      <w:r w:rsidRPr="004A773D">
        <w:rPr>
          <w:lang w:val="ru-RU"/>
        </w:rPr>
        <w:tab/>
      </w:r>
      <w:r w:rsidRPr="004A773D">
        <w:rPr>
          <w:lang w:val="ru-RU"/>
        </w:rPr>
        <w:tab/>
        <w:t>Тексты двух особых мнений, подписанных членами Комитета г-ном Фабианом Омаром Сальвиоли и г-ном Раджсумером Лаллахом, содержатся в добавлении к настоящему документу.</w:t>
      </w:r>
    </w:p>
  </w:footnote>
  <w:footnote w:id="2">
    <w:p w:rsidR="006475F4" w:rsidRPr="004A773D" w:rsidRDefault="006475F4" w:rsidP="006475F4">
      <w:pPr>
        <w:pStyle w:val="FootnoteText"/>
        <w:rPr>
          <w:lang w:val="ru-RU"/>
        </w:rPr>
      </w:pPr>
      <w:r w:rsidRPr="004A773D">
        <w:rPr>
          <w:lang w:val="ru-RU"/>
        </w:rPr>
        <w:tab/>
      </w:r>
      <w:r w:rsidRPr="004A773D">
        <w:rPr>
          <w:rStyle w:val="FootnoteReference"/>
          <w:lang w:val="ru-RU"/>
        </w:rPr>
        <w:footnoteRef/>
      </w:r>
      <w:r w:rsidRPr="004A773D">
        <w:rPr>
          <w:lang w:val="ru-RU"/>
        </w:rPr>
        <w:tab/>
        <w:t>Согласно онлайновому обменному курсу 17 марта 2008 года (дата наложения штрафа) данная сумма была равна 162,7 долл. США или 103,76 евро. В настоящее время (10 октября 2011 года) в связи с беспрецедентной девальвацией белорусского рубля, эта сумма составляет 62,25 долл. США или 46,53 евро.</w:t>
      </w:r>
    </w:p>
  </w:footnote>
  <w:footnote w:id="3">
    <w:p w:rsidR="006475F4" w:rsidRPr="004A773D" w:rsidRDefault="006475F4">
      <w:pPr>
        <w:pStyle w:val="FootnoteText"/>
        <w:rPr>
          <w:lang w:val="ru-RU"/>
        </w:rPr>
      </w:pPr>
      <w:r w:rsidRPr="004A773D">
        <w:rPr>
          <w:lang w:val="ru-RU"/>
        </w:rPr>
        <w:tab/>
      </w:r>
      <w:r w:rsidRPr="004A773D">
        <w:rPr>
          <w:rStyle w:val="FootnoteReference"/>
          <w:lang w:val="ru-RU"/>
        </w:rPr>
        <w:footnoteRef/>
      </w:r>
      <w:r w:rsidRPr="004A773D">
        <w:rPr>
          <w:lang w:val="ru-RU"/>
        </w:rPr>
        <w:tab/>
        <w:t xml:space="preserve">См., например, сообщения № 1537/2006, </w:t>
      </w:r>
      <w:r w:rsidRPr="004A773D">
        <w:rPr>
          <w:i/>
          <w:lang w:val="ru-RU"/>
        </w:rPr>
        <w:t>Екатерина Геращенко против Беларуси</w:t>
      </w:r>
      <w:r w:rsidRPr="004A773D">
        <w:rPr>
          <w:lang w:val="ru-RU"/>
        </w:rPr>
        <w:t>, решение о неприемлемости, принятое 23 октября 2009 года, пункт 6.3; № 1814/2008,</w:t>
      </w:r>
      <w:r w:rsidRPr="004A773D">
        <w:rPr>
          <w:i/>
          <w:lang w:val="ru-RU"/>
        </w:rPr>
        <w:t xml:space="preserve"> П.Л. против Беларуси</w:t>
      </w:r>
      <w:r w:rsidRPr="004A773D">
        <w:rPr>
          <w:lang w:val="ru-RU"/>
        </w:rPr>
        <w:t>, решение о неприемлемости, принятое 26 июля 2011 года, пункт 6.2.</w:t>
      </w:r>
    </w:p>
  </w:footnote>
  <w:footnote w:id="4">
    <w:p w:rsidR="006475F4" w:rsidRPr="004A773D" w:rsidRDefault="006475F4">
      <w:pPr>
        <w:pStyle w:val="FootnoteText"/>
        <w:rPr>
          <w:lang w:val="ru-RU"/>
        </w:rPr>
      </w:pPr>
      <w:r w:rsidRPr="004A773D">
        <w:rPr>
          <w:lang w:val="ru-RU"/>
        </w:rPr>
        <w:tab/>
      </w:r>
      <w:r w:rsidRPr="004A773D">
        <w:rPr>
          <w:rStyle w:val="FootnoteReference"/>
          <w:lang w:val="ru-RU"/>
        </w:rPr>
        <w:footnoteRef/>
      </w:r>
      <w:r w:rsidRPr="004A773D">
        <w:rPr>
          <w:lang w:val="ru-RU"/>
        </w:rPr>
        <w:tab/>
        <w:t xml:space="preserve">См. Замечание общего порядка № 34 (2011) Комитета о свободе мнений и их выражения, пункт 2, </w:t>
      </w:r>
      <w:r w:rsidRPr="004A773D">
        <w:rPr>
          <w:i/>
          <w:lang w:val="ru-RU"/>
        </w:rPr>
        <w:t xml:space="preserve">Официальные отчеты Генеральной Ассамблеи, шестьдесят шестая сессия, Дополнение № 40, </w:t>
      </w:r>
      <w:r w:rsidRPr="004A773D">
        <w:rPr>
          <w:lang w:val="ru-RU"/>
        </w:rPr>
        <w:t>том I (A/66/40 (Vol. I)), приложение V.</w:t>
      </w:r>
    </w:p>
  </w:footnote>
  <w:footnote w:id="5">
    <w:p w:rsidR="006475F4" w:rsidRPr="004A773D" w:rsidRDefault="006475F4">
      <w:pPr>
        <w:pStyle w:val="FootnoteText"/>
        <w:rPr>
          <w:lang w:val="ru-RU"/>
        </w:rPr>
      </w:pPr>
      <w:r w:rsidRPr="004A773D">
        <w:rPr>
          <w:lang w:val="ru-RU"/>
        </w:rPr>
        <w:tab/>
      </w:r>
      <w:r w:rsidRPr="004A773D">
        <w:rPr>
          <w:rStyle w:val="FootnoteReference"/>
          <w:lang w:val="ru-RU"/>
        </w:rPr>
        <w:footnoteRef/>
      </w:r>
      <w:r w:rsidRPr="004A773D">
        <w:rPr>
          <w:lang w:val="ru-RU"/>
        </w:rPr>
        <w:tab/>
        <w:t>Там же, пункт 22.</w:t>
      </w:r>
    </w:p>
  </w:footnote>
  <w:footnote w:id="6">
    <w:p w:rsidR="006475F4" w:rsidRPr="004A773D" w:rsidRDefault="006475F4" w:rsidP="006475F4">
      <w:pPr>
        <w:pStyle w:val="FootnoteText"/>
        <w:rPr>
          <w:lang w:val="ru-RU"/>
        </w:rPr>
      </w:pPr>
      <w:r w:rsidRPr="004A773D">
        <w:rPr>
          <w:lang w:val="ru-RU"/>
        </w:rPr>
        <w:tab/>
      </w:r>
      <w:r w:rsidRPr="004A773D">
        <w:rPr>
          <w:rStyle w:val="FootnoteReference"/>
          <w:lang w:val="ru-RU"/>
        </w:rPr>
        <w:footnoteRef/>
      </w:r>
      <w:r w:rsidRPr="004A773D">
        <w:rPr>
          <w:lang w:val="ru-RU"/>
        </w:rPr>
        <w:tab/>
        <w:t xml:space="preserve">См. сообщение № 1406/2005, </w:t>
      </w:r>
      <w:r w:rsidRPr="004A773D">
        <w:rPr>
          <w:i/>
          <w:lang w:val="ru-RU"/>
        </w:rPr>
        <w:t>Анура Вираванса против Шри-Ланки</w:t>
      </w:r>
      <w:r w:rsidRPr="004A773D">
        <w:rPr>
          <w:lang w:val="ru-RU"/>
        </w:rPr>
        <w:t>, добавление: частично несогласное мнение г-на Фабиана Сальвиоли.</w:t>
      </w:r>
    </w:p>
  </w:footnote>
  <w:footnote w:id="7">
    <w:p w:rsidR="006475F4" w:rsidRPr="004A773D" w:rsidRDefault="006475F4" w:rsidP="006475F4">
      <w:pPr>
        <w:pStyle w:val="FootnoteText"/>
        <w:rPr>
          <w:lang w:val="ru-RU"/>
        </w:rPr>
      </w:pPr>
      <w:r w:rsidRPr="004A773D">
        <w:rPr>
          <w:lang w:val="ru-RU"/>
        </w:rPr>
        <w:tab/>
      </w:r>
      <w:r w:rsidRPr="004A773D">
        <w:rPr>
          <w:rStyle w:val="FootnoteReference"/>
          <w:lang w:val="ru-RU"/>
        </w:rPr>
        <w:footnoteRef/>
      </w:r>
      <w:r w:rsidRPr="004A773D">
        <w:rPr>
          <w:lang w:val="ru-RU"/>
        </w:rPr>
        <w:tab/>
        <w:t xml:space="preserve">Замечание общего порядка № 31 (2004 год) Комитета о </w:t>
      </w:r>
      <w:r w:rsidRPr="004A773D">
        <w:rPr>
          <w:bCs/>
          <w:lang w:val="ru-RU"/>
        </w:rPr>
        <w:t xml:space="preserve">характере общего юридического обязательства, налагаемого на государства − участники Пакта, пункт 4, </w:t>
      </w:r>
      <w:r w:rsidRPr="004A773D">
        <w:rPr>
          <w:i/>
          <w:lang w:val="ru-RU"/>
        </w:rPr>
        <w:t xml:space="preserve">Официальные отчеты Генеральной Ассамблеи, пятьдесят девятая сессия, Дополнение № 40, </w:t>
      </w:r>
      <w:r w:rsidRPr="004A773D">
        <w:rPr>
          <w:lang w:val="ru-RU"/>
        </w:rPr>
        <w:t>том I (A/59/40 (Vol. I)</w:t>
      </w:r>
      <w:r w:rsidRPr="004A773D">
        <w:rPr>
          <w:i/>
          <w:lang w:val="ru-RU"/>
        </w:rPr>
        <w:t xml:space="preserve">, </w:t>
      </w:r>
      <w:r w:rsidRPr="004A773D">
        <w:rPr>
          <w:lang w:val="ru-RU"/>
        </w:rPr>
        <w:t>приложение III.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5F4" w:rsidRPr="000E0608" w:rsidRDefault="006475F4">
    <w:pPr>
      <w:pStyle w:val="Header"/>
      <w:rPr>
        <w:lang w:val="en-US"/>
      </w:rPr>
    </w:pPr>
    <w:r>
      <w:rPr>
        <w:lang w:val="en-US"/>
      </w:rPr>
      <w:t>CCPR/</w:t>
    </w:r>
    <w:r w:rsidRPr="000E0608">
      <w:rPr>
        <w:lang w:val="en-US"/>
      </w:rPr>
      <w:t>C/103/D/183</w:t>
    </w:r>
    <w:r>
      <w:rPr>
        <w:lang w:val="en-US"/>
      </w:rPr>
      <w:t>8</w:t>
    </w:r>
    <w:r w:rsidRPr="000E0608">
      <w:rPr>
        <w:lang w:val="en-US"/>
      </w:rPr>
      <w:t>/2008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5F4" w:rsidRPr="005F0588" w:rsidRDefault="006475F4">
    <w:pPr>
      <w:pStyle w:val="Header"/>
      <w:rPr>
        <w:lang w:val="en-US"/>
      </w:rPr>
    </w:pPr>
    <w:r>
      <w:rPr>
        <w:lang w:val="en-US"/>
      </w:rPr>
      <w:tab/>
      <w:t>CCPR/</w:t>
    </w:r>
    <w:r w:rsidRPr="000E0608">
      <w:rPr>
        <w:lang w:val="en-US"/>
      </w:rPr>
      <w:t>C/103/D/183</w:t>
    </w:r>
    <w:r>
      <w:rPr>
        <w:lang w:val="en-US"/>
      </w:rPr>
      <w:t>8</w:t>
    </w:r>
    <w:r w:rsidRPr="000E0608">
      <w:rPr>
        <w:lang w:val="en-US"/>
      </w:rPr>
      <w:t>/2008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E01EE7"/>
    <w:multiLevelType w:val="hybridMultilevel"/>
    <w:tmpl w:val="A80A114E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E333403"/>
    <w:multiLevelType w:val="hybridMultilevel"/>
    <w:tmpl w:val="2D50D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A2030F"/>
    <w:multiLevelType w:val="hybridMultilevel"/>
    <w:tmpl w:val="A05EB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D609B2"/>
    <w:multiLevelType w:val="hybridMultilevel"/>
    <w:tmpl w:val="5BE82B8A"/>
    <w:lvl w:ilvl="0" w:tplc="0419000F">
      <w:start w:val="1"/>
      <w:numFmt w:val="decimal"/>
      <w:lvlText w:val="%1."/>
      <w:lvlJc w:val="left"/>
      <w:pPr>
        <w:ind w:left="2628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062AB0"/>
    <w:multiLevelType w:val="hybridMultilevel"/>
    <w:tmpl w:val="CA4431B8"/>
    <w:lvl w:ilvl="0" w:tplc="0419000F">
      <w:start w:val="1"/>
      <w:numFmt w:val="decimal"/>
      <w:lvlText w:val="%1."/>
      <w:lvlJc w:val="left"/>
      <w:pPr>
        <w:ind w:left="3342" w:hanging="360"/>
      </w:pPr>
    </w:lvl>
    <w:lvl w:ilvl="1" w:tplc="04190019" w:tentative="1">
      <w:start w:val="1"/>
      <w:numFmt w:val="lowerLetter"/>
      <w:lvlText w:val="%2."/>
      <w:lvlJc w:val="left"/>
      <w:pPr>
        <w:ind w:left="2928" w:hanging="360"/>
      </w:pPr>
    </w:lvl>
    <w:lvl w:ilvl="2" w:tplc="0419001B" w:tentative="1">
      <w:start w:val="1"/>
      <w:numFmt w:val="lowerRoman"/>
      <w:lvlText w:val="%3."/>
      <w:lvlJc w:val="right"/>
      <w:pPr>
        <w:ind w:left="3648" w:hanging="180"/>
      </w:pPr>
    </w:lvl>
    <w:lvl w:ilvl="3" w:tplc="0419000F" w:tentative="1">
      <w:start w:val="1"/>
      <w:numFmt w:val="decimal"/>
      <w:lvlText w:val="%4."/>
      <w:lvlJc w:val="left"/>
      <w:pPr>
        <w:ind w:left="4368" w:hanging="360"/>
      </w:pPr>
    </w:lvl>
    <w:lvl w:ilvl="4" w:tplc="04190019" w:tentative="1">
      <w:start w:val="1"/>
      <w:numFmt w:val="lowerLetter"/>
      <w:lvlText w:val="%5."/>
      <w:lvlJc w:val="left"/>
      <w:pPr>
        <w:ind w:left="5088" w:hanging="360"/>
      </w:pPr>
    </w:lvl>
    <w:lvl w:ilvl="5" w:tplc="0419001B" w:tentative="1">
      <w:start w:val="1"/>
      <w:numFmt w:val="lowerRoman"/>
      <w:lvlText w:val="%6."/>
      <w:lvlJc w:val="right"/>
      <w:pPr>
        <w:ind w:left="5808" w:hanging="180"/>
      </w:pPr>
    </w:lvl>
    <w:lvl w:ilvl="6" w:tplc="0419000F" w:tentative="1">
      <w:start w:val="1"/>
      <w:numFmt w:val="decimal"/>
      <w:lvlText w:val="%7."/>
      <w:lvlJc w:val="left"/>
      <w:pPr>
        <w:ind w:left="6528" w:hanging="360"/>
      </w:pPr>
    </w:lvl>
    <w:lvl w:ilvl="7" w:tplc="04190019" w:tentative="1">
      <w:start w:val="1"/>
      <w:numFmt w:val="lowerLetter"/>
      <w:lvlText w:val="%8."/>
      <w:lvlJc w:val="left"/>
      <w:pPr>
        <w:ind w:left="7248" w:hanging="360"/>
      </w:pPr>
    </w:lvl>
    <w:lvl w:ilvl="8" w:tplc="0419001B" w:tentative="1">
      <w:start w:val="1"/>
      <w:numFmt w:val="lowerRoman"/>
      <w:lvlText w:val="%9."/>
      <w:lvlJc w:val="right"/>
      <w:pPr>
        <w:ind w:left="7968" w:hanging="180"/>
      </w:pPr>
    </w:lvl>
  </w:abstractNum>
  <w:abstractNum w:abstractNumId="20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8"/>
  </w:num>
  <w:num w:numId="2">
    <w:abstractNumId w:val="15"/>
  </w:num>
  <w:num w:numId="3">
    <w:abstractNumId w:val="17"/>
  </w:num>
  <w:num w:numId="4">
    <w:abstractNumId w:val="20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6"/>
  </w:num>
  <w:num w:numId="17">
    <w:abstractNumId w:val="18"/>
  </w:num>
  <w:num w:numId="18">
    <w:abstractNumId w:val="15"/>
  </w:num>
  <w:num w:numId="19">
    <w:abstractNumId w:val="15"/>
  </w:num>
  <w:num w:numId="20">
    <w:abstractNumId w:val="18"/>
  </w:num>
  <w:num w:numId="21">
    <w:abstractNumId w:val="15"/>
  </w:num>
  <w:num w:numId="22">
    <w:abstractNumId w:val="17"/>
  </w:num>
  <w:num w:numId="23">
    <w:abstractNumId w:val="17"/>
  </w:num>
  <w:num w:numId="24">
    <w:abstractNumId w:val="13"/>
  </w:num>
  <w:num w:numId="25">
    <w:abstractNumId w:val="12"/>
  </w:num>
  <w:num w:numId="26">
    <w:abstractNumId w:val="10"/>
  </w:num>
  <w:num w:numId="27">
    <w:abstractNumId w:val="14"/>
  </w:num>
  <w:num w:numId="28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0F39"/>
    <w:rsid w:val="000033D8"/>
    <w:rsid w:val="00005C1C"/>
    <w:rsid w:val="00011ACF"/>
    <w:rsid w:val="00016553"/>
    <w:rsid w:val="000233B3"/>
    <w:rsid w:val="00023E9E"/>
    <w:rsid w:val="00026B0C"/>
    <w:rsid w:val="00031132"/>
    <w:rsid w:val="0003638E"/>
    <w:rsid w:val="00036FF2"/>
    <w:rsid w:val="0004010A"/>
    <w:rsid w:val="00043D88"/>
    <w:rsid w:val="00046E4D"/>
    <w:rsid w:val="00051FD5"/>
    <w:rsid w:val="0006401A"/>
    <w:rsid w:val="00072C27"/>
    <w:rsid w:val="000839D0"/>
    <w:rsid w:val="00085126"/>
    <w:rsid w:val="00086182"/>
    <w:rsid w:val="00090891"/>
    <w:rsid w:val="00092E62"/>
    <w:rsid w:val="00093F22"/>
    <w:rsid w:val="00097975"/>
    <w:rsid w:val="000A3DDF"/>
    <w:rsid w:val="000A60A0"/>
    <w:rsid w:val="000C3688"/>
    <w:rsid w:val="000D6863"/>
    <w:rsid w:val="000E0608"/>
    <w:rsid w:val="000E59C5"/>
    <w:rsid w:val="000F410F"/>
    <w:rsid w:val="00117AEE"/>
    <w:rsid w:val="001463F7"/>
    <w:rsid w:val="0015769C"/>
    <w:rsid w:val="001755A4"/>
    <w:rsid w:val="001771BD"/>
    <w:rsid w:val="00180752"/>
    <w:rsid w:val="0018313A"/>
    <w:rsid w:val="00185076"/>
    <w:rsid w:val="0018543C"/>
    <w:rsid w:val="00190231"/>
    <w:rsid w:val="00192ABD"/>
    <w:rsid w:val="00194F24"/>
    <w:rsid w:val="001A75D5"/>
    <w:rsid w:val="001A7D40"/>
    <w:rsid w:val="001C28DB"/>
    <w:rsid w:val="001D07F7"/>
    <w:rsid w:val="001D4428"/>
    <w:rsid w:val="001D7B8F"/>
    <w:rsid w:val="001E48EE"/>
    <w:rsid w:val="001F2D04"/>
    <w:rsid w:val="0020059C"/>
    <w:rsid w:val="002019BD"/>
    <w:rsid w:val="00232D42"/>
    <w:rsid w:val="00237334"/>
    <w:rsid w:val="002444F4"/>
    <w:rsid w:val="002629A0"/>
    <w:rsid w:val="0028492B"/>
    <w:rsid w:val="00291C8F"/>
    <w:rsid w:val="002C5036"/>
    <w:rsid w:val="002C6A71"/>
    <w:rsid w:val="002C6D5F"/>
    <w:rsid w:val="002D15EA"/>
    <w:rsid w:val="002D6C07"/>
    <w:rsid w:val="002E0CE6"/>
    <w:rsid w:val="002E1163"/>
    <w:rsid w:val="002E43F3"/>
    <w:rsid w:val="003215F5"/>
    <w:rsid w:val="00330953"/>
    <w:rsid w:val="00332891"/>
    <w:rsid w:val="00356BB2"/>
    <w:rsid w:val="00360477"/>
    <w:rsid w:val="00367FC9"/>
    <w:rsid w:val="003711A1"/>
    <w:rsid w:val="00372123"/>
    <w:rsid w:val="00373362"/>
    <w:rsid w:val="00386581"/>
    <w:rsid w:val="00387100"/>
    <w:rsid w:val="003951D3"/>
    <w:rsid w:val="003978C6"/>
    <w:rsid w:val="003B40A9"/>
    <w:rsid w:val="003C016E"/>
    <w:rsid w:val="003D5EBD"/>
    <w:rsid w:val="003D66DE"/>
    <w:rsid w:val="00401CE0"/>
    <w:rsid w:val="00403234"/>
    <w:rsid w:val="00407AC3"/>
    <w:rsid w:val="00414586"/>
    <w:rsid w:val="00415059"/>
    <w:rsid w:val="00424FDD"/>
    <w:rsid w:val="0043033D"/>
    <w:rsid w:val="00435FE4"/>
    <w:rsid w:val="004446CA"/>
    <w:rsid w:val="00457634"/>
    <w:rsid w:val="00474F42"/>
    <w:rsid w:val="0048244D"/>
    <w:rsid w:val="004A0DE8"/>
    <w:rsid w:val="004A4CB7"/>
    <w:rsid w:val="004A57B5"/>
    <w:rsid w:val="004A773D"/>
    <w:rsid w:val="004B19DA"/>
    <w:rsid w:val="004C2A53"/>
    <w:rsid w:val="004C3B35"/>
    <w:rsid w:val="004C43EC"/>
    <w:rsid w:val="004E6729"/>
    <w:rsid w:val="004F0E47"/>
    <w:rsid w:val="005067C7"/>
    <w:rsid w:val="0051339C"/>
    <w:rsid w:val="0051412F"/>
    <w:rsid w:val="00522B6F"/>
    <w:rsid w:val="0052430E"/>
    <w:rsid w:val="005276AD"/>
    <w:rsid w:val="00540A9A"/>
    <w:rsid w:val="00543522"/>
    <w:rsid w:val="00545680"/>
    <w:rsid w:val="0056618E"/>
    <w:rsid w:val="00576F59"/>
    <w:rsid w:val="00577A34"/>
    <w:rsid w:val="00580AAD"/>
    <w:rsid w:val="00593A04"/>
    <w:rsid w:val="005A12C2"/>
    <w:rsid w:val="005A6D5A"/>
    <w:rsid w:val="005B1B28"/>
    <w:rsid w:val="005B7D51"/>
    <w:rsid w:val="005B7F35"/>
    <w:rsid w:val="005C0D24"/>
    <w:rsid w:val="005C2081"/>
    <w:rsid w:val="005C678A"/>
    <w:rsid w:val="005D346D"/>
    <w:rsid w:val="005E5037"/>
    <w:rsid w:val="005E7067"/>
    <w:rsid w:val="005E74AB"/>
    <w:rsid w:val="00606A3E"/>
    <w:rsid w:val="006115AA"/>
    <w:rsid w:val="006120AE"/>
    <w:rsid w:val="00612B27"/>
    <w:rsid w:val="00635E86"/>
    <w:rsid w:val="00636A37"/>
    <w:rsid w:val="006475F4"/>
    <w:rsid w:val="006501A5"/>
    <w:rsid w:val="006504AF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4233"/>
    <w:rsid w:val="006C5657"/>
    <w:rsid w:val="006C730E"/>
    <w:rsid w:val="006D5E4E"/>
    <w:rsid w:val="006E6860"/>
    <w:rsid w:val="006E7183"/>
    <w:rsid w:val="006F5FBF"/>
    <w:rsid w:val="0070327E"/>
    <w:rsid w:val="007040EC"/>
    <w:rsid w:val="007062E8"/>
    <w:rsid w:val="00707B5F"/>
    <w:rsid w:val="00735602"/>
    <w:rsid w:val="0075279B"/>
    <w:rsid w:val="00753748"/>
    <w:rsid w:val="007579F5"/>
    <w:rsid w:val="00762446"/>
    <w:rsid w:val="00781ACB"/>
    <w:rsid w:val="007867C5"/>
    <w:rsid w:val="007A21E7"/>
    <w:rsid w:val="007A79EB"/>
    <w:rsid w:val="007C2F03"/>
    <w:rsid w:val="007D4CA0"/>
    <w:rsid w:val="007D7A23"/>
    <w:rsid w:val="007E38C3"/>
    <w:rsid w:val="007E549E"/>
    <w:rsid w:val="007E71C9"/>
    <w:rsid w:val="007F7553"/>
    <w:rsid w:val="0080755E"/>
    <w:rsid w:val="008120D4"/>
    <w:rsid w:val="00812C6E"/>
    <w:rsid w:val="008139A5"/>
    <w:rsid w:val="00817F73"/>
    <w:rsid w:val="00820C6C"/>
    <w:rsid w:val="0082228E"/>
    <w:rsid w:val="00827B3D"/>
    <w:rsid w:val="00830402"/>
    <w:rsid w:val="008305D7"/>
    <w:rsid w:val="00834887"/>
    <w:rsid w:val="00842FED"/>
    <w:rsid w:val="008455CF"/>
    <w:rsid w:val="0084613B"/>
    <w:rsid w:val="00847689"/>
    <w:rsid w:val="00856C90"/>
    <w:rsid w:val="00861C52"/>
    <w:rsid w:val="00865CCB"/>
    <w:rsid w:val="008727A1"/>
    <w:rsid w:val="00886B0F"/>
    <w:rsid w:val="00887A27"/>
    <w:rsid w:val="00891C08"/>
    <w:rsid w:val="008A3879"/>
    <w:rsid w:val="008A5BDA"/>
    <w:rsid w:val="008A5FA8"/>
    <w:rsid w:val="008A7575"/>
    <w:rsid w:val="008B5F47"/>
    <w:rsid w:val="008C7B87"/>
    <w:rsid w:val="008D6A7A"/>
    <w:rsid w:val="008E3E87"/>
    <w:rsid w:val="008E7F13"/>
    <w:rsid w:val="008F3185"/>
    <w:rsid w:val="00915B0A"/>
    <w:rsid w:val="00926904"/>
    <w:rsid w:val="00931B39"/>
    <w:rsid w:val="009372F0"/>
    <w:rsid w:val="00947437"/>
    <w:rsid w:val="00955022"/>
    <w:rsid w:val="00957B4D"/>
    <w:rsid w:val="00964EEA"/>
    <w:rsid w:val="00980C86"/>
    <w:rsid w:val="009B1D9B"/>
    <w:rsid w:val="009B4074"/>
    <w:rsid w:val="009C30BB"/>
    <w:rsid w:val="009C60BE"/>
    <w:rsid w:val="009D50E8"/>
    <w:rsid w:val="009E6279"/>
    <w:rsid w:val="009F00A6"/>
    <w:rsid w:val="009F56A7"/>
    <w:rsid w:val="009F5B05"/>
    <w:rsid w:val="00A026CA"/>
    <w:rsid w:val="00A07232"/>
    <w:rsid w:val="00A1322C"/>
    <w:rsid w:val="00A14800"/>
    <w:rsid w:val="00A156DE"/>
    <w:rsid w:val="00A157ED"/>
    <w:rsid w:val="00A2446A"/>
    <w:rsid w:val="00A4025D"/>
    <w:rsid w:val="00A60F39"/>
    <w:rsid w:val="00A62183"/>
    <w:rsid w:val="00A800D1"/>
    <w:rsid w:val="00A92699"/>
    <w:rsid w:val="00AB5BF0"/>
    <w:rsid w:val="00AC1186"/>
    <w:rsid w:val="00AC1C95"/>
    <w:rsid w:val="00AC2CCB"/>
    <w:rsid w:val="00AC443A"/>
    <w:rsid w:val="00AE60E2"/>
    <w:rsid w:val="00AE69EE"/>
    <w:rsid w:val="00B0169F"/>
    <w:rsid w:val="00B05F21"/>
    <w:rsid w:val="00B14EA9"/>
    <w:rsid w:val="00B30A3C"/>
    <w:rsid w:val="00B81305"/>
    <w:rsid w:val="00BB17DC"/>
    <w:rsid w:val="00BB1AF9"/>
    <w:rsid w:val="00BB4C4A"/>
    <w:rsid w:val="00BC7F12"/>
    <w:rsid w:val="00BD3CAE"/>
    <w:rsid w:val="00BD5F3C"/>
    <w:rsid w:val="00C07C0F"/>
    <w:rsid w:val="00C12210"/>
    <w:rsid w:val="00C145C4"/>
    <w:rsid w:val="00C20D2F"/>
    <w:rsid w:val="00C2131B"/>
    <w:rsid w:val="00C37AF8"/>
    <w:rsid w:val="00C37C79"/>
    <w:rsid w:val="00C41BBC"/>
    <w:rsid w:val="00C51419"/>
    <w:rsid w:val="00C529B5"/>
    <w:rsid w:val="00C54056"/>
    <w:rsid w:val="00C663A3"/>
    <w:rsid w:val="00C75CB2"/>
    <w:rsid w:val="00C90723"/>
    <w:rsid w:val="00C90D5C"/>
    <w:rsid w:val="00CA609E"/>
    <w:rsid w:val="00CA7DA4"/>
    <w:rsid w:val="00CB31FB"/>
    <w:rsid w:val="00CD074F"/>
    <w:rsid w:val="00CE3D6F"/>
    <w:rsid w:val="00CE632D"/>
    <w:rsid w:val="00CE79A5"/>
    <w:rsid w:val="00CF0042"/>
    <w:rsid w:val="00CF262F"/>
    <w:rsid w:val="00D025D5"/>
    <w:rsid w:val="00D163F5"/>
    <w:rsid w:val="00D26B13"/>
    <w:rsid w:val="00D26CC1"/>
    <w:rsid w:val="00D30662"/>
    <w:rsid w:val="00D32A0B"/>
    <w:rsid w:val="00D6236B"/>
    <w:rsid w:val="00D7482E"/>
    <w:rsid w:val="00D76358"/>
    <w:rsid w:val="00D809D1"/>
    <w:rsid w:val="00D84ECF"/>
    <w:rsid w:val="00D90EAC"/>
    <w:rsid w:val="00DA2851"/>
    <w:rsid w:val="00DA2B7C"/>
    <w:rsid w:val="00DA5686"/>
    <w:rsid w:val="00DB2FC0"/>
    <w:rsid w:val="00DC5483"/>
    <w:rsid w:val="00DF18FA"/>
    <w:rsid w:val="00DF36C9"/>
    <w:rsid w:val="00DF49CA"/>
    <w:rsid w:val="00DF775B"/>
    <w:rsid w:val="00E007F3"/>
    <w:rsid w:val="00E00DEA"/>
    <w:rsid w:val="00E06EF0"/>
    <w:rsid w:val="00E11679"/>
    <w:rsid w:val="00E307D1"/>
    <w:rsid w:val="00E36948"/>
    <w:rsid w:val="00E37C06"/>
    <w:rsid w:val="00E46A04"/>
    <w:rsid w:val="00E51AD4"/>
    <w:rsid w:val="00E5236E"/>
    <w:rsid w:val="00E555F6"/>
    <w:rsid w:val="00E717F3"/>
    <w:rsid w:val="00E72C5E"/>
    <w:rsid w:val="00E73451"/>
    <w:rsid w:val="00E7489F"/>
    <w:rsid w:val="00E75147"/>
    <w:rsid w:val="00E8167D"/>
    <w:rsid w:val="00E85AC9"/>
    <w:rsid w:val="00E86BB3"/>
    <w:rsid w:val="00E907E9"/>
    <w:rsid w:val="00E96BE7"/>
    <w:rsid w:val="00EA2CD0"/>
    <w:rsid w:val="00EC0044"/>
    <w:rsid w:val="00EC3E37"/>
    <w:rsid w:val="00EC6B9F"/>
    <w:rsid w:val="00ED39C2"/>
    <w:rsid w:val="00EE516D"/>
    <w:rsid w:val="00EF4D1B"/>
    <w:rsid w:val="00EF7295"/>
    <w:rsid w:val="00F069D1"/>
    <w:rsid w:val="00F1503D"/>
    <w:rsid w:val="00F22712"/>
    <w:rsid w:val="00F22732"/>
    <w:rsid w:val="00F275F5"/>
    <w:rsid w:val="00F33188"/>
    <w:rsid w:val="00F35BDE"/>
    <w:rsid w:val="00F52A0E"/>
    <w:rsid w:val="00F71F63"/>
    <w:rsid w:val="00F8172E"/>
    <w:rsid w:val="00F87506"/>
    <w:rsid w:val="00F92C41"/>
    <w:rsid w:val="00F970D2"/>
    <w:rsid w:val="00FA125C"/>
    <w:rsid w:val="00FA5522"/>
    <w:rsid w:val="00FA6E4A"/>
    <w:rsid w:val="00FB2B35"/>
    <w:rsid w:val="00FC4AE1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84613B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,5_G,Footnote Text Char Char Char Char Char,Footnote Text Char Char Char Char,Footnote reference,FA Fu,Footnote Text Char Char Char"/>
    <w:basedOn w:val="Normal"/>
    <w:link w:val="FootnoteTextChar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,4_G,Footnote numbe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ChG">
    <w:name w:val="_ H _Ch_G"/>
    <w:basedOn w:val="Normal"/>
    <w:next w:val="Normal"/>
    <w:rsid w:val="000E0608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en-GB"/>
    </w:r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H1G">
    <w:name w:val="_ H_1_G"/>
    <w:basedOn w:val="Normal"/>
    <w:next w:val="Normal"/>
    <w:rsid w:val="000E0608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val="en-GB"/>
    </w:rPr>
  </w:style>
  <w:style w:type="paragraph" w:customStyle="1" w:styleId="H1GR">
    <w:name w:val="_ H_1_GR"/>
    <w:basedOn w:val="Normal"/>
    <w:next w:val="Normal"/>
    <w:link w:val="H1GR0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character" w:customStyle="1" w:styleId="FootnoteTextChar">
    <w:name w:val="Footnote Text Char"/>
    <w:aliases w:val="5_GR Char,5_G Char,Footnote Text Char Char Char Char Char Char,Footnote Text Char Char Char Char Char1,Footnote reference Char,FA Fu Char,Footnote Text Char Char Char Char1"/>
    <w:link w:val="FootnoteText"/>
    <w:locked/>
    <w:rsid w:val="000E0608"/>
    <w:rPr>
      <w:spacing w:val="5"/>
      <w:w w:val="104"/>
      <w:kern w:val="14"/>
      <w:sz w:val="18"/>
      <w:lang w:val="en-GB" w:eastAsia="ru-RU" w:bidi="ar-SA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H23G">
    <w:name w:val="_ H_2/3_G"/>
    <w:basedOn w:val="Normal"/>
    <w:next w:val="Normal"/>
    <w:rsid w:val="000E0608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jc w:val="both"/>
    </w:pPr>
    <w:rPr>
      <w:b/>
      <w:spacing w:val="0"/>
      <w:w w:val="100"/>
      <w:kern w:val="0"/>
      <w:lang w:val="en-GB"/>
    </w:rPr>
  </w:style>
  <w:style w:type="paragraph" w:styleId="BalloonText">
    <w:name w:val="Balloon Text"/>
    <w:basedOn w:val="Normal"/>
    <w:link w:val="BalloonTextChar"/>
    <w:rsid w:val="000E0608"/>
    <w:pPr>
      <w:spacing w:line="240" w:lineRule="auto"/>
      <w:ind w:left="1134" w:right="1134"/>
      <w:jc w:val="both"/>
    </w:pPr>
    <w:rPr>
      <w:rFonts w:ascii="Tahoma" w:hAnsi="Tahoma" w:cs="Tahoma"/>
      <w:spacing w:val="0"/>
      <w:w w:val="100"/>
      <w:kern w:val="0"/>
      <w:sz w:val="16"/>
      <w:szCs w:val="16"/>
      <w:lang w:eastAsia="ru-RU"/>
    </w:rPr>
  </w:style>
  <w:style w:type="character" w:customStyle="1" w:styleId="BalloonTextChar">
    <w:name w:val="Balloon Text Char"/>
    <w:link w:val="BalloonText"/>
    <w:rsid w:val="000E0608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SingleTxtG">
    <w:name w:val="_ Single Txt_G"/>
    <w:basedOn w:val="Normal"/>
    <w:link w:val="SingleTxtGChar"/>
    <w:rsid w:val="000E0608"/>
    <w:pPr>
      <w:suppressAutoHyphens/>
      <w:spacing w:after="120"/>
      <w:ind w:left="1134" w:right="1134"/>
      <w:jc w:val="both"/>
    </w:pPr>
    <w:rPr>
      <w:spacing w:val="0"/>
      <w:w w:val="100"/>
      <w:kern w:val="0"/>
      <w:lang w:val="x-none"/>
    </w:rPr>
  </w:style>
  <w:style w:type="character" w:customStyle="1" w:styleId="SingleTxtGChar">
    <w:name w:val="_ Single Txt_G Char"/>
    <w:link w:val="SingleTxtG"/>
    <w:locked/>
    <w:rsid w:val="000E0608"/>
    <w:rPr>
      <w:lang w:val="x-none" w:eastAsia="en-US" w:bidi="ar-SA"/>
    </w:rPr>
  </w:style>
  <w:style w:type="paragraph" w:customStyle="1" w:styleId="H4G">
    <w:name w:val="_ H_4_G"/>
    <w:basedOn w:val="Normal"/>
    <w:next w:val="Normal"/>
    <w:rsid w:val="000E0608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  <w:spacing w:val="0"/>
      <w:w w:val="100"/>
      <w:kern w:val="0"/>
      <w:lang w:val="en-GB"/>
    </w:rPr>
  </w:style>
  <w:style w:type="character" w:customStyle="1" w:styleId="H1GR0">
    <w:name w:val="_ H_1_GR Знак"/>
    <w:link w:val="H1GR"/>
    <w:rsid w:val="005C0D24"/>
    <w:rPr>
      <w:b/>
      <w:spacing w:val="4"/>
      <w:w w:val="103"/>
      <w:kern w:val="14"/>
      <w:sz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CP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</Template>
  <TotalTime>0</TotalTime>
  <Pages>13</Pages>
  <Words>4152</Words>
  <Characters>28238</Characters>
  <Application>Microsoft Office Word</Application>
  <DocSecurity>4</DocSecurity>
  <Lines>543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1240194</vt:lpstr>
    </vt:vector>
  </TitlesOfParts>
  <Company>CSD</Company>
  <LinksUpToDate>false</LinksUpToDate>
  <CharactersWithSpaces>32263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1240194</dc:title>
  <dc:subject>Dratchov</dc:subject>
  <dc:creator>Chvets</dc:creator>
  <cp:keywords/>
  <dc:description/>
  <cp:lastModifiedBy>Chvets</cp:lastModifiedBy>
  <cp:revision>2</cp:revision>
  <cp:lastPrinted>1601-01-01T00:00:00Z</cp:lastPrinted>
  <dcterms:created xsi:type="dcterms:W3CDTF">2012-02-24T06:51:00Z</dcterms:created>
  <dcterms:modified xsi:type="dcterms:W3CDTF">2012-02-24T06:51:00Z</dcterms:modified>
</cp:coreProperties>
</file>