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7597F" w:rsidTr="00642C45">
        <w:trPr>
          <w:cantSplit/>
          <w:trHeight w:hRule="exact" w:val="851"/>
        </w:trPr>
        <w:tc>
          <w:tcPr>
            <w:tcW w:w="4536" w:type="dxa"/>
            <w:gridSpan w:val="2"/>
            <w:tcBorders>
              <w:bottom w:val="single" w:sz="4" w:space="0" w:color="auto"/>
            </w:tcBorders>
            <w:vAlign w:val="bottom"/>
          </w:tcPr>
          <w:p w:rsidR="0087597F" w:rsidRPr="00B97172" w:rsidRDefault="0087597F" w:rsidP="00642C45">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7597F" w:rsidRPr="00EA2819" w:rsidRDefault="0087597F" w:rsidP="00642C45">
            <w:pPr>
              <w:spacing w:after="80" w:line="240" w:lineRule="auto"/>
              <w:jc w:val="right"/>
            </w:pPr>
          </w:p>
        </w:tc>
        <w:tc>
          <w:tcPr>
            <w:tcW w:w="4962" w:type="dxa"/>
            <w:gridSpan w:val="2"/>
            <w:tcBorders>
              <w:left w:val="nil"/>
              <w:bottom w:val="single" w:sz="4" w:space="0" w:color="auto"/>
            </w:tcBorders>
            <w:vAlign w:val="bottom"/>
          </w:tcPr>
          <w:p w:rsidR="0087597F" w:rsidRPr="00414448" w:rsidRDefault="0087597F" w:rsidP="00642C45">
            <w:pPr>
              <w:spacing w:after="80"/>
              <w:jc w:val="right"/>
              <w:rPr>
                <w:lang w:val="en-US"/>
              </w:rPr>
            </w:pPr>
            <w:r w:rsidRPr="000B4B07">
              <w:rPr>
                <w:sz w:val="40"/>
                <w:szCs w:val="40"/>
                <w:lang w:val="en-US"/>
              </w:rPr>
              <w:t>CCPR</w:t>
            </w:r>
            <w:r>
              <w:rPr>
                <w:lang w:val="en-US"/>
              </w:rPr>
              <w:t>/</w:t>
            </w:r>
            <w:r w:rsidR="00CD5239">
              <w:fldChar w:fldCharType="begin"/>
            </w:r>
            <w:r w:rsidR="00CD5239">
              <w:instrText xml:space="preserve"> FILLIN  "Введите часть символа после CCPR/"  \* MERGEFORMAT </w:instrText>
            </w:r>
            <w:r w:rsidR="00CD5239">
              <w:fldChar w:fldCharType="separate"/>
            </w:r>
            <w:r w:rsidR="007C3490">
              <w:t>C/115/D/2016/2010</w:t>
            </w:r>
            <w:r w:rsidR="00CD5239">
              <w:fldChar w:fldCharType="end"/>
            </w:r>
          </w:p>
        </w:tc>
      </w:tr>
      <w:tr w:rsidR="0087597F" w:rsidRPr="002C048B" w:rsidTr="00642C45">
        <w:trPr>
          <w:cantSplit/>
          <w:trHeight w:hRule="exact" w:val="2835"/>
        </w:trPr>
        <w:tc>
          <w:tcPr>
            <w:tcW w:w="1276" w:type="dxa"/>
            <w:tcBorders>
              <w:top w:val="single" w:sz="4" w:space="0" w:color="auto"/>
              <w:bottom w:val="single" w:sz="12" w:space="0" w:color="auto"/>
            </w:tcBorders>
          </w:tcPr>
          <w:p w:rsidR="0087597F" w:rsidRDefault="0087597F" w:rsidP="00642C45">
            <w:pPr>
              <w:spacing w:before="120"/>
              <w:jc w:val="center"/>
            </w:pPr>
            <w:r>
              <w:rPr>
                <w:noProof/>
                <w:lang w:eastAsia="ru-RU"/>
              </w:rPr>
              <w:drawing>
                <wp:inline distT="0" distB="0" distL="0" distR="0" wp14:anchorId="4797DD5D" wp14:editId="281414CD">
                  <wp:extent cx="714375" cy="591820"/>
                  <wp:effectExtent l="0" t="0" r="9525" b="0"/>
                  <wp:docPr id="3"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rsidR="0087597F" w:rsidRPr="0084613B" w:rsidRDefault="0087597F" w:rsidP="00642C45">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 xml:space="preserve">о гражданских и политических </w:t>
            </w:r>
            <w:r w:rsidRPr="0087597F">
              <w:rPr>
                <w:b/>
                <w:spacing w:val="-4"/>
                <w:w w:val="100"/>
                <w:sz w:val="34"/>
                <w:szCs w:val="34"/>
              </w:rPr>
              <w:br/>
            </w:r>
            <w:r w:rsidRPr="0084613B">
              <w:rPr>
                <w:b/>
                <w:spacing w:val="-4"/>
                <w:w w:val="100"/>
                <w:sz w:val="34"/>
                <w:szCs w:val="34"/>
              </w:rPr>
              <w:t>правах</w:t>
            </w:r>
          </w:p>
        </w:tc>
        <w:tc>
          <w:tcPr>
            <w:tcW w:w="2835" w:type="dxa"/>
            <w:tcBorders>
              <w:top w:val="single" w:sz="4" w:space="0" w:color="auto"/>
              <w:bottom w:val="single" w:sz="12" w:space="0" w:color="auto"/>
            </w:tcBorders>
          </w:tcPr>
          <w:p w:rsidR="0087597F" w:rsidRPr="0087597F" w:rsidRDefault="0087597F" w:rsidP="00642C45">
            <w:pPr>
              <w:spacing w:before="240"/>
            </w:pPr>
            <w:r>
              <w:rPr>
                <w:lang w:val="en-US"/>
              </w:rPr>
              <w:t>Distr</w:t>
            </w:r>
            <w:r>
              <w:t>.:</w:t>
            </w:r>
            <w:r w:rsidRPr="0087597F">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sidRPr="0087597F">
              <w:instrText xml:space="preserve"> </w:instrText>
            </w:r>
            <w:r>
              <w:rPr>
                <w:lang w:val="en-US"/>
              </w:rPr>
              <w:instrText>FORMDROPDOWN</w:instrText>
            </w:r>
            <w:r w:rsidRPr="0087597F">
              <w:instrText xml:space="preserve"> </w:instrText>
            </w:r>
            <w:r w:rsidR="00CD5239">
              <w:fldChar w:fldCharType="separate"/>
            </w:r>
            <w:r>
              <w:fldChar w:fldCharType="end"/>
            </w:r>
            <w:bookmarkEnd w:id="0"/>
          </w:p>
          <w:p w:rsidR="0087597F" w:rsidRPr="0087597F" w:rsidRDefault="0087597F" w:rsidP="00642C45">
            <w:r>
              <w:rPr>
                <w:lang w:val="en-US"/>
              </w:rPr>
              <w:fldChar w:fldCharType="begin"/>
            </w:r>
            <w:r w:rsidRPr="0087597F">
              <w:instrText xml:space="preserve"> </w:instrText>
            </w:r>
            <w:r>
              <w:rPr>
                <w:lang w:val="en-US"/>
              </w:rPr>
              <w:instrText>FILLIN</w:instrText>
            </w:r>
            <w:r w:rsidRPr="0087597F">
              <w:instrText xml:space="preserve">  "Введите дату документа" \* </w:instrText>
            </w:r>
            <w:r>
              <w:rPr>
                <w:lang w:val="en-US"/>
              </w:rPr>
              <w:instrText>MERGEFORMAT</w:instrText>
            </w:r>
            <w:r w:rsidRPr="0087597F">
              <w:instrText xml:space="preserve"> </w:instrText>
            </w:r>
            <w:r>
              <w:rPr>
                <w:lang w:val="en-US"/>
              </w:rPr>
              <w:fldChar w:fldCharType="separate"/>
            </w:r>
            <w:r w:rsidR="007C3490">
              <w:rPr>
                <w:lang w:val="en-US"/>
              </w:rPr>
              <w:t>28 December 2015</w:t>
            </w:r>
            <w:r>
              <w:rPr>
                <w:lang w:val="en-US"/>
              </w:rPr>
              <w:fldChar w:fldCharType="end"/>
            </w:r>
          </w:p>
          <w:p w:rsidR="0087597F" w:rsidRDefault="0087597F" w:rsidP="00642C45">
            <w:r>
              <w:rPr>
                <w:lang w:val="en-US"/>
              </w:rPr>
              <w:t>Russian</w:t>
            </w:r>
          </w:p>
          <w:p w:rsidR="0087597F" w:rsidRDefault="0087597F" w:rsidP="00642C45">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87597F">
              <w:instrText xml:space="preserve"> </w:instrText>
            </w:r>
            <w:r>
              <w:rPr>
                <w:lang w:val="en-US"/>
              </w:rPr>
              <w:instrText>FORMDROPDOWN</w:instrText>
            </w:r>
            <w:r w:rsidRPr="0087597F">
              <w:instrText xml:space="preserve"> </w:instrText>
            </w:r>
            <w:r w:rsidR="00CD5239">
              <w:fldChar w:fldCharType="separate"/>
            </w:r>
            <w:r>
              <w:fldChar w:fldCharType="end"/>
            </w:r>
            <w:bookmarkEnd w:id="1"/>
          </w:p>
          <w:p w:rsidR="0087597F" w:rsidRPr="002C048B" w:rsidRDefault="0087597F" w:rsidP="00642C45"/>
        </w:tc>
      </w:tr>
    </w:tbl>
    <w:p w:rsidR="0087597F" w:rsidRPr="007A2D6B" w:rsidRDefault="007A2D6B" w:rsidP="007A2D6B">
      <w:pPr>
        <w:spacing w:before="120"/>
        <w:rPr>
          <w:b/>
          <w:sz w:val="24"/>
          <w:szCs w:val="24"/>
        </w:rPr>
      </w:pPr>
      <w:r w:rsidRPr="007A2D6B">
        <w:rPr>
          <w:b/>
          <w:sz w:val="24"/>
          <w:szCs w:val="24"/>
        </w:rPr>
        <w:t>Комитет по правам человека</w:t>
      </w:r>
    </w:p>
    <w:p w:rsidR="007A2D6B" w:rsidRPr="007A2D6B" w:rsidRDefault="007A2D6B" w:rsidP="007A2D6B">
      <w:pPr>
        <w:pStyle w:val="HChGR"/>
      </w:pPr>
      <w:r w:rsidRPr="007A2D6B">
        <w:tab/>
      </w:r>
      <w:r w:rsidRPr="007A2D6B">
        <w:tab/>
        <w:t>Сообщение № 2016/2010</w:t>
      </w:r>
    </w:p>
    <w:p w:rsidR="007A2D6B" w:rsidRPr="007A2D6B" w:rsidRDefault="007A2D6B" w:rsidP="007A2D6B">
      <w:pPr>
        <w:pStyle w:val="H1GR"/>
      </w:pPr>
      <w:r w:rsidRPr="007A2D6B">
        <w:tab/>
      </w:r>
      <w:r w:rsidRPr="007A2D6B">
        <w:tab/>
        <w:t xml:space="preserve">Соображения, принятые Комитетом на его 115-й сессии </w:t>
      </w:r>
      <w:r w:rsidRPr="007A2D6B">
        <w:br/>
        <w:t>(19 октября</w:t>
      </w:r>
      <w:r w:rsidR="000B0BCF">
        <w:t xml:space="preserve"> – </w:t>
      </w:r>
      <w:r w:rsidRPr="007A2D6B">
        <w:t>6 ноября 2015 года)</w:t>
      </w:r>
    </w:p>
    <w:tbl>
      <w:tblPr>
        <w:tblStyle w:val="TabTxt"/>
        <w:tblW w:w="6768" w:type="dxa"/>
        <w:tblInd w:w="1736" w:type="dxa"/>
        <w:tblBorders>
          <w:top w:val="none" w:sz="0" w:space="0" w:color="auto"/>
          <w:bottom w:val="none" w:sz="0" w:space="0" w:color="auto"/>
        </w:tblBorders>
        <w:tblLook w:val="05E0" w:firstRow="1" w:lastRow="1" w:firstColumn="1" w:lastColumn="1" w:noHBand="0" w:noVBand="1"/>
      </w:tblPr>
      <w:tblGrid>
        <w:gridCol w:w="3010"/>
        <w:gridCol w:w="3758"/>
      </w:tblGrid>
      <w:tr w:rsidR="000B0BCF" w:rsidRPr="00783A17" w:rsidTr="00962472">
        <w:tc>
          <w:tcPr>
            <w:tcW w:w="3010" w:type="dxa"/>
            <w:tcMar>
              <w:left w:w="0" w:type="dxa"/>
              <w:right w:w="0" w:type="dxa"/>
            </w:tcMar>
          </w:tcPr>
          <w:p w:rsidR="000B0BCF" w:rsidRPr="00954ED7" w:rsidRDefault="000B0BCF" w:rsidP="00642C45">
            <w:pPr>
              <w:suppressAutoHyphens/>
              <w:spacing w:before="0"/>
              <w:ind w:left="34"/>
              <w:rPr>
                <w:i/>
              </w:rPr>
            </w:pPr>
            <w:r w:rsidRPr="00954ED7">
              <w:rPr>
                <w:i/>
              </w:rPr>
              <w:t>Представлено:</w:t>
            </w:r>
          </w:p>
        </w:tc>
        <w:tc>
          <w:tcPr>
            <w:cnfStyle w:val="000100000000" w:firstRow="0" w:lastRow="0" w:firstColumn="0" w:lastColumn="1" w:oddVBand="0" w:evenVBand="0" w:oddHBand="0" w:evenHBand="0" w:firstRowFirstColumn="0" w:firstRowLastColumn="0" w:lastRowFirstColumn="0" w:lastRowLastColumn="0"/>
            <w:tcW w:w="3758"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tcPr>
          <w:p w:rsidR="000B0BCF" w:rsidRPr="00783A17" w:rsidRDefault="000B0BCF" w:rsidP="00642C45">
            <w:pPr>
              <w:suppressAutoHyphens/>
              <w:spacing w:before="0"/>
              <w:ind w:left="34"/>
            </w:pPr>
            <w:r w:rsidRPr="00783A17">
              <w:t xml:space="preserve">Леонидом Судаленко (адвокатом </w:t>
            </w:r>
            <w:r>
              <w:br/>
            </w:r>
            <w:r w:rsidRPr="00783A17">
              <w:t xml:space="preserve">не </w:t>
            </w:r>
            <w:proofErr w:type="gramStart"/>
            <w:r w:rsidRPr="00783A17">
              <w:t>представлен</w:t>
            </w:r>
            <w:proofErr w:type="gramEnd"/>
            <w:r w:rsidRPr="00783A17">
              <w:t>)</w:t>
            </w:r>
          </w:p>
        </w:tc>
      </w:tr>
      <w:tr w:rsidR="000B0BCF" w:rsidRPr="00783A17" w:rsidTr="00962472">
        <w:tc>
          <w:tcPr>
            <w:tcW w:w="3010" w:type="dxa"/>
            <w:tcMar>
              <w:left w:w="0" w:type="dxa"/>
              <w:right w:w="0" w:type="dxa"/>
            </w:tcMar>
          </w:tcPr>
          <w:p w:rsidR="000B0BCF" w:rsidRPr="00783A17" w:rsidRDefault="000B0BCF" w:rsidP="00642C45">
            <w:pPr>
              <w:suppressAutoHyphens/>
              <w:spacing w:before="0"/>
              <w:ind w:left="34"/>
              <w:rPr>
                <w:i/>
              </w:rPr>
            </w:pPr>
            <w:r w:rsidRPr="00783A17">
              <w:rPr>
                <w:i/>
              </w:rPr>
              <w:t>Предполагаемая жертва:</w:t>
            </w:r>
          </w:p>
        </w:tc>
        <w:tc>
          <w:tcPr>
            <w:cnfStyle w:val="000100000000" w:firstRow="0" w:lastRow="0" w:firstColumn="0" w:lastColumn="1" w:oddVBand="0" w:evenVBand="0" w:oddHBand="0" w:evenHBand="0" w:firstRowFirstColumn="0" w:firstRowLastColumn="0" w:lastRowFirstColumn="0" w:lastRowLastColumn="0"/>
            <w:tcW w:w="3758" w:type="dxa"/>
            <w:tcBorders>
              <w:left w:val="none" w:sz="0" w:space="0" w:color="auto"/>
              <w:bottom w:val="none" w:sz="0" w:space="0" w:color="auto"/>
              <w:right w:val="none" w:sz="0" w:space="0" w:color="auto"/>
              <w:tl2br w:val="none" w:sz="0" w:space="0" w:color="auto"/>
              <w:tr2bl w:val="none" w:sz="0" w:space="0" w:color="auto"/>
            </w:tcBorders>
            <w:tcMar>
              <w:left w:w="0" w:type="dxa"/>
              <w:right w:w="0" w:type="dxa"/>
            </w:tcMar>
          </w:tcPr>
          <w:p w:rsidR="000B0BCF" w:rsidRPr="00783A17" w:rsidRDefault="000B0BCF" w:rsidP="00642C45">
            <w:pPr>
              <w:suppressAutoHyphens/>
              <w:spacing w:before="0"/>
              <w:ind w:left="34"/>
            </w:pPr>
            <w:r w:rsidRPr="00783A17">
              <w:t>автор сообщения</w:t>
            </w:r>
          </w:p>
        </w:tc>
      </w:tr>
      <w:tr w:rsidR="000B0BCF" w:rsidRPr="00783A17" w:rsidTr="00962472">
        <w:tc>
          <w:tcPr>
            <w:tcW w:w="3010" w:type="dxa"/>
            <w:tcMar>
              <w:left w:w="0" w:type="dxa"/>
              <w:right w:w="0" w:type="dxa"/>
            </w:tcMar>
          </w:tcPr>
          <w:p w:rsidR="000B0BCF" w:rsidRPr="00783A17" w:rsidRDefault="000B0BCF" w:rsidP="00642C45">
            <w:pPr>
              <w:suppressAutoHyphens/>
              <w:spacing w:before="0"/>
              <w:ind w:left="34"/>
              <w:rPr>
                <w:i/>
              </w:rPr>
            </w:pPr>
            <w:r w:rsidRPr="00783A17">
              <w:rPr>
                <w:i/>
              </w:rPr>
              <w:t>Государство-участник:</w:t>
            </w:r>
          </w:p>
        </w:tc>
        <w:tc>
          <w:tcPr>
            <w:cnfStyle w:val="000100000000" w:firstRow="0" w:lastRow="0" w:firstColumn="0" w:lastColumn="1" w:oddVBand="0" w:evenVBand="0" w:oddHBand="0" w:evenHBand="0" w:firstRowFirstColumn="0" w:firstRowLastColumn="0" w:lastRowFirstColumn="0" w:lastRowLastColumn="0"/>
            <w:tcW w:w="3758" w:type="dxa"/>
            <w:tcBorders>
              <w:left w:val="none" w:sz="0" w:space="0" w:color="auto"/>
              <w:bottom w:val="none" w:sz="0" w:space="0" w:color="auto"/>
              <w:right w:val="none" w:sz="0" w:space="0" w:color="auto"/>
              <w:tl2br w:val="none" w:sz="0" w:space="0" w:color="auto"/>
              <w:tr2bl w:val="none" w:sz="0" w:space="0" w:color="auto"/>
            </w:tcBorders>
            <w:tcMar>
              <w:left w:w="0" w:type="dxa"/>
              <w:right w:w="0" w:type="dxa"/>
            </w:tcMar>
          </w:tcPr>
          <w:p w:rsidR="000B0BCF" w:rsidRPr="00783A17" w:rsidRDefault="000B0BCF" w:rsidP="00642C45">
            <w:pPr>
              <w:suppressAutoHyphens/>
              <w:spacing w:before="0"/>
              <w:ind w:left="34"/>
            </w:pPr>
            <w:r w:rsidRPr="00783A17">
              <w:t>Беларусь</w:t>
            </w:r>
          </w:p>
        </w:tc>
      </w:tr>
      <w:tr w:rsidR="000B0BCF" w:rsidRPr="00954ED7" w:rsidTr="00962472">
        <w:tc>
          <w:tcPr>
            <w:tcW w:w="3010" w:type="dxa"/>
            <w:tcMar>
              <w:left w:w="0" w:type="dxa"/>
              <w:right w:w="0" w:type="dxa"/>
            </w:tcMar>
          </w:tcPr>
          <w:p w:rsidR="000B0BCF" w:rsidRPr="00783A17" w:rsidRDefault="000B0BCF" w:rsidP="00642C45">
            <w:pPr>
              <w:suppressAutoHyphens/>
              <w:spacing w:before="0"/>
              <w:ind w:left="34"/>
              <w:rPr>
                <w:i/>
              </w:rPr>
            </w:pPr>
            <w:r w:rsidRPr="00783A17">
              <w:rPr>
                <w:i/>
              </w:rPr>
              <w:t>Дата сообщения:</w:t>
            </w:r>
          </w:p>
        </w:tc>
        <w:tc>
          <w:tcPr>
            <w:cnfStyle w:val="000100000000" w:firstRow="0" w:lastRow="0" w:firstColumn="0" w:lastColumn="1" w:oddVBand="0" w:evenVBand="0" w:oddHBand="0" w:evenHBand="0" w:firstRowFirstColumn="0" w:firstRowLastColumn="0" w:lastRowFirstColumn="0" w:lastRowLastColumn="0"/>
            <w:tcW w:w="3758" w:type="dxa"/>
            <w:tcBorders>
              <w:left w:val="none" w:sz="0" w:space="0" w:color="auto"/>
              <w:bottom w:val="none" w:sz="0" w:space="0" w:color="auto"/>
              <w:right w:val="none" w:sz="0" w:space="0" w:color="auto"/>
              <w:tl2br w:val="none" w:sz="0" w:space="0" w:color="auto"/>
              <w:tr2bl w:val="none" w:sz="0" w:space="0" w:color="auto"/>
            </w:tcBorders>
            <w:tcMar>
              <w:left w:w="0" w:type="dxa"/>
              <w:right w:w="0" w:type="dxa"/>
            </w:tcMar>
          </w:tcPr>
          <w:p w:rsidR="000B0BCF" w:rsidRPr="00954ED7" w:rsidRDefault="000B0BCF" w:rsidP="00642C45">
            <w:pPr>
              <w:suppressAutoHyphens/>
              <w:spacing w:before="0"/>
              <w:ind w:left="34"/>
            </w:pPr>
            <w:r w:rsidRPr="00783A17">
              <w:t>23 мая 2010 года (первоначальное предс</w:t>
            </w:r>
            <w:r w:rsidRPr="00954ED7">
              <w:t>тавление)</w:t>
            </w:r>
          </w:p>
        </w:tc>
      </w:tr>
      <w:tr w:rsidR="000B0BCF" w:rsidRPr="00783A17" w:rsidTr="00962472">
        <w:tc>
          <w:tcPr>
            <w:tcW w:w="3010" w:type="dxa"/>
            <w:tcMar>
              <w:left w:w="0" w:type="dxa"/>
              <w:right w:w="0" w:type="dxa"/>
            </w:tcMar>
          </w:tcPr>
          <w:p w:rsidR="000B0BCF" w:rsidRPr="00954ED7" w:rsidRDefault="000B0BCF" w:rsidP="00642C45">
            <w:pPr>
              <w:suppressAutoHyphens/>
              <w:spacing w:before="0"/>
              <w:ind w:left="34"/>
              <w:rPr>
                <w:i/>
              </w:rPr>
            </w:pPr>
            <w:r w:rsidRPr="00954ED7">
              <w:rPr>
                <w:i/>
              </w:rPr>
              <w:t>Справочная документация:</w:t>
            </w:r>
          </w:p>
        </w:tc>
        <w:tc>
          <w:tcPr>
            <w:cnfStyle w:val="000100000000" w:firstRow="0" w:lastRow="0" w:firstColumn="0" w:lastColumn="1" w:oddVBand="0" w:evenVBand="0" w:oddHBand="0" w:evenHBand="0" w:firstRowFirstColumn="0" w:firstRowLastColumn="0" w:lastRowFirstColumn="0" w:lastRowLastColumn="0"/>
            <w:tcW w:w="3758" w:type="dxa"/>
            <w:tcBorders>
              <w:left w:val="none" w:sz="0" w:space="0" w:color="auto"/>
              <w:bottom w:val="none" w:sz="0" w:space="0" w:color="auto"/>
              <w:right w:val="none" w:sz="0" w:space="0" w:color="auto"/>
              <w:tl2br w:val="none" w:sz="0" w:space="0" w:color="auto"/>
              <w:tr2bl w:val="none" w:sz="0" w:space="0" w:color="auto"/>
            </w:tcBorders>
            <w:tcMar>
              <w:left w:w="0" w:type="dxa"/>
              <w:right w:w="0" w:type="dxa"/>
            </w:tcMar>
          </w:tcPr>
          <w:p w:rsidR="000B0BCF" w:rsidRPr="00783A17" w:rsidRDefault="000B0BCF" w:rsidP="00642C45">
            <w:pPr>
              <w:suppressAutoHyphens/>
              <w:spacing w:before="0"/>
              <w:ind w:left="34"/>
            </w:pPr>
            <w:r w:rsidRPr="00783A17">
              <w:t>решение Специального докладчика в</w:t>
            </w:r>
            <w:r w:rsidRPr="00954ED7">
              <w:t> </w:t>
            </w:r>
            <w:r w:rsidRPr="00783A17">
              <w:t>соответствии с правилом 97, препровожденное государству-участнику 12 августа 2010 года (в виде документа не издавалось)</w:t>
            </w:r>
          </w:p>
        </w:tc>
      </w:tr>
      <w:tr w:rsidR="000B0BCF" w:rsidRPr="00954ED7" w:rsidTr="00962472">
        <w:tc>
          <w:tcPr>
            <w:tcW w:w="3010" w:type="dxa"/>
            <w:tcMar>
              <w:left w:w="0" w:type="dxa"/>
              <w:right w:w="0" w:type="dxa"/>
            </w:tcMar>
          </w:tcPr>
          <w:p w:rsidR="000B0BCF" w:rsidRPr="00954ED7" w:rsidRDefault="000B0BCF" w:rsidP="00642C45">
            <w:pPr>
              <w:suppressAutoHyphens/>
              <w:spacing w:before="0"/>
              <w:ind w:left="34"/>
              <w:rPr>
                <w:i/>
              </w:rPr>
            </w:pPr>
            <w:r w:rsidRPr="00954ED7">
              <w:rPr>
                <w:i/>
              </w:rPr>
              <w:t>Дата принятия Соображений:</w:t>
            </w:r>
          </w:p>
        </w:tc>
        <w:tc>
          <w:tcPr>
            <w:cnfStyle w:val="000100000000" w:firstRow="0" w:lastRow="0" w:firstColumn="0" w:lastColumn="1" w:oddVBand="0" w:evenVBand="0" w:oddHBand="0" w:evenHBand="0" w:firstRowFirstColumn="0" w:firstRowLastColumn="0" w:lastRowFirstColumn="0" w:lastRowLastColumn="0"/>
            <w:tcW w:w="3758" w:type="dxa"/>
            <w:tcBorders>
              <w:left w:val="none" w:sz="0" w:space="0" w:color="auto"/>
              <w:bottom w:val="none" w:sz="0" w:space="0" w:color="auto"/>
              <w:right w:val="none" w:sz="0" w:space="0" w:color="auto"/>
              <w:tl2br w:val="none" w:sz="0" w:space="0" w:color="auto"/>
              <w:tr2bl w:val="none" w:sz="0" w:space="0" w:color="auto"/>
            </w:tcBorders>
            <w:tcMar>
              <w:left w:w="0" w:type="dxa"/>
              <w:right w:w="0" w:type="dxa"/>
            </w:tcMar>
          </w:tcPr>
          <w:p w:rsidR="000B0BCF" w:rsidRPr="00954ED7" w:rsidRDefault="000B0BCF" w:rsidP="00642C45">
            <w:pPr>
              <w:suppressAutoHyphens/>
              <w:spacing w:before="0"/>
              <w:ind w:left="34"/>
            </w:pPr>
            <w:r w:rsidRPr="00954ED7">
              <w:t>5 ноября 2015 года</w:t>
            </w:r>
          </w:p>
        </w:tc>
      </w:tr>
      <w:tr w:rsidR="000B0BCF" w:rsidRPr="00783A17" w:rsidTr="00962472">
        <w:tc>
          <w:tcPr>
            <w:tcW w:w="3010" w:type="dxa"/>
            <w:tcMar>
              <w:left w:w="0" w:type="dxa"/>
              <w:right w:w="0" w:type="dxa"/>
            </w:tcMar>
          </w:tcPr>
          <w:p w:rsidR="000B0BCF" w:rsidRPr="00954ED7" w:rsidRDefault="000B0BCF" w:rsidP="00642C45">
            <w:pPr>
              <w:suppressAutoHyphens/>
              <w:spacing w:before="0"/>
              <w:ind w:left="34"/>
              <w:rPr>
                <w:i/>
              </w:rPr>
            </w:pPr>
            <w:r w:rsidRPr="00954ED7">
              <w:rPr>
                <w:i/>
              </w:rPr>
              <w:t>Тема сообщения:</w:t>
            </w:r>
          </w:p>
        </w:tc>
        <w:tc>
          <w:tcPr>
            <w:cnfStyle w:val="000100000000" w:firstRow="0" w:lastRow="0" w:firstColumn="0" w:lastColumn="1" w:oddVBand="0" w:evenVBand="0" w:oddHBand="0" w:evenHBand="0" w:firstRowFirstColumn="0" w:firstRowLastColumn="0" w:lastRowFirstColumn="0" w:lastRowLastColumn="0"/>
            <w:tcW w:w="3758" w:type="dxa"/>
            <w:tcBorders>
              <w:left w:val="none" w:sz="0" w:space="0" w:color="auto"/>
              <w:bottom w:val="none" w:sz="0" w:space="0" w:color="auto"/>
              <w:right w:val="none" w:sz="0" w:space="0" w:color="auto"/>
              <w:tl2br w:val="none" w:sz="0" w:space="0" w:color="auto"/>
              <w:tr2bl w:val="none" w:sz="0" w:space="0" w:color="auto"/>
            </w:tcBorders>
            <w:tcMar>
              <w:left w:w="0" w:type="dxa"/>
              <w:right w:w="0" w:type="dxa"/>
            </w:tcMar>
          </w:tcPr>
          <w:p w:rsidR="000B0BCF" w:rsidRPr="00783A17" w:rsidRDefault="000B0BCF" w:rsidP="00642C45">
            <w:pPr>
              <w:suppressAutoHyphens/>
              <w:spacing w:before="0"/>
              <w:ind w:left="34"/>
            </w:pPr>
            <w:r w:rsidRPr="00783A17">
              <w:t xml:space="preserve">отказ </w:t>
            </w:r>
            <w:r w:rsidRPr="00642C45">
              <w:rPr>
                <w:spacing w:val="2"/>
              </w:rPr>
              <w:t xml:space="preserve">в выдаче разрешения на проведение </w:t>
            </w:r>
            <w:r w:rsidRPr="00783A17">
              <w:t>мирного собрания; свобода выражения мнений; справедливое судебное разбирательство; право на эффективное средство правовой защиты</w:t>
            </w:r>
          </w:p>
        </w:tc>
      </w:tr>
      <w:tr w:rsidR="000B0BCF" w:rsidRPr="00783A17" w:rsidTr="00962472">
        <w:tc>
          <w:tcPr>
            <w:tcW w:w="3010" w:type="dxa"/>
            <w:tcMar>
              <w:left w:w="0" w:type="dxa"/>
              <w:right w:w="0" w:type="dxa"/>
            </w:tcMar>
          </w:tcPr>
          <w:p w:rsidR="000B0BCF" w:rsidRPr="00954ED7" w:rsidRDefault="000B0BCF" w:rsidP="00642C45">
            <w:pPr>
              <w:suppressAutoHyphens/>
              <w:spacing w:before="0"/>
              <w:ind w:left="34"/>
              <w:rPr>
                <w:i/>
              </w:rPr>
            </w:pPr>
            <w:r w:rsidRPr="00954ED7">
              <w:rPr>
                <w:i/>
              </w:rPr>
              <w:t xml:space="preserve">Процедурные вопросы: </w:t>
            </w:r>
          </w:p>
        </w:tc>
        <w:tc>
          <w:tcPr>
            <w:cnfStyle w:val="000100000000" w:firstRow="0" w:lastRow="0" w:firstColumn="0" w:lastColumn="1" w:oddVBand="0" w:evenVBand="0" w:oddHBand="0" w:evenHBand="0" w:firstRowFirstColumn="0" w:firstRowLastColumn="0" w:lastRowFirstColumn="0" w:lastRowLastColumn="0"/>
            <w:tcW w:w="3758" w:type="dxa"/>
            <w:tcBorders>
              <w:left w:val="none" w:sz="0" w:space="0" w:color="auto"/>
              <w:bottom w:val="none" w:sz="0" w:space="0" w:color="auto"/>
              <w:right w:val="none" w:sz="0" w:space="0" w:color="auto"/>
              <w:tl2br w:val="none" w:sz="0" w:space="0" w:color="auto"/>
              <w:tr2bl w:val="none" w:sz="0" w:space="0" w:color="auto"/>
            </w:tcBorders>
            <w:tcMar>
              <w:left w:w="0" w:type="dxa"/>
              <w:right w:w="0" w:type="dxa"/>
            </w:tcMar>
          </w:tcPr>
          <w:p w:rsidR="000B0BCF" w:rsidRPr="00783A17" w:rsidRDefault="000B0BCF" w:rsidP="00642C45">
            <w:pPr>
              <w:suppressAutoHyphens/>
              <w:spacing w:before="0"/>
              <w:ind w:left="34"/>
            </w:pPr>
            <w:r w:rsidRPr="00783A17">
              <w:t xml:space="preserve">приемлемость </w:t>
            </w:r>
            <w:r w:rsidRPr="00954ED7">
              <w:t>ratione</w:t>
            </w:r>
            <w:r w:rsidRPr="00783A17">
              <w:t xml:space="preserve"> </w:t>
            </w:r>
            <w:r w:rsidRPr="00954ED7">
              <w:t>materiae</w:t>
            </w:r>
            <w:r w:rsidRPr="00783A17">
              <w:t>; исчерпание внутренних сре</w:t>
            </w:r>
            <w:proofErr w:type="gramStart"/>
            <w:r w:rsidRPr="00783A17">
              <w:t>дств пр</w:t>
            </w:r>
            <w:proofErr w:type="gramEnd"/>
            <w:r w:rsidRPr="00783A17">
              <w:t>авовой защиты</w:t>
            </w:r>
          </w:p>
        </w:tc>
      </w:tr>
      <w:tr w:rsidR="000B0BCF" w:rsidRPr="00783A17" w:rsidTr="00962472">
        <w:tc>
          <w:tcPr>
            <w:tcW w:w="3010" w:type="dxa"/>
            <w:tcMar>
              <w:left w:w="0" w:type="dxa"/>
              <w:right w:w="0" w:type="dxa"/>
            </w:tcMar>
          </w:tcPr>
          <w:p w:rsidR="000B0BCF" w:rsidRPr="00954ED7" w:rsidRDefault="000B0BCF" w:rsidP="00642C45">
            <w:pPr>
              <w:suppressAutoHyphens/>
              <w:spacing w:before="0"/>
              <w:ind w:left="34"/>
              <w:rPr>
                <w:i/>
              </w:rPr>
            </w:pPr>
            <w:r w:rsidRPr="00954ED7">
              <w:rPr>
                <w:i/>
              </w:rPr>
              <w:t xml:space="preserve">Вопросы существа: </w:t>
            </w:r>
          </w:p>
        </w:tc>
        <w:tc>
          <w:tcPr>
            <w:cnfStyle w:val="000100000000" w:firstRow="0" w:lastRow="0" w:firstColumn="0" w:lastColumn="1" w:oddVBand="0" w:evenVBand="0" w:oddHBand="0" w:evenHBand="0" w:firstRowFirstColumn="0" w:firstRowLastColumn="0" w:lastRowFirstColumn="0" w:lastRowLastColumn="0"/>
            <w:tcW w:w="3758" w:type="dxa"/>
            <w:tcBorders>
              <w:left w:val="none" w:sz="0" w:space="0" w:color="auto"/>
              <w:bottom w:val="none" w:sz="0" w:space="0" w:color="auto"/>
              <w:right w:val="none" w:sz="0" w:space="0" w:color="auto"/>
              <w:tl2br w:val="none" w:sz="0" w:space="0" w:color="auto"/>
              <w:tr2bl w:val="none" w:sz="0" w:space="0" w:color="auto"/>
            </w:tcBorders>
            <w:tcMar>
              <w:left w:w="0" w:type="dxa"/>
              <w:right w:w="0" w:type="dxa"/>
            </w:tcMar>
          </w:tcPr>
          <w:p w:rsidR="000B0BCF" w:rsidRPr="00783A17" w:rsidRDefault="000B0BCF" w:rsidP="00642C45">
            <w:pPr>
              <w:suppressAutoHyphens/>
              <w:spacing w:before="0"/>
              <w:ind w:left="34"/>
            </w:pPr>
            <w:r>
              <w:t>с</w:t>
            </w:r>
            <w:r w:rsidRPr="00783A17">
              <w:t>вобода выражения мнения; свобода собраний; справедливое судебное разбирательство; право на эффективное средство правовой защиты</w:t>
            </w:r>
          </w:p>
        </w:tc>
      </w:tr>
      <w:tr w:rsidR="000B0BCF" w:rsidRPr="00783A17" w:rsidTr="00962472">
        <w:tc>
          <w:tcPr>
            <w:tcW w:w="3010" w:type="dxa"/>
            <w:tcMar>
              <w:left w:w="0" w:type="dxa"/>
              <w:right w:w="0" w:type="dxa"/>
            </w:tcMar>
          </w:tcPr>
          <w:p w:rsidR="000B0BCF" w:rsidRPr="00954ED7" w:rsidRDefault="000B0BCF" w:rsidP="00035F2D">
            <w:pPr>
              <w:keepNext/>
              <w:keepLines/>
              <w:suppressAutoHyphens/>
              <w:spacing w:before="0"/>
              <w:ind w:left="34"/>
              <w:rPr>
                <w:i/>
              </w:rPr>
            </w:pPr>
            <w:r w:rsidRPr="00954ED7">
              <w:rPr>
                <w:i/>
              </w:rPr>
              <w:lastRenderedPageBreak/>
              <w:t xml:space="preserve">Статьи Пакта: </w:t>
            </w:r>
          </w:p>
        </w:tc>
        <w:tc>
          <w:tcPr>
            <w:cnfStyle w:val="000100000000" w:firstRow="0" w:lastRow="0" w:firstColumn="0" w:lastColumn="1" w:oddVBand="0" w:evenVBand="0" w:oddHBand="0" w:evenHBand="0" w:firstRowFirstColumn="0" w:firstRowLastColumn="0" w:lastRowFirstColumn="0" w:lastRowLastColumn="0"/>
            <w:tcW w:w="3758" w:type="dxa"/>
            <w:tcBorders>
              <w:left w:val="none" w:sz="0" w:space="0" w:color="auto"/>
              <w:bottom w:val="none" w:sz="0" w:space="0" w:color="auto"/>
              <w:right w:val="none" w:sz="0" w:space="0" w:color="auto"/>
              <w:tl2br w:val="none" w:sz="0" w:space="0" w:color="auto"/>
              <w:tr2bl w:val="none" w:sz="0" w:space="0" w:color="auto"/>
            </w:tcBorders>
            <w:tcMar>
              <w:left w:w="0" w:type="dxa"/>
              <w:right w:w="0" w:type="dxa"/>
            </w:tcMar>
          </w:tcPr>
          <w:p w:rsidR="000B0BCF" w:rsidRPr="00783A17" w:rsidRDefault="000B0BCF" w:rsidP="00035F2D">
            <w:pPr>
              <w:keepNext/>
              <w:keepLines/>
              <w:suppressAutoHyphens/>
              <w:spacing w:before="0"/>
              <w:ind w:left="34"/>
            </w:pPr>
            <w:r w:rsidRPr="00783A17">
              <w:t xml:space="preserve">пункт 2 статьи 2,  пункт 3 статьи 2, </w:t>
            </w:r>
            <w:r>
              <w:br/>
            </w:r>
            <w:r w:rsidRPr="00783A17">
              <w:t>пункт 1 статьи 14, статьи 19 и 21</w:t>
            </w:r>
          </w:p>
        </w:tc>
      </w:tr>
      <w:tr w:rsidR="000B0BCF" w:rsidRPr="00B07802" w:rsidTr="00962472">
        <w:tc>
          <w:tcPr>
            <w:tcW w:w="3010" w:type="dxa"/>
            <w:tcMar>
              <w:left w:w="0" w:type="dxa"/>
              <w:right w:w="0" w:type="dxa"/>
            </w:tcMar>
          </w:tcPr>
          <w:p w:rsidR="000B0BCF" w:rsidRPr="00B07802" w:rsidRDefault="000B0BCF" w:rsidP="00035F2D">
            <w:pPr>
              <w:keepNext/>
              <w:keepLines/>
              <w:suppressAutoHyphens/>
              <w:spacing w:before="0"/>
              <w:ind w:left="34"/>
              <w:rPr>
                <w:i/>
              </w:rPr>
            </w:pPr>
            <w:r w:rsidRPr="00B07802">
              <w:rPr>
                <w:i/>
              </w:rPr>
              <w:t>Статьи Факультативного протокола:</w:t>
            </w:r>
          </w:p>
        </w:tc>
        <w:tc>
          <w:tcPr>
            <w:cnfStyle w:val="000100000000" w:firstRow="0" w:lastRow="0" w:firstColumn="0" w:lastColumn="1" w:oddVBand="0" w:evenVBand="0" w:oddHBand="0" w:evenHBand="0" w:firstRowFirstColumn="0" w:firstRowLastColumn="0" w:lastRowFirstColumn="0" w:lastRowLastColumn="0"/>
            <w:tcW w:w="3758" w:type="dxa"/>
            <w:tcBorders>
              <w:left w:val="none" w:sz="0" w:space="0" w:color="auto"/>
              <w:bottom w:val="none" w:sz="0" w:space="0" w:color="auto"/>
              <w:right w:val="none" w:sz="0" w:space="0" w:color="auto"/>
              <w:tl2br w:val="none" w:sz="0" w:space="0" w:color="auto"/>
              <w:tr2bl w:val="none" w:sz="0" w:space="0" w:color="auto"/>
            </w:tcBorders>
            <w:tcMar>
              <w:left w:w="0" w:type="dxa"/>
              <w:right w:w="0" w:type="dxa"/>
            </w:tcMar>
          </w:tcPr>
          <w:p w:rsidR="000B0BCF" w:rsidRPr="00B07802" w:rsidRDefault="000B0BCF" w:rsidP="00035F2D">
            <w:pPr>
              <w:keepNext/>
              <w:keepLines/>
              <w:suppressAutoHyphens/>
              <w:spacing w:before="0"/>
              <w:ind w:left="34"/>
            </w:pPr>
            <w:r w:rsidRPr="00B07802">
              <w:t>2, 3 и 5</w:t>
            </w:r>
          </w:p>
        </w:tc>
      </w:tr>
    </w:tbl>
    <w:p w:rsidR="007A2D6B" w:rsidRPr="007A2D6B" w:rsidRDefault="007A2D6B" w:rsidP="00035F2D">
      <w:pPr>
        <w:pStyle w:val="HChGR"/>
        <w:pageBreakBefore/>
      </w:pPr>
      <w:r w:rsidRPr="007A2D6B">
        <w:lastRenderedPageBreak/>
        <w:t>Приложение</w:t>
      </w:r>
    </w:p>
    <w:p w:rsidR="007A2D6B" w:rsidRPr="007A2D6B" w:rsidRDefault="007A2D6B" w:rsidP="007A2D6B">
      <w:pPr>
        <w:pStyle w:val="HChGR"/>
      </w:pPr>
      <w:r w:rsidRPr="007A2D6B">
        <w:tab/>
      </w:r>
      <w:r w:rsidRPr="007A2D6B">
        <w:tab/>
        <w:t xml:space="preserve">Соображения Комитета по правам человека </w:t>
      </w:r>
      <w:r w:rsidR="00642C45">
        <w:br/>
      </w:r>
      <w:r w:rsidRPr="007A2D6B">
        <w:t xml:space="preserve">в соответствии с пунктом 4 статьи 5 Факультативного протокола к Международному пакту о гражданских </w:t>
      </w:r>
      <w:r w:rsidR="00642C45">
        <w:br/>
      </w:r>
      <w:r w:rsidRPr="007A2D6B">
        <w:t>и политических правах (115-я сессия)</w:t>
      </w:r>
    </w:p>
    <w:p w:rsidR="007A2D6B" w:rsidRPr="007A2D6B" w:rsidRDefault="007A2D6B" w:rsidP="007A2D6B">
      <w:pPr>
        <w:pStyle w:val="SingleTxtGR"/>
      </w:pPr>
      <w:r w:rsidRPr="007A2D6B">
        <w:t>относительно</w:t>
      </w:r>
    </w:p>
    <w:p w:rsidR="007A2D6B" w:rsidRPr="007A2D6B" w:rsidRDefault="007A2D6B" w:rsidP="007A2D6B">
      <w:pPr>
        <w:pStyle w:val="H1GR"/>
        <w:rPr>
          <w:b w:val="0"/>
        </w:rPr>
      </w:pPr>
      <w:r>
        <w:tab/>
      </w:r>
      <w:r>
        <w:tab/>
      </w:r>
      <w:r w:rsidRPr="007A2D6B">
        <w:t>Сообщения № 2016/2010</w:t>
      </w:r>
      <w:r w:rsidRPr="007A2D6B">
        <w:rPr>
          <w:rStyle w:val="a6"/>
          <w:b w:val="0"/>
          <w:sz w:val="20"/>
          <w:vertAlign w:val="baseline"/>
          <w:lang w:eastAsia="en-US"/>
        </w:rPr>
        <w:footnoteReference w:customMarkFollows="1" w:id="1"/>
        <w:t xml:space="preserve">* </w:t>
      </w:r>
    </w:p>
    <w:tbl>
      <w:tblPr>
        <w:tblStyle w:val="TabTxt"/>
        <w:tblW w:w="6768" w:type="dxa"/>
        <w:tblInd w:w="1736" w:type="dxa"/>
        <w:tblBorders>
          <w:top w:val="none" w:sz="0" w:space="0" w:color="auto"/>
          <w:bottom w:val="none" w:sz="0" w:space="0" w:color="auto"/>
        </w:tblBorders>
        <w:tblLook w:val="05E0" w:firstRow="1" w:lastRow="1" w:firstColumn="1" w:lastColumn="1" w:noHBand="0" w:noVBand="1"/>
      </w:tblPr>
      <w:tblGrid>
        <w:gridCol w:w="2926"/>
        <w:gridCol w:w="3842"/>
      </w:tblGrid>
      <w:tr w:rsidR="000B0BCF" w:rsidRPr="00783A17" w:rsidTr="00642C45">
        <w:tc>
          <w:tcPr>
            <w:tcW w:w="2926" w:type="dxa"/>
            <w:tcMar>
              <w:left w:w="0" w:type="dxa"/>
              <w:right w:w="0" w:type="dxa"/>
            </w:tcMar>
          </w:tcPr>
          <w:p w:rsidR="000B0BCF" w:rsidRPr="00954ED7" w:rsidRDefault="000B0BCF" w:rsidP="00642C45">
            <w:pPr>
              <w:suppressAutoHyphens/>
              <w:spacing w:before="0"/>
              <w:ind w:left="34"/>
              <w:rPr>
                <w:i/>
              </w:rPr>
            </w:pPr>
            <w:r w:rsidRPr="00954ED7">
              <w:rPr>
                <w:i/>
              </w:rPr>
              <w:t>Представлено:</w:t>
            </w:r>
          </w:p>
        </w:tc>
        <w:tc>
          <w:tcPr>
            <w:cnfStyle w:val="000100000000" w:firstRow="0" w:lastRow="0" w:firstColumn="0" w:lastColumn="1" w:oddVBand="0" w:evenVBand="0" w:oddHBand="0" w:evenHBand="0" w:firstRowFirstColumn="0" w:firstRowLastColumn="0" w:lastRowFirstColumn="0" w:lastRowLastColumn="0"/>
            <w:tcW w:w="38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tcPr>
          <w:p w:rsidR="000B0BCF" w:rsidRPr="00783A17" w:rsidRDefault="000B0BCF" w:rsidP="00642C45">
            <w:pPr>
              <w:suppressAutoHyphens/>
              <w:spacing w:before="0"/>
              <w:ind w:left="34"/>
            </w:pPr>
            <w:r w:rsidRPr="00783A17">
              <w:t xml:space="preserve">Леонидом Судаленко (адвокатом </w:t>
            </w:r>
            <w:r>
              <w:br/>
            </w:r>
            <w:r w:rsidRPr="00783A17">
              <w:t xml:space="preserve">не </w:t>
            </w:r>
            <w:proofErr w:type="gramStart"/>
            <w:r w:rsidRPr="00783A17">
              <w:t>представлен</w:t>
            </w:r>
            <w:proofErr w:type="gramEnd"/>
            <w:r w:rsidRPr="00783A17">
              <w:t>)</w:t>
            </w:r>
          </w:p>
        </w:tc>
      </w:tr>
      <w:tr w:rsidR="000B0BCF" w:rsidRPr="00783A17" w:rsidTr="00642C45">
        <w:tc>
          <w:tcPr>
            <w:tcW w:w="2926" w:type="dxa"/>
            <w:tcMar>
              <w:left w:w="0" w:type="dxa"/>
              <w:right w:w="0" w:type="dxa"/>
            </w:tcMar>
          </w:tcPr>
          <w:p w:rsidR="000B0BCF" w:rsidRPr="00783A17" w:rsidRDefault="000B0BCF" w:rsidP="00642C45">
            <w:pPr>
              <w:suppressAutoHyphens/>
              <w:spacing w:before="0"/>
              <w:ind w:left="34"/>
              <w:rPr>
                <w:i/>
              </w:rPr>
            </w:pPr>
            <w:r w:rsidRPr="00783A17">
              <w:rPr>
                <w:i/>
              </w:rPr>
              <w:t>Предполагаемая жертва:</w:t>
            </w:r>
          </w:p>
        </w:tc>
        <w:tc>
          <w:tcPr>
            <w:cnfStyle w:val="000100000000" w:firstRow="0" w:lastRow="0" w:firstColumn="0" w:lastColumn="1" w:oddVBand="0" w:evenVBand="0" w:oddHBand="0" w:evenHBand="0" w:firstRowFirstColumn="0" w:firstRowLastColumn="0" w:lastRowFirstColumn="0" w:lastRowLastColumn="0"/>
            <w:tcW w:w="3842" w:type="dxa"/>
            <w:tcBorders>
              <w:left w:val="none" w:sz="0" w:space="0" w:color="auto"/>
              <w:bottom w:val="none" w:sz="0" w:space="0" w:color="auto"/>
              <w:right w:val="none" w:sz="0" w:space="0" w:color="auto"/>
              <w:tl2br w:val="none" w:sz="0" w:space="0" w:color="auto"/>
              <w:tr2bl w:val="none" w:sz="0" w:space="0" w:color="auto"/>
            </w:tcBorders>
            <w:tcMar>
              <w:left w:w="0" w:type="dxa"/>
              <w:right w:w="0" w:type="dxa"/>
            </w:tcMar>
          </w:tcPr>
          <w:p w:rsidR="000B0BCF" w:rsidRPr="00783A17" w:rsidRDefault="000B0BCF" w:rsidP="00642C45">
            <w:pPr>
              <w:suppressAutoHyphens/>
              <w:spacing w:before="0"/>
              <w:ind w:left="34"/>
            </w:pPr>
            <w:r w:rsidRPr="00783A17">
              <w:t>автор сообщения</w:t>
            </w:r>
          </w:p>
        </w:tc>
      </w:tr>
      <w:tr w:rsidR="000B0BCF" w:rsidRPr="00783A17" w:rsidTr="00642C45">
        <w:tc>
          <w:tcPr>
            <w:tcW w:w="2926" w:type="dxa"/>
            <w:tcMar>
              <w:left w:w="0" w:type="dxa"/>
              <w:right w:w="0" w:type="dxa"/>
            </w:tcMar>
          </w:tcPr>
          <w:p w:rsidR="000B0BCF" w:rsidRPr="00783A17" w:rsidRDefault="000B0BCF" w:rsidP="00642C45">
            <w:pPr>
              <w:suppressAutoHyphens/>
              <w:spacing w:before="0"/>
              <w:ind w:left="34"/>
              <w:rPr>
                <w:i/>
              </w:rPr>
            </w:pPr>
            <w:r w:rsidRPr="00783A17">
              <w:rPr>
                <w:i/>
              </w:rPr>
              <w:t>Государство-участник:</w:t>
            </w:r>
          </w:p>
        </w:tc>
        <w:tc>
          <w:tcPr>
            <w:cnfStyle w:val="000100000000" w:firstRow="0" w:lastRow="0" w:firstColumn="0" w:lastColumn="1" w:oddVBand="0" w:evenVBand="0" w:oddHBand="0" w:evenHBand="0" w:firstRowFirstColumn="0" w:firstRowLastColumn="0" w:lastRowFirstColumn="0" w:lastRowLastColumn="0"/>
            <w:tcW w:w="3842" w:type="dxa"/>
            <w:tcBorders>
              <w:left w:val="none" w:sz="0" w:space="0" w:color="auto"/>
              <w:bottom w:val="none" w:sz="0" w:space="0" w:color="auto"/>
              <w:right w:val="none" w:sz="0" w:space="0" w:color="auto"/>
              <w:tl2br w:val="none" w:sz="0" w:space="0" w:color="auto"/>
              <w:tr2bl w:val="none" w:sz="0" w:space="0" w:color="auto"/>
            </w:tcBorders>
            <w:tcMar>
              <w:left w:w="0" w:type="dxa"/>
              <w:right w:w="0" w:type="dxa"/>
            </w:tcMar>
          </w:tcPr>
          <w:p w:rsidR="000B0BCF" w:rsidRPr="00783A17" w:rsidRDefault="000B0BCF" w:rsidP="00642C45">
            <w:pPr>
              <w:suppressAutoHyphens/>
              <w:spacing w:before="0"/>
              <w:ind w:left="34"/>
            </w:pPr>
            <w:r w:rsidRPr="00783A17">
              <w:t>Беларусь</w:t>
            </w:r>
          </w:p>
        </w:tc>
      </w:tr>
      <w:tr w:rsidR="000B0BCF" w:rsidRPr="00954ED7" w:rsidTr="00642C45">
        <w:tc>
          <w:tcPr>
            <w:tcW w:w="2926" w:type="dxa"/>
            <w:tcMar>
              <w:left w:w="0" w:type="dxa"/>
              <w:right w:w="0" w:type="dxa"/>
            </w:tcMar>
          </w:tcPr>
          <w:p w:rsidR="000B0BCF" w:rsidRPr="00783A17" w:rsidRDefault="000B0BCF" w:rsidP="00642C45">
            <w:pPr>
              <w:suppressAutoHyphens/>
              <w:spacing w:before="0"/>
              <w:ind w:left="34"/>
              <w:rPr>
                <w:i/>
              </w:rPr>
            </w:pPr>
            <w:r w:rsidRPr="00783A17">
              <w:rPr>
                <w:i/>
              </w:rPr>
              <w:t>Дата сообщения:</w:t>
            </w:r>
          </w:p>
        </w:tc>
        <w:tc>
          <w:tcPr>
            <w:cnfStyle w:val="000100000000" w:firstRow="0" w:lastRow="0" w:firstColumn="0" w:lastColumn="1" w:oddVBand="0" w:evenVBand="0" w:oddHBand="0" w:evenHBand="0" w:firstRowFirstColumn="0" w:firstRowLastColumn="0" w:lastRowFirstColumn="0" w:lastRowLastColumn="0"/>
            <w:tcW w:w="3842" w:type="dxa"/>
            <w:tcBorders>
              <w:left w:val="none" w:sz="0" w:space="0" w:color="auto"/>
              <w:bottom w:val="none" w:sz="0" w:space="0" w:color="auto"/>
              <w:right w:val="none" w:sz="0" w:space="0" w:color="auto"/>
              <w:tl2br w:val="none" w:sz="0" w:space="0" w:color="auto"/>
              <w:tr2bl w:val="none" w:sz="0" w:space="0" w:color="auto"/>
            </w:tcBorders>
            <w:tcMar>
              <w:left w:w="0" w:type="dxa"/>
              <w:right w:w="0" w:type="dxa"/>
            </w:tcMar>
          </w:tcPr>
          <w:p w:rsidR="000B0BCF" w:rsidRPr="00954ED7" w:rsidRDefault="000B0BCF" w:rsidP="00642C45">
            <w:pPr>
              <w:suppressAutoHyphens/>
              <w:spacing w:before="0"/>
              <w:ind w:left="34"/>
            </w:pPr>
            <w:r w:rsidRPr="00783A17">
              <w:t>23 мая 2010 года (первоначальное предс</w:t>
            </w:r>
            <w:r w:rsidRPr="00954ED7">
              <w:t>тавление)</w:t>
            </w:r>
          </w:p>
        </w:tc>
      </w:tr>
    </w:tbl>
    <w:p w:rsidR="00CA400A" w:rsidRPr="000301A5" w:rsidRDefault="00CA400A" w:rsidP="00CA400A">
      <w:pPr>
        <w:pStyle w:val="SingleTxtGR"/>
      </w:pPr>
      <w:r w:rsidRPr="000301A5">
        <w:tab/>
      </w:r>
      <w:r w:rsidRPr="00933549">
        <w:rPr>
          <w:i/>
        </w:rPr>
        <w:t>Комитет по правам человека</w:t>
      </w:r>
      <w:r w:rsidRPr="000301A5">
        <w:t xml:space="preserve">, учрежденный в соответствии со статьей 28 Международного пакта о гражданских и политических правах, </w:t>
      </w:r>
    </w:p>
    <w:p w:rsidR="00CA400A" w:rsidRPr="000301A5" w:rsidRDefault="00CA400A" w:rsidP="00CA400A">
      <w:pPr>
        <w:pStyle w:val="SingleTxtGR"/>
      </w:pPr>
      <w:r w:rsidRPr="000301A5">
        <w:tab/>
      </w:r>
      <w:r w:rsidRPr="00933549">
        <w:rPr>
          <w:i/>
        </w:rPr>
        <w:t>на своем заседании</w:t>
      </w:r>
      <w:r w:rsidRPr="000301A5">
        <w:t xml:space="preserve"> 5 ноября 2015 года,</w:t>
      </w:r>
    </w:p>
    <w:p w:rsidR="00CA400A" w:rsidRPr="000301A5" w:rsidRDefault="00CA400A" w:rsidP="00CA400A">
      <w:pPr>
        <w:pStyle w:val="SingleTxtGR"/>
      </w:pPr>
      <w:r w:rsidRPr="000301A5">
        <w:tab/>
      </w:r>
      <w:r w:rsidRPr="00933549">
        <w:rPr>
          <w:i/>
        </w:rPr>
        <w:t>завершив</w:t>
      </w:r>
      <w:r w:rsidRPr="000301A5">
        <w:t xml:space="preserve"> рассмотрение сообщения № 2016/2010, представленного ему Леонидом Судаленко в соответствии с Факультативным протоколом к Межд</w:t>
      </w:r>
      <w:r w:rsidRPr="000301A5">
        <w:t>у</w:t>
      </w:r>
      <w:r w:rsidRPr="000301A5">
        <w:t>народному пакту о гражданских и политических правах,</w:t>
      </w:r>
    </w:p>
    <w:p w:rsidR="00CA400A" w:rsidRPr="000301A5" w:rsidRDefault="00CA400A" w:rsidP="00CA400A">
      <w:pPr>
        <w:pStyle w:val="SingleTxtGR"/>
      </w:pPr>
      <w:r w:rsidRPr="000301A5">
        <w:tab/>
      </w:r>
      <w:r w:rsidRPr="00933549">
        <w:rPr>
          <w:i/>
        </w:rPr>
        <w:t>приняв во внимание</w:t>
      </w:r>
      <w:r w:rsidRPr="000301A5">
        <w:t xml:space="preserve"> всю письменную информацию, представленную ему автором сообщения и государством-участником,</w:t>
      </w:r>
    </w:p>
    <w:p w:rsidR="00CA400A" w:rsidRPr="000301A5" w:rsidRDefault="00CA400A" w:rsidP="00CA400A">
      <w:pPr>
        <w:pStyle w:val="SingleTxtGR"/>
        <w:rPr>
          <w:i/>
        </w:rPr>
      </w:pPr>
      <w:r w:rsidRPr="000301A5">
        <w:tab/>
      </w:r>
      <w:r w:rsidRPr="00933549">
        <w:rPr>
          <w:i/>
        </w:rPr>
        <w:t>принимает</w:t>
      </w:r>
      <w:r w:rsidRPr="000301A5">
        <w:t xml:space="preserve"> следующее:</w:t>
      </w:r>
    </w:p>
    <w:p w:rsidR="00CA400A" w:rsidRPr="000301A5" w:rsidRDefault="00CA400A" w:rsidP="00933549">
      <w:pPr>
        <w:pStyle w:val="H1GR"/>
      </w:pPr>
      <w:r w:rsidRPr="000301A5">
        <w:tab/>
      </w:r>
      <w:r w:rsidRPr="000301A5">
        <w:tab/>
        <w:t>Соображения в соответствии с пунктом 4 статьи 5 Факультативного протокола</w:t>
      </w:r>
    </w:p>
    <w:p w:rsidR="00CA400A" w:rsidRPr="000301A5" w:rsidRDefault="00CA400A" w:rsidP="00CA400A">
      <w:pPr>
        <w:pStyle w:val="SingleTxtGR"/>
      </w:pPr>
      <w:r w:rsidRPr="000301A5">
        <w:t>1.</w:t>
      </w:r>
      <w:r w:rsidRPr="000301A5">
        <w:tab/>
        <w:t xml:space="preserve">Автором сообщения является Леонид Судаленко, гражданин Республики Беларусь 1966 года рождения. Он утверждает, что </w:t>
      </w:r>
      <w:r w:rsidR="00B2409D">
        <w:t xml:space="preserve">он </w:t>
      </w:r>
      <w:r w:rsidRPr="000301A5">
        <w:t>является жертвой наруш</w:t>
      </w:r>
      <w:r w:rsidRPr="000301A5">
        <w:t>е</w:t>
      </w:r>
      <w:r w:rsidRPr="000301A5">
        <w:t>ния Республик</w:t>
      </w:r>
      <w:r w:rsidR="00B2409D">
        <w:t>ой</w:t>
      </w:r>
      <w:r w:rsidRPr="000301A5">
        <w:t xml:space="preserve"> Беларусь его прав согласно пункту 1 статьи 14, статьи 19 и статьи 21, рассматриваемыми в совокупности с пунктами 2 и 3 статьи 2 Пакта. Факультативный протокол вступил в силу для Республики Беларусь 30 декабря 1992 года. Автор не представлен адвокатом. </w:t>
      </w:r>
    </w:p>
    <w:p w:rsidR="00CA400A" w:rsidRPr="000301A5" w:rsidRDefault="00CA400A" w:rsidP="00933549">
      <w:pPr>
        <w:pStyle w:val="H23GR"/>
      </w:pPr>
      <w:r w:rsidRPr="000301A5">
        <w:lastRenderedPageBreak/>
        <w:tab/>
      </w:r>
      <w:r w:rsidRPr="000301A5">
        <w:tab/>
        <w:t>Факты в изложении автора</w:t>
      </w:r>
    </w:p>
    <w:p w:rsidR="00CA400A" w:rsidRPr="000301A5" w:rsidRDefault="00CA400A" w:rsidP="00CA400A">
      <w:pPr>
        <w:pStyle w:val="SingleTxtGR"/>
      </w:pPr>
      <w:r w:rsidRPr="000301A5">
        <w:t>2.1</w:t>
      </w:r>
      <w:r w:rsidRPr="000301A5">
        <w:tab/>
        <w:t>23 ноября 2009 года автор обратился в Гомельский городской исполн</w:t>
      </w:r>
      <w:r w:rsidRPr="000301A5">
        <w:t>и</w:t>
      </w:r>
      <w:r w:rsidRPr="000301A5">
        <w:t>тельный комитет с просьбой разрешить провести пикет на одной из централ</w:t>
      </w:r>
      <w:r w:rsidRPr="000301A5">
        <w:t>ь</w:t>
      </w:r>
      <w:r w:rsidRPr="000301A5">
        <w:t xml:space="preserve">ных площадей в Гомеле (Площадь Восстания) 10 декабря 2009 года, с </w:t>
      </w:r>
      <w:proofErr w:type="gramStart"/>
      <w:r w:rsidRPr="000301A5">
        <w:t>тем</w:t>
      </w:r>
      <w:proofErr w:type="gramEnd"/>
      <w:r w:rsidRPr="000301A5">
        <w:t xml:space="preserve"> чт</w:t>
      </w:r>
      <w:r w:rsidRPr="000301A5">
        <w:t>о</w:t>
      </w:r>
      <w:r w:rsidRPr="000301A5">
        <w:t xml:space="preserve">бы публично выразить свое личное мнение по случаю годовщины принятия Всеобщей декларации прав человека в этот день; День прав человека является в Республике Беларусь праздничным днем. </w:t>
      </w:r>
    </w:p>
    <w:p w:rsidR="00CA400A" w:rsidRPr="000301A5" w:rsidRDefault="00CA400A" w:rsidP="00CA400A">
      <w:pPr>
        <w:pStyle w:val="SingleTxtGR"/>
      </w:pPr>
      <w:r w:rsidRPr="000301A5">
        <w:t>2.2</w:t>
      </w:r>
      <w:r w:rsidRPr="000301A5">
        <w:tab/>
        <w:t>2 декабря 2009 года Исполнительный комитет в своем решении № 1410 отказался выдать автору разрешение на проведение пикета. Основанием для о</w:t>
      </w:r>
      <w:r w:rsidRPr="000301A5">
        <w:t>т</w:t>
      </w:r>
      <w:r w:rsidRPr="000301A5">
        <w:t xml:space="preserve">каза послужил тот факт, что автор не выполнил требований решения № 299 </w:t>
      </w:r>
      <w:r w:rsidR="00642C45">
        <w:br/>
      </w:r>
      <w:r w:rsidRPr="000301A5">
        <w:t xml:space="preserve">от 2 апреля 2008 года Исполнительного комитета </w:t>
      </w:r>
      <w:r w:rsidR="00642C45">
        <w:t>«</w:t>
      </w:r>
      <w:r w:rsidRPr="000301A5">
        <w:t>О массовых мероприятиях в городе Гомеле</w:t>
      </w:r>
      <w:r w:rsidR="00642C45">
        <w:t>»</w:t>
      </w:r>
      <w:r w:rsidRPr="000301A5">
        <w:t>, принятого на основании Закона о массовых мероприятиях в Республике Беларусь от 30 декабря 1997 года. Исполнительный комитет отм</w:t>
      </w:r>
      <w:r w:rsidRPr="000301A5">
        <w:t>е</w:t>
      </w:r>
      <w:r w:rsidRPr="000301A5">
        <w:t xml:space="preserve">тил, во-первых, что автор планировал организовать пикет за пределами места, предназначенного для этой цели, установленного решением № 299, и, во-вторых, что он не заключил требуемых договоров с городскими службами для поддержания безопасности, оказания медицинской помощи и осуществления уборки территории. </w:t>
      </w:r>
    </w:p>
    <w:p w:rsidR="00CA400A" w:rsidRPr="000301A5" w:rsidRDefault="00CA400A" w:rsidP="00CA400A">
      <w:pPr>
        <w:pStyle w:val="SingleTxtGR"/>
      </w:pPr>
      <w:proofErr w:type="gramStart"/>
      <w:r w:rsidRPr="000301A5">
        <w:t>2.3</w:t>
      </w:r>
      <w:r w:rsidRPr="000301A5">
        <w:tab/>
        <w:t xml:space="preserve">7 декабря 2009 года автор обжаловал отказ Исполнительного комитета в Суде Центрального района города Гомеля, который отклонил его апелляцию </w:t>
      </w:r>
      <w:r w:rsidR="00A64F8A">
        <w:br/>
      </w:r>
      <w:r w:rsidRPr="000301A5">
        <w:t>30 декабря 2009 года. 22 января 2010 года он подал апелляцию на решение Суда Центрального района города Гомеля в Гомельский областной суд, который о</w:t>
      </w:r>
      <w:r w:rsidRPr="000301A5">
        <w:t>т</w:t>
      </w:r>
      <w:r w:rsidRPr="000301A5">
        <w:t xml:space="preserve">клонил </w:t>
      </w:r>
      <w:r w:rsidR="00A64F8A">
        <w:t>ее</w:t>
      </w:r>
      <w:r w:rsidRPr="000301A5">
        <w:t xml:space="preserve"> 23 февраля 2010 года. 11 марта и 19 апреля 2010 года автор подал х</w:t>
      </w:r>
      <w:r w:rsidRPr="000301A5">
        <w:t>о</w:t>
      </w:r>
      <w:r w:rsidRPr="000301A5">
        <w:t>датайства о</w:t>
      </w:r>
      <w:proofErr w:type="gramEnd"/>
      <w:r w:rsidRPr="000301A5">
        <w:t xml:space="preserve"> </w:t>
      </w:r>
      <w:proofErr w:type="gramStart"/>
      <w:r w:rsidRPr="000301A5">
        <w:t>пересмотре</w:t>
      </w:r>
      <w:proofErr w:type="gramEnd"/>
      <w:r w:rsidRPr="000301A5">
        <w:t xml:space="preserve"> решения Областного суда председателю Областного с</w:t>
      </w:r>
      <w:r w:rsidRPr="000301A5">
        <w:t>у</w:t>
      </w:r>
      <w:r w:rsidRPr="000301A5">
        <w:t xml:space="preserve">да и председателю Верховного Суда в рамках процедуры пересмотра в порядке надзора. Оба эти ходатайства были отклонены 14 апреля 2010 года и 15 мая 2010 года соответственно. </w:t>
      </w:r>
    </w:p>
    <w:p w:rsidR="00CA400A" w:rsidRPr="000301A5" w:rsidRDefault="00CA400A" w:rsidP="00CA400A">
      <w:pPr>
        <w:pStyle w:val="SingleTxtGR"/>
      </w:pPr>
      <w:r w:rsidRPr="000301A5">
        <w:t>2.4</w:t>
      </w:r>
      <w:proofErr w:type="gramStart"/>
      <w:r w:rsidRPr="000301A5">
        <w:tab/>
        <w:t>В</w:t>
      </w:r>
      <w:proofErr w:type="gramEnd"/>
      <w:r w:rsidRPr="000301A5">
        <w:t xml:space="preserve"> своих ходатайствах, направленных в суды, автор утверждает, что отказ Исполнительного комитета ограничил его права на свободу выражения мнений и свободу собраний, гарантированны</w:t>
      </w:r>
      <w:r w:rsidR="00FA5D0A">
        <w:t>е</w:t>
      </w:r>
      <w:r w:rsidRPr="000301A5">
        <w:t xml:space="preserve"> в Конституции Республики Беларусь и Пакте, и что не было представлено никаких объяснений причин, по которым ограничение его прав было необходимым. Суды установили, что отказ Испо</w:t>
      </w:r>
      <w:r w:rsidRPr="000301A5">
        <w:t>л</w:t>
      </w:r>
      <w:r w:rsidRPr="000301A5">
        <w:t xml:space="preserve">нительного комитета является законным, поскольку он был выдан на основании решения № 299. </w:t>
      </w:r>
    </w:p>
    <w:p w:rsidR="00CA400A" w:rsidRPr="000301A5" w:rsidRDefault="00CA400A" w:rsidP="00CA400A">
      <w:pPr>
        <w:pStyle w:val="SingleTxtGR"/>
      </w:pPr>
      <w:r w:rsidRPr="000301A5">
        <w:t>2.5</w:t>
      </w:r>
      <w:proofErr w:type="gramStart"/>
      <w:r w:rsidRPr="000301A5">
        <w:tab/>
        <w:t>В</w:t>
      </w:r>
      <w:proofErr w:type="gramEnd"/>
      <w:r w:rsidRPr="000301A5">
        <w:t xml:space="preserve"> своем ходатайстве от 7 декабря 2009 года, направленном в </w:t>
      </w:r>
      <w:r w:rsidR="00FA5D0A">
        <w:t>С</w:t>
      </w:r>
      <w:r w:rsidRPr="000301A5">
        <w:t>уд Це</w:t>
      </w:r>
      <w:r w:rsidRPr="000301A5">
        <w:t>н</w:t>
      </w:r>
      <w:r w:rsidRPr="000301A5">
        <w:t xml:space="preserve">трального района города Гомеля, автор просил </w:t>
      </w:r>
      <w:r w:rsidR="00FA5D0A">
        <w:t>С</w:t>
      </w:r>
      <w:r w:rsidRPr="000301A5">
        <w:t>уд признать решение № 299 Исполнительного комитета несовместимым с Конституцией Республики Бел</w:t>
      </w:r>
      <w:r w:rsidRPr="000301A5">
        <w:t>а</w:t>
      </w:r>
      <w:r w:rsidRPr="000301A5">
        <w:t>русь и Пактом. Он утверждал, что ограничения, предусмотренные в решении, а</w:t>
      </w:r>
      <w:r w:rsidR="00A64F8A">
        <w:t> </w:t>
      </w:r>
      <w:r w:rsidRPr="000301A5">
        <w:t>именно требование проводить любые собрания в одном конкретном месте в отдаленной части города с населением 500</w:t>
      </w:r>
      <w:r w:rsidR="00A64F8A">
        <w:t> 000</w:t>
      </w:r>
      <w:r w:rsidRPr="000301A5">
        <w:t xml:space="preserve"> человек и заключать договоры, оплатив услу</w:t>
      </w:r>
      <w:r w:rsidR="00A64F8A">
        <w:t>г</w:t>
      </w:r>
      <w:r w:rsidRPr="000301A5">
        <w:t>и городских служб, наруша</w:t>
      </w:r>
      <w:r w:rsidR="007401CA">
        <w:t>ю</w:t>
      </w:r>
      <w:r w:rsidRPr="000301A5">
        <w:t xml:space="preserve">т саму суть рассматриваемых прав. Окружной суд отклонил эту часть ходатайства автора от 14 декабря 2009 года, сделав вывод о том, что, поскольку решение № 299 было зарегистрировано в национальном реестре правовых актов, оно не может быть оспорено в судах общей юрисдикции. </w:t>
      </w:r>
    </w:p>
    <w:p w:rsidR="00CA400A" w:rsidRPr="000301A5" w:rsidRDefault="00CA400A" w:rsidP="00CA400A">
      <w:pPr>
        <w:pStyle w:val="SingleTxtGR"/>
      </w:pPr>
      <w:r w:rsidRPr="000301A5">
        <w:t>2.6</w:t>
      </w:r>
      <w:r w:rsidRPr="000301A5">
        <w:tab/>
        <w:t xml:space="preserve">22 декабря 2009 года автор обжаловал решение Областного суда в Суде Центрального района города Гомеля. Суд Центрального района города Гомеля отклонил апелляцию автора 14 января 2010 года. 11 марта 2010 года и 22 апреля 2010 года соответственно автор подал ходатайство о пересмотре решения </w:t>
      </w:r>
      <w:r w:rsidR="00A64F8A">
        <w:br/>
      </w:r>
      <w:r w:rsidRPr="000301A5">
        <w:t>Областного</w:t>
      </w:r>
      <w:r w:rsidRPr="000301A5" w:rsidDel="00900324">
        <w:t xml:space="preserve"> </w:t>
      </w:r>
      <w:r w:rsidRPr="000301A5">
        <w:t xml:space="preserve">суда председателю Областного суда и председателю Верховного </w:t>
      </w:r>
      <w:r w:rsidRPr="000301A5">
        <w:lastRenderedPageBreak/>
        <w:t>Суда в рамках процедуры пересмотра в порядке надзора. Ходатайства автора были отклонены 19 марта 2010 года и 6 мая 2010 года соответственно</w:t>
      </w:r>
      <w:r w:rsidRPr="005C5850">
        <w:rPr>
          <w:sz w:val="18"/>
          <w:vertAlign w:val="superscript"/>
        </w:rPr>
        <w:footnoteReference w:id="2"/>
      </w:r>
      <w:r w:rsidR="007E02FE">
        <w:t>.</w:t>
      </w:r>
      <w:r w:rsidRPr="000301A5">
        <w:t xml:space="preserve"> Автор заявляет, что таким образом он исчерпал все имеющиеся внутренние средства правовой защиты.</w:t>
      </w:r>
    </w:p>
    <w:p w:rsidR="00CA400A" w:rsidRPr="000301A5" w:rsidRDefault="00CA400A" w:rsidP="00933549">
      <w:pPr>
        <w:pStyle w:val="H23GR"/>
      </w:pPr>
      <w:r w:rsidRPr="000301A5">
        <w:tab/>
      </w:r>
      <w:r w:rsidRPr="000301A5">
        <w:tab/>
        <w:t>Жалоба</w:t>
      </w:r>
    </w:p>
    <w:p w:rsidR="00CA400A" w:rsidRPr="000301A5" w:rsidRDefault="00CA400A" w:rsidP="00CA400A">
      <w:pPr>
        <w:pStyle w:val="SingleTxtGR"/>
      </w:pPr>
      <w:r w:rsidRPr="000301A5">
        <w:t>3.1</w:t>
      </w:r>
      <w:r w:rsidRPr="000301A5">
        <w:tab/>
        <w:t>Автор утверждает, что отклонение национальными властями его ходата</w:t>
      </w:r>
      <w:r w:rsidRPr="000301A5">
        <w:t>й</w:t>
      </w:r>
      <w:r w:rsidRPr="000301A5">
        <w:t>ства о проведении пикета представляет собой нарушение его прав в соотве</w:t>
      </w:r>
      <w:r w:rsidRPr="000301A5">
        <w:t>т</w:t>
      </w:r>
      <w:r w:rsidRPr="000301A5">
        <w:t>ствии со статьями 19 и 21, рассматриваемы</w:t>
      </w:r>
      <w:r w:rsidR="00A64F8A">
        <w:t>ми</w:t>
      </w:r>
      <w:r w:rsidRPr="000301A5">
        <w:t xml:space="preserve"> в совокупности с пунктами 2 и 3 статьи 2 Пакта. </w:t>
      </w:r>
      <w:proofErr w:type="gramStart"/>
      <w:r w:rsidRPr="000301A5">
        <w:t>Он утверждает, что ни Исполнительный комитет, ни суды не рассматривали вопрос о том, были ли ограничения, налагаемые на его права в соответствии с решением № 299, оправданы соображениями национальной бе</w:t>
      </w:r>
      <w:r w:rsidRPr="000301A5">
        <w:t>з</w:t>
      </w:r>
      <w:r w:rsidRPr="000301A5">
        <w:t>опасности или общественной безопасности, общественного порядка, охраны здоровья и нравственности населения или же они явля</w:t>
      </w:r>
      <w:r w:rsidR="00A64F8A">
        <w:t>лись</w:t>
      </w:r>
      <w:r w:rsidRPr="000301A5">
        <w:t xml:space="preserve"> необходимыми для защиты прав и свобод других лиц.</w:t>
      </w:r>
      <w:proofErr w:type="gramEnd"/>
      <w:r w:rsidRPr="000301A5">
        <w:t xml:space="preserve"> Он утверждает, что решение № 299, позв</w:t>
      </w:r>
      <w:r w:rsidRPr="000301A5">
        <w:t>о</w:t>
      </w:r>
      <w:r w:rsidRPr="000301A5">
        <w:t>ляющее проводить все массовые мероприятия в Гомеле лишь в одном конкре</w:t>
      </w:r>
      <w:r w:rsidRPr="000301A5">
        <w:t>т</w:t>
      </w:r>
      <w:r w:rsidRPr="000301A5">
        <w:t>ном месте в отдаленной части города, и требование о том, чтобы организаторы до проведения мероприятий заключали возмездные договоры с городскими службами, неоправданно ограничива</w:t>
      </w:r>
      <w:r w:rsidR="00930B10">
        <w:t>е</w:t>
      </w:r>
      <w:r w:rsidRPr="000301A5">
        <w:t>т права, предусмотренные в статьях 19 и</w:t>
      </w:r>
      <w:r w:rsidR="008273BC">
        <w:rPr>
          <w:lang w:val="en-US"/>
        </w:rPr>
        <w:t> </w:t>
      </w:r>
      <w:r w:rsidRPr="000301A5">
        <w:t>21 Пакта. Он также утверждает, что положения Закона о массовых меропри</w:t>
      </w:r>
      <w:r w:rsidRPr="000301A5">
        <w:t>я</w:t>
      </w:r>
      <w:r w:rsidRPr="000301A5">
        <w:t>тиях позволяют местным органам исполнительной власти принимать решения в отношении постоянного места проведения массовых мероприятий без объясн</w:t>
      </w:r>
      <w:r w:rsidRPr="000301A5">
        <w:t>е</w:t>
      </w:r>
      <w:r w:rsidRPr="000301A5">
        <w:t xml:space="preserve">ния причин такого ограничения. </w:t>
      </w:r>
    </w:p>
    <w:p w:rsidR="00CA400A" w:rsidRPr="000301A5" w:rsidRDefault="00CA400A" w:rsidP="00CA400A">
      <w:pPr>
        <w:pStyle w:val="SingleTxtGR"/>
      </w:pPr>
      <w:r w:rsidRPr="000301A5">
        <w:t>3.2</w:t>
      </w:r>
      <w:r w:rsidRPr="000301A5">
        <w:tab/>
        <w:t>Автор также утверждает, что невозможность обжалования в порядке гражданского иска законность законодательного акта в судах общей юрисди</w:t>
      </w:r>
      <w:r w:rsidRPr="000301A5">
        <w:t>к</w:t>
      </w:r>
      <w:r w:rsidRPr="000301A5">
        <w:t>ции лишает его эффективного средства правовой защиты и представляет собой нарушение пункта 1 статьи 14, рассматриваемой в совокупности с пунктами 2 и</w:t>
      </w:r>
      <w:r w:rsidR="00930B10">
        <w:t> </w:t>
      </w:r>
      <w:r w:rsidRPr="000301A5">
        <w:t>3 статьи 2 Пакта. В этой связи автор просит Комитет рекомендовать госуда</w:t>
      </w:r>
      <w:r w:rsidRPr="000301A5">
        <w:t>р</w:t>
      </w:r>
      <w:r w:rsidRPr="000301A5">
        <w:t>ству-участнику привести свое законодательство в соответствие с междунаро</w:t>
      </w:r>
      <w:r w:rsidRPr="000301A5">
        <w:t>д</w:t>
      </w:r>
      <w:r w:rsidRPr="000301A5">
        <w:t>ными нормами, изложенными в статьях 19, 21 и пункте 1 статьи 14 Пакта, и</w:t>
      </w:r>
      <w:r w:rsidR="00A64F8A">
        <w:t> </w:t>
      </w:r>
      <w:r w:rsidRPr="000301A5">
        <w:t xml:space="preserve">просит компенсировать расходы, включая судебные издержки, и возместить моральный ущерб. </w:t>
      </w:r>
    </w:p>
    <w:p w:rsidR="00CA400A" w:rsidRPr="000301A5" w:rsidRDefault="00CA400A" w:rsidP="00933549">
      <w:pPr>
        <w:pStyle w:val="H23GR"/>
      </w:pPr>
      <w:r w:rsidRPr="000301A5">
        <w:tab/>
      </w:r>
      <w:r w:rsidRPr="000301A5">
        <w:tab/>
        <w:t xml:space="preserve">Замечания государства-участника </w:t>
      </w:r>
    </w:p>
    <w:p w:rsidR="00CA400A" w:rsidRPr="000301A5" w:rsidRDefault="00CA400A" w:rsidP="00CA400A">
      <w:pPr>
        <w:pStyle w:val="SingleTxtGR"/>
      </w:pPr>
      <w:r w:rsidRPr="000301A5">
        <w:t>4.1</w:t>
      </w:r>
      <w:proofErr w:type="gramStart"/>
      <w:r w:rsidRPr="000301A5">
        <w:tab/>
        <w:t>В</w:t>
      </w:r>
      <w:proofErr w:type="gramEnd"/>
      <w:r w:rsidRPr="000301A5">
        <w:t xml:space="preserve"> своей вербальной ноте от 25 января 2012 года государство-участник вновь подтвердило свою позицию, изложенную в вербальной ноте от 6 января 2011 года в отношении необоснованной регистрации сообщений, представле</w:t>
      </w:r>
      <w:r w:rsidRPr="000301A5">
        <w:t>н</w:t>
      </w:r>
      <w:r w:rsidRPr="000301A5">
        <w:t>ных лицами, которые не исчерпали все имеющиеся в государстве-участнике внутренние средства правовой защиты, включая подачу в прокуратуру ходата</w:t>
      </w:r>
      <w:r w:rsidRPr="000301A5">
        <w:t>й</w:t>
      </w:r>
      <w:r w:rsidRPr="000301A5">
        <w:t>ства о пересмотре в порядке надзора судебного решения, вступившего в зако</w:t>
      </w:r>
      <w:r w:rsidRPr="000301A5">
        <w:t>н</w:t>
      </w:r>
      <w:r w:rsidRPr="000301A5">
        <w:t>ную силу, в нарушение статьи 2 Факультативного протокола. Кроме того, гос</w:t>
      </w:r>
      <w:r w:rsidRPr="000301A5">
        <w:t>у</w:t>
      </w:r>
      <w:r w:rsidRPr="000301A5">
        <w:t>дарство-участник указывает на то, что, став участником Факультативного пр</w:t>
      </w:r>
      <w:r w:rsidRPr="000301A5">
        <w:t>о</w:t>
      </w:r>
      <w:r w:rsidRPr="000301A5">
        <w:t>токола, оно в соответствии с его статьей 1 выразило согласие признать комп</w:t>
      </w:r>
      <w:r w:rsidRPr="000301A5">
        <w:t>е</w:t>
      </w:r>
      <w:r w:rsidRPr="000301A5">
        <w:lastRenderedPageBreak/>
        <w:t>тенцию Комитета принимать и рассматривать сообщения от находящихся под его юрисдикцией лиц, утверждающих, что они являются жертвами нарушения государством-участником какого-либо из прав, защищаемых Пактом. Оно, о</w:t>
      </w:r>
      <w:r w:rsidRPr="000301A5">
        <w:t>д</w:t>
      </w:r>
      <w:r w:rsidRPr="000301A5">
        <w:t>нако, отмечает, что это признание компетенции было связано с другими пол</w:t>
      </w:r>
      <w:r w:rsidRPr="000301A5">
        <w:t>о</w:t>
      </w:r>
      <w:r w:rsidRPr="000301A5">
        <w:t>жениями Факультативного протокола, включая те положения, в которых уст</w:t>
      </w:r>
      <w:r w:rsidRPr="000301A5">
        <w:t>а</w:t>
      </w:r>
      <w:r w:rsidRPr="000301A5">
        <w:t xml:space="preserve">навливаются критерии, касающиеся заявителей и приемлемости их сообщений, в частности статьи 2 и 5. </w:t>
      </w:r>
    </w:p>
    <w:p w:rsidR="00CA400A" w:rsidRPr="000301A5" w:rsidRDefault="00CA400A" w:rsidP="00CA400A">
      <w:pPr>
        <w:pStyle w:val="SingleTxtGR"/>
      </w:pPr>
      <w:r w:rsidRPr="000301A5">
        <w:t>4.2</w:t>
      </w:r>
      <w:r w:rsidRPr="000301A5">
        <w:tab/>
        <w:t>Государство-участник утверждает, что согласно Факультативному прот</w:t>
      </w:r>
      <w:r w:rsidRPr="000301A5">
        <w:t>о</w:t>
      </w:r>
      <w:r w:rsidRPr="000301A5">
        <w:t>колу государства-участники не обязаны признавать правила процедуры Комит</w:t>
      </w:r>
      <w:r w:rsidRPr="000301A5">
        <w:t>е</w:t>
      </w:r>
      <w:r w:rsidRPr="000301A5">
        <w:t xml:space="preserve">та или толкование им положений Факультативного протокола, которое может быть действительным только тогда, когда оно предпринимается в соответствии с Венской конвенцией о праве международных договоров. Оно заявляет, что в отношении процедуры подачи и рассмотрения жалоб государства-участники должны </w:t>
      </w:r>
      <w:proofErr w:type="gramStart"/>
      <w:r w:rsidRPr="000301A5">
        <w:t>руководствоваться</w:t>
      </w:r>
      <w:proofErr w:type="gramEnd"/>
      <w:r w:rsidRPr="000301A5">
        <w:t xml:space="preserve"> прежде всего положениями Факультативного прот</w:t>
      </w:r>
      <w:r w:rsidRPr="000301A5">
        <w:t>о</w:t>
      </w:r>
      <w:r w:rsidRPr="000301A5">
        <w:t>кола и что ссылки на давно сложившуюся практику Комитета, его методы раб</w:t>
      </w:r>
      <w:r w:rsidRPr="000301A5">
        <w:t>о</w:t>
      </w:r>
      <w:r w:rsidRPr="000301A5">
        <w:t xml:space="preserve">ты и решения не являются предметом Факультативного протокола. Оно также заявляет, что любое сообщение, зарегистрированное в нарушение положений Факультативного протокола, </w:t>
      </w:r>
      <w:proofErr w:type="gramStart"/>
      <w:r w:rsidRPr="000301A5">
        <w:t>будет рассматриваться государством-участником как несовместимое с Факультативным протоколом и</w:t>
      </w:r>
      <w:proofErr w:type="gramEnd"/>
      <w:r w:rsidRPr="000301A5">
        <w:t xml:space="preserve"> будет отклоняться без в</w:t>
      </w:r>
      <w:r w:rsidRPr="000301A5">
        <w:t>ы</w:t>
      </w:r>
      <w:r w:rsidRPr="000301A5">
        <w:t>сказывания замечаний по вопросу о приемлемости и по существу сообщения, а</w:t>
      </w:r>
      <w:r w:rsidR="007E02FE">
        <w:t> </w:t>
      </w:r>
      <w:r w:rsidRPr="000301A5">
        <w:t>любое решение, принятое Комитетом в отношении таких отклоненных соо</w:t>
      </w:r>
      <w:r w:rsidRPr="000301A5">
        <w:t>б</w:t>
      </w:r>
      <w:r w:rsidRPr="000301A5">
        <w:t xml:space="preserve">щений, будет рассматриваться властями как </w:t>
      </w:r>
      <w:r w:rsidR="00642C45">
        <w:t>«</w:t>
      </w:r>
      <w:r w:rsidRPr="000301A5">
        <w:t>недействительное</w:t>
      </w:r>
      <w:r w:rsidR="00642C45">
        <w:t>»</w:t>
      </w:r>
      <w:r w:rsidRPr="000301A5">
        <w:t>. Государство-участник считает, что данное сообщение было зарегистрировано в нарушение Факультативного протокола.</w:t>
      </w:r>
    </w:p>
    <w:p w:rsidR="00CA400A" w:rsidRPr="000301A5" w:rsidRDefault="00CA400A" w:rsidP="00933549">
      <w:pPr>
        <w:pStyle w:val="H23GR"/>
      </w:pPr>
      <w:r w:rsidRPr="000301A5">
        <w:tab/>
      </w:r>
      <w:r w:rsidRPr="000301A5">
        <w:tab/>
        <w:t>Комментарии автора к замечаниям государства-участника</w:t>
      </w:r>
    </w:p>
    <w:p w:rsidR="00CA400A" w:rsidRPr="000301A5" w:rsidRDefault="00CA400A" w:rsidP="00CA400A">
      <w:pPr>
        <w:pStyle w:val="SingleTxtGR"/>
        <w:rPr>
          <w:bCs/>
        </w:rPr>
      </w:pPr>
      <w:r w:rsidRPr="000301A5">
        <w:t>5.1</w:t>
      </w:r>
      <w:proofErr w:type="gramStart"/>
      <w:r w:rsidRPr="000301A5">
        <w:tab/>
        <w:t>В</w:t>
      </w:r>
      <w:proofErr w:type="gramEnd"/>
      <w:r w:rsidRPr="000301A5">
        <w:t xml:space="preserve"> письме от 21 марта 2012 года автор утверждает, что он не считает, что пересмотр дела </w:t>
      </w:r>
      <w:r w:rsidR="006350AC">
        <w:t>в</w:t>
      </w:r>
      <w:r w:rsidRPr="000301A5">
        <w:t xml:space="preserve"> прокуратуре в порядке надзора является эффективным вну</w:t>
      </w:r>
      <w:r w:rsidRPr="000301A5">
        <w:t>т</w:t>
      </w:r>
      <w:r w:rsidRPr="000301A5">
        <w:t>ренним средством правовой защиты, и ссылается на практику Комитета по да</w:t>
      </w:r>
      <w:r w:rsidRPr="000301A5">
        <w:t>н</w:t>
      </w:r>
      <w:r w:rsidRPr="000301A5">
        <w:t>ному вопросу</w:t>
      </w:r>
      <w:r w:rsidRPr="005C5850">
        <w:rPr>
          <w:sz w:val="18"/>
          <w:vertAlign w:val="superscript"/>
        </w:rPr>
        <w:footnoteReference w:id="3"/>
      </w:r>
      <w:r w:rsidR="007E02FE">
        <w:t>.</w:t>
      </w:r>
    </w:p>
    <w:p w:rsidR="00CA400A" w:rsidRPr="000301A5" w:rsidRDefault="00CA400A" w:rsidP="00CA400A">
      <w:pPr>
        <w:pStyle w:val="SingleTxtGR"/>
        <w:rPr>
          <w:bCs/>
        </w:rPr>
      </w:pPr>
      <w:proofErr w:type="gramStart"/>
      <w:r w:rsidRPr="000301A5">
        <w:t>5.2</w:t>
      </w:r>
      <w:r w:rsidRPr="000301A5">
        <w:tab/>
        <w:t xml:space="preserve">Что касается оспаривания государством-участником правил процедуры Комитета, то автор заявляет, что положения Пакта толкует Комитет и что </w:t>
      </w:r>
      <w:r w:rsidR="00642C45">
        <w:t>«</w:t>
      </w:r>
      <w:r w:rsidRPr="000301A5">
        <w:t>с</w:t>
      </w:r>
      <w:r w:rsidRPr="000301A5">
        <w:t>о</w:t>
      </w:r>
      <w:r w:rsidRPr="000301A5">
        <w:t>ображения Комитета в соответствии с Факультативным протоколом предста</w:t>
      </w:r>
      <w:r w:rsidRPr="000301A5">
        <w:t>в</w:t>
      </w:r>
      <w:r w:rsidRPr="000301A5">
        <w:t>ляют собой авторитетное определение, выносимое учрежденным в соотве</w:t>
      </w:r>
      <w:r w:rsidRPr="000301A5">
        <w:t>т</w:t>
      </w:r>
      <w:r w:rsidRPr="000301A5">
        <w:t>ствии с самим Пактом органом, на который возложена задача толкования этого документа</w:t>
      </w:r>
      <w:r w:rsidR="00642C45">
        <w:t>»</w:t>
      </w:r>
      <w:r w:rsidRPr="005C5850">
        <w:rPr>
          <w:sz w:val="18"/>
          <w:vertAlign w:val="superscript"/>
        </w:rPr>
        <w:footnoteReference w:id="4"/>
      </w:r>
      <w:r w:rsidR="007E02FE">
        <w:t>.</w:t>
      </w:r>
      <w:r w:rsidRPr="000301A5">
        <w:t xml:space="preserve"> По мнению автора, на основании вышесказанного государство-участник должно уважать решения Комитета, а также его </w:t>
      </w:r>
      <w:r w:rsidR="00642C45">
        <w:t>«</w:t>
      </w:r>
      <w:r w:rsidRPr="000301A5">
        <w:t>стандарты, практику</w:t>
      </w:r>
      <w:proofErr w:type="gramEnd"/>
      <w:r w:rsidRPr="000301A5">
        <w:t xml:space="preserve"> и методы работы</w:t>
      </w:r>
      <w:r w:rsidR="00642C45">
        <w:t>»</w:t>
      </w:r>
      <w:r w:rsidRPr="000301A5">
        <w:t>.</w:t>
      </w:r>
    </w:p>
    <w:p w:rsidR="00CA400A" w:rsidRPr="000301A5" w:rsidRDefault="00CA400A" w:rsidP="00933549">
      <w:pPr>
        <w:pStyle w:val="H23GR"/>
      </w:pPr>
      <w:r w:rsidRPr="000301A5">
        <w:tab/>
      </w:r>
      <w:r w:rsidRPr="000301A5">
        <w:tab/>
        <w:t>Вопросы и процедура их рассмотрения в Комитете</w:t>
      </w:r>
    </w:p>
    <w:p w:rsidR="00CA400A" w:rsidRPr="000301A5" w:rsidRDefault="00CA400A" w:rsidP="00933549">
      <w:pPr>
        <w:pStyle w:val="H4GR"/>
      </w:pPr>
      <w:r w:rsidRPr="000301A5">
        <w:tab/>
      </w:r>
      <w:r w:rsidRPr="000301A5">
        <w:tab/>
        <w:t>Отсутствие сотрудничества со стороны государства-участника</w:t>
      </w:r>
    </w:p>
    <w:p w:rsidR="00CA400A" w:rsidRPr="000301A5" w:rsidRDefault="00CA400A" w:rsidP="00CA400A">
      <w:pPr>
        <w:pStyle w:val="SingleTxtGR"/>
      </w:pPr>
      <w:r w:rsidRPr="000301A5">
        <w:t>6.1</w:t>
      </w:r>
      <w:r w:rsidRPr="000301A5">
        <w:tab/>
        <w:t>Комитет принимает к сведению утверждение государства-участника об отсутствии правовых оснований для рассмотрения сообщения автора, поскол</w:t>
      </w:r>
      <w:r w:rsidRPr="000301A5">
        <w:t>ь</w:t>
      </w:r>
      <w:r w:rsidRPr="000301A5">
        <w:t>ку оно зарегистрировано в нарушение положений Факультативного протокола; о том, что оно не несет обязательств относительно признания правил процед</w:t>
      </w:r>
      <w:r w:rsidRPr="000301A5">
        <w:t>у</w:t>
      </w:r>
      <w:r w:rsidRPr="000301A5">
        <w:lastRenderedPageBreak/>
        <w:t>ры Комитета и толкования Комитетом положений Факультативного протокола; а</w:t>
      </w:r>
      <w:r w:rsidR="00DD7D77">
        <w:t> </w:t>
      </w:r>
      <w:r w:rsidRPr="000301A5">
        <w:t xml:space="preserve">также что если Комитет примет решение по данному сообщению, то оно будет рассматриваться властями как </w:t>
      </w:r>
      <w:r w:rsidR="00642C45">
        <w:t>«</w:t>
      </w:r>
      <w:r w:rsidRPr="000301A5">
        <w:t>не имеющее силы</w:t>
      </w:r>
      <w:r w:rsidR="00642C45">
        <w:t>»</w:t>
      </w:r>
      <w:r w:rsidRPr="000301A5">
        <w:t>.</w:t>
      </w:r>
    </w:p>
    <w:p w:rsidR="00CA400A" w:rsidRPr="000301A5" w:rsidRDefault="00CA400A" w:rsidP="00CA400A">
      <w:pPr>
        <w:pStyle w:val="SingleTxtGR"/>
      </w:pPr>
      <w:r w:rsidRPr="000301A5">
        <w:t>6.2</w:t>
      </w:r>
      <w:r w:rsidRPr="000301A5">
        <w:tab/>
        <w:t>Комитет напоминает, что в соответствии с пунктом 2 статьи 39 Пакта он уполномочен устанавливать свои собственные правила процедуры, которые государства-участники согласились признавать. Присоединяясь к Факультати</w:t>
      </w:r>
      <w:r w:rsidRPr="000301A5">
        <w:t>в</w:t>
      </w:r>
      <w:r w:rsidRPr="000301A5">
        <w:t xml:space="preserve">ному протоколу, государство </w:t>
      </w:r>
      <w:r w:rsidR="00DD7D77">
        <w:t>–</w:t>
      </w:r>
      <w:r w:rsidRPr="000301A5">
        <w:t xml:space="preserve"> участник Пакта признает компетенцию Комитета получать и рассматривать сообщения от отдельных лиц, утверждающих, что они являются жертвами нарушений любого из прав, закрепленных в Пакте (преамбула и статья 1). Из факта присоединения государства к Факультативн</w:t>
      </w:r>
      <w:r w:rsidRPr="000301A5">
        <w:t>о</w:t>
      </w:r>
      <w:r w:rsidRPr="000301A5">
        <w:t>му протоколу вытекает, что оно берет на себя обязательство добросовестно с</w:t>
      </w:r>
      <w:r w:rsidRPr="000301A5">
        <w:t>о</w:t>
      </w:r>
      <w:r w:rsidRPr="000301A5">
        <w:t xml:space="preserve">трудничать с Комитетом, с </w:t>
      </w:r>
      <w:proofErr w:type="gramStart"/>
      <w:r w:rsidRPr="000301A5">
        <w:t>тем</w:t>
      </w:r>
      <w:proofErr w:type="gramEnd"/>
      <w:r w:rsidRPr="000301A5">
        <w:t xml:space="preserve"> чтобы дать ему возможность рассматривать т</w:t>
      </w:r>
      <w:r w:rsidRPr="000301A5">
        <w:t>а</w:t>
      </w:r>
      <w:r w:rsidRPr="000301A5">
        <w:t>кие сообщения, а после рассмотрения сообщения направлять свои соображения государству-участнику и соответствующему лицу (пункты 1 и 4 статьи 5). Л</w:t>
      </w:r>
      <w:r w:rsidRPr="000301A5">
        <w:t>ю</w:t>
      </w:r>
      <w:r w:rsidRPr="000301A5">
        <w:t>бые предпринимаемые государством-участником действия, препятствующие Комитету в рассмотрении и изучении сообщений, а также в формулировании своих соображений или делающие эти действия Комитета тщетными, являются несовместимыми с данными обязательствами</w:t>
      </w:r>
      <w:r w:rsidRPr="005C5850">
        <w:rPr>
          <w:sz w:val="18"/>
          <w:vertAlign w:val="superscript"/>
        </w:rPr>
        <w:footnoteReference w:id="5"/>
      </w:r>
      <w:r w:rsidR="00DD7D77">
        <w:t>.</w:t>
      </w:r>
      <w:r w:rsidRPr="000301A5">
        <w:t xml:space="preserve"> Комитет имеет право самосто</w:t>
      </w:r>
      <w:r w:rsidRPr="000301A5">
        <w:t>я</w:t>
      </w:r>
      <w:r w:rsidRPr="000301A5">
        <w:t>тельно определять, следует ли регистрировать то или иное дело. Не признавая компетенцию Комитета определять, следует ли регистрировать то или иное с</w:t>
      </w:r>
      <w:r w:rsidRPr="000301A5">
        <w:t>о</w:t>
      </w:r>
      <w:r w:rsidRPr="000301A5">
        <w:t xml:space="preserve">общение, </w:t>
      </w:r>
      <w:proofErr w:type="gramStart"/>
      <w:r w:rsidRPr="000301A5">
        <w:t>и</w:t>
      </w:r>
      <w:proofErr w:type="gramEnd"/>
      <w:r w:rsidRPr="000301A5">
        <w:t xml:space="preserve"> заявляя прямо, что оно не согласится с решением Комитета относ</w:t>
      </w:r>
      <w:r w:rsidRPr="000301A5">
        <w:t>и</w:t>
      </w:r>
      <w:r w:rsidRPr="000301A5">
        <w:t>тельно приемлемости и существа сообщений, государство-участник нарушает свои обязательства по статье 1 Факультативного протокола.</w:t>
      </w:r>
    </w:p>
    <w:p w:rsidR="00CA400A" w:rsidRPr="000301A5" w:rsidRDefault="00CA400A" w:rsidP="00933549">
      <w:pPr>
        <w:pStyle w:val="H4GR"/>
      </w:pPr>
      <w:r w:rsidRPr="000301A5">
        <w:tab/>
      </w:r>
      <w:r w:rsidRPr="000301A5">
        <w:tab/>
        <w:t>Рассмотрение вопроса о приемлемости</w:t>
      </w:r>
    </w:p>
    <w:p w:rsidR="00CA400A" w:rsidRPr="000301A5" w:rsidRDefault="00CA400A" w:rsidP="00CA400A">
      <w:pPr>
        <w:pStyle w:val="SingleTxtGR"/>
        <w:rPr>
          <w:bCs/>
        </w:rPr>
      </w:pPr>
      <w:r w:rsidRPr="000301A5">
        <w:t>7.1</w:t>
      </w:r>
      <w:proofErr w:type="gramStart"/>
      <w:r w:rsidRPr="000301A5">
        <w:tab/>
        <w:t>П</w:t>
      </w:r>
      <w:proofErr w:type="gramEnd"/>
      <w:r w:rsidRPr="000301A5">
        <w:t>режде чем рассматривать какое-либо утверждение, изложенное в том или ином сообщении, Комитет должен в соответствии с пунктом 93 правил процедуры определить, является ли данное сообщение приемлемым согласно Факультативному протоколу.</w:t>
      </w:r>
    </w:p>
    <w:p w:rsidR="00CA400A" w:rsidRPr="000301A5" w:rsidRDefault="00CA400A" w:rsidP="00CA400A">
      <w:pPr>
        <w:pStyle w:val="SingleTxtGR"/>
      </w:pPr>
      <w:r w:rsidRPr="000301A5">
        <w:t>7.2</w:t>
      </w:r>
      <w:proofErr w:type="gramStart"/>
      <w:r w:rsidRPr="000301A5">
        <w:tab/>
        <w:t>С</w:t>
      </w:r>
      <w:proofErr w:type="gramEnd"/>
      <w:r w:rsidRPr="000301A5">
        <w:t xml:space="preserve"> учетом требований подпункта а) пункта 2 статьи 5 Факультативного протокола Комитет удостоверился в том, что этот же вопрос не рассматривается в рамках другой процедуры международного разбирательства или урегулиров</w:t>
      </w:r>
      <w:r w:rsidRPr="000301A5">
        <w:t>а</w:t>
      </w:r>
      <w:r w:rsidRPr="000301A5">
        <w:t xml:space="preserve">ния. </w:t>
      </w:r>
    </w:p>
    <w:p w:rsidR="00CA400A" w:rsidRPr="000301A5" w:rsidRDefault="00CA400A" w:rsidP="00CA400A">
      <w:pPr>
        <w:pStyle w:val="SingleTxtGR"/>
      </w:pPr>
      <w:r w:rsidRPr="000301A5">
        <w:t>7.3</w:t>
      </w:r>
      <w:r w:rsidRPr="000301A5">
        <w:tab/>
        <w:t>Комитет принимает к сведению возражение государства-участника, с</w:t>
      </w:r>
      <w:r w:rsidRPr="000301A5">
        <w:t>о</w:t>
      </w:r>
      <w:r w:rsidRPr="000301A5">
        <w:t xml:space="preserve">стоящее в том, что автор не направил в прокуратуру ходатайство о проведении пересмотра в порядке надзора решений национальных судов. </w:t>
      </w:r>
      <w:proofErr w:type="gramStart"/>
      <w:r w:rsidRPr="000301A5">
        <w:t>Комитет напом</w:t>
      </w:r>
      <w:r w:rsidRPr="000301A5">
        <w:t>и</w:t>
      </w:r>
      <w:r w:rsidRPr="000301A5">
        <w:t>нает свою юриспруденцию, согласно которой обращение в прокуратуру с ход</w:t>
      </w:r>
      <w:r w:rsidRPr="000301A5">
        <w:t>а</w:t>
      </w:r>
      <w:r w:rsidRPr="000301A5">
        <w:t>тайством о проведении пересмотра в порядке надзора, с просьбой о проведении пересмотра вступивших в силу судебных решений, не является средством пр</w:t>
      </w:r>
      <w:r w:rsidRPr="000301A5">
        <w:t>а</w:t>
      </w:r>
      <w:r w:rsidRPr="000301A5">
        <w:t>вовой защиты, которое должно быть исчерпано для целей подпункта b) пун</w:t>
      </w:r>
      <w:r w:rsidRPr="000301A5">
        <w:t>к</w:t>
      </w:r>
      <w:r w:rsidRPr="000301A5">
        <w:t>та</w:t>
      </w:r>
      <w:r w:rsidR="00DD7D77">
        <w:t> </w:t>
      </w:r>
      <w:r w:rsidRPr="000301A5">
        <w:t>2 статьи 5 Факультативного протокола</w:t>
      </w:r>
      <w:r w:rsidRPr="005C5850">
        <w:rPr>
          <w:sz w:val="18"/>
          <w:vertAlign w:val="superscript"/>
        </w:rPr>
        <w:footnoteReference w:id="6"/>
      </w:r>
      <w:r w:rsidR="00DD7D77">
        <w:t>.</w:t>
      </w:r>
      <w:r w:rsidRPr="000301A5">
        <w:t xml:space="preserve"> Соответственно, он считает, что тр</w:t>
      </w:r>
      <w:r w:rsidRPr="000301A5">
        <w:t>е</w:t>
      </w:r>
      <w:r w:rsidRPr="000301A5">
        <w:t>бования подпункта b) пункта 2 статьи 5 Факультативного протокола не</w:t>
      </w:r>
      <w:proofErr w:type="gramEnd"/>
      <w:r w:rsidRPr="000301A5">
        <w:t xml:space="preserve"> препя</w:t>
      </w:r>
      <w:r w:rsidRPr="000301A5">
        <w:t>т</w:t>
      </w:r>
      <w:r w:rsidRPr="000301A5">
        <w:t xml:space="preserve">ствуют рассмотрению им настоящего сообщения. </w:t>
      </w:r>
    </w:p>
    <w:p w:rsidR="00CA400A" w:rsidRPr="000301A5" w:rsidRDefault="00CA400A" w:rsidP="00CA400A">
      <w:pPr>
        <w:pStyle w:val="SingleTxtGR"/>
      </w:pPr>
      <w:proofErr w:type="gramStart"/>
      <w:r w:rsidRPr="000301A5">
        <w:lastRenderedPageBreak/>
        <w:t>7.4</w:t>
      </w:r>
      <w:r w:rsidRPr="000301A5">
        <w:tab/>
        <w:t>Комитет принимает к сведению утверждение автора о том, что его права, предусмотренные пунктом 1 статьи 14, рассматриваемым в совокупности с</w:t>
      </w:r>
      <w:r w:rsidR="00DD7D77">
        <w:t> </w:t>
      </w:r>
      <w:r w:rsidRPr="000301A5">
        <w:t>пунктами 2 и 3 статьи 2 Пакта, были нарушены, поскольку суды отказались рассматривать его утверждение относительно незаконности решения № 299 от</w:t>
      </w:r>
      <w:r w:rsidR="00DD7D77">
        <w:t> </w:t>
      </w:r>
      <w:r w:rsidRPr="000301A5">
        <w:t>2 апреля 2008 года Гомельского городского исполнительного комитета о ма</w:t>
      </w:r>
      <w:r w:rsidRPr="000301A5">
        <w:t>с</w:t>
      </w:r>
      <w:r w:rsidRPr="000301A5">
        <w:t>совых мероприятиях в городе Гомеле.</w:t>
      </w:r>
      <w:proofErr w:type="gramEnd"/>
      <w:r w:rsidRPr="000301A5">
        <w:t xml:space="preserve"> В этой связи Комитет отмечает, что в с</w:t>
      </w:r>
      <w:r w:rsidRPr="000301A5">
        <w:t>о</w:t>
      </w:r>
      <w:r w:rsidRPr="000301A5">
        <w:t>ответствии с национальным законодательством законность нормативно-правовых актов может быть проверена лишь Конституционным судом, а не с</w:t>
      </w:r>
      <w:r w:rsidRPr="000301A5">
        <w:t>у</w:t>
      </w:r>
      <w:r w:rsidRPr="000301A5">
        <w:t>дами общей юрисдикции. Отдельные лица могут обращаться в Конституцио</w:t>
      </w:r>
      <w:r w:rsidRPr="000301A5">
        <w:t>н</w:t>
      </w:r>
      <w:r w:rsidRPr="000301A5">
        <w:t xml:space="preserve">ный суд через ряд органов и должностных лиц. </w:t>
      </w:r>
      <w:proofErr w:type="gramStart"/>
      <w:r w:rsidRPr="000301A5">
        <w:t>Комитет отмечает, что возбу</w:t>
      </w:r>
      <w:r w:rsidRPr="000301A5">
        <w:t>ж</w:t>
      </w:r>
      <w:r w:rsidRPr="000301A5">
        <w:t>дение судебного разбирательства в судебном органе, который явно не имеет юрисдикции рассматривать подобное дело, не может привести к нарушению г</w:t>
      </w:r>
      <w:r w:rsidRPr="000301A5">
        <w:t>а</w:t>
      </w:r>
      <w:r w:rsidRPr="000301A5">
        <w:t>рантий, предусмотренных в пункте 1 статьи 14 Пакта</w:t>
      </w:r>
      <w:r w:rsidRPr="005C5850">
        <w:rPr>
          <w:sz w:val="18"/>
          <w:vertAlign w:val="superscript"/>
        </w:rPr>
        <w:footnoteReference w:id="7"/>
      </w:r>
      <w:r w:rsidR="00DD7D77">
        <w:t>.</w:t>
      </w:r>
      <w:r w:rsidRPr="000301A5">
        <w:t xml:space="preserve"> В связи с этим Комитет приходит к выводу, что эта часть сообщения является неприемлемой ratione materiae в соответствии со статьей 3 Факультативного протокола. </w:t>
      </w:r>
      <w:proofErr w:type="gramEnd"/>
    </w:p>
    <w:p w:rsidR="00CA400A" w:rsidRPr="008273BC" w:rsidRDefault="00CA400A" w:rsidP="00CA400A">
      <w:pPr>
        <w:pStyle w:val="SingleTxtGR"/>
      </w:pPr>
      <w:r w:rsidRPr="000301A5">
        <w:t>7.5</w:t>
      </w:r>
      <w:r w:rsidRPr="000301A5">
        <w:tab/>
        <w:t xml:space="preserve"> Комитет отмечает утверждение автора о том, что его просьба о провед</w:t>
      </w:r>
      <w:r w:rsidRPr="000301A5">
        <w:t>е</w:t>
      </w:r>
      <w:r w:rsidRPr="000301A5">
        <w:t>нии пикета была отклонена местными властями и что ни Исполнительный к</w:t>
      </w:r>
      <w:r w:rsidRPr="000301A5">
        <w:t>о</w:t>
      </w:r>
      <w:r w:rsidRPr="000301A5">
        <w:t>митет, ни суды не рассмотрели вопрос о том, является ли ограничение его пр</w:t>
      </w:r>
      <w:r w:rsidRPr="000301A5">
        <w:t>а</w:t>
      </w:r>
      <w:r w:rsidRPr="000301A5">
        <w:t>ва, установленное согласно решению № 299, обоснованным. Автор также утверждает, что решение № 299, принятое на основании Закона о массовых м</w:t>
      </w:r>
      <w:r w:rsidRPr="000301A5">
        <w:t>е</w:t>
      </w:r>
      <w:r w:rsidRPr="000301A5">
        <w:t>роприятиях, неоправданно ограничивает права, предусмотренные в статьях 19 и 21 Пакта. Комитет далее отмечает утверждение автора о том, что его права, предусмотренные статьями 19 и 21, рассматриваемыми в совокупности с пун</w:t>
      </w:r>
      <w:r w:rsidRPr="000301A5">
        <w:t>к</w:t>
      </w:r>
      <w:r w:rsidRPr="000301A5">
        <w:t>тами 2 и 3 статьи 2 Пакта, были нарушены. В отсутствие какой-либо информ</w:t>
      </w:r>
      <w:r w:rsidRPr="000301A5">
        <w:t>а</w:t>
      </w:r>
      <w:r w:rsidRPr="000301A5">
        <w:t>ции со стороны государства-участника в отношении обстоятельств данного дела Комитет объявляет сообщение приемлемым в части, затрагивающей вопросы в связи со статьями 19 и 21, рассматриваемыми отдельно и в совокупности с пунктами 2 и 3 статьи 2 Пакта, и переходит к его рассмотрению по</w:t>
      </w:r>
      <w:r w:rsidR="008273BC">
        <w:t xml:space="preserve"> существу.</w:t>
      </w:r>
    </w:p>
    <w:p w:rsidR="00CA400A" w:rsidRPr="000301A5" w:rsidRDefault="00CA400A" w:rsidP="00933549">
      <w:pPr>
        <w:pStyle w:val="H4GR"/>
      </w:pPr>
      <w:r w:rsidRPr="000301A5">
        <w:tab/>
      </w:r>
      <w:r w:rsidRPr="000301A5">
        <w:tab/>
        <w:t>Рассмотрение сообщения по существу</w:t>
      </w:r>
    </w:p>
    <w:p w:rsidR="00CA400A" w:rsidRPr="000301A5" w:rsidRDefault="00CA400A" w:rsidP="00CA400A">
      <w:pPr>
        <w:pStyle w:val="SingleTxtGR"/>
      </w:pPr>
      <w:r w:rsidRPr="000301A5">
        <w:t>8.1</w:t>
      </w:r>
      <w:r w:rsidRPr="000301A5">
        <w:tab/>
        <w:t>Комитет рассмотрел сообщение в свете всей информации, представле</w:t>
      </w:r>
      <w:r w:rsidRPr="000301A5">
        <w:t>н</w:t>
      </w:r>
      <w:r w:rsidRPr="000301A5">
        <w:t>ной ему сторонами, как это предусмотрено пунктом 1 статьи 5 Факультативного протокола.</w:t>
      </w:r>
    </w:p>
    <w:p w:rsidR="00CA400A" w:rsidRPr="000301A5" w:rsidRDefault="00CA400A" w:rsidP="00CA400A">
      <w:pPr>
        <w:pStyle w:val="SingleTxtGR"/>
      </w:pPr>
      <w:r w:rsidRPr="000301A5">
        <w:t>8.2</w:t>
      </w:r>
      <w:r w:rsidRPr="000301A5">
        <w:tab/>
        <w:t>Комитет отмечает утверждение автора о том, что решение № 299 Испо</w:t>
      </w:r>
      <w:r w:rsidRPr="000301A5">
        <w:t>л</w:t>
      </w:r>
      <w:r w:rsidRPr="000301A5">
        <w:t>нительного комитета неправомерно ограничивает право на свободу выражения мнений и право на мирные собрания, налагая на организаторов массовых мер</w:t>
      </w:r>
      <w:r w:rsidRPr="000301A5">
        <w:t>о</w:t>
      </w:r>
      <w:r w:rsidRPr="000301A5">
        <w:t xml:space="preserve">приятий </w:t>
      </w:r>
      <w:proofErr w:type="gramStart"/>
      <w:r w:rsidRPr="000301A5">
        <w:t>обязательство</w:t>
      </w:r>
      <w:proofErr w:type="gramEnd"/>
      <w:r w:rsidRPr="000301A5">
        <w:t xml:space="preserve"> заключать возмездные договоры с городскими службами и ограничивая все массовые мероприятия, которые будут проводиться в Гомеле, городе с населением 500 </w:t>
      </w:r>
      <w:r w:rsidR="003143D3">
        <w:t>000</w:t>
      </w:r>
      <w:r w:rsidRPr="000301A5">
        <w:t xml:space="preserve"> человек, одним конкретным местом в отдаленной части города. Комитет также отмечает утверждение автора о том, что формал</w:t>
      </w:r>
      <w:r w:rsidRPr="000301A5">
        <w:t>ь</w:t>
      </w:r>
      <w:r w:rsidRPr="000301A5">
        <w:t>ное применение Исполнительным комитетом решения № 299 в его отношении без рассмотрения вопроса о необходимости ограничивать осуществление его прав, представляет собой неоправданное ограничение его прав согласно стат</w:t>
      </w:r>
      <w:r w:rsidRPr="000301A5">
        <w:t>ь</w:t>
      </w:r>
      <w:r w:rsidRPr="000301A5">
        <w:t xml:space="preserve">ям 19 и 21 Пакта. </w:t>
      </w:r>
    </w:p>
    <w:p w:rsidR="00CA400A" w:rsidRPr="000301A5" w:rsidRDefault="00CA400A" w:rsidP="00CA400A">
      <w:pPr>
        <w:pStyle w:val="SingleTxtGR"/>
      </w:pPr>
      <w:r w:rsidRPr="000301A5">
        <w:t>8.3</w:t>
      </w:r>
      <w:r w:rsidRPr="000301A5">
        <w:tab/>
        <w:t>Комитет напоминает, что пункт 3 статьи 19 Пакта допускает некоторые ограничения, но только те, которые предусмотрены законом и являются необх</w:t>
      </w:r>
      <w:r w:rsidRPr="000301A5">
        <w:t>о</w:t>
      </w:r>
      <w:r w:rsidRPr="000301A5">
        <w:t>димыми: а) для уважения прав и репутации других лиц или b) для охраны гос</w:t>
      </w:r>
      <w:r w:rsidRPr="000301A5">
        <w:t>у</w:t>
      </w:r>
      <w:r w:rsidRPr="000301A5">
        <w:t xml:space="preserve">дарственной безопасности, общественного порядка (ordre public), здоровья или </w:t>
      </w:r>
      <w:r w:rsidRPr="000301A5">
        <w:lastRenderedPageBreak/>
        <w:t>нравственности населения. Комитет ссылается на свое замечание общего п</w:t>
      </w:r>
      <w:r w:rsidRPr="000301A5">
        <w:t>о</w:t>
      </w:r>
      <w:r w:rsidRPr="000301A5">
        <w:t>рядка № 34 (2011) о свободе мнений и свободе их выражения, в соответствии с которым свобода мнений и свобода их выражения являются неотъемлемыми условиями всестороннего развития личности</w:t>
      </w:r>
      <w:r w:rsidR="00CB4271">
        <w:t>,</w:t>
      </w:r>
      <w:r w:rsidRPr="000301A5">
        <w:t xml:space="preserve"> и такие свободы имеют ключевое значение для любого общества (пункт 2). Они являются основополагающими элементами любого свободного и </w:t>
      </w:r>
      <w:proofErr w:type="gramStart"/>
      <w:r w:rsidRPr="000301A5">
        <w:t>демократического общества</w:t>
      </w:r>
      <w:proofErr w:type="gramEnd"/>
      <w:r w:rsidR="00CB4271">
        <w:t xml:space="preserve"> </w:t>
      </w:r>
      <w:r w:rsidR="00CB4271" w:rsidRPr="000301A5">
        <w:t>(пункт 2</w:t>
      </w:r>
      <w:r w:rsidR="00CB4271">
        <w:t>2</w:t>
      </w:r>
      <w:r w:rsidR="00CB4271" w:rsidRPr="000301A5">
        <w:t>)</w:t>
      </w:r>
      <w:r w:rsidRPr="000301A5">
        <w:t>. Л</w:t>
      </w:r>
      <w:r w:rsidRPr="000301A5">
        <w:t>ю</w:t>
      </w:r>
      <w:r w:rsidRPr="000301A5">
        <w:t>бое ограничение осуществления этих свобод должно строго отвечать требов</w:t>
      </w:r>
      <w:r w:rsidRPr="000301A5">
        <w:t>а</w:t>
      </w:r>
      <w:r w:rsidRPr="000301A5">
        <w:t xml:space="preserve">нию необходимости и соразмерности. </w:t>
      </w:r>
      <w:proofErr w:type="gramStart"/>
      <w:r w:rsidRPr="000301A5">
        <w:t>Ограничения могут устанавливаться лишь для тех целей, для которых они предназначены, и они должны быть прямо связаны с конкретной целью, достижение которой они преследуют, и быть ей соразмерны</w:t>
      </w:r>
      <w:r w:rsidRPr="005C5850">
        <w:rPr>
          <w:sz w:val="18"/>
          <w:vertAlign w:val="superscript"/>
        </w:rPr>
        <w:footnoteReference w:id="8"/>
      </w:r>
      <w:r w:rsidR="00553302">
        <w:t>.</w:t>
      </w:r>
      <w:r w:rsidRPr="000301A5">
        <w:t xml:space="preserve"> Комитет напоминает</w:t>
      </w:r>
      <w:r w:rsidR="00553302" w:rsidRPr="005C5850">
        <w:rPr>
          <w:sz w:val="18"/>
          <w:vertAlign w:val="superscript"/>
        </w:rPr>
        <w:footnoteReference w:id="9"/>
      </w:r>
      <w:r w:rsidRPr="000301A5">
        <w:t>, что именно государство-участник должно продемонстрировать, что ограничения права автора, предусмотренные в ст</w:t>
      </w:r>
      <w:r w:rsidRPr="000301A5">
        <w:t>а</w:t>
      </w:r>
      <w:r w:rsidRPr="000301A5">
        <w:t>тье</w:t>
      </w:r>
      <w:r w:rsidR="00553302">
        <w:t> </w:t>
      </w:r>
      <w:r w:rsidRPr="000301A5">
        <w:t>19, являются необходимыми и соразмерными и что даже если государства-участники могут в принципе применять систему, направленную на обеспечение</w:t>
      </w:r>
      <w:proofErr w:type="gramEnd"/>
      <w:r w:rsidRPr="000301A5">
        <w:t xml:space="preserve"> равновесия между соблюдением права отдельного лица на свободное распр</w:t>
      </w:r>
      <w:r w:rsidRPr="000301A5">
        <w:t>о</w:t>
      </w:r>
      <w:r w:rsidRPr="000301A5">
        <w:t>странение информации и общими интересами поддержания общественного п</w:t>
      </w:r>
      <w:r w:rsidRPr="000301A5">
        <w:t>о</w:t>
      </w:r>
      <w:r w:rsidRPr="000301A5">
        <w:t>рядка в определенном районе, то функционирование такой системы не должно быть несовместимым с положениями статьи 19 Пакта.</w:t>
      </w:r>
    </w:p>
    <w:p w:rsidR="00CA400A" w:rsidRPr="000301A5" w:rsidRDefault="00CA400A" w:rsidP="00CA400A">
      <w:pPr>
        <w:pStyle w:val="SingleTxtGR"/>
      </w:pPr>
      <w:r w:rsidRPr="000301A5">
        <w:t>8.4</w:t>
      </w:r>
      <w:r w:rsidRPr="000301A5">
        <w:tab/>
        <w:t>Комитет далее напоминает о том, что право на мирные собрания, гара</w:t>
      </w:r>
      <w:r w:rsidRPr="000301A5">
        <w:t>н</w:t>
      </w:r>
      <w:r w:rsidRPr="000301A5">
        <w:t>тируемое статьей 21 Пакта, является одним из основных прав человека, име</w:t>
      </w:r>
      <w:r w:rsidRPr="000301A5">
        <w:t>ю</w:t>
      </w:r>
      <w:r w:rsidRPr="000301A5">
        <w:t xml:space="preserve">щим чрезвычайно </w:t>
      </w:r>
      <w:proofErr w:type="gramStart"/>
      <w:r w:rsidRPr="000301A5">
        <w:t>важное значение</w:t>
      </w:r>
      <w:proofErr w:type="gramEnd"/>
      <w:r w:rsidRPr="000301A5">
        <w:t xml:space="preserve"> для публичного выражения мнений и убе</w:t>
      </w:r>
      <w:r w:rsidRPr="000301A5">
        <w:t>ж</w:t>
      </w:r>
      <w:r w:rsidRPr="000301A5">
        <w:t>дений</w:t>
      </w:r>
      <w:r w:rsidR="00553302">
        <w:t>,</w:t>
      </w:r>
      <w:r w:rsidRPr="000301A5">
        <w:t xml:space="preserve"> и является неотъемлемым в демократическом обществе. Это право дает возможность организации мирного собрания и участия в нем, включая право на собрание без шествия (как, например, пикет) в общественном месте. </w:t>
      </w:r>
      <w:proofErr w:type="gramStart"/>
      <w:r w:rsidRPr="000301A5">
        <w:t>Организ</w:t>
      </w:r>
      <w:r w:rsidRPr="000301A5">
        <w:t>а</w:t>
      </w:r>
      <w:r w:rsidRPr="000301A5">
        <w:t>торы собрания обычно имеют право выбирать место, где их может увидеть и услышать их целевая аудитория, и какое-либо ограничение этого права является недопустимым, за исключением случаев, когда а) оно налагается в соответствии с законом и b) является необходимым в демократическом обществе, отвечая и</w:t>
      </w:r>
      <w:r w:rsidRPr="000301A5">
        <w:t>н</w:t>
      </w:r>
      <w:r w:rsidRPr="000301A5">
        <w:t>тересам государственной или общественной безопасности, общественного п</w:t>
      </w:r>
      <w:r w:rsidRPr="000301A5">
        <w:t>о</w:t>
      </w:r>
      <w:r w:rsidRPr="000301A5">
        <w:t>рядка, охраны здоровья и нравственности населения или защиты прав и свобод других</w:t>
      </w:r>
      <w:proofErr w:type="gramEnd"/>
      <w:r w:rsidRPr="000301A5">
        <w:t xml:space="preserve"> лиц. Когда государство-участник налагает ограничения в целях обесп</w:t>
      </w:r>
      <w:r w:rsidRPr="000301A5">
        <w:t>е</w:t>
      </w:r>
      <w:r w:rsidRPr="000301A5">
        <w:t>чения равновесия между правом человека на собрание и вышеупомянутыми общими интересами, оно должно руководствоваться целью содействовать ос</w:t>
      </w:r>
      <w:r w:rsidRPr="000301A5">
        <w:t>у</w:t>
      </w:r>
      <w:r w:rsidRPr="000301A5">
        <w:t>ществлению данного права, вместо того чтобы стремиться избыточно или нес</w:t>
      </w:r>
      <w:r w:rsidRPr="000301A5">
        <w:t>о</w:t>
      </w:r>
      <w:r w:rsidRPr="000301A5">
        <w:t>размерно ограничивать его. Государство-участник, таким образом, обязано обосновать ограничение права, защищаемого статьей 21 Пакта.</w:t>
      </w:r>
    </w:p>
    <w:p w:rsidR="00CA400A" w:rsidRPr="000301A5" w:rsidRDefault="00CA400A" w:rsidP="00CA400A">
      <w:pPr>
        <w:pStyle w:val="SingleTxtGR"/>
      </w:pPr>
      <w:r w:rsidRPr="000301A5">
        <w:t>8.5</w:t>
      </w:r>
      <w:proofErr w:type="gramStart"/>
      <w:r w:rsidRPr="000301A5">
        <w:tab/>
        <w:t>В</w:t>
      </w:r>
      <w:proofErr w:type="gramEnd"/>
      <w:r w:rsidRPr="000301A5">
        <w:t xml:space="preserve"> данном случае для своего пикета автор предпочел одну из площадей в центре Гомеля, с тем чтобы открыто выразить свое мнение по случаю Дня прав человека. Комитет отмечает, что национальные органы власти отклонили просьбу автора об организации пикета на том основании, что </w:t>
      </w:r>
      <w:r w:rsidR="00D72FA7">
        <w:t xml:space="preserve">запланированное </w:t>
      </w:r>
      <w:r w:rsidRPr="000301A5">
        <w:t xml:space="preserve">место проведения этого мероприятия </w:t>
      </w:r>
      <w:r w:rsidR="00D72FA7">
        <w:t>отличалось</w:t>
      </w:r>
      <w:r w:rsidRPr="000301A5">
        <w:t xml:space="preserve"> от конкретного места, разр</w:t>
      </w:r>
      <w:r w:rsidRPr="000301A5">
        <w:t>е</w:t>
      </w:r>
      <w:r w:rsidRPr="000301A5">
        <w:t>шенного в соответствии с решением № 299, и поскольку автор не заключи</w:t>
      </w:r>
      <w:r w:rsidR="00D72FA7">
        <w:t>л д</w:t>
      </w:r>
      <w:r w:rsidR="00D72FA7">
        <w:t>о</w:t>
      </w:r>
      <w:r w:rsidR="00D72FA7">
        <w:t>говоров</w:t>
      </w:r>
      <w:r w:rsidRPr="000301A5">
        <w:t xml:space="preserve"> с городскими службами. </w:t>
      </w:r>
      <w:proofErr w:type="gramStart"/>
      <w:r w:rsidRPr="000301A5">
        <w:t>Он также отмечает, что, исходя из имеющихся в деле материалов, можно сделать вывод о том, что национальные органы вл</w:t>
      </w:r>
      <w:r w:rsidRPr="000301A5">
        <w:t>а</w:t>
      </w:r>
      <w:r w:rsidRPr="000301A5">
        <w:t>сти не продемонстрировали того, каким образом пикет, проводимый в предл</w:t>
      </w:r>
      <w:r w:rsidRPr="000301A5">
        <w:t>о</w:t>
      </w:r>
      <w:r w:rsidRPr="000301A5">
        <w:t>женном автором месте, мог бы поставить под угрозу государственную и общ</w:t>
      </w:r>
      <w:r w:rsidRPr="000301A5">
        <w:t>е</w:t>
      </w:r>
      <w:r w:rsidRPr="000301A5">
        <w:t>ственную безопасность, общественный порядок и охрану здоровья или нра</w:t>
      </w:r>
      <w:r w:rsidRPr="000301A5">
        <w:t>в</w:t>
      </w:r>
      <w:r w:rsidRPr="000301A5">
        <w:lastRenderedPageBreak/>
        <w:t>ственность населения или защиту прав и свобод других лиц.</w:t>
      </w:r>
      <w:proofErr w:type="gramEnd"/>
      <w:r w:rsidRPr="000301A5">
        <w:t xml:space="preserve"> В частности, </w:t>
      </w:r>
      <w:r w:rsidR="000F7EC5">
        <w:br/>
      </w:r>
      <w:r w:rsidRPr="000301A5">
        <w:t xml:space="preserve">он отмечает, что ни </w:t>
      </w:r>
      <w:r w:rsidR="000F7EC5">
        <w:t xml:space="preserve">в </w:t>
      </w:r>
      <w:r w:rsidRPr="000301A5">
        <w:t>решени</w:t>
      </w:r>
      <w:r w:rsidR="000F7EC5">
        <w:t>и</w:t>
      </w:r>
      <w:r w:rsidRPr="000301A5">
        <w:t xml:space="preserve"> Исполнительного комитета об отказе автору в просьбе о проведении пикета, ни </w:t>
      </w:r>
      <w:r w:rsidR="000F7EC5">
        <w:t xml:space="preserve">в </w:t>
      </w:r>
      <w:r w:rsidRPr="000301A5">
        <w:t>судебны</w:t>
      </w:r>
      <w:r w:rsidR="000F7EC5">
        <w:t>х</w:t>
      </w:r>
      <w:r w:rsidRPr="000301A5">
        <w:t xml:space="preserve"> решения</w:t>
      </w:r>
      <w:r w:rsidR="000F7EC5">
        <w:t>х</w:t>
      </w:r>
      <w:r w:rsidRPr="000301A5">
        <w:t xml:space="preserve"> не объясн</w:t>
      </w:r>
      <w:r w:rsidR="000F7EC5">
        <w:t>ялось</w:t>
      </w:r>
      <w:r w:rsidRPr="000301A5">
        <w:t>, почему ограничения, установленные в решении № 299 и примененные в отношении д</w:t>
      </w:r>
      <w:r w:rsidRPr="000301A5">
        <w:t>е</w:t>
      </w:r>
      <w:r w:rsidRPr="000301A5">
        <w:t>ла автора, был</w:t>
      </w:r>
      <w:r w:rsidR="00553302">
        <w:t>и</w:t>
      </w:r>
      <w:r w:rsidRPr="000301A5">
        <w:t xml:space="preserve"> необходимым</w:t>
      </w:r>
      <w:r w:rsidR="00553302">
        <w:t>и</w:t>
      </w:r>
      <w:r w:rsidRPr="000301A5">
        <w:t xml:space="preserve"> и оправданным</w:t>
      </w:r>
      <w:r w:rsidR="00553302">
        <w:t>и</w:t>
      </w:r>
      <w:r w:rsidRPr="000301A5">
        <w:t xml:space="preserve">. </w:t>
      </w:r>
    </w:p>
    <w:p w:rsidR="00CA400A" w:rsidRPr="000301A5" w:rsidRDefault="00CA400A" w:rsidP="00CA400A">
      <w:pPr>
        <w:pStyle w:val="SingleTxtGR"/>
      </w:pPr>
      <w:r w:rsidRPr="000301A5">
        <w:t>8.6</w:t>
      </w:r>
      <w:r w:rsidRPr="000301A5">
        <w:tab/>
        <w:t>Комитет далее отмечает, что такой фактический запрет на проведение с</w:t>
      </w:r>
      <w:r w:rsidRPr="000301A5">
        <w:t>о</w:t>
      </w:r>
      <w:r w:rsidRPr="000301A5">
        <w:t>брания в любом общественном месте во всем городе Гомеле, за исключением одного конкретного места в отдаленной части города, установленн</w:t>
      </w:r>
      <w:r w:rsidR="000F7EC5">
        <w:t>ого</w:t>
      </w:r>
      <w:r w:rsidRPr="000301A5">
        <w:t xml:space="preserve"> решен</w:t>
      </w:r>
      <w:r w:rsidRPr="000301A5">
        <w:t>и</w:t>
      </w:r>
      <w:r w:rsidRPr="000301A5">
        <w:t>ем</w:t>
      </w:r>
      <w:r w:rsidR="000F7EC5">
        <w:t> </w:t>
      </w:r>
      <w:r w:rsidRPr="000301A5">
        <w:t>№ 299, неоправданно ограничивает право на свободу собраний и свободу выражения мнений. Он также отмечает, что требование от организатора од</w:t>
      </w:r>
      <w:r w:rsidRPr="000301A5">
        <w:t>и</w:t>
      </w:r>
      <w:r w:rsidRPr="000301A5">
        <w:t>ночного пикета заключать договоры с дополнительными службами в целях пр</w:t>
      </w:r>
      <w:r w:rsidRPr="000301A5">
        <w:t>о</w:t>
      </w:r>
      <w:r w:rsidRPr="000301A5">
        <w:t xml:space="preserve">ведения пикета возлагает несоразмерное бремя </w:t>
      </w:r>
      <w:proofErr w:type="gramStart"/>
      <w:r w:rsidRPr="000301A5">
        <w:t>на право на</w:t>
      </w:r>
      <w:proofErr w:type="gramEnd"/>
      <w:r w:rsidRPr="000301A5">
        <w:t xml:space="preserve"> мирные собрания и прав</w:t>
      </w:r>
      <w:r w:rsidR="00553302">
        <w:t>о</w:t>
      </w:r>
      <w:r w:rsidRPr="000301A5">
        <w:t xml:space="preserve"> на свободу выражения мнений в том же контексте. С учетом этих обсто</w:t>
      </w:r>
      <w:r w:rsidRPr="000301A5">
        <w:t>я</w:t>
      </w:r>
      <w:r w:rsidRPr="000301A5">
        <w:t>тельств Комитет считает, что формальное применение решения № 299 и откл</w:t>
      </w:r>
      <w:r w:rsidRPr="000301A5">
        <w:t>о</w:t>
      </w:r>
      <w:r w:rsidRPr="000301A5">
        <w:t>нение властями государства-участника просьбы автора о проведении пикета я</w:t>
      </w:r>
      <w:r w:rsidRPr="000301A5">
        <w:t>в</w:t>
      </w:r>
      <w:r w:rsidRPr="000301A5">
        <w:t>ляются необоснованным</w:t>
      </w:r>
      <w:r w:rsidR="00553302">
        <w:t>и</w:t>
      </w:r>
      <w:r w:rsidRPr="000301A5">
        <w:t>, и приходит к выводу о том, что права автора по ст</w:t>
      </w:r>
      <w:r w:rsidRPr="000301A5">
        <w:t>а</w:t>
      </w:r>
      <w:r w:rsidRPr="000301A5">
        <w:t xml:space="preserve">тьям 19 и 21 Пакта были нарушены. </w:t>
      </w:r>
    </w:p>
    <w:p w:rsidR="00CA400A" w:rsidRPr="000301A5" w:rsidRDefault="00CA400A" w:rsidP="00CA400A">
      <w:pPr>
        <w:pStyle w:val="SingleTxtGR"/>
      </w:pPr>
      <w:r w:rsidRPr="000301A5">
        <w:t>8.7</w:t>
      </w:r>
      <w:proofErr w:type="gramStart"/>
      <w:r w:rsidRPr="000301A5">
        <w:tab/>
        <w:t>В</w:t>
      </w:r>
      <w:proofErr w:type="gramEnd"/>
      <w:r w:rsidRPr="000301A5">
        <w:t xml:space="preserve"> свете этого вывода Комитет принимает решение не рассматривать утверждения автора </w:t>
      </w:r>
      <w:r w:rsidR="000F7EC5">
        <w:t>по</w:t>
      </w:r>
      <w:r w:rsidRPr="000301A5">
        <w:t xml:space="preserve"> статьям 19 и 21, рассматриваемым в совокупности с пунктами 2 и 3 статьи 2 Пакта. </w:t>
      </w:r>
    </w:p>
    <w:p w:rsidR="00CA400A" w:rsidRPr="000301A5" w:rsidRDefault="00CA400A" w:rsidP="00CA400A">
      <w:pPr>
        <w:pStyle w:val="SingleTxtGR"/>
      </w:pPr>
      <w:r w:rsidRPr="000301A5">
        <w:t>9.</w:t>
      </w:r>
      <w:r w:rsidRPr="000301A5">
        <w:tab/>
        <w:t>Комитет, действуя в соответствии с пунктом 4 статьи 5 Факультативного протокола, считает, что представленные ему факты свидетельствуют о наруш</w:t>
      </w:r>
      <w:r w:rsidRPr="000301A5">
        <w:t>е</w:t>
      </w:r>
      <w:r w:rsidRPr="000301A5">
        <w:t>нии прав автора, предусмотренных статьями 19 и 21 Пакта.</w:t>
      </w:r>
    </w:p>
    <w:p w:rsidR="00CA400A" w:rsidRPr="000301A5" w:rsidRDefault="00CA400A" w:rsidP="00CA400A">
      <w:pPr>
        <w:pStyle w:val="SingleTxtGR"/>
      </w:pPr>
      <w:r w:rsidRPr="000301A5">
        <w:t>10.</w:t>
      </w:r>
      <w:r w:rsidRPr="000301A5">
        <w:tab/>
        <w:t>В соответствии с подпунктом а) пункта 3 статьи 2 Пакта государство-участник обязано обеспечить автору эффективное средство правовой защиты. Это предполагает предоставление государством-участником полного возмещ</w:t>
      </w:r>
      <w:r w:rsidRPr="000301A5">
        <w:t>е</w:t>
      </w:r>
      <w:r w:rsidRPr="000301A5">
        <w:t>ния лицам, чьи права, предусмотренные Пактом, были нарушены. Следовател</w:t>
      </w:r>
      <w:r w:rsidRPr="000301A5">
        <w:t>ь</w:t>
      </w:r>
      <w:r w:rsidRPr="000301A5">
        <w:t>но, государство-участник обязано, в частности, возместить любые понесенные автором сообщения расходы и выплатить ему надлежащую компенсацию. Гос</w:t>
      </w:r>
      <w:r w:rsidRPr="000301A5">
        <w:t>у</w:t>
      </w:r>
      <w:r w:rsidRPr="000301A5">
        <w:t xml:space="preserve">дарство-участник обязано также принять меры по предупреждению подобных нарушений в будущем. </w:t>
      </w:r>
      <w:proofErr w:type="gramStart"/>
      <w:r w:rsidRPr="000301A5">
        <w:t>В этой связи Комитет повторяет, что государству-участнику следует пересмотреть свое законодательство в соответствии со своим обязательством согласно пункту 2 статьи 2, в особенности решение №</w:t>
      </w:r>
      <w:r w:rsidR="005734D0">
        <w:t> </w:t>
      </w:r>
      <w:r w:rsidRPr="000301A5">
        <w:t>299 Г</w:t>
      </w:r>
      <w:r w:rsidRPr="000301A5">
        <w:t>о</w:t>
      </w:r>
      <w:r w:rsidRPr="000301A5">
        <w:t>мельского городского исполнительного комитета и Закон о массовых меропри</w:t>
      </w:r>
      <w:r w:rsidRPr="000301A5">
        <w:t>я</w:t>
      </w:r>
      <w:r w:rsidRPr="000301A5">
        <w:t>тиях от 30 декабря 1997 года, как они были применены в настоящем деле, с ц</w:t>
      </w:r>
      <w:r w:rsidRPr="000301A5">
        <w:t>е</w:t>
      </w:r>
      <w:r w:rsidRPr="000301A5">
        <w:t>лью обеспечить, чтобы в государстве-участнике можно было в полной мере пользоваться правами, закрепленными</w:t>
      </w:r>
      <w:proofErr w:type="gramEnd"/>
      <w:r w:rsidRPr="000301A5">
        <w:t xml:space="preserve"> в статьях 19 и 21 Пакта</w:t>
      </w:r>
      <w:r w:rsidRPr="005C5850">
        <w:rPr>
          <w:sz w:val="18"/>
          <w:vertAlign w:val="superscript"/>
        </w:rPr>
        <w:footnoteReference w:id="10"/>
      </w:r>
      <w:r w:rsidR="005734D0">
        <w:t>.</w:t>
      </w:r>
    </w:p>
    <w:p w:rsidR="00CA400A" w:rsidRDefault="00CA400A" w:rsidP="00CA400A">
      <w:pPr>
        <w:pStyle w:val="SingleTxtGR"/>
      </w:pPr>
      <w:r w:rsidRPr="000301A5">
        <w:t>11.</w:t>
      </w:r>
      <w:r w:rsidRPr="000301A5">
        <w:tab/>
      </w:r>
      <w:proofErr w:type="gramStart"/>
      <w:r w:rsidRPr="000301A5">
        <w:t>Принимая во внимание, что, присоединившись к Факультативному пр</w:t>
      </w:r>
      <w:r w:rsidRPr="000301A5">
        <w:t>о</w:t>
      </w:r>
      <w:r w:rsidRPr="000301A5">
        <w:t>токолу, государство-участник признало компетенцию Комитета определять, имело ли место нарушение Пакта, и что согласно статье 2 Пакта государство-участник обязалось обеспечивать всем находящимся в пределах его территории и под его юрисдикцией лицам признаваемые в Пакте права, а также эффекти</w:t>
      </w:r>
      <w:r w:rsidRPr="000301A5">
        <w:t>в</w:t>
      </w:r>
      <w:r w:rsidRPr="000301A5">
        <w:lastRenderedPageBreak/>
        <w:t>ные и обладающие исковой силой средства правовой защиты в случае устано</w:t>
      </w:r>
      <w:r w:rsidRPr="000301A5">
        <w:t>в</w:t>
      </w:r>
      <w:r w:rsidRPr="000301A5">
        <w:t>ления факта нарушения, Комитет хотел бы</w:t>
      </w:r>
      <w:proofErr w:type="gramEnd"/>
      <w:r w:rsidRPr="000301A5">
        <w:t xml:space="preserve"> получить от государства-участника в течение 180 дней информацию о принятых мерах по осуществлению Сообр</w:t>
      </w:r>
      <w:r w:rsidRPr="000301A5">
        <w:t>а</w:t>
      </w:r>
      <w:r w:rsidRPr="000301A5">
        <w:t>жений Комитета. Кроме того, Комитет просит государство-участник опублик</w:t>
      </w:r>
      <w:r w:rsidRPr="000301A5">
        <w:t>о</w:t>
      </w:r>
      <w:r w:rsidRPr="000301A5">
        <w:t>вать настоящие Соображения и обеспечить их широкое распространение на б</w:t>
      </w:r>
      <w:r w:rsidRPr="000301A5">
        <w:t>е</w:t>
      </w:r>
      <w:r w:rsidRPr="000301A5">
        <w:t xml:space="preserve">лорусском и русском языках в государстве-участнике. </w:t>
      </w:r>
    </w:p>
    <w:p w:rsidR="001869F3" w:rsidRDefault="001869F3" w:rsidP="00CA400A">
      <w:pPr>
        <w:pStyle w:val="SingleTxtGR"/>
      </w:pPr>
    </w:p>
    <w:p w:rsidR="00D56646" w:rsidRDefault="00D56646" w:rsidP="00CA400A">
      <w:pPr>
        <w:pStyle w:val="SingleTxtGR"/>
        <w:sectPr w:rsidR="00D56646" w:rsidSect="00DE77F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8"/>
        </w:sectPr>
      </w:pPr>
    </w:p>
    <w:p w:rsidR="00D56646" w:rsidRPr="000301A5" w:rsidRDefault="00D56646" w:rsidP="00D56646">
      <w:pPr>
        <w:pStyle w:val="HChGR"/>
      </w:pPr>
      <w:r w:rsidRPr="000301A5">
        <w:lastRenderedPageBreak/>
        <w:t>Добавление I</w:t>
      </w:r>
    </w:p>
    <w:p w:rsidR="00D56646" w:rsidRPr="000301A5" w:rsidRDefault="00D56646" w:rsidP="00553302">
      <w:pPr>
        <w:pStyle w:val="H1GR"/>
      </w:pPr>
      <w:r w:rsidRPr="000301A5">
        <w:tab/>
      </w:r>
      <w:r w:rsidRPr="000301A5">
        <w:tab/>
        <w:t xml:space="preserve">Особое (совпадающее) мнение члена Комитета </w:t>
      </w:r>
      <w:r w:rsidR="005734D0">
        <w:br/>
      </w:r>
      <w:r w:rsidRPr="000301A5">
        <w:t>Сары Кливленд</w:t>
      </w:r>
    </w:p>
    <w:p w:rsidR="00D56646" w:rsidRPr="000301A5" w:rsidRDefault="00D56646" w:rsidP="00D56646">
      <w:pPr>
        <w:pStyle w:val="SingleTxtGR"/>
      </w:pPr>
      <w:r w:rsidRPr="000301A5">
        <w:t>1.</w:t>
      </w:r>
      <w:r w:rsidRPr="000301A5">
        <w:tab/>
        <w:t>В настоящем сообщении автор утверждает, что государство-участник нарушило свои обязательства по статьям 19 и 21, рассматриваемым в совоку</w:t>
      </w:r>
      <w:r w:rsidRPr="000301A5">
        <w:t>п</w:t>
      </w:r>
      <w:r w:rsidRPr="000301A5">
        <w:t xml:space="preserve">ности с пунктом 2 статьи 2 Пакта. Примечательно, что Комитет считает это утверждение приемлемым, </w:t>
      </w:r>
      <w:proofErr w:type="gramStart"/>
      <w:r w:rsidRPr="000301A5">
        <w:t>но</w:t>
      </w:r>
      <w:proofErr w:type="gramEnd"/>
      <w:r w:rsidRPr="000301A5">
        <w:t xml:space="preserve"> в конечном счете его не рассматривает. Я также полагаю, что Комитет имел возможность установить факт нарушения соотве</w:t>
      </w:r>
      <w:r w:rsidRPr="000301A5">
        <w:t>т</w:t>
      </w:r>
      <w:r w:rsidRPr="000301A5">
        <w:t xml:space="preserve">ствующих основных статей, рассматриваемых в совокупности </w:t>
      </w:r>
      <w:proofErr w:type="gramStart"/>
      <w:r w:rsidRPr="000301A5">
        <w:t>со</w:t>
      </w:r>
      <w:proofErr w:type="gramEnd"/>
      <w:r w:rsidRPr="000301A5">
        <w:t xml:space="preserve"> пунктом</w:t>
      </w:r>
      <w:r w:rsidR="005734D0">
        <w:t> </w:t>
      </w:r>
      <w:r w:rsidRPr="000301A5">
        <w:t xml:space="preserve">2 статьи 2. </w:t>
      </w:r>
    </w:p>
    <w:p w:rsidR="00D56646" w:rsidRPr="000301A5" w:rsidRDefault="00D56646" w:rsidP="00D56646">
      <w:pPr>
        <w:pStyle w:val="SingleTxtGR"/>
      </w:pPr>
      <w:r w:rsidRPr="000301A5">
        <w:t>3.</w:t>
      </w:r>
      <w:r w:rsidRPr="000301A5">
        <w:tab/>
        <w:t xml:space="preserve">Автору настоящего сообщения было отказано </w:t>
      </w:r>
      <w:proofErr w:type="gramStart"/>
      <w:r w:rsidRPr="000301A5">
        <w:t>в выдаче разрешения на проведение пикетов на центральной площади Гомеля по случаю годовщины принятия Всеобщей декларации прав человека ввиду несоблюдения</w:t>
      </w:r>
      <w:proofErr w:type="gramEnd"/>
      <w:r w:rsidRPr="000301A5">
        <w:t xml:space="preserve"> им реш</w:t>
      </w:r>
      <w:r w:rsidRPr="000301A5">
        <w:t>е</w:t>
      </w:r>
      <w:r w:rsidRPr="000301A5">
        <w:t>ния</w:t>
      </w:r>
      <w:r w:rsidRPr="000301A5" w:rsidDel="00AA6111">
        <w:t xml:space="preserve"> </w:t>
      </w:r>
      <w:r w:rsidRPr="000301A5">
        <w:t>№ 299 Исполнительного комитета Гомеля, которое было принято в соотве</w:t>
      </w:r>
      <w:r w:rsidRPr="000301A5">
        <w:t>т</w:t>
      </w:r>
      <w:r w:rsidRPr="000301A5">
        <w:t>ствии с Законом о массовых мероприятиях в Республике Беларусь от 30 декабря 1997 года. В соответствии с настоящим правовым режимом требуется предв</w:t>
      </w:r>
      <w:r w:rsidRPr="000301A5">
        <w:t>а</w:t>
      </w:r>
      <w:r w:rsidRPr="000301A5">
        <w:t>рительное разрешение на проведение любых публичных собраний в Гомеле, г</w:t>
      </w:r>
      <w:r w:rsidRPr="000301A5">
        <w:t>о</w:t>
      </w:r>
      <w:r w:rsidRPr="000301A5">
        <w:t xml:space="preserve">роде с населением около 500 </w:t>
      </w:r>
      <w:r w:rsidR="005734D0">
        <w:t>000</w:t>
      </w:r>
      <w:r w:rsidRPr="000301A5">
        <w:t xml:space="preserve"> человек; ограничивается проведение всех м</w:t>
      </w:r>
      <w:r w:rsidRPr="000301A5">
        <w:t>е</w:t>
      </w:r>
      <w:r w:rsidRPr="000301A5">
        <w:t xml:space="preserve">роприятий, </w:t>
      </w:r>
      <w:r w:rsidR="005734D0">
        <w:t>организуемых</w:t>
      </w:r>
      <w:r w:rsidRPr="000301A5">
        <w:t xml:space="preserve"> без участия государственных органов</w:t>
      </w:r>
      <w:r w:rsidR="005734D0">
        <w:t>,</w:t>
      </w:r>
      <w:r w:rsidRPr="000301A5">
        <w:t xml:space="preserve"> одним ко</w:t>
      </w:r>
      <w:r w:rsidRPr="000301A5">
        <w:t>н</w:t>
      </w:r>
      <w:r w:rsidRPr="000301A5">
        <w:t>кретным местом в отдаленной части города; а также требуется от организаторов таких общественных мероприятий заключать до</w:t>
      </w:r>
      <w:r w:rsidR="005734D0">
        <w:t>говоры за свой собственный счет</w:t>
      </w:r>
      <w:r w:rsidRPr="000301A5">
        <w:t xml:space="preserve"> в целях обеспечения общественного порядка и безопасности, предоставл</w:t>
      </w:r>
      <w:r w:rsidRPr="000301A5">
        <w:t>е</w:t>
      </w:r>
      <w:r w:rsidRPr="000301A5">
        <w:t>ния медицинского обслуживания и проведения уборки территории. Несмотря на то, что авторы оспорили в национальных судебных органах отказ удовлетв</w:t>
      </w:r>
      <w:r w:rsidRPr="000301A5">
        <w:t>о</w:t>
      </w:r>
      <w:r w:rsidRPr="000301A5">
        <w:t>рить просьбу о выдаче разрешения на проведение демонстрации, суды подтве</w:t>
      </w:r>
      <w:r w:rsidRPr="000301A5">
        <w:t>р</w:t>
      </w:r>
      <w:r w:rsidRPr="000301A5">
        <w:t>дили правомерность отказов в соответствии с настоящими нормативно-правовыми рамками.</w:t>
      </w:r>
    </w:p>
    <w:p w:rsidR="00D56646" w:rsidRPr="000301A5" w:rsidRDefault="00D56646" w:rsidP="00D56646">
      <w:pPr>
        <w:pStyle w:val="SingleTxtGR"/>
      </w:pPr>
      <w:r w:rsidRPr="000301A5">
        <w:t>4.</w:t>
      </w:r>
      <w:r w:rsidRPr="000301A5">
        <w:tab/>
        <w:t>Приблизительно в отношении 20 дел данный Комитет пришел к выводу о том, что применение Закона о массовых мероприятиях Республики Беларусь нарушает предусмотренные статьями 19, 21 и/или 22 права лиц на свободу в</w:t>
      </w:r>
      <w:r w:rsidRPr="000301A5">
        <w:t>ы</w:t>
      </w:r>
      <w:r w:rsidRPr="000301A5">
        <w:t xml:space="preserve">ражения мнений, собраний и ассоциации. По меньшей </w:t>
      </w:r>
      <w:proofErr w:type="gramStart"/>
      <w:r w:rsidRPr="000301A5">
        <w:t>мере</w:t>
      </w:r>
      <w:proofErr w:type="gramEnd"/>
      <w:r w:rsidRPr="000301A5">
        <w:t xml:space="preserve"> шесть из этих дел также связаны с решением</w:t>
      </w:r>
      <w:r w:rsidRPr="000301A5" w:rsidDel="007F4C32">
        <w:t xml:space="preserve"> </w:t>
      </w:r>
      <w:r w:rsidRPr="000301A5">
        <w:t>№ 299. В этих делах Комитет неоднократно приз</w:t>
      </w:r>
      <w:r w:rsidRPr="000301A5">
        <w:t>ы</w:t>
      </w:r>
      <w:r w:rsidRPr="000301A5">
        <w:t>вал Беларусь пересмотреть ее законодательство в целях приведения ее правов</w:t>
      </w:r>
      <w:r w:rsidRPr="000301A5">
        <w:t>о</w:t>
      </w:r>
      <w:r w:rsidRPr="000301A5">
        <w:t>го режима в соответствие с положениями Пакта и принять меры по недопущ</w:t>
      </w:r>
      <w:r w:rsidRPr="000301A5">
        <w:t>е</w:t>
      </w:r>
      <w:r w:rsidRPr="000301A5">
        <w:t xml:space="preserve">нию </w:t>
      </w:r>
      <w:r w:rsidR="005734D0">
        <w:t>аналогичных нарушений в будущем</w:t>
      </w:r>
      <w:r w:rsidRPr="005C5850">
        <w:rPr>
          <w:sz w:val="18"/>
          <w:vertAlign w:val="superscript"/>
        </w:rPr>
        <w:footnoteReference w:id="11"/>
      </w:r>
      <w:r w:rsidR="005734D0">
        <w:t>.</w:t>
      </w:r>
    </w:p>
    <w:p w:rsidR="00D56646" w:rsidRPr="000301A5" w:rsidRDefault="00D56646" w:rsidP="00D56646">
      <w:pPr>
        <w:pStyle w:val="SingleTxtGR"/>
      </w:pPr>
      <w:r w:rsidRPr="000301A5">
        <w:t>5.</w:t>
      </w:r>
      <w:r w:rsidRPr="000301A5">
        <w:tab/>
        <w:t>По моему мнению, обстоятельства этих дел непосредственно подразум</w:t>
      </w:r>
      <w:r w:rsidRPr="000301A5">
        <w:t>е</w:t>
      </w:r>
      <w:r w:rsidRPr="000301A5">
        <w:t>вают обязательства государства-участника по пункту 2 статьи 2 Пакта. Это п</w:t>
      </w:r>
      <w:r w:rsidRPr="000301A5">
        <w:t>о</w:t>
      </w:r>
      <w:r w:rsidRPr="000301A5">
        <w:t xml:space="preserve">ложение гласит: </w:t>
      </w:r>
    </w:p>
    <w:p w:rsidR="00D56646" w:rsidRPr="000301A5" w:rsidRDefault="00C8694A" w:rsidP="00C8694A">
      <w:pPr>
        <w:pStyle w:val="SingleTxtGR"/>
        <w:ind w:left="1701" w:hanging="567"/>
      </w:pPr>
      <w:r>
        <w:tab/>
      </w:r>
      <w:r w:rsidR="00D56646" w:rsidRPr="000301A5">
        <w:t>Если это уже не предусмотрено существующими законодательными или другими мерами, каждое участвующее в настоящем Пакте Государство обязуется принять необходимые меры в соответствии со своими конст</w:t>
      </w:r>
      <w:r w:rsidR="00D56646" w:rsidRPr="000301A5">
        <w:t>и</w:t>
      </w:r>
      <w:r w:rsidR="00D56646" w:rsidRPr="000301A5">
        <w:lastRenderedPageBreak/>
        <w:t>туционными процедурами и положениями настоящего Пакта для прин</w:t>
      </w:r>
      <w:r w:rsidR="00D56646" w:rsidRPr="000301A5">
        <w:t>я</w:t>
      </w:r>
      <w:r w:rsidR="00D56646" w:rsidRPr="000301A5">
        <w:t>тия таких законодательных или других мер, которые могут оказаться н</w:t>
      </w:r>
      <w:r w:rsidR="00D56646" w:rsidRPr="000301A5">
        <w:t>е</w:t>
      </w:r>
      <w:r w:rsidR="00D56646" w:rsidRPr="000301A5">
        <w:t>обходимыми для осуществления прав, признаваемых в настоящем Пакте.</w:t>
      </w:r>
    </w:p>
    <w:p w:rsidR="00D56646" w:rsidRPr="000301A5" w:rsidRDefault="00D56646" w:rsidP="00D56646">
      <w:pPr>
        <w:pStyle w:val="SingleTxtGR"/>
      </w:pPr>
      <w:r w:rsidRPr="000301A5">
        <w:t>6.</w:t>
      </w:r>
      <w:r w:rsidRPr="000301A5">
        <w:tab/>
        <w:t>Комитет уже давно признал, что статья 2 устанавливает дополнительные обязательства и самостоятельно не может служить основанием для утвержд</w:t>
      </w:r>
      <w:r w:rsidRPr="000301A5">
        <w:t>е</w:t>
      </w:r>
      <w:r w:rsidRPr="000301A5">
        <w:t>ния о нарушении в соответствии с Факультативным протоколом</w:t>
      </w:r>
      <w:r w:rsidRPr="005C5850">
        <w:rPr>
          <w:sz w:val="18"/>
          <w:vertAlign w:val="superscript"/>
        </w:rPr>
        <w:footnoteReference w:id="12"/>
      </w:r>
      <w:r w:rsidR="00C8694A">
        <w:t>.</w:t>
      </w:r>
      <w:r w:rsidRPr="000301A5">
        <w:t xml:space="preserve"> Напротив, нарушение статьи 2 должно возникнуть в связи с нарушением другой основной статьи Пакта. </w:t>
      </w:r>
      <w:proofErr w:type="gramStart"/>
      <w:r w:rsidRPr="000301A5">
        <w:t>Как мы признали в замечании общего порядка № 31 (2004) о х</w:t>
      </w:r>
      <w:r w:rsidRPr="000301A5">
        <w:t>а</w:t>
      </w:r>
      <w:r w:rsidRPr="000301A5">
        <w:t xml:space="preserve">рактере юридического обязательства, налагаемого на государства </w:t>
      </w:r>
      <w:r w:rsidR="002343D0">
        <w:t>–</w:t>
      </w:r>
      <w:r w:rsidRPr="000301A5">
        <w:t xml:space="preserve"> участники Пакта, пункт 2 статьи 2 также позволяет государствам добиться соблюдения с помощью средств, которые согласуются с их </w:t>
      </w:r>
      <w:r w:rsidR="00642C45">
        <w:t>«</w:t>
      </w:r>
      <w:r w:rsidRPr="000301A5">
        <w:t>конституционными процедур</w:t>
      </w:r>
      <w:r w:rsidRPr="000301A5">
        <w:t>а</w:t>
      </w:r>
      <w:r w:rsidRPr="000301A5">
        <w:t>ми</w:t>
      </w:r>
      <w:r w:rsidR="00642C45">
        <w:t>»</w:t>
      </w:r>
      <w:r w:rsidRPr="005C5850">
        <w:rPr>
          <w:sz w:val="18"/>
          <w:vertAlign w:val="superscript"/>
        </w:rPr>
        <w:footnoteReference w:id="13"/>
      </w:r>
      <w:r w:rsidR="00C8694A">
        <w:t>.</w:t>
      </w:r>
      <w:r w:rsidRPr="000301A5">
        <w:t xml:space="preserve"> Вместе с тем государства-участники также могут не ссылаться на свое внутреннее законодательство с целью оправдать несоблюдение или невыполн</w:t>
      </w:r>
      <w:r w:rsidRPr="000301A5">
        <w:t>е</w:t>
      </w:r>
      <w:r w:rsidRPr="000301A5">
        <w:t>ние обязательств по Пакту</w:t>
      </w:r>
      <w:r w:rsidRPr="005C5850">
        <w:rPr>
          <w:sz w:val="18"/>
          <w:vertAlign w:val="superscript"/>
        </w:rPr>
        <w:footnoteReference w:id="14"/>
      </w:r>
      <w:r w:rsidR="00C8694A">
        <w:t>.</w:t>
      </w:r>
      <w:r w:rsidRPr="000301A5">
        <w:t xml:space="preserve"> Наоборот, статья 2</w:t>
      </w:r>
      <w:proofErr w:type="gramEnd"/>
      <w:r w:rsidRPr="000301A5">
        <w:t xml:space="preserve"> требует, чтобы в случае наличия расхождений между положениями внутреннего законодательства и Пакта вну</w:t>
      </w:r>
      <w:r w:rsidRPr="000301A5">
        <w:t>т</w:t>
      </w:r>
      <w:r w:rsidRPr="000301A5">
        <w:t>реннее законодательство или практика были изменены таким образом, чтобы они соответствовали стандартам, устанавливаемым предусмотренными в Пакте существенными гарантиями</w:t>
      </w:r>
      <w:r w:rsidRPr="005C5850">
        <w:rPr>
          <w:sz w:val="18"/>
          <w:vertAlign w:val="superscript"/>
        </w:rPr>
        <w:footnoteReference w:id="15"/>
      </w:r>
      <w:r w:rsidR="00C8694A">
        <w:t>.</w:t>
      </w:r>
    </w:p>
    <w:p w:rsidR="00D56646" w:rsidRPr="000301A5" w:rsidRDefault="00D56646" w:rsidP="00D56646">
      <w:pPr>
        <w:pStyle w:val="SingleTxtGR"/>
      </w:pPr>
      <w:r w:rsidRPr="000301A5">
        <w:t>7.</w:t>
      </w:r>
      <w:r w:rsidRPr="000301A5">
        <w:tab/>
      </w:r>
      <w:proofErr w:type="gramStart"/>
      <w:r w:rsidRPr="000301A5">
        <w:t xml:space="preserve">В деле </w:t>
      </w:r>
      <w:r w:rsidRPr="005A638B">
        <w:rPr>
          <w:i/>
        </w:rPr>
        <w:t>Поляков против Республики Беларусь</w:t>
      </w:r>
      <w:r w:rsidRPr="000301A5">
        <w:t xml:space="preserve"> Комитет установил, что ст</w:t>
      </w:r>
      <w:r w:rsidRPr="000301A5">
        <w:t>а</w:t>
      </w:r>
      <w:r w:rsidRPr="000301A5">
        <w:t>тья 2 может служить основанием для утверждения о наличии нарушения в с</w:t>
      </w:r>
      <w:r w:rsidRPr="000301A5">
        <w:t>о</w:t>
      </w:r>
      <w:r w:rsidRPr="000301A5">
        <w:t>ответствии с Факультативным протоколом в сочетании с какой-либо другой ст</w:t>
      </w:r>
      <w:r w:rsidRPr="000301A5">
        <w:t>а</w:t>
      </w:r>
      <w:r w:rsidRPr="000301A5">
        <w:t>тьей, когда неисполнение государством-участником своих обязательств по ст</w:t>
      </w:r>
      <w:r w:rsidRPr="000301A5">
        <w:t>а</w:t>
      </w:r>
      <w:r w:rsidRPr="000301A5">
        <w:t>тье 2 является непосредственной причиной явного нарушения Пакта, прямо з</w:t>
      </w:r>
      <w:r w:rsidRPr="000301A5">
        <w:t>а</w:t>
      </w:r>
      <w:r w:rsidRPr="000301A5">
        <w:t>трагивающего лицо, которое утверждает, что оно является жертвой</w:t>
      </w:r>
      <w:r w:rsidR="005A638B" w:rsidRPr="005C5850">
        <w:rPr>
          <w:sz w:val="18"/>
          <w:vertAlign w:val="superscript"/>
        </w:rPr>
        <w:footnoteReference w:id="16"/>
      </w:r>
      <w:r w:rsidRPr="000301A5">
        <w:t xml:space="preserve">. </w:t>
      </w:r>
      <w:proofErr w:type="gramEnd"/>
    </w:p>
    <w:p w:rsidR="00D56646" w:rsidRPr="000301A5" w:rsidRDefault="00D56646" w:rsidP="00D56646">
      <w:pPr>
        <w:pStyle w:val="SingleTxtGR"/>
      </w:pPr>
      <w:r w:rsidRPr="000301A5">
        <w:t>8.</w:t>
      </w:r>
      <w:r w:rsidRPr="000301A5">
        <w:tab/>
        <w:t xml:space="preserve">Понятие </w:t>
      </w:r>
      <w:r w:rsidR="00642C45">
        <w:t>«</w:t>
      </w:r>
      <w:r w:rsidRPr="000301A5">
        <w:t>явное нарушение</w:t>
      </w:r>
      <w:r w:rsidR="00642C45">
        <w:t>»</w:t>
      </w:r>
      <w:r w:rsidR="00C8694A">
        <w:t xml:space="preserve"> </w:t>
      </w:r>
      <w:r w:rsidRPr="000301A5">
        <w:t>статьи 2, которое</w:t>
      </w:r>
      <w:r w:rsidR="005A638B">
        <w:t>,</w:t>
      </w:r>
      <w:r w:rsidRPr="000301A5">
        <w:t xml:space="preserve"> тем не менее</w:t>
      </w:r>
      <w:r w:rsidR="005A638B">
        <w:t>,</w:t>
      </w:r>
      <w:r w:rsidRPr="000301A5">
        <w:t xml:space="preserve"> возникает в связи с нарушением какой-либо другой основной статьи Пакт, может понимат</w:t>
      </w:r>
      <w:r w:rsidRPr="000301A5">
        <w:t>ь</w:t>
      </w:r>
      <w:r w:rsidRPr="000301A5">
        <w:t>ся в свете устоявшегося подхода Комитета к пункту 3 статьи 2. В соответствии с этим положением государство-участник обязано предоставить возмещение лицам, признаваемые в Пакте права которых были нарушены</w:t>
      </w:r>
      <w:r w:rsidRPr="005C5850">
        <w:rPr>
          <w:sz w:val="18"/>
          <w:vertAlign w:val="superscript"/>
        </w:rPr>
        <w:footnoteReference w:id="17"/>
      </w:r>
      <w:r w:rsidR="00C8694A">
        <w:t>.</w:t>
      </w:r>
      <w:r w:rsidRPr="000301A5">
        <w:t xml:space="preserve"> Комитет прим</w:t>
      </w:r>
      <w:r w:rsidRPr="000301A5">
        <w:t>е</w:t>
      </w:r>
      <w:r w:rsidRPr="000301A5">
        <w:t>няет пункт 3 статьи 2 двумя способами. Во-первых, в любом деле, при рассмо</w:t>
      </w:r>
      <w:r w:rsidRPr="000301A5">
        <w:t>т</w:t>
      </w:r>
      <w:r w:rsidRPr="000301A5">
        <w:t>рении которого Комитет приходит к выводу о нарушении Пакта, пункт 3 ст</w:t>
      </w:r>
      <w:r w:rsidRPr="000301A5">
        <w:t>а</w:t>
      </w:r>
      <w:r w:rsidRPr="000301A5">
        <w:t>тьи</w:t>
      </w:r>
      <w:r w:rsidR="00C8694A">
        <w:t> </w:t>
      </w:r>
      <w:r w:rsidRPr="000301A5">
        <w:t xml:space="preserve">2 налагает </w:t>
      </w:r>
      <w:proofErr w:type="gramStart"/>
      <w:r w:rsidRPr="000301A5">
        <w:t>на</w:t>
      </w:r>
      <w:proofErr w:type="gramEnd"/>
      <w:r w:rsidRPr="000301A5">
        <w:t xml:space="preserve"> </w:t>
      </w:r>
      <w:proofErr w:type="gramStart"/>
      <w:r w:rsidRPr="000301A5">
        <w:t>государство-участник</w:t>
      </w:r>
      <w:proofErr w:type="gramEnd"/>
      <w:r w:rsidRPr="000301A5">
        <w:t xml:space="preserve"> обязательство предоставить жертве надлежащую компенсацию. </w:t>
      </w:r>
      <w:proofErr w:type="gramStart"/>
      <w:r w:rsidRPr="000301A5">
        <w:t>В этой связи Комитет ссылается на пункт 3 статьи 2 в качестве основания для включения положения об обеспечении возмещения в любые соображения, в которых Комитет приходит к выводу о нарушении, п</w:t>
      </w:r>
      <w:r w:rsidRPr="000301A5">
        <w:t>о</w:t>
      </w:r>
      <w:r w:rsidRPr="000301A5">
        <w:t>скольку вывод Комитета о нарушении влечет за собой обязательства госуда</w:t>
      </w:r>
      <w:r w:rsidRPr="000301A5">
        <w:t>р</w:t>
      </w:r>
      <w:r w:rsidRPr="000301A5">
        <w:t>ства-участника по обеспечению возмещения в соответствии с пунктом 3 ст</w:t>
      </w:r>
      <w:r w:rsidRPr="000301A5">
        <w:t>а</w:t>
      </w:r>
      <w:r w:rsidRPr="000301A5">
        <w:t>тьи</w:t>
      </w:r>
      <w:r w:rsidR="008273BC">
        <w:t> </w:t>
      </w:r>
      <w:r w:rsidRPr="000301A5">
        <w:t xml:space="preserve">2 с целью предоставить полное возмещение. </w:t>
      </w:r>
      <w:proofErr w:type="gramEnd"/>
    </w:p>
    <w:p w:rsidR="00D56646" w:rsidRPr="000301A5" w:rsidRDefault="00D56646" w:rsidP="008273BC">
      <w:pPr>
        <w:pStyle w:val="SingleTxtGR"/>
        <w:keepNext/>
        <w:keepLines/>
        <w:rPr>
          <w:i/>
        </w:rPr>
      </w:pPr>
      <w:r w:rsidRPr="000301A5">
        <w:lastRenderedPageBreak/>
        <w:t>9.</w:t>
      </w:r>
      <w:r w:rsidRPr="000301A5">
        <w:tab/>
        <w:t>Во-вторых, лицо может установить наличие нарушения в связи с пун</w:t>
      </w:r>
      <w:r w:rsidRPr="000301A5">
        <w:t>к</w:t>
      </w:r>
      <w:r w:rsidRPr="000301A5">
        <w:t>том</w:t>
      </w:r>
      <w:r w:rsidR="00C8694A">
        <w:t> </w:t>
      </w:r>
      <w:r w:rsidRPr="000301A5">
        <w:t>3 статьи 2, когда государство получает уведомление о серьезных нарушен</w:t>
      </w:r>
      <w:r w:rsidRPr="000301A5">
        <w:t>и</w:t>
      </w:r>
      <w:r w:rsidRPr="000301A5">
        <w:t>ях прав человека, совершенных в пределах своей юрисдикции</w:t>
      </w:r>
      <w:r w:rsidR="00C8694A">
        <w:t>,</w:t>
      </w:r>
      <w:r w:rsidRPr="000301A5">
        <w:t xml:space="preserve"> и в тех случаях, когда государство целенаправленно не выполняет своих обязательств по обе</w:t>
      </w:r>
      <w:r w:rsidRPr="000301A5">
        <w:t>с</w:t>
      </w:r>
      <w:r w:rsidRPr="000301A5">
        <w:t xml:space="preserve">печению потерпевшему возмещения. </w:t>
      </w:r>
      <w:proofErr w:type="gramStart"/>
      <w:r w:rsidRPr="000301A5">
        <w:t>Например, в отношении дел, связанных с ранее совершенными нарушениями, такими как пытки, внесудебные казни и насильственные исчезновения, государство-участник обязано провести рассл</w:t>
      </w:r>
      <w:r w:rsidRPr="000301A5">
        <w:t>е</w:t>
      </w:r>
      <w:r w:rsidRPr="000301A5">
        <w:t>дование и привлечь к ответственности виновных и предоставить компенсацию жертвам</w:t>
      </w:r>
      <w:r w:rsidRPr="005C5850">
        <w:rPr>
          <w:sz w:val="18"/>
          <w:vertAlign w:val="superscript"/>
        </w:rPr>
        <w:footnoteReference w:id="18"/>
      </w:r>
      <w:r w:rsidR="00F3699D">
        <w:t>.</w:t>
      </w:r>
      <w:r w:rsidRPr="000301A5">
        <w:t xml:space="preserve"> Когда государство-участник неоднократно не выполнило это обяз</w:t>
      </w:r>
      <w:r w:rsidRPr="000301A5">
        <w:t>а</w:t>
      </w:r>
      <w:r w:rsidRPr="000301A5">
        <w:t xml:space="preserve">тельство, то или иное лицо может утверждать о </w:t>
      </w:r>
      <w:r w:rsidR="00642C45">
        <w:t>«</w:t>
      </w:r>
      <w:r w:rsidRPr="000301A5">
        <w:t>явном нарушении</w:t>
      </w:r>
      <w:r w:rsidR="00642C45">
        <w:t>»</w:t>
      </w:r>
      <w:r w:rsidRPr="000301A5">
        <w:t xml:space="preserve"> пункта 3 статьи 2, рассматриваемого в сочетании с соответствующей основной статьей Пакта, таких как</w:t>
      </w:r>
      <w:proofErr w:type="gramEnd"/>
      <w:r w:rsidRPr="000301A5">
        <w:t xml:space="preserve"> статья 6 или 7</w:t>
      </w:r>
      <w:r w:rsidRPr="005C5850">
        <w:rPr>
          <w:sz w:val="18"/>
          <w:vertAlign w:val="superscript"/>
        </w:rPr>
        <w:footnoteReference w:id="19"/>
      </w:r>
      <w:r w:rsidRPr="000301A5">
        <w:t>.</w:t>
      </w:r>
    </w:p>
    <w:p w:rsidR="00D56646" w:rsidRPr="000301A5" w:rsidRDefault="00D56646" w:rsidP="00D56646">
      <w:pPr>
        <w:pStyle w:val="SingleTxtGR"/>
      </w:pPr>
      <w:r w:rsidRPr="000301A5">
        <w:t>10.</w:t>
      </w:r>
      <w:r w:rsidRPr="000301A5">
        <w:tab/>
        <w:t>В настоящих делах в соответствии с первым подходом к пункту 3 ст</w:t>
      </w:r>
      <w:r w:rsidRPr="000301A5">
        <w:t>а</w:t>
      </w:r>
      <w:r w:rsidRPr="000301A5">
        <w:t>тьи</w:t>
      </w:r>
      <w:r w:rsidR="00F3699D">
        <w:t> </w:t>
      </w:r>
      <w:r w:rsidRPr="000301A5">
        <w:t>2, изложенным выше, Комитет в пункте о средствах правовой защиты (пункт 10) прямо ссылается на обязательства государства-участника по пун</w:t>
      </w:r>
      <w:r w:rsidRPr="000301A5">
        <w:t>к</w:t>
      </w:r>
      <w:r w:rsidRPr="000301A5">
        <w:t>ту</w:t>
      </w:r>
      <w:r w:rsidR="00F3699D">
        <w:t> </w:t>
      </w:r>
      <w:r w:rsidRPr="000301A5">
        <w:t>2 статьи 2 в качестве основания для вынесения государству-участнику рек</w:t>
      </w:r>
      <w:r w:rsidRPr="000301A5">
        <w:t>о</w:t>
      </w:r>
      <w:r w:rsidRPr="000301A5">
        <w:t xml:space="preserve">мендации пересмотреть свое законодательство, с </w:t>
      </w:r>
      <w:proofErr w:type="gramStart"/>
      <w:r w:rsidRPr="000301A5">
        <w:t>тем</w:t>
      </w:r>
      <w:proofErr w:type="gramEnd"/>
      <w:r w:rsidRPr="000301A5">
        <w:t xml:space="preserve"> чтобы оно соответствов</w:t>
      </w:r>
      <w:r w:rsidRPr="000301A5">
        <w:t>а</w:t>
      </w:r>
      <w:r w:rsidRPr="000301A5">
        <w:t>ло его обя</w:t>
      </w:r>
      <w:r w:rsidR="00F3699D">
        <w:t>зательствам по Пакту</w:t>
      </w:r>
      <w:r w:rsidRPr="005C5850">
        <w:rPr>
          <w:sz w:val="18"/>
          <w:vertAlign w:val="superscript"/>
        </w:rPr>
        <w:footnoteReference w:id="20"/>
      </w:r>
      <w:r w:rsidR="00F3699D">
        <w:t>.</w:t>
      </w:r>
      <w:r w:rsidRPr="000301A5">
        <w:t xml:space="preserve"> Я согласна с этим решением. </w:t>
      </w:r>
    </w:p>
    <w:p w:rsidR="00D56646" w:rsidRPr="000301A5" w:rsidRDefault="00D56646" w:rsidP="00D56646">
      <w:pPr>
        <w:pStyle w:val="SingleTxtGR"/>
      </w:pPr>
      <w:r w:rsidRPr="000301A5">
        <w:t>11.</w:t>
      </w:r>
      <w:r w:rsidRPr="000301A5">
        <w:tab/>
      </w:r>
      <w:proofErr w:type="gramStart"/>
      <w:r w:rsidRPr="000301A5">
        <w:t>Кроме того, в соответствии с нашим подходом к нарушениям пункта 3 статьи 2 я считаю, что Комитет имеет возможность также установить наличие нарушения в связи с пунктом 2 статьи 2 в тех случаях, когда, как в данном сл</w:t>
      </w:r>
      <w:r w:rsidRPr="000301A5">
        <w:t>у</w:t>
      </w:r>
      <w:r w:rsidRPr="000301A5">
        <w:t>чае, действующее законодательство государства или устоявшееся толкование законов судом высшей инстанции государства неоднократно и систематически являлось источником нарушения Пакта, а государство-участник не выполнило</w:t>
      </w:r>
      <w:proofErr w:type="gramEnd"/>
      <w:r w:rsidRPr="000301A5">
        <w:t xml:space="preserve"> свое юридическое обязательство в соответствии с пунктом 2 статьи 2 принять такие законодательные или другие меры, которые могут оказаться необходим</w:t>
      </w:r>
      <w:r w:rsidRPr="000301A5">
        <w:t>ы</w:t>
      </w:r>
      <w:r w:rsidRPr="000301A5">
        <w:t>ми для осуществления прав, признаваемых в настоящем Пакте.</w:t>
      </w:r>
    </w:p>
    <w:p w:rsidR="00D56646" w:rsidRPr="000301A5" w:rsidRDefault="00D56646" w:rsidP="00D56646">
      <w:pPr>
        <w:pStyle w:val="SingleTxtGR"/>
      </w:pPr>
      <w:r w:rsidRPr="000301A5">
        <w:t>12.</w:t>
      </w:r>
      <w:r w:rsidRPr="000301A5">
        <w:tab/>
        <w:t>Комитет неоднократно приходил к выводу о том, что соответствующая пра</w:t>
      </w:r>
      <w:r w:rsidR="00F3699D">
        <w:t>вовая база Республики Беларусь –</w:t>
      </w:r>
      <w:r w:rsidRPr="000301A5">
        <w:t xml:space="preserve"> в данных случаях статья 5 Закона о ма</w:t>
      </w:r>
      <w:r w:rsidRPr="000301A5">
        <w:t>с</w:t>
      </w:r>
      <w:r w:rsidRPr="000301A5">
        <w:t>совых мероприятиях и решение</w:t>
      </w:r>
      <w:r w:rsidRPr="000301A5" w:rsidDel="007F4C32">
        <w:t xml:space="preserve"> </w:t>
      </w:r>
      <w:r w:rsidRPr="000301A5">
        <w:t xml:space="preserve">№ 299 </w:t>
      </w:r>
      <w:r w:rsidR="00F3699D">
        <w:t>–</w:t>
      </w:r>
      <w:r w:rsidRPr="000301A5">
        <w:t xml:space="preserve"> нарушает свобод</w:t>
      </w:r>
      <w:r w:rsidR="00F3699D">
        <w:t>ы</w:t>
      </w:r>
      <w:r w:rsidRPr="000301A5">
        <w:t xml:space="preserve"> выражения мнений, собраний и ассоциации, предусмотренные Пактом. Мы неоднократно призыв</w:t>
      </w:r>
      <w:r w:rsidRPr="000301A5">
        <w:t>а</w:t>
      </w:r>
      <w:r w:rsidRPr="000301A5">
        <w:t xml:space="preserve">ли государство-участник пересмотреть свое законодательство в свете этих нарушений. Государство-участник также целенаправленно не выполняет свое </w:t>
      </w:r>
      <w:r w:rsidR="00642C45">
        <w:t>«</w:t>
      </w:r>
      <w:r w:rsidRPr="000301A5">
        <w:t>абсолютное</w:t>
      </w:r>
      <w:r w:rsidR="00642C45">
        <w:t>»</w:t>
      </w:r>
      <w:r w:rsidRPr="000301A5">
        <w:t xml:space="preserve"> обязательство </w:t>
      </w:r>
      <w:r w:rsidR="00642C45">
        <w:t>«</w:t>
      </w:r>
      <w:r w:rsidRPr="000301A5">
        <w:t>непосредственного действия</w:t>
      </w:r>
      <w:r w:rsidR="00642C45">
        <w:t>»</w:t>
      </w:r>
      <w:r w:rsidRPr="000301A5">
        <w:t xml:space="preserve"> внести изменения в свое внутреннее законодательство, с </w:t>
      </w:r>
      <w:proofErr w:type="gramStart"/>
      <w:r w:rsidRPr="000301A5">
        <w:t>тем</w:t>
      </w:r>
      <w:proofErr w:type="gramEnd"/>
      <w:r w:rsidRPr="000301A5">
        <w:t xml:space="preserve"> чтобы привести их в соответствие со стан</w:t>
      </w:r>
      <w:r w:rsidR="00F3699D">
        <w:t>дартами, установленными в Пакте</w:t>
      </w:r>
      <w:r w:rsidRPr="005C5850">
        <w:rPr>
          <w:sz w:val="18"/>
          <w:vertAlign w:val="superscript"/>
        </w:rPr>
        <w:footnoteReference w:id="21"/>
      </w:r>
      <w:r w:rsidR="00F3699D">
        <w:t>.</w:t>
      </w:r>
      <w:r w:rsidRPr="000301A5">
        <w:t xml:space="preserve"> </w:t>
      </w:r>
    </w:p>
    <w:p w:rsidR="00D56646" w:rsidRPr="000301A5" w:rsidRDefault="00D56646" w:rsidP="00D56646">
      <w:pPr>
        <w:pStyle w:val="SingleTxtGR"/>
        <w:rPr>
          <w:bCs/>
        </w:rPr>
      </w:pPr>
      <w:r w:rsidRPr="000301A5">
        <w:t>13.</w:t>
      </w:r>
      <w:r w:rsidRPr="000301A5">
        <w:tab/>
      </w:r>
      <w:proofErr w:type="gramStart"/>
      <w:r w:rsidRPr="000301A5">
        <w:t>Неоднократная неспособность государства-участника привести в соо</w:t>
      </w:r>
      <w:r w:rsidRPr="000301A5">
        <w:t>т</w:t>
      </w:r>
      <w:r w:rsidRPr="000301A5">
        <w:t>ветствие свое законодательство в целях осуществления прав, закрепленных в Пакте, представляет собой несоблюдение пункта 2 статьи 2 и, по моему мн</w:t>
      </w:r>
      <w:r w:rsidRPr="000301A5">
        <w:t>е</w:t>
      </w:r>
      <w:r w:rsidRPr="000301A5">
        <w:t xml:space="preserve">нию, должна пониматься как основание для установления </w:t>
      </w:r>
      <w:r w:rsidR="00642C45">
        <w:t>«</w:t>
      </w:r>
      <w:r w:rsidRPr="000301A5">
        <w:t>явного нарушения</w:t>
      </w:r>
      <w:r w:rsidR="00642C45">
        <w:t>»</w:t>
      </w:r>
      <w:r w:rsidRPr="000301A5">
        <w:t xml:space="preserve"> </w:t>
      </w:r>
      <w:r w:rsidRPr="000301A5">
        <w:lastRenderedPageBreak/>
        <w:t>Пакта, что является нарушением обязательств государства-участника в соотве</w:t>
      </w:r>
      <w:r w:rsidRPr="000301A5">
        <w:t>т</w:t>
      </w:r>
      <w:r w:rsidRPr="000301A5">
        <w:t>ствии с пунктом 2 статьи 2, рассматриваемым в сочетании с соответствующей основной статьей.</w:t>
      </w:r>
      <w:proofErr w:type="gramEnd"/>
      <w:r w:rsidRPr="000301A5">
        <w:t xml:space="preserve"> </w:t>
      </w:r>
      <w:proofErr w:type="gramStart"/>
      <w:r w:rsidRPr="000301A5">
        <w:t>К другим эквивалентным ситуациям, в которых было бы ц</w:t>
      </w:r>
      <w:r w:rsidRPr="000301A5">
        <w:t>е</w:t>
      </w:r>
      <w:r w:rsidRPr="000301A5">
        <w:t>лесообразным установление наличия нарушения в увязке с пунктом 2 статьи 2, могут относиться некоторые дела, касающиеся лиц, отказывающихся от нес</w:t>
      </w:r>
      <w:r w:rsidRPr="000301A5">
        <w:t>е</w:t>
      </w:r>
      <w:r w:rsidRPr="000301A5">
        <w:t>ния военной службы по соображениям совести, в которых Комитет неоднокра</w:t>
      </w:r>
      <w:r w:rsidRPr="000301A5">
        <w:t>т</w:t>
      </w:r>
      <w:r w:rsidRPr="000301A5">
        <w:t xml:space="preserve">но констатировал нарушения статьи 18 в результате </w:t>
      </w:r>
      <w:r w:rsidR="00F3699D">
        <w:t xml:space="preserve">непринятия </w:t>
      </w:r>
      <w:r w:rsidRPr="000301A5">
        <w:t>государств</w:t>
      </w:r>
      <w:r w:rsidR="00F3699D">
        <w:t>ом</w:t>
      </w:r>
      <w:r w:rsidRPr="000301A5">
        <w:t>-участник</w:t>
      </w:r>
      <w:r w:rsidR="00F3699D">
        <w:t>ом</w:t>
      </w:r>
      <w:r w:rsidR="00C23CAB">
        <w:t xml:space="preserve"> законодательства</w:t>
      </w:r>
      <w:r w:rsidRPr="000301A5">
        <w:t>, предусматривающе</w:t>
      </w:r>
      <w:r w:rsidR="00C23CAB">
        <w:t>го</w:t>
      </w:r>
      <w:r w:rsidRPr="000301A5">
        <w:t xml:space="preserve"> гражданские альтернативы военной службе, и неоднократно рекомендовал пересмотреть соответствующее законодательство</w:t>
      </w:r>
      <w:r w:rsidR="00C23CAB" w:rsidRPr="005C5850">
        <w:rPr>
          <w:sz w:val="18"/>
          <w:vertAlign w:val="superscript"/>
        </w:rPr>
        <w:footnoteReference w:id="22"/>
      </w:r>
      <w:r w:rsidRPr="000301A5">
        <w:t>, а также действующие</w:t>
      </w:r>
      <w:proofErr w:type="gramEnd"/>
      <w:r w:rsidRPr="000301A5">
        <w:t xml:space="preserve"> законы, предусматривающие обяз</w:t>
      </w:r>
      <w:r w:rsidRPr="000301A5">
        <w:t>а</w:t>
      </w:r>
      <w:r w:rsidRPr="000301A5">
        <w:t xml:space="preserve">тельное </w:t>
      </w:r>
      <w:r w:rsidR="00C23CAB">
        <w:t>наказание в виде смертной казни</w:t>
      </w:r>
      <w:r w:rsidRPr="005C5850">
        <w:rPr>
          <w:sz w:val="18"/>
          <w:vertAlign w:val="superscript"/>
        </w:rPr>
        <w:footnoteReference w:id="23"/>
      </w:r>
      <w:r w:rsidR="00C23CAB">
        <w:t>.</w:t>
      </w:r>
    </w:p>
    <w:p w:rsidR="00D56646" w:rsidRPr="000301A5" w:rsidRDefault="00D56646" w:rsidP="00D56646">
      <w:pPr>
        <w:pStyle w:val="SingleTxtGR"/>
      </w:pPr>
      <w:r w:rsidRPr="000301A5">
        <w:t>14.</w:t>
      </w:r>
      <w:r w:rsidRPr="000301A5">
        <w:tab/>
      </w:r>
      <w:proofErr w:type="gramStart"/>
      <w:r w:rsidRPr="000301A5">
        <w:t>Признание наличия нарушения в увязке с пунктом 2 статьи 2 в условиях структурной и системной неспособности государства принять законодательство для введения мер по исправлению положения укажет государству-участнику и, в частности, соответствующим законодателям на обеспокоенность Комитета в связи с тем, что источником нарушений является нормативно-правовые рамки государства</w:t>
      </w:r>
      <w:r w:rsidR="00C23CAB">
        <w:t>,</w:t>
      </w:r>
      <w:r w:rsidRPr="000301A5">
        <w:t xml:space="preserve"> и </w:t>
      </w:r>
      <w:r w:rsidR="00C23CAB">
        <w:t xml:space="preserve">подчеркивает конкретное </w:t>
      </w:r>
      <w:r w:rsidRPr="000301A5">
        <w:t>обязательство государства, предусмо</w:t>
      </w:r>
      <w:r w:rsidRPr="000301A5">
        <w:t>т</w:t>
      </w:r>
      <w:r w:rsidRPr="000301A5">
        <w:t>ренное пунктом 2 статьи 2, привести свое внутреннее законодательство</w:t>
      </w:r>
      <w:proofErr w:type="gramEnd"/>
      <w:r w:rsidRPr="000301A5">
        <w:t xml:space="preserve"> в соо</w:t>
      </w:r>
      <w:r w:rsidRPr="000301A5">
        <w:t>т</w:t>
      </w:r>
      <w:r w:rsidRPr="000301A5">
        <w:t>ветствие в целях осуществления закрепленных в Пакте прав</w:t>
      </w:r>
      <w:r w:rsidRPr="005C5850">
        <w:rPr>
          <w:sz w:val="18"/>
          <w:vertAlign w:val="superscript"/>
        </w:rPr>
        <w:footnoteReference w:id="24"/>
      </w:r>
      <w:r w:rsidR="00C23CAB">
        <w:t>.</w:t>
      </w:r>
      <w:r w:rsidRPr="000301A5">
        <w:t xml:space="preserve"> Установление факта такого нарушения пункта 2 статьи 2 в свою очередь будет способствовать укреплению защиты прав человека для отдельных лиц, подчеркнув обязател</w:t>
      </w:r>
      <w:r w:rsidRPr="000301A5">
        <w:t>ь</w:t>
      </w:r>
      <w:r w:rsidRPr="000301A5">
        <w:t xml:space="preserve">ство государства предупреждать повторение нарушений в будущем. </w:t>
      </w:r>
    </w:p>
    <w:p w:rsidR="00D56646" w:rsidRPr="000301A5" w:rsidRDefault="00D56646" w:rsidP="00D56646">
      <w:pPr>
        <w:pStyle w:val="SingleTxtGR"/>
      </w:pPr>
      <w:r w:rsidRPr="000301A5">
        <w:t>15.</w:t>
      </w:r>
      <w:r w:rsidRPr="000301A5">
        <w:tab/>
        <w:t xml:space="preserve">Этот подход будет также </w:t>
      </w:r>
      <w:r w:rsidR="00C23CAB">
        <w:t>согласовываться</w:t>
      </w:r>
      <w:r w:rsidRPr="000301A5">
        <w:t xml:space="preserve"> с подходом других правоз</w:t>
      </w:r>
      <w:r w:rsidRPr="000301A5">
        <w:t>а</w:t>
      </w:r>
      <w:r w:rsidRPr="000301A5">
        <w:t xml:space="preserve">щитных органов. </w:t>
      </w:r>
      <w:proofErr w:type="gramStart"/>
      <w:r w:rsidRPr="000301A5">
        <w:t>В соответствии со статьей 46 Конвенции о защите прав чел</w:t>
      </w:r>
      <w:r w:rsidRPr="000301A5">
        <w:t>о</w:t>
      </w:r>
      <w:r w:rsidRPr="000301A5">
        <w:t>века и основных свобод Европейский суд по правам человека принял аналоги</w:t>
      </w:r>
      <w:r w:rsidRPr="000301A5">
        <w:t>ч</w:t>
      </w:r>
      <w:r w:rsidRPr="000301A5">
        <w:t>ный подход в рамках своей процедуры вынесения пилотного постановления, при которой суд определяет в своем решении системные или структурные пр</w:t>
      </w:r>
      <w:r w:rsidRPr="000301A5">
        <w:t>о</w:t>
      </w:r>
      <w:r w:rsidRPr="000301A5">
        <w:t>блемы в нормативно-правовых рамках государства-участника, которые привели к нарушению, и меры по исправлению положения, которые государства должны принять, включая пересмотр законодательства</w:t>
      </w:r>
      <w:r w:rsidRPr="005C5850">
        <w:rPr>
          <w:sz w:val="18"/>
          <w:vertAlign w:val="superscript"/>
        </w:rPr>
        <w:footnoteReference w:id="25"/>
      </w:r>
      <w:r w:rsidR="00C23CAB">
        <w:t>.</w:t>
      </w:r>
      <w:r w:rsidRPr="000301A5">
        <w:t xml:space="preserve"> Суд</w:t>
      </w:r>
      <w:proofErr w:type="gramEnd"/>
      <w:r w:rsidRPr="000301A5">
        <w:t xml:space="preserve"> применял этот подход для </w:t>
      </w:r>
      <w:r w:rsidRPr="000301A5">
        <w:lastRenderedPageBreak/>
        <w:t xml:space="preserve">борьбы с устойчивой неспособностью государства ввести законодательство для </w:t>
      </w:r>
      <w:r w:rsidR="001A65D5">
        <w:t>принятия</w:t>
      </w:r>
      <w:r w:rsidRPr="000301A5">
        <w:t xml:space="preserve"> мер по исправлению положения. Межамериканский суд по правам ч</w:t>
      </w:r>
      <w:r w:rsidRPr="000301A5">
        <w:t>е</w:t>
      </w:r>
      <w:r w:rsidRPr="000301A5">
        <w:t>ловека также давно выявил ситуации, требующие пересмотра внутреннего з</w:t>
      </w:r>
      <w:r w:rsidRPr="000301A5">
        <w:t>а</w:t>
      </w:r>
      <w:r w:rsidRPr="000301A5">
        <w:t>конодательства и, в особенности в условиях неспособности государства прин</w:t>
      </w:r>
      <w:r w:rsidRPr="000301A5">
        <w:t>и</w:t>
      </w:r>
      <w:r w:rsidRPr="000301A5">
        <w:t>мать такие меры, установил нарушение или невыполнение статьи 2 Америка</w:t>
      </w:r>
      <w:r w:rsidRPr="000301A5">
        <w:t>н</w:t>
      </w:r>
      <w:r w:rsidRPr="000301A5">
        <w:t>ской конвенции о правах человека в отношении соответствующих основных статей</w:t>
      </w:r>
      <w:r w:rsidRPr="005C5850">
        <w:rPr>
          <w:sz w:val="18"/>
          <w:vertAlign w:val="superscript"/>
        </w:rPr>
        <w:footnoteReference w:id="26"/>
      </w:r>
      <w:r w:rsidR="008273BC">
        <w:t>.</w:t>
      </w:r>
      <w:r w:rsidRPr="000301A5">
        <w:t xml:space="preserve"> </w:t>
      </w:r>
    </w:p>
    <w:p w:rsidR="00D56646" w:rsidRDefault="00D56646" w:rsidP="00D56646">
      <w:pPr>
        <w:pStyle w:val="SingleTxtGR"/>
      </w:pPr>
      <w:r w:rsidRPr="000301A5">
        <w:t>16.</w:t>
      </w:r>
      <w:r w:rsidRPr="000301A5">
        <w:tab/>
      </w:r>
      <w:proofErr w:type="gramStart"/>
      <w:r w:rsidRPr="000301A5">
        <w:t xml:space="preserve">Соответственно, хотя я поддерживаю явно выраженную рекомендацию Комитета, изложенную в пункте 10, о том, что государству-участнику следует пересмотреть свое законодательство в соответствии с пунктом 2 статьи 2, </w:t>
      </w:r>
      <w:r w:rsidR="001A65D5">
        <w:br/>
      </w:r>
      <w:r w:rsidRPr="000301A5">
        <w:t>я считаю, что Комитет имел возможность установить наличие нарушения в увязке с пунктом 2 статьи 2 в обстоятельствах данных дел, что могло бы прив</w:t>
      </w:r>
      <w:r w:rsidRPr="000301A5">
        <w:t>е</w:t>
      </w:r>
      <w:r w:rsidRPr="000301A5">
        <w:t>сти к укреплению защиты прав человека.</w:t>
      </w:r>
      <w:proofErr w:type="gramEnd"/>
    </w:p>
    <w:p w:rsidR="00D56646" w:rsidRPr="000301A5" w:rsidRDefault="00D56646" w:rsidP="00D56646">
      <w:pPr>
        <w:pStyle w:val="SingleTxtGR"/>
      </w:pPr>
    </w:p>
    <w:p w:rsidR="00D56646" w:rsidRPr="000301A5" w:rsidRDefault="00D56646" w:rsidP="00D56646">
      <w:pPr>
        <w:pStyle w:val="SingleTxtGR"/>
        <w:sectPr w:rsidR="00D56646" w:rsidRPr="000301A5" w:rsidSect="00642C45">
          <w:headerReference w:type="even" r:id="rId15"/>
          <w:headerReference w:type="default" r:id="rId16"/>
          <w:footerReference w:type="even" r:id="rId17"/>
          <w:footerReference w:type="default" r:id="rId18"/>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D56646" w:rsidRPr="000301A5" w:rsidRDefault="00D56646" w:rsidP="00D56646">
      <w:pPr>
        <w:pStyle w:val="HChGR"/>
      </w:pPr>
      <w:r w:rsidRPr="000301A5">
        <w:lastRenderedPageBreak/>
        <w:t>Добавление II</w:t>
      </w:r>
    </w:p>
    <w:p w:rsidR="00D56646" w:rsidRPr="001869F3" w:rsidDel="00C82416" w:rsidRDefault="00D56646" w:rsidP="00D56646">
      <w:pPr>
        <w:pStyle w:val="SingleTxtGR"/>
        <w:jc w:val="right"/>
        <w:rPr>
          <w:i/>
        </w:rPr>
      </w:pPr>
      <w:r w:rsidRPr="001869F3">
        <w:rPr>
          <w:i/>
        </w:rPr>
        <w:t>[Язык оригинала: испанский]</w:t>
      </w:r>
    </w:p>
    <w:p w:rsidR="00D56646" w:rsidRPr="000301A5" w:rsidRDefault="00D56646" w:rsidP="00D56646">
      <w:pPr>
        <w:pStyle w:val="H1GR"/>
      </w:pPr>
      <w:r w:rsidRPr="000301A5">
        <w:tab/>
      </w:r>
      <w:r w:rsidRPr="000301A5">
        <w:tab/>
        <w:t>Особое (частично несогласное) мнение члена Комитета Виктора Мануэля Родригеса-Ресии</w:t>
      </w:r>
    </w:p>
    <w:p w:rsidR="00D56646" w:rsidRPr="000301A5" w:rsidRDefault="00D56646" w:rsidP="00D56646">
      <w:pPr>
        <w:pStyle w:val="SingleTxtGR"/>
      </w:pPr>
      <w:r w:rsidRPr="000301A5">
        <w:t>1.</w:t>
      </w:r>
      <w:r w:rsidRPr="000301A5">
        <w:tab/>
      </w:r>
      <w:proofErr w:type="gramStart"/>
      <w:r w:rsidRPr="000301A5">
        <w:t>Хотя я согласен с выводами в отношении приемлемости и существа с</w:t>
      </w:r>
      <w:r w:rsidRPr="000301A5">
        <w:t>о</w:t>
      </w:r>
      <w:r w:rsidRPr="000301A5">
        <w:t>общения № 2016/2010, касающегося нарушения статей 19 и 21 Пакта в отнош</w:t>
      </w:r>
      <w:r w:rsidRPr="000301A5">
        <w:t>е</w:t>
      </w:r>
      <w:r w:rsidRPr="000301A5">
        <w:t>нии автора, я считаю, что необходимо было провести оценку того</w:t>
      </w:r>
      <w:r w:rsidR="00B57597">
        <w:t>,</w:t>
      </w:r>
      <w:r w:rsidRPr="000301A5">
        <w:t xml:space="preserve"> имело ли </w:t>
      </w:r>
      <w:r w:rsidR="00B57597" w:rsidRPr="000301A5">
        <w:t xml:space="preserve">также </w:t>
      </w:r>
      <w:r w:rsidR="00B57597">
        <w:t xml:space="preserve">место </w:t>
      </w:r>
      <w:r w:rsidRPr="000301A5">
        <w:t>нарушение двух прав (на свободу выражения мнений и на публи</w:t>
      </w:r>
      <w:r w:rsidRPr="000301A5">
        <w:t>ч</w:t>
      </w:r>
      <w:r w:rsidRPr="000301A5">
        <w:t>ные и мирные демонстрации)  в увязке с пунктом 2 статьи 2 Пакта (позитивные и негативные обязательства</w:t>
      </w:r>
      <w:proofErr w:type="gramEnd"/>
      <w:r w:rsidRPr="000301A5">
        <w:t xml:space="preserve"> принять законодательные и иные меры или возде</w:t>
      </w:r>
      <w:r w:rsidRPr="000301A5">
        <w:t>р</w:t>
      </w:r>
      <w:r w:rsidRPr="000301A5">
        <w:t>живаться от принятия законодательных или иных мер, которые препятствуют или мешают осуществлению прав, закрепленных в Пакте) по причине сущ</w:t>
      </w:r>
      <w:r w:rsidRPr="000301A5">
        <w:t>е</w:t>
      </w:r>
      <w:r w:rsidRPr="000301A5">
        <w:t>ствования в Республике Беларусь внутреннего закона, прямо противоречащего статьям 19 и 21.</w:t>
      </w:r>
    </w:p>
    <w:p w:rsidR="00D56646" w:rsidRPr="000301A5" w:rsidRDefault="00D56646" w:rsidP="00D56646">
      <w:pPr>
        <w:pStyle w:val="SingleTxtGR"/>
      </w:pPr>
      <w:r w:rsidRPr="000301A5">
        <w:t>2.</w:t>
      </w:r>
      <w:r w:rsidRPr="000301A5">
        <w:tab/>
      </w:r>
      <w:proofErr w:type="gramStart"/>
      <w:r w:rsidRPr="000301A5">
        <w:t>Несмотря на приводимые ниже комментарии, я признаю, что при ра</w:t>
      </w:r>
      <w:r w:rsidRPr="000301A5">
        <w:t>с</w:t>
      </w:r>
      <w:r w:rsidRPr="000301A5">
        <w:t>смотрении этого сообщения Комитет добился прогресса в отношении того, к</w:t>
      </w:r>
      <w:r w:rsidRPr="000301A5">
        <w:t>а</w:t>
      </w:r>
      <w:r w:rsidRPr="000301A5">
        <w:t>ким образом он решал аналогичные случаи, связанные с этим государством в прошлом: во-первых, в связи с тем, что он подтвердил возможность установл</w:t>
      </w:r>
      <w:r w:rsidRPr="000301A5">
        <w:t>е</w:t>
      </w:r>
      <w:r w:rsidRPr="000301A5">
        <w:t>ния факта нарушения пункта 2 статьи 2 в увязке со статьями 19 и 21</w:t>
      </w:r>
      <w:r w:rsidR="00B57597">
        <w:t xml:space="preserve"> – </w:t>
      </w:r>
      <w:r w:rsidRPr="000301A5">
        <w:t>хотя в конечном итоге он этого не</w:t>
      </w:r>
      <w:proofErr w:type="gramEnd"/>
      <w:r w:rsidRPr="000301A5">
        <w:t xml:space="preserve"> сделал, придерживаясь формулы, приведенной в пункте 8.7</w:t>
      </w:r>
      <w:r w:rsidR="00B57597">
        <w:t xml:space="preserve">, – </w:t>
      </w:r>
      <w:r w:rsidRPr="000301A5">
        <w:t>а также в связи с тем, что впервые он прямо сослался на пункт 2 статьи 2 с целью обосновать пересмотра норм, оспоренных в качестве элемента сре</w:t>
      </w:r>
      <w:proofErr w:type="gramStart"/>
      <w:r w:rsidRPr="000301A5">
        <w:t>дств пр</w:t>
      </w:r>
      <w:proofErr w:type="gramEnd"/>
      <w:r w:rsidRPr="000301A5">
        <w:t>авовой защиты.</w:t>
      </w:r>
    </w:p>
    <w:p w:rsidR="00D56646" w:rsidRPr="000301A5" w:rsidRDefault="00D56646" w:rsidP="00D56646">
      <w:pPr>
        <w:pStyle w:val="SingleTxtGR"/>
      </w:pPr>
      <w:r w:rsidRPr="000301A5">
        <w:t>3.</w:t>
      </w:r>
      <w:r w:rsidRPr="000301A5">
        <w:tab/>
      </w:r>
      <w:proofErr w:type="gramStart"/>
      <w:r w:rsidRPr="000301A5">
        <w:t>Насколько я понимаю, факты по данному сообщению связаны не только с</w:t>
      </w:r>
      <w:r w:rsidR="00197669">
        <w:t> </w:t>
      </w:r>
      <w:r w:rsidRPr="000301A5">
        <w:t>осуществлением закона (ограничения, введенные на основании постановл</w:t>
      </w:r>
      <w:r w:rsidRPr="000301A5">
        <w:t>е</w:t>
      </w:r>
      <w:r w:rsidRPr="000301A5">
        <w:t xml:space="preserve">ния № 299 Исполнительного комитета от 2 апреля 2008 года </w:t>
      </w:r>
      <w:r w:rsidR="00642C45">
        <w:t>«</w:t>
      </w:r>
      <w:r w:rsidRPr="000301A5">
        <w:t>О массовых м</w:t>
      </w:r>
      <w:r w:rsidRPr="000301A5">
        <w:t>е</w:t>
      </w:r>
      <w:r w:rsidRPr="000301A5">
        <w:t>роприятиях в городе Гомеле</w:t>
      </w:r>
      <w:r w:rsidR="00642C45">
        <w:t>»</w:t>
      </w:r>
      <w:r w:rsidRPr="000301A5">
        <w:t>, принятого на основании статьи 5 Закона Респу</w:t>
      </w:r>
      <w:r w:rsidRPr="000301A5">
        <w:t>б</w:t>
      </w:r>
      <w:r w:rsidRPr="000301A5">
        <w:t>лики Беларусь о массовых мероприятиях от 30 декабря 1997), но и самим его существованием, что является источником вытекающих из этого многочисле</w:t>
      </w:r>
      <w:r w:rsidRPr="000301A5">
        <w:t>н</w:t>
      </w:r>
      <w:r w:rsidR="00197669">
        <w:t>ных нарушений</w:t>
      </w:r>
      <w:proofErr w:type="gramEnd"/>
      <w:r w:rsidR="00197669">
        <w:t>. До тех пор</w:t>
      </w:r>
      <w:r w:rsidRPr="000301A5">
        <w:t xml:space="preserve"> пока эти положения не будут отменены в рамках внутренних процедур Республики Беларусь, с тем чтобы привести их в соотве</w:t>
      </w:r>
      <w:r w:rsidRPr="000301A5">
        <w:t>т</w:t>
      </w:r>
      <w:r w:rsidRPr="000301A5">
        <w:t xml:space="preserve">ствие с нормами Пакта, случаи, подобные </w:t>
      </w:r>
      <w:proofErr w:type="gramStart"/>
      <w:r w:rsidRPr="000301A5">
        <w:t>изложенному</w:t>
      </w:r>
      <w:proofErr w:type="gramEnd"/>
      <w:r w:rsidRPr="000301A5">
        <w:t xml:space="preserve"> в настоящем сообщ</w:t>
      </w:r>
      <w:r w:rsidRPr="000301A5">
        <w:t>е</w:t>
      </w:r>
      <w:r w:rsidRPr="000301A5">
        <w:t>нии</w:t>
      </w:r>
      <w:r w:rsidR="00197669">
        <w:t>,</w:t>
      </w:r>
      <w:r w:rsidRPr="000301A5">
        <w:t xml:space="preserve"> будут постоянно повторяться.</w:t>
      </w:r>
    </w:p>
    <w:p w:rsidR="00D56646" w:rsidRPr="000301A5" w:rsidRDefault="00D56646" w:rsidP="00D56646">
      <w:pPr>
        <w:pStyle w:val="SingleTxtGR"/>
      </w:pPr>
      <w:r w:rsidRPr="000301A5">
        <w:t>4.</w:t>
      </w:r>
      <w:r w:rsidRPr="000301A5">
        <w:tab/>
        <w:t>Я считаю, что автор в достаточной степени обосновал тот факт, что нарушения его прав согласно статьям 19 и 21 тесно связаны с наличием этих норм. В связи с этим Комитету следовало бы воспользоваться своими полном</w:t>
      </w:r>
      <w:r w:rsidRPr="000301A5">
        <w:t>о</w:t>
      </w:r>
      <w:r w:rsidRPr="000301A5">
        <w:t>чиями для оценки соответствия нормам Пакта соответствующей части Закона о массовых мероприятиях (в частности, его статьи 5) при рассмотрении его де</w:t>
      </w:r>
      <w:r w:rsidRPr="000301A5">
        <w:t>й</w:t>
      </w:r>
      <w:r w:rsidRPr="000301A5">
        <w:t>ствий в связи с сообщением и объявить о нарушении пункта 2 статьи 2, ра</w:t>
      </w:r>
      <w:r w:rsidRPr="000301A5">
        <w:t>с</w:t>
      </w:r>
      <w:r w:rsidRPr="000301A5">
        <w:t>сматриваемой в совокупности со статьями 19 и 21.</w:t>
      </w:r>
    </w:p>
    <w:p w:rsidR="00D56646" w:rsidRPr="000301A5" w:rsidRDefault="00D56646" w:rsidP="00D56646">
      <w:pPr>
        <w:pStyle w:val="SingleTxtGR"/>
      </w:pPr>
      <w:r w:rsidRPr="000301A5">
        <w:t>5.</w:t>
      </w:r>
      <w:r w:rsidRPr="000301A5">
        <w:tab/>
      </w:r>
      <w:proofErr w:type="gramStart"/>
      <w:r w:rsidRPr="000301A5">
        <w:t>Анализ свидетельствует о том, что оспариваемый текст противоречит Пакту, предусматривая следующие требования в отношении выдачи разреш</w:t>
      </w:r>
      <w:r w:rsidRPr="000301A5">
        <w:t>е</w:t>
      </w:r>
      <w:r w:rsidRPr="000301A5">
        <w:t>ний на проведение публичных демонстраций: а) именно местные органы и</w:t>
      </w:r>
      <w:r w:rsidRPr="000301A5">
        <w:t>с</w:t>
      </w:r>
      <w:r w:rsidRPr="000301A5">
        <w:t>полнительной власти принимают решение о постоянных местах проведения массовых мероприятий, и в данном случае выбранное место удалено от общ</w:t>
      </w:r>
      <w:r w:rsidRPr="000301A5">
        <w:t>е</w:t>
      </w:r>
      <w:r w:rsidRPr="000301A5">
        <w:t>ственных мест (площадь по адресу Юбилейная улица, дом 48 города Гомеля);</w:t>
      </w:r>
      <w:proofErr w:type="gramEnd"/>
      <w:r w:rsidRPr="000301A5">
        <w:t xml:space="preserve"> </w:t>
      </w:r>
      <w:r w:rsidR="009428FC">
        <w:br/>
      </w:r>
      <w:r w:rsidRPr="000301A5">
        <w:lastRenderedPageBreak/>
        <w:t>а также b) закон, о котором идет речь, устанавливает различные ограничения, которые делают практически невозможным получение разрешения на провед</w:t>
      </w:r>
      <w:r w:rsidRPr="000301A5">
        <w:t>е</w:t>
      </w:r>
      <w:r w:rsidRPr="000301A5">
        <w:t xml:space="preserve">ние публичных демонстраций, </w:t>
      </w:r>
      <w:proofErr w:type="gramStart"/>
      <w:r w:rsidRPr="000301A5">
        <w:t>например</w:t>
      </w:r>
      <w:proofErr w:type="gramEnd"/>
      <w:r w:rsidRPr="000301A5">
        <w:t xml:space="preserve"> требование заключать договоры с г</w:t>
      </w:r>
      <w:r w:rsidRPr="000301A5">
        <w:t>о</w:t>
      </w:r>
      <w:r w:rsidRPr="000301A5">
        <w:t>родскими службами для поддержания безопасности, обеспечения медицинского обслуживания во время этого мероприятия и проведения уборки территории после его завершения, что противоречит требованиям необходимости и сора</w:t>
      </w:r>
      <w:r w:rsidRPr="000301A5">
        <w:t>з</w:t>
      </w:r>
      <w:r w:rsidRPr="000301A5">
        <w:t>мерности, регулирующим осуществление прав на свободу выражения мнений и собраний, и представляет собой нарушение пункта 2 статьи 2 Пакта, рассма</w:t>
      </w:r>
      <w:r w:rsidRPr="000301A5">
        <w:t>т</w:t>
      </w:r>
      <w:r w:rsidRPr="000301A5">
        <w:t>риваем</w:t>
      </w:r>
      <w:r w:rsidR="009428FC">
        <w:t>ой</w:t>
      </w:r>
      <w:r w:rsidRPr="000301A5">
        <w:t xml:space="preserve"> в совокупности с его статьями 19 и 21.</w:t>
      </w:r>
    </w:p>
    <w:p w:rsidR="00D56646" w:rsidRPr="000301A5" w:rsidRDefault="00D56646" w:rsidP="00D56646">
      <w:pPr>
        <w:pStyle w:val="SingleTxtGR"/>
      </w:pPr>
      <w:r w:rsidRPr="000301A5">
        <w:t>6.</w:t>
      </w:r>
      <w:r w:rsidRPr="000301A5">
        <w:tab/>
        <w:t>Эти требования ведут к прямым последствиям, которые делают практ</w:t>
      </w:r>
      <w:r w:rsidRPr="000301A5">
        <w:t>и</w:t>
      </w:r>
      <w:r w:rsidRPr="000301A5">
        <w:t>чески невозможным осуществление права на публичные демонстрации и, сл</w:t>
      </w:r>
      <w:r w:rsidRPr="000301A5">
        <w:t>е</w:t>
      </w:r>
      <w:r w:rsidRPr="000301A5">
        <w:t>довательно, имплицитно права на свободу выражения мнений. Лица, которые могут позволить себе заключать частные договоры для проведения уборки те</w:t>
      </w:r>
      <w:r w:rsidRPr="000301A5">
        <w:t>р</w:t>
      </w:r>
      <w:r w:rsidRPr="000301A5">
        <w:t>ритории, обеспечение медицинского обслуживания и безопасности</w:t>
      </w:r>
      <w:r w:rsidR="00197669">
        <w:t>,</w:t>
      </w:r>
      <w:r w:rsidRPr="000301A5">
        <w:t xml:space="preserve"> имеют больше шансов получить разрешение на проведение демонстрации, чем те, </w:t>
      </w:r>
      <w:r w:rsidR="009428FC">
        <w:t>к</w:t>
      </w:r>
      <w:r w:rsidRPr="000301A5">
        <w:t xml:space="preserve">то не может этого сделать, что влечет за собой дискриминацию в обращении </w:t>
      </w:r>
      <w:r w:rsidR="009428FC">
        <w:t>с</w:t>
      </w:r>
      <w:r w:rsidRPr="000301A5">
        <w:t xml:space="preserve"> л</w:t>
      </w:r>
      <w:r w:rsidRPr="000301A5">
        <w:t>и</w:t>
      </w:r>
      <w:r w:rsidRPr="000301A5">
        <w:t>цам</w:t>
      </w:r>
      <w:r w:rsidR="009428FC">
        <w:t>и:</w:t>
      </w:r>
      <w:r w:rsidR="009428FC" w:rsidRPr="00471903">
        <w:rPr>
          <w:spacing w:val="-2"/>
        </w:rPr>
        <w:t xml:space="preserve"> имеющими </w:t>
      </w:r>
      <w:r w:rsidRPr="00471903">
        <w:rPr>
          <w:spacing w:val="-2"/>
        </w:rPr>
        <w:t>финансовы</w:t>
      </w:r>
      <w:r w:rsidR="009428FC" w:rsidRPr="00471903">
        <w:rPr>
          <w:spacing w:val="-2"/>
        </w:rPr>
        <w:t>е</w:t>
      </w:r>
      <w:r w:rsidRPr="00471903">
        <w:rPr>
          <w:spacing w:val="-2"/>
        </w:rPr>
        <w:t xml:space="preserve"> средства, и теми, кто их не имеет; поскольку уборка, обеспечение безопасности и медицинского обслуживания носят общественный </w:t>
      </w:r>
      <w:r w:rsidRPr="00471903">
        <w:rPr>
          <w:spacing w:val="2"/>
        </w:rPr>
        <w:t>х</w:t>
      </w:r>
      <w:r w:rsidRPr="00471903">
        <w:rPr>
          <w:spacing w:val="2"/>
        </w:rPr>
        <w:t>а</w:t>
      </w:r>
      <w:r w:rsidRPr="00471903">
        <w:rPr>
          <w:spacing w:val="2"/>
        </w:rPr>
        <w:t xml:space="preserve">рактер и </w:t>
      </w:r>
      <w:r w:rsidRPr="00471903">
        <w:t xml:space="preserve">являются неотъемлемыми элементами осуществления государственной </w:t>
      </w:r>
      <w:r w:rsidRPr="000301A5">
        <w:t>власти во время массовых мероприятий, они должны быть пред</w:t>
      </w:r>
      <w:r w:rsidR="009428FC">
        <w:t>о</w:t>
      </w:r>
      <w:r w:rsidRPr="000301A5">
        <w:t>ставлены в к</w:t>
      </w:r>
      <w:r w:rsidRPr="000301A5">
        <w:t>а</w:t>
      </w:r>
      <w:r w:rsidRPr="000301A5">
        <w:t>честве неотъемлемой гарантии такого потенциала и эффективного осуществл</w:t>
      </w:r>
      <w:r w:rsidRPr="000301A5">
        <w:t>е</w:t>
      </w:r>
      <w:r w:rsidRPr="000301A5">
        <w:t xml:space="preserve">ния. </w:t>
      </w:r>
      <w:proofErr w:type="gramStart"/>
      <w:r w:rsidRPr="000301A5">
        <w:t>Ни одно из требований не оправдывает наличие ограничительных полож</w:t>
      </w:r>
      <w:r w:rsidRPr="000301A5">
        <w:t>е</w:t>
      </w:r>
      <w:r w:rsidRPr="000301A5">
        <w:t>ний в контексте действующих ограничений в демократическом государстве, о</w:t>
      </w:r>
      <w:r w:rsidRPr="000301A5">
        <w:t>с</w:t>
      </w:r>
      <w:r w:rsidRPr="000301A5">
        <w:t>нованном на верховенстве права, в данном случае в целях обеспечения собл</w:t>
      </w:r>
      <w:r w:rsidRPr="000301A5">
        <w:t>ю</w:t>
      </w:r>
      <w:r w:rsidRPr="000301A5">
        <w:t>дения прав или репутации других лиц и защиты национальной безопасности или общественного безопасности, общественного порядка, здоровья или нра</w:t>
      </w:r>
      <w:r w:rsidRPr="000301A5">
        <w:t>в</w:t>
      </w:r>
      <w:r w:rsidRPr="000301A5">
        <w:t>ственности населения или прав и свобод других лиц (подпункты а) и b) пун</w:t>
      </w:r>
      <w:r w:rsidRPr="000301A5">
        <w:t>к</w:t>
      </w:r>
      <w:r w:rsidRPr="000301A5">
        <w:t>та</w:t>
      </w:r>
      <w:r w:rsidR="00591E65">
        <w:t> </w:t>
      </w:r>
      <w:r w:rsidRPr="000301A5">
        <w:t>3 статьи 19, рассматриваемые</w:t>
      </w:r>
      <w:proofErr w:type="gramEnd"/>
      <w:r w:rsidRPr="000301A5">
        <w:t xml:space="preserve"> в сочетании со статьей 21).</w:t>
      </w:r>
    </w:p>
    <w:p w:rsidR="00D56646" w:rsidRPr="000301A5" w:rsidRDefault="00D56646" w:rsidP="00D56646">
      <w:pPr>
        <w:pStyle w:val="SingleTxtGR"/>
      </w:pPr>
      <w:r w:rsidRPr="000301A5">
        <w:t>7.</w:t>
      </w:r>
      <w:r w:rsidRPr="000301A5">
        <w:tab/>
        <w:t>Несмотря на то, что Комитет принял во внимание ограничения при ра</w:t>
      </w:r>
      <w:r w:rsidRPr="000301A5">
        <w:t>с</w:t>
      </w:r>
      <w:r w:rsidRPr="000301A5">
        <w:t>смотрении своего вывода о нарушении статей 19 и 21, он должен был рассмо</w:t>
      </w:r>
      <w:r w:rsidRPr="000301A5">
        <w:t>т</w:t>
      </w:r>
      <w:r w:rsidRPr="000301A5">
        <w:t xml:space="preserve">реть вопрос о выполнении закона, а не оспаривать </w:t>
      </w:r>
      <w:r w:rsidR="005C5850">
        <w:t>соответствующие</w:t>
      </w:r>
      <w:r w:rsidRPr="000301A5">
        <w:t xml:space="preserve"> полож</w:t>
      </w:r>
      <w:r w:rsidRPr="000301A5">
        <w:t>е</w:t>
      </w:r>
      <w:r w:rsidRPr="000301A5">
        <w:t>ни</w:t>
      </w:r>
      <w:r w:rsidR="005C5850">
        <w:t>я</w:t>
      </w:r>
      <w:r w:rsidRPr="000301A5">
        <w:t>, что является сутью вопроса. Комитет должен был сделать это в соотве</w:t>
      </w:r>
      <w:r w:rsidRPr="000301A5">
        <w:t>т</w:t>
      </w:r>
      <w:r w:rsidRPr="000301A5">
        <w:t>ствии со своими полномочиями по пункту 2 статьи 2.</w:t>
      </w:r>
    </w:p>
    <w:p w:rsidR="00D56646" w:rsidRDefault="00D56646" w:rsidP="00D56646">
      <w:pPr>
        <w:pStyle w:val="SingleTxtGR"/>
      </w:pPr>
      <w:r w:rsidRPr="000301A5">
        <w:t>8.</w:t>
      </w:r>
      <w:r w:rsidRPr="000301A5">
        <w:tab/>
        <w:t>Хотя я согласен с аргументацией пункта 10 в отношении сре</w:t>
      </w:r>
      <w:proofErr w:type="gramStart"/>
      <w:r w:rsidRPr="000301A5">
        <w:t>дств пр</w:t>
      </w:r>
      <w:proofErr w:type="gramEnd"/>
      <w:r w:rsidRPr="000301A5">
        <w:t>ав</w:t>
      </w:r>
      <w:r w:rsidRPr="000301A5">
        <w:t>о</w:t>
      </w:r>
      <w:r w:rsidRPr="000301A5">
        <w:t>вой защиты, по моему мнению, это должно было стать результатом предметн</w:t>
      </w:r>
      <w:r w:rsidRPr="000301A5">
        <w:t>о</w:t>
      </w:r>
      <w:r w:rsidRPr="000301A5">
        <w:t xml:space="preserve">го рассмотрения фактов, при этом нормы, которые оспариваются здесь, </w:t>
      </w:r>
      <w:r w:rsidR="005C5850">
        <w:t xml:space="preserve">всегда </w:t>
      </w:r>
      <w:r w:rsidRPr="000301A5">
        <w:t xml:space="preserve">являются нарушением упомянутых статей Пакта. По моему мнению, Комитету следовало не </w:t>
      </w:r>
      <w:r w:rsidR="005C5850">
        <w:t xml:space="preserve">просто </w:t>
      </w:r>
      <w:r w:rsidRPr="000301A5">
        <w:t>призвать к пересмотру этих норм (последствия/</w:t>
      </w:r>
      <w:r w:rsidR="005C5850">
        <w:br/>
      </w:r>
      <w:r w:rsidRPr="000301A5">
        <w:t>заключе</w:t>
      </w:r>
      <w:r w:rsidR="005C5850">
        <w:t xml:space="preserve">ние), но в первую очередь </w:t>
      </w:r>
      <w:r w:rsidRPr="000301A5">
        <w:t>устранить основную причину этого пер</w:t>
      </w:r>
      <w:r w:rsidRPr="000301A5">
        <w:t>е</w:t>
      </w:r>
      <w:r w:rsidRPr="000301A5">
        <w:t>смотра, а именно наличие неоднократно упоминавшегося выше закона.</w:t>
      </w:r>
    </w:p>
    <w:p w:rsidR="00D56646" w:rsidRPr="00CA400A" w:rsidRDefault="00D56646" w:rsidP="00D56646">
      <w:pPr>
        <w:spacing w:before="240"/>
        <w:jc w:val="center"/>
        <w:rPr>
          <w:u w:val="single"/>
        </w:rPr>
      </w:pPr>
      <w:r>
        <w:rPr>
          <w:u w:val="single"/>
        </w:rPr>
        <w:tab/>
      </w:r>
      <w:r>
        <w:rPr>
          <w:u w:val="single"/>
        </w:rPr>
        <w:tab/>
      </w:r>
      <w:r>
        <w:rPr>
          <w:u w:val="single"/>
        </w:rPr>
        <w:tab/>
      </w:r>
    </w:p>
    <w:sectPr w:rsidR="00D56646" w:rsidRPr="00CA400A" w:rsidSect="001869F3">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302" w:rsidRDefault="00553302" w:rsidP="00B471C5">
      <w:r>
        <w:separator/>
      </w:r>
    </w:p>
  </w:endnote>
  <w:endnote w:type="continuationSeparator" w:id="0">
    <w:p w:rsidR="00553302" w:rsidRDefault="00553302"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02" w:rsidRPr="005F0588" w:rsidRDefault="00553302">
    <w:pPr>
      <w:pStyle w:val="a7"/>
      <w:rPr>
        <w:lang w:val="en-US"/>
      </w:rPr>
    </w:pP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CD5239">
      <w:rPr>
        <w:b/>
        <w:noProof/>
        <w:sz w:val="18"/>
        <w:lang w:val="ru-RU"/>
      </w:rPr>
      <w:t>4</w:t>
    </w:r>
    <w:r w:rsidRPr="00760AEE">
      <w:rPr>
        <w:b/>
        <w:sz w:val="18"/>
      </w:rPr>
      <w:fldChar w:fldCharType="end"/>
    </w:r>
    <w:r>
      <w:rPr>
        <w:lang w:val="en-US"/>
      </w:rPr>
      <w:tab/>
      <w:t>GE.15-</w:t>
    </w:r>
    <w:r w:rsidRPr="007C3490">
      <w:rPr>
        <w:lang w:val="en-US"/>
      </w:rPr>
      <w:t>22893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02" w:rsidRPr="0075144F" w:rsidRDefault="00553302">
    <w:pPr>
      <w:pStyle w:val="a7"/>
      <w:rPr>
        <w:lang w:val="en-US"/>
      </w:rPr>
    </w:pPr>
    <w:r>
      <w:rPr>
        <w:lang w:val="en-US"/>
      </w:rPr>
      <w:t>GE.15-</w:t>
    </w:r>
    <w:r w:rsidRPr="007C3490">
      <w:rPr>
        <w:lang w:val="en-US"/>
      </w:rPr>
      <w:t>22893</w:t>
    </w:r>
    <w:r>
      <w:rPr>
        <w:lang w:val="en-US"/>
      </w:rPr>
      <w:tab/>
    </w: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CD5239">
      <w:rPr>
        <w:b/>
        <w:noProof/>
        <w:sz w:val="18"/>
        <w:lang w:val="ru-RU"/>
      </w:rPr>
      <w:t>3</w:t>
    </w:r>
    <w:r w:rsidRPr="00760A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553302" w:rsidRPr="00797A78" w:rsidTr="00642C45">
      <w:trPr>
        <w:trHeight w:val="431"/>
      </w:trPr>
      <w:tc>
        <w:tcPr>
          <w:tcW w:w="3648" w:type="dxa"/>
          <w:tcMar>
            <w:left w:w="57" w:type="dxa"/>
            <w:right w:w="57" w:type="dxa"/>
          </w:tcMar>
          <w:vAlign w:val="bottom"/>
        </w:tcPr>
        <w:p w:rsidR="00553302" w:rsidRPr="001C3ABC" w:rsidRDefault="00553302" w:rsidP="00962472">
          <w:pPr>
            <w:spacing w:after="40"/>
            <w:rPr>
              <w:rFonts w:ascii="C39T30Lfz" w:hAnsi="C39T30Lfz"/>
              <w:spacing w:val="0"/>
              <w:w w:val="100"/>
              <w:kern w:val="0"/>
              <w:lang w:val="en-US" w:eastAsia="ru-RU"/>
            </w:rPr>
          </w:pPr>
          <w:r w:rsidRPr="001C3ABC">
            <w:rPr>
              <w:lang w:val="en-US"/>
            </w:rPr>
            <w:t>GE.1</w:t>
          </w:r>
          <w:r>
            <w:rPr>
              <w:lang w:val="en-US"/>
            </w:rPr>
            <w:t>5</w:t>
          </w:r>
          <w:r w:rsidRPr="001C3ABC">
            <w:rPr>
              <w:lang w:val="en-US"/>
            </w:rPr>
            <w:t>-</w:t>
          </w:r>
          <w:r w:rsidRPr="007C3490">
            <w:rPr>
              <w:lang w:val="en-US"/>
            </w:rPr>
            <w:t>22893</w:t>
          </w:r>
          <w:r>
            <w:rPr>
              <w:lang w:val="en-US"/>
            </w:rPr>
            <w:t xml:space="preserve"> </w:t>
          </w:r>
          <w:r w:rsidRPr="001C3ABC">
            <w:rPr>
              <w:lang w:val="en-US"/>
            </w:rPr>
            <w:t xml:space="preserve"> (R)</w:t>
          </w:r>
          <w:r>
            <w:rPr>
              <w:lang w:val="en-US"/>
            </w:rPr>
            <w:t xml:space="preserve">  130517  1</w:t>
          </w:r>
          <w:r>
            <w:t>8</w:t>
          </w:r>
          <w:r>
            <w:rPr>
              <w:lang w:val="en-US"/>
            </w:rPr>
            <w:t>0516</w:t>
          </w:r>
        </w:p>
      </w:tc>
      <w:tc>
        <w:tcPr>
          <w:tcW w:w="5056" w:type="dxa"/>
          <w:vMerge w:val="restart"/>
          <w:tcMar>
            <w:left w:w="57" w:type="dxa"/>
            <w:right w:w="57" w:type="dxa"/>
          </w:tcMar>
          <w:vAlign w:val="bottom"/>
        </w:tcPr>
        <w:p w:rsidR="00553302" w:rsidRDefault="00553302" w:rsidP="00642C45">
          <w:pPr>
            <w:jc w:val="right"/>
          </w:pPr>
          <w:r>
            <w:rPr>
              <w:b/>
              <w:noProof/>
              <w:lang w:eastAsia="ru-RU"/>
            </w:rPr>
            <w:drawing>
              <wp:inline distT="0" distB="0" distL="0" distR="0" wp14:anchorId="6355992B" wp14:editId="65E1F404">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553302" w:rsidRDefault="00553302" w:rsidP="00642C45">
          <w:pPr>
            <w:jc w:val="right"/>
          </w:pPr>
          <w:r>
            <w:rPr>
              <w:noProof/>
              <w:lang w:eastAsia="ru-RU"/>
            </w:rPr>
            <w:drawing>
              <wp:inline distT="0" distB="0" distL="0" distR="0" wp14:anchorId="285B1EC9" wp14:editId="4AB8DCFC">
                <wp:extent cx="579755" cy="579755"/>
                <wp:effectExtent l="0" t="0" r="0" b="0"/>
                <wp:docPr id="4" name="Рисунок 4" descr="http://undocs.org/m2/QRCode.ashx?DS=CCPR/C/115/D/2016/2010&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5/D/2016/2010&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553302" w:rsidRPr="00797A78" w:rsidTr="00642C45">
      <w:trPr>
        <w:trHeight w:hRule="exact" w:val="564"/>
      </w:trPr>
      <w:tc>
        <w:tcPr>
          <w:tcW w:w="3648" w:type="dxa"/>
          <w:tcMar>
            <w:left w:w="57" w:type="dxa"/>
            <w:right w:w="57" w:type="dxa"/>
          </w:tcMar>
          <w:vAlign w:val="bottom"/>
        </w:tcPr>
        <w:p w:rsidR="00553302" w:rsidRPr="007C3490" w:rsidRDefault="00553302" w:rsidP="00642C45">
          <w:pPr>
            <w:spacing w:after="40"/>
            <w:rPr>
              <w:rFonts w:ascii="C39T30Lfz" w:hAnsi="C39T30Lfz"/>
              <w:spacing w:val="0"/>
              <w:w w:val="100"/>
              <w:kern w:val="0"/>
              <w:sz w:val="56"/>
              <w:szCs w:val="56"/>
              <w:lang w:val="en-US" w:eastAsia="ru-RU"/>
            </w:rPr>
          </w:pPr>
          <w:r w:rsidRPr="007C3490">
            <w:rPr>
              <w:rFonts w:ascii="C39T30Lfz" w:hAnsi="C39T30Lfz"/>
              <w:spacing w:val="0"/>
              <w:w w:val="100"/>
              <w:kern w:val="0"/>
              <w:sz w:val="56"/>
              <w:szCs w:val="56"/>
              <w:lang w:val="en-US" w:eastAsia="ru-RU"/>
            </w:rPr>
            <w:t></w:t>
          </w:r>
          <w:r w:rsidRPr="007C3490">
            <w:rPr>
              <w:rFonts w:ascii="C39T30Lfz" w:hAnsi="C39T30Lfz"/>
              <w:spacing w:val="0"/>
              <w:w w:val="100"/>
              <w:kern w:val="0"/>
              <w:sz w:val="56"/>
              <w:szCs w:val="56"/>
              <w:lang w:val="en-US" w:eastAsia="ru-RU"/>
            </w:rPr>
            <w:t></w:t>
          </w:r>
          <w:r w:rsidRPr="007C3490">
            <w:rPr>
              <w:rFonts w:ascii="C39T30Lfz" w:hAnsi="C39T30Lfz"/>
              <w:spacing w:val="0"/>
              <w:w w:val="100"/>
              <w:kern w:val="0"/>
              <w:sz w:val="56"/>
              <w:szCs w:val="56"/>
              <w:lang w:val="en-US" w:eastAsia="ru-RU"/>
            </w:rPr>
            <w:t></w:t>
          </w:r>
          <w:r w:rsidRPr="007C3490">
            <w:rPr>
              <w:rFonts w:ascii="C39T30Lfz" w:hAnsi="C39T30Lfz"/>
              <w:spacing w:val="0"/>
              <w:w w:val="100"/>
              <w:kern w:val="0"/>
              <w:sz w:val="56"/>
              <w:szCs w:val="56"/>
              <w:lang w:val="en-US" w:eastAsia="ru-RU"/>
            </w:rPr>
            <w:t></w:t>
          </w:r>
          <w:r w:rsidRPr="007C3490">
            <w:rPr>
              <w:rFonts w:ascii="C39T30Lfz" w:hAnsi="C39T30Lfz"/>
              <w:spacing w:val="0"/>
              <w:w w:val="100"/>
              <w:kern w:val="0"/>
              <w:sz w:val="56"/>
              <w:szCs w:val="56"/>
              <w:lang w:val="en-US" w:eastAsia="ru-RU"/>
            </w:rPr>
            <w:t></w:t>
          </w:r>
          <w:r w:rsidRPr="007C3490">
            <w:rPr>
              <w:rFonts w:ascii="C39T30Lfz" w:hAnsi="C39T30Lfz"/>
              <w:spacing w:val="0"/>
              <w:w w:val="100"/>
              <w:kern w:val="0"/>
              <w:sz w:val="56"/>
              <w:szCs w:val="56"/>
              <w:lang w:val="en-US" w:eastAsia="ru-RU"/>
            </w:rPr>
            <w:t></w:t>
          </w:r>
          <w:r w:rsidRPr="007C3490">
            <w:rPr>
              <w:rFonts w:ascii="C39T30Lfz" w:hAnsi="C39T30Lfz"/>
              <w:spacing w:val="0"/>
              <w:w w:val="100"/>
              <w:kern w:val="0"/>
              <w:sz w:val="56"/>
              <w:szCs w:val="56"/>
              <w:lang w:val="en-US" w:eastAsia="ru-RU"/>
            </w:rPr>
            <w:t></w:t>
          </w:r>
          <w:r w:rsidRPr="007C3490">
            <w:rPr>
              <w:rFonts w:ascii="C39T30Lfz" w:hAnsi="C39T30Lfz"/>
              <w:spacing w:val="0"/>
              <w:w w:val="100"/>
              <w:kern w:val="0"/>
              <w:sz w:val="56"/>
              <w:szCs w:val="56"/>
              <w:lang w:val="en-US" w:eastAsia="ru-RU"/>
            </w:rPr>
            <w:t></w:t>
          </w:r>
          <w:r w:rsidRPr="007C3490">
            <w:rPr>
              <w:rFonts w:ascii="C39T30Lfz" w:hAnsi="C39T30Lfz"/>
              <w:spacing w:val="0"/>
              <w:w w:val="100"/>
              <w:kern w:val="0"/>
              <w:sz w:val="56"/>
              <w:szCs w:val="56"/>
              <w:lang w:val="en-US" w:eastAsia="ru-RU"/>
            </w:rPr>
            <w:t></w:t>
          </w:r>
        </w:p>
      </w:tc>
      <w:tc>
        <w:tcPr>
          <w:tcW w:w="5056" w:type="dxa"/>
          <w:vMerge/>
          <w:tcMar>
            <w:left w:w="57" w:type="dxa"/>
            <w:right w:w="57" w:type="dxa"/>
          </w:tcMar>
        </w:tcPr>
        <w:p w:rsidR="00553302" w:rsidRDefault="00553302" w:rsidP="00642C45"/>
      </w:tc>
      <w:tc>
        <w:tcPr>
          <w:tcW w:w="972" w:type="dxa"/>
          <w:vMerge/>
          <w:tcMar>
            <w:left w:w="57" w:type="dxa"/>
            <w:right w:w="57" w:type="dxa"/>
          </w:tcMar>
        </w:tcPr>
        <w:p w:rsidR="00553302" w:rsidRDefault="00553302" w:rsidP="00642C45"/>
      </w:tc>
    </w:tr>
  </w:tbl>
  <w:p w:rsidR="00553302" w:rsidRPr="002D7E3C" w:rsidRDefault="00553302" w:rsidP="00F579C6">
    <w:pPr>
      <w:pStyle w:val="a7"/>
      <w:spacing w:line="240" w:lineRule="auto"/>
      <w:rPr>
        <w:sz w:val="2"/>
        <w:szCs w:val="2"/>
      </w:rPr>
    </w:pPr>
    <w:r>
      <w:rPr>
        <w:noProof/>
        <w:sz w:val="2"/>
        <w:szCs w:val="2"/>
        <w:lang w:val="ru-RU"/>
      </w:rPr>
      <mc:AlternateContent>
        <mc:Choice Requires="wps">
          <w:drawing>
            <wp:anchor distT="0" distB="0" distL="114300" distR="114300" simplePos="0" relativeHeight="251659264" behindDoc="0" locked="0" layoutInCell="1" allowOverlap="1" wp14:anchorId="310292D4" wp14:editId="4AC79C57">
              <wp:simplePos x="0" y="0"/>
              <wp:positionH relativeFrom="column">
                <wp:posOffset>8763000</wp:posOffset>
              </wp:positionH>
              <wp:positionV relativeFrom="paragraph">
                <wp:posOffset>-2453005</wp:posOffset>
              </wp:positionV>
              <wp:extent cx="457200" cy="2069465"/>
              <wp:effectExtent l="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302" w:rsidRDefault="00553302" w:rsidP="00642C45">
                          <w:pPr>
                            <w:rPr>
                              <w:lang w:val="en-US"/>
                            </w:rPr>
                          </w:pPr>
                        </w:p>
                        <w:p w:rsidR="00553302" w:rsidRDefault="00553302" w:rsidP="00642C45">
                          <w:pPr>
                            <w:rPr>
                              <w:lang w:val="en-US"/>
                            </w:rPr>
                          </w:pPr>
                          <w:proofErr w:type="gramStart"/>
                          <w:r>
                            <w:rPr>
                              <w:lang w:val="en-US"/>
                            </w:rPr>
                            <w:t>page</w:t>
                          </w:r>
                          <w:proofErr w:type="gramEnd"/>
                          <w:r>
                            <w:rPr>
                              <w:lang w:val="en-US"/>
                            </w:rPr>
                            <w:t xml:space="preserve"> </w:t>
                          </w:r>
                          <w:r>
                            <w:rPr>
                              <w:rStyle w:val="a9"/>
                            </w:rPr>
                            <w:fldChar w:fldCharType="begin"/>
                          </w:r>
                          <w:r>
                            <w:rPr>
                              <w:rStyle w:val="a9"/>
                            </w:rPr>
                            <w:instrText xml:space="preserve"> PAGE </w:instrText>
                          </w:r>
                          <w:r>
                            <w:rPr>
                              <w:rStyle w:val="a9"/>
                            </w:rPr>
                            <w:fldChar w:fldCharType="separate"/>
                          </w:r>
                          <w:r w:rsidR="00CD5239">
                            <w:rPr>
                              <w:rStyle w:val="a9"/>
                              <w:noProof/>
                            </w:rPr>
                            <w:t>1</w:t>
                          </w:r>
                          <w:r>
                            <w:rPr>
                              <w:rStyle w:val="a9"/>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PGWcXepAgAAqQUAAA4AAAAA&#10;AAAAAAAAAAAALgIAAGRycy9lMm9Eb2MueG1sUEsBAi0AFAAGAAgAAAAhADpZbYjjAAAADgEAAA8A&#10;AAAAAAAAAAAAAAAAAwUAAGRycy9kb3ducmV2LnhtbFBLBQYAAAAABAAEAPMAAAATBgAAAAA=&#10;" filled="f" stroked="f">
              <v:textbox style="layout-flow:vertical" inset="0,0,0,0">
                <w:txbxContent>
                  <w:p w:rsidR="00553302" w:rsidRDefault="00553302" w:rsidP="00642C45">
                    <w:pPr>
                      <w:rPr>
                        <w:lang w:val="en-US"/>
                      </w:rPr>
                    </w:pPr>
                  </w:p>
                  <w:p w:rsidR="00553302" w:rsidRDefault="00553302" w:rsidP="00642C45">
                    <w:pPr>
                      <w:rPr>
                        <w:lang w:val="en-US"/>
                      </w:rPr>
                    </w:pPr>
                    <w:proofErr w:type="gramStart"/>
                    <w:r>
                      <w:rPr>
                        <w:lang w:val="en-US"/>
                      </w:rPr>
                      <w:t>page</w:t>
                    </w:r>
                    <w:proofErr w:type="gramEnd"/>
                    <w:r>
                      <w:rPr>
                        <w:lang w:val="en-US"/>
                      </w:rPr>
                      <w:t xml:space="preserve"> </w:t>
                    </w:r>
                    <w:r>
                      <w:rPr>
                        <w:rStyle w:val="a9"/>
                      </w:rPr>
                      <w:fldChar w:fldCharType="begin"/>
                    </w:r>
                    <w:r>
                      <w:rPr>
                        <w:rStyle w:val="a9"/>
                      </w:rPr>
                      <w:instrText xml:space="preserve"> PAGE </w:instrText>
                    </w:r>
                    <w:r>
                      <w:rPr>
                        <w:rStyle w:val="a9"/>
                      </w:rPr>
                      <w:fldChar w:fldCharType="separate"/>
                    </w:r>
                    <w:r w:rsidR="00CD5239">
                      <w:rPr>
                        <w:rStyle w:val="a9"/>
                        <w:noProof/>
                      </w:rPr>
                      <w:t>1</w:t>
                    </w:r>
                    <w:r>
                      <w:rPr>
                        <w:rStyle w:val="a9"/>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02" w:rsidRPr="005F0588" w:rsidRDefault="00553302">
    <w:pPr>
      <w:pStyle w:val="a7"/>
      <w:rPr>
        <w:lang w:val="en-US"/>
      </w:rPr>
    </w:pP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CD5239">
      <w:rPr>
        <w:b/>
        <w:noProof/>
        <w:sz w:val="18"/>
        <w:lang w:val="ru-RU"/>
      </w:rPr>
      <w:t>18</w:t>
    </w:r>
    <w:r w:rsidRPr="00760AEE">
      <w:rPr>
        <w:b/>
        <w:sz w:val="18"/>
      </w:rPr>
      <w:fldChar w:fldCharType="end"/>
    </w:r>
    <w:r>
      <w:rPr>
        <w:lang w:val="en-US"/>
      </w:rPr>
      <w:tab/>
      <w:t>GE.15-</w:t>
    </w:r>
    <w:r w:rsidRPr="007C3490">
      <w:rPr>
        <w:lang w:val="en-US"/>
      </w:rPr>
      <w:t>22893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02" w:rsidRPr="0075144F" w:rsidRDefault="00553302">
    <w:pPr>
      <w:pStyle w:val="a7"/>
      <w:rPr>
        <w:lang w:val="en-US"/>
      </w:rPr>
    </w:pPr>
    <w:r>
      <w:rPr>
        <w:lang w:val="en-US"/>
      </w:rPr>
      <w:t>GE.15-</w:t>
    </w:r>
    <w:r w:rsidRPr="007C3490">
      <w:rPr>
        <w:lang w:val="en-US"/>
      </w:rPr>
      <w:t>22893</w:t>
    </w:r>
    <w:r>
      <w:rPr>
        <w:lang w:val="en-US"/>
      </w:rPr>
      <w:tab/>
    </w: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CD5239">
      <w:rPr>
        <w:b/>
        <w:noProof/>
        <w:sz w:val="18"/>
        <w:lang w:val="ru-RU"/>
      </w:rPr>
      <w:t>17</w:t>
    </w:r>
    <w:r w:rsidRPr="00760AE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302" w:rsidRPr="009141DC" w:rsidRDefault="00553302" w:rsidP="00D1261C">
      <w:pPr>
        <w:tabs>
          <w:tab w:val="left" w:pos="2268"/>
        </w:tabs>
        <w:spacing w:after="80"/>
        <w:ind w:left="680"/>
        <w:rPr>
          <w:u w:val="single"/>
          <w:lang w:val="en-US"/>
        </w:rPr>
      </w:pPr>
      <w:r>
        <w:rPr>
          <w:u w:val="single"/>
          <w:lang w:val="en-US"/>
        </w:rPr>
        <w:tab/>
      </w:r>
    </w:p>
  </w:footnote>
  <w:footnote w:type="continuationSeparator" w:id="0">
    <w:p w:rsidR="00553302" w:rsidRPr="00D1261C" w:rsidRDefault="00553302" w:rsidP="00D1261C">
      <w:pPr>
        <w:tabs>
          <w:tab w:val="left" w:pos="2268"/>
        </w:tabs>
        <w:spacing w:after="80"/>
        <w:rPr>
          <w:u w:val="single"/>
          <w:lang w:val="en-US"/>
        </w:rPr>
      </w:pPr>
      <w:r>
        <w:rPr>
          <w:u w:val="single"/>
          <w:lang w:val="en-US"/>
        </w:rPr>
        <w:tab/>
      </w:r>
    </w:p>
  </w:footnote>
  <w:footnote w:id="1">
    <w:p w:rsidR="00553302" w:rsidRPr="007A2D6B" w:rsidRDefault="00553302" w:rsidP="007A2D6B">
      <w:pPr>
        <w:pStyle w:val="aa"/>
        <w:rPr>
          <w:lang w:val="ru-RU"/>
        </w:rPr>
      </w:pPr>
      <w:r>
        <w:tab/>
      </w:r>
      <w:r w:rsidRPr="007A2D6B">
        <w:rPr>
          <w:rStyle w:val="a6"/>
          <w:sz w:val="20"/>
          <w:vertAlign w:val="baseline"/>
          <w:lang w:val="ru-RU"/>
        </w:rPr>
        <w:t>*</w:t>
      </w:r>
      <w:r w:rsidRPr="007A2D6B">
        <w:rPr>
          <w:sz w:val="20"/>
          <w:lang w:val="ru-RU"/>
        </w:rPr>
        <w:t xml:space="preserve"> </w:t>
      </w:r>
      <w:r w:rsidRPr="007A2D6B">
        <w:rPr>
          <w:lang w:val="ru-RU"/>
        </w:rPr>
        <w:tab/>
        <w:t xml:space="preserve">В рассмотрении настоящего сообщения приняли участие следующие члены Комитета: </w:t>
      </w:r>
      <w:proofErr w:type="spellStart"/>
      <w:r w:rsidRPr="007A2D6B">
        <w:rPr>
          <w:lang w:val="ru-RU"/>
        </w:rPr>
        <w:t>Ядх</w:t>
      </w:r>
      <w:proofErr w:type="spellEnd"/>
      <w:r w:rsidRPr="007A2D6B">
        <w:rPr>
          <w:lang w:val="ru-RU"/>
        </w:rPr>
        <w:t xml:space="preserve"> Бен </w:t>
      </w:r>
      <w:proofErr w:type="spellStart"/>
      <w:r w:rsidRPr="007A2D6B">
        <w:rPr>
          <w:lang w:val="ru-RU"/>
        </w:rPr>
        <w:t>Ашур</w:t>
      </w:r>
      <w:proofErr w:type="spellEnd"/>
      <w:r w:rsidRPr="007A2D6B">
        <w:rPr>
          <w:lang w:val="ru-RU"/>
        </w:rPr>
        <w:t xml:space="preserve">, </w:t>
      </w:r>
      <w:proofErr w:type="spellStart"/>
      <w:r w:rsidRPr="007A2D6B">
        <w:rPr>
          <w:lang w:val="ru-RU"/>
        </w:rPr>
        <w:t>Лаз</w:t>
      </w:r>
      <w:r w:rsidR="00CD5239">
        <w:rPr>
          <w:lang w:val="ru-RU"/>
        </w:rPr>
        <w:t>ах</w:t>
      </w:r>
      <w:bookmarkStart w:id="2" w:name="_GoBack"/>
      <w:bookmarkEnd w:id="2"/>
      <w:r w:rsidRPr="007A2D6B">
        <w:rPr>
          <w:lang w:val="ru-RU"/>
        </w:rPr>
        <w:t>ри</w:t>
      </w:r>
      <w:proofErr w:type="spellEnd"/>
      <w:r w:rsidRPr="007A2D6B">
        <w:rPr>
          <w:lang w:val="ru-RU"/>
        </w:rPr>
        <w:t xml:space="preserve"> </w:t>
      </w:r>
      <w:proofErr w:type="spellStart"/>
      <w:r w:rsidRPr="007A2D6B">
        <w:rPr>
          <w:lang w:val="ru-RU"/>
        </w:rPr>
        <w:t>Бузид</w:t>
      </w:r>
      <w:proofErr w:type="spellEnd"/>
      <w:r w:rsidRPr="007A2D6B">
        <w:rPr>
          <w:lang w:val="ru-RU"/>
        </w:rPr>
        <w:t xml:space="preserve">, Константин </w:t>
      </w:r>
      <w:proofErr w:type="spellStart"/>
      <w:r w:rsidRPr="007A2D6B">
        <w:rPr>
          <w:lang w:val="ru-RU"/>
        </w:rPr>
        <w:t>Вардзелашвили</w:t>
      </w:r>
      <w:proofErr w:type="spellEnd"/>
      <w:r w:rsidRPr="007A2D6B">
        <w:rPr>
          <w:lang w:val="ru-RU"/>
        </w:rPr>
        <w:t xml:space="preserve">, Марго </w:t>
      </w:r>
      <w:proofErr w:type="spellStart"/>
      <w:r w:rsidRPr="007A2D6B">
        <w:rPr>
          <w:lang w:val="ru-RU"/>
        </w:rPr>
        <w:t>Ватервал</w:t>
      </w:r>
      <w:proofErr w:type="spellEnd"/>
      <w:r w:rsidRPr="007A2D6B">
        <w:rPr>
          <w:lang w:val="ru-RU"/>
        </w:rPr>
        <w:t xml:space="preserve">, </w:t>
      </w:r>
      <w:r>
        <w:rPr>
          <w:lang w:val="ru-RU"/>
        </w:rPr>
        <w:br/>
      </w:r>
      <w:r w:rsidRPr="007A2D6B">
        <w:rPr>
          <w:lang w:val="ru-RU"/>
        </w:rPr>
        <w:t xml:space="preserve">Ивана </w:t>
      </w:r>
      <w:proofErr w:type="spellStart"/>
      <w:r w:rsidRPr="007A2D6B">
        <w:rPr>
          <w:lang w:val="ru-RU"/>
        </w:rPr>
        <w:t>Елич</w:t>
      </w:r>
      <w:proofErr w:type="spellEnd"/>
      <w:r w:rsidRPr="007A2D6B">
        <w:rPr>
          <w:lang w:val="ru-RU"/>
        </w:rPr>
        <w:t xml:space="preserve">, Аня </w:t>
      </w:r>
      <w:proofErr w:type="spellStart"/>
      <w:r w:rsidRPr="007A2D6B">
        <w:rPr>
          <w:lang w:val="ru-RU"/>
        </w:rPr>
        <w:t>Зайберт</w:t>
      </w:r>
      <w:proofErr w:type="spellEnd"/>
      <w:r w:rsidRPr="007A2D6B">
        <w:rPr>
          <w:lang w:val="ru-RU"/>
        </w:rPr>
        <w:t xml:space="preserve">-Фор, </w:t>
      </w:r>
      <w:proofErr w:type="spellStart"/>
      <w:r w:rsidRPr="007A2D6B">
        <w:rPr>
          <w:lang w:val="ru-RU"/>
        </w:rPr>
        <w:t>Юдзи</w:t>
      </w:r>
      <w:proofErr w:type="spellEnd"/>
      <w:r w:rsidRPr="007A2D6B">
        <w:rPr>
          <w:lang w:val="ru-RU"/>
        </w:rPr>
        <w:t xml:space="preserve"> </w:t>
      </w:r>
      <w:proofErr w:type="spellStart"/>
      <w:r w:rsidRPr="007A2D6B">
        <w:rPr>
          <w:lang w:val="ru-RU"/>
        </w:rPr>
        <w:t>Ивасава</w:t>
      </w:r>
      <w:proofErr w:type="spellEnd"/>
      <w:r w:rsidRPr="007A2D6B">
        <w:rPr>
          <w:lang w:val="ru-RU"/>
        </w:rPr>
        <w:t xml:space="preserve">, Сара Кливленд, Дункан Лаки </w:t>
      </w:r>
      <w:proofErr w:type="spellStart"/>
      <w:r w:rsidRPr="007A2D6B">
        <w:rPr>
          <w:lang w:val="ru-RU"/>
        </w:rPr>
        <w:t>Мухумуза</w:t>
      </w:r>
      <w:proofErr w:type="spellEnd"/>
      <w:r w:rsidRPr="007A2D6B">
        <w:rPr>
          <w:lang w:val="ru-RU"/>
        </w:rPr>
        <w:t xml:space="preserve">, </w:t>
      </w:r>
      <w:proofErr w:type="spellStart"/>
      <w:r w:rsidRPr="007A2D6B">
        <w:rPr>
          <w:lang w:val="ru-RU"/>
        </w:rPr>
        <w:t>Фотини</w:t>
      </w:r>
      <w:proofErr w:type="spellEnd"/>
      <w:r w:rsidRPr="007A2D6B">
        <w:rPr>
          <w:lang w:val="ru-RU"/>
        </w:rPr>
        <w:t xml:space="preserve"> </w:t>
      </w:r>
      <w:proofErr w:type="spellStart"/>
      <w:r w:rsidRPr="007A2D6B">
        <w:rPr>
          <w:lang w:val="ru-RU"/>
        </w:rPr>
        <w:t>Пазарцис</w:t>
      </w:r>
      <w:proofErr w:type="spellEnd"/>
      <w:r w:rsidRPr="007A2D6B">
        <w:rPr>
          <w:lang w:val="ru-RU"/>
        </w:rPr>
        <w:t xml:space="preserve">, </w:t>
      </w:r>
      <w:proofErr w:type="spellStart"/>
      <w:r w:rsidRPr="007A2D6B">
        <w:rPr>
          <w:lang w:val="ru-RU"/>
        </w:rPr>
        <w:t>Мауро</w:t>
      </w:r>
      <w:proofErr w:type="spellEnd"/>
      <w:r w:rsidRPr="007A2D6B">
        <w:rPr>
          <w:lang w:val="ru-RU"/>
        </w:rPr>
        <w:t xml:space="preserve"> </w:t>
      </w:r>
      <w:proofErr w:type="spellStart"/>
      <w:r w:rsidRPr="007A2D6B">
        <w:rPr>
          <w:lang w:val="ru-RU"/>
        </w:rPr>
        <w:t>Полити</w:t>
      </w:r>
      <w:proofErr w:type="spellEnd"/>
      <w:r w:rsidRPr="007A2D6B">
        <w:rPr>
          <w:lang w:val="ru-RU"/>
        </w:rPr>
        <w:t xml:space="preserve">, Найджел </w:t>
      </w:r>
      <w:proofErr w:type="spellStart"/>
      <w:r w:rsidRPr="007A2D6B">
        <w:rPr>
          <w:lang w:val="ru-RU"/>
        </w:rPr>
        <w:t>Родли</w:t>
      </w:r>
      <w:proofErr w:type="spellEnd"/>
      <w:r w:rsidRPr="007A2D6B">
        <w:rPr>
          <w:lang w:val="ru-RU"/>
        </w:rPr>
        <w:t xml:space="preserve">, Виктор </w:t>
      </w:r>
      <w:proofErr w:type="spellStart"/>
      <w:r w:rsidRPr="007A2D6B">
        <w:rPr>
          <w:lang w:val="ru-RU"/>
        </w:rPr>
        <w:t>Мануэль</w:t>
      </w:r>
      <w:proofErr w:type="spellEnd"/>
      <w:r w:rsidRPr="007A2D6B">
        <w:rPr>
          <w:lang w:val="ru-RU"/>
        </w:rPr>
        <w:t xml:space="preserve"> Родригес-</w:t>
      </w:r>
      <w:proofErr w:type="spellStart"/>
      <w:r w:rsidRPr="007A2D6B">
        <w:rPr>
          <w:lang w:val="ru-RU"/>
        </w:rPr>
        <w:t>Ресия</w:t>
      </w:r>
      <w:proofErr w:type="spellEnd"/>
      <w:r w:rsidRPr="007A2D6B">
        <w:rPr>
          <w:lang w:val="ru-RU"/>
        </w:rPr>
        <w:t xml:space="preserve">, </w:t>
      </w:r>
      <w:proofErr w:type="spellStart"/>
      <w:r w:rsidRPr="007A2D6B">
        <w:rPr>
          <w:lang w:val="ru-RU"/>
        </w:rPr>
        <w:t>Дируджлалл</w:t>
      </w:r>
      <w:proofErr w:type="spellEnd"/>
      <w:r w:rsidRPr="007A2D6B">
        <w:rPr>
          <w:lang w:val="ru-RU"/>
        </w:rPr>
        <w:t xml:space="preserve"> </w:t>
      </w:r>
      <w:proofErr w:type="spellStart"/>
      <w:r w:rsidRPr="007A2D6B">
        <w:rPr>
          <w:lang w:val="ru-RU"/>
        </w:rPr>
        <w:t>Ситулсингх</w:t>
      </w:r>
      <w:proofErr w:type="spellEnd"/>
      <w:r w:rsidRPr="007A2D6B">
        <w:rPr>
          <w:lang w:val="ru-RU"/>
        </w:rPr>
        <w:t xml:space="preserve">, Оливье де </w:t>
      </w:r>
      <w:proofErr w:type="spellStart"/>
      <w:r w:rsidRPr="007A2D6B">
        <w:rPr>
          <w:lang w:val="ru-RU"/>
        </w:rPr>
        <w:t>Фрувиль</w:t>
      </w:r>
      <w:proofErr w:type="spellEnd"/>
      <w:r w:rsidRPr="007A2D6B">
        <w:rPr>
          <w:lang w:val="ru-RU"/>
        </w:rPr>
        <w:t xml:space="preserve"> и </w:t>
      </w:r>
      <w:proofErr w:type="spellStart"/>
      <w:r w:rsidRPr="007A2D6B">
        <w:rPr>
          <w:lang w:val="ru-RU"/>
        </w:rPr>
        <w:t>Юваль</w:t>
      </w:r>
      <w:proofErr w:type="spellEnd"/>
      <w:r w:rsidRPr="007A2D6B">
        <w:rPr>
          <w:lang w:val="ru-RU"/>
        </w:rPr>
        <w:t xml:space="preserve"> </w:t>
      </w:r>
      <w:proofErr w:type="spellStart"/>
      <w:r w:rsidRPr="007A2D6B">
        <w:rPr>
          <w:lang w:val="ru-RU"/>
        </w:rPr>
        <w:t>Шани</w:t>
      </w:r>
      <w:proofErr w:type="spellEnd"/>
      <w:r w:rsidRPr="007A2D6B">
        <w:rPr>
          <w:lang w:val="ru-RU"/>
        </w:rPr>
        <w:t xml:space="preserve">. </w:t>
      </w:r>
    </w:p>
    <w:p w:rsidR="00553302" w:rsidRPr="007A2D6B" w:rsidRDefault="00553302" w:rsidP="007A2D6B">
      <w:pPr>
        <w:pStyle w:val="aa"/>
        <w:rPr>
          <w:sz w:val="20"/>
          <w:lang w:val="ru-RU"/>
        </w:rPr>
      </w:pPr>
      <w:r w:rsidRPr="007A2D6B">
        <w:rPr>
          <w:lang w:val="ru-RU"/>
        </w:rPr>
        <w:tab/>
      </w:r>
      <w:r w:rsidRPr="007A2D6B">
        <w:rPr>
          <w:lang w:val="ru-RU"/>
        </w:rPr>
        <w:tab/>
        <w:t xml:space="preserve">Два мнения, подписанные двумя членами Комитета, приводятся в добавлениях </w:t>
      </w:r>
      <w:r>
        <w:rPr>
          <w:lang w:val="ru-RU"/>
        </w:rPr>
        <w:br/>
      </w:r>
      <w:r w:rsidRPr="007A2D6B">
        <w:rPr>
          <w:lang w:val="ru-RU"/>
        </w:rPr>
        <w:t>к настоящим Соображениям.</w:t>
      </w:r>
    </w:p>
  </w:footnote>
  <w:footnote w:id="2">
    <w:p w:rsidR="00553302" w:rsidRPr="003700DF" w:rsidRDefault="00553302" w:rsidP="00CA400A">
      <w:pPr>
        <w:pStyle w:val="aa"/>
        <w:rPr>
          <w:szCs w:val="18"/>
          <w:lang w:val="ru-RU"/>
        </w:rPr>
      </w:pPr>
      <w:r>
        <w:rPr>
          <w:lang w:val="ru-RU"/>
        </w:rPr>
        <w:tab/>
      </w:r>
      <w:r w:rsidRPr="001D2861">
        <w:rPr>
          <w:rStyle w:val="a6"/>
          <w:lang w:val="ru-RU"/>
        </w:rPr>
        <w:footnoteRef/>
      </w:r>
      <w:r>
        <w:rPr>
          <w:lang w:val="ru-RU"/>
        </w:rPr>
        <w:tab/>
        <w:t>Кроме того, 11 марта 2010 года автор подал</w:t>
      </w:r>
      <w:r w:rsidRPr="002B4AEE">
        <w:rPr>
          <w:lang w:val="ru-RU"/>
        </w:rPr>
        <w:t xml:space="preserve"> </w:t>
      </w:r>
      <w:r>
        <w:rPr>
          <w:lang w:val="ru-RU"/>
        </w:rPr>
        <w:t xml:space="preserve">председателю Конституционного суда ходатайство, оспаривая решение № 299 Исполнительного комитета. 26 марта 2010 года ходатайство было возвращено ему без рассмотрения. Конституционный суд разъяснил автору, что в соответствии с национальным законодательством лица не могут обращаться непосредственно в Конституционный суд, но должны сначала обратиться в органы и к должностным лицам, обладающим этим правом, например к председателю Палаты представителей, в Совет Республики, Верховный Суд, </w:t>
      </w:r>
      <w:r>
        <w:rPr>
          <w:lang w:val="ru-RU"/>
        </w:rPr>
        <w:br/>
        <w:t xml:space="preserve">Высший административный суд или Совет министров. </w:t>
      </w:r>
    </w:p>
  </w:footnote>
  <w:footnote w:id="3">
    <w:p w:rsidR="00553302" w:rsidRPr="003700DF" w:rsidRDefault="00553302" w:rsidP="00CA400A">
      <w:pPr>
        <w:pStyle w:val="aa"/>
        <w:rPr>
          <w:szCs w:val="18"/>
          <w:lang w:val="ru-RU"/>
        </w:rPr>
      </w:pPr>
      <w:r w:rsidRPr="00AB5D75">
        <w:rPr>
          <w:szCs w:val="18"/>
          <w:lang w:val="ru-RU"/>
        </w:rPr>
        <w:tab/>
      </w:r>
      <w:r w:rsidRPr="00AB5D75">
        <w:rPr>
          <w:rStyle w:val="a6"/>
          <w:szCs w:val="18"/>
          <w:lang w:val="ru-RU"/>
        </w:rPr>
        <w:footnoteRef/>
      </w:r>
      <w:r>
        <w:rPr>
          <w:lang w:val="ru-RU"/>
        </w:rPr>
        <w:tab/>
        <w:t xml:space="preserve">Сообщение № 1418/2005, </w:t>
      </w:r>
      <w:proofErr w:type="spellStart"/>
      <w:r w:rsidRPr="007E02FE">
        <w:rPr>
          <w:i/>
          <w:lang w:val="ru-RU"/>
        </w:rPr>
        <w:t>Искияев</w:t>
      </w:r>
      <w:proofErr w:type="spellEnd"/>
      <w:r w:rsidRPr="007E02FE">
        <w:rPr>
          <w:i/>
          <w:lang w:val="ru-RU"/>
        </w:rPr>
        <w:t xml:space="preserve"> против Узбекистана</w:t>
      </w:r>
      <w:r>
        <w:rPr>
          <w:lang w:val="ru-RU"/>
        </w:rPr>
        <w:t xml:space="preserve">, Соображения, принятые </w:t>
      </w:r>
      <w:r>
        <w:rPr>
          <w:lang w:val="ru-RU"/>
        </w:rPr>
        <w:br/>
        <w:t>20 марта 2009 года.</w:t>
      </w:r>
    </w:p>
  </w:footnote>
  <w:footnote w:id="4">
    <w:p w:rsidR="00553302" w:rsidRPr="003700DF" w:rsidRDefault="00553302" w:rsidP="00CA400A">
      <w:pPr>
        <w:pStyle w:val="aa"/>
        <w:rPr>
          <w:szCs w:val="18"/>
          <w:lang w:val="ru-RU"/>
        </w:rPr>
      </w:pPr>
      <w:r w:rsidRPr="00AB5D75">
        <w:rPr>
          <w:szCs w:val="18"/>
          <w:lang w:val="ru-RU"/>
        </w:rPr>
        <w:tab/>
      </w:r>
      <w:r w:rsidRPr="00AB5D75">
        <w:rPr>
          <w:rStyle w:val="a6"/>
          <w:szCs w:val="18"/>
          <w:lang w:val="ru-RU"/>
        </w:rPr>
        <w:footnoteRef/>
      </w:r>
      <w:r>
        <w:rPr>
          <w:lang w:val="ru-RU"/>
        </w:rPr>
        <w:tab/>
      </w:r>
      <w:proofErr w:type="gramStart"/>
      <w:r>
        <w:rPr>
          <w:lang w:val="ru-RU"/>
        </w:rPr>
        <w:t xml:space="preserve">См. замечание общего порядка № 33 (2008 год) Комитета относительно обязательств государств-участников с соответствии с Факультативным протоколом. </w:t>
      </w:r>
      <w:proofErr w:type="gramEnd"/>
    </w:p>
  </w:footnote>
  <w:footnote w:id="5">
    <w:p w:rsidR="00553302" w:rsidRPr="003700DF" w:rsidRDefault="00553302" w:rsidP="00CA400A">
      <w:pPr>
        <w:pStyle w:val="aa"/>
        <w:rPr>
          <w:szCs w:val="18"/>
          <w:lang w:val="ru-RU"/>
        </w:rPr>
      </w:pPr>
      <w:r w:rsidRPr="00AB5D75">
        <w:rPr>
          <w:szCs w:val="18"/>
          <w:lang w:val="ru-RU"/>
        </w:rPr>
        <w:tab/>
      </w:r>
      <w:r w:rsidRPr="00AB5D75">
        <w:rPr>
          <w:rStyle w:val="a6"/>
          <w:szCs w:val="18"/>
          <w:lang w:val="ru-RU"/>
        </w:rPr>
        <w:footnoteRef/>
      </w:r>
      <w:r>
        <w:rPr>
          <w:lang w:val="ru-RU"/>
        </w:rPr>
        <w:tab/>
        <w:t xml:space="preserve">См., например, сообщения № 1867/2009, 1936/2010, 1975/2010, 1977/2010–1981/2010 </w:t>
      </w:r>
      <w:r>
        <w:rPr>
          <w:lang w:val="ru-RU"/>
        </w:rPr>
        <w:br/>
        <w:t xml:space="preserve">и 2010/2010, </w:t>
      </w:r>
      <w:r w:rsidRPr="009A71BF">
        <w:rPr>
          <w:i/>
          <w:lang w:val="ru-RU"/>
        </w:rPr>
        <w:t>Левинов против Республики Беларусь</w:t>
      </w:r>
      <w:r>
        <w:rPr>
          <w:lang w:val="ru-RU"/>
        </w:rPr>
        <w:t xml:space="preserve">, Соображения, принятые 19 июля 2012 года, пункт 8.2, и № 869/1999, </w:t>
      </w:r>
      <w:proofErr w:type="spellStart"/>
      <w:r w:rsidRPr="009A71BF">
        <w:rPr>
          <w:i/>
          <w:lang w:val="ru-RU"/>
        </w:rPr>
        <w:t>Пьяндионг</w:t>
      </w:r>
      <w:proofErr w:type="spellEnd"/>
      <w:r w:rsidRPr="009A71BF">
        <w:rPr>
          <w:i/>
          <w:lang w:val="ru-RU"/>
        </w:rPr>
        <w:t xml:space="preserve"> и др. против Филиппин</w:t>
      </w:r>
      <w:r>
        <w:rPr>
          <w:lang w:val="ru-RU"/>
        </w:rPr>
        <w:t>, Соображения, принятые 19 октября 2000 года, пункт 5.1.</w:t>
      </w:r>
    </w:p>
  </w:footnote>
  <w:footnote w:id="6">
    <w:p w:rsidR="00553302" w:rsidRPr="003700DF" w:rsidRDefault="00553302" w:rsidP="00CA400A">
      <w:pPr>
        <w:pStyle w:val="aa"/>
        <w:rPr>
          <w:szCs w:val="18"/>
          <w:lang w:val="ru-RU"/>
        </w:rPr>
      </w:pPr>
      <w:r w:rsidRPr="00AB5D75">
        <w:rPr>
          <w:szCs w:val="18"/>
          <w:lang w:val="ru-RU"/>
        </w:rPr>
        <w:tab/>
      </w:r>
      <w:r w:rsidRPr="00FC20C0">
        <w:rPr>
          <w:rStyle w:val="a6"/>
          <w:szCs w:val="18"/>
          <w:lang w:val="ru-RU"/>
        </w:rPr>
        <w:footnoteRef/>
      </w:r>
      <w:r>
        <w:rPr>
          <w:lang w:val="ru-RU"/>
        </w:rPr>
        <w:tab/>
        <w:t xml:space="preserve">См. сообщение № 1873/2009, </w:t>
      </w:r>
      <w:r w:rsidRPr="009A71BF">
        <w:rPr>
          <w:i/>
          <w:lang w:val="ru-RU"/>
        </w:rPr>
        <w:t>Алексеев против Российской Федерации</w:t>
      </w:r>
      <w:r>
        <w:rPr>
          <w:lang w:val="ru-RU"/>
        </w:rPr>
        <w:t xml:space="preserve">, Соображения, принятые 25 октября 2013 года, пункт 8.4, и сообщение № 1929/2010, </w:t>
      </w:r>
      <w:proofErr w:type="spellStart"/>
      <w:r w:rsidRPr="009A71BF">
        <w:rPr>
          <w:i/>
          <w:lang w:val="ru-RU"/>
        </w:rPr>
        <w:t>Лозенко</w:t>
      </w:r>
      <w:proofErr w:type="spellEnd"/>
      <w:r w:rsidRPr="009A71BF">
        <w:rPr>
          <w:i/>
          <w:lang w:val="ru-RU"/>
        </w:rPr>
        <w:t xml:space="preserve"> против Республики Беларусь</w:t>
      </w:r>
      <w:r>
        <w:rPr>
          <w:lang w:val="ru-RU"/>
        </w:rPr>
        <w:t>, Соображения, принятые 24 октября 2014 года, пункт 6.3.</w:t>
      </w:r>
    </w:p>
  </w:footnote>
  <w:footnote w:id="7">
    <w:p w:rsidR="00553302" w:rsidRPr="003700DF" w:rsidRDefault="00553302" w:rsidP="00CA400A">
      <w:pPr>
        <w:pStyle w:val="aa"/>
        <w:rPr>
          <w:szCs w:val="18"/>
          <w:lang w:val="ru-RU"/>
        </w:rPr>
      </w:pPr>
      <w:r w:rsidRPr="00AB5D75">
        <w:rPr>
          <w:szCs w:val="18"/>
          <w:lang w:val="ru-RU"/>
        </w:rPr>
        <w:tab/>
      </w:r>
      <w:r w:rsidRPr="00FC20C0">
        <w:rPr>
          <w:rStyle w:val="a6"/>
          <w:szCs w:val="18"/>
          <w:lang w:val="ru-RU"/>
        </w:rPr>
        <w:footnoteRef/>
      </w:r>
      <w:r>
        <w:rPr>
          <w:lang w:val="ru-RU"/>
        </w:rPr>
        <w:tab/>
        <w:t xml:space="preserve">См., например, сообщение № 1182/2003, </w:t>
      </w:r>
      <w:proofErr w:type="spellStart"/>
      <w:r w:rsidRPr="00DD7D77">
        <w:rPr>
          <w:i/>
          <w:lang w:val="ru-RU"/>
        </w:rPr>
        <w:t>Карацис</w:t>
      </w:r>
      <w:proofErr w:type="spellEnd"/>
      <w:r w:rsidRPr="00DD7D77">
        <w:rPr>
          <w:i/>
          <w:lang w:val="ru-RU"/>
        </w:rPr>
        <w:t xml:space="preserve"> против Кипра</w:t>
      </w:r>
      <w:r>
        <w:rPr>
          <w:lang w:val="ru-RU"/>
        </w:rPr>
        <w:t>, Соображения, принятые 25 июля 2005 года, пункт 6.5.</w:t>
      </w:r>
    </w:p>
  </w:footnote>
  <w:footnote w:id="8">
    <w:p w:rsidR="00553302" w:rsidRPr="003700DF" w:rsidRDefault="00553302" w:rsidP="00CA400A">
      <w:pPr>
        <w:pStyle w:val="aa"/>
        <w:rPr>
          <w:szCs w:val="18"/>
          <w:lang w:val="ru-RU"/>
        </w:rPr>
      </w:pPr>
      <w:r w:rsidRPr="00BF5A65">
        <w:rPr>
          <w:szCs w:val="18"/>
          <w:lang w:val="ru-RU"/>
        </w:rPr>
        <w:tab/>
      </w:r>
      <w:r w:rsidRPr="009C77E5">
        <w:rPr>
          <w:rStyle w:val="a6"/>
          <w:szCs w:val="18"/>
          <w:lang w:val="ru-RU"/>
        </w:rPr>
        <w:footnoteRef/>
      </w:r>
      <w:r>
        <w:rPr>
          <w:lang w:val="ru-RU"/>
        </w:rPr>
        <w:tab/>
        <w:t>Там же, пункт 22.</w:t>
      </w:r>
    </w:p>
  </w:footnote>
  <w:footnote w:id="9">
    <w:p w:rsidR="00553302" w:rsidRPr="003700DF" w:rsidRDefault="00553302" w:rsidP="00553302">
      <w:pPr>
        <w:pStyle w:val="aa"/>
        <w:rPr>
          <w:szCs w:val="18"/>
          <w:lang w:val="ru-RU"/>
        </w:rPr>
      </w:pPr>
      <w:r w:rsidRPr="00AB5D75">
        <w:rPr>
          <w:szCs w:val="18"/>
          <w:lang w:val="ru-RU"/>
        </w:rPr>
        <w:tab/>
      </w:r>
      <w:r w:rsidRPr="00FC20C0">
        <w:rPr>
          <w:rStyle w:val="a6"/>
          <w:szCs w:val="18"/>
          <w:lang w:val="ru-RU"/>
        </w:rPr>
        <w:footnoteRef/>
      </w:r>
      <w:r>
        <w:rPr>
          <w:lang w:val="ru-RU"/>
        </w:rPr>
        <w:tab/>
        <w:t xml:space="preserve">См., например, сообщение № 1830/2008, </w:t>
      </w:r>
      <w:proofErr w:type="spellStart"/>
      <w:r w:rsidRPr="00D72FA7">
        <w:rPr>
          <w:i/>
          <w:lang w:val="ru-RU"/>
        </w:rPr>
        <w:t>Пивонос</w:t>
      </w:r>
      <w:proofErr w:type="spellEnd"/>
      <w:r w:rsidRPr="00D72FA7">
        <w:rPr>
          <w:i/>
          <w:lang w:val="ru-RU"/>
        </w:rPr>
        <w:t xml:space="preserve"> против Республики Беларусь</w:t>
      </w:r>
      <w:r>
        <w:rPr>
          <w:lang w:val="ru-RU"/>
        </w:rPr>
        <w:t xml:space="preserve">, Соображения, принятые 29 октября 2012 года, пункт 9.3, и № 1785/2008, </w:t>
      </w:r>
      <w:proofErr w:type="spellStart"/>
      <w:r w:rsidRPr="00D72FA7">
        <w:rPr>
          <w:i/>
          <w:lang w:val="ru-RU"/>
        </w:rPr>
        <w:t>Олешкевич</w:t>
      </w:r>
      <w:proofErr w:type="spellEnd"/>
      <w:r w:rsidRPr="00D72FA7">
        <w:rPr>
          <w:i/>
          <w:lang w:val="ru-RU"/>
        </w:rPr>
        <w:t xml:space="preserve"> против Республики Беларусь</w:t>
      </w:r>
      <w:r>
        <w:rPr>
          <w:lang w:val="ru-RU"/>
        </w:rPr>
        <w:t>, Соображения, принятые 18 марта 2013 года, пункт 8.5.</w:t>
      </w:r>
    </w:p>
  </w:footnote>
  <w:footnote w:id="10">
    <w:p w:rsidR="00553302" w:rsidRPr="000F7EC5" w:rsidRDefault="00553302" w:rsidP="00CA400A">
      <w:pPr>
        <w:pStyle w:val="aa"/>
        <w:rPr>
          <w:lang w:val="ru-RU"/>
        </w:rPr>
      </w:pPr>
      <w:r w:rsidRPr="00AB5D75">
        <w:rPr>
          <w:szCs w:val="18"/>
          <w:lang w:val="ru-RU"/>
        </w:rPr>
        <w:tab/>
      </w:r>
      <w:r w:rsidRPr="00FC20C0">
        <w:rPr>
          <w:rStyle w:val="a6"/>
          <w:szCs w:val="18"/>
          <w:lang w:val="ru-RU"/>
        </w:rPr>
        <w:footnoteRef/>
      </w:r>
      <w:r>
        <w:rPr>
          <w:lang w:val="ru-RU"/>
        </w:rPr>
        <w:tab/>
        <w:t xml:space="preserve">См., например, сообщения № 1851/20008, </w:t>
      </w:r>
      <w:proofErr w:type="spellStart"/>
      <w:r w:rsidRPr="000F7EC5">
        <w:rPr>
          <w:i/>
          <w:lang w:val="ru-RU"/>
        </w:rPr>
        <w:t>Секерко</w:t>
      </w:r>
      <w:proofErr w:type="spellEnd"/>
      <w:r w:rsidRPr="000F7EC5">
        <w:rPr>
          <w:i/>
          <w:lang w:val="ru-RU"/>
        </w:rPr>
        <w:t xml:space="preserve"> против Республики Беларусь</w:t>
      </w:r>
      <w:r>
        <w:rPr>
          <w:lang w:val="ru-RU"/>
        </w:rPr>
        <w:t xml:space="preserve">, Соображения, принятые 28 октября 2013 года, пункт 11; № 1948/2010, </w:t>
      </w:r>
      <w:proofErr w:type="spellStart"/>
      <w:r w:rsidRPr="000F7EC5">
        <w:rPr>
          <w:i/>
          <w:lang w:val="ru-RU"/>
        </w:rPr>
        <w:t>Турченяк</w:t>
      </w:r>
      <w:proofErr w:type="spellEnd"/>
      <w:r w:rsidRPr="000F7EC5">
        <w:rPr>
          <w:i/>
          <w:lang w:val="ru-RU"/>
        </w:rPr>
        <w:t xml:space="preserve"> и др. против Республики Беларусь</w:t>
      </w:r>
      <w:r>
        <w:rPr>
          <w:lang w:val="ru-RU"/>
        </w:rPr>
        <w:t xml:space="preserve">, Соображения, принятые 24 июля 2013 года, пункт 9; </w:t>
      </w:r>
      <w:r>
        <w:rPr>
          <w:lang w:val="ru-RU"/>
        </w:rPr>
        <w:br/>
        <w:t xml:space="preserve">№ 1790/2008, </w:t>
      </w:r>
      <w:proofErr w:type="spellStart"/>
      <w:r w:rsidRPr="000F7EC5">
        <w:rPr>
          <w:i/>
          <w:lang w:val="ru-RU"/>
        </w:rPr>
        <w:t>Говша</w:t>
      </w:r>
      <w:proofErr w:type="spellEnd"/>
      <w:r w:rsidRPr="000F7EC5">
        <w:rPr>
          <w:i/>
          <w:lang w:val="ru-RU"/>
        </w:rPr>
        <w:t xml:space="preserve"> и др. против Республики Беларусь</w:t>
      </w:r>
      <w:r>
        <w:rPr>
          <w:lang w:val="ru-RU"/>
        </w:rPr>
        <w:t xml:space="preserve">, Соображения, принятые </w:t>
      </w:r>
      <w:r>
        <w:rPr>
          <w:lang w:val="ru-RU"/>
        </w:rPr>
        <w:br/>
        <w:t xml:space="preserve">27 июля 2012 года, пункт 11; </w:t>
      </w:r>
      <w:proofErr w:type="spellStart"/>
      <w:r>
        <w:rPr>
          <w:lang w:val="ru-RU"/>
        </w:rPr>
        <w:t>mutatis</w:t>
      </w:r>
      <w:proofErr w:type="spellEnd"/>
      <w:r>
        <w:rPr>
          <w:lang w:val="ru-RU"/>
        </w:rPr>
        <w:t xml:space="preserve"> </w:t>
      </w:r>
      <w:proofErr w:type="spellStart"/>
      <w:r>
        <w:rPr>
          <w:lang w:val="ru-RU"/>
        </w:rPr>
        <w:t>mutandis</w:t>
      </w:r>
      <w:proofErr w:type="spellEnd"/>
      <w:r>
        <w:rPr>
          <w:lang w:val="ru-RU"/>
        </w:rPr>
        <w:t xml:space="preserve">, № 1969/2010, </w:t>
      </w:r>
      <w:proofErr w:type="spellStart"/>
      <w:r w:rsidRPr="005734D0">
        <w:rPr>
          <w:i/>
          <w:lang w:val="ru-RU"/>
        </w:rPr>
        <w:t>Сурган</w:t>
      </w:r>
      <w:proofErr w:type="spellEnd"/>
      <w:r w:rsidRPr="005734D0">
        <w:rPr>
          <w:i/>
          <w:lang w:val="ru-RU"/>
        </w:rPr>
        <w:t xml:space="preserve"> против Республики Беларусь</w:t>
      </w:r>
      <w:r>
        <w:rPr>
          <w:lang w:val="ru-RU"/>
        </w:rPr>
        <w:t xml:space="preserve">, Соображения, принятые 15 июля 2015 года; и № 1992/2010, </w:t>
      </w:r>
      <w:proofErr w:type="spellStart"/>
      <w:r w:rsidRPr="005734D0">
        <w:rPr>
          <w:i/>
          <w:lang w:val="ru-RU"/>
        </w:rPr>
        <w:t>Судаленко</w:t>
      </w:r>
      <w:proofErr w:type="spellEnd"/>
      <w:r w:rsidRPr="005734D0">
        <w:rPr>
          <w:i/>
          <w:lang w:val="ru-RU"/>
        </w:rPr>
        <w:t xml:space="preserve"> против Республики Беларусь</w:t>
      </w:r>
      <w:r>
        <w:rPr>
          <w:lang w:val="ru-RU"/>
        </w:rPr>
        <w:t>, Соображения, принятые 27 марта 2015 года, пункт 10.</w:t>
      </w:r>
    </w:p>
  </w:footnote>
  <w:footnote w:id="11">
    <w:p w:rsidR="00553302" w:rsidRPr="003700DF" w:rsidRDefault="00553302" w:rsidP="00D56646">
      <w:pPr>
        <w:pStyle w:val="aa"/>
        <w:rPr>
          <w:szCs w:val="18"/>
          <w:lang w:val="ru-RU"/>
        </w:rPr>
      </w:pPr>
      <w:r w:rsidRPr="007113A4">
        <w:rPr>
          <w:szCs w:val="18"/>
          <w:lang w:val="ru-RU"/>
        </w:rPr>
        <w:tab/>
      </w:r>
      <w:r w:rsidRPr="00FC20C0">
        <w:rPr>
          <w:rStyle w:val="a6"/>
          <w:szCs w:val="18"/>
          <w:lang w:val="ru-RU"/>
        </w:rPr>
        <w:footnoteRef/>
      </w:r>
      <w:r>
        <w:rPr>
          <w:lang w:val="ru-RU"/>
        </w:rPr>
        <w:tab/>
        <w:t xml:space="preserve">См., например, сообщения № 1851/2008, </w:t>
      </w:r>
      <w:proofErr w:type="spellStart"/>
      <w:r w:rsidRPr="00C8694A">
        <w:rPr>
          <w:i/>
          <w:lang w:val="ru-RU"/>
        </w:rPr>
        <w:t>Секерко</w:t>
      </w:r>
      <w:proofErr w:type="spellEnd"/>
      <w:r w:rsidRPr="00C8694A">
        <w:rPr>
          <w:i/>
          <w:lang w:val="ru-RU"/>
        </w:rPr>
        <w:t xml:space="preserve"> против Республики Беларусь</w:t>
      </w:r>
      <w:r>
        <w:rPr>
          <w:lang w:val="ru-RU"/>
        </w:rPr>
        <w:t xml:space="preserve">, Соображения, принятые 28 октября 2013 года, пункт 11; № 1948/2010, </w:t>
      </w:r>
      <w:proofErr w:type="spellStart"/>
      <w:r w:rsidRPr="00C8694A">
        <w:rPr>
          <w:i/>
          <w:lang w:val="ru-RU"/>
        </w:rPr>
        <w:t>Турченяк</w:t>
      </w:r>
      <w:proofErr w:type="spellEnd"/>
      <w:r w:rsidRPr="00C8694A">
        <w:rPr>
          <w:i/>
          <w:lang w:val="ru-RU"/>
        </w:rPr>
        <w:t xml:space="preserve"> и др. против Республики Беларусь</w:t>
      </w:r>
      <w:r>
        <w:rPr>
          <w:lang w:val="ru-RU"/>
        </w:rPr>
        <w:t xml:space="preserve">, Соображения, принятые 24 июля 2013 года, пункт 9; </w:t>
      </w:r>
      <w:r>
        <w:rPr>
          <w:lang w:val="ru-RU"/>
        </w:rPr>
        <w:br/>
        <w:t xml:space="preserve">и № 1790/2008, </w:t>
      </w:r>
      <w:proofErr w:type="spellStart"/>
      <w:r w:rsidRPr="00C8694A">
        <w:rPr>
          <w:i/>
          <w:lang w:val="ru-RU"/>
        </w:rPr>
        <w:t>Говша</w:t>
      </w:r>
      <w:proofErr w:type="spellEnd"/>
      <w:r w:rsidRPr="00C8694A">
        <w:rPr>
          <w:i/>
          <w:lang w:val="ru-RU"/>
        </w:rPr>
        <w:t xml:space="preserve"> и др. против Республики Беларусь</w:t>
      </w:r>
      <w:r>
        <w:rPr>
          <w:lang w:val="ru-RU"/>
        </w:rPr>
        <w:t xml:space="preserve">, Соображения, принятые </w:t>
      </w:r>
      <w:r>
        <w:rPr>
          <w:lang w:val="ru-RU"/>
        </w:rPr>
        <w:br/>
        <w:t xml:space="preserve">27 июля 2012 года, пункт 11. </w:t>
      </w:r>
    </w:p>
  </w:footnote>
  <w:footnote w:id="12">
    <w:p w:rsidR="00553302" w:rsidRPr="003700DF" w:rsidRDefault="00553302" w:rsidP="00D56646">
      <w:pPr>
        <w:pStyle w:val="aa"/>
        <w:rPr>
          <w:szCs w:val="18"/>
          <w:lang w:val="ru-RU"/>
        </w:rPr>
      </w:pPr>
      <w:r w:rsidRPr="00FC20C0">
        <w:rPr>
          <w:szCs w:val="18"/>
          <w:lang w:val="ru-RU"/>
        </w:rPr>
        <w:tab/>
      </w:r>
      <w:r w:rsidRPr="007113A4">
        <w:rPr>
          <w:rStyle w:val="a6"/>
          <w:szCs w:val="18"/>
          <w:lang w:val="ru-RU"/>
        </w:rPr>
        <w:footnoteRef/>
      </w:r>
      <w:r>
        <w:rPr>
          <w:lang w:val="ru-RU"/>
        </w:rPr>
        <w:tab/>
        <w:t xml:space="preserve">См., например, сообщение № 2202/2012, </w:t>
      </w:r>
      <w:proofErr w:type="spellStart"/>
      <w:r w:rsidRPr="00C8694A">
        <w:rPr>
          <w:i/>
          <w:lang w:val="ru-RU"/>
        </w:rPr>
        <w:t>Кастаньеда</w:t>
      </w:r>
      <w:proofErr w:type="spellEnd"/>
      <w:r w:rsidRPr="00C8694A">
        <w:rPr>
          <w:i/>
          <w:lang w:val="ru-RU"/>
        </w:rPr>
        <w:t xml:space="preserve"> против Мексики</w:t>
      </w:r>
      <w:r>
        <w:rPr>
          <w:lang w:val="ru-RU"/>
        </w:rPr>
        <w:t>, Соображения, принятые 18 июля 2013 года, пункт 6.8.</w:t>
      </w:r>
    </w:p>
  </w:footnote>
  <w:footnote w:id="13">
    <w:p w:rsidR="00553302" w:rsidRPr="003700DF" w:rsidRDefault="00553302" w:rsidP="00D56646">
      <w:pPr>
        <w:pStyle w:val="aa"/>
        <w:rPr>
          <w:szCs w:val="18"/>
          <w:lang w:val="ru-RU"/>
        </w:rPr>
      </w:pPr>
      <w:r w:rsidRPr="007113A4">
        <w:rPr>
          <w:szCs w:val="18"/>
          <w:lang w:val="ru-RU"/>
        </w:rPr>
        <w:tab/>
      </w:r>
      <w:r w:rsidRPr="00FC20C0">
        <w:rPr>
          <w:rStyle w:val="a6"/>
          <w:szCs w:val="18"/>
          <w:lang w:val="ru-RU"/>
        </w:rPr>
        <w:footnoteRef/>
      </w:r>
      <w:r>
        <w:rPr>
          <w:lang w:val="ru-RU"/>
        </w:rPr>
        <w:tab/>
        <w:t>См. замечание общего порядка № 31, пункт 13.</w:t>
      </w:r>
    </w:p>
  </w:footnote>
  <w:footnote w:id="14">
    <w:p w:rsidR="00553302" w:rsidRPr="003700DF" w:rsidRDefault="00553302" w:rsidP="00D56646">
      <w:pPr>
        <w:pStyle w:val="aa"/>
        <w:rPr>
          <w:szCs w:val="18"/>
          <w:lang w:val="ru-RU"/>
        </w:rPr>
      </w:pPr>
      <w:r w:rsidRPr="00FC20C0">
        <w:rPr>
          <w:szCs w:val="18"/>
          <w:lang w:val="ru-RU"/>
        </w:rPr>
        <w:tab/>
      </w:r>
      <w:r w:rsidRPr="007113A4">
        <w:rPr>
          <w:rStyle w:val="a6"/>
          <w:szCs w:val="18"/>
          <w:lang w:val="ru-RU"/>
        </w:rPr>
        <w:footnoteRef/>
      </w:r>
      <w:r>
        <w:rPr>
          <w:lang w:val="ru-RU"/>
        </w:rPr>
        <w:tab/>
        <w:t xml:space="preserve">Там же, пункт 4. </w:t>
      </w:r>
    </w:p>
  </w:footnote>
  <w:footnote w:id="15">
    <w:p w:rsidR="00553302" w:rsidRPr="003700DF" w:rsidRDefault="00553302" w:rsidP="00D56646">
      <w:pPr>
        <w:pStyle w:val="aa"/>
        <w:rPr>
          <w:szCs w:val="18"/>
          <w:lang w:val="ru-RU"/>
        </w:rPr>
      </w:pPr>
      <w:r w:rsidRPr="007113A4">
        <w:rPr>
          <w:szCs w:val="18"/>
          <w:lang w:val="ru-RU"/>
        </w:rPr>
        <w:tab/>
      </w:r>
      <w:r w:rsidRPr="00FC20C0">
        <w:rPr>
          <w:rStyle w:val="a6"/>
          <w:szCs w:val="18"/>
          <w:lang w:val="ru-RU"/>
        </w:rPr>
        <w:footnoteRef/>
      </w:r>
      <w:r>
        <w:rPr>
          <w:lang w:val="ru-RU"/>
        </w:rPr>
        <w:tab/>
        <w:t xml:space="preserve">Там же, пункт 13. </w:t>
      </w:r>
    </w:p>
  </w:footnote>
  <w:footnote w:id="16">
    <w:p w:rsidR="005A638B" w:rsidRPr="003700DF" w:rsidRDefault="005A638B" w:rsidP="005A638B">
      <w:pPr>
        <w:pStyle w:val="aa"/>
        <w:rPr>
          <w:szCs w:val="18"/>
          <w:lang w:val="ru-RU"/>
        </w:rPr>
      </w:pPr>
      <w:r w:rsidRPr="007113A4">
        <w:rPr>
          <w:szCs w:val="18"/>
          <w:lang w:val="ru-RU"/>
        </w:rPr>
        <w:tab/>
      </w:r>
      <w:r w:rsidRPr="00FC20C0">
        <w:rPr>
          <w:rStyle w:val="a6"/>
          <w:szCs w:val="18"/>
          <w:lang w:val="ru-RU"/>
        </w:rPr>
        <w:footnoteRef/>
      </w:r>
      <w:r>
        <w:rPr>
          <w:lang w:val="ru-RU"/>
        </w:rPr>
        <w:tab/>
        <w:t xml:space="preserve">См. сообщение № 2030/2011, </w:t>
      </w:r>
      <w:r w:rsidRPr="00F3699D">
        <w:rPr>
          <w:i/>
          <w:lang w:val="ru-RU"/>
        </w:rPr>
        <w:t>Поляков против Республики Беларусь</w:t>
      </w:r>
      <w:r>
        <w:rPr>
          <w:lang w:val="ru-RU"/>
        </w:rPr>
        <w:t>, Соображения, принятые 17 июля 2014 года, пункт 7.4.</w:t>
      </w:r>
    </w:p>
  </w:footnote>
  <w:footnote w:id="17">
    <w:p w:rsidR="00553302" w:rsidRPr="003700DF" w:rsidRDefault="00553302" w:rsidP="00D56646">
      <w:pPr>
        <w:pStyle w:val="aa"/>
        <w:rPr>
          <w:szCs w:val="18"/>
          <w:lang w:val="ru-RU"/>
        </w:rPr>
      </w:pPr>
      <w:r w:rsidRPr="007113A4">
        <w:rPr>
          <w:szCs w:val="18"/>
          <w:lang w:val="ru-RU"/>
        </w:rPr>
        <w:tab/>
      </w:r>
      <w:r w:rsidRPr="00FC20C0">
        <w:rPr>
          <w:rStyle w:val="a6"/>
          <w:szCs w:val="18"/>
          <w:lang w:val="ru-RU"/>
        </w:rPr>
        <w:footnoteRef/>
      </w:r>
      <w:r>
        <w:rPr>
          <w:lang w:val="ru-RU"/>
        </w:rPr>
        <w:tab/>
        <w:t xml:space="preserve">См. </w:t>
      </w:r>
      <w:r w:rsidR="005A638B">
        <w:rPr>
          <w:lang w:val="ru-RU"/>
        </w:rPr>
        <w:t>з</w:t>
      </w:r>
      <w:r>
        <w:rPr>
          <w:lang w:val="ru-RU"/>
        </w:rPr>
        <w:t xml:space="preserve">амечание общего порядка № 31, пункт 16. </w:t>
      </w:r>
    </w:p>
  </w:footnote>
  <w:footnote w:id="18">
    <w:p w:rsidR="00553302" w:rsidRPr="003700DF" w:rsidRDefault="00553302" w:rsidP="00D56646">
      <w:pPr>
        <w:pStyle w:val="aa"/>
        <w:rPr>
          <w:szCs w:val="18"/>
          <w:lang w:val="ru-RU"/>
        </w:rPr>
      </w:pPr>
      <w:r w:rsidRPr="007113A4">
        <w:rPr>
          <w:szCs w:val="18"/>
          <w:lang w:val="ru-RU"/>
        </w:rPr>
        <w:tab/>
      </w:r>
      <w:r w:rsidRPr="00FC20C0">
        <w:rPr>
          <w:rStyle w:val="a6"/>
          <w:szCs w:val="18"/>
          <w:lang w:val="ru-RU"/>
        </w:rPr>
        <w:footnoteRef/>
      </w:r>
      <w:r>
        <w:rPr>
          <w:lang w:val="ru-RU"/>
        </w:rPr>
        <w:tab/>
        <w:t>Там же, пункт</w:t>
      </w:r>
      <w:r w:rsidR="005A638B">
        <w:rPr>
          <w:lang w:val="ru-RU"/>
        </w:rPr>
        <w:t xml:space="preserve"> </w:t>
      </w:r>
      <w:r>
        <w:rPr>
          <w:lang w:val="ru-RU"/>
        </w:rPr>
        <w:t xml:space="preserve">18. </w:t>
      </w:r>
    </w:p>
  </w:footnote>
  <w:footnote w:id="19">
    <w:p w:rsidR="00553302" w:rsidRPr="003700DF" w:rsidRDefault="00553302" w:rsidP="00D56646">
      <w:pPr>
        <w:pStyle w:val="aa"/>
        <w:rPr>
          <w:szCs w:val="18"/>
          <w:lang w:val="ru-RU"/>
        </w:rPr>
      </w:pPr>
      <w:r w:rsidRPr="007113A4">
        <w:rPr>
          <w:szCs w:val="18"/>
          <w:lang w:val="ru-RU"/>
        </w:rPr>
        <w:tab/>
      </w:r>
      <w:r w:rsidRPr="00FC20C0">
        <w:rPr>
          <w:rStyle w:val="a6"/>
          <w:szCs w:val="18"/>
          <w:lang w:val="ru-RU"/>
        </w:rPr>
        <w:footnoteRef/>
      </w:r>
      <w:r>
        <w:rPr>
          <w:lang w:val="ru-RU"/>
        </w:rPr>
        <w:tab/>
        <w:t xml:space="preserve">См., например, сообщение № 1997/2010, </w:t>
      </w:r>
      <w:proofErr w:type="spellStart"/>
      <w:r w:rsidRPr="00F3699D">
        <w:rPr>
          <w:i/>
          <w:lang w:val="ru-RU"/>
        </w:rPr>
        <w:t>Ризванович</w:t>
      </w:r>
      <w:proofErr w:type="spellEnd"/>
      <w:r w:rsidRPr="00F3699D">
        <w:rPr>
          <w:i/>
          <w:lang w:val="ru-RU"/>
        </w:rPr>
        <w:t xml:space="preserve"> против Боснии и Герцеговины</w:t>
      </w:r>
      <w:r>
        <w:rPr>
          <w:lang w:val="ru-RU"/>
        </w:rPr>
        <w:t>, Соображения, принятые 21 марта 2014 года, пункты 9.6–9.7.</w:t>
      </w:r>
    </w:p>
  </w:footnote>
  <w:footnote w:id="20">
    <w:p w:rsidR="00553302" w:rsidRPr="003700DF" w:rsidRDefault="00553302" w:rsidP="00D56646">
      <w:pPr>
        <w:pStyle w:val="aa"/>
        <w:rPr>
          <w:szCs w:val="18"/>
          <w:lang w:val="ru-RU"/>
        </w:rPr>
      </w:pPr>
      <w:r w:rsidRPr="00FC20C0">
        <w:rPr>
          <w:szCs w:val="18"/>
          <w:lang w:val="ru-RU"/>
        </w:rPr>
        <w:tab/>
      </w:r>
      <w:r w:rsidRPr="00AB5D75">
        <w:rPr>
          <w:rStyle w:val="a6"/>
          <w:szCs w:val="18"/>
          <w:lang w:val="ru-RU"/>
        </w:rPr>
        <w:footnoteRef/>
      </w:r>
      <w:r>
        <w:rPr>
          <w:lang w:val="ru-RU"/>
        </w:rPr>
        <w:tab/>
      </w:r>
      <w:proofErr w:type="gramStart"/>
      <w:r>
        <w:rPr>
          <w:lang w:val="ru-RU"/>
        </w:rPr>
        <w:t>См. замечание общего порядка №</w:t>
      </w:r>
      <w:r w:rsidR="005A638B">
        <w:rPr>
          <w:lang w:val="ru-RU"/>
        </w:rPr>
        <w:t xml:space="preserve"> </w:t>
      </w:r>
      <w:r>
        <w:rPr>
          <w:lang w:val="ru-RU"/>
        </w:rPr>
        <w:t xml:space="preserve">31, пункт 17 («непризнание наличия вытекающего </w:t>
      </w:r>
      <w:r>
        <w:rPr>
          <w:lang w:val="ru-RU"/>
        </w:rPr>
        <w:br/>
        <w:t>из статьи 2 обязательства принимать меры для предупреждения повторения нарушений Пакта противоречило бы его целям.</w:t>
      </w:r>
      <w:proofErr w:type="gramEnd"/>
      <w:r>
        <w:rPr>
          <w:lang w:val="ru-RU"/>
        </w:rPr>
        <w:t xml:space="preserve"> Поэтому в своих соображениях </w:t>
      </w:r>
      <w:r>
        <w:rPr>
          <w:lang w:val="ru-RU"/>
        </w:rPr>
        <w:br/>
        <w:t xml:space="preserve">по делам, рассматриваемым в соответствии с Факультативным протоколом, Комитет нередко отмечает необходимость принятия мер, направленных... на необходимость недопущения повторения рассматриваемого нарушения. </w:t>
      </w:r>
      <w:proofErr w:type="gramStart"/>
      <w:r>
        <w:rPr>
          <w:lang w:val="ru-RU"/>
        </w:rPr>
        <w:t>Такие меры могут потребовать внесения изменений в законы и практику государства-участника».)</w:t>
      </w:r>
      <w:proofErr w:type="gramEnd"/>
    </w:p>
  </w:footnote>
  <w:footnote w:id="21">
    <w:p w:rsidR="00553302" w:rsidRPr="003700DF" w:rsidRDefault="00553302" w:rsidP="00D56646">
      <w:pPr>
        <w:pStyle w:val="aa"/>
        <w:rPr>
          <w:szCs w:val="18"/>
          <w:lang w:val="ru-RU"/>
        </w:rPr>
      </w:pPr>
      <w:r w:rsidRPr="007113A4">
        <w:rPr>
          <w:szCs w:val="18"/>
          <w:lang w:val="ru-RU"/>
        </w:rPr>
        <w:tab/>
      </w:r>
      <w:r w:rsidRPr="00FC20C0">
        <w:rPr>
          <w:rStyle w:val="a6"/>
          <w:szCs w:val="18"/>
          <w:lang w:val="ru-RU"/>
        </w:rPr>
        <w:footnoteRef/>
      </w:r>
      <w:r>
        <w:rPr>
          <w:lang w:val="ru-RU"/>
        </w:rPr>
        <w:tab/>
        <w:t>См. замечание общего порядка № 31, пункт 14.</w:t>
      </w:r>
    </w:p>
  </w:footnote>
  <w:footnote w:id="22">
    <w:p w:rsidR="00553302" w:rsidRPr="003700DF" w:rsidRDefault="00553302" w:rsidP="00C23CAB">
      <w:pPr>
        <w:pStyle w:val="aa"/>
        <w:rPr>
          <w:szCs w:val="18"/>
          <w:lang w:val="ru-RU"/>
        </w:rPr>
      </w:pPr>
      <w:r w:rsidRPr="007113A4">
        <w:rPr>
          <w:szCs w:val="18"/>
          <w:lang w:val="ru-RU"/>
        </w:rPr>
        <w:tab/>
      </w:r>
      <w:r w:rsidRPr="00FC20C0">
        <w:rPr>
          <w:rStyle w:val="a6"/>
          <w:szCs w:val="18"/>
          <w:lang w:val="ru-RU"/>
        </w:rPr>
        <w:footnoteRef/>
      </w:r>
      <w:r>
        <w:rPr>
          <w:lang w:val="ru-RU"/>
        </w:rPr>
        <w:tab/>
        <w:t xml:space="preserve">См. сообщение № 2179/2012, </w:t>
      </w:r>
      <w:r w:rsidRPr="000377E5">
        <w:rPr>
          <w:i/>
          <w:lang w:val="ru-RU"/>
        </w:rPr>
        <w:t>Ким против Республики Корея</w:t>
      </w:r>
      <w:r>
        <w:rPr>
          <w:lang w:val="ru-RU"/>
        </w:rPr>
        <w:t xml:space="preserve">, Соображения, принятые 15 октября 2014 года, пункт 9 (устанавливающее наличие нарушений в отношении </w:t>
      </w:r>
      <w:r>
        <w:rPr>
          <w:lang w:val="ru-RU"/>
        </w:rPr>
        <w:br/>
        <w:t>50 свидетелей Иеговы, приговоренных к тюремному заключению за отказ от прохождения военной службы).</w:t>
      </w:r>
    </w:p>
  </w:footnote>
  <w:footnote w:id="23">
    <w:p w:rsidR="00553302" w:rsidRPr="003700DF" w:rsidRDefault="00553302" w:rsidP="00D56646">
      <w:pPr>
        <w:pStyle w:val="aa"/>
        <w:rPr>
          <w:szCs w:val="18"/>
          <w:lang w:val="ru-RU"/>
        </w:rPr>
      </w:pPr>
      <w:r w:rsidRPr="007113A4">
        <w:rPr>
          <w:szCs w:val="18"/>
          <w:lang w:val="ru-RU"/>
        </w:rPr>
        <w:tab/>
      </w:r>
      <w:r w:rsidRPr="00FC20C0">
        <w:rPr>
          <w:rStyle w:val="a6"/>
          <w:szCs w:val="18"/>
          <w:lang w:val="ru-RU"/>
        </w:rPr>
        <w:footnoteRef/>
      </w:r>
      <w:r>
        <w:rPr>
          <w:lang w:val="ru-RU"/>
        </w:rPr>
        <w:tab/>
        <w:t xml:space="preserve">См. сообщение № 1406/2005, </w:t>
      </w:r>
      <w:proofErr w:type="spellStart"/>
      <w:r w:rsidRPr="000377E5">
        <w:rPr>
          <w:i/>
          <w:lang w:val="ru-RU"/>
        </w:rPr>
        <w:t>Вираванса</w:t>
      </w:r>
      <w:proofErr w:type="spellEnd"/>
      <w:r w:rsidRPr="000377E5">
        <w:rPr>
          <w:i/>
          <w:lang w:val="ru-RU"/>
        </w:rPr>
        <w:t xml:space="preserve"> против Шри-Ланки</w:t>
      </w:r>
      <w:r>
        <w:rPr>
          <w:lang w:val="ru-RU"/>
        </w:rPr>
        <w:t xml:space="preserve">, Соображения, принятые 17 марта 2009 года (устанавливающее, что закрепленное законом обязательное наказание в виде смертной казни представляет собой нарушение статьи 6). </w:t>
      </w:r>
    </w:p>
  </w:footnote>
  <w:footnote w:id="24">
    <w:p w:rsidR="00553302" w:rsidRPr="007113A4" w:rsidRDefault="00553302" w:rsidP="00D56646">
      <w:pPr>
        <w:pStyle w:val="aa"/>
        <w:rPr>
          <w:szCs w:val="18"/>
        </w:rPr>
      </w:pPr>
      <w:r w:rsidRPr="007113A4">
        <w:rPr>
          <w:szCs w:val="18"/>
          <w:lang w:val="ru-RU"/>
        </w:rPr>
        <w:tab/>
      </w:r>
      <w:r w:rsidRPr="00FC20C0">
        <w:rPr>
          <w:rStyle w:val="a6"/>
          <w:szCs w:val="18"/>
          <w:lang w:val="ru-RU"/>
        </w:rPr>
        <w:footnoteRef/>
      </w:r>
      <w:r>
        <w:rPr>
          <w:lang w:val="ru-RU"/>
        </w:rPr>
        <w:tab/>
        <w:t>В этой связи установление наличия нарушения в увязке с пунктом 2 статьи 2 может также сочетаться с конкретной рекомендацией Комитета, содержащейся в заключительном пункте, о том, что Соображения должны быть доведены до сведения соответствующих законодательных органов власти. Комитет по ликвидации дискриминации в отношении женщин признает важную роль законодательных органов в предотвращении и устранении систематических нарушений прав человека.</w:t>
      </w:r>
      <w:r>
        <w:rPr>
          <w:lang w:val="ru-RU"/>
        </w:rPr>
        <w:br/>
      </w:r>
      <w:proofErr w:type="gramStart"/>
      <w:r>
        <w:rPr>
          <w:lang w:val="ru-RU"/>
        </w:rPr>
        <w:t>См</w:t>
      </w:r>
      <w:r w:rsidRPr="003700DF">
        <w:t xml:space="preserve">. </w:t>
      </w:r>
      <w:r w:rsidRPr="000377E5">
        <w:rPr>
          <w:lang w:val="en-US"/>
        </w:rPr>
        <w:t>«</w:t>
      </w:r>
      <w:r w:rsidRPr="003700DF">
        <w:t>National parliaments and the Convention on the Elimination of All Forms of Discrimination against Women</w:t>
      </w:r>
      <w:r w:rsidRPr="000377E5">
        <w:rPr>
          <w:lang w:val="en-US"/>
        </w:rPr>
        <w:t>»</w:t>
      </w:r>
      <w:r w:rsidRPr="003700DF">
        <w:t xml:space="preserve">, statement on the relationship of the Committee with parliamentarians, </w:t>
      </w:r>
      <w:r>
        <w:rPr>
          <w:lang w:val="ru-RU"/>
        </w:rPr>
        <w:t>размещенном</w:t>
      </w:r>
      <w:r w:rsidRPr="003700DF">
        <w:t xml:space="preserve"> </w:t>
      </w:r>
      <w:r>
        <w:rPr>
          <w:lang w:val="ru-RU"/>
        </w:rPr>
        <w:t>по</w:t>
      </w:r>
      <w:r w:rsidRPr="003700DF">
        <w:t xml:space="preserve"> </w:t>
      </w:r>
      <w:r>
        <w:rPr>
          <w:lang w:val="ru-RU"/>
        </w:rPr>
        <w:t>адресу</w:t>
      </w:r>
      <w:r w:rsidRPr="003700DF">
        <w:t xml:space="preserve"> </w:t>
      </w:r>
      <w:hyperlink r:id="rId1" w:history="1">
        <w:r w:rsidRPr="000377E5">
          <w:rPr>
            <w:rStyle w:val="af"/>
            <w:color w:val="auto"/>
            <w:u w:val="none"/>
          </w:rPr>
          <w:t>http://www.ohchr.org/Documents/HRBodies/ CEDAW/Statements/Parliamentarians.pdf</w:t>
        </w:r>
      </w:hyperlink>
      <w:r w:rsidRPr="003700DF">
        <w:t>.</w:t>
      </w:r>
      <w:proofErr w:type="gramEnd"/>
    </w:p>
  </w:footnote>
  <w:footnote w:id="25">
    <w:p w:rsidR="00553302" w:rsidRPr="003700DF" w:rsidRDefault="00553302" w:rsidP="00D56646">
      <w:pPr>
        <w:pStyle w:val="aa"/>
        <w:rPr>
          <w:szCs w:val="18"/>
          <w:lang w:val="ru-RU"/>
        </w:rPr>
      </w:pPr>
      <w:r w:rsidRPr="003700DF">
        <w:rPr>
          <w:szCs w:val="18"/>
        </w:rPr>
        <w:tab/>
      </w:r>
      <w:r w:rsidRPr="007113A4">
        <w:rPr>
          <w:rStyle w:val="a6"/>
          <w:szCs w:val="18"/>
          <w:lang w:val="ru-RU"/>
        </w:rPr>
        <w:footnoteRef/>
      </w:r>
      <w:r>
        <w:rPr>
          <w:lang w:val="ru-RU"/>
        </w:rPr>
        <w:tab/>
      </w:r>
      <w:proofErr w:type="gramStart"/>
      <w:r>
        <w:rPr>
          <w:lang w:val="ru-RU"/>
        </w:rPr>
        <w:t>См.</w:t>
      </w:r>
      <w:r w:rsidR="005A638B">
        <w:rPr>
          <w:lang w:val="ru-RU"/>
        </w:rPr>
        <w:t>,</w:t>
      </w:r>
      <w:r>
        <w:rPr>
          <w:lang w:val="ru-RU"/>
        </w:rPr>
        <w:t xml:space="preserve"> например, Европейский суд по правам человека, жалоба №</w:t>
      </w:r>
      <w:r w:rsidR="005A638B">
        <w:rPr>
          <w:lang w:val="ru-RU"/>
        </w:rPr>
        <w:t xml:space="preserve"> </w:t>
      </w:r>
      <w:r>
        <w:rPr>
          <w:lang w:val="ru-RU"/>
        </w:rPr>
        <w:t xml:space="preserve">31443/96, </w:t>
      </w:r>
      <w:proofErr w:type="spellStart"/>
      <w:r w:rsidRPr="000377E5">
        <w:rPr>
          <w:i/>
          <w:lang w:val="ru-RU"/>
        </w:rPr>
        <w:t>Брониовский</w:t>
      </w:r>
      <w:proofErr w:type="spellEnd"/>
      <w:r w:rsidRPr="000377E5">
        <w:rPr>
          <w:i/>
          <w:lang w:val="ru-RU"/>
        </w:rPr>
        <w:t xml:space="preserve"> против Польши</w:t>
      </w:r>
      <w:r>
        <w:rPr>
          <w:lang w:val="ru-RU"/>
        </w:rPr>
        <w:t xml:space="preserve">, постановление от 22 июня 2004 года, пункты 3–4 (устанавливающее нарушение, «причиной которого является системная проблема, связанная со сбоями при применении внутреннего законодательства» и констатирующее, что «государство-ответчик должно, посредством принятия надлежащих правовых мер и административной практики, обеспечить осуществление права собственности, </w:t>
      </w:r>
      <w:r>
        <w:rPr>
          <w:lang w:val="ru-RU"/>
        </w:rPr>
        <w:br/>
        <w:t>о котором идет речь»);</w:t>
      </w:r>
      <w:proofErr w:type="gramEnd"/>
      <w:r>
        <w:rPr>
          <w:lang w:val="ru-RU"/>
        </w:rPr>
        <w:t xml:space="preserve"> пункт 3 правила 61 Регламента Европейского суда по правам человека (2015 год) (суд в пилотном постановлении должен определить как характер установленной им структурной или системной проблемы...  так и вид мер по разрешению указанной проблемы, которые заинтересованная Договаривающаяся Сторона должна принять»). </w:t>
      </w:r>
    </w:p>
  </w:footnote>
  <w:footnote w:id="26">
    <w:p w:rsidR="00553302" w:rsidRPr="00AB5D75" w:rsidRDefault="00553302" w:rsidP="00D56646">
      <w:pPr>
        <w:pStyle w:val="aa"/>
        <w:rPr>
          <w:szCs w:val="18"/>
        </w:rPr>
      </w:pPr>
      <w:r w:rsidRPr="00AB5D75">
        <w:rPr>
          <w:szCs w:val="18"/>
          <w:lang w:val="ru-RU"/>
        </w:rPr>
        <w:tab/>
      </w:r>
      <w:r w:rsidRPr="007113A4">
        <w:rPr>
          <w:rStyle w:val="a6"/>
          <w:szCs w:val="18"/>
          <w:lang w:val="ru-RU"/>
        </w:rPr>
        <w:footnoteRef/>
      </w:r>
      <w:r w:rsidRPr="003700DF">
        <w:tab/>
        <w:t xml:space="preserve">Inter-American Court of Human Rights, </w:t>
      </w:r>
      <w:r w:rsidRPr="001A65D5">
        <w:rPr>
          <w:i/>
        </w:rPr>
        <w:t xml:space="preserve">Case of the Massacres of El </w:t>
      </w:r>
      <w:proofErr w:type="spellStart"/>
      <w:r w:rsidRPr="001A65D5">
        <w:rPr>
          <w:i/>
        </w:rPr>
        <w:t>Mozote</w:t>
      </w:r>
      <w:proofErr w:type="spellEnd"/>
      <w:r w:rsidRPr="001A65D5">
        <w:rPr>
          <w:i/>
        </w:rPr>
        <w:t xml:space="preserve"> and Nearby Places v. El Salvador</w:t>
      </w:r>
      <w:r w:rsidRPr="003700DF">
        <w:t xml:space="preserve">, judgement of 25 October 2012, para. 403 (8) (“The State has failed to comply with the obligation to adapt its domestic law to the American Convention on Human Rights, contained in Article 2, in relation to Articles 8 (1).... </w:t>
      </w:r>
      <w:proofErr w:type="gramStart"/>
      <w:r w:rsidRPr="003700DF">
        <w:t xml:space="preserve">”); </w:t>
      </w:r>
      <w:r w:rsidRPr="00BE551E">
        <w:rPr>
          <w:i/>
        </w:rPr>
        <w:t xml:space="preserve">Case of </w:t>
      </w:r>
      <w:r w:rsidRPr="001A65D5">
        <w:rPr>
          <w:i/>
        </w:rPr>
        <w:t>“The Last Temptation of Christ”</w:t>
      </w:r>
      <w:r w:rsidRPr="00B57597">
        <w:rPr>
          <w:i/>
        </w:rPr>
        <w:t xml:space="preserve"> (</w:t>
      </w:r>
      <w:proofErr w:type="spellStart"/>
      <w:r w:rsidRPr="00B57597">
        <w:rPr>
          <w:i/>
        </w:rPr>
        <w:t>Olmedo</w:t>
      </w:r>
      <w:proofErr w:type="spellEnd"/>
      <w:r w:rsidRPr="00B57597">
        <w:rPr>
          <w:i/>
        </w:rPr>
        <w:t>-Bustos et al.) v. Chile</w:t>
      </w:r>
      <w:r w:rsidRPr="003700DF">
        <w:t xml:space="preserve">, judgement of 5 February 2001, </w:t>
      </w:r>
      <w:r w:rsidRPr="00B57597">
        <w:rPr>
          <w:lang w:val="en-US"/>
        </w:rPr>
        <w:br/>
      </w:r>
      <w:r w:rsidRPr="003700DF">
        <w:t>para.</w:t>
      </w:r>
      <w:proofErr w:type="gramEnd"/>
      <w:r w:rsidRPr="003700DF">
        <w:t xml:space="preserve"> 98 (“[T]</w:t>
      </w:r>
      <w:proofErr w:type="gramStart"/>
      <w:r w:rsidRPr="003700DF">
        <w:t>he</w:t>
      </w:r>
      <w:proofErr w:type="gramEnd"/>
      <w:r w:rsidRPr="003700DF">
        <w:t xml:space="preserve"> norms of Chilean domestic legislation… have still not been adapted to the provision of the American Convention… Consequently, Chile must adopt the appropriate measures to reform its domestic laws”.) </w:t>
      </w:r>
      <w:proofErr w:type="gramStart"/>
      <w:r w:rsidRPr="003700DF">
        <w:t>and</w:t>
      </w:r>
      <w:proofErr w:type="gramEnd"/>
      <w:r w:rsidRPr="003700DF">
        <w:t xml:space="preserve"> para. </w:t>
      </w:r>
      <w:proofErr w:type="gramStart"/>
      <w:r w:rsidRPr="003700DF">
        <w:t xml:space="preserve">103 (4); </w:t>
      </w:r>
      <w:r w:rsidRPr="00B57597">
        <w:rPr>
          <w:i/>
        </w:rPr>
        <w:t>Case of Suárez-</w:t>
      </w:r>
      <w:proofErr w:type="spellStart"/>
      <w:r w:rsidRPr="00B57597">
        <w:rPr>
          <w:i/>
        </w:rPr>
        <w:t>Rosero</w:t>
      </w:r>
      <w:proofErr w:type="spellEnd"/>
      <w:r w:rsidRPr="00B57597">
        <w:rPr>
          <w:i/>
        </w:rPr>
        <w:t xml:space="preserve"> v. Ecuador</w:t>
      </w:r>
      <w:r w:rsidRPr="003700DF">
        <w:t>, judgement of 12 November 1997, paras.</w:t>
      </w:r>
      <w:proofErr w:type="gramEnd"/>
      <w:r w:rsidRPr="003700DF">
        <w:t xml:space="preserve"> 90 and 110 (5) (finding a violation </w:t>
      </w:r>
      <w:r w:rsidRPr="00B57597">
        <w:rPr>
          <w:lang w:val="en-US"/>
        </w:rPr>
        <w:br/>
      </w:r>
      <w:r w:rsidRPr="003700DF">
        <w:t>of article 2 in relation to article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02" w:rsidRPr="005F0588" w:rsidRDefault="00553302">
    <w:pPr>
      <w:pStyle w:val="a3"/>
      <w:rPr>
        <w:lang w:val="en-US"/>
      </w:rPr>
    </w:pPr>
    <w:r>
      <w:rPr>
        <w:lang w:val="en-US"/>
      </w:rPr>
      <w:t>CCPR/</w:t>
    </w:r>
    <w:r w:rsidRPr="007C3490">
      <w:rPr>
        <w:lang w:val="en-US"/>
      </w:rPr>
      <w:t>C/115/D/2016/2010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02" w:rsidRPr="005F0588" w:rsidRDefault="00553302">
    <w:pPr>
      <w:pStyle w:val="a3"/>
      <w:rPr>
        <w:lang w:val="en-US"/>
      </w:rPr>
    </w:pPr>
    <w:r>
      <w:rPr>
        <w:lang w:val="en-US"/>
      </w:rPr>
      <w:tab/>
      <w:t>CCPR/</w:t>
    </w:r>
    <w:r w:rsidRPr="007C3490">
      <w:rPr>
        <w:lang w:val="en-US"/>
      </w:rPr>
      <w:t>C/115/D/2016/2010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02" w:rsidRPr="005F0588" w:rsidRDefault="00553302">
    <w:pPr>
      <w:pStyle w:val="a3"/>
      <w:rPr>
        <w:lang w:val="en-US"/>
      </w:rPr>
    </w:pPr>
    <w:r>
      <w:rPr>
        <w:lang w:val="en-US"/>
      </w:rPr>
      <w:t>CCPR/</w:t>
    </w:r>
    <w:r w:rsidRPr="007C3490">
      <w:rPr>
        <w:lang w:val="en-US"/>
      </w:rPr>
      <w:t>C/115/D/2016/2010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02" w:rsidRPr="005F0588" w:rsidRDefault="00553302">
    <w:pPr>
      <w:pStyle w:val="a3"/>
      <w:rPr>
        <w:lang w:val="en-US"/>
      </w:rPr>
    </w:pPr>
    <w:r>
      <w:rPr>
        <w:lang w:val="en-US"/>
      </w:rPr>
      <w:tab/>
      <w:t>CCPR/</w:t>
    </w:r>
    <w:r w:rsidRPr="007C3490">
      <w:rPr>
        <w:lang w:val="en-US"/>
      </w:rPr>
      <w:t>C/115/D/2016/2010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12E2566"/>
    <w:multiLevelType w:val="hybridMultilevel"/>
    <w:tmpl w:val="07522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90"/>
    <w:rsid w:val="00035F2D"/>
    <w:rsid w:val="000377E5"/>
    <w:rsid w:val="000450D1"/>
    <w:rsid w:val="000B0BCF"/>
    <w:rsid w:val="000F2A4F"/>
    <w:rsid w:val="000F7EC5"/>
    <w:rsid w:val="001869F3"/>
    <w:rsid w:val="00197669"/>
    <w:rsid w:val="001A65D5"/>
    <w:rsid w:val="001C221E"/>
    <w:rsid w:val="00203F84"/>
    <w:rsid w:val="002343D0"/>
    <w:rsid w:val="00245476"/>
    <w:rsid w:val="00275188"/>
    <w:rsid w:val="0028687D"/>
    <w:rsid w:val="002B091C"/>
    <w:rsid w:val="002D0CCB"/>
    <w:rsid w:val="003143D3"/>
    <w:rsid w:val="00345C79"/>
    <w:rsid w:val="00366A39"/>
    <w:rsid w:val="003B2881"/>
    <w:rsid w:val="003E2A2A"/>
    <w:rsid w:val="00471903"/>
    <w:rsid w:val="0048005C"/>
    <w:rsid w:val="004E242B"/>
    <w:rsid w:val="00544379"/>
    <w:rsid w:val="00553302"/>
    <w:rsid w:val="00566944"/>
    <w:rsid w:val="005734D0"/>
    <w:rsid w:val="00591E65"/>
    <w:rsid w:val="005A50E9"/>
    <w:rsid w:val="005A638B"/>
    <w:rsid w:val="005C5850"/>
    <w:rsid w:val="005D56BF"/>
    <w:rsid w:val="006350AC"/>
    <w:rsid w:val="00642C45"/>
    <w:rsid w:val="00665D8D"/>
    <w:rsid w:val="006A7A3B"/>
    <w:rsid w:val="006B6B57"/>
    <w:rsid w:val="00705394"/>
    <w:rsid w:val="007401CA"/>
    <w:rsid w:val="00743F62"/>
    <w:rsid w:val="00760D3A"/>
    <w:rsid w:val="007A1F42"/>
    <w:rsid w:val="007A2D6B"/>
    <w:rsid w:val="007C3490"/>
    <w:rsid w:val="007D76DD"/>
    <w:rsid w:val="007E02FE"/>
    <w:rsid w:val="00806A56"/>
    <w:rsid w:val="008273BC"/>
    <w:rsid w:val="008717E8"/>
    <w:rsid w:val="0087597F"/>
    <w:rsid w:val="008D01AE"/>
    <w:rsid w:val="008E0423"/>
    <w:rsid w:val="009141DC"/>
    <w:rsid w:val="009174A1"/>
    <w:rsid w:val="00930B10"/>
    <w:rsid w:val="00933549"/>
    <w:rsid w:val="009428FC"/>
    <w:rsid w:val="00962472"/>
    <w:rsid w:val="0098674D"/>
    <w:rsid w:val="00997ACA"/>
    <w:rsid w:val="009A71BF"/>
    <w:rsid w:val="009D1B49"/>
    <w:rsid w:val="00A03FB7"/>
    <w:rsid w:val="00A64F8A"/>
    <w:rsid w:val="00A75A11"/>
    <w:rsid w:val="00AD7EAD"/>
    <w:rsid w:val="00B2409D"/>
    <w:rsid w:val="00B35A32"/>
    <w:rsid w:val="00B432C6"/>
    <w:rsid w:val="00B471C5"/>
    <w:rsid w:val="00B57597"/>
    <w:rsid w:val="00B6474A"/>
    <w:rsid w:val="00B660CA"/>
    <w:rsid w:val="00BE1742"/>
    <w:rsid w:val="00BE551E"/>
    <w:rsid w:val="00C23CAB"/>
    <w:rsid w:val="00C8694A"/>
    <w:rsid w:val="00CA400A"/>
    <w:rsid w:val="00CB4271"/>
    <w:rsid w:val="00CD5239"/>
    <w:rsid w:val="00D1261C"/>
    <w:rsid w:val="00D56646"/>
    <w:rsid w:val="00D72FA7"/>
    <w:rsid w:val="00D75AF9"/>
    <w:rsid w:val="00D75DCE"/>
    <w:rsid w:val="00D97FA8"/>
    <w:rsid w:val="00DA41C4"/>
    <w:rsid w:val="00DA45A8"/>
    <w:rsid w:val="00DD35AC"/>
    <w:rsid w:val="00DD479F"/>
    <w:rsid w:val="00DD7D77"/>
    <w:rsid w:val="00DE77F3"/>
    <w:rsid w:val="00E15E48"/>
    <w:rsid w:val="00E30DF5"/>
    <w:rsid w:val="00EB0723"/>
    <w:rsid w:val="00EC053B"/>
    <w:rsid w:val="00EE6F37"/>
    <w:rsid w:val="00F1599F"/>
    <w:rsid w:val="00F31EF2"/>
    <w:rsid w:val="00F3699D"/>
    <w:rsid w:val="00F45759"/>
    <w:rsid w:val="00F579C6"/>
    <w:rsid w:val="00FA5D0A"/>
    <w:rsid w:val="00FC7CF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paragraph" w:styleId="7">
    <w:name w:val="heading 7"/>
    <w:basedOn w:val="a"/>
    <w:next w:val="a"/>
    <w:link w:val="70"/>
    <w:uiPriority w:val="9"/>
    <w:semiHidden/>
    <w:unhideWhenUsed/>
    <w:qFormat/>
    <w:rsid w:val="007A2D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7A2D6B"/>
    <w:rPr>
      <w:rFonts w:asciiTheme="majorHAnsi" w:eastAsiaTheme="majorEastAsia" w:hAnsiTheme="majorHAnsi" w:cstheme="majorBidi"/>
      <w:i/>
      <w:iCs/>
      <w:color w:val="404040" w:themeColor="text1" w:themeTint="BF"/>
      <w:spacing w:val="4"/>
      <w:w w:val="103"/>
      <w:kern w:val="14"/>
      <w:sz w:val="20"/>
      <w:szCs w:val="20"/>
    </w:rPr>
  </w:style>
  <w:style w:type="paragraph" w:customStyle="1" w:styleId="Bullet1G">
    <w:name w:val="_Bullet 1_G"/>
    <w:basedOn w:val="a"/>
    <w:uiPriority w:val="99"/>
    <w:rsid w:val="007A2D6B"/>
    <w:pPr>
      <w:numPr>
        <w:numId w:val="5"/>
      </w:numPr>
      <w:suppressAutoHyphens/>
      <w:spacing w:after="120"/>
      <w:ind w:right="1134"/>
      <w:jc w:val="both"/>
    </w:pPr>
    <w:rPr>
      <w:spacing w:val="0"/>
      <w:w w:val="100"/>
      <w:kern w:val="0"/>
      <w:lang w:val="en-GB"/>
    </w:rPr>
  </w:style>
  <w:style w:type="character" w:styleId="af">
    <w:name w:val="Hyperlink"/>
    <w:basedOn w:val="a0"/>
    <w:uiPriority w:val="99"/>
    <w:unhideWhenUsed/>
    <w:rsid w:val="000377E5"/>
    <w:rPr>
      <w:color w:val="0000FF" w:themeColor="hyperlink"/>
      <w:u w:val="single"/>
    </w:rPr>
  </w:style>
  <w:style w:type="paragraph" w:styleId="af0">
    <w:name w:val="Balloon Text"/>
    <w:basedOn w:val="a"/>
    <w:link w:val="af1"/>
    <w:uiPriority w:val="99"/>
    <w:semiHidden/>
    <w:unhideWhenUsed/>
    <w:rsid w:val="00CD5239"/>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D5239"/>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paragraph" w:styleId="7">
    <w:name w:val="heading 7"/>
    <w:basedOn w:val="a"/>
    <w:next w:val="a"/>
    <w:link w:val="70"/>
    <w:uiPriority w:val="9"/>
    <w:semiHidden/>
    <w:unhideWhenUsed/>
    <w:qFormat/>
    <w:rsid w:val="007A2D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7A2D6B"/>
    <w:rPr>
      <w:rFonts w:asciiTheme="majorHAnsi" w:eastAsiaTheme="majorEastAsia" w:hAnsiTheme="majorHAnsi" w:cstheme="majorBidi"/>
      <w:i/>
      <w:iCs/>
      <w:color w:val="404040" w:themeColor="text1" w:themeTint="BF"/>
      <w:spacing w:val="4"/>
      <w:w w:val="103"/>
      <w:kern w:val="14"/>
      <w:sz w:val="20"/>
      <w:szCs w:val="20"/>
    </w:rPr>
  </w:style>
  <w:style w:type="paragraph" w:customStyle="1" w:styleId="Bullet1G">
    <w:name w:val="_Bullet 1_G"/>
    <w:basedOn w:val="a"/>
    <w:uiPriority w:val="99"/>
    <w:rsid w:val="007A2D6B"/>
    <w:pPr>
      <w:numPr>
        <w:numId w:val="5"/>
      </w:numPr>
      <w:suppressAutoHyphens/>
      <w:spacing w:after="120"/>
      <w:ind w:right="1134"/>
      <w:jc w:val="both"/>
    </w:pPr>
    <w:rPr>
      <w:spacing w:val="0"/>
      <w:w w:val="100"/>
      <w:kern w:val="0"/>
      <w:lang w:val="en-GB"/>
    </w:rPr>
  </w:style>
  <w:style w:type="character" w:styleId="af">
    <w:name w:val="Hyperlink"/>
    <w:basedOn w:val="a0"/>
    <w:uiPriority w:val="99"/>
    <w:unhideWhenUsed/>
    <w:rsid w:val="000377E5"/>
    <w:rPr>
      <w:color w:val="0000FF" w:themeColor="hyperlink"/>
      <w:u w:val="single"/>
    </w:rPr>
  </w:style>
  <w:style w:type="paragraph" w:styleId="af0">
    <w:name w:val="Balloon Text"/>
    <w:basedOn w:val="a"/>
    <w:link w:val="af1"/>
    <w:uiPriority w:val="99"/>
    <w:semiHidden/>
    <w:unhideWhenUsed/>
    <w:rsid w:val="00CD5239"/>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D5239"/>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HRBodies/%20CEDAW/Statements/Parliamentaria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ED6CE-757D-4D0E-8481-ACD58E75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6187</Words>
  <Characters>35271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41376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Chouvalova Natalia</dc:creator>
  <cp:lastModifiedBy>TPSRUS1</cp:lastModifiedBy>
  <cp:revision>2</cp:revision>
  <dcterms:created xsi:type="dcterms:W3CDTF">2016-05-18T08:30:00Z</dcterms:created>
  <dcterms:modified xsi:type="dcterms:W3CDTF">2016-05-18T08:30:00Z</dcterms:modified>
</cp:coreProperties>
</file>