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C6BBF" w:rsidTr="00392A08">
        <w:trPr>
          <w:trHeight w:hRule="exact" w:val="851"/>
        </w:trPr>
        <w:tc>
          <w:tcPr>
            <w:tcW w:w="1276" w:type="dxa"/>
            <w:tcBorders>
              <w:bottom w:val="single" w:sz="4" w:space="0" w:color="auto"/>
            </w:tcBorders>
          </w:tcPr>
          <w:p w:rsidR="00247E12" w:rsidRPr="00247E12" w:rsidRDefault="00247E12" w:rsidP="00247E12">
            <w:pPr>
              <w:spacing w:line="20" w:lineRule="exact"/>
              <w:rPr>
                <w:sz w:val="2"/>
              </w:rPr>
            </w:pPr>
            <w:r>
              <w:rPr>
                <w:rStyle w:val="CommentReference"/>
              </w:rPr>
              <w:commentReference w:id="0"/>
            </w:r>
          </w:p>
          <w:p w:rsidR="006F71EA" w:rsidRPr="00DA244A" w:rsidRDefault="00CA4C9C" w:rsidP="00DA244A">
            <w:pPr>
              <w:spacing w:line="20" w:lineRule="exact"/>
              <w:rPr>
                <w:sz w:val="2"/>
              </w:rPr>
            </w:pPr>
            <w:r>
              <w:rPr>
                <w:sz w:val="2"/>
              </w:rPr>
              <w:t xml:space="preserve"> </w:t>
            </w:r>
          </w:p>
          <w:p w:rsidR="00DA244A" w:rsidRPr="00DB58B5" w:rsidRDefault="00DA244A" w:rsidP="00D82B2D"/>
        </w:tc>
        <w:tc>
          <w:tcPr>
            <w:tcW w:w="2268" w:type="dxa"/>
            <w:tcBorders>
              <w:bottom w:val="single" w:sz="4" w:space="0" w:color="auto"/>
            </w:tcBorders>
            <w:vAlign w:val="bottom"/>
          </w:tcPr>
          <w:p w:rsidR="006F71EA" w:rsidRPr="00DB58B5" w:rsidRDefault="006F71EA" w:rsidP="00D82B2D">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6F71EA" w:rsidRPr="000F3E57" w:rsidRDefault="00DC75C5" w:rsidP="00DB3954">
            <w:pPr>
              <w:jc w:val="right"/>
              <w:rPr>
                <w:lang w:val="en-GB"/>
              </w:rPr>
            </w:pPr>
            <w:r w:rsidRPr="000F3E57">
              <w:rPr>
                <w:sz w:val="40"/>
                <w:lang w:val="en-GB"/>
              </w:rPr>
              <w:t>CCPR</w:t>
            </w:r>
            <w:r w:rsidR="00D07AFA" w:rsidRPr="000F3E57">
              <w:rPr>
                <w:lang w:val="en-GB"/>
              </w:rPr>
              <w:t>/C</w:t>
            </w:r>
            <w:r w:rsidR="008A1C3B" w:rsidRPr="000F3E57">
              <w:rPr>
                <w:lang w:val="en-GB"/>
              </w:rPr>
              <w:t>/115</w:t>
            </w:r>
            <w:r w:rsidRPr="000F3E57">
              <w:rPr>
                <w:lang w:val="en-GB"/>
              </w:rPr>
              <w:t>/D/2</w:t>
            </w:r>
            <w:r w:rsidR="00EA2A9A" w:rsidRPr="000F3E57">
              <w:rPr>
                <w:lang w:val="en-GB"/>
              </w:rPr>
              <w:t>284</w:t>
            </w:r>
            <w:r w:rsidRPr="000F3E57">
              <w:rPr>
                <w:lang w:val="en-GB"/>
              </w:rPr>
              <w:t>/201</w:t>
            </w:r>
            <w:r w:rsidR="00EA2A9A" w:rsidRPr="000F3E57">
              <w:rPr>
                <w:lang w:val="en-GB"/>
              </w:rPr>
              <w:t>3</w:t>
            </w:r>
            <w:r w:rsidR="00DC6BBF" w:rsidRPr="000F3E57">
              <w:rPr>
                <w:lang w:val="en-GB"/>
              </w:rPr>
              <w:t xml:space="preserve"> </w:t>
            </w:r>
          </w:p>
        </w:tc>
      </w:tr>
      <w:tr w:rsidR="006F71EA" w:rsidRPr="00DB58B5" w:rsidTr="00392A08">
        <w:trPr>
          <w:trHeight w:hRule="exact" w:val="2835"/>
        </w:trPr>
        <w:tc>
          <w:tcPr>
            <w:tcW w:w="1276" w:type="dxa"/>
            <w:tcBorders>
              <w:top w:val="single" w:sz="4" w:space="0" w:color="auto"/>
              <w:bottom w:val="single" w:sz="12" w:space="0" w:color="auto"/>
            </w:tcBorders>
          </w:tcPr>
          <w:p w:rsidR="006F71EA" w:rsidRPr="00DB58B5" w:rsidRDefault="008F6FE2" w:rsidP="00D82B2D">
            <w:pPr>
              <w:spacing w:before="120"/>
              <w:jc w:val="center"/>
            </w:pPr>
            <w:r>
              <w:rPr>
                <w:noProof/>
                <w:lang w:val="en-US"/>
              </w:rPr>
              <w:drawing>
                <wp:inline distT="0" distB="0" distL="0" distR="0" wp14:anchorId="70DFDDC4" wp14:editId="574B99CB">
                  <wp:extent cx="711200" cy="590550"/>
                  <wp:effectExtent l="0" t="0" r="0"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1200"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6F71EA" w:rsidRDefault="006F71EA" w:rsidP="00D82B2D">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p w:rsidR="00DB3954" w:rsidRPr="00AB51C8" w:rsidRDefault="00DB3954" w:rsidP="00D82B2D">
            <w:pPr>
              <w:spacing w:before="120" w:line="380" w:lineRule="exact"/>
              <w:rPr>
                <w:b/>
                <w:sz w:val="34"/>
                <w:szCs w:val="34"/>
              </w:rPr>
            </w:pPr>
          </w:p>
        </w:tc>
        <w:tc>
          <w:tcPr>
            <w:tcW w:w="2835" w:type="dxa"/>
            <w:tcBorders>
              <w:top w:val="single" w:sz="4" w:space="0" w:color="auto"/>
              <w:bottom w:val="single" w:sz="12" w:space="0" w:color="auto"/>
            </w:tcBorders>
          </w:tcPr>
          <w:p w:rsidR="006F71EA" w:rsidRDefault="00DC75C5" w:rsidP="00D82B2D">
            <w:pPr>
              <w:spacing w:before="240"/>
            </w:pPr>
            <w:r>
              <w:t xml:space="preserve">Distr. </w:t>
            </w:r>
            <w:r w:rsidR="00DC6BBF">
              <w:t>générale</w:t>
            </w:r>
          </w:p>
          <w:p w:rsidR="00DC75C5" w:rsidRDefault="000F3E57" w:rsidP="000F3E57">
            <w:pPr>
              <w:spacing w:line="240" w:lineRule="exact"/>
            </w:pPr>
            <w:r w:rsidRPr="000F3E57">
              <w:t>9</w:t>
            </w:r>
            <w:r w:rsidR="00072826" w:rsidRPr="000F3E57">
              <w:t xml:space="preserve"> </w:t>
            </w:r>
            <w:r w:rsidR="00F96B97" w:rsidRPr="000F3E57">
              <w:t xml:space="preserve">décembre </w:t>
            </w:r>
            <w:r w:rsidR="00072826" w:rsidRPr="000F3E57">
              <w:t>2015</w:t>
            </w:r>
          </w:p>
          <w:p w:rsidR="00EA2A9A" w:rsidRDefault="00EA2A9A" w:rsidP="00D82B2D">
            <w:pPr>
              <w:spacing w:line="240" w:lineRule="exact"/>
            </w:pPr>
          </w:p>
          <w:p w:rsidR="00DC75C5" w:rsidRDefault="00DC75C5" w:rsidP="00D82B2D">
            <w:pPr>
              <w:spacing w:line="240" w:lineRule="exact"/>
            </w:pPr>
            <w:r>
              <w:t>Original</w:t>
            </w:r>
            <w:r w:rsidR="001A12FA">
              <w:t> :</w:t>
            </w:r>
            <w:r>
              <w:t xml:space="preserve"> </w:t>
            </w:r>
            <w:r w:rsidR="008A1C3B">
              <w:t>français</w:t>
            </w:r>
          </w:p>
          <w:p w:rsidR="00EA2A9A" w:rsidRPr="00DB58B5" w:rsidRDefault="00EA2A9A" w:rsidP="00D82B2D">
            <w:pPr>
              <w:spacing w:line="240" w:lineRule="exact"/>
            </w:pPr>
          </w:p>
        </w:tc>
      </w:tr>
    </w:tbl>
    <w:p w:rsidR="006F71EA" w:rsidRDefault="006F71EA" w:rsidP="00565334">
      <w:pPr>
        <w:spacing w:before="120"/>
        <w:ind w:right="-1134"/>
        <w:rPr>
          <w:b/>
          <w:sz w:val="24"/>
          <w:szCs w:val="24"/>
        </w:rPr>
      </w:pPr>
      <w:r w:rsidRPr="00DF3BF1">
        <w:rPr>
          <w:b/>
          <w:sz w:val="24"/>
          <w:szCs w:val="24"/>
        </w:rPr>
        <w:t>Comité des droits de l</w:t>
      </w:r>
      <w:r w:rsidR="001B7936">
        <w:rPr>
          <w:b/>
          <w:sz w:val="24"/>
          <w:szCs w:val="24"/>
        </w:rPr>
        <w:t>’</w:t>
      </w:r>
      <w:r w:rsidRPr="00DF3BF1">
        <w:rPr>
          <w:b/>
          <w:sz w:val="24"/>
          <w:szCs w:val="24"/>
        </w:rPr>
        <w:t>homme</w:t>
      </w:r>
    </w:p>
    <w:p w:rsidR="0008708C" w:rsidRPr="0063439D" w:rsidRDefault="00297576" w:rsidP="00C02A0D">
      <w:pPr>
        <w:pStyle w:val="HChG"/>
      </w:pPr>
      <w:r w:rsidRPr="006D452F">
        <w:tab/>
      </w:r>
      <w:r w:rsidRPr="006D452F">
        <w:tab/>
        <w:t>Communication n</w:t>
      </w:r>
      <w:r w:rsidRPr="006D452F">
        <w:rPr>
          <w:vertAlign w:val="superscript"/>
        </w:rPr>
        <w:t>o</w:t>
      </w:r>
      <w:r w:rsidRPr="006D452F">
        <w:t> </w:t>
      </w:r>
      <w:r w:rsidR="008A1C3B">
        <w:rPr>
          <w:lang w:val="fr-FR"/>
        </w:rPr>
        <w:t>2284/2013</w:t>
      </w:r>
    </w:p>
    <w:p w:rsidR="00297576" w:rsidRPr="00916728" w:rsidRDefault="00297576">
      <w:pPr>
        <w:pStyle w:val="H1G"/>
        <w:ind w:right="0"/>
      </w:pPr>
      <w:r w:rsidRPr="006D452F">
        <w:tab/>
      </w:r>
      <w:r w:rsidRPr="006D452F">
        <w:tab/>
      </w:r>
      <w:r w:rsidR="00DC6BBF" w:rsidRPr="00916728">
        <w:rPr>
          <w:szCs w:val="24"/>
        </w:rPr>
        <w:t>Constatations adoptées par le Comité à sa 115</w:t>
      </w:r>
      <w:r w:rsidR="00DC6BBF" w:rsidRPr="000F3E57">
        <w:rPr>
          <w:szCs w:val="24"/>
          <w:vertAlign w:val="superscript"/>
        </w:rPr>
        <w:t>e</w:t>
      </w:r>
      <w:r w:rsidR="00DC6BBF" w:rsidRPr="00916728">
        <w:rPr>
          <w:szCs w:val="24"/>
        </w:rPr>
        <w:t xml:space="preserve"> session</w:t>
      </w:r>
      <w:r w:rsidR="00DB3954" w:rsidRPr="00916728">
        <w:rPr>
          <w:szCs w:val="24"/>
        </w:rPr>
        <w:br/>
      </w:r>
      <w:r w:rsidR="00DC6BBF" w:rsidRPr="00916728">
        <w:rPr>
          <w:szCs w:val="24"/>
        </w:rPr>
        <w:t>(19 octobre-6 novembre 2015)</w:t>
      </w:r>
    </w:p>
    <w:tbl>
      <w:tblPr>
        <w:tblW w:w="0" w:type="auto"/>
        <w:tblInd w:w="1134" w:type="dxa"/>
        <w:tblLayout w:type="fixed"/>
        <w:tblCellMar>
          <w:left w:w="0" w:type="dxa"/>
          <w:right w:w="0" w:type="dxa"/>
        </w:tblCellMar>
        <w:tblLook w:val="01E0" w:firstRow="1" w:lastRow="1" w:firstColumn="1" w:lastColumn="1" w:noHBand="0" w:noVBand="0"/>
      </w:tblPr>
      <w:tblGrid>
        <w:gridCol w:w="3402"/>
        <w:gridCol w:w="3969"/>
      </w:tblGrid>
      <w:tr w:rsidR="00297576" w:rsidRPr="00916728" w:rsidTr="00C02A0D">
        <w:tc>
          <w:tcPr>
            <w:tcW w:w="3402" w:type="dxa"/>
            <w:shd w:val="clear" w:color="auto" w:fill="auto"/>
          </w:tcPr>
          <w:p w:rsidR="00297576" w:rsidRPr="00916728" w:rsidRDefault="00297576" w:rsidP="00D82B2D">
            <w:pPr>
              <w:spacing w:after="120"/>
            </w:pPr>
            <w:r w:rsidRPr="00916728">
              <w:rPr>
                <w:i/>
              </w:rPr>
              <w:t>Communication présentée par</w:t>
            </w:r>
            <w:r w:rsidR="001A12FA" w:rsidRPr="00916728">
              <w:rPr>
                <w:i/>
              </w:rPr>
              <w:t> :</w:t>
            </w:r>
          </w:p>
        </w:tc>
        <w:tc>
          <w:tcPr>
            <w:tcW w:w="3969" w:type="dxa"/>
            <w:shd w:val="clear" w:color="auto" w:fill="auto"/>
          </w:tcPr>
          <w:p w:rsidR="00297576" w:rsidRPr="00916728" w:rsidRDefault="007474CD" w:rsidP="00D82B2D">
            <w:pPr>
              <w:spacing w:after="120"/>
            </w:pPr>
            <w:r w:rsidRPr="00916728">
              <w:rPr>
                <w:lang w:val="fr-FR"/>
              </w:rPr>
              <w:t>F. M.</w:t>
            </w:r>
            <w:r w:rsidR="00424533" w:rsidRPr="00916728">
              <w:rPr>
                <w:lang w:val="fr-FR"/>
              </w:rPr>
              <w:t xml:space="preserve"> </w:t>
            </w:r>
            <w:r w:rsidR="008A1C3B" w:rsidRPr="00916728">
              <w:rPr>
                <w:lang w:val="fr-FR"/>
              </w:rPr>
              <w:t>(représenté par Stewart Istvanffy)</w:t>
            </w:r>
          </w:p>
        </w:tc>
      </w:tr>
      <w:tr w:rsidR="00297576" w:rsidRPr="00916728" w:rsidTr="00C02A0D">
        <w:tc>
          <w:tcPr>
            <w:tcW w:w="3402" w:type="dxa"/>
            <w:shd w:val="clear" w:color="auto" w:fill="auto"/>
          </w:tcPr>
          <w:p w:rsidR="00297576" w:rsidRPr="00916728" w:rsidRDefault="00297576" w:rsidP="00D82B2D">
            <w:pPr>
              <w:spacing w:after="120"/>
            </w:pPr>
            <w:r w:rsidRPr="00916728">
              <w:rPr>
                <w:i/>
              </w:rPr>
              <w:t>Au nom de</w:t>
            </w:r>
            <w:r w:rsidR="001A12FA" w:rsidRPr="00916728">
              <w:rPr>
                <w:i/>
              </w:rPr>
              <w:t> :</w:t>
            </w:r>
          </w:p>
        </w:tc>
        <w:tc>
          <w:tcPr>
            <w:tcW w:w="3969" w:type="dxa"/>
            <w:shd w:val="clear" w:color="auto" w:fill="auto"/>
          </w:tcPr>
          <w:p w:rsidR="00297576" w:rsidRPr="00916728" w:rsidRDefault="00DC75C5" w:rsidP="00D82B2D">
            <w:pPr>
              <w:spacing w:after="120"/>
            </w:pPr>
            <w:r w:rsidRPr="00916728">
              <w:rPr>
                <w:lang w:val="fr-FR"/>
              </w:rPr>
              <w:t>L</w:t>
            </w:r>
            <w:r w:rsidR="001B7936" w:rsidRPr="00916728">
              <w:rPr>
                <w:lang w:val="fr-FR"/>
              </w:rPr>
              <w:t>’</w:t>
            </w:r>
            <w:r w:rsidRPr="00916728">
              <w:rPr>
                <w:lang w:val="fr-FR"/>
              </w:rPr>
              <w:t>auteur</w:t>
            </w:r>
          </w:p>
        </w:tc>
      </w:tr>
      <w:tr w:rsidR="00297576" w:rsidRPr="00916728" w:rsidTr="00C02A0D">
        <w:tc>
          <w:tcPr>
            <w:tcW w:w="3402" w:type="dxa"/>
            <w:shd w:val="clear" w:color="auto" w:fill="auto"/>
          </w:tcPr>
          <w:p w:rsidR="00297576" w:rsidRPr="00916728" w:rsidRDefault="00297576" w:rsidP="00D82B2D">
            <w:pPr>
              <w:spacing w:after="120"/>
            </w:pPr>
            <w:r w:rsidRPr="00916728">
              <w:rPr>
                <w:i/>
              </w:rPr>
              <w:t>État partie</w:t>
            </w:r>
            <w:r w:rsidR="001A12FA" w:rsidRPr="00916728">
              <w:rPr>
                <w:i/>
              </w:rPr>
              <w:t> :</w:t>
            </w:r>
          </w:p>
        </w:tc>
        <w:tc>
          <w:tcPr>
            <w:tcW w:w="3969" w:type="dxa"/>
            <w:shd w:val="clear" w:color="auto" w:fill="auto"/>
          </w:tcPr>
          <w:p w:rsidR="00297576" w:rsidRPr="00916728" w:rsidRDefault="00DC75C5" w:rsidP="00D82B2D">
            <w:pPr>
              <w:spacing w:after="120"/>
            </w:pPr>
            <w:r w:rsidRPr="00916728">
              <w:rPr>
                <w:lang w:val="fr-FR"/>
              </w:rPr>
              <w:t>Canada</w:t>
            </w:r>
          </w:p>
        </w:tc>
      </w:tr>
      <w:tr w:rsidR="00297576" w:rsidRPr="00916728" w:rsidTr="00C02A0D">
        <w:tc>
          <w:tcPr>
            <w:tcW w:w="3402" w:type="dxa"/>
            <w:shd w:val="clear" w:color="auto" w:fill="auto"/>
          </w:tcPr>
          <w:p w:rsidR="00297576" w:rsidRPr="00916728" w:rsidRDefault="00297576" w:rsidP="00D82B2D">
            <w:pPr>
              <w:spacing w:after="120"/>
            </w:pPr>
            <w:r w:rsidRPr="00916728">
              <w:rPr>
                <w:i/>
              </w:rPr>
              <w:t>Date de la communication</w:t>
            </w:r>
            <w:r w:rsidR="001A12FA" w:rsidRPr="00916728">
              <w:rPr>
                <w:i/>
              </w:rPr>
              <w:t> :</w:t>
            </w:r>
          </w:p>
        </w:tc>
        <w:tc>
          <w:tcPr>
            <w:tcW w:w="3969" w:type="dxa"/>
            <w:shd w:val="clear" w:color="auto" w:fill="auto"/>
          </w:tcPr>
          <w:p w:rsidR="00297576" w:rsidRPr="00916728" w:rsidRDefault="008A1C3B" w:rsidP="00D82B2D">
            <w:pPr>
              <w:spacing w:after="120"/>
            </w:pPr>
            <w:r w:rsidRPr="00916728">
              <w:rPr>
                <w:lang w:val="fr-FR"/>
              </w:rPr>
              <w:t>16 août 2013</w:t>
            </w:r>
            <w:r w:rsidR="00DC75C5" w:rsidRPr="00916728">
              <w:rPr>
                <w:lang w:val="fr-FR"/>
              </w:rPr>
              <w:t xml:space="preserve"> (date de la lettre initiale)</w:t>
            </w:r>
          </w:p>
        </w:tc>
      </w:tr>
      <w:tr w:rsidR="00297576" w:rsidRPr="00916728" w:rsidTr="00C02A0D">
        <w:tc>
          <w:tcPr>
            <w:tcW w:w="3402" w:type="dxa"/>
            <w:shd w:val="clear" w:color="auto" w:fill="auto"/>
          </w:tcPr>
          <w:p w:rsidR="00297576" w:rsidRPr="00916728" w:rsidRDefault="00297576" w:rsidP="00D82B2D">
            <w:pPr>
              <w:spacing w:after="120"/>
            </w:pPr>
            <w:r w:rsidRPr="00916728">
              <w:rPr>
                <w:i/>
              </w:rPr>
              <w:t>Références</w:t>
            </w:r>
            <w:r w:rsidR="001A12FA" w:rsidRPr="00916728">
              <w:rPr>
                <w:i/>
              </w:rPr>
              <w:t> :</w:t>
            </w:r>
          </w:p>
        </w:tc>
        <w:tc>
          <w:tcPr>
            <w:tcW w:w="3969" w:type="dxa"/>
            <w:shd w:val="clear" w:color="auto" w:fill="auto"/>
          </w:tcPr>
          <w:p w:rsidR="00297576" w:rsidRPr="00916728" w:rsidRDefault="00DC75C5" w:rsidP="00D82B2D">
            <w:pPr>
              <w:spacing w:after="120"/>
            </w:pPr>
            <w:r w:rsidRPr="00916728">
              <w:rPr>
                <w:lang w:val="fr-FR"/>
              </w:rPr>
              <w:t>Décision prise par le Rapporteur spécial en application de l</w:t>
            </w:r>
            <w:r w:rsidR="001B7936" w:rsidRPr="00916728">
              <w:rPr>
                <w:lang w:val="fr-FR"/>
              </w:rPr>
              <w:t>’</w:t>
            </w:r>
            <w:r w:rsidRPr="00916728">
              <w:rPr>
                <w:lang w:val="fr-FR"/>
              </w:rPr>
              <w:t>article 97 du règlement intérieur, communiquée à l</w:t>
            </w:r>
            <w:r w:rsidR="001B7936" w:rsidRPr="00916728">
              <w:rPr>
                <w:lang w:val="fr-FR"/>
              </w:rPr>
              <w:t>’</w:t>
            </w:r>
            <w:r w:rsidRPr="00916728">
              <w:rPr>
                <w:lang w:val="fr-FR"/>
              </w:rPr>
              <w:t>État partie</w:t>
            </w:r>
            <w:r w:rsidR="003E57A9" w:rsidRPr="00916728">
              <w:rPr>
                <w:lang w:val="fr-FR"/>
              </w:rPr>
              <w:t xml:space="preserve"> le</w:t>
            </w:r>
            <w:r w:rsidRPr="00916728">
              <w:rPr>
                <w:lang w:val="fr-FR"/>
              </w:rPr>
              <w:t xml:space="preserve"> 2</w:t>
            </w:r>
            <w:r w:rsidR="008A1C3B" w:rsidRPr="00916728">
              <w:rPr>
                <w:lang w:val="fr-FR"/>
              </w:rPr>
              <w:t>3 août 2013</w:t>
            </w:r>
            <w:r w:rsidRPr="00916728">
              <w:rPr>
                <w:lang w:val="fr-FR"/>
              </w:rPr>
              <w:t xml:space="preserve"> (non publiée sous forme de document)</w:t>
            </w:r>
          </w:p>
        </w:tc>
      </w:tr>
      <w:tr w:rsidR="00297576" w:rsidRPr="00916728" w:rsidTr="00C02A0D">
        <w:tc>
          <w:tcPr>
            <w:tcW w:w="3402" w:type="dxa"/>
            <w:shd w:val="clear" w:color="auto" w:fill="auto"/>
          </w:tcPr>
          <w:p w:rsidR="00297576" w:rsidRPr="00916728" w:rsidRDefault="003E57A9" w:rsidP="000E7547">
            <w:pPr>
              <w:spacing w:after="120"/>
            </w:pPr>
            <w:r w:rsidRPr="00916728">
              <w:rPr>
                <w:i/>
              </w:rPr>
              <w:t>Date des constatations</w:t>
            </w:r>
            <w:r w:rsidR="001A12FA" w:rsidRPr="00916728">
              <w:rPr>
                <w:i/>
              </w:rPr>
              <w:t> :</w:t>
            </w:r>
          </w:p>
        </w:tc>
        <w:tc>
          <w:tcPr>
            <w:tcW w:w="3969" w:type="dxa"/>
            <w:shd w:val="clear" w:color="auto" w:fill="auto"/>
          </w:tcPr>
          <w:p w:rsidR="00297576" w:rsidRPr="00916728" w:rsidRDefault="00072826" w:rsidP="00D82B2D">
            <w:pPr>
              <w:spacing w:after="120"/>
            </w:pPr>
            <w:r w:rsidRPr="00916728">
              <w:rPr>
                <w:lang w:val="fr-FR"/>
              </w:rPr>
              <w:t>5 novembre</w:t>
            </w:r>
            <w:r w:rsidR="00424533" w:rsidRPr="00916728">
              <w:rPr>
                <w:lang w:val="fr-FR"/>
              </w:rPr>
              <w:t xml:space="preserve"> </w:t>
            </w:r>
            <w:r w:rsidR="00DC75C5" w:rsidRPr="00916728">
              <w:rPr>
                <w:lang w:val="fr-FR"/>
              </w:rPr>
              <w:t>2015</w:t>
            </w:r>
          </w:p>
        </w:tc>
      </w:tr>
      <w:tr w:rsidR="00297576" w:rsidRPr="00916728" w:rsidTr="00C02A0D">
        <w:tc>
          <w:tcPr>
            <w:tcW w:w="3402" w:type="dxa"/>
            <w:shd w:val="clear" w:color="auto" w:fill="auto"/>
          </w:tcPr>
          <w:p w:rsidR="00297576" w:rsidRPr="00916728" w:rsidRDefault="00297576" w:rsidP="00D82B2D">
            <w:pPr>
              <w:spacing w:after="120"/>
            </w:pPr>
            <w:r w:rsidRPr="00916728">
              <w:rPr>
                <w:i/>
                <w:iCs/>
              </w:rPr>
              <w:t>Objet</w:t>
            </w:r>
            <w:r w:rsidR="001A12FA" w:rsidRPr="00916728">
              <w:rPr>
                <w:i/>
                <w:iCs/>
              </w:rPr>
              <w:t> :</w:t>
            </w:r>
          </w:p>
        </w:tc>
        <w:tc>
          <w:tcPr>
            <w:tcW w:w="3969" w:type="dxa"/>
            <w:shd w:val="clear" w:color="auto" w:fill="auto"/>
          </w:tcPr>
          <w:p w:rsidR="00297576" w:rsidRPr="00916728" w:rsidRDefault="00DC75C5" w:rsidP="00D82B2D">
            <w:pPr>
              <w:spacing w:after="120"/>
              <w:rPr>
                <w:b/>
              </w:rPr>
            </w:pPr>
            <w:r w:rsidRPr="00916728">
              <w:rPr>
                <w:iCs/>
                <w:lang w:val="fr-FR"/>
              </w:rPr>
              <w:t xml:space="preserve">Expulsion du Canada vers </w:t>
            </w:r>
            <w:r w:rsidR="008A1C3B" w:rsidRPr="00916728">
              <w:rPr>
                <w:iCs/>
                <w:lang w:val="fr-FR"/>
              </w:rPr>
              <w:t>le Tchad</w:t>
            </w:r>
            <w:r w:rsidRPr="00916728">
              <w:rPr>
                <w:iCs/>
                <w:lang w:val="fr-FR"/>
              </w:rPr>
              <w:t xml:space="preserve"> </w:t>
            </w:r>
          </w:p>
        </w:tc>
      </w:tr>
      <w:tr w:rsidR="00297576" w:rsidRPr="00916728" w:rsidTr="00C02A0D">
        <w:tc>
          <w:tcPr>
            <w:tcW w:w="3402" w:type="dxa"/>
            <w:shd w:val="clear" w:color="auto" w:fill="auto"/>
          </w:tcPr>
          <w:p w:rsidR="00297576" w:rsidRPr="00916728" w:rsidRDefault="00297576" w:rsidP="00D82B2D">
            <w:pPr>
              <w:spacing w:after="120"/>
            </w:pPr>
            <w:r w:rsidRPr="00916728">
              <w:rPr>
                <w:i/>
                <w:iCs/>
              </w:rPr>
              <w:t>Question(s) de procédure</w:t>
            </w:r>
            <w:r w:rsidR="001A12FA" w:rsidRPr="00916728">
              <w:rPr>
                <w:i/>
                <w:iCs/>
              </w:rPr>
              <w:t> :</w:t>
            </w:r>
          </w:p>
        </w:tc>
        <w:tc>
          <w:tcPr>
            <w:tcW w:w="3969" w:type="dxa"/>
            <w:shd w:val="clear" w:color="auto" w:fill="auto"/>
          </w:tcPr>
          <w:p w:rsidR="00297576" w:rsidRPr="00916728" w:rsidRDefault="00DC75C5" w:rsidP="00D82B2D">
            <w:pPr>
              <w:spacing w:after="120"/>
              <w:rPr>
                <w:b/>
              </w:rPr>
            </w:pPr>
            <w:r w:rsidRPr="00916728">
              <w:rPr>
                <w:lang w:val="fr-FR"/>
              </w:rPr>
              <w:t xml:space="preserve">Allégations insuffisamment étayées; incompatibilité </w:t>
            </w:r>
            <w:r w:rsidRPr="00916728">
              <w:rPr>
                <w:i/>
                <w:lang w:val="fr-FR"/>
              </w:rPr>
              <w:t xml:space="preserve">ratione materiae </w:t>
            </w:r>
            <w:r w:rsidRPr="00916728">
              <w:rPr>
                <w:lang w:val="fr-FR"/>
              </w:rPr>
              <w:t>avec le Pacte</w:t>
            </w:r>
          </w:p>
        </w:tc>
      </w:tr>
      <w:tr w:rsidR="00297576" w:rsidRPr="00916728" w:rsidTr="00C02A0D">
        <w:tc>
          <w:tcPr>
            <w:tcW w:w="3402" w:type="dxa"/>
            <w:shd w:val="clear" w:color="auto" w:fill="auto"/>
          </w:tcPr>
          <w:p w:rsidR="00297576" w:rsidRPr="00916728" w:rsidRDefault="00297576" w:rsidP="00D82B2D">
            <w:pPr>
              <w:spacing w:after="120"/>
            </w:pPr>
            <w:r w:rsidRPr="00916728">
              <w:rPr>
                <w:i/>
                <w:iCs/>
              </w:rPr>
              <w:t>Question(s) de fond</w:t>
            </w:r>
            <w:r w:rsidR="001A12FA" w:rsidRPr="00916728">
              <w:rPr>
                <w:i/>
                <w:iCs/>
              </w:rPr>
              <w:t> :</w:t>
            </w:r>
          </w:p>
        </w:tc>
        <w:tc>
          <w:tcPr>
            <w:tcW w:w="3969" w:type="dxa"/>
            <w:shd w:val="clear" w:color="auto" w:fill="auto"/>
          </w:tcPr>
          <w:p w:rsidR="00297576" w:rsidRPr="00916728" w:rsidRDefault="00DC75C5" w:rsidP="0093202B">
            <w:pPr>
              <w:spacing w:after="120"/>
              <w:rPr>
                <w:b/>
              </w:rPr>
            </w:pPr>
            <w:r w:rsidRPr="00916728">
              <w:rPr>
                <w:lang w:val="fr-FR"/>
              </w:rPr>
              <w:t xml:space="preserve">Droit à un recours utile; droit à la vie; interdiction de la torture ou des traitements cruels, inhumains ou dégradants; </w:t>
            </w:r>
            <w:r w:rsidR="00911D87" w:rsidRPr="00916728">
              <w:rPr>
                <w:lang w:val="fr-FR"/>
              </w:rPr>
              <w:t>dr</w:t>
            </w:r>
            <w:r w:rsidR="0093202B" w:rsidRPr="00916728">
              <w:rPr>
                <w:lang w:val="fr-FR"/>
              </w:rPr>
              <w:t>oit des étrangers (expulsion).</w:t>
            </w:r>
          </w:p>
        </w:tc>
      </w:tr>
      <w:tr w:rsidR="00297576" w:rsidRPr="006D452F" w:rsidTr="00C02A0D">
        <w:tc>
          <w:tcPr>
            <w:tcW w:w="3402" w:type="dxa"/>
            <w:shd w:val="clear" w:color="auto" w:fill="auto"/>
          </w:tcPr>
          <w:p w:rsidR="00297576" w:rsidRPr="00916728" w:rsidRDefault="00297576" w:rsidP="00D82B2D">
            <w:pPr>
              <w:spacing w:after="120"/>
            </w:pPr>
            <w:r w:rsidRPr="00916728">
              <w:rPr>
                <w:i/>
                <w:iCs/>
              </w:rPr>
              <w:t>Article(s) du Pacte</w:t>
            </w:r>
            <w:r w:rsidR="001A12FA" w:rsidRPr="00916728">
              <w:rPr>
                <w:i/>
                <w:iCs/>
              </w:rPr>
              <w:t> :</w:t>
            </w:r>
          </w:p>
        </w:tc>
        <w:tc>
          <w:tcPr>
            <w:tcW w:w="3969" w:type="dxa"/>
            <w:shd w:val="clear" w:color="auto" w:fill="auto"/>
          </w:tcPr>
          <w:p w:rsidR="00297576" w:rsidRPr="00D83FF3" w:rsidRDefault="00DC75C5" w:rsidP="00D653B7">
            <w:pPr>
              <w:spacing w:after="120"/>
              <w:rPr>
                <w:b/>
              </w:rPr>
            </w:pPr>
            <w:r w:rsidRPr="00916728">
              <w:rPr>
                <w:lang w:val="fr-FR"/>
              </w:rPr>
              <w:t>2, 6 (par.</w:t>
            </w:r>
            <w:r w:rsidR="0020135D" w:rsidRPr="00916728">
              <w:rPr>
                <w:lang w:val="fr-FR"/>
              </w:rPr>
              <w:t> </w:t>
            </w:r>
            <w:r w:rsidRPr="00916728">
              <w:rPr>
                <w:lang w:val="fr-FR"/>
              </w:rPr>
              <w:t>1), 7</w:t>
            </w:r>
            <w:r w:rsidR="00911D87" w:rsidRPr="00916728">
              <w:rPr>
                <w:lang w:val="fr-FR"/>
              </w:rPr>
              <w:t xml:space="preserve"> </w:t>
            </w:r>
            <w:r w:rsidR="001D1A03" w:rsidRPr="00916728">
              <w:rPr>
                <w:lang w:val="fr-FR"/>
              </w:rPr>
              <w:t xml:space="preserve">et </w:t>
            </w:r>
            <w:r w:rsidR="00911D87" w:rsidRPr="00916728">
              <w:rPr>
                <w:lang w:val="fr-FR"/>
              </w:rPr>
              <w:t>13</w:t>
            </w:r>
            <w:r w:rsidR="00911D87">
              <w:rPr>
                <w:lang w:val="fr-FR"/>
              </w:rPr>
              <w:t xml:space="preserve"> </w:t>
            </w:r>
          </w:p>
        </w:tc>
      </w:tr>
      <w:tr w:rsidR="00297576" w:rsidRPr="006D452F" w:rsidTr="00C02A0D">
        <w:tc>
          <w:tcPr>
            <w:tcW w:w="3402" w:type="dxa"/>
            <w:shd w:val="clear" w:color="auto" w:fill="auto"/>
          </w:tcPr>
          <w:p w:rsidR="00297576" w:rsidRPr="006D452F" w:rsidRDefault="00297576" w:rsidP="00D82B2D">
            <w:pPr>
              <w:spacing w:after="120"/>
            </w:pPr>
            <w:r w:rsidRPr="00D83FF3">
              <w:rPr>
                <w:i/>
                <w:iCs/>
              </w:rPr>
              <w:t>Article(s) du Protocole facultatif</w:t>
            </w:r>
            <w:r w:rsidR="001A12FA">
              <w:rPr>
                <w:i/>
                <w:iCs/>
              </w:rPr>
              <w:t> :</w:t>
            </w:r>
          </w:p>
        </w:tc>
        <w:tc>
          <w:tcPr>
            <w:tcW w:w="3969" w:type="dxa"/>
            <w:shd w:val="clear" w:color="auto" w:fill="auto"/>
          </w:tcPr>
          <w:p w:rsidR="00297576" w:rsidRPr="00D83FF3" w:rsidRDefault="00DC75C5" w:rsidP="0042679B">
            <w:pPr>
              <w:spacing w:after="120"/>
              <w:rPr>
                <w:b/>
              </w:rPr>
            </w:pPr>
            <w:r w:rsidRPr="00D83FF3">
              <w:rPr>
                <w:lang w:val="fr-FR"/>
              </w:rPr>
              <w:t xml:space="preserve">2 </w:t>
            </w:r>
          </w:p>
        </w:tc>
      </w:tr>
    </w:tbl>
    <w:p w:rsidR="00297576" w:rsidRPr="006D452F" w:rsidRDefault="00DC75C5" w:rsidP="00D82B2D">
      <w:pPr>
        <w:pStyle w:val="HChG"/>
        <w:ind w:right="0"/>
      </w:pPr>
      <w:r>
        <w:br w:type="page"/>
      </w:r>
      <w:r w:rsidR="00297576" w:rsidRPr="006D452F">
        <w:lastRenderedPageBreak/>
        <w:t>Annexe</w:t>
      </w:r>
    </w:p>
    <w:p w:rsidR="00297576" w:rsidRPr="00916728" w:rsidRDefault="00297576" w:rsidP="00565334">
      <w:pPr>
        <w:pStyle w:val="HChG"/>
      </w:pPr>
      <w:r w:rsidRPr="006D452F">
        <w:tab/>
      </w:r>
      <w:r w:rsidRPr="006D452F">
        <w:tab/>
      </w:r>
      <w:r w:rsidR="00DC75C5" w:rsidRPr="00916728">
        <w:t>Constatations du Comité des droits de l</w:t>
      </w:r>
      <w:r w:rsidR="001B7936" w:rsidRPr="00916728">
        <w:t>’</w:t>
      </w:r>
      <w:r w:rsidR="00DC75C5" w:rsidRPr="00916728">
        <w:t>homme au titre du paragraphe 4 de l</w:t>
      </w:r>
      <w:r w:rsidR="001B7936" w:rsidRPr="00916728">
        <w:t>’</w:t>
      </w:r>
      <w:r w:rsidR="00DC75C5" w:rsidRPr="00916728">
        <w:t>article 5 du Protocole facultatif se rapportant au Pacte international relatif aux droits civils et politiques (</w:t>
      </w:r>
      <w:r w:rsidR="008A1C3B" w:rsidRPr="00916728">
        <w:t>115</w:t>
      </w:r>
      <w:r w:rsidR="00DC75C5" w:rsidRPr="00916728">
        <w:rPr>
          <w:vertAlign w:val="superscript"/>
        </w:rPr>
        <w:t>e</w:t>
      </w:r>
      <w:r w:rsidR="00DC75C5" w:rsidRPr="00916728">
        <w:t> session)</w:t>
      </w:r>
    </w:p>
    <w:p w:rsidR="00297576" w:rsidRPr="00916728" w:rsidRDefault="00297576" w:rsidP="00D82B2D">
      <w:pPr>
        <w:pStyle w:val="SingleTxtG"/>
        <w:ind w:right="0"/>
      </w:pPr>
      <w:r w:rsidRPr="00916728">
        <w:t>concernant la</w:t>
      </w:r>
    </w:p>
    <w:p w:rsidR="00072826" w:rsidRPr="00916728" w:rsidRDefault="00297576" w:rsidP="00072826">
      <w:pPr>
        <w:pStyle w:val="H1G"/>
      </w:pPr>
      <w:r w:rsidRPr="00916728">
        <w:tab/>
      </w:r>
      <w:r w:rsidRPr="00916728">
        <w:tab/>
        <w:t xml:space="preserve">Communication </w:t>
      </w:r>
      <w:r w:rsidRPr="00916728">
        <w:rPr>
          <w:rFonts w:eastAsia="MS Mincho"/>
        </w:rPr>
        <w:t>n</w:t>
      </w:r>
      <w:r w:rsidRPr="00916728">
        <w:rPr>
          <w:rFonts w:eastAsia="MS Mincho"/>
          <w:vertAlign w:val="superscript"/>
        </w:rPr>
        <w:t>o</w:t>
      </w:r>
      <w:r w:rsidR="00C02653" w:rsidRPr="00916728">
        <w:t> </w:t>
      </w:r>
      <w:r w:rsidR="00DC75C5" w:rsidRPr="00916728">
        <w:rPr>
          <w:lang w:val="fr-FR"/>
        </w:rPr>
        <w:t>2</w:t>
      </w:r>
      <w:r w:rsidR="008A1C3B" w:rsidRPr="00916728">
        <w:rPr>
          <w:lang w:val="fr-FR"/>
        </w:rPr>
        <w:t>284</w:t>
      </w:r>
      <w:r w:rsidR="00DC75C5" w:rsidRPr="00916728">
        <w:rPr>
          <w:lang w:val="fr-FR"/>
        </w:rPr>
        <w:t>/201</w:t>
      </w:r>
      <w:r w:rsidR="008A1C3B" w:rsidRPr="00916728">
        <w:rPr>
          <w:lang w:val="fr-FR"/>
        </w:rPr>
        <w:t>3</w:t>
      </w:r>
      <w:r w:rsidR="00072826" w:rsidRPr="00916728">
        <w:rPr>
          <w:rStyle w:val="FootnoteReference"/>
          <w:b w:val="0"/>
          <w:bCs/>
          <w:sz w:val="20"/>
          <w:vertAlign w:val="baseline"/>
        </w:rPr>
        <w:footnoteReference w:customMarkFollows="1" w:id="2"/>
        <w:t>*</w:t>
      </w:r>
    </w:p>
    <w:tbl>
      <w:tblPr>
        <w:tblW w:w="0" w:type="auto"/>
        <w:tblInd w:w="1134" w:type="dxa"/>
        <w:tblLayout w:type="fixed"/>
        <w:tblCellMar>
          <w:left w:w="0" w:type="dxa"/>
          <w:right w:w="0" w:type="dxa"/>
        </w:tblCellMar>
        <w:tblLook w:val="01E0" w:firstRow="1" w:lastRow="1" w:firstColumn="1" w:lastColumn="1" w:noHBand="0" w:noVBand="0"/>
      </w:tblPr>
      <w:tblGrid>
        <w:gridCol w:w="3402"/>
        <w:gridCol w:w="3969"/>
      </w:tblGrid>
      <w:tr w:rsidR="00297576" w:rsidRPr="00916728" w:rsidTr="00C02A0D">
        <w:tc>
          <w:tcPr>
            <w:tcW w:w="3402" w:type="dxa"/>
            <w:shd w:val="clear" w:color="auto" w:fill="auto"/>
          </w:tcPr>
          <w:p w:rsidR="00297576" w:rsidRPr="00916728" w:rsidRDefault="00297576" w:rsidP="00D82B2D">
            <w:pPr>
              <w:spacing w:after="120"/>
              <w:rPr>
                <w:rFonts w:asciiTheme="majorBidi" w:hAnsiTheme="majorBidi" w:cstheme="majorBidi"/>
                <w:i/>
              </w:rPr>
            </w:pPr>
            <w:r w:rsidRPr="00916728">
              <w:rPr>
                <w:rFonts w:asciiTheme="majorBidi" w:hAnsiTheme="majorBidi" w:cstheme="majorBidi"/>
                <w:i/>
              </w:rPr>
              <w:t>Présentée par</w:t>
            </w:r>
            <w:r w:rsidR="001A12FA" w:rsidRPr="00916728">
              <w:rPr>
                <w:rFonts w:asciiTheme="majorBidi" w:hAnsiTheme="majorBidi" w:cstheme="majorBidi"/>
                <w:i/>
              </w:rPr>
              <w:t> :</w:t>
            </w:r>
          </w:p>
        </w:tc>
        <w:tc>
          <w:tcPr>
            <w:tcW w:w="3969" w:type="dxa"/>
            <w:shd w:val="clear" w:color="auto" w:fill="auto"/>
          </w:tcPr>
          <w:p w:rsidR="00297576" w:rsidRPr="00916728" w:rsidRDefault="007474CD" w:rsidP="00D82B2D">
            <w:pPr>
              <w:spacing w:after="120"/>
              <w:rPr>
                <w:rFonts w:asciiTheme="majorBidi" w:hAnsiTheme="majorBidi" w:cstheme="majorBidi"/>
              </w:rPr>
            </w:pPr>
            <w:r w:rsidRPr="00916728">
              <w:rPr>
                <w:rFonts w:asciiTheme="majorBidi" w:hAnsiTheme="majorBidi" w:cstheme="majorBidi"/>
                <w:lang w:val="fr-FR"/>
              </w:rPr>
              <w:t>F. M.</w:t>
            </w:r>
            <w:r w:rsidR="008A1C3B" w:rsidRPr="00916728">
              <w:rPr>
                <w:rFonts w:asciiTheme="majorBidi" w:hAnsiTheme="majorBidi" w:cstheme="majorBidi"/>
                <w:lang w:val="fr-FR"/>
              </w:rPr>
              <w:t xml:space="preserve"> (représenté par Stewart Istvanffy)</w:t>
            </w:r>
          </w:p>
        </w:tc>
      </w:tr>
      <w:tr w:rsidR="00297576" w:rsidRPr="00916728" w:rsidTr="00C02A0D">
        <w:tc>
          <w:tcPr>
            <w:tcW w:w="3402" w:type="dxa"/>
            <w:shd w:val="clear" w:color="auto" w:fill="auto"/>
          </w:tcPr>
          <w:p w:rsidR="00297576" w:rsidRPr="00916728" w:rsidRDefault="00297576" w:rsidP="00D82B2D">
            <w:pPr>
              <w:spacing w:after="120"/>
              <w:rPr>
                <w:rFonts w:asciiTheme="majorBidi" w:hAnsiTheme="majorBidi" w:cstheme="majorBidi"/>
                <w:i/>
              </w:rPr>
            </w:pPr>
            <w:r w:rsidRPr="00916728">
              <w:rPr>
                <w:rFonts w:asciiTheme="majorBidi" w:hAnsiTheme="majorBidi" w:cstheme="majorBidi"/>
                <w:i/>
              </w:rPr>
              <w:t>Au nom de</w:t>
            </w:r>
            <w:r w:rsidR="001A12FA" w:rsidRPr="00916728">
              <w:rPr>
                <w:rFonts w:asciiTheme="majorBidi" w:hAnsiTheme="majorBidi" w:cstheme="majorBidi"/>
                <w:i/>
              </w:rPr>
              <w:t> :</w:t>
            </w:r>
          </w:p>
        </w:tc>
        <w:tc>
          <w:tcPr>
            <w:tcW w:w="3969" w:type="dxa"/>
            <w:shd w:val="clear" w:color="auto" w:fill="auto"/>
          </w:tcPr>
          <w:p w:rsidR="00297576" w:rsidRPr="00916728" w:rsidRDefault="00DC75C5" w:rsidP="00D82B2D">
            <w:pPr>
              <w:spacing w:after="120"/>
              <w:rPr>
                <w:rFonts w:asciiTheme="majorBidi" w:hAnsiTheme="majorBidi" w:cstheme="majorBidi"/>
              </w:rPr>
            </w:pPr>
            <w:r w:rsidRPr="00916728">
              <w:rPr>
                <w:rFonts w:asciiTheme="majorBidi" w:hAnsiTheme="majorBidi" w:cstheme="majorBidi"/>
                <w:lang w:val="fr-FR"/>
              </w:rPr>
              <w:t>L</w:t>
            </w:r>
            <w:r w:rsidR="001B7936" w:rsidRPr="00916728">
              <w:rPr>
                <w:rFonts w:asciiTheme="majorBidi" w:hAnsiTheme="majorBidi" w:cstheme="majorBidi"/>
                <w:lang w:val="fr-FR"/>
              </w:rPr>
              <w:t>’</w:t>
            </w:r>
            <w:r w:rsidRPr="00916728">
              <w:rPr>
                <w:rFonts w:asciiTheme="majorBidi" w:hAnsiTheme="majorBidi" w:cstheme="majorBidi"/>
                <w:lang w:val="fr-FR"/>
              </w:rPr>
              <w:t>auteur</w:t>
            </w:r>
          </w:p>
        </w:tc>
      </w:tr>
      <w:tr w:rsidR="00297576" w:rsidRPr="00916728" w:rsidTr="00C02A0D">
        <w:tc>
          <w:tcPr>
            <w:tcW w:w="3402" w:type="dxa"/>
            <w:shd w:val="clear" w:color="auto" w:fill="auto"/>
          </w:tcPr>
          <w:p w:rsidR="00297576" w:rsidRPr="00916728" w:rsidRDefault="00297576" w:rsidP="00D82B2D">
            <w:pPr>
              <w:spacing w:after="120"/>
              <w:rPr>
                <w:rFonts w:asciiTheme="majorBidi" w:hAnsiTheme="majorBidi" w:cstheme="majorBidi"/>
                <w:i/>
              </w:rPr>
            </w:pPr>
            <w:r w:rsidRPr="00916728">
              <w:rPr>
                <w:rFonts w:asciiTheme="majorBidi" w:hAnsiTheme="majorBidi" w:cstheme="majorBidi"/>
                <w:i/>
              </w:rPr>
              <w:t>État partie</w:t>
            </w:r>
            <w:r w:rsidR="001A12FA" w:rsidRPr="00916728">
              <w:rPr>
                <w:rFonts w:asciiTheme="majorBidi" w:hAnsiTheme="majorBidi" w:cstheme="majorBidi"/>
                <w:i/>
              </w:rPr>
              <w:t> :</w:t>
            </w:r>
          </w:p>
        </w:tc>
        <w:tc>
          <w:tcPr>
            <w:tcW w:w="3969" w:type="dxa"/>
            <w:shd w:val="clear" w:color="auto" w:fill="auto"/>
          </w:tcPr>
          <w:p w:rsidR="00297576" w:rsidRPr="00916728" w:rsidRDefault="00DC75C5" w:rsidP="00D82B2D">
            <w:pPr>
              <w:spacing w:after="120"/>
              <w:rPr>
                <w:rFonts w:asciiTheme="majorBidi" w:hAnsiTheme="majorBidi" w:cstheme="majorBidi"/>
              </w:rPr>
            </w:pPr>
            <w:r w:rsidRPr="00916728">
              <w:rPr>
                <w:rFonts w:asciiTheme="majorBidi" w:hAnsiTheme="majorBidi" w:cstheme="majorBidi"/>
                <w:lang w:val="fr-FR"/>
              </w:rPr>
              <w:t>Canada</w:t>
            </w:r>
          </w:p>
        </w:tc>
      </w:tr>
      <w:tr w:rsidR="00297576" w:rsidRPr="00916728" w:rsidTr="00C02A0D">
        <w:tc>
          <w:tcPr>
            <w:tcW w:w="3402" w:type="dxa"/>
            <w:shd w:val="clear" w:color="auto" w:fill="auto"/>
          </w:tcPr>
          <w:p w:rsidR="00297576" w:rsidRPr="00916728" w:rsidRDefault="00297576" w:rsidP="00D82B2D">
            <w:pPr>
              <w:spacing w:after="120"/>
              <w:rPr>
                <w:rFonts w:asciiTheme="majorBidi" w:hAnsiTheme="majorBidi" w:cstheme="majorBidi"/>
                <w:i/>
              </w:rPr>
            </w:pPr>
            <w:r w:rsidRPr="00916728">
              <w:rPr>
                <w:rFonts w:asciiTheme="majorBidi" w:hAnsiTheme="majorBidi" w:cstheme="majorBidi"/>
                <w:i/>
              </w:rPr>
              <w:t>Date de la communication</w:t>
            </w:r>
            <w:r w:rsidR="001A12FA" w:rsidRPr="00916728">
              <w:rPr>
                <w:rFonts w:asciiTheme="majorBidi" w:hAnsiTheme="majorBidi" w:cstheme="majorBidi"/>
                <w:i/>
              </w:rPr>
              <w:t> :</w:t>
            </w:r>
          </w:p>
        </w:tc>
        <w:tc>
          <w:tcPr>
            <w:tcW w:w="3969" w:type="dxa"/>
            <w:shd w:val="clear" w:color="auto" w:fill="auto"/>
          </w:tcPr>
          <w:p w:rsidR="00297576" w:rsidRPr="00916728" w:rsidRDefault="008A1C3B" w:rsidP="00D82B2D">
            <w:pPr>
              <w:spacing w:after="120"/>
              <w:rPr>
                <w:rFonts w:asciiTheme="majorBidi" w:hAnsiTheme="majorBidi" w:cstheme="majorBidi"/>
              </w:rPr>
            </w:pPr>
            <w:r w:rsidRPr="00916728">
              <w:rPr>
                <w:rFonts w:asciiTheme="majorBidi" w:hAnsiTheme="majorBidi" w:cstheme="majorBidi"/>
                <w:lang w:val="fr-FR"/>
              </w:rPr>
              <w:t>16 août 2013</w:t>
            </w:r>
            <w:r w:rsidR="00DC75C5" w:rsidRPr="00916728">
              <w:rPr>
                <w:rFonts w:asciiTheme="majorBidi" w:hAnsiTheme="majorBidi" w:cstheme="majorBidi"/>
                <w:lang w:val="fr-FR"/>
              </w:rPr>
              <w:t xml:space="preserve"> (date de la lettre initiale)</w:t>
            </w:r>
          </w:p>
        </w:tc>
      </w:tr>
    </w:tbl>
    <w:p w:rsidR="00297576" w:rsidRPr="00916728" w:rsidRDefault="00297576" w:rsidP="003E4DC8">
      <w:pPr>
        <w:pStyle w:val="SingleTxtG"/>
        <w:ind w:left="1138" w:right="1138" w:firstLine="562"/>
      </w:pPr>
      <w:r w:rsidRPr="00916728">
        <w:rPr>
          <w:i/>
        </w:rPr>
        <w:t>Le Comité des droits de l</w:t>
      </w:r>
      <w:r w:rsidR="001B7936" w:rsidRPr="00916728">
        <w:rPr>
          <w:i/>
        </w:rPr>
        <w:t>’</w:t>
      </w:r>
      <w:r w:rsidRPr="00916728">
        <w:rPr>
          <w:i/>
        </w:rPr>
        <w:t>homme</w:t>
      </w:r>
      <w:r w:rsidRPr="00916728">
        <w:t>, institué en vertu de l</w:t>
      </w:r>
      <w:r w:rsidR="001B7936" w:rsidRPr="00916728">
        <w:t>’</w:t>
      </w:r>
      <w:r w:rsidRPr="00916728">
        <w:t>article 28 du Pacte international relatif aux droits civils et politiques,</w:t>
      </w:r>
    </w:p>
    <w:p w:rsidR="00297576" w:rsidRPr="00916728" w:rsidRDefault="00297576" w:rsidP="003E4DC8">
      <w:pPr>
        <w:pStyle w:val="SingleTxtG"/>
        <w:ind w:left="1138" w:right="1138" w:firstLine="562"/>
        <w:rPr>
          <w:lang w:val="fr-FR"/>
        </w:rPr>
      </w:pPr>
      <w:r w:rsidRPr="00916728">
        <w:rPr>
          <w:i/>
        </w:rPr>
        <w:t>Réuni</w:t>
      </w:r>
      <w:r w:rsidRPr="00916728">
        <w:rPr>
          <w:i/>
          <w:iCs/>
        </w:rPr>
        <w:t xml:space="preserve"> le</w:t>
      </w:r>
      <w:r w:rsidRPr="00916728">
        <w:t xml:space="preserve"> </w:t>
      </w:r>
      <w:r w:rsidR="00072826" w:rsidRPr="00916728">
        <w:t>5 novembre</w:t>
      </w:r>
      <w:r w:rsidR="00424533" w:rsidRPr="00916728">
        <w:t xml:space="preserve"> </w:t>
      </w:r>
      <w:r w:rsidR="00DC75C5" w:rsidRPr="00916728">
        <w:rPr>
          <w:lang w:val="fr-FR"/>
        </w:rPr>
        <w:t>2015,</w:t>
      </w:r>
    </w:p>
    <w:p w:rsidR="00DC75C5" w:rsidRPr="00916728" w:rsidRDefault="00DC75C5" w:rsidP="007965B3">
      <w:pPr>
        <w:pStyle w:val="SingleTxtG"/>
        <w:ind w:left="1138" w:right="1138" w:firstLine="562"/>
        <w:rPr>
          <w:lang w:val="fr-FR"/>
        </w:rPr>
      </w:pPr>
      <w:r w:rsidRPr="00916728">
        <w:rPr>
          <w:i/>
          <w:iCs/>
          <w:lang w:val="fr-FR"/>
        </w:rPr>
        <w:t>Ayant achevé</w:t>
      </w:r>
      <w:r w:rsidRPr="00916728">
        <w:rPr>
          <w:lang w:val="fr-FR"/>
        </w:rPr>
        <w:t xml:space="preserve"> l</w:t>
      </w:r>
      <w:r w:rsidR="001B7936" w:rsidRPr="00916728">
        <w:rPr>
          <w:lang w:val="fr-FR"/>
        </w:rPr>
        <w:t>’</w:t>
      </w:r>
      <w:r w:rsidRPr="00916728">
        <w:rPr>
          <w:lang w:val="fr-FR"/>
        </w:rPr>
        <w:t xml:space="preserve">examen de la communication </w:t>
      </w:r>
      <w:r w:rsidR="003E57A9" w:rsidRPr="00916728">
        <w:rPr>
          <w:rFonts w:eastAsia="MS Mincho"/>
          <w:lang w:val="fr-FR"/>
        </w:rPr>
        <w:t>n</w:t>
      </w:r>
      <w:r w:rsidR="003E57A9" w:rsidRPr="00916728">
        <w:rPr>
          <w:rFonts w:eastAsia="MS Mincho"/>
          <w:vertAlign w:val="superscript"/>
          <w:lang w:val="fr-FR"/>
        </w:rPr>
        <w:t>o</w:t>
      </w:r>
      <w:r w:rsidR="003E57A9" w:rsidRPr="00916728">
        <w:rPr>
          <w:lang w:val="fr-FR"/>
        </w:rPr>
        <w:t> </w:t>
      </w:r>
      <w:r w:rsidR="008A1C3B" w:rsidRPr="00916728">
        <w:rPr>
          <w:lang w:val="fr-FR"/>
        </w:rPr>
        <w:t>2284/2013</w:t>
      </w:r>
      <w:r w:rsidRPr="00916728">
        <w:rPr>
          <w:lang w:val="fr-FR"/>
        </w:rPr>
        <w:t xml:space="preserve"> présentée au nom de </w:t>
      </w:r>
      <w:r w:rsidR="007474CD" w:rsidRPr="00916728">
        <w:rPr>
          <w:lang w:val="fr-FR"/>
        </w:rPr>
        <w:t>F.</w:t>
      </w:r>
      <w:r w:rsidR="00760B13" w:rsidRPr="00916728">
        <w:rPr>
          <w:lang w:val="fr-FR"/>
        </w:rPr>
        <w:t> </w:t>
      </w:r>
      <w:r w:rsidR="007474CD" w:rsidRPr="00916728">
        <w:rPr>
          <w:lang w:val="fr-FR"/>
        </w:rPr>
        <w:t>M.</w:t>
      </w:r>
      <w:r w:rsidR="00424533" w:rsidRPr="00916728">
        <w:rPr>
          <w:lang w:val="fr-FR"/>
        </w:rPr>
        <w:t xml:space="preserve"> </w:t>
      </w:r>
      <w:r w:rsidRPr="00916728">
        <w:rPr>
          <w:lang w:val="fr-FR"/>
        </w:rPr>
        <w:t>en vertu du Protocole facultatif se rapportant au Pacte international relatif aux droits civils et politiques,</w:t>
      </w:r>
    </w:p>
    <w:p w:rsidR="00DC75C5" w:rsidRPr="00916728" w:rsidRDefault="00DC75C5" w:rsidP="003E4DC8">
      <w:pPr>
        <w:pStyle w:val="SingleTxtG"/>
        <w:ind w:left="1138" w:right="1138" w:firstLine="562"/>
      </w:pPr>
      <w:r w:rsidRPr="00916728">
        <w:rPr>
          <w:i/>
          <w:lang w:val="fr-FR"/>
        </w:rPr>
        <w:t xml:space="preserve">Ayant tenu compte </w:t>
      </w:r>
      <w:r w:rsidRPr="00916728">
        <w:rPr>
          <w:lang w:val="fr-FR"/>
        </w:rPr>
        <w:t>de toutes les informations écrites qui lui ont été communiquées par l</w:t>
      </w:r>
      <w:r w:rsidR="001B7936" w:rsidRPr="00916728">
        <w:rPr>
          <w:lang w:val="fr-FR"/>
        </w:rPr>
        <w:t>’</w:t>
      </w:r>
      <w:r w:rsidRPr="00916728">
        <w:rPr>
          <w:lang w:val="fr-FR"/>
        </w:rPr>
        <w:t>auteur de la communication et l</w:t>
      </w:r>
      <w:r w:rsidR="001B7936" w:rsidRPr="00916728">
        <w:rPr>
          <w:lang w:val="fr-FR"/>
        </w:rPr>
        <w:t>’</w:t>
      </w:r>
      <w:r w:rsidRPr="00916728">
        <w:rPr>
          <w:lang w:val="fr-FR"/>
        </w:rPr>
        <w:t>État partie,</w:t>
      </w:r>
    </w:p>
    <w:p w:rsidR="00297576" w:rsidRPr="00916728" w:rsidRDefault="00297576" w:rsidP="00D82B2D">
      <w:pPr>
        <w:pStyle w:val="SingleTxtG"/>
        <w:ind w:right="0" w:firstLine="567"/>
      </w:pPr>
      <w:r w:rsidRPr="00916728">
        <w:rPr>
          <w:i/>
        </w:rPr>
        <w:t>Adopte</w:t>
      </w:r>
      <w:r w:rsidRPr="00916728">
        <w:t xml:space="preserve"> ce qui suit</w:t>
      </w:r>
      <w:r w:rsidR="001A12FA" w:rsidRPr="00916728">
        <w:t> :</w:t>
      </w:r>
    </w:p>
    <w:p w:rsidR="00DC75C5" w:rsidRPr="00A172E4" w:rsidRDefault="00DC75C5" w:rsidP="00D82B2D">
      <w:pPr>
        <w:pStyle w:val="H1G"/>
        <w:spacing w:before="320" w:after="200"/>
        <w:ind w:right="0"/>
        <w:rPr>
          <w:lang w:val="fr-FR"/>
        </w:rPr>
      </w:pPr>
      <w:r w:rsidRPr="00916728">
        <w:rPr>
          <w:lang w:val="fr-FR"/>
        </w:rPr>
        <w:tab/>
      </w:r>
      <w:r w:rsidRPr="00916728">
        <w:rPr>
          <w:lang w:val="fr-FR"/>
        </w:rPr>
        <w:tab/>
        <w:t>Constatations au titre du paragraphe 4 de l</w:t>
      </w:r>
      <w:r w:rsidR="001B7936" w:rsidRPr="00916728">
        <w:rPr>
          <w:lang w:val="fr-FR"/>
        </w:rPr>
        <w:t>’</w:t>
      </w:r>
      <w:r w:rsidRPr="00916728">
        <w:rPr>
          <w:lang w:val="fr-FR"/>
        </w:rPr>
        <w:t>article 5</w:t>
      </w:r>
      <w:r w:rsidRPr="00916728">
        <w:rPr>
          <w:lang w:val="fr-FR"/>
        </w:rPr>
        <w:br/>
        <w:t>du Protocole facultatif</w:t>
      </w:r>
    </w:p>
    <w:p w:rsidR="0008708C" w:rsidRPr="00D07AFA" w:rsidRDefault="00DC75C5" w:rsidP="006D3524">
      <w:pPr>
        <w:pStyle w:val="SingleTxtG"/>
        <w:ind w:left="1138" w:right="1138"/>
        <w:rPr>
          <w:lang w:val="fr-FR"/>
        </w:rPr>
      </w:pPr>
      <w:r w:rsidRPr="00D07AFA">
        <w:rPr>
          <w:lang w:val="fr-FR"/>
        </w:rPr>
        <w:t>1.1</w:t>
      </w:r>
      <w:r w:rsidRPr="00D07AFA">
        <w:rPr>
          <w:lang w:val="fr-FR"/>
        </w:rPr>
        <w:tab/>
        <w:t>L</w:t>
      </w:r>
      <w:r w:rsidR="001B7936" w:rsidRPr="00D07AFA">
        <w:rPr>
          <w:lang w:val="fr-FR"/>
        </w:rPr>
        <w:t>’</w:t>
      </w:r>
      <w:r w:rsidRPr="00D07AFA">
        <w:rPr>
          <w:lang w:val="fr-FR"/>
        </w:rPr>
        <w:t>auteur</w:t>
      </w:r>
      <w:r w:rsidR="00130F86" w:rsidRPr="00D07AFA">
        <w:rPr>
          <w:lang w:val="fr-FR"/>
        </w:rPr>
        <w:t xml:space="preserve"> de la communication</w:t>
      </w:r>
      <w:r w:rsidR="008A1C3B" w:rsidRPr="00D07AFA">
        <w:rPr>
          <w:lang w:val="fr-FR"/>
        </w:rPr>
        <w:t xml:space="preserve"> datée du 16 </w:t>
      </w:r>
      <w:r w:rsidRPr="00D07AFA">
        <w:rPr>
          <w:lang w:val="fr-FR"/>
        </w:rPr>
        <w:t>août 201</w:t>
      </w:r>
      <w:r w:rsidR="008A1C3B" w:rsidRPr="00D07AFA">
        <w:rPr>
          <w:lang w:val="fr-FR"/>
        </w:rPr>
        <w:t>3</w:t>
      </w:r>
      <w:r w:rsidRPr="00D07AFA">
        <w:rPr>
          <w:lang w:val="fr-FR"/>
        </w:rPr>
        <w:t xml:space="preserve">, est </w:t>
      </w:r>
      <w:r w:rsidR="007474CD">
        <w:rPr>
          <w:lang w:val="fr-FR"/>
        </w:rPr>
        <w:t>F. M.</w:t>
      </w:r>
      <w:r w:rsidRPr="00D07AFA">
        <w:rPr>
          <w:lang w:val="fr-FR"/>
        </w:rPr>
        <w:t xml:space="preserve">, de nationalité </w:t>
      </w:r>
      <w:r w:rsidR="008A1C3B" w:rsidRPr="00D07AFA">
        <w:rPr>
          <w:lang w:val="fr-FR"/>
        </w:rPr>
        <w:t>tchadienne</w:t>
      </w:r>
      <w:r w:rsidR="00364797" w:rsidRPr="00D07AFA">
        <w:rPr>
          <w:lang w:val="fr-FR"/>
        </w:rPr>
        <w:t>,</w:t>
      </w:r>
      <w:r w:rsidRPr="00D07AFA">
        <w:rPr>
          <w:lang w:val="fr-FR"/>
        </w:rPr>
        <w:t xml:space="preserve"> né le </w:t>
      </w:r>
      <w:r w:rsidR="008A1C3B" w:rsidRPr="00D07AFA">
        <w:rPr>
          <w:lang w:val="fr-FR"/>
        </w:rPr>
        <w:t>1</w:t>
      </w:r>
      <w:r w:rsidR="008A1C3B" w:rsidRPr="00C02A0D">
        <w:rPr>
          <w:vertAlign w:val="superscript"/>
          <w:lang w:val="fr-FR"/>
        </w:rPr>
        <w:t>er</w:t>
      </w:r>
      <w:r w:rsidR="00C02653">
        <w:rPr>
          <w:lang w:val="fr-FR"/>
        </w:rPr>
        <w:t xml:space="preserve"> </w:t>
      </w:r>
      <w:r w:rsidR="008A1C3B" w:rsidRPr="00D07AFA">
        <w:rPr>
          <w:lang w:val="fr-FR"/>
        </w:rPr>
        <w:t>novembre 1975 à Moundou</w:t>
      </w:r>
      <w:r w:rsidR="00481233">
        <w:rPr>
          <w:lang w:val="fr-FR"/>
        </w:rPr>
        <w:t xml:space="preserve"> (</w:t>
      </w:r>
      <w:r w:rsidR="008A1C3B" w:rsidRPr="00D07AFA">
        <w:rPr>
          <w:lang w:val="fr-FR"/>
        </w:rPr>
        <w:t>Tchad</w:t>
      </w:r>
      <w:r w:rsidR="00481233">
        <w:rPr>
          <w:lang w:val="fr-FR"/>
        </w:rPr>
        <w:t>); il</w:t>
      </w:r>
      <w:r w:rsidR="008A1C3B" w:rsidRPr="00D07AFA">
        <w:rPr>
          <w:lang w:val="fr-FR"/>
        </w:rPr>
        <w:t xml:space="preserve"> </w:t>
      </w:r>
      <w:r w:rsidR="00364797" w:rsidRPr="00D07AFA">
        <w:rPr>
          <w:lang w:val="fr-FR"/>
        </w:rPr>
        <w:t>e</w:t>
      </w:r>
      <w:r w:rsidR="00481233">
        <w:rPr>
          <w:lang w:val="fr-FR"/>
        </w:rPr>
        <w:t>s</w:t>
      </w:r>
      <w:r w:rsidR="00364797" w:rsidRPr="00D07AFA">
        <w:rPr>
          <w:lang w:val="fr-FR"/>
        </w:rPr>
        <w:t xml:space="preserve">t </w:t>
      </w:r>
      <w:r w:rsidR="008A1C3B" w:rsidRPr="00D07AFA">
        <w:rPr>
          <w:lang w:val="fr-FR"/>
        </w:rPr>
        <w:t>menacé d’expulsion vers le Tchad</w:t>
      </w:r>
      <w:r w:rsidRPr="00D07AFA">
        <w:rPr>
          <w:lang w:val="fr-FR"/>
        </w:rPr>
        <w:t xml:space="preserve">. Il affirme que </w:t>
      </w:r>
      <w:r w:rsidR="00481233">
        <w:rPr>
          <w:lang w:val="fr-FR"/>
        </w:rPr>
        <w:t xml:space="preserve">si </w:t>
      </w:r>
      <w:r w:rsidR="00481233" w:rsidRPr="00D07AFA">
        <w:rPr>
          <w:lang w:val="fr-FR"/>
        </w:rPr>
        <w:t xml:space="preserve">l’État partie </w:t>
      </w:r>
      <w:r w:rsidRPr="00D07AFA">
        <w:rPr>
          <w:lang w:val="fr-FR"/>
        </w:rPr>
        <w:t>l</w:t>
      </w:r>
      <w:r w:rsidR="001B7936" w:rsidRPr="00D07AFA">
        <w:rPr>
          <w:lang w:val="fr-FR"/>
        </w:rPr>
        <w:t>’</w:t>
      </w:r>
      <w:r w:rsidRPr="00D07AFA">
        <w:rPr>
          <w:lang w:val="fr-FR"/>
        </w:rPr>
        <w:t xml:space="preserve">expulsait, </w:t>
      </w:r>
      <w:r w:rsidR="00481233">
        <w:rPr>
          <w:lang w:val="fr-FR"/>
        </w:rPr>
        <w:t xml:space="preserve">il </w:t>
      </w:r>
      <w:r w:rsidRPr="00D07AFA">
        <w:rPr>
          <w:lang w:val="fr-FR"/>
        </w:rPr>
        <w:t xml:space="preserve">violerait les articles 2, 6 (par. 1), 7 </w:t>
      </w:r>
      <w:r w:rsidR="008A1C3B" w:rsidRPr="00D07AFA">
        <w:rPr>
          <w:lang w:val="fr-FR"/>
        </w:rPr>
        <w:t>et 13</w:t>
      </w:r>
      <w:r w:rsidRPr="00D07AFA">
        <w:rPr>
          <w:lang w:val="fr-FR"/>
        </w:rPr>
        <w:t xml:space="preserve"> du Pacte international relatif aux droits civils et politiques. L</w:t>
      </w:r>
      <w:r w:rsidR="001B7936" w:rsidRPr="00D07AFA">
        <w:rPr>
          <w:lang w:val="fr-FR"/>
        </w:rPr>
        <w:t>’</w:t>
      </w:r>
      <w:r w:rsidRPr="00D07AFA">
        <w:rPr>
          <w:lang w:val="fr-FR"/>
        </w:rPr>
        <w:t>auteur est représenté.</w:t>
      </w:r>
      <w:r w:rsidR="0008708C" w:rsidRPr="00D07AFA">
        <w:rPr>
          <w:lang w:val="fr-FR"/>
        </w:rPr>
        <w:t xml:space="preserve"> Le Protocole facultatif est entré en vigueur pour le Canada </w:t>
      </w:r>
      <w:r w:rsidR="0008708C" w:rsidRPr="008A2B7A">
        <w:rPr>
          <w:lang w:val="fr-FR"/>
        </w:rPr>
        <w:t xml:space="preserve">le 19 </w:t>
      </w:r>
      <w:r w:rsidR="006D3524" w:rsidRPr="000F3E57">
        <w:rPr>
          <w:lang w:val="fr-FR"/>
        </w:rPr>
        <w:t xml:space="preserve">août </w:t>
      </w:r>
      <w:r w:rsidR="0008708C" w:rsidRPr="008A2B7A">
        <w:rPr>
          <w:lang w:val="fr-FR"/>
        </w:rPr>
        <w:t>1976.</w:t>
      </w:r>
    </w:p>
    <w:p w:rsidR="00DC75C5" w:rsidRPr="00916728" w:rsidRDefault="00DC75C5" w:rsidP="00741CCD">
      <w:pPr>
        <w:pStyle w:val="SingleTxtG"/>
        <w:rPr>
          <w:lang w:val="fr-FR"/>
        </w:rPr>
      </w:pPr>
      <w:r w:rsidRPr="00A172E4">
        <w:rPr>
          <w:lang w:val="fr-FR"/>
        </w:rPr>
        <w:t>1.2</w:t>
      </w:r>
      <w:r w:rsidRPr="00A172E4">
        <w:rPr>
          <w:lang w:val="fr-FR"/>
        </w:rPr>
        <w:tab/>
      </w:r>
      <w:r w:rsidRPr="00916728">
        <w:rPr>
          <w:lang w:val="fr-FR"/>
        </w:rPr>
        <w:t>Le 2</w:t>
      </w:r>
      <w:r w:rsidR="00D84B13" w:rsidRPr="00916728">
        <w:rPr>
          <w:lang w:val="fr-FR"/>
        </w:rPr>
        <w:t>3</w:t>
      </w:r>
      <w:r w:rsidRPr="00916728">
        <w:rPr>
          <w:lang w:val="fr-FR"/>
        </w:rPr>
        <w:t> août 201</w:t>
      </w:r>
      <w:r w:rsidR="00D84B13" w:rsidRPr="00916728">
        <w:rPr>
          <w:lang w:val="fr-FR"/>
        </w:rPr>
        <w:t>3</w:t>
      </w:r>
      <w:r w:rsidRPr="00916728">
        <w:rPr>
          <w:lang w:val="fr-FR"/>
        </w:rPr>
        <w:t>, en application de l</w:t>
      </w:r>
      <w:r w:rsidR="001B7936" w:rsidRPr="00916728">
        <w:rPr>
          <w:lang w:val="fr-FR"/>
        </w:rPr>
        <w:t>’</w:t>
      </w:r>
      <w:r w:rsidRPr="00916728">
        <w:rPr>
          <w:lang w:val="fr-FR"/>
        </w:rPr>
        <w:t xml:space="preserve">article 92 de son </w:t>
      </w:r>
      <w:r w:rsidR="003E57A9" w:rsidRPr="00916728">
        <w:rPr>
          <w:lang w:val="fr-FR"/>
        </w:rPr>
        <w:t>r</w:t>
      </w:r>
      <w:r w:rsidRPr="00916728">
        <w:rPr>
          <w:lang w:val="fr-FR"/>
        </w:rPr>
        <w:t>èglement intérieur, le Comité, agissant par l</w:t>
      </w:r>
      <w:r w:rsidR="001B7936" w:rsidRPr="00916728">
        <w:rPr>
          <w:lang w:val="fr-FR"/>
        </w:rPr>
        <w:t>’</w:t>
      </w:r>
      <w:r w:rsidRPr="00916728">
        <w:rPr>
          <w:lang w:val="fr-FR"/>
        </w:rPr>
        <w:t xml:space="preserve">intermédiaire de son Rapporteur spécial chargé des nouvelles communications et des mesures provisoires, a </w:t>
      </w:r>
      <w:r w:rsidR="00D84B13" w:rsidRPr="00916728">
        <w:rPr>
          <w:lang w:val="fr-FR"/>
        </w:rPr>
        <w:t xml:space="preserve">informé l’auteur qu’il avait rejeté sa demande d’octroi de mesures provisoires demandant </w:t>
      </w:r>
      <w:r w:rsidRPr="00916728">
        <w:rPr>
          <w:lang w:val="fr-FR"/>
        </w:rPr>
        <w:t>à l</w:t>
      </w:r>
      <w:r w:rsidR="001B7936" w:rsidRPr="00916728">
        <w:rPr>
          <w:lang w:val="fr-FR"/>
        </w:rPr>
        <w:t>’</w:t>
      </w:r>
      <w:r w:rsidRPr="00916728">
        <w:rPr>
          <w:lang w:val="fr-FR"/>
        </w:rPr>
        <w:t xml:space="preserve">État partie de ne pas </w:t>
      </w:r>
      <w:r w:rsidR="006F18BA" w:rsidRPr="00916728">
        <w:rPr>
          <w:lang w:val="fr-FR"/>
        </w:rPr>
        <w:t>l’</w:t>
      </w:r>
      <w:r w:rsidRPr="00916728">
        <w:rPr>
          <w:lang w:val="fr-FR"/>
        </w:rPr>
        <w:t>expulser</w:t>
      </w:r>
      <w:r w:rsidR="002C7B8F" w:rsidRPr="00916728">
        <w:rPr>
          <w:lang w:val="fr-FR"/>
        </w:rPr>
        <w:t xml:space="preserve"> </w:t>
      </w:r>
      <w:r w:rsidRPr="00916728">
        <w:rPr>
          <w:lang w:val="fr-FR"/>
        </w:rPr>
        <w:t xml:space="preserve">tant que la communication </w:t>
      </w:r>
      <w:r w:rsidR="00D84B13" w:rsidRPr="00916728">
        <w:rPr>
          <w:lang w:val="fr-FR"/>
        </w:rPr>
        <w:t>ser</w:t>
      </w:r>
      <w:r w:rsidRPr="00916728">
        <w:rPr>
          <w:lang w:val="fr-FR"/>
        </w:rPr>
        <w:t>ait à l</w:t>
      </w:r>
      <w:r w:rsidR="001B7936" w:rsidRPr="00916728">
        <w:rPr>
          <w:lang w:val="fr-FR"/>
        </w:rPr>
        <w:t>’</w:t>
      </w:r>
      <w:r w:rsidRPr="00916728">
        <w:rPr>
          <w:lang w:val="fr-FR"/>
        </w:rPr>
        <w:t>examen.</w:t>
      </w:r>
    </w:p>
    <w:p w:rsidR="00DC75C5" w:rsidRPr="00916728" w:rsidRDefault="00DC75C5" w:rsidP="000E7547">
      <w:pPr>
        <w:pStyle w:val="SingleTxtG"/>
        <w:rPr>
          <w:lang w:val="fr-FR"/>
        </w:rPr>
      </w:pPr>
      <w:r w:rsidRPr="00916728">
        <w:rPr>
          <w:lang w:val="fr-FR"/>
        </w:rPr>
        <w:lastRenderedPageBreak/>
        <w:t>1.3</w:t>
      </w:r>
      <w:r w:rsidRPr="00916728">
        <w:rPr>
          <w:lang w:val="fr-FR"/>
        </w:rPr>
        <w:tab/>
        <w:t xml:space="preserve">Le </w:t>
      </w:r>
      <w:r w:rsidR="00D84B13" w:rsidRPr="00916728">
        <w:rPr>
          <w:lang w:val="fr-FR"/>
        </w:rPr>
        <w:t>9 décembre 2013</w:t>
      </w:r>
      <w:r w:rsidRPr="00916728">
        <w:rPr>
          <w:lang w:val="fr-FR"/>
        </w:rPr>
        <w:t xml:space="preserve">, </w:t>
      </w:r>
      <w:r w:rsidR="00D84B13" w:rsidRPr="00916728">
        <w:rPr>
          <w:lang w:val="fr-FR"/>
        </w:rPr>
        <w:t>après examen de nouvelles preuves soumises par l’auteur</w:t>
      </w:r>
      <w:r w:rsidR="007C2F95" w:rsidRPr="00916728">
        <w:rPr>
          <w:lang w:val="fr-FR"/>
        </w:rPr>
        <w:t xml:space="preserve"> le 6</w:t>
      </w:r>
      <w:r w:rsidR="007D4277" w:rsidRPr="00916728">
        <w:rPr>
          <w:lang w:val="fr-FR"/>
        </w:rPr>
        <w:t> </w:t>
      </w:r>
      <w:r w:rsidR="007C2F95" w:rsidRPr="00916728">
        <w:rPr>
          <w:lang w:val="fr-FR"/>
        </w:rPr>
        <w:t>décembre 2013</w:t>
      </w:r>
      <w:r w:rsidR="007C4CE0" w:rsidRPr="00916728">
        <w:rPr>
          <w:lang w:val="fr-FR"/>
        </w:rPr>
        <w:t xml:space="preserve"> (voir le par</w:t>
      </w:r>
      <w:r w:rsidR="000E7547" w:rsidRPr="00916728">
        <w:rPr>
          <w:lang w:val="fr-FR"/>
        </w:rPr>
        <w:t>agraphe</w:t>
      </w:r>
      <w:r w:rsidR="007C4CE0" w:rsidRPr="00916728">
        <w:rPr>
          <w:lang w:val="fr-FR"/>
        </w:rPr>
        <w:t xml:space="preserve"> 2.12 ci-dessous)</w:t>
      </w:r>
      <w:r w:rsidR="00D84B13" w:rsidRPr="00916728">
        <w:rPr>
          <w:lang w:val="fr-FR"/>
        </w:rPr>
        <w:t xml:space="preserve">, le Comité, </w:t>
      </w:r>
      <w:r w:rsidR="007C2F95" w:rsidRPr="00916728">
        <w:rPr>
          <w:lang w:val="fr-FR"/>
        </w:rPr>
        <w:t xml:space="preserve">en application de l’article 92 de son règlement </w:t>
      </w:r>
      <w:r w:rsidR="007C2F95" w:rsidRPr="00916728">
        <w:t>intérieur</w:t>
      </w:r>
      <w:r w:rsidR="007C2F95" w:rsidRPr="00916728">
        <w:rPr>
          <w:lang w:val="fr-FR"/>
        </w:rPr>
        <w:t xml:space="preserve">, et </w:t>
      </w:r>
      <w:r w:rsidR="00D84B13" w:rsidRPr="00916728">
        <w:rPr>
          <w:lang w:val="fr-FR"/>
        </w:rPr>
        <w:t>agissant par l’intermédiaire de son Rapporteur spécial chargé des nouvelles communications et des mesures provisoires, a demandé à l’État partie de ne pas expulser l’auteur vers le Tchad tant que la communication était à l’examen.</w:t>
      </w:r>
      <w:r w:rsidR="00244916" w:rsidRPr="00916728">
        <w:rPr>
          <w:lang w:val="fr-FR"/>
        </w:rPr>
        <w:t xml:space="preserve"> Cette demande a été réitérée auprès de l’</w:t>
      </w:r>
      <w:r w:rsidR="00C02653" w:rsidRPr="00916728">
        <w:rPr>
          <w:lang w:val="fr-FR"/>
        </w:rPr>
        <w:t>État</w:t>
      </w:r>
      <w:r w:rsidR="00244916" w:rsidRPr="00916728">
        <w:rPr>
          <w:lang w:val="fr-FR"/>
        </w:rPr>
        <w:t xml:space="preserve"> partie les 18 décembre 2013 et 5 juin 2014. </w:t>
      </w:r>
    </w:p>
    <w:p w:rsidR="00332861" w:rsidRPr="00916728" w:rsidRDefault="00332861" w:rsidP="00565334">
      <w:pPr>
        <w:pStyle w:val="SingleTxtG"/>
      </w:pPr>
      <w:r w:rsidRPr="00916728">
        <w:t>1.4</w:t>
      </w:r>
      <w:r w:rsidRPr="00916728">
        <w:tab/>
      </w:r>
      <w:r w:rsidRPr="00916728">
        <w:rPr>
          <w:lang w:val="fr-FR"/>
        </w:rPr>
        <w:t>Le 5 février 2014, dans le cadre de ses observations sur la recevabilité et le fond de la communication, l’</w:t>
      </w:r>
      <w:r w:rsidR="00C02653" w:rsidRPr="00916728">
        <w:rPr>
          <w:lang w:val="fr-FR"/>
        </w:rPr>
        <w:t>État</w:t>
      </w:r>
      <w:r w:rsidRPr="00916728">
        <w:rPr>
          <w:lang w:val="fr-FR"/>
        </w:rPr>
        <w:t xml:space="preserve"> partie a informé le Comité qu’il acceptait de surseoir </w:t>
      </w:r>
      <w:r w:rsidRPr="00916728">
        <w:t>temporairement au renvoi de l’auteur.</w:t>
      </w:r>
    </w:p>
    <w:p w:rsidR="00D757A2" w:rsidRPr="00916728" w:rsidRDefault="00C13DBF" w:rsidP="00C13DBF">
      <w:pPr>
        <w:pStyle w:val="H23G"/>
        <w:rPr>
          <w:lang w:val="fr-FR"/>
        </w:rPr>
      </w:pPr>
      <w:r w:rsidRPr="00916728">
        <w:rPr>
          <w:lang w:val="fr-FR"/>
        </w:rPr>
        <w:tab/>
      </w:r>
      <w:r w:rsidRPr="00916728">
        <w:rPr>
          <w:lang w:val="fr-FR"/>
        </w:rPr>
        <w:tab/>
      </w:r>
      <w:r w:rsidR="00DC75C5" w:rsidRPr="00916728">
        <w:rPr>
          <w:lang w:val="fr-FR"/>
        </w:rPr>
        <w:t>Rappel des faits présentés par l</w:t>
      </w:r>
      <w:r w:rsidR="001B7936" w:rsidRPr="00916728">
        <w:rPr>
          <w:lang w:val="fr-FR"/>
        </w:rPr>
        <w:t>’</w:t>
      </w:r>
      <w:r w:rsidR="00DC75C5" w:rsidRPr="00916728">
        <w:rPr>
          <w:lang w:val="fr-FR"/>
        </w:rPr>
        <w:t>auteur</w:t>
      </w:r>
      <w:r w:rsidR="00AF365F" w:rsidRPr="00916728">
        <w:rPr>
          <w:rStyle w:val="FootnoteReference"/>
          <w:b w:val="0"/>
          <w:bCs/>
        </w:rPr>
        <w:footnoteReference w:id="3"/>
      </w:r>
    </w:p>
    <w:p w:rsidR="00D757A2" w:rsidRDefault="007B1151">
      <w:pPr>
        <w:pStyle w:val="SingleTxtG"/>
        <w:rPr>
          <w:lang w:val="fr-FR"/>
        </w:rPr>
      </w:pPr>
      <w:r w:rsidRPr="00916728">
        <w:rPr>
          <w:lang w:val="fr-FR"/>
        </w:rPr>
        <w:t>2.1</w:t>
      </w:r>
      <w:r w:rsidRPr="00916728">
        <w:rPr>
          <w:lang w:val="fr-FR"/>
        </w:rPr>
        <w:tab/>
      </w:r>
      <w:r w:rsidR="002F0DD5">
        <w:rPr>
          <w:lang w:val="fr-FR"/>
        </w:rPr>
        <w:t>À la s</w:t>
      </w:r>
      <w:r w:rsidRPr="00916728">
        <w:rPr>
          <w:lang w:val="fr-FR"/>
        </w:rPr>
        <w:t xml:space="preserve">uite </w:t>
      </w:r>
      <w:r w:rsidR="002F0DD5">
        <w:rPr>
          <w:lang w:val="fr-FR"/>
        </w:rPr>
        <w:t xml:space="preserve">des </w:t>
      </w:r>
      <w:r w:rsidRPr="00916728">
        <w:rPr>
          <w:lang w:val="fr-FR"/>
        </w:rPr>
        <w:t>év</w:t>
      </w:r>
      <w:r w:rsidR="000E7547" w:rsidRPr="00916728">
        <w:rPr>
          <w:lang w:val="fr-FR"/>
        </w:rPr>
        <w:t>é</w:t>
      </w:r>
      <w:r w:rsidRPr="00916728">
        <w:rPr>
          <w:lang w:val="fr-FR"/>
        </w:rPr>
        <w:t>nements qui ont eu lieu à N’Djamena</w:t>
      </w:r>
      <w:r w:rsidR="000E7547" w:rsidRPr="00916728">
        <w:rPr>
          <w:lang w:val="fr-FR"/>
        </w:rPr>
        <w:t>,</w:t>
      </w:r>
      <w:r w:rsidRPr="00916728">
        <w:rPr>
          <w:lang w:val="fr-FR"/>
        </w:rPr>
        <w:t xml:space="preserve"> les 2 et 3 février 2008</w:t>
      </w:r>
      <w:r w:rsidR="00F326F1" w:rsidRPr="000F3E57">
        <w:rPr>
          <w:bCs/>
          <w:lang w:val="fr-FR"/>
        </w:rPr>
        <w:t>,</w:t>
      </w:r>
      <w:r w:rsidRPr="00916728">
        <w:rPr>
          <w:lang w:val="fr-FR"/>
        </w:rPr>
        <w:t xml:space="preserve"> au</w:t>
      </w:r>
      <w:r w:rsidRPr="007B1151">
        <w:rPr>
          <w:lang w:val="fr-FR"/>
        </w:rPr>
        <w:t xml:space="preserve"> cours desquels les rebelles ont attaqué et pris temporairement le contrôle de la capitale, l’auteur et sa famille ont quitté leur résidence pour se réfugier à Kousseri. Pendant leur absence, et comme leur résidence était l’une des seules munie d’un puits, les rebelles sont entrés dans leur maison et ont profité de l’accès à l’eau. Après que les rebelles </w:t>
      </w:r>
      <w:r w:rsidR="000E7547">
        <w:rPr>
          <w:lang w:val="fr-FR"/>
        </w:rPr>
        <w:t>o</w:t>
      </w:r>
      <w:r w:rsidRPr="007B1151">
        <w:rPr>
          <w:lang w:val="fr-FR"/>
        </w:rPr>
        <w:t>nt été chassés de la ville, l’auteur et sa famille ont pu revenir dans leur maison. Dans la nuit du 20</w:t>
      </w:r>
      <w:r w:rsidR="00360592">
        <w:rPr>
          <w:lang w:val="fr-FR"/>
        </w:rPr>
        <w:t> </w:t>
      </w:r>
      <w:r w:rsidRPr="007B1151">
        <w:rPr>
          <w:lang w:val="fr-FR"/>
        </w:rPr>
        <w:t>mars 2008, soit le</w:t>
      </w:r>
      <w:r w:rsidR="00F326F1">
        <w:rPr>
          <w:b/>
          <w:lang w:val="fr-FR"/>
        </w:rPr>
        <w:t xml:space="preserve"> </w:t>
      </w:r>
      <w:r w:rsidR="00F326F1" w:rsidRPr="00D757A2">
        <w:rPr>
          <w:lang w:val="fr-FR"/>
        </w:rPr>
        <w:t>lendemain de leur retour</w:t>
      </w:r>
      <w:r w:rsidR="000E7547">
        <w:rPr>
          <w:lang w:val="fr-FR"/>
        </w:rPr>
        <w:t>,</w:t>
      </w:r>
      <w:r w:rsidR="00F326F1" w:rsidRPr="00D757A2">
        <w:rPr>
          <w:lang w:val="fr-FR"/>
        </w:rPr>
        <w:t xml:space="preserve"> vers une</w:t>
      </w:r>
      <w:r w:rsidRPr="007B1151">
        <w:rPr>
          <w:lang w:val="fr-FR"/>
        </w:rPr>
        <w:t xml:space="preserve"> heure du matin, l’auteur a été réveillé par une douzaine d’hommes enturbannés qui se sont présentés comme étant membres de l’</w:t>
      </w:r>
      <w:r w:rsidR="005A5A41">
        <w:rPr>
          <w:lang w:val="fr-FR"/>
        </w:rPr>
        <w:t>A</w:t>
      </w:r>
      <w:r w:rsidRPr="007B1151">
        <w:rPr>
          <w:lang w:val="fr-FR"/>
        </w:rPr>
        <w:t xml:space="preserve">gence nationale de sécurité. Ils l’ont accusé d’avoir aidé les rebelles en les laissant entrer chez lui pour y puiser de l’eau. Sans le laisser donner d’explication, certains l’ont giflé </w:t>
      </w:r>
      <w:r w:rsidR="000E7547">
        <w:rPr>
          <w:lang w:val="fr-FR"/>
        </w:rPr>
        <w:t xml:space="preserve">puis </w:t>
      </w:r>
      <w:r w:rsidRPr="007B1151">
        <w:rPr>
          <w:lang w:val="fr-FR"/>
        </w:rPr>
        <w:t>l’</w:t>
      </w:r>
      <w:r w:rsidR="000E7547">
        <w:rPr>
          <w:lang w:val="fr-FR"/>
        </w:rPr>
        <w:t xml:space="preserve">ont </w:t>
      </w:r>
      <w:r w:rsidRPr="007B1151">
        <w:rPr>
          <w:lang w:val="fr-FR"/>
        </w:rPr>
        <w:t>emmen</w:t>
      </w:r>
      <w:r w:rsidR="000E7547">
        <w:rPr>
          <w:lang w:val="fr-FR"/>
        </w:rPr>
        <w:t>é</w:t>
      </w:r>
      <w:r w:rsidRPr="007B1151">
        <w:rPr>
          <w:lang w:val="fr-FR"/>
        </w:rPr>
        <w:t xml:space="preserve"> dans un lieu </w:t>
      </w:r>
      <w:r w:rsidRPr="00D757A2">
        <w:rPr>
          <w:lang w:val="fr-FR"/>
        </w:rPr>
        <w:t>s</w:t>
      </w:r>
      <w:r w:rsidR="007128D6" w:rsidRPr="00D757A2">
        <w:rPr>
          <w:lang w:val="fr-FR"/>
        </w:rPr>
        <w:t xml:space="preserve">ecret en lui bandant les yeux. </w:t>
      </w:r>
    </w:p>
    <w:p w:rsidR="00A33D3A" w:rsidRDefault="007B1151" w:rsidP="00D653B7">
      <w:pPr>
        <w:pStyle w:val="SingleTxtG"/>
        <w:rPr>
          <w:lang w:val="fr-FR"/>
        </w:rPr>
      </w:pPr>
      <w:r w:rsidRPr="007B1151">
        <w:rPr>
          <w:lang w:val="fr-FR"/>
        </w:rPr>
        <w:t>2.2</w:t>
      </w:r>
      <w:r w:rsidRPr="007B1151">
        <w:rPr>
          <w:lang w:val="fr-FR"/>
        </w:rPr>
        <w:tab/>
      </w:r>
      <w:r w:rsidR="000E7547">
        <w:rPr>
          <w:lang w:val="fr-FR"/>
        </w:rPr>
        <w:t xml:space="preserve">Pendant sa </w:t>
      </w:r>
      <w:r w:rsidRPr="007B1151">
        <w:rPr>
          <w:lang w:val="fr-FR"/>
        </w:rPr>
        <w:t xml:space="preserve">détention </w:t>
      </w:r>
      <w:r w:rsidRPr="000F3E57">
        <w:rPr>
          <w:i/>
          <w:iCs/>
          <w:lang w:val="fr-FR"/>
        </w:rPr>
        <w:t>incommunicado</w:t>
      </w:r>
      <w:r w:rsidRPr="007B1151">
        <w:rPr>
          <w:lang w:val="fr-FR"/>
        </w:rPr>
        <w:t xml:space="preserve">, l’auteur a été questionné sur ses déplacements durant la guerre, sur </w:t>
      </w:r>
      <w:r w:rsidR="00694EF3" w:rsidRPr="007B1151">
        <w:rPr>
          <w:lang w:val="fr-FR"/>
        </w:rPr>
        <w:t xml:space="preserve">l’Association pour la </w:t>
      </w:r>
      <w:r w:rsidR="00F63B31">
        <w:rPr>
          <w:lang w:val="fr-FR"/>
        </w:rPr>
        <w:t>p</w:t>
      </w:r>
      <w:r w:rsidR="00694EF3" w:rsidRPr="007B1151">
        <w:rPr>
          <w:lang w:val="fr-FR"/>
        </w:rPr>
        <w:t xml:space="preserve">romotion des </w:t>
      </w:r>
      <w:r w:rsidR="00F63B31">
        <w:rPr>
          <w:lang w:val="fr-FR"/>
        </w:rPr>
        <w:t>l</w:t>
      </w:r>
      <w:r w:rsidR="00694EF3" w:rsidRPr="007B1151">
        <w:rPr>
          <w:lang w:val="fr-FR"/>
        </w:rPr>
        <w:t>ibertés</w:t>
      </w:r>
      <w:r w:rsidR="00694EF3">
        <w:rPr>
          <w:b/>
          <w:lang w:val="fr-FR"/>
        </w:rPr>
        <w:t xml:space="preserve"> </w:t>
      </w:r>
      <w:r w:rsidR="00F63B31">
        <w:rPr>
          <w:lang w:val="fr-FR"/>
        </w:rPr>
        <w:t>f</w:t>
      </w:r>
      <w:r w:rsidR="00694EF3" w:rsidRPr="00D757A2">
        <w:rPr>
          <w:lang w:val="fr-FR"/>
        </w:rPr>
        <w:t xml:space="preserve">ondamentales au Tchad </w:t>
      </w:r>
      <w:r w:rsidR="00694EF3">
        <w:rPr>
          <w:lang w:val="fr-FR"/>
        </w:rPr>
        <w:t xml:space="preserve">dont il était membre, </w:t>
      </w:r>
      <w:r w:rsidRPr="007B1151">
        <w:rPr>
          <w:lang w:val="fr-FR"/>
        </w:rPr>
        <w:t>sur leur président et sur la rébellion en général. Il a été</w:t>
      </w:r>
      <w:r w:rsidR="00694EF3">
        <w:rPr>
          <w:lang w:val="fr-FR"/>
        </w:rPr>
        <w:t xml:space="preserve"> battu, menacé et intimidé. Il </w:t>
      </w:r>
      <w:r w:rsidRPr="007B1151">
        <w:rPr>
          <w:lang w:val="fr-FR"/>
        </w:rPr>
        <w:t xml:space="preserve">a gardé une cicatrice sur la jambe gauche. La détention de l’auteur a duré quatre jours, soit jusqu’au 24 </w:t>
      </w:r>
      <w:r w:rsidR="00247B86">
        <w:rPr>
          <w:lang w:val="fr-FR"/>
        </w:rPr>
        <w:t>mars</w:t>
      </w:r>
      <w:r w:rsidRPr="007B1151">
        <w:rPr>
          <w:lang w:val="fr-FR"/>
        </w:rPr>
        <w:t xml:space="preserve"> 2008, </w:t>
      </w:r>
      <w:r w:rsidR="001F155A">
        <w:rPr>
          <w:lang w:val="fr-FR"/>
        </w:rPr>
        <w:t>lorsqu’</w:t>
      </w:r>
      <w:r w:rsidRPr="007B1151">
        <w:rPr>
          <w:lang w:val="fr-FR"/>
        </w:rPr>
        <w:t xml:space="preserve">un officier lui a proposé de le libérer en échange de sa voiture. L’officier lui a également dit que s’il refusait, il serait exécuté comme les autres qui </w:t>
      </w:r>
      <w:r w:rsidR="00481233">
        <w:rPr>
          <w:lang w:val="fr-FR"/>
        </w:rPr>
        <w:t>avaie</w:t>
      </w:r>
      <w:r w:rsidRPr="007B1151">
        <w:rPr>
          <w:lang w:val="fr-FR"/>
        </w:rPr>
        <w:t xml:space="preserve">nt soutenu les rebelles. L’auteur a accepté de signer les documents pour sa libération. L’officier qui </w:t>
      </w:r>
      <w:r w:rsidR="001F155A">
        <w:rPr>
          <w:lang w:val="fr-FR"/>
        </w:rPr>
        <w:t>l’</w:t>
      </w:r>
      <w:r w:rsidRPr="007B1151">
        <w:rPr>
          <w:lang w:val="fr-FR"/>
        </w:rPr>
        <w:t xml:space="preserve">a aidé à </w:t>
      </w:r>
      <w:r w:rsidR="00082EFD" w:rsidRPr="00D757A2">
        <w:rPr>
          <w:lang w:val="fr-FR"/>
        </w:rPr>
        <w:t>s’échapp</w:t>
      </w:r>
      <w:r w:rsidR="001F155A">
        <w:rPr>
          <w:lang w:val="fr-FR"/>
        </w:rPr>
        <w:t>er</w:t>
      </w:r>
      <w:r w:rsidRPr="007B1151">
        <w:rPr>
          <w:lang w:val="fr-FR"/>
        </w:rPr>
        <w:t xml:space="preserve"> l’a </w:t>
      </w:r>
      <w:r w:rsidR="000E7547">
        <w:rPr>
          <w:lang w:val="fr-FR"/>
        </w:rPr>
        <w:t>conduit</w:t>
      </w:r>
      <w:r w:rsidR="000E7547" w:rsidRPr="007B1151">
        <w:rPr>
          <w:lang w:val="fr-FR"/>
        </w:rPr>
        <w:t xml:space="preserve"> </w:t>
      </w:r>
      <w:r w:rsidRPr="007B1151">
        <w:rPr>
          <w:lang w:val="fr-FR"/>
        </w:rPr>
        <w:t xml:space="preserve">jusqu’à la frontière </w:t>
      </w:r>
      <w:r w:rsidR="000E7547">
        <w:rPr>
          <w:lang w:val="fr-FR"/>
        </w:rPr>
        <w:t xml:space="preserve">avec le </w:t>
      </w:r>
      <w:r w:rsidRPr="007B1151">
        <w:rPr>
          <w:lang w:val="fr-FR"/>
        </w:rPr>
        <w:t>Cameroun</w:t>
      </w:r>
      <w:r w:rsidR="001F155A">
        <w:rPr>
          <w:lang w:val="fr-FR"/>
        </w:rPr>
        <w:t xml:space="preserve"> où l’intéressé</w:t>
      </w:r>
      <w:r w:rsidRPr="007B1151">
        <w:rPr>
          <w:lang w:val="fr-FR"/>
        </w:rPr>
        <w:t xml:space="preserve"> a pu</w:t>
      </w:r>
      <w:r w:rsidR="001F155A">
        <w:rPr>
          <w:lang w:val="fr-FR"/>
        </w:rPr>
        <w:t>, grâce à l’aide de</w:t>
      </w:r>
      <w:r w:rsidRPr="007B1151">
        <w:rPr>
          <w:lang w:val="fr-FR"/>
        </w:rPr>
        <w:t xml:space="preserve"> son employeur</w:t>
      </w:r>
      <w:r w:rsidR="001F155A">
        <w:rPr>
          <w:lang w:val="fr-FR"/>
        </w:rPr>
        <w:t>,</w:t>
      </w:r>
      <w:r w:rsidRPr="007B1151">
        <w:rPr>
          <w:lang w:val="fr-FR"/>
        </w:rPr>
        <w:t xml:space="preserve"> obtenir un visa pour les </w:t>
      </w:r>
      <w:r w:rsidR="00C02653">
        <w:rPr>
          <w:lang w:val="fr-FR"/>
        </w:rPr>
        <w:t>État</w:t>
      </w:r>
      <w:r w:rsidRPr="007B1151">
        <w:rPr>
          <w:lang w:val="fr-FR"/>
        </w:rPr>
        <w:t>s-Unis. Pendant qu’il était au Cameroun, l’auteur a appris que sa maison ainsi que plusieurs autres du quartier avaient été détruites par le feu. Il a aussi appris que les agents de l’</w:t>
      </w:r>
      <w:r w:rsidR="005A5A41">
        <w:rPr>
          <w:lang w:val="fr-FR"/>
        </w:rPr>
        <w:t>A</w:t>
      </w:r>
      <w:r w:rsidR="005A5A41" w:rsidRPr="007B1151">
        <w:rPr>
          <w:lang w:val="fr-FR"/>
        </w:rPr>
        <w:t>gence nationale de sécurité</w:t>
      </w:r>
      <w:r w:rsidRPr="007B1151">
        <w:rPr>
          <w:lang w:val="fr-FR"/>
        </w:rPr>
        <w:t xml:space="preserve"> le recherchaient toujours. Les </w:t>
      </w:r>
      <w:r w:rsidR="002F4B62">
        <w:rPr>
          <w:lang w:val="fr-FR"/>
        </w:rPr>
        <w:t xml:space="preserve">trois </w:t>
      </w:r>
      <w:r w:rsidRPr="007B1151">
        <w:rPr>
          <w:lang w:val="fr-FR"/>
        </w:rPr>
        <w:t>enfants de l’auteur</w:t>
      </w:r>
      <w:r w:rsidR="00110DAF" w:rsidRPr="000F3E57">
        <w:rPr>
          <w:bCs/>
          <w:lang w:val="fr-FR"/>
        </w:rPr>
        <w:t>,</w:t>
      </w:r>
      <w:r w:rsidR="00110DAF">
        <w:rPr>
          <w:b/>
          <w:lang w:val="fr-FR"/>
        </w:rPr>
        <w:t xml:space="preserve"> </w:t>
      </w:r>
      <w:r w:rsidR="00110DAF" w:rsidRPr="00D757A2">
        <w:rPr>
          <w:lang w:val="fr-FR"/>
        </w:rPr>
        <w:t xml:space="preserve">nés respectivement </w:t>
      </w:r>
      <w:r w:rsidR="00110DAF" w:rsidRPr="0040201E">
        <w:rPr>
          <w:lang w:val="fr-FR"/>
        </w:rPr>
        <w:t>le</w:t>
      </w:r>
      <w:r w:rsidR="003668D9">
        <w:rPr>
          <w:lang w:val="fr-FR"/>
        </w:rPr>
        <w:t>s</w:t>
      </w:r>
      <w:r w:rsidR="00110DAF" w:rsidRPr="0040201E">
        <w:rPr>
          <w:lang w:val="fr-FR"/>
        </w:rPr>
        <w:t xml:space="preserve"> 1</w:t>
      </w:r>
      <w:r w:rsidR="002F4B62" w:rsidRPr="0040201E">
        <w:rPr>
          <w:lang w:val="fr-FR"/>
        </w:rPr>
        <w:t>6</w:t>
      </w:r>
      <w:r w:rsidR="00BB1055">
        <w:rPr>
          <w:lang w:val="fr-FR"/>
        </w:rPr>
        <w:t> </w:t>
      </w:r>
      <w:r w:rsidR="00B76FDC">
        <w:rPr>
          <w:lang w:val="fr-FR"/>
        </w:rPr>
        <w:t xml:space="preserve">avril </w:t>
      </w:r>
      <w:r w:rsidR="002F4B62" w:rsidRPr="0040201E">
        <w:rPr>
          <w:lang w:val="fr-FR"/>
        </w:rPr>
        <w:t>1998, 29 septembre 2001 et 20 août 2006,</w:t>
      </w:r>
      <w:r w:rsidR="002C7B8F">
        <w:rPr>
          <w:b/>
          <w:lang w:val="fr-FR"/>
        </w:rPr>
        <w:t xml:space="preserve"> </w:t>
      </w:r>
      <w:r w:rsidR="00F82BFD">
        <w:rPr>
          <w:lang w:val="fr-FR"/>
        </w:rPr>
        <w:t>demeurent</w:t>
      </w:r>
      <w:r w:rsidRPr="007B1151">
        <w:rPr>
          <w:lang w:val="fr-FR"/>
        </w:rPr>
        <w:t xml:space="preserve"> à ce jour </w:t>
      </w:r>
      <w:r w:rsidR="009D6B30" w:rsidRPr="00D757A2">
        <w:rPr>
          <w:lang w:val="fr-FR"/>
        </w:rPr>
        <w:t>au Tchad</w:t>
      </w:r>
      <w:r w:rsidRPr="00D757A2">
        <w:rPr>
          <w:lang w:val="fr-FR"/>
        </w:rPr>
        <w:t>.</w:t>
      </w:r>
    </w:p>
    <w:p w:rsidR="005A713A" w:rsidRDefault="00A33D3A" w:rsidP="00651D65">
      <w:pPr>
        <w:pStyle w:val="SingleTxtG"/>
        <w:rPr>
          <w:lang w:val="fr-FR"/>
        </w:rPr>
      </w:pPr>
      <w:r>
        <w:rPr>
          <w:lang w:val="fr-FR"/>
        </w:rPr>
        <w:t>2.3</w:t>
      </w:r>
      <w:r>
        <w:rPr>
          <w:lang w:val="fr-FR"/>
        </w:rPr>
        <w:tab/>
      </w:r>
      <w:r w:rsidR="007B1151" w:rsidRPr="007B1151">
        <w:rPr>
          <w:lang w:val="fr-FR"/>
        </w:rPr>
        <w:t xml:space="preserve">L’auteur a profité de ce que l’un de ses oncles travaillait dans un aéroport du Tchad pour acheter un billet à bas prix pour les </w:t>
      </w:r>
      <w:r w:rsidR="00C02653">
        <w:rPr>
          <w:lang w:val="fr-FR"/>
        </w:rPr>
        <w:t>État</w:t>
      </w:r>
      <w:r w:rsidR="007B1151" w:rsidRPr="007B1151">
        <w:rPr>
          <w:lang w:val="fr-FR"/>
        </w:rPr>
        <w:t>s</w:t>
      </w:r>
      <w:r w:rsidR="00CB05CF">
        <w:rPr>
          <w:lang w:val="fr-FR"/>
        </w:rPr>
        <w:t>-</w:t>
      </w:r>
      <w:r w:rsidR="007B1151" w:rsidRPr="007B1151">
        <w:rPr>
          <w:lang w:val="fr-FR"/>
        </w:rPr>
        <w:t xml:space="preserve">Unis et quitter le </w:t>
      </w:r>
      <w:r w:rsidR="005A713A">
        <w:rPr>
          <w:lang w:val="fr-FR"/>
        </w:rPr>
        <w:t>Tchad</w:t>
      </w:r>
      <w:r w:rsidR="003668D9">
        <w:rPr>
          <w:lang w:val="fr-FR"/>
        </w:rPr>
        <w:t>,</w:t>
      </w:r>
      <w:r w:rsidR="007B1151" w:rsidRPr="007B1151">
        <w:rPr>
          <w:lang w:val="fr-FR"/>
        </w:rPr>
        <w:t xml:space="preserve"> </w:t>
      </w:r>
      <w:r w:rsidR="007128D6" w:rsidRPr="00D757A2">
        <w:rPr>
          <w:lang w:val="fr-FR"/>
        </w:rPr>
        <w:t xml:space="preserve">le 13 avril 2008, par </w:t>
      </w:r>
      <w:r w:rsidR="00082EFD" w:rsidRPr="00D757A2">
        <w:rPr>
          <w:lang w:val="fr-FR"/>
        </w:rPr>
        <w:t>avion.</w:t>
      </w:r>
      <w:r w:rsidR="002C7B8F">
        <w:rPr>
          <w:lang w:val="fr-FR"/>
        </w:rPr>
        <w:t xml:space="preserve"> </w:t>
      </w:r>
      <w:r w:rsidR="00414F59" w:rsidRPr="007B1151">
        <w:rPr>
          <w:lang w:val="fr-FR"/>
        </w:rPr>
        <w:t xml:space="preserve">Des </w:t>
      </w:r>
      <w:r w:rsidR="00C02653">
        <w:rPr>
          <w:lang w:val="fr-FR"/>
        </w:rPr>
        <w:t>État</w:t>
      </w:r>
      <w:r w:rsidR="00414F59" w:rsidRPr="007B1151">
        <w:rPr>
          <w:lang w:val="fr-FR"/>
        </w:rPr>
        <w:t>s-Unis, l’auteur</w:t>
      </w:r>
      <w:r w:rsidR="00414F59" w:rsidRPr="000F3E57">
        <w:rPr>
          <w:bCs/>
          <w:lang w:val="fr-FR"/>
        </w:rPr>
        <w:t>,</w:t>
      </w:r>
      <w:r w:rsidR="00414F59">
        <w:rPr>
          <w:b/>
          <w:lang w:val="fr-FR"/>
        </w:rPr>
        <w:t xml:space="preserve"> </w:t>
      </w:r>
      <w:r w:rsidR="00414F59" w:rsidRPr="00414F59">
        <w:rPr>
          <w:lang w:val="fr-FR"/>
        </w:rPr>
        <w:t>qui ne parle pas l’anglais</w:t>
      </w:r>
      <w:r w:rsidR="002A0E8C">
        <w:rPr>
          <w:lang w:val="fr-FR"/>
        </w:rPr>
        <w:t xml:space="preserve"> et a de la famille au Canada</w:t>
      </w:r>
      <w:r w:rsidR="00414F59" w:rsidRPr="00414F59">
        <w:rPr>
          <w:lang w:val="fr-FR"/>
        </w:rPr>
        <w:t xml:space="preserve">, a traversé la frontière canadienne </w:t>
      </w:r>
      <w:r w:rsidR="005A713A">
        <w:rPr>
          <w:lang w:val="fr-FR"/>
        </w:rPr>
        <w:t>le 29</w:t>
      </w:r>
      <w:r w:rsidR="00414F59" w:rsidRPr="007B1151">
        <w:rPr>
          <w:lang w:val="fr-FR"/>
        </w:rPr>
        <w:t xml:space="preserve"> avril 2008 et a revendiqué le statut de réfugié</w:t>
      </w:r>
      <w:r w:rsidR="003668D9">
        <w:rPr>
          <w:lang w:val="fr-FR"/>
        </w:rPr>
        <w:t xml:space="preserve"> au Canada</w:t>
      </w:r>
      <w:r w:rsidR="00414F59" w:rsidRPr="007B1151">
        <w:rPr>
          <w:lang w:val="fr-FR"/>
        </w:rPr>
        <w:t>.</w:t>
      </w:r>
      <w:r>
        <w:rPr>
          <w:lang w:val="fr-FR"/>
        </w:rPr>
        <w:t xml:space="preserve"> </w:t>
      </w:r>
    </w:p>
    <w:p w:rsidR="00A33D3A" w:rsidRPr="00916728" w:rsidRDefault="00A33D3A">
      <w:pPr>
        <w:pStyle w:val="SingleTxtG"/>
      </w:pPr>
      <w:r>
        <w:rPr>
          <w:lang w:val="fr-FR"/>
        </w:rPr>
        <w:t>2.4</w:t>
      </w:r>
      <w:r>
        <w:rPr>
          <w:lang w:val="fr-FR"/>
        </w:rPr>
        <w:tab/>
        <w:t>L’auteur joint à</w:t>
      </w:r>
      <w:r>
        <w:t xml:space="preserve"> l’appui de sa demande </w:t>
      </w:r>
      <w:r w:rsidRPr="00916728">
        <w:t>devant le Comité une attestation de Souleymane Guengueng</w:t>
      </w:r>
      <w:r w:rsidR="00D65FA9" w:rsidRPr="00916728">
        <w:rPr>
          <w:rStyle w:val="FootnoteReference"/>
        </w:rPr>
        <w:footnoteReference w:id="4"/>
      </w:r>
      <w:r w:rsidRPr="00916728">
        <w:t xml:space="preserve"> (non datée), ainsi qu’une lettre de Brian McDonough, datée du </w:t>
      </w:r>
      <w:r w:rsidRPr="00916728">
        <w:lastRenderedPageBreak/>
        <w:t>12</w:t>
      </w:r>
      <w:r w:rsidR="00C02653" w:rsidRPr="00916728">
        <w:t> </w:t>
      </w:r>
      <w:r w:rsidRPr="00916728">
        <w:t xml:space="preserve">décembre 2012. </w:t>
      </w:r>
      <w:r w:rsidR="00DB12E8" w:rsidRPr="00916728">
        <w:t>M. </w:t>
      </w:r>
      <w:r w:rsidRPr="00916728">
        <w:t>Guengueng</w:t>
      </w:r>
      <w:r w:rsidR="00D65FA9" w:rsidRPr="00916728">
        <w:t xml:space="preserve"> </w:t>
      </w:r>
      <w:r w:rsidR="007C2445" w:rsidRPr="00916728">
        <w:t>témoigne de ce que</w:t>
      </w:r>
      <w:r w:rsidR="00DB5968" w:rsidRPr="00916728">
        <w:t xml:space="preserve"> </w:t>
      </w:r>
      <w:r w:rsidR="007474CD" w:rsidRPr="00916728">
        <w:t>F.</w:t>
      </w:r>
      <w:r w:rsidR="00C02653" w:rsidRPr="00916728">
        <w:t> </w:t>
      </w:r>
      <w:r w:rsidR="007474CD" w:rsidRPr="00916728">
        <w:t>M.</w:t>
      </w:r>
      <w:r w:rsidR="00686D2F" w:rsidRPr="00916728">
        <w:t>, qu’il a rencontré à Montréal en janvier 2013,</w:t>
      </w:r>
      <w:r w:rsidR="00DB5968" w:rsidRPr="00916728">
        <w:t xml:space="preserve"> a bien</w:t>
      </w:r>
      <w:r w:rsidR="00EA68D4" w:rsidRPr="00916728">
        <w:t xml:space="preserve"> </w:t>
      </w:r>
      <w:r w:rsidR="00DB5968" w:rsidRPr="00916728">
        <w:t>été arrêté au Tchad</w:t>
      </w:r>
      <w:r w:rsidR="007C2445" w:rsidRPr="00916728">
        <w:t>, qu’il y a échappé de justesse à la mort</w:t>
      </w:r>
      <w:r w:rsidR="00DB5968" w:rsidRPr="00916728">
        <w:t xml:space="preserve"> et qu</w:t>
      </w:r>
      <w:r w:rsidR="00481233" w:rsidRPr="00916728">
        <w:t xml:space="preserve">e, </w:t>
      </w:r>
      <w:r w:rsidR="00DB5968" w:rsidRPr="00916728">
        <w:t>en cas de renvoi, il ferait face à des risques</w:t>
      </w:r>
      <w:r w:rsidR="007C2445" w:rsidRPr="00916728">
        <w:t xml:space="preserve"> similaires</w:t>
      </w:r>
      <w:r w:rsidR="00DB5968" w:rsidRPr="00916728">
        <w:t xml:space="preserve"> pour sa vie.</w:t>
      </w:r>
      <w:r w:rsidR="002C7B8F" w:rsidRPr="00916728">
        <w:t xml:space="preserve"> </w:t>
      </w:r>
      <w:r w:rsidR="007C2445" w:rsidRPr="00916728">
        <w:t xml:space="preserve">Quant à la lettre de </w:t>
      </w:r>
      <w:r w:rsidR="00DB12E8" w:rsidRPr="00916728">
        <w:t>M. </w:t>
      </w:r>
      <w:r w:rsidR="007C2445" w:rsidRPr="00916728">
        <w:t>McDonough, avocat et directeur de l’Office de la pastorale sociale de l’</w:t>
      </w:r>
      <w:r w:rsidR="00651D65" w:rsidRPr="000F3E57">
        <w:t>a</w:t>
      </w:r>
      <w:r w:rsidR="007C2445" w:rsidRPr="00916728">
        <w:t xml:space="preserve">rchevêché de Montréal, elle met en </w:t>
      </w:r>
      <w:r w:rsidR="002F0DD5">
        <w:t>évidence</w:t>
      </w:r>
      <w:r w:rsidR="007C2445" w:rsidRPr="00916728">
        <w:t xml:space="preserve"> les risques encourus par l’auteur en cas de retour au Tchad. </w:t>
      </w:r>
      <w:r w:rsidR="00431135" w:rsidRPr="00916728">
        <w:t>M. McDonough dit s’être directement entretenu avec Marie Larlem, coordo</w:t>
      </w:r>
      <w:r w:rsidR="00431135">
        <w:t>n</w:t>
      </w:r>
      <w:r w:rsidR="00431135" w:rsidRPr="00916728">
        <w:t>natrice générale de l’</w:t>
      </w:r>
      <w:r w:rsidR="00431135" w:rsidRPr="00916728">
        <w:rPr>
          <w:lang w:val="fr-FR"/>
        </w:rPr>
        <w:t>Association pour la promotion des libertés</w:t>
      </w:r>
      <w:r w:rsidR="00431135" w:rsidRPr="00916728">
        <w:rPr>
          <w:b/>
          <w:lang w:val="fr-FR"/>
        </w:rPr>
        <w:t xml:space="preserve"> </w:t>
      </w:r>
      <w:r w:rsidR="00431135" w:rsidRPr="00916728">
        <w:rPr>
          <w:lang w:val="fr-FR"/>
        </w:rPr>
        <w:t>fondamentales au Tchad</w:t>
      </w:r>
      <w:r w:rsidR="00431135" w:rsidRPr="00916728">
        <w:t xml:space="preserve">, au nom de laquelle l’auteur s’est occupé de prisonniers d’opinion et de victimes de mauvais traitements. </w:t>
      </w:r>
      <w:r w:rsidR="007C2445" w:rsidRPr="00916728">
        <w:t>M</w:t>
      </w:r>
      <w:r w:rsidR="007C2445" w:rsidRPr="00916728">
        <w:rPr>
          <w:vertAlign w:val="superscript"/>
        </w:rPr>
        <w:t>me</w:t>
      </w:r>
      <w:r w:rsidR="00C02653" w:rsidRPr="00916728">
        <w:t> </w:t>
      </w:r>
      <w:r w:rsidR="007C2445" w:rsidRPr="00916728">
        <w:t xml:space="preserve">Larlem a </w:t>
      </w:r>
      <w:r w:rsidR="006713D2" w:rsidRPr="00916728">
        <w:t xml:space="preserve">confirmé </w:t>
      </w:r>
      <w:r w:rsidR="008E27C7" w:rsidRPr="00916728">
        <w:t>sans équivoque</w:t>
      </w:r>
      <w:r w:rsidR="007C2445" w:rsidRPr="00916728">
        <w:t xml:space="preserve"> le risque encouru par </w:t>
      </w:r>
      <w:r w:rsidR="007474CD" w:rsidRPr="00916728">
        <w:t>F.</w:t>
      </w:r>
      <w:r w:rsidR="00CB5CAF" w:rsidRPr="00916728">
        <w:t> </w:t>
      </w:r>
      <w:r w:rsidR="007474CD" w:rsidRPr="00916728">
        <w:t>M</w:t>
      </w:r>
      <w:r w:rsidR="00873FCE" w:rsidRPr="00916728">
        <w:t>.</w:t>
      </w:r>
      <w:r w:rsidR="00B62EBE" w:rsidRPr="00916728">
        <w:t xml:space="preserve"> </w:t>
      </w:r>
      <w:r w:rsidR="007C2445" w:rsidRPr="00916728">
        <w:t>en cas de retour forcé au Tchad, en raison du contrôle exercé par les militaires, et les exactions commises contre les défenseurs des droits de l’homme, qui restent impunies.</w:t>
      </w:r>
    </w:p>
    <w:p w:rsidR="00336CF8" w:rsidRPr="00916728" w:rsidRDefault="00336CF8" w:rsidP="00651D65">
      <w:pPr>
        <w:pStyle w:val="SingleTxtG"/>
        <w:rPr>
          <w:lang w:val="fr-FR"/>
        </w:rPr>
      </w:pPr>
      <w:r w:rsidRPr="00916728">
        <w:t>2.5</w:t>
      </w:r>
      <w:r w:rsidRPr="00916728">
        <w:tab/>
        <w:t xml:space="preserve">De plus, </w:t>
      </w:r>
      <w:r w:rsidR="00DB12E8" w:rsidRPr="00916728">
        <w:t>M. </w:t>
      </w:r>
      <w:r w:rsidRPr="00916728">
        <w:t>McDonough souligne dans le même témoignage s’être entretenu avec l’</w:t>
      </w:r>
      <w:r w:rsidR="00651D65" w:rsidRPr="00916728">
        <w:t>a</w:t>
      </w:r>
      <w:r w:rsidRPr="00916728">
        <w:t xml:space="preserve">bbé Diondoh, qui s’était chargé de la garde des enfants de </w:t>
      </w:r>
      <w:r w:rsidR="007474CD" w:rsidRPr="00916728">
        <w:t>F.</w:t>
      </w:r>
      <w:r w:rsidR="00C02653" w:rsidRPr="00916728">
        <w:t> </w:t>
      </w:r>
      <w:r w:rsidR="007474CD" w:rsidRPr="00916728">
        <w:t>M</w:t>
      </w:r>
      <w:r w:rsidR="00C02653" w:rsidRPr="00916728">
        <w:t>.</w:t>
      </w:r>
      <w:r w:rsidR="00B62EBE" w:rsidRPr="00916728">
        <w:t xml:space="preserve"> </w:t>
      </w:r>
      <w:r w:rsidRPr="00916728">
        <w:t xml:space="preserve">après </w:t>
      </w:r>
      <w:r w:rsidR="002E4EC1" w:rsidRPr="00916728">
        <w:t>le départ de ce dernier du Tchad</w:t>
      </w:r>
      <w:r w:rsidRPr="00916728">
        <w:t>.</w:t>
      </w:r>
      <w:r w:rsidR="002E4EC1" w:rsidRPr="00916728">
        <w:t xml:space="preserve"> L’</w:t>
      </w:r>
      <w:r w:rsidR="00651D65" w:rsidRPr="00916728">
        <w:t>a</w:t>
      </w:r>
      <w:r w:rsidR="002E4EC1" w:rsidRPr="00916728">
        <w:t>bbé Diondoh lui a confirmé que les personnes œuvrant pour la protection des droits de l’homme sont exposées à des menaces.</w:t>
      </w:r>
    </w:p>
    <w:p w:rsidR="00414F59" w:rsidRPr="00C02A0D" w:rsidRDefault="002E4EC1" w:rsidP="00651D65">
      <w:pPr>
        <w:pStyle w:val="SingleTxtG"/>
        <w:rPr>
          <w:bCs/>
          <w:lang w:val="fr-FR"/>
        </w:rPr>
      </w:pPr>
      <w:r w:rsidRPr="00916728">
        <w:rPr>
          <w:lang w:val="fr-FR"/>
        </w:rPr>
        <w:t>2.6</w:t>
      </w:r>
      <w:r w:rsidR="007B1151" w:rsidRPr="00916728">
        <w:rPr>
          <w:lang w:val="fr-FR"/>
        </w:rPr>
        <w:tab/>
        <w:t>L</w:t>
      </w:r>
      <w:r w:rsidRPr="00916728">
        <w:rPr>
          <w:lang w:val="fr-FR"/>
        </w:rPr>
        <w:t>e 29 novembre 2010, l</w:t>
      </w:r>
      <w:r w:rsidR="007B1151" w:rsidRPr="00916728">
        <w:rPr>
          <w:lang w:val="fr-FR"/>
        </w:rPr>
        <w:t xml:space="preserve">a Section de </w:t>
      </w:r>
      <w:r w:rsidR="00651D65" w:rsidRPr="000F3E57">
        <w:rPr>
          <w:lang w:val="fr-FR"/>
        </w:rPr>
        <w:t xml:space="preserve">la </w:t>
      </w:r>
      <w:r w:rsidR="007B1151" w:rsidRPr="00916728">
        <w:rPr>
          <w:lang w:val="fr-FR"/>
        </w:rPr>
        <w:t>protection des réfugiés (SPR) de</w:t>
      </w:r>
      <w:r w:rsidR="007B1151" w:rsidRPr="007B1151">
        <w:rPr>
          <w:lang w:val="fr-FR"/>
        </w:rPr>
        <w:t xml:space="preserve"> la Commission de l’immigration et du statut de réfugié </w:t>
      </w:r>
      <w:r w:rsidR="005A5A41">
        <w:rPr>
          <w:lang w:val="fr-FR"/>
        </w:rPr>
        <w:t xml:space="preserve">du Canada </w:t>
      </w:r>
      <w:r>
        <w:rPr>
          <w:lang w:val="fr-FR"/>
        </w:rPr>
        <w:t>a refusé l</w:t>
      </w:r>
      <w:r w:rsidR="007B1151" w:rsidRPr="007B1151">
        <w:rPr>
          <w:lang w:val="fr-FR"/>
        </w:rPr>
        <w:t>a demande d’asile</w:t>
      </w:r>
      <w:r>
        <w:rPr>
          <w:lang w:val="fr-FR"/>
        </w:rPr>
        <w:t xml:space="preserve"> de l’auteur.</w:t>
      </w:r>
      <w:r w:rsidR="007B1151" w:rsidRPr="007B1151">
        <w:rPr>
          <w:lang w:val="fr-FR"/>
        </w:rPr>
        <w:t xml:space="preserve"> </w:t>
      </w:r>
      <w:r w:rsidR="00D9673A">
        <w:rPr>
          <w:lang w:val="fr-FR"/>
        </w:rPr>
        <w:t xml:space="preserve">La </w:t>
      </w:r>
      <w:r w:rsidR="00D9673A" w:rsidRPr="008A2B7A">
        <w:rPr>
          <w:lang w:val="fr-FR"/>
        </w:rPr>
        <w:t>Commiss</w:t>
      </w:r>
      <w:r w:rsidR="00651D65" w:rsidRPr="000F3E57">
        <w:rPr>
          <w:lang w:val="fr-FR"/>
        </w:rPr>
        <w:t>ion</w:t>
      </w:r>
      <w:r w:rsidR="00D9673A" w:rsidRPr="008A2B7A">
        <w:rPr>
          <w:lang w:val="fr-FR"/>
        </w:rPr>
        <w:t xml:space="preserve"> a</w:t>
      </w:r>
      <w:r w:rsidR="00D9673A">
        <w:rPr>
          <w:lang w:val="fr-FR"/>
        </w:rPr>
        <w:t xml:space="preserve"> estimé que la demande de l’auteur souffrait de « sérieux problèmes de crédibilité », jugeant son témoignage comme invraisemblable et non crédible. La </w:t>
      </w:r>
      <w:r w:rsidR="00D9673A" w:rsidRPr="008A2B7A">
        <w:rPr>
          <w:lang w:val="fr-FR"/>
        </w:rPr>
        <w:t>Commiss</w:t>
      </w:r>
      <w:r w:rsidR="00651D65" w:rsidRPr="000F3E57">
        <w:rPr>
          <w:lang w:val="fr-FR"/>
        </w:rPr>
        <w:t>ion</w:t>
      </w:r>
      <w:r w:rsidR="00D9673A" w:rsidRPr="008A2B7A">
        <w:rPr>
          <w:lang w:val="fr-FR"/>
        </w:rPr>
        <w:t xml:space="preserve"> a</w:t>
      </w:r>
      <w:r w:rsidR="00D9673A">
        <w:rPr>
          <w:lang w:val="fr-FR"/>
        </w:rPr>
        <w:t xml:space="preserve"> notamment jugé non crédible que la maison de l’auteur ait été détruite par les autorités gouvernementales au motif que celles-ci lui en voulaient. La </w:t>
      </w:r>
      <w:r w:rsidR="005A5A41">
        <w:rPr>
          <w:lang w:val="fr-FR"/>
        </w:rPr>
        <w:t xml:space="preserve">Commission </w:t>
      </w:r>
      <w:r w:rsidR="00D9673A">
        <w:rPr>
          <w:lang w:val="fr-FR"/>
        </w:rPr>
        <w:t>a relevé que les autorités gouvernementales avaient détruit près de 1</w:t>
      </w:r>
      <w:r w:rsidR="00C02653">
        <w:rPr>
          <w:lang w:val="fr-FR"/>
        </w:rPr>
        <w:t> </w:t>
      </w:r>
      <w:r w:rsidR="00D9673A">
        <w:rPr>
          <w:lang w:val="fr-FR"/>
        </w:rPr>
        <w:t xml:space="preserve">000 maisons dans différents secteurs de la ville, avec pour but de chasser les rebelles, et que rien n’indiquait que l’auteur ait été particulièrement ciblé. </w:t>
      </w:r>
    </w:p>
    <w:p w:rsidR="00D9673A" w:rsidRPr="009A1ABE" w:rsidRDefault="006D6FCF" w:rsidP="00D653B7">
      <w:pPr>
        <w:pStyle w:val="SingleTxtG"/>
        <w:rPr>
          <w:lang w:val="fr-FR"/>
        </w:rPr>
      </w:pPr>
      <w:r>
        <w:rPr>
          <w:lang w:val="fr-FR"/>
        </w:rPr>
        <w:t>2.7</w:t>
      </w:r>
      <w:r w:rsidR="00414F59" w:rsidRPr="00414F59">
        <w:rPr>
          <w:lang w:val="fr-FR"/>
        </w:rPr>
        <w:tab/>
      </w:r>
      <w:r w:rsidR="000F279D" w:rsidRPr="008A2B7A">
        <w:rPr>
          <w:lang w:val="fr-FR"/>
        </w:rPr>
        <w:t>La Commiss</w:t>
      </w:r>
      <w:r w:rsidR="00651D65" w:rsidRPr="000F3E57">
        <w:rPr>
          <w:lang w:val="fr-FR"/>
        </w:rPr>
        <w:t>ion</w:t>
      </w:r>
      <w:r w:rsidR="000F279D" w:rsidRPr="008A2B7A">
        <w:rPr>
          <w:lang w:val="fr-FR"/>
        </w:rPr>
        <w:t xml:space="preserve"> </w:t>
      </w:r>
      <w:r w:rsidR="002667C5" w:rsidRPr="008A2B7A">
        <w:rPr>
          <w:lang w:val="fr-FR"/>
        </w:rPr>
        <w:t>de l’immigration et du statut de réfugié</w:t>
      </w:r>
      <w:r w:rsidR="002667C5">
        <w:rPr>
          <w:lang w:val="fr-FR"/>
        </w:rPr>
        <w:t xml:space="preserve"> </w:t>
      </w:r>
      <w:r w:rsidR="000F279D" w:rsidRPr="00414F59">
        <w:rPr>
          <w:lang w:val="fr-FR"/>
        </w:rPr>
        <w:t>a également jugé non</w:t>
      </w:r>
      <w:r w:rsidR="00651D65">
        <w:rPr>
          <w:lang w:val="fr-FR"/>
        </w:rPr>
        <w:t xml:space="preserve"> </w:t>
      </w:r>
      <w:r w:rsidR="000F279D" w:rsidRPr="00414F59">
        <w:rPr>
          <w:lang w:val="fr-FR"/>
        </w:rPr>
        <w:t xml:space="preserve">crédible le témoignage de l’auteur </w:t>
      </w:r>
      <w:r w:rsidR="00B700E4">
        <w:rPr>
          <w:lang w:val="fr-FR"/>
        </w:rPr>
        <w:t xml:space="preserve">concernant </w:t>
      </w:r>
      <w:r w:rsidR="000F279D" w:rsidRPr="00414F59">
        <w:rPr>
          <w:lang w:val="fr-FR"/>
        </w:rPr>
        <w:t>son adhésion à une association faisant la promotion des libertés fondamentales au Tchad</w:t>
      </w:r>
      <w:r w:rsidR="000F279D">
        <w:rPr>
          <w:lang w:val="fr-FR"/>
        </w:rPr>
        <w:t xml:space="preserve">, </w:t>
      </w:r>
      <w:r w:rsidR="00D93E04">
        <w:rPr>
          <w:lang w:val="fr-FR"/>
        </w:rPr>
        <w:t xml:space="preserve">après avoir déterminé </w:t>
      </w:r>
      <w:r w:rsidR="000F279D">
        <w:rPr>
          <w:lang w:val="fr-FR"/>
        </w:rPr>
        <w:t>que s</w:t>
      </w:r>
      <w:r w:rsidR="000F279D" w:rsidRPr="00414F59">
        <w:rPr>
          <w:lang w:val="fr-FR"/>
        </w:rPr>
        <w:t xml:space="preserve">a carte de membre était </w:t>
      </w:r>
      <w:r w:rsidR="000F279D">
        <w:rPr>
          <w:lang w:val="fr-FR"/>
        </w:rPr>
        <w:t>un faux</w:t>
      </w:r>
      <w:r w:rsidR="000F279D" w:rsidRPr="00414F59">
        <w:rPr>
          <w:lang w:val="fr-FR"/>
        </w:rPr>
        <w:t>.</w:t>
      </w:r>
      <w:r w:rsidR="000F279D">
        <w:rPr>
          <w:lang w:val="fr-FR"/>
        </w:rPr>
        <w:t xml:space="preserve"> L</w:t>
      </w:r>
      <w:r w:rsidR="000F279D" w:rsidRPr="00414F59">
        <w:rPr>
          <w:lang w:val="fr-FR"/>
        </w:rPr>
        <w:t>e</w:t>
      </w:r>
      <w:r w:rsidR="000F279D">
        <w:rPr>
          <w:lang w:val="fr-FR"/>
        </w:rPr>
        <w:t xml:space="preserve"> fait que l’auteur n’a pas déposé de deman</w:t>
      </w:r>
      <w:r w:rsidR="00AB0727">
        <w:rPr>
          <w:lang w:val="fr-FR"/>
        </w:rPr>
        <w:t xml:space="preserve">de de protection aux </w:t>
      </w:r>
      <w:r w:rsidR="00C02653">
        <w:rPr>
          <w:lang w:val="fr-FR"/>
        </w:rPr>
        <w:t>État</w:t>
      </w:r>
      <w:r w:rsidR="00AB0727">
        <w:rPr>
          <w:lang w:val="fr-FR"/>
        </w:rPr>
        <w:t>s-Unis</w:t>
      </w:r>
      <w:r w:rsidR="006F2741">
        <w:rPr>
          <w:lang w:val="fr-FR"/>
        </w:rPr>
        <w:t>,</w:t>
      </w:r>
      <w:r w:rsidR="000F279D">
        <w:rPr>
          <w:lang w:val="fr-FR"/>
        </w:rPr>
        <w:t xml:space="preserve"> son port d’arrivée</w:t>
      </w:r>
      <w:r w:rsidR="00AB0727">
        <w:rPr>
          <w:lang w:val="fr-FR"/>
        </w:rPr>
        <w:t>,</w:t>
      </w:r>
      <w:r w:rsidR="002C7B8F">
        <w:rPr>
          <w:lang w:val="fr-FR"/>
        </w:rPr>
        <w:t xml:space="preserve"> </w:t>
      </w:r>
      <w:r w:rsidR="000F279D">
        <w:rPr>
          <w:lang w:val="fr-FR"/>
        </w:rPr>
        <w:t xml:space="preserve">mais qu’il a préféré se diriger vers la frontière canadienne, a été jugé incompatible avec son allégation </w:t>
      </w:r>
      <w:r w:rsidR="006F2741">
        <w:rPr>
          <w:lang w:val="fr-FR"/>
        </w:rPr>
        <w:t xml:space="preserve">selon laquelle </w:t>
      </w:r>
      <w:r w:rsidR="000F279D">
        <w:rPr>
          <w:lang w:val="fr-FR"/>
        </w:rPr>
        <w:t>il craint pour sa vie.</w:t>
      </w:r>
      <w:r w:rsidR="002C7B8F">
        <w:rPr>
          <w:lang w:val="fr-FR"/>
        </w:rPr>
        <w:t xml:space="preserve"> </w:t>
      </w:r>
      <w:r w:rsidR="00C16232">
        <w:rPr>
          <w:lang w:val="fr-FR"/>
        </w:rPr>
        <w:t xml:space="preserve">La </w:t>
      </w:r>
      <w:r w:rsidR="005A5A41" w:rsidRPr="007B1151">
        <w:rPr>
          <w:lang w:val="fr-FR"/>
        </w:rPr>
        <w:t xml:space="preserve">Commission </w:t>
      </w:r>
      <w:r w:rsidR="00C16232">
        <w:rPr>
          <w:lang w:val="fr-FR"/>
        </w:rPr>
        <w:t>a finalement</w:t>
      </w:r>
      <w:r w:rsidR="00C16232" w:rsidRPr="00414F59">
        <w:rPr>
          <w:lang w:val="fr-FR"/>
        </w:rPr>
        <w:t xml:space="preserve"> statué que l’auteur </w:t>
      </w:r>
      <w:r w:rsidR="00C16232">
        <w:rPr>
          <w:lang w:val="fr-FR"/>
        </w:rPr>
        <w:t>n’avait pas établi être</w:t>
      </w:r>
      <w:r w:rsidR="00C16232" w:rsidRPr="00414F59">
        <w:rPr>
          <w:lang w:val="fr-FR"/>
        </w:rPr>
        <w:t xml:space="preserve"> une personne à </w:t>
      </w:r>
      <w:r w:rsidR="00C16232">
        <w:rPr>
          <w:lang w:val="fr-FR"/>
        </w:rPr>
        <w:t xml:space="preserve">protéger et </w:t>
      </w:r>
      <w:r w:rsidR="00C16232" w:rsidRPr="00414F59">
        <w:rPr>
          <w:lang w:val="fr-FR"/>
        </w:rPr>
        <w:t xml:space="preserve">a donc rejeté </w:t>
      </w:r>
      <w:r w:rsidR="00C16232">
        <w:rPr>
          <w:lang w:val="fr-FR"/>
        </w:rPr>
        <w:t>s</w:t>
      </w:r>
      <w:r w:rsidR="00C16232" w:rsidRPr="00414F59">
        <w:rPr>
          <w:lang w:val="fr-FR"/>
        </w:rPr>
        <w:t>a demande d’asile.</w:t>
      </w:r>
    </w:p>
    <w:p w:rsidR="00C01247" w:rsidRDefault="006D6FCF">
      <w:pPr>
        <w:pStyle w:val="SingleTxtG"/>
      </w:pPr>
      <w:r>
        <w:rPr>
          <w:lang w:val="fr-FR"/>
        </w:rPr>
        <w:t>2.8</w:t>
      </w:r>
      <w:r w:rsidR="00BE22F5" w:rsidRPr="00C01247">
        <w:rPr>
          <w:lang w:val="fr-FR"/>
        </w:rPr>
        <w:tab/>
      </w:r>
      <w:r w:rsidR="007B1151" w:rsidRPr="00C01247">
        <w:rPr>
          <w:lang w:val="fr-FR"/>
        </w:rPr>
        <w:t>Une demande de contrôle judiciaire a été présentée à la Cour fédé</w:t>
      </w:r>
      <w:r w:rsidR="00BE22F5" w:rsidRPr="00C01247">
        <w:rPr>
          <w:lang w:val="fr-FR"/>
        </w:rPr>
        <w:t xml:space="preserve">rale du Canada, mais celle-ci a </w:t>
      </w:r>
      <w:r w:rsidR="007B1151" w:rsidRPr="00C01247">
        <w:rPr>
          <w:lang w:val="fr-FR"/>
        </w:rPr>
        <w:t>été refusée, après audition, le 20 décembre 2011</w:t>
      </w:r>
      <w:r w:rsidR="002842F3">
        <w:rPr>
          <w:lang w:val="fr-FR"/>
        </w:rPr>
        <w:t>, a</w:t>
      </w:r>
      <w:r w:rsidR="00BE22F5" w:rsidRPr="00C01247">
        <w:rPr>
          <w:lang w:val="fr-FR"/>
        </w:rPr>
        <w:t>u motif que la décision de la Commission était raisonnable</w:t>
      </w:r>
      <w:r w:rsidR="007B1151" w:rsidRPr="00C01247">
        <w:rPr>
          <w:lang w:val="fr-FR"/>
        </w:rPr>
        <w:t xml:space="preserve">. L’auteur a </w:t>
      </w:r>
      <w:r w:rsidR="002842F3">
        <w:rPr>
          <w:lang w:val="fr-FR"/>
        </w:rPr>
        <w:t xml:space="preserve">entretemps </w:t>
      </w:r>
      <w:r w:rsidR="007B1151" w:rsidRPr="00C01247">
        <w:rPr>
          <w:lang w:val="fr-FR"/>
        </w:rPr>
        <w:t xml:space="preserve">déposé </w:t>
      </w:r>
      <w:r w:rsidR="002842F3">
        <w:rPr>
          <w:lang w:val="fr-FR"/>
        </w:rPr>
        <w:t xml:space="preserve">le 22 novembre 2011 </w:t>
      </w:r>
      <w:r w:rsidR="007B1151" w:rsidRPr="00C01247">
        <w:rPr>
          <w:lang w:val="fr-FR"/>
        </w:rPr>
        <w:t>u</w:t>
      </w:r>
      <w:r w:rsidR="002842F3">
        <w:rPr>
          <w:lang w:val="fr-FR"/>
        </w:rPr>
        <w:t>ne demande</w:t>
      </w:r>
      <w:r w:rsidR="007B1151" w:rsidRPr="00C01247">
        <w:rPr>
          <w:lang w:val="fr-FR"/>
        </w:rPr>
        <w:t xml:space="preserve"> de résidence permanente </w:t>
      </w:r>
      <w:r w:rsidR="007B1151" w:rsidRPr="009A1ABE">
        <w:rPr>
          <w:lang w:val="fr-FR"/>
        </w:rPr>
        <w:t>pour considérations humanitaires</w:t>
      </w:r>
      <w:r w:rsidR="002842F3">
        <w:rPr>
          <w:lang w:val="fr-FR"/>
        </w:rPr>
        <w:t xml:space="preserve">, dans laquelle il a présenté des arguments relatifs à la situation générale au Tchad, ainsi qu’à son intégration au Canada. </w:t>
      </w:r>
      <w:r w:rsidR="007B1151" w:rsidRPr="00C01247">
        <w:rPr>
          <w:lang w:val="fr-FR"/>
        </w:rPr>
        <w:t xml:space="preserve">La demande </w:t>
      </w:r>
      <w:r w:rsidR="002842F3">
        <w:rPr>
          <w:lang w:val="fr-FR"/>
        </w:rPr>
        <w:t>a été rejetée le 25 juillet 2012</w:t>
      </w:r>
      <w:r w:rsidR="002842F3" w:rsidRPr="008A2B7A">
        <w:rPr>
          <w:lang w:val="fr-FR"/>
        </w:rPr>
        <w:t>, l</w:t>
      </w:r>
      <w:r w:rsidR="00C01247" w:rsidRPr="008A2B7A">
        <w:rPr>
          <w:lang w:val="fr-FR"/>
        </w:rPr>
        <w:t xml:space="preserve">’agent </w:t>
      </w:r>
      <w:r w:rsidR="008A2B7A" w:rsidRPr="000F3E57">
        <w:rPr>
          <w:lang w:val="fr-FR"/>
        </w:rPr>
        <w:t>en charge de la procédure de résidence permanente pour considérations humanitaires</w:t>
      </w:r>
      <w:r w:rsidR="00C01247" w:rsidRPr="00C01247">
        <w:rPr>
          <w:lang w:val="fr-FR"/>
        </w:rPr>
        <w:t xml:space="preserve"> a</w:t>
      </w:r>
      <w:r w:rsidR="002842F3">
        <w:rPr>
          <w:lang w:val="fr-FR"/>
        </w:rPr>
        <w:t>yant</w:t>
      </w:r>
      <w:r w:rsidR="00C01247" w:rsidRPr="00C01247">
        <w:rPr>
          <w:lang w:val="fr-FR"/>
        </w:rPr>
        <w:t xml:space="preserve"> déterminé que</w:t>
      </w:r>
      <w:r w:rsidR="00AB0727">
        <w:rPr>
          <w:lang w:val="fr-FR"/>
        </w:rPr>
        <w:t xml:space="preserve"> bien que</w:t>
      </w:r>
      <w:r w:rsidR="00C01247" w:rsidRPr="00C01247">
        <w:rPr>
          <w:lang w:val="fr-FR"/>
        </w:rPr>
        <w:t xml:space="preserve"> la situation </w:t>
      </w:r>
      <w:r w:rsidR="00AB0727">
        <w:rPr>
          <w:lang w:val="fr-FR"/>
        </w:rPr>
        <w:t xml:space="preserve">globale </w:t>
      </w:r>
      <w:r w:rsidR="00C01247" w:rsidRPr="00C01247">
        <w:rPr>
          <w:lang w:val="fr-FR"/>
        </w:rPr>
        <w:t>des droits de la personne</w:t>
      </w:r>
      <w:r w:rsidR="002842F3">
        <w:rPr>
          <w:lang w:val="fr-FR"/>
        </w:rPr>
        <w:t xml:space="preserve"> </w:t>
      </w:r>
      <w:r w:rsidR="00C01247" w:rsidRPr="00C01247">
        <w:rPr>
          <w:lang w:val="fr-FR"/>
        </w:rPr>
        <w:t>au Tchad était préoccupante à certains égards</w:t>
      </w:r>
      <w:r w:rsidR="002842F3">
        <w:rPr>
          <w:lang w:val="fr-FR"/>
        </w:rPr>
        <w:t>,</w:t>
      </w:r>
      <w:r w:rsidR="00C01247" w:rsidRPr="00C01247">
        <w:rPr>
          <w:lang w:val="fr-FR"/>
        </w:rPr>
        <w:t xml:space="preserve"> </w:t>
      </w:r>
      <w:r w:rsidR="00C01247" w:rsidRPr="009A1ABE">
        <w:rPr>
          <w:lang w:val="fr-FR"/>
        </w:rPr>
        <w:t xml:space="preserve">l’auteur n’avait pas démontré en quoi il serait personnellement </w:t>
      </w:r>
      <w:r w:rsidR="00B26679">
        <w:rPr>
          <w:lang w:val="fr-FR"/>
        </w:rPr>
        <w:t xml:space="preserve">exposé </w:t>
      </w:r>
      <w:r w:rsidR="00AB0727" w:rsidRPr="00B26679">
        <w:rPr>
          <w:lang w:val="fr-FR"/>
        </w:rPr>
        <w:t xml:space="preserve">à </w:t>
      </w:r>
      <w:r w:rsidR="00B26679" w:rsidRPr="000F3E57">
        <w:rPr>
          <w:lang w:val="fr-FR"/>
        </w:rPr>
        <w:t xml:space="preserve">des </w:t>
      </w:r>
      <w:r w:rsidR="00AB0727" w:rsidRPr="00B26679">
        <w:rPr>
          <w:lang w:val="fr-FR"/>
        </w:rPr>
        <w:t>risque</w:t>
      </w:r>
      <w:r w:rsidR="00B26679" w:rsidRPr="00B26679">
        <w:rPr>
          <w:lang w:val="fr-FR"/>
        </w:rPr>
        <w:t>s</w:t>
      </w:r>
      <w:r w:rsidR="00C01247" w:rsidRPr="009A1ABE">
        <w:rPr>
          <w:lang w:val="fr-FR"/>
        </w:rPr>
        <w:t>.</w:t>
      </w:r>
      <w:r w:rsidR="002842F3">
        <w:rPr>
          <w:lang w:val="fr-FR"/>
        </w:rPr>
        <w:t xml:space="preserve"> En outre, il a été déterminé que</w:t>
      </w:r>
      <w:r w:rsidR="002C7B8F">
        <w:rPr>
          <w:lang w:val="fr-FR"/>
        </w:rPr>
        <w:t xml:space="preserve"> </w:t>
      </w:r>
      <w:r w:rsidR="002842F3" w:rsidRPr="002842F3">
        <w:rPr>
          <w:lang w:val="fr-FR"/>
        </w:rPr>
        <w:t>le niveau d’établissement de l’auteur au Canada</w:t>
      </w:r>
      <w:r w:rsidR="002842F3">
        <w:rPr>
          <w:lang w:val="fr-FR"/>
        </w:rPr>
        <w:t xml:space="preserve"> </w:t>
      </w:r>
      <w:r w:rsidR="002842F3" w:rsidRPr="002842F3">
        <w:rPr>
          <w:lang w:val="fr-FR"/>
        </w:rPr>
        <w:t>n’était pas suffisant en soi pour justifier d’accorder la demande</w:t>
      </w:r>
      <w:r w:rsidR="002842F3">
        <w:rPr>
          <w:lang w:val="fr-FR"/>
        </w:rPr>
        <w:t>.</w:t>
      </w:r>
      <w:r w:rsidR="00C900F3">
        <w:rPr>
          <w:lang w:val="fr-FR"/>
        </w:rPr>
        <w:t xml:space="preserve"> </w:t>
      </w:r>
      <w:r w:rsidR="00C900F3" w:rsidRPr="00223840">
        <w:t>Le 26</w:t>
      </w:r>
      <w:r w:rsidR="00C02653">
        <w:t> </w:t>
      </w:r>
      <w:r w:rsidR="00C900F3" w:rsidRPr="00223840">
        <w:t xml:space="preserve">octobre 2012, l’auteur a déposé une demande d’autorisation et de </w:t>
      </w:r>
      <w:r w:rsidR="00C900F3" w:rsidRPr="008A2B7A">
        <w:t xml:space="preserve">contrôle judiciaire à l’encontre du rejet de sa demande </w:t>
      </w:r>
      <w:r w:rsidR="00B67457" w:rsidRPr="008A2B7A">
        <w:t xml:space="preserve">pour considérations humanitaires </w:t>
      </w:r>
      <w:r w:rsidR="00C900F3" w:rsidRPr="008A2B7A">
        <w:t>en</w:t>
      </w:r>
      <w:r w:rsidR="00C900F3" w:rsidRPr="00223840">
        <w:t xml:space="preserve"> vertu de l’</w:t>
      </w:r>
      <w:r w:rsidR="00770EB4">
        <w:t>article </w:t>
      </w:r>
      <w:r w:rsidR="00C900F3" w:rsidRPr="00223840">
        <w:t>72</w:t>
      </w:r>
      <w:r w:rsidR="00FB4A74">
        <w:t>, paragraphe </w:t>
      </w:r>
      <w:r w:rsidR="00C900F3" w:rsidRPr="00223840">
        <w:t>1</w:t>
      </w:r>
      <w:r w:rsidR="00FB4A74">
        <w:t>,</w:t>
      </w:r>
      <w:r w:rsidR="00C900F3" w:rsidRPr="00223840">
        <w:t xml:space="preserve"> de la </w:t>
      </w:r>
      <w:r w:rsidR="00FB4A74">
        <w:rPr>
          <w:lang w:val="fr-FR"/>
        </w:rPr>
        <w:t>loi sur l’immigration et la protection des réfugiés</w:t>
      </w:r>
      <w:r w:rsidR="00C900F3" w:rsidRPr="00223840">
        <w:t>. La Cour fédérale du Canada a rejeté cette demande le 21 mars 2013</w:t>
      </w:r>
      <w:r w:rsidR="001413CA">
        <w:t>.</w:t>
      </w:r>
    </w:p>
    <w:p w:rsidR="007B5348" w:rsidRPr="00916728" w:rsidRDefault="006D6FCF" w:rsidP="00D653B7">
      <w:pPr>
        <w:pStyle w:val="SingleTxtG"/>
      </w:pPr>
      <w:r>
        <w:lastRenderedPageBreak/>
        <w:t>2.9</w:t>
      </w:r>
      <w:r w:rsidR="001413CA" w:rsidRPr="001413CA">
        <w:tab/>
        <w:t xml:space="preserve">Le 23 décembre 2011, l’auteur a présenté </w:t>
      </w:r>
      <w:r w:rsidR="001413CA" w:rsidRPr="00916728">
        <w:t xml:space="preserve">une première demande </w:t>
      </w:r>
      <w:r w:rsidR="005A5A41" w:rsidRPr="000F3E57">
        <w:t>d’examen des risques avant renvoi</w:t>
      </w:r>
      <w:r w:rsidR="001413CA" w:rsidRPr="00916728">
        <w:t>, en vertu de</w:t>
      </w:r>
      <w:r w:rsidR="00A320CB" w:rsidRPr="00916728">
        <w:t xml:space="preserve"> l’</w:t>
      </w:r>
      <w:r w:rsidR="00770EB4" w:rsidRPr="00916728">
        <w:t>article </w:t>
      </w:r>
      <w:r w:rsidR="00A320CB" w:rsidRPr="00916728">
        <w:t xml:space="preserve">112 de la </w:t>
      </w:r>
      <w:r w:rsidR="00FB4A74" w:rsidRPr="00916728">
        <w:rPr>
          <w:lang w:val="fr-FR"/>
        </w:rPr>
        <w:t>loi sur l’immigration et la protection des réfugiés</w:t>
      </w:r>
      <w:r w:rsidR="00565334" w:rsidRPr="00916728">
        <w:t>,</w:t>
      </w:r>
      <w:r w:rsidR="007B5348" w:rsidRPr="00916728">
        <w:t xml:space="preserve"> dans laquelle il a présenté les mêmes risques que dans sa demande d’asile</w:t>
      </w:r>
      <w:r w:rsidR="00241747" w:rsidRPr="00916728">
        <w:t>.</w:t>
      </w:r>
      <w:r w:rsidR="002C7B8F" w:rsidRPr="00916728">
        <w:t xml:space="preserve"> </w:t>
      </w:r>
      <w:r w:rsidR="007B5348" w:rsidRPr="00916728">
        <w:t>Sa demande a été rejetée le 31 mai 2012</w:t>
      </w:r>
      <w:r w:rsidR="009906D5" w:rsidRPr="00916728">
        <w:t xml:space="preserve"> au motif que les preuves soumises ne faisaient que réitérer les arguments initiaux de l’auteur ou avaient peu de valeur probante. </w:t>
      </w:r>
      <w:r w:rsidR="00C21D01" w:rsidRPr="00916728">
        <w:t>L</w:t>
      </w:r>
      <w:r w:rsidR="009906D5" w:rsidRPr="00916728">
        <w:t xml:space="preserve">’agent </w:t>
      </w:r>
      <w:r w:rsidR="005A5A41" w:rsidRPr="000F3E57">
        <w:t>d’examen des risques avant renvoi</w:t>
      </w:r>
      <w:r w:rsidR="009906D5" w:rsidRPr="00916728">
        <w:t xml:space="preserve"> a déterminé que la situation au Tchad était marquée par une diminution d’activités de</w:t>
      </w:r>
      <w:r w:rsidR="00B700E4" w:rsidRPr="00916728">
        <w:t>s</w:t>
      </w:r>
      <w:r w:rsidR="009906D5" w:rsidRPr="00916728">
        <w:t xml:space="preserve"> groupes rebelles et une diminution conséquente des arrestations arbitraires</w:t>
      </w:r>
      <w:r w:rsidR="00EA082D" w:rsidRPr="00916728">
        <w:t xml:space="preserve">. Il en fut donc conclu que l’auteur n’était pas </w:t>
      </w:r>
      <w:r w:rsidR="00B26679" w:rsidRPr="00916728">
        <w:t xml:space="preserve">exposé </w:t>
      </w:r>
      <w:r w:rsidR="00EA082D" w:rsidRPr="00916728">
        <w:t xml:space="preserve">à </w:t>
      </w:r>
      <w:r w:rsidR="00B26679" w:rsidRPr="000F3E57">
        <w:t xml:space="preserve">un </w:t>
      </w:r>
      <w:r w:rsidR="00EA082D" w:rsidRPr="00916728">
        <w:t>risque</w:t>
      </w:r>
      <w:r w:rsidR="00C21D01" w:rsidRPr="00916728">
        <w:t xml:space="preserve"> </w:t>
      </w:r>
      <w:r w:rsidR="00EA082D" w:rsidRPr="00916728">
        <w:t>de persécution</w:t>
      </w:r>
      <w:r w:rsidR="007B5348" w:rsidRPr="00916728">
        <w:t>.</w:t>
      </w:r>
      <w:r w:rsidR="00531E91" w:rsidRPr="00916728">
        <w:t xml:space="preserve"> Le 26 octobre 2012, l’auteur a déposé une demande de contrôle judiciaire</w:t>
      </w:r>
      <w:r w:rsidR="002C7B8F" w:rsidRPr="00916728">
        <w:t xml:space="preserve"> </w:t>
      </w:r>
      <w:r w:rsidR="00531E91" w:rsidRPr="00916728">
        <w:t>de cette décision devant la Cour fédérale</w:t>
      </w:r>
      <w:r w:rsidR="00C86F92" w:rsidRPr="00916728">
        <w:t>, qui a ét</w:t>
      </w:r>
      <w:r w:rsidR="00652C97" w:rsidRPr="00916728">
        <w:t>é autorisée</w:t>
      </w:r>
      <w:r w:rsidR="00531E91" w:rsidRPr="00916728">
        <w:t>.</w:t>
      </w:r>
      <w:r w:rsidR="002C7B8F" w:rsidRPr="00916728">
        <w:t xml:space="preserve"> </w:t>
      </w:r>
      <w:r w:rsidR="00652C97" w:rsidRPr="00916728">
        <w:t>En conséquence, la Cour fédérale a ordonné</w:t>
      </w:r>
      <w:r w:rsidR="00B700E4" w:rsidRPr="00916728">
        <w:t>,</w:t>
      </w:r>
      <w:r w:rsidR="00652C97" w:rsidRPr="00916728">
        <w:t xml:space="preserve"> </w:t>
      </w:r>
      <w:r w:rsidR="00C45813" w:rsidRPr="00916728">
        <w:t>le 17 décembre 2012</w:t>
      </w:r>
      <w:r w:rsidR="00B700E4" w:rsidRPr="00916728">
        <w:t>,</w:t>
      </w:r>
      <w:r w:rsidR="00C45813" w:rsidRPr="00916728">
        <w:t xml:space="preserve"> le sursis de son</w:t>
      </w:r>
      <w:r w:rsidR="00652C97" w:rsidRPr="00916728">
        <w:t xml:space="preserve"> renvoi.</w:t>
      </w:r>
      <w:r w:rsidR="00C86F92" w:rsidRPr="00916728">
        <w:t xml:space="preserve"> Cependant, le</w:t>
      </w:r>
      <w:r w:rsidR="002F4B62" w:rsidRPr="00916728">
        <w:t>s</w:t>
      </w:r>
      <w:r w:rsidR="00C86F92" w:rsidRPr="00916728">
        <w:t xml:space="preserve"> 15 juillet 2013, la Cour fédérale a rejeté la demande après avoir conclu que l’agent </w:t>
      </w:r>
      <w:r w:rsidR="005A5A41" w:rsidRPr="000F3E57">
        <w:t>d’examen des risques avant renvoi</w:t>
      </w:r>
      <w:r w:rsidR="00C86F92" w:rsidRPr="00916728">
        <w:t xml:space="preserve"> n’avait pas commis d’erreur en rejetant les preuves qui étaient disponibles au moment de sa demande initiale de protection. La Cour fédérale a en outre ré</w:t>
      </w:r>
      <w:r w:rsidR="00B700E4" w:rsidRPr="00916728">
        <w:t>affirm</w:t>
      </w:r>
      <w:r w:rsidR="00C86F92" w:rsidRPr="00916728">
        <w:t>é que la production par l’auteur d’une fausse carte de membre de l’Association pour la promotion des libertés fondamentales</w:t>
      </w:r>
      <w:r w:rsidR="00A01104" w:rsidRPr="00916728">
        <w:t xml:space="preserve"> avait contribué à la conclusion initiale de la Commission que l’auteur n’était pas crédible. Par ailleurs, la Cour fédérale a jugé raisonnable la conclusion de l’agent </w:t>
      </w:r>
      <w:r w:rsidR="005A5A41" w:rsidRPr="000F3E57">
        <w:t>d’examen des risques avant renvoi</w:t>
      </w:r>
      <w:r w:rsidR="00A01104" w:rsidRPr="00916728">
        <w:t xml:space="preserve">, qui a </w:t>
      </w:r>
      <w:r w:rsidR="00C45813" w:rsidRPr="00916728">
        <w:t>établi</w:t>
      </w:r>
      <w:r w:rsidR="00A01104" w:rsidRPr="00916728">
        <w:t xml:space="preserve"> que la SPR aurait rendu la même décision si elle avait été saisie des nouvelle</w:t>
      </w:r>
      <w:r w:rsidR="00C45813" w:rsidRPr="00916728">
        <w:t>s preuves avancées par l’auteur</w:t>
      </w:r>
      <w:r w:rsidR="00C45813" w:rsidRPr="00916728">
        <w:rPr>
          <w:rStyle w:val="FootnoteReference"/>
        </w:rPr>
        <w:footnoteReference w:id="5"/>
      </w:r>
      <w:r w:rsidR="00A01104" w:rsidRPr="00916728">
        <w:t>.</w:t>
      </w:r>
    </w:p>
    <w:p w:rsidR="00C67B6D" w:rsidRPr="00916728" w:rsidRDefault="00C67B6D" w:rsidP="00471345">
      <w:pPr>
        <w:pStyle w:val="SingleTxtG"/>
      </w:pPr>
      <w:r w:rsidRPr="00916728">
        <w:t>2.</w:t>
      </w:r>
      <w:r w:rsidR="006D6FCF" w:rsidRPr="00916728">
        <w:t>10</w:t>
      </w:r>
      <w:r w:rsidRPr="00916728">
        <w:tab/>
        <w:t xml:space="preserve">Le 28 octobre 2013, l’auteur a </w:t>
      </w:r>
      <w:r w:rsidR="00565334" w:rsidRPr="00916728">
        <w:t xml:space="preserve">déposé une seconde demande </w:t>
      </w:r>
      <w:r w:rsidR="005A5A41" w:rsidRPr="000F3E57">
        <w:t>d’examen des risques avant renvoi</w:t>
      </w:r>
      <w:r w:rsidR="00C8003A" w:rsidRPr="00916728">
        <w:rPr>
          <w:rStyle w:val="FootnoteReference"/>
        </w:rPr>
        <w:footnoteReference w:id="6"/>
      </w:r>
      <w:r w:rsidR="00565334" w:rsidRPr="00916728">
        <w:t>.</w:t>
      </w:r>
      <w:r w:rsidRPr="00916728">
        <w:t xml:space="preserve"> Un sursis à son renvoi lui a été accordé jusqu’à l’issue de la procédure. Sa demande a été rejetée le 20</w:t>
      </w:r>
      <w:r w:rsidR="00C02653" w:rsidRPr="00916728">
        <w:t> </w:t>
      </w:r>
      <w:r w:rsidRPr="00916728">
        <w:t xml:space="preserve">novembre 2013. </w:t>
      </w:r>
      <w:r w:rsidR="00EA68D4" w:rsidRPr="00916728">
        <w:t>À</w:t>
      </w:r>
      <w:r w:rsidR="009F0A51" w:rsidRPr="00916728">
        <w:t xml:space="preserve"> l’appui de sa demande, l’auteur avait soumis </w:t>
      </w:r>
      <w:r w:rsidR="00874734" w:rsidRPr="00916728">
        <w:t>les mêmes témoignages que ceux qu’i</w:t>
      </w:r>
      <w:r w:rsidR="00686D2F" w:rsidRPr="00916728">
        <w:t>l</w:t>
      </w:r>
      <w:r w:rsidR="00874734" w:rsidRPr="00916728">
        <w:t xml:space="preserve"> a joint</w:t>
      </w:r>
      <w:r w:rsidR="00332861" w:rsidRPr="00916728">
        <w:t>s à sa demande devant le Comité</w:t>
      </w:r>
      <w:r w:rsidR="00874734" w:rsidRPr="00916728">
        <w:t xml:space="preserve"> (exposés au</w:t>
      </w:r>
      <w:r w:rsidR="00BC2AB5" w:rsidRPr="00916728">
        <w:t>x</w:t>
      </w:r>
      <w:r w:rsidR="00874734" w:rsidRPr="00916728">
        <w:t xml:space="preserve"> pa</w:t>
      </w:r>
      <w:r w:rsidR="00565334" w:rsidRPr="00916728">
        <w:t>ragraphes</w:t>
      </w:r>
      <w:r w:rsidR="00471345" w:rsidRPr="000F3E57">
        <w:t> </w:t>
      </w:r>
      <w:r w:rsidR="00565334" w:rsidRPr="00916728">
        <w:t>2.4 et 2.5 ci-dessus)</w:t>
      </w:r>
      <w:r w:rsidR="009F0A51" w:rsidRPr="00916728">
        <w:rPr>
          <w:rStyle w:val="FootnoteReference"/>
        </w:rPr>
        <w:footnoteReference w:id="7"/>
      </w:r>
      <w:r w:rsidR="00565334" w:rsidRPr="00916728">
        <w:t>.</w:t>
      </w:r>
      <w:r w:rsidR="009F0A51" w:rsidRPr="00916728">
        <w:t xml:space="preserve"> </w:t>
      </w:r>
      <w:r w:rsidR="00BC2AB5" w:rsidRPr="00916728">
        <w:t xml:space="preserve">L’agent </w:t>
      </w:r>
      <w:r w:rsidR="005A5A41" w:rsidRPr="000F3E57">
        <w:t>d’examen des risques avant renvoi</w:t>
      </w:r>
      <w:r w:rsidR="00BC2AB5" w:rsidRPr="00916728">
        <w:t xml:space="preserve"> n’a pas accordé de valeur probante à ces nouvelles pièces en raison, notamment, de contradictions chronologiques relevées entre le témoignage de M.</w:t>
      </w:r>
      <w:r w:rsidR="00C02653" w:rsidRPr="00916728">
        <w:t> </w:t>
      </w:r>
      <w:r w:rsidR="00BC2AB5" w:rsidRPr="00916728">
        <w:t>Guengueng et l’histoire de l’auteur</w:t>
      </w:r>
      <w:r w:rsidR="003314F2" w:rsidRPr="00916728">
        <w:t>.</w:t>
      </w:r>
    </w:p>
    <w:p w:rsidR="007B1151" w:rsidRPr="00916728" w:rsidRDefault="003314F2" w:rsidP="00471345">
      <w:pPr>
        <w:pStyle w:val="SingleTxtG"/>
        <w:rPr>
          <w:lang w:val="fr-FR"/>
        </w:rPr>
      </w:pPr>
      <w:r w:rsidRPr="00916728">
        <w:t>2.</w:t>
      </w:r>
      <w:r w:rsidR="005B6911" w:rsidRPr="00916728">
        <w:t>11</w:t>
      </w:r>
      <w:r w:rsidRPr="00916728">
        <w:tab/>
        <w:t xml:space="preserve">Le 27 novembre 2013, l’auteur a déposé une demande d’autorisation de contrôle judiciaire de la </w:t>
      </w:r>
      <w:r w:rsidR="00471345" w:rsidRPr="00916728">
        <w:t xml:space="preserve">seconde </w:t>
      </w:r>
      <w:r w:rsidRPr="00916728">
        <w:t xml:space="preserve">décision </w:t>
      </w:r>
      <w:r w:rsidR="005A5A41" w:rsidRPr="000F3E57">
        <w:t>d’examen des risques avant renvoi</w:t>
      </w:r>
      <w:r w:rsidRPr="00916728">
        <w:t xml:space="preserve">, ainsi qu’une demande de sursis d’exécution de son renvoi vers le Tchad. </w:t>
      </w:r>
      <w:r w:rsidR="003F1BEB" w:rsidRPr="00916728">
        <w:t>Le 4 décembre 2013, la demande de sursis d’exécution a été rejetée. La date de départ de l’</w:t>
      </w:r>
      <w:r w:rsidR="007B1151" w:rsidRPr="00916728">
        <w:rPr>
          <w:lang w:val="fr-FR"/>
        </w:rPr>
        <w:t xml:space="preserve">auteur </w:t>
      </w:r>
      <w:r w:rsidR="003F1BEB" w:rsidRPr="00916728">
        <w:rPr>
          <w:lang w:val="fr-FR"/>
        </w:rPr>
        <w:t>a été fixée au 10</w:t>
      </w:r>
      <w:r w:rsidR="00471345" w:rsidRPr="00916728">
        <w:rPr>
          <w:lang w:val="fr-FR"/>
        </w:rPr>
        <w:t> </w:t>
      </w:r>
      <w:r w:rsidR="003F1BEB" w:rsidRPr="00916728">
        <w:rPr>
          <w:lang w:val="fr-FR"/>
        </w:rPr>
        <w:t>décembre 2013.</w:t>
      </w:r>
      <w:r w:rsidR="002C7B8F" w:rsidRPr="00916728">
        <w:rPr>
          <w:lang w:val="fr-FR"/>
        </w:rPr>
        <w:t xml:space="preserve"> </w:t>
      </w:r>
    </w:p>
    <w:p w:rsidR="007C236E" w:rsidRDefault="005B6911" w:rsidP="00D653B7">
      <w:pPr>
        <w:pStyle w:val="SingleTxtG"/>
        <w:rPr>
          <w:lang w:val="fr-FR"/>
        </w:rPr>
      </w:pPr>
      <w:r w:rsidRPr="00916728">
        <w:rPr>
          <w:lang w:val="fr-FR"/>
        </w:rPr>
        <w:t>2.12</w:t>
      </w:r>
      <w:r w:rsidR="007C236E" w:rsidRPr="00916728">
        <w:rPr>
          <w:lang w:val="fr-FR"/>
        </w:rPr>
        <w:tab/>
        <w:t xml:space="preserve">Le 6 décembre 2013, l’auteur a présenté au Comité une nouvelle demande de mesures provisoires visant </w:t>
      </w:r>
      <w:r w:rsidR="00471345" w:rsidRPr="00916728">
        <w:rPr>
          <w:lang w:val="fr-FR"/>
        </w:rPr>
        <w:t xml:space="preserve">à </w:t>
      </w:r>
      <w:r w:rsidR="007C236E" w:rsidRPr="00916728">
        <w:rPr>
          <w:lang w:val="fr-FR"/>
        </w:rPr>
        <w:t>suspendre son renvoi vers le Tch</w:t>
      </w:r>
      <w:r w:rsidR="006102FD" w:rsidRPr="00916728">
        <w:rPr>
          <w:lang w:val="fr-FR"/>
        </w:rPr>
        <w:t>ad.</w:t>
      </w:r>
      <w:r w:rsidR="007C236E" w:rsidRPr="00916728">
        <w:rPr>
          <w:lang w:val="fr-FR"/>
        </w:rPr>
        <w:t xml:space="preserve"> </w:t>
      </w:r>
      <w:r w:rsidR="0062391B" w:rsidRPr="00916728">
        <w:rPr>
          <w:lang w:val="fr-FR"/>
        </w:rPr>
        <w:t xml:space="preserve">Pour étayer sa demande, l’auteur </w:t>
      </w:r>
      <w:r w:rsidR="00C766E9" w:rsidRPr="00916728">
        <w:rPr>
          <w:lang w:val="fr-FR"/>
        </w:rPr>
        <w:t>joint le témoignage du 5 décembre 2013 de l’avocate Jacqueline Moude</w:t>
      </w:r>
      <w:r w:rsidR="00F91425" w:rsidRPr="00916728">
        <w:rPr>
          <w:lang w:val="fr-FR"/>
        </w:rPr>
        <w:t>ï</w:t>
      </w:r>
      <w:r w:rsidR="00C766E9" w:rsidRPr="00916728">
        <w:rPr>
          <w:lang w:val="fr-FR"/>
        </w:rPr>
        <w:t xml:space="preserve">na, présidente de l’Association tchadienne pour la promotion et la défense des droits de l’homme et </w:t>
      </w:r>
      <w:r w:rsidR="00873FCE" w:rsidRPr="00916728">
        <w:rPr>
          <w:lang w:val="fr-FR"/>
        </w:rPr>
        <w:t>coordonnatrice</w:t>
      </w:r>
      <w:r w:rsidR="00C766E9" w:rsidRPr="00916728">
        <w:rPr>
          <w:lang w:val="fr-FR"/>
        </w:rPr>
        <w:t xml:space="preserve"> du Collectif des avocats des victimes de Hissène Habré. </w:t>
      </w:r>
      <w:r w:rsidR="00471345" w:rsidRPr="00916728">
        <w:rPr>
          <w:lang w:val="fr-FR"/>
        </w:rPr>
        <w:t>M</w:t>
      </w:r>
      <w:r w:rsidR="00471345" w:rsidRPr="000F3E57">
        <w:rPr>
          <w:vertAlign w:val="superscript"/>
          <w:lang w:val="fr-FR"/>
        </w:rPr>
        <w:t>e</w:t>
      </w:r>
      <w:r w:rsidR="00C02653" w:rsidRPr="00916728">
        <w:rPr>
          <w:lang w:val="fr-FR"/>
        </w:rPr>
        <w:t> </w:t>
      </w:r>
      <w:r w:rsidR="00F91425" w:rsidRPr="00916728">
        <w:rPr>
          <w:lang w:val="fr-FR"/>
        </w:rPr>
        <w:t xml:space="preserve">Moudeïna </w:t>
      </w:r>
      <w:r w:rsidR="00C766E9" w:rsidRPr="00916728">
        <w:rPr>
          <w:lang w:val="fr-FR"/>
        </w:rPr>
        <w:t xml:space="preserve">note dans son témoignage que l’auteur risquerait sa vie s’il devait retourner au Tchad, notamment en raison de son activisme au sein de l’église catholique, de son travail au sein d’une grande organisation des droits de l’homme au Tchad et en raison de </w:t>
      </w:r>
      <w:r w:rsidR="000235E3" w:rsidRPr="00916728">
        <w:rPr>
          <w:lang w:val="fr-FR"/>
        </w:rPr>
        <w:t>soupçons</w:t>
      </w:r>
      <w:r w:rsidR="00C766E9" w:rsidRPr="00916728">
        <w:rPr>
          <w:lang w:val="fr-FR"/>
        </w:rPr>
        <w:t xml:space="preserve"> mal fondés quant </w:t>
      </w:r>
      <w:r w:rsidR="00D632B4" w:rsidRPr="00916728">
        <w:rPr>
          <w:lang w:val="fr-FR"/>
        </w:rPr>
        <w:t xml:space="preserve">à </w:t>
      </w:r>
      <w:r w:rsidR="00C766E9" w:rsidRPr="00916728">
        <w:rPr>
          <w:lang w:val="fr-FR"/>
        </w:rPr>
        <w:t xml:space="preserve">son supposé appui à la rébellion en février et mars 2008. </w:t>
      </w:r>
      <w:r w:rsidR="00471345" w:rsidRPr="00916728">
        <w:rPr>
          <w:lang w:val="fr-FR"/>
        </w:rPr>
        <w:t>M</w:t>
      </w:r>
      <w:r w:rsidR="00471345" w:rsidRPr="00916728">
        <w:rPr>
          <w:vertAlign w:val="superscript"/>
          <w:lang w:val="fr-FR"/>
        </w:rPr>
        <w:t>e</w:t>
      </w:r>
      <w:r w:rsidR="00471345" w:rsidRPr="00916728">
        <w:rPr>
          <w:lang w:val="fr-FR"/>
        </w:rPr>
        <w:t> </w:t>
      </w:r>
      <w:r w:rsidR="00067BC9" w:rsidRPr="00916728">
        <w:rPr>
          <w:lang w:val="fr-FR"/>
        </w:rPr>
        <w:t>Moude</w:t>
      </w:r>
      <w:r w:rsidR="00F91425" w:rsidRPr="00916728">
        <w:rPr>
          <w:lang w:val="fr-FR"/>
        </w:rPr>
        <w:t>ï</w:t>
      </w:r>
      <w:r w:rsidR="00067BC9" w:rsidRPr="00916728">
        <w:rPr>
          <w:lang w:val="fr-FR"/>
        </w:rPr>
        <w:t>na ajoute avoir pu consulter la majorité des preuves soumises aux</w:t>
      </w:r>
      <w:r w:rsidR="00067BC9">
        <w:rPr>
          <w:lang w:val="fr-FR"/>
        </w:rPr>
        <w:t xml:space="preserve"> autorités canadiennes et pense que le danger est réel et élevé pour l’auteur. Les faits ont été vérifiés </w:t>
      </w:r>
      <w:r w:rsidR="00471345">
        <w:rPr>
          <w:lang w:val="fr-FR"/>
        </w:rPr>
        <w:t xml:space="preserve">auprès de </w:t>
      </w:r>
      <w:r w:rsidR="00067BC9">
        <w:rPr>
          <w:lang w:val="fr-FR"/>
        </w:rPr>
        <w:t xml:space="preserve">plusieurs personnes qui ont témoigné du danger encouru par </w:t>
      </w:r>
      <w:r w:rsidR="007474CD">
        <w:t>F.</w:t>
      </w:r>
      <w:r w:rsidR="00C02653">
        <w:t> </w:t>
      </w:r>
      <w:r w:rsidR="007474CD">
        <w:t>M</w:t>
      </w:r>
      <w:r w:rsidR="00067BC9">
        <w:rPr>
          <w:lang w:val="fr-FR"/>
        </w:rPr>
        <w:t xml:space="preserve">. Par ailleurs, </w:t>
      </w:r>
      <w:r w:rsidR="00471345">
        <w:rPr>
          <w:lang w:val="fr-FR"/>
        </w:rPr>
        <w:t>M</w:t>
      </w:r>
      <w:r w:rsidR="00471345" w:rsidRPr="0043760C">
        <w:rPr>
          <w:vertAlign w:val="superscript"/>
          <w:lang w:val="fr-FR"/>
        </w:rPr>
        <w:t>e</w:t>
      </w:r>
      <w:r w:rsidR="00471345">
        <w:rPr>
          <w:lang w:val="fr-FR"/>
        </w:rPr>
        <w:t> </w:t>
      </w:r>
      <w:r w:rsidR="00067BC9">
        <w:rPr>
          <w:lang w:val="fr-FR"/>
        </w:rPr>
        <w:t>Moude</w:t>
      </w:r>
      <w:r w:rsidR="00F91425">
        <w:rPr>
          <w:lang w:val="fr-FR"/>
        </w:rPr>
        <w:t>ï</w:t>
      </w:r>
      <w:r w:rsidR="00067BC9">
        <w:rPr>
          <w:lang w:val="fr-FR"/>
        </w:rPr>
        <w:t xml:space="preserve">na confirme que le militaire qui en veut le plus à l’auteur est actuellement le </w:t>
      </w:r>
      <w:r w:rsidR="00067BC9" w:rsidRPr="00501E0B">
        <w:rPr>
          <w:lang w:val="fr-FR"/>
        </w:rPr>
        <w:t>Chef</w:t>
      </w:r>
      <w:r w:rsidR="00067BC9">
        <w:rPr>
          <w:lang w:val="fr-FR"/>
        </w:rPr>
        <w:t xml:space="preserve"> de</w:t>
      </w:r>
      <w:r w:rsidR="00C02653">
        <w:rPr>
          <w:lang w:val="fr-FR"/>
        </w:rPr>
        <w:t xml:space="preserve"> </w:t>
      </w:r>
      <w:r w:rsidR="00067BC9">
        <w:rPr>
          <w:lang w:val="fr-FR"/>
        </w:rPr>
        <w:t>la sécurité à l’aéroport de N</w:t>
      </w:r>
      <w:r w:rsidR="00471345">
        <w:rPr>
          <w:lang w:val="fr-FR"/>
        </w:rPr>
        <w:t>’D</w:t>
      </w:r>
      <w:r w:rsidR="00067BC9">
        <w:rPr>
          <w:lang w:val="fr-FR"/>
        </w:rPr>
        <w:t xml:space="preserve">jamena. </w:t>
      </w:r>
      <w:r w:rsidR="00471345">
        <w:rPr>
          <w:lang w:val="fr-FR"/>
        </w:rPr>
        <w:t>M</w:t>
      </w:r>
      <w:r w:rsidR="00471345" w:rsidRPr="0043760C">
        <w:rPr>
          <w:vertAlign w:val="superscript"/>
          <w:lang w:val="fr-FR"/>
        </w:rPr>
        <w:t>e</w:t>
      </w:r>
      <w:r w:rsidR="00471345">
        <w:rPr>
          <w:lang w:val="fr-FR"/>
        </w:rPr>
        <w:t> </w:t>
      </w:r>
      <w:r w:rsidR="00067BC9">
        <w:rPr>
          <w:lang w:val="fr-FR"/>
        </w:rPr>
        <w:t>Moude</w:t>
      </w:r>
      <w:r w:rsidR="00F91425">
        <w:rPr>
          <w:lang w:val="fr-FR"/>
        </w:rPr>
        <w:t>ï</w:t>
      </w:r>
      <w:r w:rsidR="00067BC9">
        <w:rPr>
          <w:lang w:val="fr-FR"/>
        </w:rPr>
        <w:t xml:space="preserve">na conclut que l’auteur fait face </w:t>
      </w:r>
      <w:r w:rsidR="00067BC9">
        <w:rPr>
          <w:lang w:val="fr-FR"/>
        </w:rPr>
        <w:lastRenderedPageBreak/>
        <w:t xml:space="preserve">à un risque immédiat pour sa vie et sa sécurité, en particulier un risque de disparition forcée. </w:t>
      </w:r>
      <w:r w:rsidR="00501E0B">
        <w:rPr>
          <w:lang w:val="fr-FR"/>
        </w:rPr>
        <w:t>En cas de retour, i</w:t>
      </w:r>
      <w:r w:rsidR="00067BC9">
        <w:rPr>
          <w:lang w:val="fr-FR"/>
        </w:rPr>
        <w:t xml:space="preserve">l serait immédiatement arrêté et torturé. </w:t>
      </w:r>
    </w:p>
    <w:p w:rsidR="00CE5EB5" w:rsidRPr="00916728" w:rsidRDefault="005B6911" w:rsidP="00A0104F">
      <w:pPr>
        <w:pStyle w:val="SingleTxtG"/>
        <w:rPr>
          <w:lang w:val="fr-FR"/>
        </w:rPr>
      </w:pPr>
      <w:r>
        <w:rPr>
          <w:lang w:val="fr-FR"/>
        </w:rPr>
        <w:t>2.13</w:t>
      </w:r>
      <w:r w:rsidR="00CE5EB5">
        <w:rPr>
          <w:lang w:val="fr-FR"/>
        </w:rPr>
        <w:tab/>
        <w:t xml:space="preserve">Le 18 décembre 2013, l’auteur a informé le Comité qu’il avait été placé en détention </w:t>
      </w:r>
      <w:r w:rsidR="00CE5EB5" w:rsidRPr="00916728">
        <w:rPr>
          <w:lang w:val="fr-FR"/>
        </w:rPr>
        <w:t>le 10 décembre 2013 par les services de douane canadiens (Agence des services frontaliers du Canada, ASFC)</w:t>
      </w:r>
      <w:r w:rsidR="00FB15E7" w:rsidRPr="00916728">
        <w:rPr>
          <w:lang w:val="fr-FR"/>
        </w:rPr>
        <w:t xml:space="preserve">. </w:t>
      </w:r>
      <w:r w:rsidR="00ED4D46" w:rsidRPr="00916728">
        <w:rPr>
          <w:lang w:val="fr-FR"/>
        </w:rPr>
        <w:t>L’auteur note qu’il a bénéficié de deux audiences pour contester sa détention, respectivement les 12 et 16 décembre 2013, mais qu’il a été informé par les agents de l’ASFC que la demande de mesure</w:t>
      </w:r>
      <w:r w:rsidR="00A0104F" w:rsidRPr="00916728">
        <w:rPr>
          <w:lang w:val="fr-FR"/>
        </w:rPr>
        <w:t>s</w:t>
      </w:r>
      <w:r w:rsidR="00ED4D46" w:rsidRPr="00916728">
        <w:rPr>
          <w:lang w:val="fr-FR"/>
        </w:rPr>
        <w:t xml:space="preserve"> provisoire</w:t>
      </w:r>
      <w:r w:rsidR="00A0104F" w:rsidRPr="00916728">
        <w:rPr>
          <w:lang w:val="fr-FR"/>
        </w:rPr>
        <w:t>s</w:t>
      </w:r>
      <w:r w:rsidR="00ED4D46" w:rsidRPr="00916728">
        <w:rPr>
          <w:lang w:val="fr-FR"/>
        </w:rPr>
        <w:t xml:space="preserve"> du Comité n’était pas contraignante pour les autorités canadiennes et qu’elle restait sujette à une décision discrétionnaire du Ministère de la sécurité publique. </w:t>
      </w:r>
    </w:p>
    <w:p w:rsidR="009D740B" w:rsidRPr="00916728" w:rsidRDefault="009D740B" w:rsidP="005A5A41">
      <w:pPr>
        <w:pStyle w:val="SingleTxtG"/>
        <w:rPr>
          <w:lang w:val="fr-FR"/>
        </w:rPr>
      </w:pPr>
      <w:r w:rsidRPr="00916728">
        <w:rPr>
          <w:lang w:val="fr-FR"/>
        </w:rPr>
        <w:t>2.14</w:t>
      </w:r>
      <w:r w:rsidRPr="00916728">
        <w:rPr>
          <w:lang w:val="fr-FR"/>
        </w:rPr>
        <w:tab/>
        <w:t xml:space="preserve">Le 7 mars 2014, une nouvelle demande d’autorisation de contrôle judiciaire présentée par l’auteur à l’encontre de la décision </w:t>
      </w:r>
      <w:r w:rsidR="005A5A41" w:rsidRPr="000F3E57">
        <w:t>d’examen des risques avant renvoi</w:t>
      </w:r>
      <w:r w:rsidRPr="00916728">
        <w:rPr>
          <w:lang w:val="fr-FR"/>
        </w:rPr>
        <w:t xml:space="preserve"> du 20</w:t>
      </w:r>
      <w:r w:rsidR="005A5A41" w:rsidRPr="00916728">
        <w:rPr>
          <w:lang w:val="fr-FR"/>
        </w:rPr>
        <w:t> </w:t>
      </w:r>
      <w:r w:rsidRPr="00916728">
        <w:rPr>
          <w:lang w:val="fr-FR"/>
        </w:rPr>
        <w:t xml:space="preserve">novembre 2013 </w:t>
      </w:r>
      <w:r w:rsidR="00D632B4" w:rsidRPr="00916728">
        <w:rPr>
          <w:lang w:val="fr-FR"/>
        </w:rPr>
        <w:t>(par.</w:t>
      </w:r>
      <w:r w:rsidR="00C02653" w:rsidRPr="00916728">
        <w:rPr>
          <w:lang w:val="fr-FR"/>
        </w:rPr>
        <w:t> </w:t>
      </w:r>
      <w:r w:rsidR="00D632B4" w:rsidRPr="00916728">
        <w:rPr>
          <w:lang w:val="fr-FR"/>
        </w:rPr>
        <w:t xml:space="preserve">2.10) </w:t>
      </w:r>
      <w:r w:rsidRPr="00916728">
        <w:rPr>
          <w:lang w:val="fr-FR"/>
        </w:rPr>
        <w:t xml:space="preserve">a été rejetée par la Cour fédérale. </w:t>
      </w:r>
    </w:p>
    <w:p w:rsidR="009D740B" w:rsidRPr="00916728" w:rsidRDefault="009D740B" w:rsidP="00A0104F">
      <w:pPr>
        <w:pStyle w:val="SingleTxtG"/>
        <w:rPr>
          <w:lang w:val="fr-FR"/>
        </w:rPr>
      </w:pPr>
      <w:r w:rsidRPr="00916728">
        <w:rPr>
          <w:lang w:val="fr-FR"/>
        </w:rPr>
        <w:t>2.15</w:t>
      </w:r>
      <w:r w:rsidRPr="00916728">
        <w:rPr>
          <w:lang w:val="fr-FR"/>
        </w:rPr>
        <w:tab/>
        <w:t>Le 2 juin 2014, l’auteur a transmis au Comité une convocation de l’A</w:t>
      </w:r>
      <w:r w:rsidR="005A5A41" w:rsidRPr="00916728">
        <w:rPr>
          <w:lang w:val="fr-FR"/>
        </w:rPr>
        <w:t>SFC</w:t>
      </w:r>
      <w:r w:rsidRPr="00916728">
        <w:rPr>
          <w:lang w:val="fr-FR"/>
        </w:rPr>
        <w:t xml:space="preserve"> invitant ce dernier à se présenter à l’aéroport international Pierre-Elliot Trudeau, Montréal, le 10</w:t>
      </w:r>
      <w:r w:rsidR="005A5A41" w:rsidRPr="00916728">
        <w:rPr>
          <w:lang w:val="fr-FR"/>
        </w:rPr>
        <w:t> </w:t>
      </w:r>
      <w:r w:rsidRPr="00916728">
        <w:rPr>
          <w:lang w:val="fr-FR"/>
        </w:rPr>
        <w:t xml:space="preserve">juin 2014 pour son départ du Canada. </w:t>
      </w:r>
    </w:p>
    <w:p w:rsidR="008E7333" w:rsidRPr="00916728" w:rsidRDefault="009D740B" w:rsidP="00D653B7">
      <w:pPr>
        <w:pStyle w:val="SingleTxtG"/>
        <w:rPr>
          <w:lang w:val="fr-FR"/>
        </w:rPr>
      </w:pPr>
      <w:r w:rsidRPr="00916728">
        <w:rPr>
          <w:lang w:val="fr-FR"/>
        </w:rPr>
        <w:t>2.16</w:t>
      </w:r>
      <w:r w:rsidRPr="00916728">
        <w:rPr>
          <w:lang w:val="fr-FR"/>
        </w:rPr>
        <w:tab/>
        <w:t>Le 4 juin 2014, la Cour fédérale a rejeté la requête en sursis de l’exécution du renvoi de l’auteur vers le Tchad. Dans cette décision, la Cour fédérale a pris note de la demande de mesures provisoires du Comité, mais a noté que « le Canada n’[était] pas lié</w:t>
      </w:r>
      <w:r w:rsidR="00565334" w:rsidRPr="00916728">
        <w:rPr>
          <w:lang w:val="fr-FR"/>
        </w:rPr>
        <w:t xml:space="preserve"> par une telle recommandation »</w:t>
      </w:r>
      <w:r w:rsidRPr="00916728">
        <w:rPr>
          <w:rStyle w:val="FootnoteReference"/>
          <w:lang w:val="fr-FR" w:eastAsia="en-CA"/>
        </w:rPr>
        <w:footnoteReference w:id="8"/>
      </w:r>
      <w:r w:rsidR="00565334" w:rsidRPr="00916728">
        <w:rPr>
          <w:lang w:val="fr-FR"/>
        </w:rPr>
        <w:t>.</w:t>
      </w:r>
      <w:r w:rsidRPr="00916728">
        <w:rPr>
          <w:rStyle w:val="FootnoteReference"/>
          <w:lang w:val="fr-FR" w:eastAsia="en-CA"/>
        </w:rPr>
        <w:t xml:space="preserve"> </w:t>
      </w:r>
      <w:r w:rsidRPr="00916728">
        <w:rPr>
          <w:lang w:val="fr-FR"/>
        </w:rPr>
        <w:t>La Cour a également noté que</w:t>
      </w:r>
      <w:r w:rsidR="008D1A2C" w:rsidRPr="00916728">
        <w:rPr>
          <w:lang w:val="fr-FR"/>
        </w:rPr>
        <w:t>,</w:t>
      </w:r>
      <w:r w:rsidRPr="00916728">
        <w:rPr>
          <w:lang w:val="fr-FR"/>
        </w:rPr>
        <w:t xml:space="preserve"> </w:t>
      </w:r>
      <w:r w:rsidR="008D1A2C" w:rsidRPr="00916728">
        <w:rPr>
          <w:lang w:val="fr-FR"/>
        </w:rPr>
        <w:t xml:space="preserve">pour étayer les risques encourus, </w:t>
      </w:r>
      <w:r w:rsidRPr="00916728">
        <w:rPr>
          <w:lang w:val="fr-FR"/>
        </w:rPr>
        <w:t>le demandeur présentait les mêmes argument</w:t>
      </w:r>
      <w:r w:rsidR="00753A61" w:rsidRPr="00916728">
        <w:rPr>
          <w:lang w:val="fr-FR"/>
        </w:rPr>
        <w:t xml:space="preserve">s </w:t>
      </w:r>
      <w:r w:rsidRPr="00916728">
        <w:rPr>
          <w:lang w:val="fr-FR"/>
        </w:rPr>
        <w:t xml:space="preserve">qui avaient été considérés lors de sa demande d’asile et ses demandes </w:t>
      </w:r>
      <w:r w:rsidR="005A5A41" w:rsidRPr="000F3E57">
        <w:t>d’examen des risques avant renvoi</w:t>
      </w:r>
      <w:r w:rsidRPr="00916728">
        <w:rPr>
          <w:lang w:val="fr-FR"/>
        </w:rPr>
        <w:t xml:space="preserve">, et que ce dernier avait bénéficié de remises de départ, ainsi que des nombreux recours prévus par la </w:t>
      </w:r>
      <w:r w:rsidR="00A0104F" w:rsidRPr="00916728">
        <w:rPr>
          <w:lang w:val="fr-FR"/>
        </w:rPr>
        <w:t>l</w:t>
      </w:r>
      <w:r w:rsidRPr="00916728">
        <w:rPr>
          <w:lang w:val="fr-FR"/>
        </w:rPr>
        <w:t xml:space="preserve">oi sur l’immigration et la protection des réfugiés. Par ordonnance du 28 août 2014, la Cour fédérale a refusé à l’auteur l’autorisation de présenter une demande de révision judiciaire de sa décision du 4 juin 2014. </w:t>
      </w:r>
    </w:p>
    <w:p w:rsidR="00345D48" w:rsidRDefault="00345D48" w:rsidP="00565334">
      <w:pPr>
        <w:pStyle w:val="SingleTxtG"/>
        <w:rPr>
          <w:lang w:val="fr-FR"/>
        </w:rPr>
      </w:pPr>
      <w:r w:rsidRPr="00916728">
        <w:rPr>
          <w:lang w:val="fr-FR"/>
        </w:rPr>
        <w:t>2.17</w:t>
      </w:r>
      <w:r w:rsidRPr="00916728">
        <w:rPr>
          <w:lang w:val="fr-FR"/>
        </w:rPr>
        <w:tab/>
        <w:t>L’auteur ne s’est pas présenté à l’aéroport le 10 juin 2014 comme</w:t>
      </w:r>
      <w:r>
        <w:rPr>
          <w:lang w:val="fr-FR"/>
        </w:rPr>
        <w:t xml:space="preserve"> </w:t>
      </w:r>
      <w:r w:rsidR="002F0DD5">
        <w:rPr>
          <w:lang w:val="fr-FR"/>
        </w:rPr>
        <w:t xml:space="preserve">il y était invité dans la convocation de </w:t>
      </w:r>
      <w:r w:rsidR="002F0DD5" w:rsidRPr="002F0DD5">
        <w:rPr>
          <w:lang w:val="fr-FR"/>
        </w:rPr>
        <w:t>l’ASFC</w:t>
      </w:r>
      <w:r>
        <w:rPr>
          <w:lang w:val="fr-FR"/>
        </w:rPr>
        <w:t xml:space="preserve">. Il vit donc depuis dans la clandestinité au Canada. </w:t>
      </w:r>
    </w:p>
    <w:p w:rsidR="008E7333" w:rsidRPr="008E7333" w:rsidRDefault="00565334" w:rsidP="00565334">
      <w:pPr>
        <w:pStyle w:val="H23G"/>
        <w:rPr>
          <w:lang w:val="fr-FR"/>
        </w:rPr>
      </w:pPr>
      <w:r>
        <w:rPr>
          <w:lang w:val="fr-FR"/>
        </w:rPr>
        <w:tab/>
      </w:r>
      <w:r>
        <w:rPr>
          <w:lang w:val="fr-FR"/>
        </w:rPr>
        <w:tab/>
      </w:r>
      <w:r w:rsidR="008E7333" w:rsidRPr="00916728">
        <w:rPr>
          <w:lang w:val="fr-FR"/>
        </w:rPr>
        <w:t>Teneur de la plainte</w:t>
      </w:r>
    </w:p>
    <w:p w:rsidR="00251B46" w:rsidRDefault="00565334" w:rsidP="00A0104F">
      <w:pPr>
        <w:pStyle w:val="SingleTxtG"/>
        <w:rPr>
          <w:lang w:val="fr-FR"/>
        </w:rPr>
      </w:pPr>
      <w:r>
        <w:rPr>
          <w:lang w:val="fr-FR"/>
        </w:rPr>
        <w:t>3.1</w:t>
      </w:r>
      <w:r w:rsidR="00251B46" w:rsidRPr="006756F8">
        <w:rPr>
          <w:lang w:val="fr-FR"/>
        </w:rPr>
        <w:tab/>
        <w:t>L</w:t>
      </w:r>
      <w:r w:rsidR="00424533">
        <w:rPr>
          <w:lang w:val="fr-FR"/>
        </w:rPr>
        <w:t>’</w:t>
      </w:r>
      <w:r w:rsidR="00251B46" w:rsidRPr="006756F8">
        <w:rPr>
          <w:lang w:val="fr-FR"/>
        </w:rPr>
        <w:t xml:space="preserve">auteur allègue être persécuté par les autorités tchadiennes pour avoir ravitaillé les rebelles en eau potable, mais aussi sans doute pour avoir été membre d’une </w:t>
      </w:r>
      <w:r w:rsidR="00F63B31">
        <w:rPr>
          <w:lang w:val="fr-FR"/>
        </w:rPr>
        <w:t xml:space="preserve">organisation non gouvernementale </w:t>
      </w:r>
      <w:r w:rsidR="00251B46" w:rsidRPr="006756F8">
        <w:rPr>
          <w:lang w:val="fr-FR"/>
        </w:rPr>
        <w:t xml:space="preserve">de défense des droits de l’homme. L’auteur a de fortes raisons de croire qu’il sera arrêté à l’aéroport, placé en détention et torturé par les autorités tchadiennes en cas de retour. Il rappelle qu’il a déjà été victime de torture dans le passé et ajoute qu’il sera aussi probablement victime d’une exécution extrajudiciaire, à laquelle il a déjà échappé de </w:t>
      </w:r>
      <w:r w:rsidR="00A0104F">
        <w:rPr>
          <w:lang w:val="fr-FR"/>
        </w:rPr>
        <w:t>justesse</w:t>
      </w:r>
      <w:r w:rsidR="00251B46" w:rsidRPr="006756F8">
        <w:rPr>
          <w:lang w:val="fr-FR"/>
        </w:rPr>
        <w:t xml:space="preserve">, </w:t>
      </w:r>
      <w:r w:rsidR="00251B46" w:rsidRPr="003658EF">
        <w:rPr>
          <w:lang w:val="fr-FR"/>
        </w:rPr>
        <w:t>en violation des articles</w:t>
      </w:r>
      <w:r w:rsidR="00251B46" w:rsidRPr="006756F8">
        <w:rPr>
          <w:lang w:val="fr-FR"/>
        </w:rPr>
        <w:t xml:space="preserve"> 6 et 7 du Pacte, s’il était renvoyé au Tchad.</w:t>
      </w:r>
    </w:p>
    <w:p w:rsidR="00402F5E" w:rsidRPr="00916728" w:rsidRDefault="00251B46" w:rsidP="00A0104F">
      <w:pPr>
        <w:pStyle w:val="SingleTxtG"/>
        <w:rPr>
          <w:lang w:val="fr-FR"/>
        </w:rPr>
      </w:pPr>
      <w:r w:rsidRPr="006756F8">
        <w:rPr>
          <w:lang w:val="fr-FR"/>
        </w:rPr>
        <w:t>3.2</w:t>
      </w:r>
      <w:r w:rsidRPr="006756F8">
        <w:rPr>
          <w:lang w:val="fr-FR"/>
        </w:rPr>
        <w:tab/>
        <w:t>L’auteur a vu sa demande de statut de réfugié rejetée par la SPR pour manque de crédibilité alors qu’il a</w:t>
      </w:r>
      <w:r w:rsidR="00A0104F">
        <w:rPr>
          <w:lang w:val="fr-FR"/>
        </w:rPr>
        <w:t>vait</w:t>
      </w:r>
      <w:r w:rsidRPr="006756F8">
        <w:rPr>
          <w:lang w:val="fr-FR"/>
        </w:rPr>
        <w:t xml:space="preserve"> fourni un nombre important de preuves à l’appui de sa demande. Les preuves consistent en une copie de sa carte de membre de l’Association pour la promotion des libertés fondamentales au Tchad, de photos prises lors de la destruction de sa maison, de</w:t>
      </w:r>
      <w:r w:rsidR="00565334">
        <w:rPr>
          <w:lang w:val="fr-FR"/>
        </w:rPr>
        <w:t xml:space="preserve"> photos montrant ses cicatrices,</w:t>
      </w:r>
      <w:r w:rsidRPr="00D632B4">
        <w:rPr>
          <w:rStyle w:val="FootnoteReference"/>
          <w:lang w:eastAsia="en-CA"/>
        </w:rPr>
        <w:t xml:space="preserve"> </w:t>
      </w:r>
      <w:r w:rsidRPr="006756F8">
        <w:rPr>
          <w:lang w:val="fr-FR"/>
        </w:rPr>
        <w:t xml:space="preserve">d’articles en lien avec les </w:t>
      </w:r>
      <w:r w:rsidRPr="00916728">
        <w:rPr>
          <w:lang w:val="fr-FR"/>
        </w:rPr>
        <w:t>év</w:t>
      </w:r>
      <w:r w:rsidR="00A0104F" w:rsidRPr="00916728">
        <w:rPr>
          <w:lang w:val="fr-FR"/>
        </w:rPr>
        <w:t>é</w:t>
      </w:r>
      <w:r w:rsidRPr="00916728">
        <w:rPr>
          <w:lang w:val="fr-FR"/>
        </w:rPr>
        <w:t>nements des 2 et 3</w:t>
      </w:r>
      <w:r w:rsidR="00C02653" w:rsidRPr="00916728">
        <w:rPr>
          <w:lang w:val="fr-FR"/>
        </w:rPr>
        <w:t> </w:t>
      </w:r>
      <w:r w:rsidRPr="00916728">
        <w:rPr>
          <w:lang w:val="fr-FR"/>
        </w:rPr>
        <w:t xml:space="preserve">février 2008 et d’une lettre de témoignage d’un prêtre au Tchad. D’autres témoignages soumis ont été rejetés au motif que les personnes en question n’avaient pas eu </w:t>
      </w:r>
      <w:r w:rsidR="00A0104F" w:rsidRPr="00916728">
        <w:rPr>
          <w:lang w:val="fr-FR"/>
        </w:rPr>
        <w:t xml:space="preserve">directement </w:t>
      </w:r>
      <w:r w:rsidRPr="00916728">
        <w:rPr>
          <w:lang w:val="fr-FR"/>
        </w:rPr>
        <w:t>connaissance des faits.</w:t>
      </w:r>
    </w:p>
    <w:p w:rsidR="0042679B" w:rsidRPr="00916728" w:rsidRDefault="007B1151" w:rsidP="00D653B7">
      <w:pPr>
        <w:pStyle w:val="SingleTxtG"/>
        <w:rPr>
          <w:bCs/>
          <w:lang w:val="fr-FR"/>
        </w:rPr>
      </w:pPr>
      <w:r w:rsidRPr="00916728">
        <w:rPr>
          <w:lang w:val="fr-FR"/>
        </w:rPr>
        <w:lastRenderedPageBreak/>
        <w:t>3.3</w:t>
      </w:r>
      <w:r w:rsidRPr="00916728">
        <w:rPr>
          <w:lang w:val="fr-FR"/>
        </w:rPr>
        <w:tab/>
        <w:t xml:space="preserve">S’agissant de la procédure </w:t>
      </w:r>
      <w:r w:rsidR="005A5A41" w:rsidRPr="000F3E57">
        <w:t>d’examen des risques avant renvoi</w:t>
      </w:r>
      <w:r w:rsidRPr="00916728">
        <w:rPr>
          <w:lang w:val="fr-FR"/>
        </w:rPr>
        <w:t xml:space="preserve">, l’auteur considère qu’elle n’est pas conforme au Pacte dans la mesure où tous les éléments de preuve qui étaient disponibles au moment de la procédure devant la SPR ne peuvent être réexaminés par l’agent </w:t>
      </w:r>
      <w:r w:rsidR="005A5A41" w:rsidRPr="000F3E57">
        <w:t>d’examen des risques avant renvoi</w:t>
      </w:r>
      <w:r w:rsidR="004A644A" w:rsidRPr="00916728">
        <w:rPr>
          <w:lang w:val="fr-FR"/>
        </w:rPr>
        <w:t xml:space="preserve">, en </w:t>
      </w:r>
      <w:r w:rsidR="008C6CE0" w:rsidRPr="00916728">
        <w:rPr>
          <w:lang w:val="fr-FR"/>
        </w:rPr>
        <w:t xml:space="preserve">application </w:t>
      </w:r>
      <w:r w:rsidR="004A644A" w:rsidRPr="00916728">
        <w:rPr>
          <w:lang w:val="fr-FR"/>
        </w:rPr>
        <w:t>de l’</w:t>
      </w:r>
      <w:r w:rsidR="00770EB4" w:rsidRPr="00916728">
        <w:rPr>
          <w:lang w:val="fr-FR"/>
        </w:rPr>
        <w:t>article </w:t>
      </w:r>
      <w:r w:rsidR="004A644A" w:rsidRPr="00916728">
        <w:rPr>
          <w:lang w:val="fr-FR"/>
        </w:rPr>
        <w:t>113</w:t>
      </w:r>
      <w:r w:rsidR="00A0104F" w:rsidRPr="000F3E57">
        <w:rPr>
          <w:lang w:val="fr-FR"/>
        </w:rPr>
        <w:t xml:space="preserve">, alinéa </w:t>
      </w:r>
      <w:r w:rsidR="004A644A" w:rsidRPr="00916728">
        <w:rPr>
          <w:lang w:val="fr-FR"/>
        </w:rPr>
        <w:t>a)</w:t>
      </w:r>
      <w:r w:rsidR="00A0104F" w:rsidRPr="00916728">
        <w:rPr>
          <w:lang w:val="fr-FR"/>
        </w:rPr>
        <w:t>,</w:t>
      </w:r>
      <w:r w:rsidR="004A644A" w:rsidRPr="00916728">
        <w:rPr>
          <w:lang w:val="fr-FR"/>
        </w:rPr>
        <w:t xml:space="preserve"> de la </w:t>
      </w:r>
      <w:r w:rsidR="007965B3" w:rsidRPr="00916728">
        <w:rPr>
          <w:lang w:val="fr-FR"/>
        </w:rPr>
        <w:t>l</w:t>
      </w:r>
      <w:r w:rsidR="004A644A" w:rsidRPr="00916728">
        <w:rPr>
          <w:lang w:val="fr-FR"/>
        </w:rPr>
        <w:t>oi sur l’immigration et la protection des réfugiés</w:t>
      </w:r>
      <w:r w:rsidR="004A644A" w:rsidRPr="00916728">
        <w:rPr>
          <w:rStyle w:val="FootnoteReference"/>
        </w:rPr>
        <w:footnoteReference w:id="9"/>
      </w:r>
      <w:r w:rsidRPr="00916728">
        <w:rPr>
          <w:lang w:val="fr-FR"/>
        </w:rPr>
        <w:t xml:space="preserve">. </w:t>
      </w:r>
      <w:r w:rsidR="000B1557" w:rsidRPr="00916728">
        <w:rPr>
          <w:lang w:val="fr-FR"/>
        </w:rPr>
        <w:t>Par ailleurs, la norme de révision employé</w:t>
      </w:r>
      <w:r w:rsidR="0086475F" w:rsidRPr="00916728">
        <w:rPr>
          <w:lang w:val="fr-FR"/>
        </w:rPr>
        <w:t>e</w:t>
      </w:r>
      <w:r w:rsidR="000B1557" w:rsidRPr="00916728">
        <w:rPr>
          <w:lang w:val="fr-FR"/>
        </w:rPr>
        <w:t xml:space="preserve"> par le juge de la Cour fédérale lors de la révision de la décision d’un agent </w:t>
      </w:r>
      <w:r w:rsidR="005A5A41" w:rsidRPr="000F3E57">
        <w:t>d’examen des risques avant renvoi</w:t>
      </w:r>
      <w:r w:rsidR="000B1557" w:rsidRPr="00916728">
        <w:rPr>
          <w:lang w:val="fr-FR"/>
        </w:rPr>
        <w:t xml:space="preserve"> est ce</w:t>
      </w:r>
      <w:r w:rsidR="008D1A2C" w:rsidRPr="00916728">
        <w:rPr>
          <w:lang w:val="fr-FR"/>
        </w:rPr>
        <w:t xml:space="preserve">lle </w:t>
      </w:r>
      <w:r w:rsidR="000B1557" w:rsidRPr="00916728">
        <w:rPr>
          <w:lang w:val="fr-FR"/>
        </w:rPr>
        <w:t>de la « décision raisonnable », ce qui signifie que</w:t>
      </w:r>
      <w:r w:rsidR="008D1A2C" w:rsidRPr="00916728">
        <w:rPr>
          <w:lang w:val="fr-FR"/>
        </w:rPr>
        <w:t>,</w:t>
      </w:r>
      <w:r w:rsidR="000B1557" w:rsidRPr="00916728">
        <w:rPr>
          <w:lang w:val="fr-FR"/>
        </w:rPr>
        <w:t xml:space="preserve"> bien que le juge affirme qu’il aurait pu décider autrement, la décision sera </w:t>
      </w:r>
      <w:r w:rsidR="00892226" w:rsidRPr="00916728">
        <w:rPr>
          <w:lang w:val="fr-FR"/>
        </w:rPr>
        <w:t>maintenue</w:t>
      </w:r>
      <w:r w:rsidR="000B1557" w:rsidRPr="00916728">
        <w:rPr>
          <w:lang w:val="fr-FR"/>
        </w:rPr>
        <w:t xml:space="preserve"> si elle est assortie d’un raisonnement logique, en fait et en droit. </w:t>
      </w:r>
      <w:r w:rsidRPr="00916728">
        <w:rPr>
          <w:lang w:val="fr-FR"/>
        </w:rPr>
        <w:t>L’auteur considère donc les recours au Canada comme étant inefficaces en violation de l’</w:t>
      </w:r>
      <w:r w:rsidR="00770EB4" w:rsidRPr="00916728">
        <w:rPr>
          <w:lang w:val="fr-FR"/>
        </w:rPr>
        <w:t>article </w:t>
      </w:r>
      <w:r w:rsidRPr="00916728">
        <w:rPr>
          <w:lang w:val="fr-FR"/>
        </w:rPr>
        <w:t xml:space="preserve">2 du Pacte. </w:t>
      </w:r>
    </w:p>
    <w:p w:rsidR="00C61AE1" w:rsidRPr="00916728" w:rsidRDefault="0042679B" w:rsidP="00565334">
      <w:pPr>
        <w:pStyle w:val="SingleTxtG"/>
        <w:rPr>
          <w:lang w:val="fr-FR"/>
        </w:rPr>
      </w:pPr>
      <w:r w:rsidRPr="00916728">
        <w:rPr>
          <w:lang w:val="fr-FR"/>
        </w:rPr>
        <w:t>3.4</w:t>
      </w:r>
      <w:r w:rsidRPr="00916728">
        <w:rPr>
          <w:lang w:val="fr-FR"/>
        </w:rPr>
        <w:tab/>
        <w:t>Pour les mêmes raisons, l’auteur se prévaut également de l’</w:t>
      </w:r>
      <w:r w:rsidR="00770EB4" w:rsidRPr="00916728">
        <w:rPr>
          <w:lang w:val="fr-FR"/>
        </w:rPr>
        <w:t>article </w:t>
      </w:r>
      <w:r w:rsidRPr="00916728">
        <w:rPr>
          <w:lang w:val="fr-FR"/>
        </w:rPr>
        <w:t xml:space="preserve">13 du Pacte, qui </w:t>
      </w:r>
      <w:r w:rsidR="007B1151" w:rsidRPr="00916728">
        <w:rPr>
          <w:lang w:val="fr-FR"/>
        </w:rPr>
        <w:t xml:space="preserve">aurait été violé puisque </w:t>
      </w:r>
      <w:r w:rsidR="00385104" w:rsidRPr="00916728">
        <w:rPr>
          <w:lang w:val="fr-FR"/>
        </w:rPr>
        <w:t xml:space="preserve">ce dernier </w:t>
      </w:r>
      <w:r w:rsidR="007B1151" w:rsidRPr="00916728">
        <w:rPr>
          <w:lang w:val="fr-FR"/>
        </w:rPr>
        <w:t>n’a pas pu faire valoir les raisons qui militent contre son expulsion</w:t>
      </w:r>
      <w:r w:rsidR="00385104" w:rsidRPr="00916728">
        <w:rPr>
          <w:lang w:val="fr-FR"/>
        </w:rPr>
        <w:t>, ni</w:t>
      </w:r>
      <w:r w:rsidR="007B1151" w:rsidRPr="00916728">
        <w:rPr>
          <w:lang w:val="fr-FR"/>
        </w:rPr>
        <w:t xml:space="preserve"> faire examiner son cas par une autorité compétente.</w:t>
      </w:r>
    </w:p>
    <w:p w:rsidR="00DC75C5" w:rsidRPr="0049597B" w:rsidRDefault="00DC75C5" w:rsidP="00D82B2D">
      <w:pPr>
        <w:pStyle w:val="H23G"/>
        <w:ind w:right="0"/>
        <w:rPr>
          <w:lang w:val="fr-FR"/>
        </w:rPr>
      </w:pPr>
      <w:r w:rsidRPr="00916728">
        <w:rPr>
          <w:b w:val="0"/>
          <w:lang w:val="fr-FR"/>
        </w:rPr>
        <w:tab/>
      </w:r>
      <w:r w:rsidRPr="00916728">
        <w:rPr>
          <w:b w:val="0"/>
          <w:lang w:val="fr-FR"/>
        </w:rPr>
        <w:tab/>
      </w:r>
      <w:r w:rsidRPr="00916728">
        <w:rPr>
          <w:lang w:val="fr-FR"/>
        </w:rPr>
        <w:t>Observations de l</w:t>
      </w:r>
      <w:r w:rsidR="001B7936" w:rsidRPr="00916728">
        <w:rPr>
          <w:lang w:val="fr-FR"/>
        </w:rPr>
        <w:t>’</w:t>
      </w:r>
      <w:r w:rsidRPr="00916728">
        <w:rPr>
          <w:lang w:val="fr-FR"/>
        </w:rPr>
        <w:t>État partie sur la recevabilité et le fond</w:t>
      </w:r>
    </w:p>
    <w:p w:rsidR="00775817" w:rsidRDefault="00DC75C5" w:rsidP="008549F0">
      <w:pPr>
        <w:pStyle w:val="SingleTxtG"/>
        <w:rPr>
          <w:lang w:val="fr-FR"/>
        </w:rPr>
      </w:pPr>
      <w:r w:rsidRPr="00A172E4">
        <w:rPr>
          <w:lang w:val="fr-FR"/>
        </w:rPr>
        <w:t>4.1</w:t>
      </w:r>
      <w:r w:rsidRPr="00A172E4">
        <w:rPr>
          <w:lang w:val="fr-FR"/>
        </w:rPr>
        <w:tab/>
      </w:r>
      <w:r w:rsidRPr="0049597B">
        <w:rPr>
          <w:lang w:val="fr-FR"/>
        </w:rPr>
        <w:t xml:space="preserve">Le </w:t>
      </w:r>
      <w:r w:rsidR="00C61AE1">
        <w:rPr>
          <w:lang w:val="fr-FR"/>
        </w:rPr>
        <w:t>5 février 2014</w:t>
      </w:r>
      <w:r w:rsidRPr="0049597B">
        <w:rPr>
          <w:lang w:val="fr-FR"/>
        </w:rPr>
        <w:t>, l</w:t>
      </w:r>
      <w:r w:rsidR="001B7936">
        <w:rPr>
          <w:lang w:val="fr-FR"/>
        </w:rPr>
        <w:t>’</w:t>
      </w:r>
      <w:r w:rsidRPr="0049597B">
        <w:rPr>
          <w:lang w:val="fr-FR"/>
        </w:rPr>
        <w:t xml:space="preserve">État partie a présenté ses observations sur la recevabilité et le fond. </w:t>
      </w:r>
      <w:r w:rsidR="00775817" w:rsidRPr="0049597B">
        <w:rPr>
          <w:lang w:val="fr-FR"/>
        </w:rPr>
        <w:t>L</w:t>
      </w:r>
      <w:r w:rsidR="00775817">
        <w:rPr>
          <w:lang w:val="fr-FR"/>
        </w:rPr>
        <w:t>’</w:t>
      </w:r>
      <w:r w:rsidR="00775817" w:rsidRPr="0049597B">
        <w:rPr>
          <w:lang w:val="fr-FR"/>
        </w:rPr>
        <w:t>État partie note que les allégations de l</w:t>
      </w:r>
      <w:r w:rsidR="00775817">
        <w:rPr>
          <w:lang w:val="fr-FR"/>
        </w:rPr>
        <w:t>’</w:t>
      </w:r>
      <w:r w:rsidR="00775817" w:rsidRPr="0049597B">
        <w:rPr>
          <w:lang w:val="fr-FR"/>
        </w:rPr>
        <w:t>auteur sont les mêmes que celles qu</w:t>
      </w:r>
      <w:r w:rsidR="00775817">
        <w:rPr>
          <w:lang w:val="fr-FR"/>
        </w:rPr>
        <w:t>’</w:t>
      </w:r>
      <w:r w:rsidR="00775817" w:rsidRPr="0049597B">
        <w:rPr>
          <w:lang w:val="fr-FR"/>
        </w:rPr>
        <w:t>il a soumises devant les instances nationales et rappelle qu</w:t>
      </w:r>
      <w:r w:rsidR="00775817">
        <w:rPr>
          <w:lang w:val="fr-FR"/>
        </w:rPr>
        <w:t>’</w:t>
      </w:r>
      <w:r w:rsidR="00775817" w:rsidRPr="0049597B">
        <w:rPr>
          <w:lang w:val="fr-FR"/>
        </w:rPr>
        <w:t>il n</w:t>
      </w:r>
      <w:r w:rsidR="00775817">
        <w:rPr>
          <w:lang w:val="fr-FR"/>
        </w:rPr>
        <w:t>’</w:t>
      </w:r>
      <w:r w:rsidR="00775817" w:rsidRPr="0049597B">
        <w:rPr>
          <w:lang w:val="fr-FR"/>
        </w:rPr>
        <w:t xml:space="preserve">appartient pas au Comité de </w:t>
      </w:r>
      <w:r w:rsidR="00775817" w:rsidRPr="00916728">
        <w:rPr>
          <w:lang w:val="fr-FR"/>
        </w:rPr>
        <w:t>procéder à une nouvelle appréciation des faits et des éléments de preuve, sauf si l’appréciation par les autorités internes a été manifestement arbitraire ou a représenté un déni de justice</w:t>
      </w:r>
      <w:r w:rsidR="00775817" w:rsidRPr="00916728">
        <w:rPr>
          <w:rStyle w:val="FootnoteReference"/>
        </w:rPr>
        <w:footnoteReference w:id="10"/>
      </w:r>
      <w:r w:rsidR="00775817" w:rsidRPr="00916728">
        <w:rPr>
          <w:lang w:val="fr-FR"/>
        </w:rPr>
        <w:t>. Les éléments soumis par l’auteur ne sauraient conduire à la conclusion que les décisions du</w:t>
      </w:r>
      <w:r w:rsidR="00775817" w:rsidRPr="0049597B">
        <w:rPr>
          <w:lang w:val="fr-FR"/>
        </w:rPr>
        <w:t xml:space="preserve"> Canada ont été entachées d</w:t>
      </w:r>
      <w:r w:rsidR="00775817">
        <w:rPr>
          <w:lang w:val="fr-FR"/>
        </w:rPr>
        <w:t>’</w:t>
      </w:r>
      <w:r w:rsidR="00775817" w:rsidRPr="0049597B">
        <w:rPr>
          <w:lang w:val="fr-FR"/>
        </w:rPr>
        <w:t>irrégularités de ce type.</w:t>
      </w:r>
    </w:p>
    <w:p w:rsidR="001470D2" w:rsidRPr="00776FB7" w:rsidRDefault="00DC75C5">
      <w:pPr>
        <w:pStyle w:val="SingleTxtG"/>
        <w:rPr>
          <w:lang w:val="fr-FR"/>
        </w:rPr>
      </w:pPr>
      <w:r w:rsidRPr="001470D2">
        <w:rPr>
          <w:lang w:val="fr-FR"/>
        </w:rPr>
        <w:t>4.2</w:t>
      </w:r>
      <w:r w:rsidRPr="001470D2">
        <w:rPr>
          <w:lang w:val="fr-FR"/>
        </w:rPr>
        <w:tab/>
        <w:t>Selon l</w:t>
      </w:r>
      <w:r w:rsidR="001B7936" w:rsidRPr="001470D2">
        <w:rPr>
          <w:lang w:val="fr-FR"/>
        </w:rPr>
        <w:t>’</w:t>
      </w:r>
      <w:r w:rsidRPr="001470D2">
        <w:rPr>
          <w:lang w:val="fr-FR"/>
        </w:rPr>
        <w:t>État partie, le grief que l</w:t>
      </w:r>
      <w:r w:rsidR="001B7936" w:rsidRPr="001470D2">
        <w:rPr>
          <w:lang w:val="fr-FR"/>
        </w:rPr>
        <w:t>’</w:t>
      </w:r>
      <w:r w:rsidRPr="001470D2">
        <w:rPr>
          <w:lang w:val="fr-FR"/>
        </w:rPr>
        <w:t>auteur tire de l</w:t>
      </w:r>
      <w:r w:rsidR="001B7936" w:rsidRPr="001470D2">
        <w:rPr>
          <w:lang w:val="fr-FR"/>
        </w:rPr>
        <w:t>’</w:t>
      </w:r>
      <w:r w:rsidRPr="001470D2">
        <w:rPr>
          <w:lang w:val="fr-FR"/>
        </w:rPr>
        <w:t>article</w:t>
      </w:r>
      <w:r w:rsidR="008675D8" w:rsidRPr="001470D2">
        <w:rPr>
          <w:lang w:val="fr-FR"/>
        </w:rPr>
        <w:t> </w:t>
      </w:r>
      <w:r w:rsidRPr="001470D2">
        <w:rPr>
          <w:lang w:val="fr-FR"/>
        </w:rPr>
        <w:t xml:space="preserve">2 du Pacte doit être déclaré irrecevable, car </w:t>
      </w:r>
      <w:r w:rsidR="008D1A2C">
        <w:rPr>
          <w:lang w:val="fr-FR"/>
        </w:rPr>
        <w:t>s</w:t>
      </w:r>
      <w:r w:rsidRPr="001470D2">
        <w:rPr>
          <w:lang w:val="fr-FR"/>
        </w:rPr>
        <w:t>es dispositions ne peuvent pas être invoquées isolément et par elles-</w:t>
      </w:r>
      <w:r w:rsidRPr="008A2B7A">
        <w:rPr>
          <w:lang w:val="fr-FR"/>
        </w:rPr>
        <w:t>mêmes</w:t>
      </w:r>
      <w:r w:rsidRPr="001470D2">
        <w:rPr>
          <w:rStyle w:val="FootnoteReference"/>
          <w:sz w:val="20"/>
        </w:rPr>
        <w:footnoteReference w:id="11"/>
      </w:r>
      <w:r w:rsidRPr="001470D2">
        <w:rPr>
          <w:lang w:val="fr-FR"/>
        </w:rPr>
        <w:t>.</w:t>
      </w:r>
      <w:r w:rsidRPr="00A172E4">
        <w:rPr>
          <w:lang w:val="fr-FR"/>
        </w:rPr>
        <w:t xml:space="preserve"> </w:t>
      </w:r>
      <w:r w:rsidR="001470D2">
        <w:rPr>
          <w:lang w:val="fr-FR"/>
        </w:rPr>
        <w:t>L</w:t>
      </w:r>
      <w:r w:rsidR="001470D2" w:rsidRPr="00DA12D6">
        <w:rPr>
          <w:lang w:val="fr-FR"/>
        </w:rPr>
        <w:t>’</w:t>
      </w:r>
      <w:r w:rsidR="00770EB4">
        <w:rPr>
          <w:lang w:val="fr-FR"/>
        </w:rPr>
        <w:t>article </w:t>
      </w:r>
      <w:r w:rsidR="001470D2" w:rsidRPr="00DA12D6">
        <w:rPr>
          <w:lang w:val="fr-FR"/>
        </w:rPr>
        <w:t>2 ne confère pas un droit indépendant à réparation</w:t>
      </w:r>
      <w:r w:rsidR="001470D2">
        <w:rPr>
          <w:lang w:val="fr-FR"/>
        </w:rPr>
        <w:t xml:space="preserve">, </w:t>
      </w:r>
      <w:r w:rsidR="001470D2" w:rsidRPr="00916728">
        <w:rPr>
          <w:lang w:val="fr-FR"/>
        </w:rPr>
        <w:t>mais</w:t>
      </w:r>
      <w:r w:rsidR="002C7B8F" w:rsidRPr="00916728">
        <w:rPr>
          <w:lang w:val="fr-FR"/>
        </w:rPr>
        <w:t xml:space="preserve"> </w:t>
      </w:r>
      <w:r w:rsidR="001470D2" w:rsidRPr="00916728">
        <w:rPr>
          <w:lang w:val="fr-FR"/>
        </w:rPr>
        <w:t>définit simplement la portée des obligations juridiques des États parties</w:t>
      </w:r>
      <w:r w:rsidR="001470D2" w:rsidRPr="00916728">
        <w:rPr>
          <w:vertAlign w:val="superscript"/>
          <w:lang w:val="fr-FR"/>
        </w:rPr>
        <w:footnoteReference w:id="12"/>
      </w:r>
      <w:r w:rsidR="001470D2" w:rsidRPr="00916728">
        <w:rPr>
          <w:lang w:val="fr-FR"/>
        </w:rPr>
        <w:t>.</w:t>
      </w:r>
      <w:r w:rsidR="001470D2" w:rsidRPr="00DA12D6">
        <w:rPr>
          <w:lang w:val="fr-FR"/>
        </w:rPr>
        <w:t xml:space="preserve"> </w:t>
      </w:r>
      <w:r w:rsidR="00C02653">
        <w:rPr>
          <w:lang w:val="fr-FR"/>
        </w:rPr>
        <w:t>É</w:t>
      </w:r>
      <w:r w:rsidR="001470D2" w:rsidRPr="00DA12D6">
        <w:rPr>
          <w:lang w:val="fr-FR"/>
        </w:rPr>
        <w:t>tant donné le caractère accessoire de l’</w:t>
      </w:r>
      <w:r w:rsidR="00770EB4">
        <w:rPr>
          <w:lang w:val="fr-FR"/>
        </w:rPr>
        <w:t>article </w:t>
      </w:r>
      <w:r w:rsidR="001470D2" w:rsidRPr="00DA12D6">
        <w:rPr>
          <w:lang w:val="fr-FR"/>
        </w:rPr>
        <w:t xml:space="preserve">2, seule une violation </w:t>
      </w:r>
      <w:r w:rsidR="001470D2">
        <w:rPr>
          <w:lang w:val="fr-FR"/>
        </w:rPr>
        <w:t xml:space="preserve">conjointe </w:t>
      </w:r>
      <w:r w:rsidR="001470D2" w:rsidRPr="00DA12D6">
        <w:rPr>
          <w:lang w:val="fr-FR"/>
        </w:rPr>
        <w:t xml:space="preserve">d’un droit reconnu </w:t>
      </w:r>
      <w:r w:rsidR="001470D2">
        <w:rPr>
          <w:lang w:val="fr-FR"/>
        </w:rPr>
        <w:t>peut ouvrir</w:t>
      </w:r>
      <w:r w:rsidR="001470D2" w:rsidRPr="00DA12D6">
        <w:rPr>
          <w:lang w:val="fr-FR"/>
        </w:rPr>
        <w:t xml:space="preserve"> droit à un recours</w:t>
      </w:r>
      <w:r w:rsidR="001470D2" w:rsidRPr="00DA12D6">
        <w:rPr>
          <w:vertAlign w:val="superscript"/>
          <w:lang w:val="fr-FR"/>
        </w:rPr>
        <w:footnoteReference w:id="13"/>
      </w:r>
      <w:r w:rsidR="001470D2" w:rsidRPr="00DA12D6">
        <w:rPr>
          <w:lang w:val="fr-FR"/>
        </w:rPr>
        <w:t>.</w:t>
      </w:r>
      <w:r w:rsidR="001470D2">
        <w:rPr>
          <w:lang w:val="fr-FR"/>
        </w:rPr>
        <w:t xml:space="preserve"> Par conséquent, l</w:t>
      </w:r>
      <w:r w:rsidR="001470D2" w:rsidRPr="00DA12D6">
        <w:rPr>
          <w:lang w:val="fr-FR"/>
        </w:rPr>
        <w:t>es allégations</w:t>
      </w:r>
      <w:r w:rsidR="001470D2">
        <w:rPr>
          <w:lang w:val="fr-FR"/>
        </w:rPr>
        <w:t xml:space="preserve"> de l’auteur</w:t>
      </w:r>
      <w:r w:rsidR="001470D2" w:rsidRPr="00DA12D6">
        <w:rPr>
          <w:lang w:val="fr-FR"/>
        </w:rPr>
        <w:t xml:space="preserve"> s’y rapportant devraient être rejetées en </w:t>
      </w:r>
      <w:r w:rsidR="008549F0">
        <w:rPr>
          <w:lang w:val="fr-FR"/>
        </w:rPr>
        <w:t>application</w:t>
      </w:r>
      <w:r w:rsidR="008549F0" w:rsidRPr="00DA12D6">
        <w:rPr>
          <w:lang w:val="fr-FR"/>
        </w:rPr>
        <w:t xml:space="preserve"> </w:t>
      </w:r>
      <w:r w:rsidR="001470D2" w:rsidRPr="00DA12D6">
        <w:rPr>
          <w:lang w:val="fr-FR"/>
        </w:rPr>
        <w:t>de l’</w:t>
      </w:r>
      <w:r w:rsidR="00770EB4">
        <w:rPr>
          <w:lang w:val="fr-FR"/>
        </w:rPr>
        <w:t>article </w:t>
      </w:r>
      <w:r w:rsidR="001470D2">
        <w:rPr>
          <w:lang w:val="fr-FR"/>
        </w:rPr>
        <w:t xml:space="preserve">3 du Protocole, ou, subsidiairement, </w:t>
      </w:r>
      <w:r w:rsidR="008549F0" w:rsidRPr="00486690">
        <w:rPr>
          <w:lang w:val="fr-FR"/>
        </w:rPr>
        <w:t>déclarées</w:t>
      </w:r>
      <w:r w:rsidR="008549F0">
        <w:rPr>
          <w:lang w:val="fr-FR"/>
        </w:rPr>
        <w:t xml:space="preserve"> </w:t>
      </w:r>
      <w:r w:rsidR="001470D2">
        <w:rPr>
          <w:lang w:val="fr-FR"/>
        </w:rPr>
        <w:t>sans fondement. L</w:t>
      </w:r>
      <w:r w:rsidR="001470D2" w:rsidRPr="00DA12D6">
        <w:rPr>
          <w:lang w:val="fr-FR"/>
        </w:rPr>
        <w:t>e mandat du Comité n’est pas ici de se pencher sur le système canadien dans son ensemble</w:t>
      </w:r>
      <w:r w:rsidR="001470D2">
        <w:rPr>
          <w:lang w:val="fr-FR"/>
        </w:rPr>
        <w:t xml:space="preserve">. Par ailleurs, </w:t>
      </w:r>
      <w:r w:rsidR="001470D2" w:rsidRPr="00DA12D6">
        <w:rPr>
          <w:lang w:val="fr-FR"/>
        </w:rPr>
        <w:t>toutes les instances canadiennes s’</w:t>
      </w:r>
      <w:r w:rsidR="001470D2">
        <w:rPr>
          <w:lang w:val="fr-FR"/>
        </w:rPr>
        <w:t>étant penché sur le dossier de l’intéressé</w:t>
      </w:r>
      <w:r w:rsidR="001470D2" w:rsidRPr="00DA12D6">
        <w:rPr>
          <w:lang w:val="fr-FR"/>
        </w:rPr>
        <w:t xml:space="preserve"> ont soigneusement examiné les </w:t>
      </w:r>
      <w:r w:rsidR="001470D2">
        <w:rPr>
          <w:lang w:val="fr-FR"/>
        </w:rPr>
        <w:t xml:space="preserve">allégations ainsi que la preuve. Il n’a pas pu être </w:t>
      </w:r>
      <w:r w:rsidR="001470D2" w:rsidRPr="00DA12D6">
        <w:rPr>
          <w:lang w:val="fr-FR"/>
        </w:rPr>
        <w:t xml:space="preserve">démontré que les autorités canadiennes ont agi de façon arbitraire </w:t>
      </w:r>
      <w:r w:rsidR="008549F0">
        <w:rPr>
          <w:lang w:val="fr-FR"/>
        </w:rPr>
        <w:t xml:space="preserve">ni qu’elles </w:t>
      </w:r>
      <w:r w:rsidR="001470D2" w:rsidRPr="00DA12D6">
        <w:rPr>
          <w:lang w:val="fr-FR"/>
        </w:rPr>
        <w:t>ont commis une quelconque faute dans l’évaluation de son dossier.</w:t>
      </w:r>
    </w:p>
    <w:p w:rsidR="00EB6B1C" w:rsidRDefault="00C46273">
      <w:pPr>
        <w:pStyle w:val="SingleTxtG"/>
        <w:rPr>
          <w:lang w:val="fr-FR"/>
        </w:rPr>
      </w:pPr>
      <w:r>
        <w:rPr>
          <w:lang w:val="fr-FR"/>
        </w:rPr>
        <w:t>4.3</w:t>
      </w:r>
      <w:r w:rsidR="00DC75C5" w:rsidRPr="00EB6B1C">
        <w:rPr>
          <w:lang w:val="fr-FR"/>
        </w:rPr>
        <w:tab/>
        <w:t>En ce qui concerne les griefs tirés du paragraphe</w:t>
      </w:r>
      <w:r w:rsidR="008675D8" w:rsidRPr="00EB6B1C">
        <w:rPr>
          <w:lang w:val="fr-FR"/>
        </w:rPr>
        <w:t> </w:t>
      </w:r>
      <w:r w:rsidR="00DC75C5" w:rsidRPr="00EB6B1C">
        <w:rPr>
          <w:lang w:val="fr-FR"/>
        </w:rPr>
        <w:t>1 de l</w:t>
      </w:r>
      <w:r w:rsidR="001B7936" w:rsidRPr="00EB6B1C">
        <w:rPr>
          <w:lang w:val="fr-FR"/>
        </w:rPr>
        <w:t>’</w:t>
      </w:r>
      <w:r w:rsidR="00DC75C5" w:rsidRPr="00EB6B1C">
        <w:rPr>
          <w:lang w:val="fr-FR"/>
        </w:rPr>
        <w:t>article</w:t>
      </w:r>
      <w:r w:rsidR="008675D8" w:rsidRPr="00EB6B1C">
        <w:rPr>
          <w:lang w:val="fr-FR"/>
        </w:rPr>
        <w:t> </w:t>
      </w:r>
      <w:r w:rsidR="00DC75C5" w:rsidRPr="00EB6B1C">
        <w:rPr>
          <w:lang w:val="fr-FR"/>
        </w:rPr>
        <w:t>6 et de l</w:t>
      </w:r>
      <w:r w:rsidR="001B7936" w:rsidRPr="00EB6B1C">
        <w:rPr>
          <w:lang w:val="fr-FR"/>
        </w:rPr>
        <w:t>’</w:t>
      </w:r>
      <w:r w:rsidR="00DC75C5" w:rsidRPr="00EB6B1C">
        <w:rPr>
          <w:lang w:val="fr-FR"/>
        </w:rPr>
        <w:t>article</w:t>
      </w:r>
      <w:r w:rsidR="008675D8" w:rsidRPr="00EB6B1C">
        <w:rPr>
          <w:lang w:val="fr-FR"/>
        </w:rPr>
        <w:t> </w:t>
      </w:r>
      <w:r w:rsidR="00DC75C5" w:rsidRPr="00EB6B1C">
        <w:rPr>
          <w:lang w:val="fr-FR"/>
        </w:rPr>
        <w:t>7, l</w:t>
      </w:r>
      <w:r w:rsidR="001B7936" w:rsidRPr="00EB6B1C">
        <w:rPr>
          <w:lang w:val="fr-FR"/>
        </w:rPr>
        <w:t>’</w:t>
      </w:r>
      <w:r w:rsidR="00DC75C5" w:rsidRPr="00EB6B1C">
        <w:rPr>
          <w:lang w:val="fr-FR"/>
        </w:rPr>
        <w:t>État partie soutient que l</w:t>
      </w:r>
      <w:r w:rsidR="001B7936" w:rsidRPr="00EB6B1C">
        <w:rPr>
          <w:lang w:val="fr-FR"/>
        </w:rPr>
        <w:t>’</w:t>
      </w:r>
      <w:r w:rsidR="00DC75C5" w:rsidRPr="00EB6B1C">
        <w:rPr>
          <w:lang w:val="fr-FR"/>
        </w:rPr>
        <w:t>auteur n</w:t>
      </w:r>
      <w:r w:rsidR="001B7936" w:rsidRPr="00EB6B1C">
        <w:rPr>
          <w:lang w:val="fr-FR"/>
        </w:rPr>
        <w:t>’</w:t>
      </w:r>
      <w:r w:rsidR="00DC75C5" w:rsidRPr="00EB6B1C">
        <w:rPr>
          <w:lang w:val="fr-FR"/>
        </w:rPr>
        <w:t xml:space="preserve">a pas suffisamment étayé ses allégations aux fins de la recevabilité. </w:t>
      </w:r>
      <w:r>
        <w:rPr>
          <w:lang w:val="fr-FR"/>
        </w:rPr>
        <w:t>Il</w:t>
      </w:r>
      <w:r w:rsidR="00EB6B1C" w:rsidRPr="00EB6B1C">
        <w:rPr>
          <w:lang w:val="fr-FR"/>
        </w:rPr>
        <w:t xml:space="preserve"> n’a pu étayer</w:t>
      </w:r>
      <w:r>
        <w:rPr>
          <w:lang w:val="fr-FR"/>
        </w:rPr>
        <w:t>, en particulier,</w:t>
      </w:r>
      <w:r w:rsidR="00EB6B1C" w:rsidRPr="00EB6B1C">
        <w:rPr>
          <w:lang w:val="fr-FR"/>
        </w:rPr>
        <w:t xml:space="preserve"> ses allégations selon lesquelles sa vie sera</w:t>
      </w:r>
      <w:r w:rsidR="00832CD0">
        <w:rPr>
          <w:lang w:val="fr-FR"/>
        </w:rPr>
        <w:t>it</w:t>
      </w:r>
      <w:r w:rsidR="00EB6B1C" w:rsidRPr="00EB6B1C">
        <w:rPr>
          <w:lang w:val="fr-FR"/>
        </w:rPr>
        <w:t xml:space="preserve"> menacée et risquera</w:t>
      </w:r>
      <w:r w:rsidR="00832CD0">
        <w:rPr>
          <w:lang w:val="fr-FR"/>
        </w:rPr>
        <w:t>it</w:t>
      </w:r>
      <w:r w:rsidR="00EB6B1C" w:rsidRPr="00EB6B1C">
        <w:rPr>
          <w:lang w:val="fr-FR"/>
        </w:rPr>
        <w:t xml:space="preserve"> la torture ou de mauvais traitements s’il </w:t>
      </w:r>
      <w:r w:rsidR="008549F0">
        <w:rPr>
          <w:lang w:val="fr-FR"/>
        </w:rPr>
        <w:t xml:space="preserve">était </w:t>
      </w:r>
      <w:r w:rsidR="00EB6B1C" w:rsidRPr="00EB6B1C">
        <w:rPr>
          <w:lang w:val="fr-FR"/>
        </w:rPr>
        <w:t>renvoyé au Tchad.</w:t>
      </w:r>
      <w:r w:rsidR="00F33C13">
        <w:rPr>
          <w:lang w:val="fr-FR"/>
        </w:rPr>
        <w:t xml:space="preserve"> Les juridictions nationales ont jugé que l’entièreté de son récit </w:t>
      </w:r>
      <w:r w:rsidR="00EB6B1C" w:rsidRPr="00EB6B1C">
        <w:rPr>
          <w:lang w:val="fr-FR"/>
        </w:rPr>
        <w:t>n’était pas crédible car il n’était pas appuyé par de</w:t>
      </w:r>
      <w:r w:rsidR="00832CD0">
        <w:rPr>
          <w:lang w:val="fr-FR"/>
        </w:rPr>
        <w:t>s</w:t>
      </w:r>
      <w:r w:rsidR="00EB6B1C" w:rsidRPr="00EB6B1C">
        <w:rPr>
          <w:lang w:val="fr-FR"/>
        </w:rPr>
        <w:t xml:space="preserve"> preuve</w:t>
      </w:r>
      <w:r w:rsidR="00832CD0">
        <w:rPr>
          <w:lang w:val="fr-FR"/>
        </w:rPr>
        <w:t>s</w:t>
      </w:r>
      <w:r w:rsidR="00F33C13">
        <w:rPr>
          <w:lang w:val="fr-FR"/>
        </w:rPr>
        <w:t xml:space="preserve"> objective</w:t>
      </w:r>
      <w:r w:rsidR="00832CD0">
        <w:rPr>
          <w:lang w:val="fr-FR"/>
        </w:rPr>
        <w:t>s</w:t>
      </w:r>
      <w:r w:rsidR="00F33C13">
        <w:rPr>
          <w:lang w:val="fr-FR"/>
        </w:rPr>
        <w:t xml:space="preserve"> </w:t>
      </w:r>
      <w:r w:rsidR="008549F0">
        <w:rPr>
          <w:lang w:val="fr-FR"/>
        </w:rPr>
        <w:t xml:space="preserve">et </w:t>
      </w:r>
      <w:r w:rsidR="00F33C13">
        <w:rPr>
          <w:lang w:val="fr-FR"/>
        </w:rPr>
        <w:t>comp</w:t>
      </w:r>
      <w:r w:rsidR="008549F0">
        <w:rPr>
          <w:lang w:val="fr-FR"/>
        </w:rPr>
        <w:t>ortai</w:t>
      </w:r>
      <w:r w:rsidR="00F33C13">
        <w:rPr>
          <w:lang w:val="fr-FR"/>
        </w:rPr>
        <w:t xml:space="preserve">t des </w:t>
      </w:r>
      <w:r w:rsidR="00EB6B1C" w:rsidRPr="00EB6B1C">
        <w:rPr>
          <w:lang w:val="fr-FR"/>
        </w:rPr>
        <w:t>incohérences et de</w:t>
      </w:r>
      <w:r w:rsidR="00F33C13">
        <w:rPr>
          <w:lang w:val="fr-FR"/>
        </w:rPr>
        <w:t>s</w:t>
      </w:r>
      <w:r w:rsidR="00EB6B1C" w:rsidRPr="00EB6B1C">
        <w:rPr>
          <w:lang w:val="fr-FR"/>
        </w:rPr>
        <w:t xml:space="preserve"> contradictions.</w:t>
      </w:r>
      <w:r w:rsidR="00F33C13">
        <w:rPr>
          <w:lang w:val="fr-FR"/>
        </w:rPr>
        <w:t xml:space="preserve"> En outre, l’auteur </w:t>
      </w:r>
      <w:r w:rsidR="00F33C13" w:rsidRPr="00F33C13">
        <w:rPr>
          <w:lang w:val="fr-FR"/>
        </w:rPr>
        <w:t xml:space="preserve">a présenté un faux document </w:t>
      </w:r>
      <w:r w:rsidR="006C1BDC">
        <w:rPr>
          <w:lang w:val="fr-FR"/>
        </w:rPr>
        <w:t xml:space="preserve">à la </w:t>
      </w:r>
      <w:r w:rsidR="00F33C13" w:rsidRPr="00F33C13">
        <w:rPr>
          <w:lang w:val="fr-FR"/>
        </w:rPr>
        <w:t xml:space="preserve">SPR afin de prouver son adhésion à une </w:t>
      </w:r>
      <w:r w:rsidR="00F33C13" w:rsidRPr="00F33C13">
        <w:rPr>
          <w:lang w:val="fr-FR"/>
        </w:rPr>
        <w:lastRenderedPageBreak/>
        <w:t>association de promotion des libertés fondamentales au Tchad, ce qui a grandement contribué à miner sa crédibilité.</w:t>
      </w:r>
      <w:r w:rsidR="002C7B8F">
        <w:rPr>
          <w:lang w:val="fr-FR"/>
        </w:rPr>
        <w:t xml:space="preserve"> </w:t>
      </w:r>
      <w:r w:rsidR="00210D5C">
        <w:rPr>
          <w:lang w:val="fr-FR"/>
        </w:rPr>
        <w:t>I</w:t>
      </w:r>
      <w:r w:rsidR="00210D5C" w:rsidRPr="00210D5C">
        <w:rPr>
          <w:lang w:val="fr-FR"/>
        </w:rPr>
        <w:t>l ressor</w:t>
      </w:r>
      <w:r w:rsidR="00210D5C">
        <w:rPr>
          <w:lang w:val="fr-FR"/>
        </w:rPr>
        <w:t xml:space="preserve">t de la décision </w:t>
      </w:r>
      <w:r w:rsidR="006C1BDC">
        <w:rPr>
          <w:lang w:val="fr-FR"/>
        </w:rPr>
        <w:t xml:space="preserve">de la </w:t>
      </w:r>
      <w:r w:rsidR="00210D5C">
        <w:rPr>
          <w:lang w:val="fr-FR"/>
        </w:rPr>
        <w:t>SPR que l’auteur a affirmé n’avoir</w:t>
      </w:r>
      <w:r w:rsidR="00210D5C" w:rsidRPr="00210D5C">
        <w:rPr>
          <w:lang w:val="fr-FR"/>
        </w:rPr>
        <w:t xml:space="preserve"> jamais été arrêté, accusé ou détenu dans le passé, ce qui contredit ses allégations selon lesquelles il aurait été arrêté, puis d</w:t>
      </w:r>
      <w:r w:rsidR="00210D5C">
        <w:rPr>
          <w:lang w:val="fr-FR"/>
        </w:rPr>
        <w:t>étenu pendant quatre</w:t>
      </w:r>
      <w:r w:rsidR="00210D5C" w:rsidRPr="00210D5C">
        <w:rPr>
          <w:lang w:val="fr-FR"/>
        </w:rPr>
        <w:t xml:space="preserve"> jours en mars 2008. L</w:t>
      </w:r>
      <w:r w:rsidR="00210D5C">
        <w:rPr>
          <w:lang w:val="fr-FR"/>
        </w:rPr>
        <w:t>’auteur n’a pas pu</w:t>
      </w:r>
      <w:r w:rsidR="00210D5C" w:rsidRPr="00210D5C">
        <w:rPr>
          <w:lang w:val="fr-FR"/>
        </w:rPr>
        <w:t xml:space="preserve"> expliquer pourquoi il avait omis de mentionner</w:t>
      </w:r>
      <w:r w:rsidR="00210D5C">
        <w:rPr>
          <w:lang w:val="fr-FR"/>
        </w:rPr>
        <w:t xml:space="preserve"> cet élément. En outre, ses allégations </w:t>
      </w:r>
      <w:r w:rsidR="00210D5C" w:rsidRPr="00210D5C">
        <w:rPr>
          <w:lang w:val="fr-FR"/>
        </w:rPr>
        <w:t xml:space="preserve">selon lesquelles il serait toujours recherché aujourd’hui par l’agent qui l’aurait libéré en 2008 en échange de sa voiture sont invraisemblables. En effet, l’auteur n’est pas parvenu à expliquer pourquoi l’agent qui lui aurait prétendument sauvé la vie en 2008 serait maintenant à sa recherche. </w:t>
      </w:r>
      <w:r w:rsidR="00832CD0">
        <w:rPr>
          <w:lang w:val="fr-FR"/>
        </w:rPr>
        <w:t xml:space="preserve">Il </w:t>
      </w:r>
      <w:r w:rsidR="00DA560B" w:rsidRPr="00DA560B">
        <w:rPr>
          <w:lang w:val="fr-FR"/>
        </w:rPr>
        <w:t>n’a pas</w:t>
      </w:r>
      <w:r w:rsidR="00210D5C">
        <w:rPr>
          <w:lang w:val="fr-FR"/>
        </w:rPr>
        <w:t xml:space="preserve"> non plus</w:t>
      </w:r>
      <w:r w:rsidR="00DA560B" w:rsidRPr="00DA560B">
        <w:rPr>
          <w:lang w:val="fr-FR"/>
        </w:rPr>
        <w:t xml:space="preserve"> expliqué pourquoi il n’avait pas déposé l’affidavit de </w:t>
      </w:r>
      <w:r w:rsidR="007965B3">
        <w:rPr>
          <w:lang w:val="fr-FR"/>
        </w:rPr>
        <w:t>M</w:t>
      </w:r>
      <w:r w:rsidR="007965B3" w:rsidRPr="000F3E57">
        <w:rPr>
          <w:vertAlign w:val="superscript"/>
          <w:lang w:val="fr-FR"/>
        </w:rPr>
        <w:t>me</w:t>
      </w:r>
      <w:r w:rsidR="007965B3">
        <w:rPr>
          <w:lang w:val="fr-FR"/>
        </w:rPr>
        <w:t xml:space="preserve"> </w:t>
      </w:r>
      <w:r w:rsidR="00DA560B">
        <w:rPr>
          <w:lang w:val="fr-FR"/>
        </w:rPr>
        <w:t xml:space="preserve">Larlem </w:t>
      </w:r>
      <w:r w:rsidR="00DA560B" w:rsidRPr="00DA560B">
        <w:rPr>
          <w:lang w:val="fr-FR"/>
        </w:rPr>
        <w:t xml:space="preserve">lors de sa demande </w:t>
      </w:r>
      <w:r w:rsidR="006C1BDC">
        <w:rPr>
          <w:lang w:val="fr-FR"/>
        </w:rPr>
        <w:t xml:space="preserve">auprès de la </w:t>
      </w:r>
      <w:r w:rsidR="00DA560B" w:rsidRPr="00DA560B">
        <w:rPr>
          <w:lang w:val="fr-FR"/>
        </w:rPr>
        <w:t xml:space="preserve">SPR afin de corroborer son statut de membre de l’Association de </w:t>
      </w:r>
      <w:r w:rsidR="007965B3">
        <w:rPr>
          <w:lang w:val="fr-FR"/>
        </w:rPr>
        <w:t>p</w:t>
      </w:r>
      <w:r w:rsidR="00DA560B" w:rsidRPr="00DA560B">
        <w:rPr>
          <w:lang w:val="fr-FR"/>
        </w:rPr>
        <w:t>rom</w:t>
      </w:r>
      <w:r w:rsidR="00DA560B">
        <w:rPr>
          <w:lang w:val="fr-FR"/>
        </w:rPr>
        <w:t xml:space="preserve">otion des </w:t>
      </w:r>
      <w:r w:rsidR="007965B3">
        <w:rPr>
          <w:lang w:val="fr-FR"/>
        </w:rPr>
        <w:t>l</w:t>
      </w:r>
      <w:r w:rsidR="00DA560B">
        <w:rPr>
          <w:lang w:val="fr-FR"/>
        </w:rPr>
        <w:t xml:space="preserve">ibertés </w:t>
      </w:r>
      <w:r w:rsidR="007965B3">
        <w:rPr>
          <w:lang w:val="fr-FR"/>
        </w:rPr>
        <w:t>f</w:t>
      </w:r>
      <w:r w:rsidR="00DA560B">
        <w:rPr>
          <w:lang w:val="fr-FR"/>
        </w:rPr>
        <w:t xml:space="preserve">ondamentales, document qu’il </w:t>
      </w:r>
      <w:r w:rsidR="008549F0">
        <w:rPr>
          <w:lang w:val="fr-FR"/>
        </w:rPr>
        <w:t xml:space="preserve">a </w:t>
      </w:r>
      <w:r w:rsidR="00DA560B">
        <w:rPr>
          <w:lang w:val="fr-FR"/>
        </w:rPr>
        <w:t>présenté</w:t>
      </w:r>
      <w:r w:rsidR="00DA560B" w:rsidRPr="00DA560B">
        <w:rPr>
          <w:lang w:val="fr-FR"/>
        </w:rPr>
        <w:t xml:space="preserve"> pour la première fois lors de son </w:t>
      </w:r>
      <w:r w:rsidR="00DA560B" w:rsidRPr="00916728">
        <w:rPr>
          <w:lang w:val="fr-FR"/>
        </w:rPr>
        <w:t xml:space="preserve">premier </w:t>
      </w:r>
      <w:r w:rsidR="005A5A41" w:rsidRPr="000F3E57">
        <w:t>examen des risques avant renvoi</w:t>
      </w:r>
      <w:r w:rsidR="00DA560B" w:rsidRPr="008A2B7A">
        <w:rPr>
          <w:lang w:val="fr-FR"/>
        </w:rPr>
        <w:t>.</w:t>
      </w:r>
      <w:r w:rsidR="00DA560B">
        <w:rPr>
          <w:lang w:val="fr-FR"/>
        </w:rPr>
        <w:t xml:space="preserve"> </w:t>
      </w:r>
      <w:r w:rsidR="00F33C13">
        <w:rPr>
          <w:lang w:val="fr-FR"/>
        </w:rPr>
        <w:t xml:space="preserve">Devant le Comité, il </w:t>
      </w:r>
      <w:r w:rsidR="00EB6B1C" w:rsidRPr="00EB6B1C">
        <w:rPr>
          <w:lang w:val="fr-FR"/>
        </w:rPr>
        <w:t>n’a présenté aucun fait</w:t>
      </w:r>
      <w:r w:rsidR="00486690">
        <w:rPr>
          <w:lang w:val="fr-FR"/>
        </w:rPr>
        <w:t xml:space="preserve"> </w:t>
      </w:r>
      <w:r w:rsidR="00486690" w:rsidRPr="00EB6B1C">
        <w:rPr>
          <w:lang w:val="fr-FR"/>
        </w:rPr>
        <w:t>nouveau</w:t>
      </w:r>
      <w:r w:rsidR="00CC118A">
        <w:rPr>
          <w:lang w:val="fr-FR"/>
        </w:rPr>
        <w:t>,</w:t>
      </w:r>
      <w:r w:rsidR="00EB6B1C" w:rsidRPr="00EB6B1C">
        <w:rPr>
          <w:lang w:val="fr-FR"/>
        </w:rPr>
        <w:t xml:space="preserve"> ni </w:t>
      </w:r>
      <w:r w:rsidR="008549F0">
        <w:rPr>
          <w:lang w:val="fr-FR"/>
        </w:rPr>
        <w:t xml:space="preserve">aucune </w:t>
      </w:r>
      <w:r w:rsidR="00CC118A" w:rsidRPr="00CC118A">
        <w:rPr>
          <w:lang w:val="fr-FR"/>
        </w:rPr>
        <w:t xml:space="preserve">nouvelle preuve </w:t>
      </w:r>
      <w:r w:rsidR="00EB6B1C" w:rsidRPr="00EB6B1C">
        <w:rPr>
          <w:lang w:val="fr-FR"/>
        </w:rPr>
        <w:t xml:space="preserve">démontrant qu’il serait </w:t>
      </w:r>
      <w:r w:rsidR="00B26679" w:rsidRPr="00B26679">
        <w:rPr>
          <w:lang w:val="fr-FR"/>
        </w:rPr>
        <w:t xml:space="preserve">exposé </w:t>
      </w:r>
      <w:r w:rsidR="00EB6B1C" w:rsidRPr="00B26679">
        <w:rPr>
          <w:lang w:val="fr-FR"/>
        </w:rPr>
        <w:t xml:space="preserve">à </w:t>
      </w:r>
      <w:r w:rsidR="00B26679" w:rsidRPr="000F3E57">
        <w:rPr>
          <w:lang w:val="fr-FR"/>
        </w:rPr>
        <w:t xml:space="preserve">un </w:t>
      </w:r>
      <w:r w:rsidR="00EB6B1C" w:rsidRPr="00B26679">
        <w:rPr>
          <w:lang w:val="fr-FR"/>
        </w:rPr>
        <w:t>risque de persécution s’il</w:t>
      </w:r>
      <w:r w:rsidR="00EB6B1C" w:rsidRPr="00EB6B1C">
        <w:rPr>
          <w:lang w:val="fr-FR"/>
        </w:rPr>
        <w:t xml:space="preserve"> était renvoyé au Tchad.</w:t>
      </w:r>
    </w:p>
    <w:p w:rsidR="00FF0BFF" w:rsidRPr="00FF0BFF" w:rsidRDefault="00C46273" w:rsidP="00D653B7">
      <w:pPr>
        <w:pStyle w:val="SingleTxtG"/>
        <w:rPr>
          <w:lang w:val="fr-FR"/>
        </w:rPr>
      </w:pPr>
      <w:r>
        <w:rPr>
          <w:lang w:val="fr-FR"/>
        </w:rPr>
        <w:t>4.4</w:t>
      </w:r>
      <w:r w:rsidR="00FF0BFF">
        <w:rPr>
          <w:lang w:val="fr-FR"/>
        </w:rPr>
        <w:tab/>
        <w:t>L’</w:t>
      </w:r>
      <w:r w:rsidR="00C02653">
        <w:rPr>
          <w:lang w:val="fr-FR"/>
        </w:rPr>
        <w:t>État</w:t>
      </w:r>
      <w:r w:rsidR="00FF0BFF">
        <w:rPr>
          <w:lang w:val="fr-FR"/>
        </w:rPr>
        <w:t xml:space="preserve"> partie ajoute que les allégations de l’auteur sont </w:t>
      </w:r>
      <w:r w:rsidR="00FF0BFF" w:rsidRPr="000F3E57">
        <w:rPr>
          <w:iCs/>
          <w:lang w:val="fr-FR"/>
        </w:rPr>
        <w:t>objectivement</w:t>
      </w:r>
      <w:r w:rsidR="00FF0BFF">
        <w:rPr>
          <w:i/>
          <w:lang w:val="fr-FR"/>
        </w:rPr>
        <w:t xml:space="preserve"> </w:t>
      </w:r>
      <w:r w:rsidR="00FF0BFF">
        <w:rPr>
          <w:lang w:val="fr-FR"/>
        </w:rPr>
        <w:t xml:space="preserve">dénuées de fondement, puisque les </w:t>
      </w:r>
      <w:r w:rsidR="00FF0BFF" w:rsidRPr="00FF0BFF">
        <w:rPr>
          <w:lang w:val="fr-FR"/>
        </w:rPr>
        <w:t>preuve</w:t>
      </w:r>
      <w:r w:rsidR="00FF0BFF">
        <w:rPr>
          <w:lang w:val="fr-FR"/>
        </w:rPr>
        <w:t xml:space="preserve">s </w:t>
      </w:r>
      <w:r w:rsidR="00C85A1A">
        <w:rPr>
          <w:lang w:val="fr-FR"/>
        </w:rPr>
        <w:t>qu’il</w:t>
      </w:r>
      <w:r w:rsidR="00FF0BFF">
        <w:rPr>
          <w:lang w:val="fr-FR"/>
        </w:rPr>
        <w:t xml:space="preserve"> a </w:t>
      </w:r>
      <w:r w:rsidR="002F7B2A">
        <w:rPr>
          <w:lang w:val="fr-FR"/>
        </w:rPr>
        <w:t>présentées</w:t>
      </w:r>
      <w:r w:rsidR="00FF0BFF">
        <w:rPr>
          <w:lang w:val="fr-FR"/>
        </w:rPr>
        <w:t xml:space="preserve"> </w:t>
      </w:r>
      <w:r w:rsidR="00FF0BFF" w:rsidRPr="00FF0BFF">
        <w:rPr>
          <w:lang w:val="fr-FR"/>
        </w:rPr>
        <w:t>ne font que rapporter les propos de tierces personnes</w:t>
      </w:r>
      <w:r w:rsidR="00FF0BFF">
        <w:rPr>
          <w:lang w:val="fr-FR"/>
        </w:rPr>
        <w:t xml:space="preserve"> ou </w:t>
      </w:r>
      <w:r w:rsidR="00FF0BFF" w:rsidRPr="00FF0BFF">
        <w:rPr>
          <w:lang w:val="fr-FR"/>
        </w:rPr>
        <w:t>contiennent des informations beaucoup trop vagues pour conclure à une menace personnelle et réelle.</w:t>
      </w:r>
      <w:r w:rsidR="003A01CC">
        <w:rPr>
          <w:lang w:val="fr-FR"/>
        </w:rPr>
        <w:t xml:space="preserve"> </w:t>
      </w:r>
      <w:r w:rsidR="002F7B2A">
        <w:rPr>
          <w:lang w:val="fr-FR"/>
        </w:rPr>
        <w:t>L</w:t>
      </w:r>
      <w:r w:rsidR="003A01CC" w:rsidRPr="00BA1275">
        <w:rPr>
          <w:lang w:val="fr-FR"/>
        </w:rPr>
        <w:t xml:space="preserve">’auteur n’a pas fourni de preuve, ni même allégué, que sa famille ou ses anciens collègues ou employeurs auraient été menacés ou ciblés depuis son départ du Tchad. </w:t>
      </w:r>
      <w:r w:rsidR="00272928">
        <w:rPr>
          <w:lang w:val="fr-FR"/>
        </w:rPr>
        <w:t>Si l’intéressé</w:t>
      </w:r>
      <w:r w:rsidR="003A01CC" w:rsidRPr="00BA1275">
        <w:rPr>
          <w:lang w:val="fr-FR"/>
        </w:rPr>
        <w:t xml:space="preserve"> était activement recherché par des agents opérant dans les hautes sphères de l’État tchadien tel qu’il le prétend, sa famille demeurée au Tchad ou encore ses </w:t>
      </w:r>
      <w:r w:rsidR="00C85A1A">
        <w:rPr>
          <w:lang w:val="fr-FR"/>
        </w:rPr>
        <w:t>anciens collègues ou employeurs</w:t>
      </w:r>
      <w:r w:rsidR="003A01CC" w:rsidRPr="00BA1275">
        <w:rPr>
          <w:lang w:val="fr-FR"/>
        </w:rPr>
        <w:t xml:space="preserve"> auraient été contactés par </w:t>
      </w:r>
      <w:r w:rsidR="00D653B7">
        <w:rPr>
          <w:lang w:val="fr-FR"/>
        </w:rPr>
        <w:t>d</w:t>
      </w:r>
      <w:r w:rsidR="003A01CC" w:rsidRPr="00BA1275">
        <w:rPr>
          <w:lang w:val="fr-FR"/>
        </w:rPr>
        <w:t>es agents de l’État tentant de le retrouver</w:t>
      </w:r>
      <w:r w:rsidR="00C85A1A">
        <w:rPr>
          <w:lang w:val="fr-FR"/>
        </w:rPr>
        <w:t>, ou auraient eux-mêmes subi</w:t>
      </w:r>
      <w:r w:rsidR="003A01CC" w:rsidRPr="00BA1275">
        <w:rPr>
          <w:lang w:val="fr-FR"/>
        </w:rPr>
        <w:t xml:space="preserve"> des menaces.</w:t>
      </w:r>
    </w:p>
    <w:p w:rsidR="00B00E5F" w:rsidRPr="00DA12D6" w:rsidRDefault="00DC75C5" w:rsidP="00A8346D">
      <w:pPr>
        <w:pStyle w:val="SingleTxtG"/>
        <w:rPr>
          <w:lang w:val="fr-FR"/>
        </w:rPr>
      </w:pPr>
      <w:r w:rsidRPr="00E01981">
        <w:rPr>
          <w:iCs/>
          <w:lang w:val="fr-FR"/>
        </w:rPr>
        <w:t>4.</w:t>
      </w:r>
      <w:r w:rsidR="00C85A1A">
        <w:rPr>
          <w:iCs/>
          <w:lang w:val="fr-FR"/>
        </w:rPr>
        <w:t>5</w:t>
      </w:r>
      <w:r w:rsidR="00B00E5F">
        <w:rPr>
          <w:iCs/>
          <w:lang w:val="fr-FR"/>
        </w:rPr>
        <w:tab/>
      </w:r>
      <w:r w:rsidR="00B00E5F" w:rsidRPr="00DA12D6">
        <w:rPr>
          <w:lang w:val="fr-FR"/>
        </w:rPr>
        <w:t xml:space="preserve">En outre, les informations fournies dans les documents déposés </w:t>
      </w:r>
      <w:r w:rsidR="00B00E5F" w:rsidRPr="00AB250E">
        <w:rPr>
          <w:lang w:val="fr-FR"/>
        </w:rPr>
        <w:t>en preuve</w:t>
      </w:r>
      <w:r w:rsidR="00B00E5F" w:rsidRPr="00DA12D6">
        <w:rPr>
          <w:lang w:val="fr-FR"/>
        </w:rPr>
        <w:t xml:space="preserve"> par l’auteur sont beaucoup trop vagues et générales pour démontrer l’existence d’une menace réelle et person</w:t>
      </w:r>
      <w:r w:rsidR="00E01981">
        <w:rPr>
          <w:lang w:val="fr-FR"/>
        </w:rPr>
        <w:t>nelle</w:t>
      </w:r>
      <w:r w:rsidR="00B00E5F" w:rsidRPr="00DA12D6">
        <w:rPr>
          <w:lang w:val="fr-FR"/>
        </w:rPr>
        <w:t xml:space="preserve">. </w:t>
      </w:r>
      <w:r w:rsidR="00E01981">
        <w:rPr>
          <w:lang w:val="fr-FR"/>
        </w:rPr>
        <w:t>Par exemple, dans sa lettre, l’</w:t>
      </w:r>
      <w:r w:rsidR="00651D65">
        <w:rPr>
          <w:lang w:val="fr-FR"/>
        </w:rPr>
        <w:t>a</w:t>
      </w:r>
      <w:r w:rsidR="00B00E5F" w:rsidRPr="00DA12D6">
        <w:rPr>
          <w:lang w:val="fr-FR"/>
        </w:rPr>
        <w:t xml:space="preserve">bbé Diondoh déclare seulement que les gens qui en voulaient à l’auteur demandent toujours des renseignements à son sujet, sans offrir d’explications ou de précisions à l’égard de cette affirmation. Par ailleurs, la lettre ne contient aucune information </w:t>
      </w:r>
      <w:r w:rsidR="00F91425">
        <w:rPr>
          <w:lang w:val="fr-FR"/>
        </w:rPr>
        <w:t xml:space="preserve">indiquant que </w:t>
      </w:r>
      <w:r w:rsidR="00B00E5F" w:rsidRPr="00DA12D6">
        <w:rPr>
          <w:lang w:val="fr-FR"/>
        </w:rPr>
        <w:t xml:space="preserve">les enfants de </w:t>
      </w:r>
      <w:r w:rsidR="00E01981">
        <w:rPr>
          <w:lang w:val="fr-FR"/>
        </w:rPr>
        <w:t>l’auteur</w:t>
      </w:r>
      <w:r w:rsidR="00B00E5F" w:rsidRPr="00BA6452">
        <w:rPr>
          <w:lang w:val="fr-FR"/>
        </w:rPr>
        <w:t xml:space="preserve">, </w:t>
      </w:r>
      <w:r w:rsidR="00F91425" w:rsidRPr="00BA6452">
        <w:rPr>
          <w:lang w:val="fr-FR"/>
        </w:rPr>
        <w:t xml:space="preserve">dont </w:t>
      </w:r>
      <w:r w:rsidR="00B00E5F" w:rsidRPr="00BA6452">
        <w:rPr>
          <w:lang w:val="fr-FR"/>
        </w:rPr>
        <w:t>l’abbé se</w:t>
      </w:r>
      <w:r w:rsidR="00F91425" w:rsidRPr="00BA6452">
        <w:rPr>
          <w:lang w:val="fr-FR"/>
        </w:rPr>
        <w:t xml:space="preserve"> </w:t>
      </w:r>
      <w:r w:rsidR="00B00E5F" w:rsidRPr="00BA6452">
        <w:rPr>
          <w:lang w:val="fr-FR"/>
        </w:rPr>
        <w:t>charge</w:t>
      </w:r>
      <w:r w:rsidR="00F91425" w:rsidRPr="00BA6452">
        <w:rPr>
          <w:lang w:val="fr-FR"/>
        </w:rPr>
        <w:t>rait</w:t>
      </w:r>
      <w:r w:rsidR="00B00E5F" w:rsidRPr="00DA12D6">
        <w:rPr>
          <w:lang w:val="fr-FR"/>
        </w:rPr>
        <w:t xml:space="preserve"> depuis le départ de </w:t>
      </w:r>
      <w:r w:rsidR="00C85A1A">
        <w:rPr>
          <w:lang w:val="fr-FR"/>
        </w:rPr>
        <w:t>l’intéressé</w:t>
      </w:r>
      <w:r w:rsidR="00B00E5F" w:rsidRPr="00DA12D6">
        <w:rPr>
          <w:lang w:val="fr-FR"/>
        </w:rPr>
        <w:t xml:space="preserve">, </w:t>
      </w:r>
      <w:r w:rsidR="00A8346D">
        <w:rPr>
          <w:lang w:val="fr-FR"/>
        </w:rPr>
        <w:t>aur</w:t>
      </w:r>
      <w:r w:rsidR="00B00E5F" w:rsidRPr="00DA12D6">
        <w:rPr>
          <w:lang w:val="fr-FR"/>
        </w:rPr>
        <w:t xml:space="preserve">aient fait l’objet de quelconques menaces. </w:t>
      </w:r>
      <w:r w:rsidR="00A8346D">
        <w:rPr>
          <w:lang w:val="fr-FR"/>
        </w:rPr>
        <w:t xml:space="preserve">Quant à </w:t>
      </w:r>
      <w:r w:rsidR="00B00E5F" w:rsidRPr="00DA12D6">
        <w:rPr>
          <w:lang w:val="fr-FR"/>
        </w:rPr>
        <w:t xml:space="preserve">la lettre de </w:t>
      </w:r>
      <w:r w:rsidR="00DB12E8">
        <w:rPr>
          <w:lang w:val="fr-FR"/>
        </w:rPr>
        <w:t>M. </w:t>
      </w:r>
      <w:r w:rsidR="00B00E5F" w:rsidRPr="00DA12D6">
        <w:rPr>
          <w:lang w:val="fr-FR"/>
        </w:rPr>
        <w:t xml:space="preserve">McDonough, </w:t>
      </w:r>
      <w:r w:rsidR="00A8346D">
        <w:rPr>
          <w:lang w:val="fr-FR"/>
        </w:rPr>
        <w:t xml:space="preserve">elle </w:t>
      </w:r>
      <w:r w:rsidR="00B00E5F" w:rsidRPr="00DA12D6">
        <w:rPr>
          <w:lang w:val="fr-FR"/>
        </w:rPr>
        <w:t>ne contient pas d’informations suffisamment précises afin de démontrer que l’auteur serait recherché par les agents du régime.</w:t>
      </w:r>
      <w:r w:rsidR="00E01981">
        <w:rPr>
          <w:lang w:val="fr-FR"/>
        </w:rPr>
        <w:t xml:space="preserve"> Devant le Comité, </w:t>
      </w:r>
      <w:r w:rsidR="00E01981" w:rsidRPr="00DA12D6">
        <w:rPr>
          <w:lang w:val="fr-FR"/>
        </w:rPr>
        <w:t xml:space="preserve">la seule nouvelle preuve soumise, l’attestation de soutien écrite par </w:t>
      </w:r>
      <w:r w:rsidR="00F63B31">
        <w:rPr>
          <w:lang w:val="fr-FR"/>
        </w:rPr>
        <w:t>M</w:t>
      </w:r>
      <w:r w:rsidR="00F63B31" w:rsidRPr="000F3E57">
        <w:rPr>
          <w:vertAlign w:val="superscript"/>
          <w:lang w:val="fr-FR"/>
        </w:rPr>
        <w:t>e</w:t>
      </w:r>
      <w:r w:rsidR="00F63B31">
        <w:rPr>
          <w:lang w:val="fr-FR"/>
        </w:rPr>
        <w:t> </w:t>
      </w:r>
      <w:r w:rsidR="00E01981" w:rsidRPr="00DA12D6">
        <w:rPr>
          <w:lang w:val="fr-FR"/>
        </w:rPr>
        <w:t xml:space="preserve">Moudeïna </w:t>
      </w:r>
      <w:r w:rsidR="00A8346D">
        <w:rPr>
          <w:lang w:val="fr-FR"/>
        </w:rPr>
        <w:t xml:space="preserve">datée </w:t>
      </w:r>
      <w:r w:rsidR="00E01981" w:rsidRPr="00DA12D6">
        <w:rPr>
          <w:lang w:val="fr-FR"/>
        </w:rPr>
        <w:t xml:space="preserve">du </w:t>
      </w:r>
      <w:r w:rsidR="00E01981" w:rsidRPr="00916728">
        <w:rPr>
          <w:lang w:val="fr-FR"/>
        </w:rPr>
        <w:t>5</w:t>
      </w:r>
      <w:r w:rsidR="00A8346D" w:rsidRPr="00916728">
        <w:rPr>
          <w:lang w:val="fr-FR"/>
        </w:rPr>
        <w:t> </w:t>
      </w:r>
      <w:r w:rsidR="00E01981" w:rsidRPr="00916728">
        <w:rPr>
          <w:lang w:val="fr-FR"/>
        </w:rPr>
        <w:t>décembre 2013, ne</w:t>
      </w:r>
      <w:r w:rsidR="00E01981" w:rsidRPr="00DA12D6">
        <w:rPr>
          <w:lang w:val="fr-FR"/>
        </w:rPr>
        <w:t xml:space="preserve"> prouve nullement que </w:t>
      </w:r>
      <w:r w:rsidR="00E01981" w:rsidRPr="00B26679">
        <w:rPr>
          <w:lang w:val="fr-FR"/>
        </w:rPr>
        <w:t xml:space="preserve">l’auteur soit </w:t>
      </w:r>
      <w:r w:rsidR="00B26679" w:rsidRPr="000F3E57">
        <w:rPr>
          <w:lang w:val="fr-FR"/>
        </w:rPr>
        <w:t xml:space="preserve">exposé </w:t>
      </w:r>
      <w:r w:rsidR="00E01981" w:rsidRPr="00B26679">
        <w:rPr>
          <w:lang w:val="fr-FR"/>
        </w:rPr>
        <w:t xml:space="preserve">à </w:t>
      </w:r>
      <w:r w:rsidR="00B26679" w:rsidRPr="000F3E57">
        <w:rPr>
          <w:lang w:val="fr-FR"/>
        </w:rPr>
        <w:t xml:space="preserve">un </w:t>
      </w:r>
      <w:r w:rsidR="00E01981" w:rsidRPr="00B26679">
        <w:rPr>
          <w:lang w:val="fr-FR"/>
        </w:rPr>
        <w:t>risque d’être</w:t>
      </w:r>
      <w:r w:rsidR="00E01981" w:rsidRPr="00DA12D6">
        <w:rPr>
          <w:lang w:val="fr-FR"/>
        </w:rPr>
        <w:t xml:space="preserve"> torturé ou tué s’il était renvoyé</w:t>
      </w:r>
      <w:r w:rsidR="00E01981">
        <w:rPr>
          <w:lang w:val="fr-FR"/>
        </w:rPr>
        <w:t xml:space="preserve">. Elle </w:t>
      </w:r>
      <w:r w:rsidR="00E01981" w:rsidRPr="00DA12D6">
        <w:rPr>
          <w:lang w:val="fr-FR"/>
        </w:rPr>
        <w:t xml:space="preserve">ne donne aucune précision sur </w:t>
      </w:r>
      <w:r w:rsidR="002E1829">
        <w:rPr>
          <w:lang w:val="fr-FR"/>
        </w:rPr>
        <w:t>ses sources, ni</w:t>
      </w:r>
      <w:r w:rsidR="00E01981" w:rsidRPr="00DA12D6">
        <w:rPr>
          <w:lang w:val="fr-FR"/>
        </w:rPr>
        <w:t xml:space="preserve"> n’explique pourquoi le Chef de la sécurité </w:t>
      </w:r>
      <w:r w:rsidR="00501E0B">
        <w:rPr>
          <w:lang w:val="fr-FR"/>
        </w:rPr>
        <w:t>à</w:t>
      </w:r>
      <w:r w:rsidR="00501E0B" w:rsidRPr="00DA12D6">
        <w:rPr>
          <w:lang w:val="fr-FR"/>
        </w:rPr>
        <w:t xml:space="preserve"> </w:t>
      </w:r>
      <w:r w:rsidR="00E01981" w:rsidRPr="00DA12D6">
        <w:rPr>
          <w:lang w:val="fr-FR"/>
        </w:rPr>
        <w:t xml:space="preserve">l’aéroport de la capitale en voudrait personnellement à </w:t>
      </w:r>
      <w:r w:rsidR="00F66E7A">
        <w:rPr>
          <w:lang w:val="fr-FR"/>
        </w:rPr>
        <w:t>F.</w:t>
      </w:r>
      <w:r w:rsidR="00CB5CAF">
        <w:rPr>
          <w:lang w:val="fr-FR"/>
        </w:rPr>
        <w:t> </w:t>
      </w:r>
      <w:r w:rsidR="00E01981" w:rsidRPr="00DA12D6">
        <w:rPr>
          <w:lang w:val="fr-FR"/>
        </w:rPr>
        <w:t xml:space="preserve">M. </w:t>
      </w:r>
    </w:p>
    <w:p w:rsidR="00210D5C" w:rsidRPr="00DA12D6" w:rsidRDefault="00C85A1A">
      <w:pPr>
        <w:pStyle w:val="SingleTxtG"/>
        <w:rPr>
          <w:lang w:val="fr-FR"/>
        </w:rPr>
      </w:pPr>
      <w:r>
        <w:rPr>
          <w:lang w:val="fr-FR"/>
        </w:rPr>
        <w:t>4.6</w:t>
      </w:r>
      <w:r w:rsidR="00CE7C21">
        <w:rPr>
          <w:lang w:val="fr-FR"/>
        </w:rPr>
        <w:tab/>
        <w:t>L’</w:t>
      </w:r>
      <w:r w:rsidR="00C02653">
        <w:rPr>
          <w:lang w:val="fr-FR"/>
        </w:rPr>
        <w:t>État</w:t>
      </w:r>
      <w:r w:rsidR="00CE7C21">
        <w:rPr>
          <w:lang w:val="fr-FR"/>
        </w:rPr>
        <w:t xml:space="preserve"> partie rappelle que </w:t>
      </w:r>
      <w:r w:rsidR="00B00E5F" w:rsidRPr="008A2B7A">
        <w:rPr>
          <w:lang w:val="fr-FR"/>
        </w:rPr>
        <w:t>les preuves déposées par l’auteur auprès de la Commiss</w:t>
      </w:r>
      <w:r w:rsidR="008A2B7A" w:rsidRPr="000F3E57">
        <w:rPr>
          <w:lang w:val="fr-FR"/>
        </w:rPr>
        <w:t>ion de l’immigration et du statut de réfugié</w:t>
      </w:r>
      <w:r w:rsidR="00B00E5F" w:rsidRPr="008A2B7A">
        <w:rPr>
          <w:lang w:val="fr-FR"/>
        </w:rPr>
        <w:t xml:space="preserve"> vont</w:t>
      </w:r>
      <w:r w:rsidR="00B00E5F" w:rsidRPr="00DA12D6">
        <w:rPr>
          <w:lang w:val="fr-FR"/>
        </w:rPr>
        <w:t xml:space="preserve"> à l’encontre de ses affirmations selon lesquelles sa maison aurait été détruite parce qu’il était personnellement ciblé par le régime. La preuve démontre plutôt que la maison de l’auteur a subi le même sort que p</w:t>
      </w:r>
      <w:r w:rsidR="00CE7C21">
        <w:rPr>
          <w:lang w:val="fr-FR"/>
        </w:rPr>
        <w:t>rès de 1</w:t>
      </w:r>
      <w:r w:rsidR="00CB5CAF">
        <w:rPr>
          <w:lang w:val="fr-FR"/>
        </w:rPr>
        <w:t> </w:t>
      </w:r>
      <w:r w:rsidR="00CE7C21">
        <w:rPr>
          <w:lang w:val="fr-FR"/>
        </w:rPr>
        <w:t>000 autres maisons à N</w:t>
      </w:r>
      <w:r w:rsidR="00501E0B">
        <w:rPr>
          <w:lang w:val="fr-FR"/>
        </w:rPr>
        <w:t>’D</w:t>
      </w:r>
      <w:r w:rsidR="00B00E5F" w:rsidRPr="00DA12D6">
        <w:rPr>
          <w:lang w:val="fr-FR"/>
        </w:rPr>
        <w:t>jamena qui ont été détruites durant la même période par le régime tchadien pour chasser les rebelles de la capitale.</w:t>
      </w:r>
      <w:r w:rsidR="00031EB2">
        <w:rPr>
          <w:lang w:val="fr-FR"/>
        </w:rPr>
        <w:t xml:space="preserve"> Par ailleurs, </w:t>
      </w:r>
      <w:r w:rsidR="00031EB2" w:rsidRPr="00DA12D6">
        <w:rPr>
          <w:lang w:val="fr-FR"/>
        </w:rPr>
        <w:t>les informations fournies par M.</w:t>
      </w:r>
      <w:r w:rsidR="00CB5CAF">
        <w:rPr>
          <w:lang w:val="fr-FR"/>
        </w:rPr>
        <w:t> </w:t>
      </w:r>
      <w:r w:rsidR="00031EB2" w:rsidRPr="00DA12D6">
        <w:rPr>
          <w:lang w:val="fr-FR"/>
        </w:rPr>
        <w:t>Guengueng</w:t>
      </w:r>
      <w:r w:rsidR="00210D5C">
        <w:rPr>
          <w:lang w:val="fr-FR"/>
        </w:rPr>
        <w:t xml:space="preserve"> </w:t>
      </w:r>
      <w:r w:rsidR="00031EB2" w:rsidRPr="00DA12D6">
        <w:rPr>
          <w:lang w:val="fr-FR"/>
        </w:rPr>
        <w:t>contredis</w:t>
      </w:r>
      <w:r w:rsidR="00555818">
        <w:rPr>
          <w:lang w:val="fr-FR"/>
        </w:rPr>
        <w:t>ent les allégations de l’auteur</w:t>
      </w:r>
      <w:r w:rsidR="00210D5C">
        <w:rPr>
          <w:lang w:val="fr-FR"/>
        </w:rPr>
        <w:t>.</w:t>
      </w:r>
    </w:p>
    <w:p w:rsidR="004104B9" w:rsidRPr="00DA12D6" w:rsidRDefault="003F0B75" w:rsidP="00A8346D">
      <w:pPr>
        <w:pStyle w:val="SingleTxtG"/>
        <w:rPr>
          <w:lang w:val="fr-FR"/>
        </w:rPr>
      </w:pPr>
      <w:r>
        <w:rPr>
          <w:lang w:val="fr-FR"/>
        </w:rPr>
        <w:t>4.7</w:t>
      </w:r>
      <w:r w:rsidR="00BA6A22">
        <w:rPr>
          <w:lang w:val="fr-FR"/>
        </w:rPr>
        <w:tab/>
        <w:t>L’</w:t>
      </w:r>
      <w:r w:rsidR="00C02653">
        <w:rPr>
          <w:lang w:val="fr-FR"/>
        </w:rPr>
        <w:t>État</w:t>
      </w:r>
      <w:r w:rsidR="00BA6A22">
        <w:rPr>
          <w:lang w:val="fr-FR"/>
        </w:rPr>
        <w:t xml:space="preserve"> partie conclut que même e</w:t>
      </w:r>
      <w:r w:rsidR="00B00E5F" w:rsidRPr="00DA12D6">
        <w:rPr>
          <w:lang w:val="fr-FR"/>
        </w:rPr>
        <w:t xml:space="preserve">n supposant que </w:t>
      </w:r>
      <w:r w:rsidR="00F66E7A">
        <w:rPr>
          <w:lang w:val="fr-FR"/>
        </w:rPr>
        <w:t>F.</w:t>
      </w:r>
      <w:r w:rsidR="00873FCE">
        <w:rPr>
          <w:lang w:val="fr-FR"/>
        </w:rPr>
        <w:t> </w:t>
      </w:r>
      <w:r w:rsidR="00B00E5F" w:rsidRPr="00DA12D6">
        <w:rPr>
          <w:lang w:val="fr-FR"/>
        </w:rPr>
        <w:t xml:space="preserve">M. ait </w:t>
      </w:r>
      <w:r w:rsidR="004104B9">
        <w:rPr>
          <w:lang w:val="fr-FR"/>
        </w:rPr>
        <w:t>été détenu pendant quatre jours il y a plus de cinq ans</w:t>
      </w:r>
      <w:r w:rsidR="00B00E5F" w:rsidRPr="00DA12D6">
        <w:rPr>
          <w:lang w:val="fr-FR"/>
        </w:rPr>
        <w:t>, cela ne permet pas de conclure à un risque réel de subir des traitements prohibés aujourd’hui. Les craintes de l’</w:t>
      </w:r>
      <w:r>
        <w:rPr>
          <w:lang w:val="fr-FR"/>
        </w:rPr>
        <w:t xml:space="preserve">intéressé </w:t>
      </w:r>
      <w:r w:rsidR="00B00E5F" w:rsidRPr="00DA12D6">
        <w:rPr>
          <w:lang w:val="fr-FR"/>
        </w:rPr>
        <w:t>sont fondées sur de pures spéculations selon lesquelles il représenterait toujours un intérêt pour les autorités.</w:t>
      </w:r>
      <w:r w:rsidR="004104B9">
        <w:rPr>
          <w:lang w:val="fr-FR"/>
        </w:rPr>
        <w:t xml:space="preserve"> L’</w:t>
      </w:r>
      <w:r w:rsidR="00C02653">
        <w:rPr>
          <w:lang w:val="fr-FR"/>
        </w:rPr>
        <w:t>État</w:t>
      </w:r>
      <w:r w:rsidR="004104B9">
        <w:rPr>
          <w:lang w:val="fr-FR"/>
        </w:rPr>
        <w:t xml:space="preserve"> partie </w:t>
      </w:r>
      <w:r w:rsidR="004104B9" w:rsidRPr="00DA12D6">
        <w:rPr>
          <w:lang w:val="fr-FR"/>
        </w:rPr>
        <w:t xml:space="preserve">reconnaît que la situation générale des droits de la personne au Tchad demeure préoccupante, tel qu’il ressort des sources documentaires récentes étudiées par les autorités canadiennes. Toutefois, l’auteur n’a pas réussi à démontrer </w:t>
      </w:r>
      <w:r w:rsidR="004104B9" w:rsidRPr="00B26679">
        <w:rPr>
          <w:lang w:val="fr-FR"/>
        </w:rPr>
        <w:t xml:space="preserve">qu’il serait personnellement </w:t>
      </w:r>
      <w:r w:rsidR="00B26679" w:rsidRPr="000F3E57">
        <w:rPr>
          <w:lang w:val="fr-FR"/>
        </w:rPr>
        <w:lastRenderedPageBreak/>
        <w:t xml:space="preserve">exposé </w:t>
      </w:r>
      <w:r w:rsidR="004104B9" w:rsidRPr="00B26679">
        <w:rPr>
          <w:lang w:val="fr-FR"/>
        </w:rPr>
        <w:t xml:space="preserve">à </w:t>
      </w:r>
      <w:r w:rsidR="00B26679" w:rsidRPr="000F3E57">
        <w:rPr>
          <w:lang w:val="fr-FR"/>
        </w:rPr>
        <w:t xml:space="preserve">un </w:t>
      </w:r>
      <w:r w:rsidR="004104B9" w:rsidRPr="00B26679">
        <w:rPr>
          <w:lang w:val="fr-FR"/>
        </w:rPr>
        <w:t>risque d’être ciblé</w:t>
      </w:r>
      <w:r w:rsidR="004104B9" w:rsidRPr="00DA12D6">
        <w:rPr>
          <w:lang w:val="fr-FR"/>
        </w:rPr>
        <w:t xml:space="preserve"> par les autorités.</w:t>
      </w:r>
      <w:r w:rsidR="004104B9">
        <w:rPr>
          <w:lang w:val="fr-FR"/>
        </w:rPr>
        <w:t xml:space="preserve"> En conséquence, la communication devrait être déclarée</w:t>
      </w:r>
      <w:r w:rsidR="004104B9" w:rsidRPr="00DA12D6">
        <w:rPr>
          <w:lang w:val="fr-FR"/>
        </w:rPr>
        <w:t xml:space="preserve"> irrecevable</w:t>
      </w:r>
      <w:r w:rsidR="008421F6">
        <w:rPr>
          <w:lang w:val="fr-FR"/>
        </w:rPr>
        <w:t xml:space="preserve"> en ce qui concerne les articles</w:t>
      </w:r>
      <w:r w:rsidR="00EA076F">
        <w:rPr>
          <w:lang w:val="fr-FR"/>
        </w:rPr>
        <w:t> </w:t>
      </w:r>
      <w:r w:rsidR="008421F6">
        <w:rPr>
          <w:lang w:val="fr-FR"/>
        </w:rPr>
        <w:t>6 et 7 du Pacte</w:t>
      </w:r>
      <w:r w:rsidR="004104B9" w:rsidRPr="00DA12D6">
        <w:rPr>
          <w:lang w:val="fr-FR"/>
        </w:rPr>
        <w:t>.</w:t>
      </w:r>
    </w:p>
    <w:p w:rsidR="00A24BBD" w:rsidRPr="00DA12D6" w:rsidRDefault="00C61D89" w:rsidP="00F629B5">
      <w:pPr>
        <w:pStyle w:val="SingleTxtG"/>
        <w:rPr>
          <w:lang w:val="fr-FR"/>
        </w:rPr>
      </w:pPr>
      <w:r>
        <w:rPr>
          <w:lang w:val="fr-FR"/>
        </w:rPr>
        <w:t>4.8</w:t>
      </w:r>
      <w:r w:rsidR="00A91260">
        <w:rPr>
          <w:lang w:val="fr-FR"/>
        </w:rPr>
        <w:tab/>
        <w:t>En ce qui concerne l’</w:t>
      </w:r>
      <w:r w:rsidR="00770EB4">
        <w:rPr>
          <w:lang w:val="fr-FR"/>
        </w:rPr>
        <w:t>article </w:t>
      </w:r>
      <w:r w:rsidR="00A91260">
        <w:rPr>
          <w:lang w:val="fr-FR"/>
        </w:rPr>
        <w:t>13</w:t>
      </w:r>
      <w:r w:rsidR="001470D2">
        <w:rPr>
          <w:lang w:val="fr-FR"/>
        </w:rPr>
        <w:t>, l’</w:t>
      </w:r>
      <w:r w:rsidR="00C02653">
        <w:rPr>
          <w:lang w:val="fr-FR"/>
        </w:rPr>
        <w:t>État</w:t>
      </w:r>
      <w:r w:rsidR="001470D2">
        <w:rPr>
          <w:lang w:val="fr-FR"/>
        </w:rPr>
        <w:t xml:space="preserve"> partie rappelle</w:t>
      </w:r>
      <w:r w:rsidR="00A91260">
        <w:rPr>
          <w:lang w:val="fr-FR"/>
        </w:rPr>
        <w:t xml:space="preserve"> que l’auteur a</w:t>
      </w:r>
      <w:r w:rsidR="00A91260" w:rsidRPr="00DA12D6">
        <w:rPr>
          <w:lang w:val="fr-FR"/>
        </w:rPr>
        <w:t xml:space="preserve"> pu faire valoir les motifs militant en faveur de sa demande d’asile et contre son expulsion à maintes reprises devant les autorités canadiennes. </w:t>
      </w:r>
      <w:r w:rsidR="00A91260">
        <w:rPr>
          <w:lang w:val="fr-FR"/>
        </w:rPr>
        <w:t>Il</w:t>
      </w:r>
      <w:r w:rsidR="00A91260" w:rsidRPr="00DA12D6">
        <w:rPr>
          <w:lang w:val="fr-FR"/>
        </w:rPr>
        <w:t xml:space="preserve"> a bénéficié d’une audience orale devant la SPR suivie d’une décision de la </w:t>
      </w:r>
      <w:r w:rsidR="001470D2">
        <w:rPr>
          <w:lang w:val="fr-FR"/>
        </w:rPr>
        <w:t>même instance</w:t>
      </w:r>
      <w:r w:rsidR="00A91260" w:rsidRPr="00DA12D6">
        <w:rPr>
          <w:lang w:val="fr-FR"/>
        </w:rPr>
        <w:t xml:space="preserve">. </w:t>
      </w:r>
      <w:r w:rsidR="00A91260">
        <w:rPr>
          <w:lang w:val="fr-FR"/>
        </w:rPr>
        <w:t xml:space="preserve">Cette décision </w:t>
      </w:r>
      <w:r w:rsidR="00A91260" w:rsidRPr="00DA12D6">
        <w:rPr>
          <w:lang w:val="fr-FR"/>
        </w:rPr>
        <w:t>a ensuite été examinée sur le fond pa</w:t>
      </w:r>
      <w:r w:rsidR="00A91260">
        <w:rPr>
          <w:lang w:val="fr-FR"/>
        </w:rPr>
        <w:t>r la Cour fédérale</w:t>
      </w:r>
      <w:r w:rsidR="001470D2">
        <w:rPr>
          <w:lang w:val="fr-FR"/>
        </w:rPr>
        <w:t>,</w:t>
      </w:r>
      <w:r w:rsidR="00A91260">
        <w:rPr>
          <w:lang w:val="fr-FR"/>
        </w:rPr>
        <w:t xml:space="preserve"> qui a rejeté</w:t>
      </w:r>
      <w:r w:rsidR="00A91260" w:rsidRPr="00DA12D6">
        <w:rPr>
          <w:lang w:val="fr-FR"/>
        </w:rPr>
        <w:t xml:space="preserve"> la demande de contrôle judiciaire au motif </w:t>
      </w:r>
      <w:r w:rsidR="00A91260" w:rsidRPr="002667C5">
        <w:rPr>
          <w:lang w:val="fr-FR"/>
        </w:rPr>
        <w:t xml:space="preserve">que </w:t>
      </w:r>
      <w:r w:rsidR="00A91260" w:rsidRPr="008A2B7A">
        <w:rPr>
          <w:lang w:val="fr-FR"/>
        </w:rPr>
        <w:t>la Commiss</w:t>
      </w:r>
      <w:r w:rsidR="006F2741" w:rsidRPr="000F3E57">
        <w:rPr>
          <w:lang w:val="fr-FR"/>
        </w:rPr>
        <w:t xml:space="preserve">ion de l’immigration et du statut de réfugié </w:t>
      </w:r>
      <w:r w:rsidR="00A91260" w:rsidRPr="008A2B7A">
        <w:rPr>
          <w:lang w:val="fr-FR"/>
        </w:rPr>
        <w:t>avait tenu compt</w:t>
      </w:r>
      <w:r w:rsidR="00A91260" w:rsidRPr="00DA12D6">
        <w:rPr>
          <w:lang w:val="fr-FR"/>
        </w:rPr>
        <w:t>e de la preuve présentée et que ses conclusions étaient raison</w:t>
      </w:r>
      <w:r w:rsidR="00A91260" w:rsidRPr="008A2B7A">
        <w:rPr>
          <w:lang w:val="fr-FR"/>
        </w:rPr>
        <w:t xml:space="preserve">nables. L’auteur a également présenté une </w:t>
      </w:r>
      <w:r w:rsidR="00A8346D" w:rsidRPr="008A2B7A">
        <w:rPr>
          <w:lang w:val="fr-FR"/>
        </w:rPr>
        <w:t>demande pour considérations humanitaires</w:t>
      </w:r>
      <w:r w:rsidR="00A91260" w:rsidRPr="008A2B7A">
        <w:rPr>
          <w:lang w:val="fr-FR"/>
        </w:rPr>
        <w:t>,</w:t>
      </w:r>
      <w:r w:rsidR="00A91260" w:rsidRPr="00DA12D6">
        <w:rPr>
          <w:lang w:val="fr-FR"/>
        </w:rPr>
        <w:t xml:space="preserve"> qui a été rejetée</w:t>
      </w:r>
      <w:r w:rsidR="00A91260" w:rsidRPr="00DB5CA7">
        <w:rPr>
          <w:lang w:val="fr-FR"/>
        </w:rPr>
        <w:t>, à l’instar de la demande d’autorisation et de</w:t>
      </w:r>
      <w:r w:rsidR="00A91260" w:rsidRPr="00DA12D6">
        <w:rPr>
          <w:lang w:val="fr-FR"/>
        </w:rPr>
        <w:t xml:space="preserve"> contrôle judiciaire de cette décision devant la Cour fédérale. Finalement, l’auteur a aussi eu recours au processus d’examen des risques avant renvoi et ce, à deux reprises. Les deux demandes </w:t>
      </w:r>
      <w:r w:rsidR="005A5A41" w:rsidRPr="000F3E57">
        <w:t>d’examen des risques avant renvoi</w:t>
      </w:r>
      <w:r w:rsidR="00A91260" w:rsidRPr="00DA12D6">
        <w:rPr>
          <w:lang w:val="fr-FR"/>
        </w:rPr>
        <w:t xml:space="preserve">, entendues par deux agents administratifs différents, ont été rejetées. En outre, la première demande </w:t>
      </w:r>
      <w:r w:rsidR="005A5A41" w:rsidRPr="00E57131">
        <w:t>d’examen des risques avant renvoi</w:t>
      </w:r>
      <w:r w:rsidR="00A91260" w:rsidRPr="00DA12D6">
        <w:rPr>
          <w:lang w:val="fr-FR"/>
        </w:rPr>
        <w:t xml:space="preserve"> a été examinée sur le fond par la Cour fédérale, qui l’a rejetée au motif que l’agent avait adéquatement analysé la preuve et que ses conclusions étaient raisonnables. Quant à la demande d’autorisation et de contrôle judiciaire de la seconde décision </w:t>
      </w:r>
      <w:r w:rsidR="005A5A41" w:rsidRPr="00E57131">
        <w:t>d’examen des risques avant renvoi</w:t>
      </w:r>
      <w:r w:rsidR="00A91260" w:rsidRPr="00DA12D6">
        <w:rPr>
          <w:lang w:val="fr-FR"/>
        </w:rPr>
        <w:t xml:space="preserve">, elle </w:t>
      </w:r>
      <w:r w:rsidR="00A91260" w:rsidRPr="005B6911">
        <w:rPr>
          <w:lang w:val="fr-FR"/>
        </w:rPr>
        <w:t>demeure pendante</w:t>
      </w:r>
      <w:r w:rsidR="00827429">
        <w:rPr>
          <w:rStyle w:val="FootnoteReference"/>
        </w:rPr>
        <w:footnoteReference w:id="14"/>
      </w:r>
      <w:r w:rsidR="00565334">
        <w:rPr>
          <w:lang w:val="fr-FR"/>
        </w:rPr>
        <w:t>.</w:t>
      </w:r>
      <w:r w:rsidR="00A91260" w:rsidRPr="00DA12D6">
        <w:rPr>
          <w:lang w:val="fr-FR"/>
        </w:rPr>
        <w:t xml:space="preserve"> Toutefois, </w:t>
      </w:r>
      <w:r w:rsidR="00A91260">
        <w:rPr>
          <w:lang w:val="fr-FR"/>
        </w:rPr>
        <w:t>la</w:t>
      </w:r>
      <w:r w:rsidR="00A91260" w:rsidRPr="00DA12D6">
        <w:rPr>
          <w:lang w:val="fr-FR"/>
        </w:rPr>
        <w:t xml:space="preserve"> Cour fédérale a refusé </w:t>
      </w:r>
      <w:r w:rsidR="00A91260" w:rsidRPr="00916728">
        <w:rPr>
          <w:lang w:val="fr-FR"/>
        </w:rPr>
        <w:t>d’octroyer un sursis d’exécution de la mesure de renvoi de l’auteur.</w:t>
      </w:r>
      <w:r w:rsidR="002C45CB" w:rsidRPr="00916728">
        <w:rPr>
          <w:lang w:val="fr-FR"/>
        </w:rPr>
        <w:t xml:space="preserve"> Se référant à l’</w:t>
      </w:r>
      <w:r w:rsidR="001C4E3C" w:rsidRPr="00916728">
        <w:rPr>
          <w:lang w:val="fr-FR"/>
        </w:rPr>
        <w:t>o</w:t>
      </w:r>
      <w:r w:rsidR="002C45CB" w:rsidRPr="00916728">
        <w:rPr>
          <w:lang w:val="fr-FR"/>
        </w:rPr>
        <w:t xml:space="preserve">bservation générale </w:t>
      </w:r>
      <w:r w:rsidR="00B15419" w:rsidRPr="00916728">
        <w:rPr>
          <w:lang w:val="fr-FR"/>
        </w:rPr>
        <w:t>n</w:t>
      </w:r>
      <w:r w:rsidR="00B15419" w:rsidRPr="00916728">
        <w:rPr>
          <w:vertAlign w:val="superscript"/>
          <w:lang w:val="fr-FR"/>
        </w:rPr>
        <w:t>o</w:t>
      </w:r>
      <w:r w:rsidR="00B15419" w:rsidRPr="00916728">
        <w:rPr>
          <w:lang w:val="fr-FR"/>
        </w:rPr>
        <w:t> </w:t>
      </w:r>
      <w:r w:rsidR="002C45CB" w:rsidRPr="00916728">
        <w:rPr>
          <w:lang w:val="fr-FR"/>
        </w:rPr>
        <w:t>15</w:t>
      </w:r>
      <w:r w:rsidR="00DB5CA7" w:rsidRPr="000F3E57">
        <w:rPr>
          <w:lang w:val="fr-FR"/>
        </w:rPr>
        <w:t xml:space="preserve"> (1986) sur la situation des étrangers au regard du Pacte</w:t>
      </w:r>
      <w:r w:rsidR="002C45CB" w:rsidRPr="00916728">
        <w:rPr>
          <w:lang w:val="fr-FR"/>
        </w:rPr>
        <w:t>, l’</w:t>
      </w:r>
      <w:r w:rsidR="00C02653" w:rsidRPr="00916728">
        <w:rPr>
          <w:lang w:val="fr-FR"/>
        </w:rPr>
        <w:t>État</w:t>
      </w:r>
      <w:r w:rsidR="002C45CB" w:rsidRPr="00916728">
        <w:rPr>
          <w:lang w:val="fr-FR"/>
        </w:rPr>
        <w:t xml:space="preserve"> partie</w:t>
      </w:r>
      <w:r w:rsidR="002C45CB">
        <w:rPr>
          <w:lang w:val="fr-FR"/>
        </w:rPr>
        <w:t xml:space="preserve"> note que </w:t>
      </w:r>
      <w:r w:rsidR="002C45CB" w:rsidRPr="00DA12D6">
        <w:rPr>
          <w:lang w:val="fr-FR"/>
        </w:rPr>
        <w:t>l</w:t>
      </w:r>
      <w:r w:rsidR="00424533">
        <w:rPr>
          <w:lang w:val="fr-FR"/>
        </w:rPr>
        <w:t>’</w:t>
      </w:r>
      <w:r w:rsidR="00770EB4">
        <w:rPr>
          <w:lang w:val="fr-FR"/>
        </w:rPr>
        <w:t>article </w:t>
      </w:r>
      <w:r w:rsidR="002C45CB" w:rsidRPr="00DA12D6">
        <w:rPr>
          <w:lang w:val="fr-FR"/>
        </w:rPr>
        <w:t>13 ne porte directement que sur la procédure, et non sur les</w:t>
      </w:r>
      <w:r w:rsidR="002C45CB">
        <w:rPr>
          <w:lang w:val="fr-FR"/>
        </w:rPr>
        <w:t xml:space="preserve"> motifs de fond de l</w:t>
      </w:r>
      <w:r w:rsidR="00424533">
        <w:rPr>
          <w:lang w:val="fr-FR"/>
        </w:rPr>
        <w:t>’</w:t>
      </w:r>
      <w:r w:rsidR="002C45CB">
        <w:rPr>
          <w:lang w:val="fr-FR"/>
        </w:rPr>
        <w:t xml:space="preserve">expulsion, et conclut que l’auteur n’a pas étayé son allégation de violation de cette disposition, qui devrait par conséquent être déclarée irrecevable. </w:t>
      </w:r>
    </w:p>
    <w:p w:rsidR="00836FA2" w:rsidRPr="00836FA2" w:rsidRDefault="00836FA2">
      <w:pPr>
        <w:pStyle w:val="SingleTxtG"/>
      </w:pPr>
      <w:r w:rsidRPr="00836FA2">
        <w:rPr>
          <w:lang w:val="fr-FR"/>
        </w:rPr>
        <w:t>4</w:t>
      </w:r>
      <w:r w:rsidRPr="00836FA2">
        <w:t>.9</w:t>
      </w:r>
      <w:r w:rsidRPr="00836FA2">
        <w:tab/>
        <w:t>En conclusion, l’</w:t>
      </w:r>
      <w:r w:rsidR="00C02653">
        <w:t>État</w:t>
      </w:r>
      <w:r w:rsidRPr="00836FA2">
        <w:t xml:space="preserve"> partie réaffirme que l’auteur n’a pas démontré qu’il subirait un préjudice irréparable </w:t>
      </w:r>
      <w:r w:rsidR="00D653B7">
        <w:t xml:space="preserve">s’il était </w:t>
      </w:r>
      <w:r w:rsidRPr="00836FA2">
        <w:t>renvo</w:t>
      </w:r>
      <w:r w:rsidR="00D653B7">
        <w:t>yé</w:t>
      </w:r>
      <w:r w:rsidRPr="00836FA2">
        <w:t xml:space="preserve"> au Tchad. Ses allégations ont fait l’objet d’un examen approfondi et ont été rejetées par tou</w:t>
      </w:r>
      <w:r w:rsidR="00486690">
        <w:t>te</w:t>
      </w:r>
      <w:r w:rsidRPr="00836FA2">
        <w:t xml:space="preserve">s les </w:t>
      </w:r>
      <w:r w:rsidR="00486690">
        <w:t>autorités</w:t>
      </w:r>
      <w:r w:rsidRPr="00836FA2">
        <w:t xml:space="preserve"> canadien</w:t>
      </w:r>
      <w:r w:rsidR="00486690">
        <w:t>ne</w:t>
      </w:r>
      <w:r w:rsidRPr="00836FA2">
        <w:t>s. Ses allégations devraient donc être déclarées irrecevables au titre des articles</w:t>
      </w:r>
      <w:r w:rsidR="00FC3850">
        <w:t> </w:t>
      </w:r>
      <w:r w:rsidRPr="00836FA2">
        <w:t>2, 6, 7 et 13 du Pacte. À titre subsidiaire, si le Comité est d’avis que la communication est recevable, le Canada soutient que cette dernière est dénuée de fondement, pour les mêmes raisons.</w:t>
      </w:r>
    </w:p>
    <w:p w:rsidR="000D3B54" w:rsidRDefault="000D3B54">
      <w:pPr>
        <w:pStyle w:val="SingleTxtG"/>
        <w:rPr>
          <w:lang w:val="fr-FR"/>
        </w:rPr>
      </w:pPr>
      <w:r>
        <w:rPr>
          <w:lang w:val="fr-FR"/>
        </w:rPr>
        <w:t>4.</w:t>
      </w:r>
      <w:r w:rsidR="00301F89">
        <w:rPr>
          <w:lang w:val="fr-FR"/>
        </w:rPr>
        <w:t>10</w:t>
      </w:r>
      <w:r w:rsidR="00D84119">
        <w:rPr>
          <w:lang w:val="fr-FR"/>
        </w:rPr>
        <w:tab/>
        <w:t>P</w:t>
      </w:r>
      <w:r>
        <w:rPr>
          <w:lang w:val="fr-FR"/>
        </w:rPr>
        <w:t>our ce qui est de la situation actuelle de l’auteur, l’</w:t>
      </w:r>
      <w:r w:rsidR="00C02653">
        <w:rPr>
          <w:lang w:val="fr-FR"/>
        </w:rPr>
        <w:t>État</w:t>
      </w:r>
      <w:r>
        <w:rPr>
          <w:lang w:val="fr-FR"/>
        </w:rPr>
        <w:t xml:space="preserve"> partie note également que</w:t>
      </w:r>
      <w:r w:rsidR="00D653B7">
        <w:rPr>
          <w:lang w:val="fr-FR"/>
        </w:rPr>
        <w:t>,</w:t>
      </w:r>
      <w:r>
        <w:rPr>
          <w:lang w:val="fr-FR"/>
        </w:rPr>
        <w:t xml:space="preserve"> suite au rejet par la Cour fédérale de la demande de sursis de son exécution, une mesure de renvoi a été émise par l’ASFC, fixant sa date de départ </w:t>
      </w:r>
      <w:r w:rsidRPr="00916728">
        <w:rPr>
          <w:lang w:val="fr-FR"/>
        </w:rPr>
        <w:t xml:space="preserve">au 10 décembre 2013. </w:t>
      </w:r>
      <w:r w:rsidR="00A357BB">
        <w:rPr>
          <w:lang w:val="fr-FR"/>
        </w:rPr>
        <w:t>Comme s</w:t>
      </w:r>
      <w:r w:rsidR="00D84119" w:rsidRPr="00916728">
        <w:rPr>
          <w:lang w:val="fr-FR"/>
        </w:rPr>
        <w:t>uite à la demande de mesures provisoires du Comité du 9 décembre 2013, l’</w:t>
      </w:r>
      <w:r w:rsidR="00C02653" w:rsidRPr="00916728">
        <w:rPr>
          <w:lang w:val="fr-FR"/>
        </w:rPr>
        <w:t>État</w:t>
      </w:r>
      <w:r w:rsidR="00D84119" w:rsidRPr="00916728">
        <w:rPr>
          <w:lang w:val="fr-FR"/>
        </w:rPr>
        <w:t xml:space="preserve"> partie a accepté de surseoir à son renvoi. L’auteur demeure au Canada. En dépit du sursis de son renvoi, l’auteur aurait tout de même dû se présenter à l’aéroport comme prévu le 10 décembre 2013</w:t>
      </w:r>
      <w:r w:rsidR="004A588D" w:rsidRPr="00916728">
        <w:rPr>
          <w:lang w:val="fr-FR"/>
        </w:rPr>
        <w:t xml:space="preserve"> afin d’y rencontrer un agent de l’ASFC, n’ayant pas été informé du sursis de son renvoi par l’ASFC</w:t>
      </w:r>
      <w:r w:rsidR="00D84119" w:rsidRPr="00916728">
        <w:rPr>
          <w:lang w:val="fr-FR"/>
        </w:rPr>
        <w:t>. Ayant omis de le faire, les agents ASFC ont procédé à certaines vérifications pour tenter de le localiser. Ayant constaté que l’auteur ne résidait pas à l’adresse fournie aux autorités et qu’il était sans domicile fixe, l’auteur a été placé en détention conformément à l’</w:t>
      </w:r>
      <w:r w:rsidR="00770EB4" w:rsidRPr="00916728">
        <w:rPr>
          <w:lang w:val="fr-FR"/>
        </w:rPr>
        <w:t>article </w:t>
      </w:r>
      <w:r w:rsidR="00D84119" w:rsidRPr="00916728">
        <w:rPr>
          <w:lang w:val="fr-FR"/>
        </w:rPr>
        <w:t xml:space="preserve">55 de la </w:t>
      </w:r>
      <w:r w:rsidR="00FB4A74" w:rsidRPr="00916728">
        <w:rPr>
          <w:lang w:val="fr-FR"/>
        </w:rPr>
        <w:t>loi sur l’immigration et l</w:t>
      </w:r>
      <w:r w:rsidR="00FB4A74">
        <w:rPr>
          <w:lang w:val="fr-FR"/>
        </w:rPr>
        <w:t>a protection des réfugiés</w:t>
      </w:r>
      <w:r w:rsidR="007E68E2">
        <w:rPr>
          <w:lang w:val="fr-FR"/>
        </w:rPr>
        <w:t xml:space="preserve">, car il est considéré comme </w:t>
      </w:r>
      <w:r w:rsidR="007E68E2" w:rsidRPr="00B26679">
        <w:rPr>
          <w:lang w:val="fr-FR"/>
        </w:rPr>
        <w:t>étant à risque de</w:t>
      </w:r>
      <w:r w:rsidR="007E68E2">
        <w:rPr>
          <w:lang w:val="fr-FR"/>
        </w:rPr>
        <w:t xml:space="preserve"> ne pas se présenter pour une éventuelle mesure de renvoi</w:t>
      </w:r>
      <w:r w:rsidR="00D84119">
        <w:rPr>
          <w:lang w:val="fr-FR"/>
        </w:rPr>
        <w:t>.</w:t>
      </w:r>
    </w:p>
    <w:p w:rsidR="00A320CB" w:rsidRDefault="00A63923" w:rsidP="00D653B7">
      <w:pPr>
        <w:pStyle w:val="SingleTxtG"/>
        <w:rPr>
          <w:lang w:val="fr-FR"/>
        </w:rPr>
      </w:pPr>
      <w:r>
        <w:rPr>
          <w:lang w:val="fr-FR"/>
        </w:rPr>
        <w:t>4.11</w:t>
      </w:r>
      <w:r w:rsidR="00A320CB">
        <w:rPr>
          <w:lang w:val="fr-FR"/>
        </w:rPr>
        <w:tab/>
        <w:t xml:space="preserve">Les motifs de la détention de l’auteur ont été contrôlés régulièrement par la Section de l’immigration, tel que prévu par la </w:t>
      </w:r>
      <w:r w:rsidR="00FB4A74">
        <w:rPr>
          <w:lang w:val="fr-FR"/>
        </w:rPr>
        <w:t>loi sur l’immigration et la protection des réfugiés</w:t>
      </w:r>
      <w:r w:rsidR="00A320CB">
        <w:rPr>
          <w:lang w:val="fr-FR"/>
        </w:rPr>
        <w:t xml:space="preserve"> </w:t>
      </w:r>
      <w:r w:rsidR="00A320CB" w:rsidRPr="00916728">
        <w:rPr>
          <w:lang w:val="fr-FR"/>
        </w:rPr>
        <w:t>(art.</w:t>
      </w:r>
      <w:r w:rsidR="00873FCE" w:rsidRPr="00916728">
        <w:rPr>
          <w:lang w:val="fr-FR"/>
        </w:rPr>
        <w:t> </w:t>
      </w:r>
      <w:r w:rsidR="00A320CB" w:rsidRPr="00916728">
        <w:rPr>
          <w:lang w:val="fr-FR"/>
        </w:rPr>
        <w:t>57</w:t>
      </w:r>
      <w:r w:rsidR="00FB4A74" w:rsidRPr="00916728">
        <w:rPr>
          <w:lang w:val="fr-FR"/>
        </w:rPr>
        <w:t>, par. </w:t>
      </w:r>
      <w:r w:rsidR="00A320CB" w:rsidRPr="00916728">
        <w:rPr>
          <w:lang w:val="fr-FR"/>
        </w:rPr>
        <w:t>1 et 2).</w:t>
      </w:r>
      <w:r w:rsidR="00A320CB">
        <w:rPr>
          <w:lang w:val="fr-FR"/>
        </w:rPr>
        <w:t xml:space="preserve"> Le 16 décembre 2013, une offre de libération </w:t>
      </w:r>
      <w:r w:rsidR="00A320CB" w:rsidRPr="00A357BB">
        <w:rPr>
          <w:lang w:val="fr-FR"/>
        </w:rPr>
        <w:t>avec garant lui</w:t>
      </w:r>
      <w:r w:rsidR="00A320CB">
        <w:rPr>
          <w:lang w:val="fr-FR"/>
        </w:rPr>
        <w:t xml:space="preserve"> a été faite, moyennant une caution de 2</w:t>
      </w:r>
      <w:r w:rsidR="00873FCE">
        <w:rPr>
          <w:lang w:val="fr-FR"/>
        </w:rPr>
        <w:t> </w:t>
      </w:r>
      <w:r w:rsidR="00A320CB">
        <w:rPr>
          <w:lang w:val="fr-FR"/>
        </w:rPr>
        <w:t xml:space="preserve">500 </w:t>
      </w:r>
      <w:r w:rsidR="00A8346D">
        <w:rPr>
          <w:lang w:val="fr-FR"/>
        </w:rPr>
        <w:t xml:space="preserve">dollars </w:t>
      </w:r>
      <w:r w:rsidR="00A8346D" w:rsidRPr="00A8346D">
        <w:rPr>
          <w:lang w:val="fr-FR"/>
        </w:rPr>
        <w:t>canadiens</w:t>
      </w:r>
      <w:r w:rsidR="00D653B7">
        <w:rPr>
          <w:lang w:val="fr-FR"/>
        </w:rPr>
        <w:t xml:space="preserve"> et à </w:t>
      </w:r>
      <w:r w:rsidR="00A320CB">
        <w:rPr>
          <w:lang w:val="fr-FR"/>
        </w:rPr>
        <w:t xml:space="preserve">la condition qu’il reste en tout temps à l’adresse fournie par les autorités canadiennes et qu’il se présente à un bureau de l’ASFC dans les 48 heures suivant sa libération, puis chaque semaine. Le 19 décembre 2013, l’auteur a été libéré sous ces conditions. </w:t>
      </w:r>
    </w:p>
    <w:p w:rsidR="00A15DF2" w:rsidRPr="00916728" w:rsidRDefault="00565334" w:rsidP="00565334">
      <w:pPr>
        <w:pStyle w:val="H23G"/>
        <w:rPr>
          <w:lang w:val="fr-FR"/>
        </w:rPr>
      </w:pPr>
      <w:r>
        <w:rPr>
          <w:lang w:val="fr-FR"/>
        </w:rPr>
        <w:lastRenderedPageBreak/>
        <w:tab/>
      </w:r>
      <w:r>
        <w:rPr>
          <w:lang w:val="fr-FR"/>
        </w:rPr>
        <w:tab/>
      </w:r>
      <w:r w:rsidR="00A15DF2" w:rsidRPr="00916728">
        <w:rPr>
          <w:lang w:val="fr-FR"/>
        </w:rPr>
        <w:t>Commentaires de l’auteur sur la recevabilité et le fond</w:t>
      </w:r>
    </w:p>
    <w:p w:rsidR="00825338" w:rsidRDefault="00E82A35" w:rsidP="00D653B7">
      <w:pPr>
        <w:pStyle w:val="SingleTxtG"/>
        <w:rPr>
          <w:lang w:val="fr-FR"/>
        </w:rPr>
      </w:pPr>
      <w:r w:rsidRPr="00916728">
        <w:rPr>
          <w:lang w:val="fr-FR"/>
        </w:rPr>
        <w:t>5.1</w:t>
      </w:r>
      <w:r w:rsidRPr="00916728">
        <w:rPr>
          <w:lang w:val="fr-FR"/>
        </w:rPr>
        <w:tab/>
        <w:t>Le 31 octobre 2014, l’auteur a formulé des commentaires sur les observations de l’</w:t>
      </w:r>
      <w:r w:rsidR="00C02653" w:rsidRPr="00916728">
        <w:rPr>
          <w:lang w:val="fr-FR"/>
        </w:rPr>
        <w:t>État</w:t>
      </w:r>
      <w:r w:rsidR="00F700AB" w:rsidRPr="00916728">
        <w:rPr>
          <w:lang w:val="fr-FR"/>
        </w:rPr>
        <w:t xml:space="preserve"> partie dans lesquels il a réitéré ses arguments </w:t>
      </w:r>
      <w:r w:rsidR="00A63923" w:rsidRPr="00916728">
        <w:rPr>
          <w:lang w:val="fr-FR"/>
        </w:rPr>
        <w:t>initiaux</w:t>
      </w:r>
      <w:r w:rsidR="00F700AB" w:rsidRPr="00916728">
        <w:rPr>
          <w:lang w:val="fr-FR"/>
        </w:rPr>
        <w:t xml:space="preserve">. </w:t>
      </w:r>
      <w:r w:rsidR="00825338" w:rsidRPr="00916728">
        <w:rPr>
          <w:lang w:val="fr-FR"/>
        </w:rPr>
        <w:t>Il note que malgré l’intervention du Comité, il a été convoqué pour un entretien de pré-départ le 23</w:t>
      </w:r>
      <w:r w:rsidR="003E39DB" w:rsidRPr="00916728">
        <w:rPr>
          <w:lang w:val="fr-FR"/>
        </w:rPr>
        <w:t> </w:t>
      </w:r>
      <w:r w:rsidR="00825338" w:rsidRPr="00916728">
        <w:rPr>
          <w:lang w:val="fr-FR"/>
        </w:rPr>
        <w:t>mai 2014, en vue de l’ordre de renvoi qui a été pris à son encontre, prévoyant son départ du Canada le 10</w:t>
      </w:r>
      <w:r w:rsidR="003E39DB" w:rsidRPr="000F3E57">
        <w:rPr>
          <w:lang w:val="fr-FR"/>
        </w:rPr>
        <w:t> </w:t>
      </w:r>
      <w:r w:rsidR="00825338" w:rsidRPr="00916728">
        <w:rPr>
          <w:lang w:val="fr-FR"/>
        </w:rPr>
        <w:t>juin 2014. Comme l’auteur ne s’est pas présenté à cette date, il est actuellement recherché et vit dans la clandestinité</w:t>
      </w:r>
      <w:r w:rsidR="00825338">
        <w:rPr>
          <w:lang w:val="fr-FR"/>
        </w:rPr>
        <w:t>. Vivant caché et</w:t>
      </w:r>
      <w:r w:rsidR="00F700AB">
        <w:rPr>
          <w:lang w:val="fr-FR"/>
        </w:rPr>
        <w:t xml:space="preserve"> isolé, </w:t>
      </w:r>
      <w:r w:rsidR="00825338">
        <w:rPr>
          <w:lang w:val="fr-FR"/>
        </w:rPr>
        <w:t>il</w:t>
      </w:r>
      <w:r w:rsidR="00F700AB">
        <w:rPr>
          <w:lang w:val="fr-FR"/>
        </w:rPr>
        <w:t xml:space="preserve"> n’a donc pas accès à un soutien psychologique </w:t>
      </w:r>
      <w:r w:rsidR="003E39DB">
        <w:rPr>
          <w:lang w:val="fr-FR"/>
        </w:rPr>
        <w:t xml:space="preserve">ni </w:t>
      </w:r>
      <w:r w:rsidR="00F700AB">
        <w:rPr>
          <w:lang w:val="fr-FR"/>
        </w:rPr>
        <w:t>à des soins médicaux dont il a pourtant besoin pour faire face aux épisodes d’anxiété et de dépression qu’il conna</w:t>
      </w:r>
      <w:r w:rsidR="003E39DB">
        <w:rPr>
          <w:lang w:val="fr-FR"/>
        </w:rPr>
        <w:t>î</w:t>
      </w:r>
      <w:r w:rsidR="00F700AB">
        <w:rPr>
          <w:lang w:val="fr-FR"/>
        </w:rPr>
        <w:t>t.</w:t>
      </w:r>
      <w:r w:rsidR="008A4A2D">
        <w:rPr>
          <w:lang w:val="fr-FR"/>
        </w:rPr>
        <w:t xml:space="preserve"> </w:t>
      </w:r>
    </w:p>
    <w:p w:rsidR="00E82A35" w:rsidRPr="00E82A35" w:rsidRDefault="00825338" w:rsidP="00D653B7">
      <w:pPr>
        <w:pStyle w:val="SingleTxtG"/>
        <w:rPr>
          <w:lang w:val="fr-FR"/>
        </w:rPr>
      </w:pPr>
      <w:r>
        <w:rPr>
          <w:lang w:val="fr-FR"/>
        </w:rPr>
        <w:t>5.2</w:t>
      </w:r>
      <w:r>
        <w:rPr>
          <w:lang w:val="fr-FR"/>
        </w:rPr>
        <w:tab/>
      </w:r>
      <w:r w:rsidR="00A63923">
        <w:rPr>
          <w:lang w:val="fr-FR"/>
        </w:rPr>
        <w:t xml:space="preserve">Il </w:t>
      </w:r>
      <w:r w:rsidR="008A4A2D">
        <w:rPr>
          <w:lang w:val="fr-FR"/>
        </w:rPr>
        <w:t>ré</w:t>
      </w:r>
      <w:r w:rsidR="003E39DB">
        <w:rPr>
          <w:lang w:val="fr-FR"/>
        </w:rPr>
        <w:t xml:space="preserve">affirme </w:t>
      </w:r>
      <w:r w:rsidR="008A4A2D">
        <w:rPr>
          <w:lang w:val="fr-FR"/>
        </w:rPr>
        <w:t>qu’il n’a pas bénéficié de recours utiles</w:t>
      </w:r>
      <w:r w:rsidR="00C8324E">
        <w:rPr>
          <w:lang w:val="fr-FR"/>
        </w:rPr>
        <w:t xml:space="preserve"> lors de l’examen de ses demandes </w:t>
      </w:r>
      <w:r w:rsidR="005A5A41" w:rsidRPr="00E57131">
        <w:t>d’examen des risques avant renvoi</w:t>
      </w:r>
      <w:r w:rsidR="005A5A41">
        <w:t xml:space="preserve"> </w:t>
      </w:r>
      <w:r w:rsidR="00C8324E">
        <w:rPr>
          <w:lang w:val="fr-FR"/>
        </w:rPr>
        <w:t>et demandes de contrôle judiciaire devant la Cour fédérale</w:t>
      </w:r>
      <w:r w:rsidR="008A4A2D">
        <w:rPr>
          <w:lang w:val="fr-FR"/>
        </w:rPr>
        <w:t>; que les pièces déposées comme nouvelles preuves</w:t>
      </w:r>
      <w:r w:rsidR="00CF6DD5">
        <w:rPr>
          <w:lang w:val="fr-FR"/>
        </w:rPr>
        <w:t xml:space="preserve"> à forte valeur probante</w:t>
      </w:r>
      <w:r w:rsidR="008A4A2D">
        <w:rPr>
          <w:lang w:val="fr-FR"/>
        </w:rPr>
        <w:t xml:space="preserve"> dans ses demandes </w:t>
      </w:r>
      <w:r w:rsidR="005A5A41" w:rsidRPr="00E57131">
        <w:t>d’examen des risques avant renvoi</w:t>
      </w:r>
      <w:r w:rsidR="005A5A41">
        <w:t xml:space="preserve"> </w:t>
      </w:r>
      <w:r w:rsidR="008A4A2D">
        <w:rPr>
          <w:lang w:val="fr-FR"/>
        </w:rPr>
        <w:t>ont été écartées sans discernement</w:t>
      </w:r>
      <w:r w:rsidR="00CF6DD5">
        <w:rPr>
          <w:lang w:val="fr-FR"/>
        </w:rPr>
        <w:t>; que trop d’inférences négatives ont été tirées de certaines contradictions dans son témoignage, qui doivent être attribuées à l’état de choc et de fatigue dans lequel il se trouvait à son arrivée au Canada</w:t>
      </w:r>
      <w:r w:rsidR="00B54AA6">
        <w:rPr>
          <w:lang w:val="fr-FR"/>
        </w:rPr>
        <w:t xml:space="preserve">; </w:t>
      </w:r>
      <w:r w:rsidR="00D653B7">
        <w:rPr>
          <w:lang w:val="fr-FR"/>
        </w:rPr>
        <w:t xml:space="preserve">et </w:t>
      </w:r>
      <w:r w:rsidR="005145CB">
        <w:rPr>
          <w:lang w:val="fr-FR"/>
        </w:rPr>
        <w:t xml:space="preserve">qu’il souffre à présent de stress, d’anxiété et de dépression majeure. En outre, l’auteur </w:t>
      </w:r>
      <w:r w:rsidR="00A63923">
        <w:rPr>
          <w:lang w:val="fr-FR"/>
        </w:rPr>
        <w:t>ré</w:t>
      </w:r>
      <w:r w:rsidR="00D653B7">
        <w:rPr>
          <w:lang w:val="fr-FR"/>
        </w:rPr>
        <w:t xml:space="preserve">affirme </w:t>
      </w:r>
      <w:r w:rsidR="005145CB">
        <w:rPr>
          <w:lang w:val="fr-FR"/>
        </w:rPr>
        <w:t>qu’en cas de retour forcé vers le Tchad, il risquerait d’être</w:t>
      </w:r>
      <w:r w:rsidR="00E46828">
        <w:rPr>
          <w:lang w:val="fr-FR"/>
        </w:rPr>
        <w:t xml:space="preserve"> arrêté,</w:t>
      </w:r>
      <w:r w:rsidR="005145CB">
        <w:rPr>
          <w:lang w:val="fr-FR"/>
        </w:rPr>
        <w:t xml:space="preserve"> détenu, torturé </w:t>
      </w:r>
      <w:r w:rsidR="00E46828">
        <w:rPr>
          <w:lang w:val="fr-FR"/>
        </w:rPr>
        <w:t xml:space="preserve">et soumis </w:t>
      </w:r>
      <w:r w:rsidR="00A04FED">
        <w:rPr>
          <w:lang w:val="fr-FR"/>
        </w:rPr>
        <w:t xml:space="preserve">à une exécution extrajudiciaire par les autorités tchadiennes. </w:t>
      </w:r>
    </w:p>
    <w:p w:rsidR="00DC75C5" w:rsidRPr="0049597B" w:rsidRDefault="00DC75C5" w:rsidP="00D82B2D">
      <w:pPr>
        <w:pStyle w:val="H23G"/>
        <w:ind w:right="0"/>
        <w:rPr>
          <w:lang w:val="fr-FR"/>
        </w:rPr>
      </w:pPr>
      <w:r w:rsidRPr="00A172E4">
        <w:rPr>
          <w:lang w:val="fr-FR"/>
        </w:rPr>
        <w:tab/>
      </w:r>
      <w:r w:rsidRPr="00A172E4">
        <w:rPr>
          <w:lang w:val="fr-FR"/>
        </w:rPr>
        <w:tab/>
      </w:r>
      <w:r w:rsidR="00500E71">
        <w:rPr>
          <w:lang w:val="fr-FR"/>
        </w:rPr>
        <w:t>Soumissions additionnelles</w:t>
      </w:r>
      <w:r w:rsidRPr="0049597B">
        <w:rPr>
          <w:lang w:val="fr-FR"/>
        </w:rPr>
        <w:t xml:space="preserve"> de l</w:t>
      </w:r>
      <w:r w:rsidR="001B7936">
        <w:rPr>
          <w:lang w:val="fr-FR"/>
        </w:rPr>
        <w:t>’</w:t>
      </w:r>
      <w:r w:rsidRPr="0049597B">
        <w:rPr>
          <w:lang w:val="fr-FR"/>
        </w:rPr>
        <w:t>auteur</w:t>
      </w:r>
      <w:r w:rsidR="00CF4A98" w:rsidRPr="00C02A0D">
        <w:rPr>
          <w:rStyle w:val="FootnoteReference"/>
          <w:b w:val="0"/>
          <w:bCs/>
        </w:rPr>
        <w:footnoteReference w:id="15"/>
      </w:r>
    </w:p>
    <w:p w:rsidR="005145CB" w:rsidRPr="009D740B" w:rsidRDefault="00244916" w:rsidP="00D653B7">
      <w:pPr>
        <w:pStyle w:val="SingleTxtG"/>
        <w:rPr>
          <w:lang w:val="fr-FR"/>
        </w:rPr>
      </w:pPr>
      <w:r>
        <w:rPr>
          <w:lang w:val="fr-FR"/>
        </w:rPr>
        <w:t>6</w:t>
      </w:r>
      <w:r w:rsidR="00DC75C5" w:rsidRPr="00A172E4">
        <w:rPr>
          <w:lang w:val="fr-FR"/>
        </w:rPr>
        <w:t>.1</w:t>
      </w:r>
      <w:r w:rsidR="00DC75C5" w:rsidRPr="00A172E4">
        <w:rPr>
          <w:lang w:val="fr-FR"/>
        </w:rPr>
        <w:tab/>
      </w:r>
      <w:r w:rsidR="005145CB">
        <w:t>Le 19 mars 2015, l’auteur a affirmé être en détresse psychologique, souffrir d’idées noires et vivre dans la réclusion la plus totale</w:t>
      </w:r>
      <w:r w:rsidR="005626A9">
        <w:t>, vivant dans la clandestinité et effrayé à l’idée d’être arrêté et</w:t>
      </w:r>
      <w:r w:rsidR="005145CB">
        <w:t xml:space="preserve"> renvoyé au Tchad. </w:t>
      </w:r>
      <w:r w:rsidR="00F0517F">
        <w:t xml:space="preserve">L’auteur demande un traitement accéléré de sa communication par le Comité. </w:t>
      </w:r>
    </w:p>
    <w:p w:rsidR="00E92CDB" w:rsidRPr="00500E71" w:rsidRDefault="00CA39ED" w:rsidP="003E39DB">
      <w:pPr>
        <w:pStyle w:val="SingleTxtG"/>
      </w:pPr>
      <w:r>
        <w:t>6.</w:t>
      </w:r>
      <w:r w:rsidR="009D740B">
        <w:t>2</w:t>
      </w:r>
      <w:r w:rsidR="00E92CDB">
        <w:tab/>
        <w:t>Le 8 avril 2015, l’auteur a de nouveau attiré l’attention du Comité sur la dégradation de sa santé psychique et joint plusieur</w:t>
      </w:r>
      <w:r w:rsidR="00565334">
        <w:t>s lettres de soutien à sa cause</w:t>
      </w:r>
      <w:r w:rsidR="00E92CDB">
        <w:rPr>
          <w:rStyle w:val="FootnoteReference"/>
        </w:rPr>
        <w:footnoteReference w:id="16"/>
      </w:r>
      <w:r w:rsidR="00565334">
        <w:t>.</w:t>
      </w:r>
    </w:p>
    <w:p w:rsidR="00DC75C5" w:rsidRPr="00916728" w:rsidRDefault="00DC75C5" w:rsidP="00D82B2D">
      <w:pPr>
        <w:pStyle w:val="H23G"/>
        <w:ind w:right="0"/>
        <w:rPr>
          <w:lang w:val="fr-FR"/>
        </w:rPr>
      </w:pPr>
      <w:r w:rsidRPr="00A172E4">
        <w:rPr>
          <w:lang w:val="fr-FR"/>
        </w:rPr>
        <w:tab/>
      </w:r>
      <w:r w:rsidRPr="00A172E4">
        <w:rPr>
          <w:lang w:val="fr-FR"/>
        </w:rPr>
        <w:tab/>
      </w:r>
      <w:r w:rsidRPr="00916728">
        <w:rPr>
          <w:lang w:val="fr-FR"/>
        </w:rPr>
        <w:t>Délibérations du Comité</w:t>
      </w:r>
    </w:p>
    <w:p w:rsidR="00385104" w:rsidRPr="000F3E57" w:rsidRDefault="00A6404A" w:rsidP="00D07AFA">
      <w:pPr>
        <w:pStyle w:val="H4G"/>
        <w:rPr>
          <w:lang w:eastAsia="en-GB"/>
        </w:rPr>
      </w:pPr>
      <w:r w:rsidRPr="000F3E57">
        <w:rPr>
          <w:lang w:eastAsia="en-GB"/>
        </w:rPr>
        <w:tab/>
      </w:r>
      <w:r w:rsidRPr="000F3E57">
        <w:rPr>
          <w:lang w:eastAsia="en-GB"/>
        </w:rPr>
        <w:tab/>
      </w:r>
      <w:r w:rsidR="00385104" w:rsidRPr="000F3E57">
        <w:rPr>
          <w:lang w:eastAsia="en-GB"/>
        </w:rPr>
        <w:t>Respect des mesures provisoires</w:t>
      </w:r>
    </w:p>
    <w:p w:rsidR="00385104" w:rsidRPr="00916728" w:rsidRDefault="00C13DBF" w:rsidP="00D653B7">
      <w:pPr>
        <w:spacing w:after="180"/>
        <w:ind w:left="1134" w:right="1134"/>
        <w:jc w:val="both"/>
        <w:rPr>
          <w:color w:val="000000"/>
          <w:lang w:eastAsia="en-GB"/>
        </w:rPr>
      </w:pPr>
      <w:r w:rsidRPr="00916728">
        <w:rPr>
          <w:color w:val="000000"/>
          <w:lang w:eastAsia="en-GB"/>
        </w:rPr>
        <w:t>7.</w:t>
      </w:r>
      <w:r w:rsidR="00385104" w:rsidRPr="00916728">
        <w:rPr>
          <w:color w:val="000000"/>
          <w:lang w:eastAsia="en-GB"/>
        </w:rPr>
        <w:tab/>
        <w:t>Le Comité prend note de la position de l’</w:t>
      </w:r>
      <w:r w:rsidR="00C02653" w:rsidRPr="00916728">
        <w:rPr>
          <w:color w:val="000000"/>
          <w:lang w:eastAsia="en-GB"/>
        </w:rPr>
        <w:t>État</w:t>
      </w:r>
      <w:r w:rsidR="00385104" w:rsidRPr="00916728">
        <w:rPr>
          <w:color w:val="000000"/>
          <w:lang w:eastAsia="en-GB"/>
        </w:rPr>
        <w:t xml:space="preserve"> partie selon laquelle il dit avoir accepté de surseoir à l’exécution du renvoi de l’auteur, ainsi que son affirmation selon laquelle l’auteur aurait dû se </w:t>
      </w:r>
      <w:r w:rsidR="004A588D" w:rsidRPr="00916728">
        <w:rPr>
          <w:color w:val="000000"/>
          <w:lang w:eastAsia="en-GB"/>
        </w:rPr>
        <w:t>présenter</w:t>
      </w:r>
      <w:r w:rsidR="00385104" w:rsidRPr="00916728">
        <w:rPr>
          <w:color w:val="000000"/>
          <w:lang w:eastAsia="en-GB"/>
        </w:rPr>
        <w:t xml:space="preserve"> à l’aéroport suite à la convocation de l’ASFC en dépit du sursis de son renvoi. </w:t>
      </w:r>
      <w:r w:rsidR="004A588D" w:rsidRPr="00916728">
        <w:rPr>
          <w:color w:val="000000"/>
          <w:lang w:eastAsia="en-GB"/>
        </w:rPr>
        <w:t xml:space="preserve">Le Comité demeure cependant préoccupé par la </w:t>
      </w:r>
      <w:r w:rsidR="00110438" w:rsidRPr="00916728">
        <w:rPr>
          <w:color w:val="000000"/>
          <w:lang w:eastAsia="en-GB"/>
        </w:rPr>
        <w:t>décision</w:t>
      </w:r>
      <w:r w:rsidR="004A588D" w:rsidRPr="00916728">
        <w:rPr>
          <w:color w:val="000000"/>
          <w:lang w:eastAsia="en-GB"/>
        </w:rPr>
        <w:t xml:space="preserve"> </w:t>
      </w:r>
      <w:r w:rsidR="00110438" w:rsidRPr="00916728">
        <w:rPr>
          <w:color w:val="000000"/>
          <w:lang w:eastAsia="en-GB"/>
        </w:rPr>
        <w:t>de la</w:t>
      </w:r>
      <w:r w:rsidR="004A588D" w:rsidRPr="00916728">
        <w:rPr>
          <w:color w:val="000000"/>
          <w:lang w:eastAsia="en-GB"/>
        </w:rPr>
        <w:t xml:space="preserve"> Cour fédérale du Canada</w:t>
      </w:r>
      <w:r w:rsidR="00D85724" w:rsidRPr="00916728">
        <w:rPr>
          <w:color w:val="000000"/>
          <w:lang w:eastAsia="en-GB"/>
        </w:rPr>
        <w:t>,</w:t>
      </w:r>
      <w:r w:rsidR="004A588D" w:rsidRPr="00916728">
        <w:rPr>
          <w:color w:val="000000"/>
          <w:lang w:eastAsia="en-GB"/>
        </w:rPr>
        <w:t xml:space="preserve"> </w:t>
      </w:r>
      <w:r w:rsidR="00110438" w:rsidRPr="00916728">
        <w:rPr>
          <w:color w:val="000000"/>
          <w:lang w:eastAsia="en-GB"/>
        </w:rPr>
        <w:t xml:space="preserve">adoptée </w:t>
      </w:r>
      <w:r w:rsidR="004A588D" w:rsidRPr="00916728">
        <w:rPr>
          <w:color w:val="000000"/>
          <w:lang w:eastAsia="en-GB"/>
        </w:rPr>
        <w:t xml:space="preserve">le 4 juin 2014, </w:t>
      </w:r>
      <w:r w:rsidR="00110438" w:rsidRPr="00916728">
        <w:rPr>
          <w:color w:val="000000"/>
          <w:lang w:eastAsia="en-GB"/>
        </w:rPr>
        <w:t>qui a affirmé que</w:t>
      </w:r>
      <w:r w:rsidR="004A588D" w:rsidRPr="00916728">
        <w:rPr>
          <w:color w:val="000000"/>
          <w:lang w:eastAsia="en-GB"/>
        </w:rPr>
        <w:t xml:space="preserve"> le Canada n’</w:t>
      </w:r>
      <w:r w:rsidR="00110438" w:rsidRPr="00916728">
        <w:rPr>
          <w:color w:val="000000"/>
          <w:lang w:eastAsia="en-GB"/>
        </w:rPr>
        <w:t>était</w:t>
      </w:r>
      <w:r w:rsidR="004A588D" w:rsidRPr="00916728">
        <w:rPr>
          <w:color w:val="000000"/>
          <w:lang w:eastAsia="en-GB"/>
        </w:rPr>
        <w:t xml:space="preserve"> pas lié par les mesures provisoires adoptées par le Comité en faveur de l’auteur. Le Comité rappelle sa position constante, </w:t>
      </w:r>
      <w:r w:rsidR="00110438" w:rsidRPr="00916728">
        <w:rPr>
          <w:color w:val="000000"/>
          <w:lang w:eastAsia="en-GB"/>
        </w:rPr>
        <w:t>selon laquelle</w:t>
      </w:r>
      <w:r w:rsidR="00424533" w:rsidRPr="00916728">
        <w:rPr>
          <w:color w:val="000000"/>
          <w:lang w:eastAsia="en-GB"/>
        </w:rPr>
        <w:t xml:space="preserve"> </w:t>
      </w:r>
      <w:r w:rsidR="004A588D" w:rsidRPr="00916728">
        <w:t>l’</w:t>
      </w:r>
      <w:r w:rsidR="00110438" w:rsidRPr="00916728">
        <w:t>inobservation de</w:t>
      </w:r>
      <w:r w:rsidR="004A588D" w:rsidRPr="00916728">
        <w:t>s mesures provisoires est incompatible avec l’obligation de respecter de bonne foi la procédure d’examen des communications individuelles établie par le Protocole facultatif</w:t>
      </w:r>
      <w:r w:rsidR="004A588D" w:rsidRPr="00916728">
        <w:rPr>
          <w:rStyle w:val="FootnoteReference"/>
        </w:rPr>
        <w:footnoteReference w:id="17"/>
      </w:r>
      <w:r w:rsidR="00424533" w:rsidRPr="00916728">
        <w:t>.</w:t>
      </w:r>
      <w:r w:rsidR="00110438" w:rsidRPr="00916728">
        <w:t xml:space="preserve"> </w:t>
      </w:r>
      <w:r w:rsidR="00F32FF2" w:rsidRPr="00916728">
        <w:t>En outre, le Comité rappelle à l’</w:t>
      </w:r>
      <w:r w:rsidR="00C02653" w:rsidRPr="00916728">
        <w:t>État</w:t>
      </w:r>
      <w:r w:rsidR="00F32FF2" w:rsidRPr="00916728">
        <w:t xml:space="preserve"> partie que ses obligations au titre du Pacte et du Protocole facultatif </w:t>
      </w:r>
      <w:r w:rsidR="00F32FF2" w:rsidRPr="00916728">
        <w:lastRenderedPageBreak/>
        <w:t>s’imposent à l’</w:t>
      </w:r>
      <w:r w:rsidR="00C02653" w:rsidRPr="00916728">
        <w:t>État</w:t>
      </w:r>
      <w:r w:rsidR="00F32FF2" w:rsidRPr="00916728">
        <w:t xml:space="preserve"> partie dans son ensemble, ce qui inclut toutes les branches </w:t>
      </w:r>
      <w:r w:rsidR="00110438" w:rsidRPr="00916728">
        <w:t xml:space="preserve">de son </w:t>
      </w:r>
      <w:r w:rsidR="00F32FF2" w:rsidRPr="00916728">
        <w:t>gouvernement</w:t>
      </w:r>
      <w:r w:rsidR="00F32FF2" w:rsidRPr="00916728">
        <w:rPr>
          <w:rStyle w:val="FootnoteReference"/>
        </w:rPr>
        <w:footnoteReference w:id="18"/>
      </w:r>
      <w:r w:rsidR="00424533" w:rsidRPr="00916728">
        <w:t>.</w:t>
      </w:r>
      <w:r w:rsidR="00F32FF2" w:rsidRPr="00916728">
        <w:t xml:space="preserve"> </w:t>
      </w:r>
    </w:p>
    <w:p w:rsidR="00DC75C5" w:rsidRPr="00916728" w:rsidRDefault="00DC75C5" w:rsidP="00D82B2D">
      <w:pPr>
        <w:pStyle w:val="H4G"/>
        <w:ind w:right="0"/>
        <w:rPr>
          <w:lang w:val="fr-FR"/>
        </w:rPr>
      </w:pPr>
      <w:r w:rsidRPr="00916728">
        <w:tab/>
      </w:r>
      <w:r w:rsidRPr="00916728">
        <w:tab/>
      </w:r>
      <w:r w:rsidRPr="00916728">
        <w:rPr>
          <w:lang w:val="fr-FR"/>
        </w:rPr>
        <w:t>Examen de la recevabilité</w:t>
      </w:r>
    </w:p>
    <w:p w:rsidR="00DC75C5" w:rsidRPr="00916728" w:rsidRDefault="00110438" w:rsidP="006D0742">
      <w:pPr>
        <w:pStyle w:val="SingleTxtG"/>
        <w:ind w:left="1138" w:right="1138"/>
        <w:rPr>
          <w:lang w:val="fr-FR"/>
        </w:rPr>
      </w:pPr>
      <w:r w:rsidRPr="00916728">
        <w:rPr>
          <w:lang w:val="fr-FR"/>
        </w:rPr>
        <w:t>8.1</w:t>
      </w:r>
      <w:r w:rsidR="00DC75C5" w:rsidRPr="00916728">
        <w:rPr>
          <w:lang w:val="fr-FR"/>
        </w:rPr>
        <w:tab/>
        <w:t>Avant d</w:t>
      </w:r>
      <w:r w:rsidR="001B7936" w:rsidRPr="00916728">
        <w:rPr>
          <w:lang w:val="fr-FR"/>
        </w:rPr>
        <w:t>’</w:t>
      </w:r>
      <w:r w:rsidR="00DC75C5" w:rsidRPr="00916728">
        <w:rPr>
          <w:lang w:val="fr-FR"/>
        </w:rPr>
        <w:t>examiner toute plainte soumise dans une communication, le Comité doit, conformément à l</w:t>
      </w:r>
      <w:r w:rsidR="001B7936" w:rsidRPr="00916728">
        <w:rPr>
          <w:lang w:val="fr-FR"/>
        </w:rPr>
        <w:t>’</w:t>
      </w:r>
      <w:r w:rsidR="00DC75C5" w:rsidRPr="00916728">
        <w:rPr>
          <w:lang w:val="fr-FR"/>
        </w:rPr>
        <w:t>article</w:t>
      </w:r>
      <w:r w:rsidR="00C04395" w:rsidRPr="00916728">
        <w:rPr>
          <w:lang w:val="fr-FR"/>
        </w:rPr>
        <w:t> </w:t>
      </w:r>
      <w:r w:rsidR="00DC75C5" w:rsidRPr="00916728">
        <w:rPr>
          <w:lang w:val="fr-FR"/>
        </w:rPr>
        <w:t>93 de son règlement intérieur, déterminer si la communication est recevable en vertu du Protocole fac</w:t>
      </w:r>
      <w:r w:rsidR="00C768C1" w:rsidRPr="00916728">
        <w:rPr>
          <w:lang w:val="fr-FR"/>
        </w:rPr>
        <w:t>ultatif se rapportant au Pacte.</w:t>
      </w:r>
    </w:p>
    <w:p w:rsidR="00DC75C5" w:rsidRPr="00916728" w:rsidRDefault="00110438" w:rsidP="00565334">
      <w:pPr>
        <w:pStyle w:val="SingleTxtG"/>
        <w:rPr>
          <w:lang w:val="fr-FR"/>
        </w:rPr>
      </w:pPr>
      <w:r w:rsidRPr="00916728">
        <w:rPr>
          <w:lang w:val="fr-FR"/>
        </w:rPr>
        <w:t>8.2</w:t>
      </w:r>
      <w:r w:rsidR="00DC75C5" w:rsidRPr="00916728">
        <w:rPr>
          <w:lang w:val="fr-FR"/>
        </w:rPr>
        <w:tab/>
        <w:t>Le Comité s</w:t>
      </w:r>
      <w:r w:rsidR="001B7936" w:rsidRPr="00916728">
        <w:rPr>
          <w:lang w:val="fr-FR"/>
        </w:rPr>
        <w:t>’</w:t>
      </w:r>
      <w:r w:rsidR="00DC75C5" w:rsidRPr="00916728">
        <w:rPr>
          <w:lang w:val="fr-FR"/>
        </w:rPr>
        <w:t>est assuré, comme il est tenu de le faire conformément au paragraphe</w:t>
      </w:r>
      <w:r w:rsidR="00C768C1" w:rsidRPr="00916728">
        <w:rPr>
          <w:lang w:val="fr-FR"/>
        </w:rPr>
        <w:t> </w:t>
      </w:r>
      <w:r w:rsidR="00DC75C5" w:rsidRPr="00916728">
        <w:rPr>
          <w:lang w:val="fr-FR"/>
        </w:rPr>
        <w:t>2</w:t>
      </w:r>
      <w:r w:rsidR="00C768C1" w:rsidRPr="00916728">
        <w:rPr>
          <w:lang w:val="fr-FR"/>
        </w:rPr>
        <w:t> </w:t>
      </w:r>
      <w:r w:rsidR="00DC75C5" w:rsidRPr="00916728">
        <w:rPr>
          <w:lang w:val="fr-FR"/>
        </w:rPr>
        <w:t>a) de l</w:t>
      </w:r>
      <w:r w:rsidR="001B7936" w:rsidRPr="00916728">
        <w:rPr>
          <w:lang w:val="fr-FR"/>
        </w:rPr>
        <w:t>’</w:t>
      </w:r>
      <w:r w:rsidR="00DC75C5" w:rsidRPr="00916728">
        <w:rPr>
          <w:lang w:val="fr-FR"/>
        </w:rPr>
        <w:t>article</w:t>
      </w:r>
      <w:r w:rsidR="00C768C1" w:rsidRPr="00916728">
        <w:rPr>
          <w:lang w:val="fr-FR"/>
        </w:rPr>
        <w:t> </w:t>
      </w:r>
      <w:r w:rsidR="00DC75C5" w:rsidRPr="00916728">
        <w:rPr>
          <w:lang w:val="fr-FR"/>
        </w:rPr>
        <w:t>5 du Protocole facultatif, que la même question n</w:t>
      </w:r>
      <w:r w:rsidR="001B7936" w:rsidRPr="00916728">
        <w:rPr>
          <w:lang w:val="fr-FR"/>
        </w:rPr>
        <w:t>’</w:t>
      </w:r>
      <w:r w:rsidR="00DC75C5" w:rsidRPr="00916728">
        <w:rPr>
          <w:lang w:val="fr-FR"/>
        </w:rPr>
        <w:t>était pas déjà en cours d</w:t>
      </w:r>
      <w:r w:rsidR="001B7936" w:rsidRPr="00916728">
        <w:rPr>
          <w:lang w:val="fr-FR"/>
        </w:rPr>
        <w:t>’</w:t>
      </w:r>
      <w:r w:rsidR="00DC75C5" w:rsidRPr="00916728">
        <w:rPr>
          <w:lang w:val="fr-FR"/>
        </w:rPr>
        <w:t>examen devant une autre instance internationale d</w:t>
      </w:r>
      <w:r w:rsidR="001B7936" w:rsidRPr="00916728">
        <w:rPr>
          <w:lang w:val="fr-FR"/>
        </w:rPr>
        <w:t>’</w:t>
      </w:r>
      <w:r w:rsidR="00DC75C5" w:rsidRPr="00916728">
        <w:rPr>
          <w:lang w:val="fr-FR"/>
        </w:rPr>
        <w:t>enquête ou de règlement.</w:t>
      </w:r>
    </w:p>
    <w:p w:rsidR="00BD2189" w:rsidRPr="00916728" w:rsidRDefault="00110438" w:rsidP="00C02A0D">
      <w:pPr>
        <w:pStyle w:val="SingleTxtG"/>
      </w:pPr>
      <w:r w:rsidRPr="00916728">
        <w:rPr>
          <w:lang w:val="fr-FR"/>
        </w:rPr>
        <w:t>8.3</w:t>
      </w:r>
      <w:r w:rsidR="00BD2189" w:rsidRPr="00916728">
        <w:rPr>
          <w:lang w:val="fr-FR"/>
        </w:rPr>
        <w:tab/>
      </w:r>
      <w:r w:rsidR="00BD2189" w:rsidRPr="00916728">
        <w:t xml:space="preserve">Le Comité note </w:t>
      </w:r>
      <w:r w:rsidR="0028093D" w:rsidRPr="00916728">
        <w:t>que l’auteur s’est prévalu de nombreux recours administratifs et judiciaires, et que rien ne s’oppose actuellement à son renvoi au Tchad.</w:t>
      </w:r>
      <w:r w:rsidR="00BD2189" w:rsidRPr="00916728">
        <w:t xml:space="preserve"> </w:t>
      </w:r>
      <w:r w:rsidR="0028093D" w:rsidRPr="00916728">
        <w:t>Par ailleurs, l’</w:t>
      </w:r>
      <w:r w:rsidR="00C02653" w:rsidRPr="00916728">
        <w:t>État</w:t>
      </w:r>
      <w:r w:rsidR="0028093D" w:rsidRPr="00916728">
        <w:t xml:space="preserve"> partie n’a pas </w:t>
      </w:r>
      <w:r w:rsidR="00170FFA" w:rsidRPr="00916728">
        <w:t>mis en cause le fait que</w:t>
      </w:r>
      <w:r w:rsidR="0028093D" w:rsidRPr="00916728">
        <w:t xml:space="preserve"> les recours internes aient été épuisés.</w:t>
      </w:r>
      <w:r w:rsidR="00BD2189" w:rsidRPr="00916728">
        <w:t xml:space="preserve"> En conséquence, le Comité considère que les conditions énoncées au paragraphe 2 b) de l’article 5 du Protocole facultatif ont été remplies.</w:t>
      </w:r>
    </w:p>
    <w:p w:rsidR="00802605" w:rsidRDefault="00110438" w:rsidP="00D653B7">
      <w:pPr>
        <w:pStyle w:val="SingleTxtG"/>
        <w:rPr>
          <w:lang w:val="fr-FR"/>
        </w:rPr>
      </w:pPr>
      <w:r w:rsidRPr="00916728">
        <w:rPr>
          <w:lang w:val="fr-FR"/>
        </w:rPr>
        <w:t>8.4</w:t>
      </w:r>
      <w:r w:rsidR="00DC75C5" w:rsidRPr="00916728">
        <w:rPr>
          <w:lang w:val="fr-FR"/>
        </w:rPr>
        <w:tab/>
      </w:r>
      <w:r w:rsidR="00802605" w:rsidRPr="00916728">
        <w:rPr>
          <w:lang w:val="fr-FR"/>
        </w:rPr>
        <w:t xml:space="preserve">En ce qui concerne le grief que l’auteur tire de l’article 2 du Pacte concernant la décision </w:t>
      </w:r>
      <w:r w:rsidR="00BE4042" w:rsidRPr="00916728">
        <w:rPr>
          <w:lang w:val="fr-FR"/>
        </w:rPr>
        <w:t>relative à son e</w:t>
      </w:r>
      <w:r w:rsidR="00802605" w:rsidRPr="00916728">
        <w:rPr>
          <w:lang w:val="fr-FR"/>
        </w:rPr>
        <w:t xml:space="preserve">xpulsion, le Comité </w:t>
      </w:r>
      <w:r w:rsidR="00ED6B6A" w:rsidRPr="00916728">
        <w:t xml:space="preserve">rappelle que </w:t>
      </w:r>
      <w:r w:rsidR="00193C5E" w:rsidRPr="00916728">
        <w:t xml:space="preserve">cette disposition ne peut </w:t>
      </w:r>
      <w:r w:rsidR="00ED6B6A" w:rsidRPr="00916728">
        <w:t>être invoqué</w:t>
      </w:r>
      <w:r w:rsidR="00193C5E" w:rsidRPr="00916728">
        <w:t>e</w:t>
      </w:r>
      <w:r w:rsidR="00ED6B6A" w:rsidRPr="00916728">
        <w:t xml:space="preserve"> de façon indépendante</w:t>
      </w:r>
      <w:r w:rsidR="00ED6B6A" w:rsidRPr="00916728">
        <w:rPr>
          <w:rStyle w:val="FootnoteReference"/>
        </w:rPr>
        <w:footnoteReference w:id="19"/>
      </w:r>
      <w:r w:rsidR="00ED6B6A">
        <w:t xml:space="preserve"> </w:t>
      </w:r>
      <w:r w:rsidR="00BE4042">
        <w:t>et</w:t>
      </w:r>
      <w:r w:rsidR="00802605" w:rsidRPr="009B24D3">
        <w:rPr>
          <w:lang w:val="fr-FR"/>
        </w:rPr>
        <w:t xml:space="preserve"> considère donc </w:t>
      </w:r>
      <w:r w:rsidR="00ED6B6A">
        <w:rPr>
          <w:lang w:val="fr-FR"/>
        </w:rPr>
        <w:t xml:space="preserve">cette partie de la communication irrecevable au titre de l’article 2 </w:t>
      </w:r>
      <w:r w:rsidR="00802605" w:rsidRPr="009B24D3">
        <w:rPr>
          <w:lang w:val="fr-FR"/>
        </w:rPr>
        <w:t>du Protocole facultatif.</w:t>
      </w:r>
    </w:p>
    <w:p w:rsidR="00DC75C5" w:rsidRPr="004436F4" w:rsidRDefault="00110438" w:rsidP="00565334">
      <w:pPr>
        <w:pStyle w:val="SingleTxtG"/>
      </w:pPr>
      <w:r>
        <w:rPr>
          <w:lang w:val="fr-FR"/>
        </w:rPr>
        <w:t>8.5</w:t>
      </w:r>
      <w:r w:rsidR="004436F4">
        <w:tab/>
      </w:r>
      <w:r w:rsidR="004436F4" w:rsidRPr="001557AC">
        <w:t xml:space="preserve">Le Comité note également les griefs </w:t>
      </w:r>
      <w:r w:rsidR="00A903B7">
        <w:t xml:space="preserve">tirés </w:t>
      </w:r>
      <w:r w:rsidR="004436F4" w:rsidRPr="001557AC">
        <w:t xml:space="preserve">de </w:t>
      </w:r>
      <w:r w:rsidR="00BC4BAE">
        <w:t xml:space="preserve">la </w:t>
      </w:r>
      <w:r w:rsidR="004436F4" w:rsidRPr="001557AC">
        <w:t>violation</w:t>
      </w:r>
      <w:r w:rsidR="00A903B7">
        <w:t xml:space="preserve"> alléguée</w:t>
      </w:r>
      <w:r w:rsidR="004436F4" w:rsidRPr="001557AC">
        <w:t xml:space="preserve"> de l’</w:t>
      </w:r>
      <w:r w:rsidR="00770EB4">
        <w:t>article </w:t>
      </w:r>
      <w:r w:rsidR="004436F4" w:rsidRPr="001557AC">
        <w:t>6</w:t>
      </w:r>
      <w:r w:rsidR="007D7033">
        <w:t>,</w:t>
      </w:r>
      <w:r w:rsidR="004436F4" w:rsidRPr="001557AC">
        <w:t xml:space="preserve"> mais considère que l’auteur ne les a pas suffisamment étayés aux fins de la receva</w:t>
      </w:r>
      <w:r w:rsidR="004D4E7F">
        <w:t xml:space="preserve">bilité. En conséquence, le Comité </w:t>
      </w:r>
      <w:r w:rsidR="004436F4" w:rsidRPr="001557AC">
        <w:t xml:space="preserve">déclare </w:t>
      </w:r>
      <w:r w:rsidR="004D4E7F">
        <w:t xml:space="preserve">également </w:t>
      </w:r>
      <w:r w:rsidR="004436F4" w:rsidRPr="001557AC">
        <w:t>cette partie de la communication irrecevable en vertu de l’</w:t>
      </w:r>
      <w:r w:rsidR="00770EB4">
        <w:t>article </w:t>
      </w:r>
      <w:r w:rsidR="004436F4" w:rsidRPr="001557AC">
        <w:t>2 du Protocole facultatif.</w:t>
      </w:r>
    </w:p>
    <w:p w:rsidR="00D72432" w:rsidRPr="0028423A" w:rsidRDefault="00110438">
      <w:pPr>
        <w:pStyle w:val="SingleTxtG"/>
        <w:rPr>
          <w:b/>
          <w:lang w:val="fr-FR"/>
        </w:rPr>
      </w:pPr>
      <w:r>
        <w:rPr>
          <w:lang w:val="fr-FR"/>
        </w:rPr>
        <w:t>8.6</w:t>
      </w:r>
      <w:r w:rsidR="00D72432" w:rsidRPr="0028423A">
        <w:rPr>
          <w:lang w:val="fr-FR"/>
        </w:rPr>
        <w:tab/>
        <w:t xml:space="preserve">De la même manière, le Comité est d’avis que </w:t>
      </w:r>
      <w:r w:rsidR="00D3650D" w:rsidRPr="0028423A">
        <w:rPr>
          <w:lang w:val="fr-FR"/>
        </w:rPr>
        <w:t>l’auteur</w:t>
      </w:r>
      <w:r w:rsidR="00D72432" w:rsidRPr="0028423A">
        <w:rPr>
          <w:lang w:val="fr-FR"/>
        </w:rPr>
        <w:t xml:space="preserve"> n’a pas suffisamment étayé </w:t>
      </w:r>
      <w:r w:rsidR="007D7033">
        <w:rPr>
          <w:lang w:val="fr-FR"/>
        </w:rPr>
        <w:t>le grief tiré de</w:t>
      </w:r>
      <w:r w:rsidR="00D72432" w:rsidRPr="0028423A">
        <w:rPr>
          <w:lang w:val="fr-FR"/>
        </w:rPr>
        <w:t xml:space="preserve"> l’</w:t>
      </w:r>
      <w:r w:rsidR="00770EB4">
        <w:rPr>
          <w:lang w:val="fr-FR"/>
        </w:rPr>
        <w:t>article </w:t>
      </w:r>
      <w:r w:rsidR="00D72432" w:rsidRPr="0028423A">
        <w:rPr>
          <w:lang w:val="fr-FR"/>
        </w:rPr>
        <w:t>13 du Pacte, aux fins de la recevabilité</w:t>
      </w:r>
      <w:r w:rsidR="00D3650D" w:rsidRPr="0028423A">
        <w:rPr>
          <w:lang w:val="fr-FR"/>
        </w:rPr>
        <w:t xml:space="preserve">, </w:t>
      </w:r>
      <w:r w:rsidR="00D3650D" w:rsidRPr="0028423A">
        <w:rPr>
          <w:color w:val="000000"/>
        </w:rPr>
        <w:t xml:space="preserve">concernant son allégation </w:t>
      </w:r>
      <w:r w:rsidR="0028423A">
        <w:rPr>
          <w:color w:val="000000"/>
        </w:rPr>
        <w:t>qu’il n’a pu faire</w:t>
      </w:r>
      <w:r w:rsidR="0028423A" w:rsidRPr="0028423A">
        <w:rPr>
          <w:lang w:val="fr-FR"/>
        </w:rPr>
        <w:t xml:space="preserve"> valoir les raisons </w:t>
      </w:r>
      <w:r w:rsidR="0028423A">
        <w:rPr>
          <w:lang w:val="fr-FR"/>
        </w:rPr>
        <w:t>militant</w:t>
      </w:r>
      <w:r w:rsidR="0028423A" w:rsidRPr="007B1151">
        <w:rPr>
          <w:lang w:val="fr-FR"/>
        </w:rPr>
        <w:t xml:space="preserve"> contre son expulsion et faire examiner son cas par une autorité compétente.</w:t>
      </w:r>
      <w:r w:rsidR="004A1901">
        <w:rPr>
          <w:lang w:val="fr-FR"/>
        </w:rPr>
        <w:t xml:space="preserve"> </w:t>
      </w:r>
      <w:r w:rsidR="0028423A" w:rsidRPr="0028423A">
        <w:rPr>
          <w:lang w:val="fr-FR"/>
        </w:rPr>
        <w:t>L</w:t>
      </w:r>
      <w:r w:rsidR="00D3650D" w:rsidRPr="0028423A">
        <w:rPr>
          <w:color w:val="000000"/>
        </w:rPr>
        <w:t xml:space="preserve">e Comité </w:t>
      </w:r>
      <w:r w:rsidR="0028423A">
        <w:rPr>
          <w:color w:val="000000"/>
        </w:rPr>
        <w:t xml:space="preserve">prend note de </w:t>
      </w:r>
      <w:r w:rsidR="00D3650D" w:rsidRPr="0028423A">
        <w:rPr>
          <w:color w:val="000000"/>
        </w:rPr>
        <w:t xml:space="preserve">l’argumentation de l’État partie selon laquelle la procédure </w:t>
      </w:r>
      <w:r w:rsidR="0028423A">
        <w:rPr>
          <w:color w:val="000000"/>
        </w:rPr>
        <w:t>d’asile concernant l’auteur</w:t>
      </w:r>
      <w:r w:rsidR="00D3650D" w:rsidRPr="0028423A">
        <w:rPr>
          <w:color w:val="000000"/>
        </w:rPr>
        <w:t xml:space="preserve"> a été conduite conformément à la loi</w:t>
      </w:r>
      <w:r w:rsidR="0028423A">
        <w:rPr>
          <w:color w:val="000000"/>
        </w:rPr>
        <w:t xml:space="preserve"> et que ce dernier a pu bénéficier de tous les recours prévus par la </w:t>
      </w:r>
      <w:r w:rsidR="00FB4A74">
        <w:rPr>
          <w:lang w:val="fr-FR"/>
        </w:rPr>
        <w:t>loi sur l’immigration et la protection des réfugiés</w:t>
      </w:r>
      <w:r w:rsidR="00D3650D" w:rsidRPr="0028423A">
        <w:rPr>
          <w:color w:val="000000"/>
        </w:rPr>
        <w:t>. L</w:t>
      </w:r>
      <w:r w:rsidR="007D7033">
        <w:rPr>
          <w:color w:val="000000"/>
        </w:rPr>
        <w:t>e Comité relève que l</w:t>
      </w:r>
      <w:r w:rsidR="00D3650D" w:rsidRPr="0028423A">
        <w:rPr>
          <w:color w:val="000000"/>
        </w:rPr>
        <w:t xml:space="preserve">’auteur a eu la possibilité de soumettre et de contester des moyens de preuve concernant son </w:t>
      </w:r>
      <w:r w:rsidR="0028423A">
        <w:rPr>
          <w:color w:val="000000"/>
        </w:rPr>
        <w:t>renvoi</w:t>
      </w:r>
      <w:r w:rsidR="00D3650D" w:rsidRPr="0028423A">
        <w:rPr>
          <w:color w:val="000000"/>
        </w:rPr>
        <w:t xml:space="preserve">, </w:t>
      </w:r>
      <w:r w:rsidR="0028423A">
        <w:rPr>
          <w:color w:val="000000"/>
        </w:rPr>
        <w:t>et</w:t>
      </w:r>
      <w:r w:rsidR="00D3650D" w:rsidRPr="0028423A">
        <w:rPr>
          <w:color w:val="000000"/>
        </w:rPr>
        <w:t xml:space="preserve"> s’est prévalu de la possibilité, en droit interne, de faire réexaminer </w:t>
      </w:r>
      <w:r w:rsidR="0028423A">
        <w:rPr>
          <w:color w:val="000000"/>
        </w:rPr>
        <w:t>sa demande d’asile</w:t>
      </w:r>
      <w:r w:rsidR="00D3650D" w:rsidRPr="0028423A">
        <w:rPr>
          <w:color w:val="000000"/>
        </w:rPr>
        <w:t xml:space="preserve"> à plusieurs reprises par les autorités compétentes, comme la </w:t>
      </w:r>
      <w:r w:rsidR="0028423A">
        <w:rPr>
          <w:color w:val="000000"/>
        </w:rPr>
        <w:t>SPR</w:t>
      </w:r>
      <w:r w:rsidR="00A357BB">
        <w:rPr>
          <w:color w:val="000000"/>
        </w:rPr>
        <w:t xml:space="preserve"> et</w:t>
      </w:r>
      <w:r w:rsidR="00D3650D" w:rsidRPr="0028423A">
        <w:rPr>
          <w:color w:val="000000"/>
        </w:rPr>
        <w:t xml:space="preserve"> la</w:t>
      </w:r>
      <w:r w:rsidR="0028423A">
        <w:rPr>
          <w:color w:val="000000"/>
        </w:rPr>
        <w:t xml:space="preserve"> </w:t>
      </w:r>
      <w:r w:rsidR="00B67457">
        <w:rPr>
          <w:color w:val="000000"/>
        </w:rPr>
        <w:t>C</w:t>
      </w:r>
      <w:r w:rsidR="0028423A">
        <w:rPr>
          <w:color w:val="000000"/>
        </w:rPr>
        <w:t xml:space="preserve">our fédérale, ainsi que </w:t>
      </w:r>
      <w:r w:rsidR="0028423A" w:rsidRPr="00A357BB">
        <w:rPr>
          <w:color w:val="000000"/>
        </w:rPr>
        <w:t>les</w:t>
      </w:r>
      <w:r w:rsidR="0028423A">
        <w:rPr>
          <w:color w:val="000000"/>
        </w:rPr>
        <w:t xml:space="preserve"> procédures administratives de l’</w:t>
      </w:r>
      <w:r w:rsidR="005A5A41" w:rsidRPr="00E57131">
        <w:t>examen des risques avant renvoi</w:t>
      </w:r>
      <w:r w:rsidR="0028423A">
        <w:rPr>
          <w:color w:val="000000"/>
        </w:rPr>
        <w:t xml:space="preserve"> et de l’examen des considération humanitaires.</w:t>
      </w:r>
      <w:r w:rsidR="00D3650D" w:rsidRPr="0028423A">
        <w:rPr>
          <w:color w:val="000000"/>
        </w:rPr>
        <w:t xml:space="preserve"> Le Comité considère par conséquent que l’auteur n’a pas étayé, aux fins de la recevabilité, cette pa</w:t>
      </w:r>
      <w:r w:rsidR="0028423A">
        <w:rPr>
          <w:color w:val="000000"/>
        </w:rPr>
        <w:t>rtie de sa communication qui doit</w:t>
      </w:r>
      <w:r w:rsidR="00D3650D" w:rsidRPr="0028423A">
        <w:rPr>
          <w:color w:val="000000"/>
        </w:rPr>
        <w:t xml:space="preserve"> donc </w:t>
      </w:r>
      <w:r w:rsidR="0028423A">
        <w:rPr>
          <w:color w:val="000000"/>
        </w:rPr>
        <w:t xml:space="preserve">être déclarée </w:t>
      </w:r>
      <w:r w:rsidR="00D3650D" w:rsidRPr="0028423A">
        <w:rPr>
          <w:color w:val="000000"/>
        </w:rPr>
        <w:t>irrecevable en vertu de l’article 2 du Protocole facultatif</w:t>
      </w:r>
      <w:r w:rsidR="0028423A">
        <w:rPr>
          <w:color w:val="000000"/>
        </w:rPr>
        <w:t xml:space="preserve">. </w:t>
      </w:r>
    </w:p>
    <w:p w:rsidR="00D72432" w:rsidRPr="008758A7" w:rsidRDefault="00110438" w:rsidP="00565334">
      <w:pPr>
        <w:pStyle w:val="SingleTxtG"/>
        <w:rPr>
          <w:lang w:val="fr-FR"/>
        </w:rPr>
      </w:pPr>
      <w:r>
        <w:rPr>
          <w:lang w:val="fr-FR"/>
        </w:rPr>
        <w:t>8.7</w:t>
      </w:r>
      <w:r w:rsidR="00D72432">
        <w:rPr>
          <w:lang w:val="fr-FR"/>
        </w:rPr>
        <w:tab/>
      </w:r>
      <w:r w:rsidR="00D72432" w:rsidRPr="00873871">
        <w:t xml:space="preserve">Le Comité note que l’État partie conteste la recevabilité de la communication au motif que l’auteur n’a pas étayé les griefs qu’il tire de </w:t>
      </w:r>
      <w:r w:rsidR="00D72432" w:rsidRPr="00A63BFA">
        <w:rPr>
          <w:lang w:val="fr-FR"/>
        </w:rPr>
        <w:t>l</w:t>
      </w:r>
      <w:r w:rsidR="00D72432">
        <w:rPr>
          <w:lang w:val="fr-FR"/>
        </w:rPr>
        <w:t>’</w:t>
      </w:r>
      <w:r w:rsidR="00D72432" w:rsidRPr="00A63BFA">
        <w:rPr>
          <w:lang w:val="fr-FR"/>
        </w:rPr>
        <w:t>article</w:t>
      </w:r>
      <w:r w:rsidR="00D72432" w:rsidRPr="00873871">
        <w:t> 7 du Pacte</w:t>
      </w:r>
      <w:r w:rsidR="00D72432" w:rsidRPr="00A63BFA">
        <w:rPr>
          <w:lang w:val="fr-FR"/>
        </w:rPr>
        <w:t xml:space="preserve">. </w:t>
      </w:r>
      <w:r w:rsidR="00873871" w:rsidRPr="0084775D">
        <w:rPr>
          <w:lang w:val="fr-FR"/>
        </w:rPr>
        <w:t>Le Comité considère cependant que l</w:t>
      </w:r>
      <w:r w:rsidR="00873871">
        <w:rPr>
          <w:lang w:val="fr-FR"/>
        </w:rPr>
        <w:t xml:space="preserve">es </w:t>
      </w:r>
      <w:r w:rsidR="00873871" w:rsidRPr="0084775D">
        <w:rPr>
          <w:lang w:val="fr-FR"/>
        </w:rPr>
        <w:t>argument</w:t>
      </w:r>
      <w:r w:rsidR="00873871">
        <w:rPr>
          <w:lang w:val="fr-FR"/>
        </w:rPr>
        <w:t>s</w:t>
      </w:r>
      <w:r w:rsidR="00873871" w:rsidRPr="0084775D">
        <w:rPr>
          <w:lang w:val="fr-FR"/>
        </w:rPr>
        <w:t xml:space="preserve"> invoqué</w:t>
      </w:r>
      <w:r w:rsidR="00873871">
        <w:rPr>
          <w:lang w:val="fr-FR"/>
        </w:rPr>
        <w:t>s</w:t>
      </w:r>
      <w:r w:rsidR="00873871" w:rsidRPr="0084775D">
        <w:rPr>
          <w:lang w:val="fr-FR"/>
        </w:rPr>
        <w:t xml:space="preserve"> par l</w:t>
      </w:r>
      <w:r w:rsidR="00873871">
        <w:rPr>
          <w:lang w:val="fr-FR"/>
        </w:rPr>
        <w:t>’</w:t>
      </w:r>
      <w:r w:rsidR="00873871" w:rsidRPr="0084775D">
        <w:rPr>
          <w:lang w:val="fr-FR"/>
        </w:rPr>
        <w:t>État partie à l</w:t>
      </w:r>
      <w:r w:rsidR="00873871">
        <w:rPr>
          <w:lang w:val="fr-FR"/>
        </w:rPr>
        <w:t>’</w:t>
      </w:r>
      <w:r w:rsidR="00873871" w:rsidRPr="0084775D">
        <w:rPr>
          <w:lang w:val="fr-FR"/>
        </w:rPr>
        <w:t xml:space="preserve">appui de la non-recevabilité </w:t>
      </w:r>
      <w:r w:rsidR="00873871">
        <w:rPr>
          <w:lang w:val="fr-FR"/>
        </w:rPr>
        <w:t>sont</w:t>
      </w:r>
      <w:r w:rsidR="00873871" w:rsidRPr="0084775D">
        <w:rPr>
          <w:lang w:val="fr-FR"/>
        </w:rPr>
        <w:t xml:space="preserve"> intimement lié</w:t>
      </w:r>
      <w:r w:rsidR="00873871">
        <w:rPr>
          <w:lang w:val="fr-FR"/>
        </w:rPr>
        <w:t>s</w:t>
      </w:r>
      <w:r w:rsidR="00873871" w:rsidRPr="0084775D">
        <w:rPr>
          <w:lang w:val="fr-FR"/>
        </w:rPr>
        <w:t xml:space="preserve"> au fond de l</w:t>
      </w:r>
      <w:r w:rsidR="00873871">
        <w:rPr>
          <w:lang w:val="fr-FR"/>
        </w:rPr>
        <w:t>’</w:t>
      </w:r>
      <w:r w:rsidR="00873871" w:rsidRPr="0084775D">
        <w:rPr>
          <w:lang w:val="fr-FR"/>
        </w:rPr>
        <w:t>affaire</w:t>
      </w:r>
      <w:r w:rsidR="00873871">
        <w:rPr>
          <w:lang w:val="fr-FR"/>
        </w:rPr>
        <w:t>,</w:t>
      </w:r>
      <w:r w:rsidR="00873871" w:rsidRPr="0084775D">
        <w:rPr>
          <w:lang w:val="fr-FR"/>
        </w:rPr>
        <w:t xml:space="preserve"> et devrai</w:t>
      </w:r>
      <w:r w:rsidR="00873871">
        <w:rPr>
          <w:lang w:val="fr-FR"/>
        </w:rPr>
        <w:t>en</w:t>
      </w:r>
      <w:r w:rsidR="00873871" w:rsidRPr="0084775D">
        <w:rPr>
          <w:lang w:val="fr-FR"/>
        </w:rPr>
        <w:t>t donc être examiné</w:t>
      </w:r>
      <w:r w:rsidR="00873871">
        <w:rPr>
          <w:lang w:val="fr-FR"/>
        </w:rPr>
        <w:t>s</w:t>
      </w:r>
      <w:r w:rsidR="00873871" w:rsidRPr="0084775D">
        <w:rPr>
          <w:lang w:val="fr-FR"/>
        </w:rPr>
        <w:t xml:space="preserve"> à ce stade.</w:t>
      </w:r>
    </w:p>
    <w:p w:rsidR="00DC75C5" w:rsidRPr="00916728" w:rsidRDefault="00DC75C5" w:rsidP="00D07AFA">
      <w:pPr>
        <w:pStyle w:val="H4G"/>
        <w:rPr>
          <w:lang w:val="fr-FR"/>
        </w:rPr>
      </w:pPr>
      <w:r w:rsidRPr="00A172E4">
        <w:rPr>
          <w:lang w:val="fr-FR"/>
        </w:rPr>
        <w:lastRenderedPageBreak/>
        <w:tab/>
      </w:r>
      <w:r w:rsidRPr="00A172E4">
        <w:rPr>
          <w:lang w:val="fr-FR"/>
        </w:rPr>
        <w:tab/>
      </w:r>
      <w:r w:rsidRPr="00916728">
        <w:t>Examen</w:t>
      </w:r>
      <w:r w:rsidRPr="00916728">
        <w:rPr>
          <w:lang w:val="fr-FR"/>
        </w:rPr>
        <w:t xml:space="preserve"> au fond</w:t>
      </w:r>
    </w:p>
    <w:p w:rsidR="00DC75C5" w:rsidRPr="00916728" w:rsidRDefault="00110438" w:rsidP="006D0742">
      <w:pPr>
        <w:pStyle w:val="SingleTxtG"/>
        <w:rPr>
          <w:lang w:val="fr-FR"/>
        </w:rPr>
      </w:pPr>
      <w:r w:rsidRPr="00916728">
        <w:rPr>
          <w:lang w:val="fr-FR"/>
        </w:rPr>
        <w:t>9.1</w:t>
      </w:r>
      <w:r w:rsidR="00DC75C5" w:rsidRPr="00916728">
        <w:rPr>
          <w:lang w:val="fr-FR"/>
        </w:rPr>
        <w:tab/>
        <w:t>Conformément au paragraphe</w:t>
      </w:r>
      <w:r w:rsidR="00C768C1" w:rsidRPr="00916728">
        <w:rPr>
          <w:lang w:val="fr-FR"/>
        </w:rPr>
        <w:t> </w:t>
      </w:r>
      <w:r w:rsidR="00DC75C5" w:rsidRPr="00916728">
        <w:rPr>
          <w:lang w:val="fr-FR"/>
        </w:rPr>
        <w:t>1 de l</w:t>
      </w:r>
      <w:r w:rsidR="001B7936" w:rsidRPr="00916728">
        <w:rPr>
          <w:lang w:val="fr-FR"/>
        </w:rPr>
        <w:t>’</w:t>
      </w:r>
      <w:r w:rsidR="00DC75C5" w:rsidRPr="00916728">
        <w:rPr>
          <w:lang w:val="fr-FR"/>
        </w:rPr>
        <w:t>article</w:t>
      </w:r>
      <w:r w:rsidR="00C768C1" w:rsidRPr="00916728">
        <w:rPr>
          <w:lang w:val="fr-FR"/>
        </w:rPr>
        <w:t> </w:t>
      </w:r>
      <w:r w:rsidR="00DC75C5" w:rsidRPr="00916728">
        <w:rPr>
          <w:lang w:val="fr-FR"/>
        </w:rPr>
        <w:t xml:space="preserve">5 du Protocole facultatif, le Comité a examiné la communication en tenant compte de toutes les informations que lui ont communiquées les parties. </w:t>
      </w:r>
    </w:p>
    <w:p w:rsidR="00DC75C5" w:rsidRPr="00916728" w:rsidRDefault="00110438" w:rsidP="00D653B7">
      <w:pPr>
        <w:pStyle w:val="SingleTxtG"/>
        <w:rPr>
          <w:lang w:val="fr-FR"/>
        </w:rPr>
      </w:pPr>
      <w:r w:rsidRPr="00916728">
        <w:rPr>
          <w:lang w:val="fr-FR"/>
        </w:rPr>
        <w:t>9.2</w:t>
      </w:r>
      <w:r w:rsidR="00C75025" w:rsidRPr="00916728">
        <w:rPr>
          <w:lang w:val="fr-FR"/>
        </w:rPr>
        <w:tab/>
      </w:r>
      <w:r w:rsidR="00DC75C5" w:rsidRPr="00916728">
        <w:rPr>
          <w:lang w:val="fr-FR"/>
        </w:rPr>
        <w:t>Le Comité prend note du grief de l</w:t>
      </w:r>
      <w:r w:rsidR="001B7936" w:rsidRPr="00916728">
        <w:rPr>
          <w:lang w:val="fr-FR"/>
        </w:rPr>
        <w:t>’</w:t>
      </w:r>
      <w:r w:rsidR="00DC75C5" w:rsidRPr="00916728">
        <w:rPr>
          <w:lang w:val="fr-FR"/>
        </w:rPr>
        <w:t xml:space="preserve">auteur qui affirme que son expulsion du Canada vers </w:t>
      </w:r>
      <w:r w:rsidR="00DB3A0A" w:rsidRPr="00916728">
        <w:rPr>
          <w:lang w:val="fr-FR"/>
        </w:rPr>
        <w:t>le Tchad l’exposerait</w:t>
      </w:r>
      <w:r w:rsidR="00DC75C5" w:rsidRPr="00916728">
        <w:rPr>
          <w:lang w:val="fr-FR"/>
        </w:rPr>
        <w:t xml:space="preserve"> à un risque de préjud</w:t>
      </w:r>
      <w:r w:rsidR="007D7033" w:rsidRPr="00916728">
        <w:rPr>
          <w:lang w:val="fr-FR"/>
        </w:rPr>
        <w:t xml:space="preserve">ice irréparable en violation </w:t>
      </w:r>
      <w:r w:rsidR="00DC75C5" w:rsidRPr="00916728">
        <w:rPr>
          <w:lang w:val="fr-FR"/>
        </w:rPr>
        <w:t>de l</w:t>
      </w:r>
      <w:r w:rsidR="001B7936" w:rsidRPr="00916728">
        <w:rPr>
          <w:lang w:val="fr-FR"/>
        </w:rPr>
        <w:t>’</w:t>
      </w:r>
      <w:r w:rsidR="00DC75C5" w:rsidRPr="00916728">
        <w:rPr>
          <w:lang w:val="fr-FR"/>
        </w:rPr>
        <w:t>article</w:t>
      </w:r>
      <w:r w:rsidR="00C768C1" w:rsidRPr="00916728">
        <w:rPr>
          <w:lang w:val="fr-FR"/>
        </w:rPr>
        <w:t> </w:t>
      </w:r>
      <w:r w:rsidR="00DC75C5" w:rsidRPr="00916728">
        <w:rPr>
          <w:lang w:val="fr-FR"/>
        </w:rPr>
        <w:t>7 du Pacte. Il prend note de l</w:t>
      </w:r>
      <w:r w:rsidR="001B7936" w:rsidRPr="00916728">
        <w:rPr>
          <w:lang w:val="fr-FR"/>
        </w:rPr>
        <w:t>’</w:t>
      </w:r>
      <w:r w:rsidR="00DC75C5" w:rsidRPr="00916728">
        <w:rPr>
          <w:lang w:val="fr-FR"/>
        </w:rPr>
        <w:t>argument de l</w:t>
      </w:r>
      <w:r w:rsidR="001B7936" w:rsidRPr="00916728">
        <w:rPr>
          <w:lang w:val="fr-FR"/>
        </w:rPr>
        <w:t>’</w:t>
      </w:r>
      <w:r w:rsidR="00DC75C5" w:rsidRPr="00916728">
        <w:rPr>
          <w:lang w:val="fr-FR"/>
        </w:rPr>
        <w:t>État</w:t>
      </w:r>
      <w:r w:rsidR="007D4277" w:rsidRPr="00916728">
        <w:rPr>
          <w:lang w:val="fr-FR"/>
        </w:rPr>
        <w:t xml:space="preserve"> </w:t>
      </w:r>
      <w:r w:rsidR="00DC75C5" w:rsidRPr="00916728">
        <w:rPr>
          <w:lang w:val="fr-FR"/>
        </w:rPr>
        <w:t>partie qui fait valoir que les allégations de l</w:t>
      </w:r>
      <w:r w:rsidR="001B7936" w:rsidRPr="00916728">
        <w:rPr>
          <w:lang w:val="fr-FR"/>
        </w:rPr>
        <w:t>’</w:t>
      </w:r>
      <w:r w:rsidR="00DC75C5" w:rsidRPr="00916728">
        <w:rPr>
          <w:lang w:val="fr-FR"/>
        </w:rPr>
        <w:t xml:space="preserve">auteur sont en grande partie à caractère spéculatif, </w:t>
      </w:r>
      <w:r w:rsidR="00DB3A0A" w:rsidRPr="00916728">
        <w:rPr>
          <w:lang w:val="fr-FR"/>
        </w:rPr>
        <w:t xml:space="preserve">que l’auteur a été débouté par les différentes instances canadiennes ayant entendu sa cause, en raison d’incohérences, de manque de crédibilité et d’un manque de preuve objective qui établirait qu’il encourt un tel risque. </w:t>
      </w:r>
    </w:p>
    <w:p w:rsidR="000E7F42" w:rsidRPr="00916728" w:rsidRDefault="00110438" w:rsidP="00AF0D96">
      <w:pPr>
        <w:pStyle w:val="SingleTxtG"/>
      </w:pPr>
      <w:r w:rsidRPr="00916728">
        <w:rPr>
          <w:lang w:val="fr-FR"/>
        </w:rPr>
        <w:t>9.3</w:t>
      </w:r>
      <w:r w:rsidR="00DC75C5" w:rsidRPr="00916728">
        <w:rPr>
          <w:lang w:val="fr-FR"/>
        </w:rPr>
        <w:tab/>
      </w:r>
      <w:r w:rsidR="000E7F42" w:rsidRPr="00916728">
        <w:t>Le Comité considère qu’il convient de tenir compte de l’obligation qui incombe à l’État partie en vertu du paragraphe 1 de l’article 2 du Pacte de garantir à tous les individus se trouvant sur son territoire et relevant de sa compétence les droits reconnus dans le Pacte, y compris dans l’application des procédures d’expulsion de non-nationaux</w:t>
      </w:r>
      <w:r w:rsidR="000E7F42" w:rsidRPr="00916728">
        <w:rPr>
          <w:rStyle w:val="FootnoteReference"/>
        </w:rPr>
        <w:footnoteReference w:id="20"/>
      </w:r>
      <w:r w:rsidR="000E7F42" w:rsidRPr="00916728">
        <w:t>. Il rappelle également l’obligation qui est faite aux États parties de ne pas extrader, déplacer ou expulser une personne de leur territoire ou la transférer par d’autres moyens si cette mesure a pour conséquence nécessaire et prévisible d’exposer la personne concernée à un risque réel de préjudice irréparable, tel que les traitements visés à l’article 7 du Pacte, que ce soit dans le pays vers lequel doit être effectué le renvoi ou dans tout autre pays vers lequel la personne pourrait être renvoyée par la suite</w:t>
      </w:r>
      <w:r w:rsidR="000E7F42" w:rsidRPr="00916728">
        <w:rPr>
          <w:rStyle w:val="FootnoteReference"/>
        </w:rPr>
        <w:footnoteReference w:id="21"/>
      </w:r>
      <w:r w:rsidR="000E7F42" w:rsidRPr="00916728">
        <w:t>. Le Comité a établi qu’un tel risque doit être personnel</w:t>
      </w:r>
      <w:r w:rsidR="000E7F42" w:rsidRPr="00916728">
        <w:rPr>
          <w:rStyle w:val="FootnoteReference"/>
        </w:rPr>
        <w:footnoteReference w:id="22"/>
      </w:r>
      <w:r w:rsidR="000E7F42" w:rsidRPr="00916728">
        <w:t xml:space="preserve"> et qu’il faut des motifs sérieux de conclure à l’existence d’un risque réel de préjudice irréparable</w:t>
      </w:r>
      <w:r w:rsidR="000E7F42" w:rsidRPr="00916728">
        <w:rPr>
          <w:rStyle w:val="FootnoteReference"/>
        </w:rPr>
        <w:footnoteReference w:id="23"/>
      </w:r>
      <w:r w:rsidR="000E7F42" w:rsidRPr="00916728">
        <w:t xml:space="preserve">. C’est pourquoi tous les faits et circonstances pertinents doivent être pris en considération, </w:t>
      </w:r>
      <w:r w:rsidR="00AF0D96" w:rsidRPr="00916728">
        <w:t xml:space="preserve">notamment </w:t>
      </w:r>
      <w:r w:rsidR="000E7F42" w:rsidRPr="00916728">
        <w:t>la situation générale des droits de l’homme dans le pays d’origine de l’auteur</w:t>
      </w:r>
      <w:r w:rsidR="000E7F42" w:rsidRPr="00916728">
        <w:rPr>
          <w:rStyle w:val="FootnoteReference"/>
        </w:rPr>
        <w:footnoteReference w:id="24"/>
      </w:r>
      <w:r w:rsidR="000E7F42" w:rsidRPr="00916728">
        <w:t>.</w:t>
      </w:r>
    </w:p>
    <w:p w:rsidR="00B422BF" w:rsidRDefault="00110438" w:rsidP="009721A0">
      <w:pPr>
        <w:pStyle w:val="SingleTxtG"/>
        <w:ind w:left="1138" w:right="1138"/>
        <w:rPr>
          <w:lang w:val="fr-FR"/>
        </w:rPr>
      </w:pPr>
      <w:r w:rsidRPr="00916728">
        <w:t>9.4</w:t>
      </w:r>
      <w:r w:rsidR="000E7F42" w:rsidRPr="00916728">
        <w:tab/>
        <w:t>Le Comité rappelle sa jurisprudence et réaffirme que</w:t>
      </w:r>
      <w:r w:rsidR="00D7104E" w:rsidRPr="00916728">
        <w:t xml:space="preserve"> </w:t>
      </w:r>
      <w:r w:rsidR="000E7F42" w:rsidRPr="00916728">
        <w:t xml:space="preserve">c’est généralement aux </w:t>
      </w:r>
      <w:r w:rsidR="009721A0" w:rsidRPr="00916728">
        <w:t xml:space="preserve">juridictions d’appel </w:t>
      </w:r>
      <w:r w:rsidR="000E7F42" w:rsidRPr="00916728">
        <w:t>des États parties au Pacte qu’il appartient d’apprécier les faits et les éléments de preuve dans un cas d’espèce, sauf s’il peut être établi que cette appréciation a été manifestement arbitraire ou a représenté un déni de justice</w:t>
      </w:r>
      <w:r w:rsidR="000E7F42" w:rsidRPr="00916728">
        <w:rPr>
          <w:rStyle w:val="FootnoteReference"/>
        </w:rPr>
        <w:footnoteReference w:id="25"/>
      </w:r>
      <w:r w:rsidR="000E7F42" w:rsidRPr="00916728">
        <w:t>.</w:t>
      </w:r>
    </w:p>
    <w:p w:rsidR="00D83D45" w:rsidRDefault="00110438" w:rsidP="00D653B7">
      <w:pPr>
        <w:pStyle w:val="SingleTxtG"/>
        <w:rPr>
          <w:lang w:val="fr-FR"/>
        </w:rPr>
      </w:pPr>
      <w:r>
        <w:rPr>
          <w:lang w:val="fr-FR"/>
        </w:rPr>
        <w:t>9.5</w:t>
      </w:r>
      <w:r w:rsidR="00DC75C5" w:rsidRPr="00A172E4">
        <w:rPr>
          <w:lang w:val="fr-FR"/>
        </w:rPr>
        <w:tab/>
      </w:r>
      <w:r w:rsidR="0089304E" w:rsidRPr="0042673F">
        <w:t>Le Comité constate que la demande de stat</w:t>
      </w:r>
      <w:r w:rsidR="001B2E21">
        <w:t>ut de réfugié présentée par l’auteur</w:t>
      </w:r>
      <w:r w:rsidR="0089304E" w:rsidRPr="0042673F">
        <w:t xml:space="preserve"> a été soigneusement évaluée par les autorités de l’État partie, qui ont conclu que les déclarations de </w:t>
      </w:r>
      <w:r w:rsidR="001B2E21">
        <w:t>l’auteur</w:t>
      </w:r>
      <w:r w:rsidR="0089304E" w:rsidRPr="0042673F">
        <w:t xml:space="preserve"> concernant le motif de </w:t>
      </w:r>
      <w:r w:rsidR="001B2E21">
        <w:t>s</w:t>
      </w:r>
      <w:r w:rsidR="0089304E" w:rsidRPr="0042673F">
        <w:t>a demande et le compte rendu des événeme</w:t>
      </w:r>
      <w:r w:rsidR="001B2E21">
        <w:t xml:space="preserve">nts qui étaient à l’origine de sa fuite du Tchad </w:t>
      </w:r>
      <w:r w:rsidR="0089304E" w:rsidRPr="0042673F">
        <w:t>n’étaient pas crédibles</w:t>
      </w:r>
      <w:r w:rsidR="00D83D45">
        <w:t>. L</w:t>
      </w:r>
      <w:r w:rsidR="00D83D45" w:rsidRPr="0066544D">
        <w:rPr>
          <w:lang w:val="fr-FR"/>
        </w:rPr>
        <w:t xml:space="preserve">a SPR </w:t>
      </w:r>
      <w:r w:rsidR="00D83D45">
        <w:rPr>
          <w:lang w:val="fr-FR"/>
        </w:rPr>
        <w:t>a</w:t>
      </w:r>
      <w:r w:rsidR="002C7B8F">
        <w:rPr>
          <w:lang w:val="fr-FR"/>
        </w:rPr>
        <w:t xml:space="preserve"> </w:t>
      </w:r>
      <w:r w:rsidR="00D83D45" w:rsidRPr="0066544D">
        <w:rPr>
          <w:lang w:val="fr-FR"/>
        </w:rPr>
        <w:t xml:space="preserve">jugé </w:t>
      </w:r>
      <w:r w:rsidR="00D83D45">
        <w:rPr>
          <w:lang w:val="fr-FR"/>
        </w:rPr>
        <w:t xml:space="preserve">non crédible </w:t>
      </w:r>
      <w:r w:rsidR="00D83D45" w:rsidRPr="0066544D">
        <w:rPr>
          <w:lang w:val="fr-FR"/>
        </w:rPr>
        <w:t>le témoignage de l’auteur</w:t>
      </w:r>
      <w:r w:rsidR="00D83D45">
        <w:rPr>
          <w:lang w:val="fr-FR"/>
        </w:rPr>
        <w:t>, notamment eu égard</w:t>
      </w:r>
      <w:r w:rsidR="00D83D45" w:rsidRPr="0066544D">
        <w:rPr>
          <w:lang w:val="fr-FR"/>
        </w:rPr>
        <w:t xml:space="preserve"> </w:t>
      </w:r>
      <w:r w:rsidR="00D83D45">
        <w:rPr>
          <w:lang w:val="fr-FR"/>
        </w:rPr>
        <w:t>à la présentation d’une carte de membre</w:t>
      </w:r>
      <w:r w:rsidR="002C7B8F">
        <w:rPr>
          <w:lang w:val="fr-FR"/>
        </w:rPr>
        <w:t xml:space="preserve"> </w:t>
      </w:r>
      <w:r w:rsidR="00D83D45">
        <w:rPr>
          <w:lang w:val="fr-FR"/>
        </w:rPr>
        <w:t>de</w:t>
      </w:r>
      <w:r w:rsidR="00D83D45" w:rsidRPr="0066544D">
        <w:rPr>
          <w:lang w:val="fr-FR"/>
        </w:rPr>
        <w:t xml:space="preserve"> l’Association pour la </w:t>
      </w:r>
      <w:r w:rsidR="00F63B31">
        <w:rPr>
          <w:lang w:val="fr-FR"/>
        </w:rPr>
        <w:t>p</w:t>
      </w:r>
      <w:r w:rsidR="00D83D45" w:rsidRPr="0066544D">
        <w:rPr>
          <w:lang w:val="fr-FR"/>
        </w:rPr>
        <w:t xml:space="preserve">romotion des </w:t>
      </w:r>
      <w:r w:rsidR="00F63B31">
        <w:rPr>
          <w:lang w:val="fr-FR"/>
        </w:rPr>
        <w:t>l</w:t>
      </w:r>
      <w:r w:rsidR="00D83D45" w:rsidRPr="0066544D">
        <w:rPr>
          <w:lang w:val="fr-FR"/>
        </w:rPr>
        <w:t>ibertés</w:t>
      </w:r>
      <w:r w:rsidR="00D83D45" w:rsidRPr="0066544D">
        <w:rPr>
          <w:b/>
          <w:lang w:val="fr-FR"/>
        </w:rPr>
        <w:t xml:space="preserve"> </w:t>
      </w:r>
      <w:r w:rsidR="00F63B31">
        <w:rPr>
          <w:lang w:val="fr-FR"/>
        </w:rPr>
        <w:t>f</w:t>
      </w:r>
      <w:r w:rsidR="00D83D45" w:rsidRPr="0066544D">
        <w:rPr>
          <w:lang w:val="fr-FR"/>
        </w:rPr>
        <w:t xml:space="preserve">ondamentales au Tchad </w:t>
      </w:r>
      <w:r w:rsidR="00D83D45">
        <w:rPr>
          <w:lang w:val="fr-FR"/>
        </w:rPr>
        <w:t>qu’elle a évalué comme étant</w:t>
      </w:r>
      <w:r w:rsidR="002C7B8F">
        <w:rPr>
          <w:lang w:val="fr-FR"/>
        </w:rPr>
        <w:t xml:space="preserve"> </w:t>
      </w:r>
      <w:r w:rsidR="00D83D45">
        <w:rPr>
          <w:lang w:val="fr-FR"/>
        </w:rPr>
        <w:t xml:space="preserve">un faux. </w:t>
      </w:r>
      <w:r w:rsidR="00985637">
        <w:rPr>
          <w:lang w:val="fr-FR"/>
        </w:rPr>
        <w:t xml:space="preserve">L’auteur n’a fourni aucune explication à cet égard, mis à part </w:t>
      </w:r>
      <w:r w:rsidR="004E0B57">
        <w:rPr>
          <w:lang w:val="fr-FR"/>
        </w:rPr>
        <w:t xml:space="preserve">sa référence à des « contradictions » dans son témoignage lors de son arrivée au Canada </w:t>
      </w:r>
      <w:r w:rsidR="004E0B57" w:rsidRPr="00916728">
        <w:rPr>
          <w:lang w:val="fr-FR"/>
        </w:rPr>
        <w:t>(par.</w:t>
      </w:r>
      <w:r w:rsidR="00032941" w:rsidRPr="00916728">
        <w:rPr>
          <w:lang w:val="fr-FR"/>
        </w:rPr>
        <w:t> </w:t>
      </w:r>
      <w:r w:rsidR="004E0B57" w:rsidRPr="00916728">
        <w:rPr>
          <w:lang w:val="fr-FR"/>
        </w:rPr>
        <w:t xml:space="preserve">5.2). </w:t>
      </w:r>
      <w:r w:rsidR="00D83D45" w:rsidRPr="00916728">
        <w:rPr>
          <w:lang w:val="fr-FR"/>
        </w:rPr>
        <w:t>E</w:t>
      </w:r>
      <w:r w:rsidR="00D83D45">
        <w:rPr>
          <w:lang w:val="fr-FR"/>
        </w:rPr>
        <w:t xml:space="preserve">n outre, la SPR a relevé une contradiction majeure dans le récit de l’auteur, qui </w:t>
      </w:r>
      <w:r w:rsidR="00D83D45" w:rsidRPr="0066544D">
        <w:rPr>
          <w:lang w:val="fr-FR"/>
        </w:rPr>
        <w:t xml:space="preserve">a </w:t>
      </w:r>
      <w:r w:rsidR="00D83D45">
        <w:rPr>
          <w:lang w:val="fr-FR"/>
        </w:rPr>
        <w:t xml:space="preserve">dans un premier temps </w:t>
      </w:r>
      <w:r w:rsidR="00D83D45" w:rsidRPr="0066544D">
        <w:rPr>
          <w:lang w:val="fr-FR"/>
        </w:rPr>
        <w:t>affirmé n’avoir jamais été arrêté, accusé ou détenu</w:t>
      </w:r>
      <w:r w:rsidR="00D83D45">
        <w:rPr>
          <w:lang w:val="fr-FR"/>
        </w:rPr>
        <w:t>,</w:t>
      </w:r>
      <w:r w:rsidR="00D83D45" w:rsidRPr="0066544D">
        <w:rPr>
          <w:lang w:val="fr-FR"/>
        </w:rPr>
        <w:t xml:space="preserve"> </w:t>
      </w:r>
      <w:r w:rsidR="00D83D45">
        <w:rPr>
          <w:lang w:val="fr-FR"/>
        </w:rPr>
        <w:t xml:space="preserve">puis est revenu </w:t>
      </w:r>
      <w:r w:rsidR="00D83D45">
        <w:rPr>
          <w:lang w:val="fr-FR"/>
        </w:rPr>
        <w:lastRenderedPageBreak/>
        <w:t>sur ces allégations en soutenant, comme il l’a fait devant le Comité</w:t>
      </w:r>
      <w:r w:rsidR="00D83D45" w:rsidRPr="0066544D">
        <w:rPr>
          <w:lang w:val="fr-FR"/>
        </w:rPr>
        <w:t xml:space="preserve">, </w:t>
      </w:r>
      <w:r w:rsidR="00D83D45">
        <w:rPr>
          <w:lang w:val="fr-FR"/>
        </w:rPr>
        <w:t>qu’</w:t>
      </w:r>
      <w:r w:rsidR="00D83D45" w:rsidRPr="0066544D">
        <w:rPr>
          <w:lang w:val="fr-FR"/>
        </w:rPr>
        <w:t>il a</w:t>
      </w:r>
      <w:r w:rsidR="00BC4BAE">
        <w:rPr>
          <w:lang w:val="fr-FR"/>
        </w:rPr>
        <w:t>vait</w:t>
      </w:r>
      <w:r w:rsidR="00D83D45">
        <w:rPr>
          <w:lang w:val="fr-FR"/>
        </w:rPr>
        <w:t xml:space="preserve"> été arrêté </w:t>
      </w:r>
      <w:r w:rsidR="00D83D45" w:rsidRPr="0066544D">
        <w:rPr>
          <w:lang w:val="fr-FR"/>
        </w:rPr>
        <w:t>puis détenu quatre jours</w:t>
      </w:r>
      <w:r w:rsidR="00D83D45">
        <w:rPr>
          <w:lang w:val="fr-FR"/>
        </w:rPr>
        <w:t xml:space="preserve"> durant</w:t>
      </w:r>
      <w:r w:rsidR="002C7B8F">
        <w:rPr>
          <w:lang w:val="fr-FR"/>
        </w:rPr>
        <w:t xml:space="preserve"> </w:t>
      </w:r>
      <w:r w:rsidR="00D83D45" w:rsidRPr="0066544D">
        <w:rPr>
          <w:lang w:val="fr-FR"/>
        </w:rPr>
        <w:t>en mars 2008</w:t>
      </w:r>
      <w:r w:rsidR="00D83D45">
        <w:rPr>
          <w:lang w:val="fr-FR"/>
        </w:rPr>
        <w:t xml:space="preserve"> par des agents de </w:t>
      </w:r>
      <w:r w:rsidR="00D83D45" w:rsidRPr="002159D5">
        <w:rPr>
          <w:lang w:val="fr-FR"/>
        </w:rPr>
        <w:t>l’Agence nationale de sécurité</w:t>
      </w:r>
      <w:r w:rsidR="00D83D45" w:rsidRPr="002667C5">
        <w:rPr>
          <w:lang w:val="fr-FR"/>
        </w:rPr>
        <w:t>.</w:t>
      </w:r>
      <w:r w:rsidR="00D83D45" w:rsidRPr="0066544D">
        <w:rPr>
          <w:lang w:val="fr-FR"/>
        </w:rPr>
        <w:t xml:space="preserve"> En outre, ses allégations selon lesquelles il serait toujours recherché aujourd’hui </w:t>
      </w:r>
      <w:r w:rsidR="00D83D45">
        <w:rPr>
          <w:lang w:val="fr-FR"/>
        </w:rPr>
        <w:t>par les agents qui l’auraient</w:t>
      </w:r>
      <w:r w:rsidR="00D83D45" w:rsidRPr="0066544D">
        <w:rPr>
          <w:lang w:val="fr-FR"/>
        </w:rPr>
        <w:t xml:space="preserve"> libéré en 2008 </w:t>
      </w:r>
      <w:r w:rsidR="00D83D45">
        <w:rPr>
          <w:lang w:val="fr-FR"/>
        </w:rPr>
        <w:t>on</w:t>
      </w:r>
      <w:r w:rsidR="00D83D45" w:rsidRPr="0066544D">
        <w:rPr>
          <w:lang w:val="fr-FR"/>
        </w:rPr>
        <w:t xml:space="preserve">t </w:t>
      </w:r>
      <w:r w:rsidR="00D83D45">
        <w:rPr>
          <w:lang w:val="fr-FR"/>
        </w:rPr>
        <w:t xml:space="preserve">été jugées </w:t>
      </w:r>
      <w:r w:rsidR="00D83D45" w:rsidRPr="0066544D">
        <w:rPr>
          <w:lang w:val="fr-FR"/>
        </w:rPr>
        <w:t xml:space="preserve">invraisemblables. </w:t>
      </w:r>
    </w:p>
    <w:p w:rsidR="00A02533" w:rsidRPr="00916728" w:rsidRDefault="00110438">
      <w:pPr>
        <w:pStyle w:val="SingleTxtG"/>
      </w:pPr>
      <w:r>
        <w:rPr>
          <w:lang w:val="fr-FR"/>
        </w:rPr>
        <w:t>9.6</w:t>
      </w:r>
      <w:r w:rsidR="00D83D45">
        <w:rPr>
          <w:lang w:val="fr-FR"/>
        </w:rPr>
        <w:tab/>
        <w:t>Le Comité ne voit pas de raison de contester les conclusions de l’</w:t>
      </w:r>
      <w:r w:rsidR="00C02653">
        <w:rPr>
          <w:lang w:val="fr-FR"/>
        </w:rPr>
        <w:t>État</w:t>
      </w:r>
      <w:r w:rsidR="00D83D45">
        <w:rPr>
          <w:lang w:val="fr-FR"/>
        </w:rPr>
        <w:t xml:space="preserve"> partie, l’auteur </w:t>
      </w:r>
      <w:r w:rsidR="00A02533">
        <w:rPr>
          <w:lang w:val="fr-FR"/>
        </w:rPr>
        <w:t xml:space="preserve">n’ayant pas mis </w:t>
      </w:r>
      <w:r w:rsidR="00A02533" w:rsidRPr="0042673F">
        <w:t>en évidence une irrégularité quelconque dans le processus de prise de décisions</w:t>
      </w:r>
      <w:r w:rsidR="00A02533">
        <w:t>,</w:t>
      </w:r>
      <w:r w:rsidR="00A02533" w:rsidRPr="0042673F">
        <w:t xml:space="preserve"> ni un facteur de risque qui n’aurait pas été suffisamment pris en compte par les autorités de l’État partie.</w:t>
      </w:r>
      <w:r w:rsidR="00A02533">
        <w:t xml:space="preserve"> </w:t>
      </w:r>
      <w:r w:rsidR="00A02533">
        <w:rPr>
          <w:lang w:val="fr-FR"/>
        </w:rPr>
        <w:t>L’auteur n’a pas pu démontrer</w:t>
      </w:r>
      <w:r w:rsidR="00D83D45">
        <w:rPr>
          <w:lang w:val="fr-FR"/>
        </w:rPr>
        <w:t xml:space="preserve"> que les décisions adoptées dans son cas aient été manifestement déraisonnables, ou teintées d’irrégularité ou </w:t>
      </w:r>
      <w:r w:rsidR="00D83D45" w:rsidRPr="00A357BB">
        <w:rPr>
          <w:lang w:val="fr-FR"/>
        </w:rPr>
        <w:t>d’arbitraire</w:t>
      </w:r>
      <w:r w:rsidR="00D83D45">
        <w:rPr>
          <w:lang w:val="fr-FR"/>
        </w:rPr>
        <w:t xml:space="preserve">. </w:t>
      </w:r>
      <w:r w:rsidR="00D83D45" w:rsidRPr="0066544D">
        <w:rPr>
          <w:lang w:val="fr-FR"/>
        </w:rPr>
        <w:t>En outre,</w:t>
      </w:r>
      <w:r w:rsidR="00D83D45">
        <w:rPr>
          <w:lang w:val="fr-FR"/>
        </w:rPr>
        <w:t xml:space="preserve"> le Comité est d’avis que</w:t>
      </w:r>
      <w:r w:rsidR="00D83D45" w:rsidRPr="0066544D">
        <w:rPr>
          <w:lang w:val="fr-FR"/>
        </w:rPr>
        <w:t xml:space="preserve"> les</w:t>
      </w:r>
      <w:r w:rsidR="00D83D45">
        <w:rPr>
          <w:lang w:val="fr-FR"/>
        </w:rPr>
        <w:t xml:space="preserve"> nombreuses</w:t>
      </w:r>
      <w:r w:rsidR="00D83D45" w:rsidRPr="0066544D">
        <w:rPr>
          <w:lang w:val="fr-FR"/>
        </w:rPr>
        <w:t xml:space="preserve"> preuves </w:t>
      </w:r>
      <w:r w:rsidR="00D83D45">
        <w:rPr>
          <w:lang w:val="fr-FR"/>
        </w:rPr>
        <w:t xml:space="preserve">documentaires </w:t>
      </w:r>
      <w:r w:rsidR="00D83D45" w:rsidRPr="0066544D">
        <w:rPr>
          <w:lang w:val="fr-FR"/>
        </w:rPr>
        <w:t>et témoignages que l’auteur a présentés</w:t>
      </w:r>
      <w:r w:rsidR="00D83D45">
        <w:rPr>
          <w:lang w:val="fr-FR"/>
        </w:rPr>
        <w:t>,</w:t>
      </w:r>
      <w:r w:rsidR="00D83D45" w:rsidRPr="0066544D">
        <w:rPr>
          <w:lang w:val="fr-FR"/>
        </w:rPr>
        <w:t xml:space="preserve"> tant devant les juridictions nationales que devant le Comité, </w:t>
      </w:r>
      <w:r w:rsidR="00D83D45">
        <w:rPr>
          <w:lang w:val="fr-FR"/>
        </w:rPr>
        <w:t>s</w:t>
      </w:r>
      <w:r w:rsidR="00BC4BAE">
        <w:rPr>
          <w:lang w:val="fr-FR"/>
        </w:rPr>
        <w:t xml:space="preserve">’ils </w:t>
      </w:r>
      <w:r w:rsidR="00D83D45" w:rsidRPr="0066544D">
        <w:rPr>
          <w:lang w:val="fr-FR"/>
        </w:rPr>
        <w:t xml:space="preserve">dénotent indubitablement une situation préoccupante </w:t>
      </w:r>
      <w:bookmarkStart w:id="1" w:name="_GoBack"/>
      <w:bookmarkEnd w:id="1"/>
      <w:r w:rsidR="00D83D45" w:rsidRPr="0066544D">
        <w:rPr>
          <w:lang w:val="fr-FR"/>
        </w:rPr>
        <w:t>au Tchad</w:t>
      </w:r>
      <w:r w:rsidR="00697ABD">
        <w:rPr>
          <w:rStyle w:val="FootnoteReference"/>
        </w:rPr>
        <w:footnoteReference w:id="26"/>
      </w:r>
      <w:r w:rsidR="00565334">
        <w:rPr>
          <w:lang w:val="fr-FR"/>
        </w:rPr>
        <w:t>,</w:t>
      </w:r>
      <w:r w:rsidR="00D83D45" w:rsidRPr="0066544D">
        <w:rPr>
          <w:lang w:val="fr-FR"/>
        </w:rPr>
        <w:t xml:space="preserve"> </w:t>
      </w:r>
      <w:r w:rsidR="00D83D45">
        <w:rPr>
          <w:lang w:val="fr-FR"/>
        </w:rPr>
        <w:t>n’</w:t>
      </w:r>
      <w:r w:rsidR="00D83D45" w:rsidRPr="0066544D">
        <w:rPr>
          <w:lang w:val="fr-FR"/>
        </w:rPr>
        <w:t xml:space="preserve">ont </w:t>
      </w:r>
      <w:r w:rsidR="00D83D45">
        <w:rPr>
          <w:lang w:val="fr-FR"/>
        </w:rPr>
        <w:t>pour autant</w:t>
      </w:r>
      <w:r w:rsidR="00D83D45" w:rsidRPr="0066544D">
        <w:rPr>
          <w:lang w:val="fr-FR"/>
        </w:rPr>
        <w:t xml:space="preserve"> </w:t>
      </w:r>
      <w:r w:rsidR="00BC4BAE">
        <w:rPr>
          <w:lang w:val="fr-FR"/>
        </w:rPr>
        <w:t xml:space="preserve">pas mis </w:t>
      </w:r>
      <w:r w:rsidR="00D83D45" w:rsidRPr="0066544D">
        <w:rPr>
          <w:lang w:val="fr-FR"/>
        </w:rPr>
        <w:t xml:space="preserve">en </w:t>
      </w:r>
      <w:r w:rsidR="002F0DD5">
        <w:rPr>
          <w:lang w:val="fr-FR"/>
        </w:rPr>
        <w:t xml:space="preserve">évidence </w:t>
      </w:r>
      <w:r w:rsidR="00D83D45" w:rsidRPr="0066544D">
        <w:rPr>
          <w:lang w:val="fr-FR"/>
        </w:rPr>
        <w:t>un risque personnel</w:t>
      </w:r>
      <w:r w:rsidR="00D83D45" w:rsidRPr="0066544D">
        <w:rPr>
          <w:rStyle w:val="FootnoteReference"/>
          <w:sz w:val="20"/>
          <w:lang w:val="fr-FR"/>
        </w:rPr>
        <w:footnoteReference w:id="27"/>
      </w:r>
      <w:r w:rsidR="00D83D45" w:rsidRPr="0066544D">
        <w:rPr>
          <w:lang w:val="fr-FR"/>
        </w:rPr>
        <w:t xml:space="preserve">, </w:t>
      </w:r>
      <w:r w:rsidR="00BC4BAE" w:rsidRPr="00916728">
        <w:rPr>
          <w:lang w:val="fr-FR"/>
        </w:rPr>
        <w:t xml:space="preserve">ni </w:t>
      </w:r>
      <w:r w:rsidR="00D83D45" w:rsidRPr="00916728">
        <w:rPr>
          <w:lang w:val="fr-FR"/>
        </w:rPr>
        <w:t>des motifs sérieux de conclure à l’existence d’un risque réel de préjudice irréparable à son égard en cas de renvoi forcé vers le Tchad</w:t>
      </w:r>
      <w:r w:rsidR="00D83D45" w:rsidRPr="00916728">
        <w:rPr>
          <w:rStyle w:val="FootnoteReference"/>
          <w:sz w:val="20"/>
          <w:lang w:val="fr-FR"/>
        </w:rPr>
        <w:footnoteReference w:id="28"/>
      </w:r>
      <w:r w:rsidR="00D83D45" w:rsidRPr="00916728">
        <w:rPr>
          <w:lang w:val="fr-FR"/>
        </w:rPr>
        <w:t>.</w:t>
      </w:r>
    </w:p>
    <w:p w:rsidR="00DC75C5" w:rsidRPr="00916728" w:rsidRDefault="0020427C" w:rsidP="0020427C">
      <w:pPr>
        <w:pStyle w:val="SingleTxtG"/>
        <w:rPr>
          <w:lang w:val="fr-FR"/>
        </w:rPr>
      </w:pPr>
      <w:r w:rsidRPr="00916728">
        <w:rPr>
          <w:lang w:val="fr-FR"/>
        </w:rPr>
        <w:t>9.7</w:t>
      </w:r>
      <w:r w:rsidRPr="00916728">
        <w:rPr>
          <w:lang w:val="fr-FR"/>
        </w:rPr>
        <w:tab/>
      </w:r>
      <w:r w:rsidR="00DC75C5" w:rsidRPr="00916728">
        <w:rPr>
          <w:lang w:val="fr-FR"/>
        </w:rPr>
        <w:t>Le Comité conclut donc que l</w:t>
      </w:r>
      <w:r w:rsidR="001B7936" w:rsidRPr="00916728">
        <w:rPr>
          <w:lang w:val="fr-FR"/>
        </w:rPr>
        <w:t>’</w:t>
      </w:r>
      <w:r w:rsidR="00DC75C5" w:rsidRPr="00916728">
        <w:rPr>
          <w:lang w:val="fr-FR"/>
        </w:rPr>
        <w:t>expulsion de l</w:t>
      </w:r>
      <w:r w:rsidR="001B7936" w:rsidRPr="00916728">
        <w:rPr>
          <w:lang w:val="fr-FR"/>
        </w:rPr>
        <w:t>’</w:t>
      </w:r>
      <w:r w:rsidR="00DC75C5" w:rsidRPr="00916728">
        <w:rPr>
          <w:lang w:val="fr-FR"/>
        </w:rPr>
        <w:t>auteur ver</w:t>
      </w:r>
      <w:r w:rsidR="00B422BF" w:rsidRPr="00916728">
        <w:rPr>
          <w:lang w:val="fr-FR"/>
        </w:rPr>
        <w:t xml:space="preserve">s le Tchad ne constituerait pas </w:t>
      </w:r>
      <w:r w:rsidR="007D7033" w:rsidRPr="00916728">
        <w:rPr>
          <w:lang w:val="fr-FR"/>
        </w:rPr>
        <w:t xml:space="preserve">une </w:t>
      </w:r>
      <w:r w:rsidR="00DC75C5" w:rsidRPr="00916728">
        <w:rPr>
          <w:lang w:val="fr-FR"/>
        </w:rPr>
        <w:t>violation de l</w:t>
      </w:r>
      <w:r w:rsidR="001B7936" w:rsidRPr="00916728">
        <w:rPr>
          <w:lang w:val="fr-FR"/>
        </w:rPr>
        <w:t>’</w:t>
      </w:r>
      <w:r w:rsidR="008122E2" w:rsidRPr="00916728">
        <w:rPr>
          <w:lang w:val="fr-FR"/>
        </w:rPr>
        <w:t>article </w:t>
      </w:r>
      <w:r w:rsidR="00DC75C5" w:rsidRPr="00916728">
        <w:rPr>
          <w:lang w:val="fr-FR"/>
        </w:rPr>
        <w:t xml:space="preserve">7 du Pacte. </w:t>
      </w:r>
    </w:p>
    <w:p w:rsidR="00DC75C5" w:rsidRDefault="00110438" w:rsidP="006D0742">
      <w:pPr>
        <w:pStyle w:val="SingleTxtG"/>
        <w:rPr>
          <w:lang w:val="fr-FR"/>
        </w:rPr>
      </w:pPr>
      <w:r w:rsidRPr="00916728">
        <w:rPr>
          <w:lang w:val="fr-FR"/>
        </w:rPr>
        <w:t>10.</w:t>
      </w:r>
      <w:r w:rsidR="00DC75C5" w:rsidRPr="00916728">
        <w:rPr>
          <w:lang w:val="fr-FR"/>
        </w:rPr>
        <w:tab/>
      </w:r>
      <w:r w:rsidR="00B96B4F" w:rsidRPr="00916728">
        <w:rPr>
          <w:lang w:val="fr-FR"/>
        </w:rPr>
        <w:t>Le Comité, agissant en vertu du paragraphe 4 de l’article 5 du</w:t>
      </w:r>
      <w:r w:rsidR="00032941" w:rsidRPr="00916728">
        <w:rPr>
          <w:lang w:val="fr-FR"/>
        </w:rPr>
        <w:t xml:space="preserve"> </w:t>
      </w:r>
      <w:r w:rsidR="00B96B4F" w:rsidRPr="00916728">
        <w:rPr>
          <w:lang w:val="fr-FR"/>
        </w:rPr>
        <w:t>Protocole facultatif se rapportant au Pacte, constate que le renvoi de</w:t>
      </w:r>
      <w:r w:rsidR="00B96B4F" w:rsidRPr="00DA4F01">
        <w:rPr>
          <w:lang w:val="fr-FR"/>
        </w:rPr>
        <w:t xml:space="preserve"> l</w:t>
      </w:r>
      <w:r w:rsidR="00B96B4F">
        <w:rPr>
          <w:lang w:val="fr-FR"/>
        </w:rPr>
        <w:t>’</w:t>
      </w:r>
      <w:r w:rsidR="00B96B4F" w:rsidRPr="00DA4F01">
        <w:rPr>
          <w:lang w:val="fr-FR"/>
        </w:rPr>
        <w:t xml:space="preserve">auteur au </w:t>
      </w:r>
      <w:r w:rsidR="00B96B4F">
        <w:rPr>
          <w:lang w:val="fr-FR"/>
        </w:rPr>
        <w:t xml:space="preserve">Tchad </w:t>
      </w:r>
      <w:r w:rsidR="00B96B4F" w:rsidRPr="00DA4F01">
        <w:rPr>
          <w:lang w:val="fr-FR"/>
        </w:rPr>
        <w:t>ne constituerait pas une violation de</w:t>
      </w:r>
      <w:r w:rsidR="000B3B44">
        <w:rPr>
          <w:lang w:val="fr-FR"/>
        </w:rPr>
        <w:t xml:space="preserve"> se</w:t>
      </w:r>
      <w:r w:rsidR="00B96B4F" w:rsidRPr="00DA4F01">
        <w:rPr>
          <w:lang w:val="fr-FR"/>
        </w:rPr>
        <w:t xml:space="preserve">s droits garantis par </w:t>
      </w:r>
      <w:r w:rsidR="00B96B4F">
        <w:rPr>
          <w:lang w:val="fr-FR"/>
        </w:rPr>
        <w:t>l’article</w:t>
      </w:r>
      <w:r w:rsidR="00872465">
        <w:rPr>
          <w:lang w:val="fr-FR"/>
        </w:rPr>
        <w:t> </w:t>
      </w:r>
      <w:r w:rsidR="00B96B4F">
        <w:rPr>
          <w:lang w:val="fr-FR"/>
        </w:rPr>
        <w:t xml:space="preserve">7 </w:t>
      </w:r>
      <w:r w:rsidR="00B96B4F" w:rsidRPr="00DA4F01">
        <w:rPr>
          <w:lang w:val="fr-FR"/>
        </w:rPr>
        <w:t>du Pacte.</w:t>
      </w:r>
    </w:p>
    <w:p w:rsidR="00F75464" w:rsidRPr="00F75464" w:rsidRDefault="00F75464" w:rsidP="00F75464">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F75464" w:rsidRPr="00F75464" w:rsidSect="00247E12">
      <w:headerReference w:type="even" r:id="rId11"/>
      <w:headerReference w:type="default" r:id="rId12"/>
      <w:footerReference w:type="even" r:id="rId13"/>
      <w:footerReference w:type="default" r:id="rId14"/>
      <w:footerReference w:type="first" r:id="rId15"/>
      <w:endnotePr>
        <w:numFmt w:val="decimal"/>
      </w:endnotePr>
      <w:pgSz w:w="11906" w:h="16838" w:code="9"/>
      <w:pgMar w:top="1701" w:right="1134" w:bottom="2268" w:left="1134" w:header="1134" w:footer="1411"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12-10T11:03:00Z" w:initials="Start">
    <w:p w:rsidR="00247E12" w:rsidRDefault="00247E12">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NO&gt;&gt;N1528056F&lt;&lt;ODS JOB NO&gt;&gt;</w:t>
      </w:r>
    </w:p>
    <w:p w:rsidR="00247E12" w:rsidRDefault="00247E12">
      <w:pPr>
        <w:pStyle w:val="CommentText"/>
      </w:pPr>
      <w:r>
        <w:t>&lt;&lt;ODS DOC SYMBOL1&gt;&gt;CCPR/C/115/D/2284/2013&lt;&lt;ODS DOC SYMBOL1&gt;&gt;</w:t>
      </w:r>
    </w:p>
    <w:p w:rsidR="00247E12" w:rsidRDefault="00247E12">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40F" w:rsidRDefault="00BF240F" w:rsidP="00F95C08">
      <w:pPr>
        <w:spacing w:line="240" w:lineRule="auto"/>
      </w:pPr>
    </w:p>
  </w:endnote>
  <w:endnote w:type="continuationSeparator" w:id="0">
    <w:p w:rsidR="00BF240F" w:rsidRPr="00AC3823" w:rsidRDefault="00BF240F" w:rsidP="00AC3823">
      <w:pPr>
        <w:pStyle w:val="Footer"/>
      </w:pPr>
    </w:p>
  </w:endnote>
  <w:endnote w:type="continuationNotice" w:id="1">
    <w:p w:rsidR="00BF240F" w:rsidRDefault="00BF240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457" w:rsidRPr="00DC75C5" w:rsidRDefault="00B67457" w:rsidP="00DC75C5">
    <w:pPr>
      <w:pStyle w:val="Footer"/>
      <w:tabs>
        <w:tab w:val="right" w:pos="9638"/>
      </w:tabs>
    </w:pPr>
    <w:r w:rsidRPr="00DC75C5">
      <w:rPr>
        <w:b/>
        <w:sz w:val="18"/>
      </w:rPr>
      <w:fldChar w:fldCharType="begin"/>
    </w:r>
    <w:r w:rsidRPr="00DC75C5">
      <w:rPr>
        <w:b/>
        <w:sz w:val="18"/>
      </w:rPr>
      <w:instrText xml:space="preserve"> PAGE  \* MERGEFORMAT </w:instrText>
    </w:r>
    <w:r w:rsidRPr="00DC75C5">
      <w:rPr>
        <w:b/>
        <w:sz w:val="18"/>
      </w:rPr>
      <w:fldChar w:fldCharType="separate"/>
    </w:r>
    <w:r w:rsidR="00B152E8">
      <w:rPr>
        <w:b/>
        <w:noProof/>
        <w:sz w:val="18"/>
      </w:rPr>
      <w:t>12</w:t>
    </w:r>
    <w:r w:rsidRPr="00DC75C5">
      <w:rPr>
        <w:b/>
        <w:sz w:val="18"/>
      </w:rPr>
      <w:fldChar w:fldCharType="end"/>
    </w:r>
    <w:r>
      <w:rPr>
        <w:b/>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457" w:rsidRPr="00DC75C5" w:rsidRDefault="00B67457" w:rsidP="00DC75C5">
    <w:pPr>
      <w:pStyle w:val="Footer"/>
      <w:tabs>
        <w:tab w:val="right" w:pos="9638"/>
      </w:tabs>
      <w:rPr>
        <w:b/>
        <w:sz w:val="18"/>
      </w:rPr>
    </w:pPr>
    <w:r>
      <w:tab/>
    </w:r>
    <w:r w:rsidRPr="00DC75C5">
      <w:rPr>
        <w:b/>
        <w:sz w:val="18"/>
      </w:rPr>
      <w:fldChar w:fldCharType="begin"/>
    </w:r>
    <w:r w:rsidRPr="00DC75C5">
      <w:rPr>
        <w:b/>
        <w:sz w:val="18"/>
      </w:rPr>
      <w:instrText xml:space="preserve"> PAGE  \* MERGEFORMAT </w:instrText>
    </w:r>
    <w:r w:rsidRPr="00DC75C5">
      <w:rPr>
        <w:b/>
        <w:sz w:val="18"/>
      </w:rPr>
      <w:fldChar w:fldCharType="separate"/>
    </w:r>
    <w:r w:rsidR="00B152E8">
      <w:rPr>
        <w:b/>
        <w:noProof/>
        <w:sz w:val="18"/>
      </w:rPr>
      <w:t>13</w:t>
    </w:r>
    <w:r w:rsidRPr="00DC75C5">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247E12" w:rsidTr="00247E12">
      <w:tc>
        <w:tcPr>
          <w:tcW w:w="3614" w:type="dxa"/>
          <w:shd w:val="clear" w:color="auto" w:fill="auto"/>
        </w:tcPr>
        <w:p w:rsidR="00247E12" w:rsidRDefault="00247E12" w:rsidP="00247E12">
          <w:pPr>
            <w:pStyle w:val="Footer"/>
            <w:rPr>
              <w:sz w:val="20"/>
            </w:rPr>
          </w:pPr>
          <w:r>
            <w:rPr>
              <w:noProof/>
              <w:sz w:val="20"/>
              <w:lang w:val="en-US"/>
            </w:rPr>
            <w:drawing>
              <wp:anchor distT="0" distB="0" distL="114300" distR="114300" simplePos="0" relativeHeight="251658240" behindDoc="0" locked="0" layoutInCell="1" allowOverlap="1">
                <wp:simplePos x="0" y="0"/>
                <wp:positionH relativeFrom="column">
                  <wp:posOffset>5339715</wp:posOffset>
                </wp:positionH>
                <wp:positionV relativeFrom="paragraph">
                  <wp:posOffset>-365760</wp:posOffset>
                </wp:positionV>
                <wp:extent cx="694690" cy="694690"/>
                <wp:effectExtent l="0" t="0" r="0" b="0"/>
                <wp:wrapNone/>
                <wp:docPr id="2" name="Picture 2" descr="http://undocs.org/m2/QRCode2.ashx?DS=CCPR/C/115/D/2284/2013&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CPR/C/115/D/2284/2013&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GE.15-21665 (F)</w:t>
          </w:r>
        </w:p>
        <w:p w:rsidR="00247E12" w:rsidRPr="00247E12" w:rsidRDefault="00247E12" w:rsidP="00247E12">
          <w:pPr>
            <w:rPr>
              <w:rFonts w:ascii="Barcode 3 of 9 by request" w:hAnsi="Barcode 3 of 9 by request"/>
              <w:sz w:val="24"/>
            </w:rPr>
          </w:pPr>
          <w:r>
            <w:rPr>
              <w:rFonts w:ascii="Barcode 3 of 9 by request" w:hAnsi="Barcode 3 of 9 by request"/>
              <w:sz w:val="24"/>
            </w:rPr>
            <w:t>*1521665*</w:t>
          </w:r>
        </w:p>
      </w:tc>
      <w:tc>
        <w:tcPr>
          <w:tcW w:w="4752" w:type="dxa"/>
          <w:shd w:val="clear" w:color="auto" w:fill="auto"/>
        </w:tcPr>
        <w:p w:rsidR="00247E12" w:rsidRDefault="00247E12" w:rsidP="00247E12">
          <w:pPr>
            <w:pStyle w:val="Footer"/>
            <w:spacing w:line="240" w:lineRule="atLeast"/>
            <w:jc w:val="right"/>
            <w:rPr>
              <w:sz w:val="20"/>
            </w:rPr>
          </w:pPr>
          <w:r>
            <w:rPr>
              <w:noProof/>
              <w:sz w:val="20"/>
              <w:lang w:val="en-US"/>
            </w:rPr>
            <w:drawing>
              <wp:inline distT="0" distB="0" distL="0" distR="0">
                <wp:extent cx="1109474" cy="231648"/>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247E12" w:rsidRPr="00247E12" w:rsidRDefault="00247E12" w:rsidP="00247E12">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40F" w:rsidRPr="00AC3823" w:rsidRDefault="00BF240F" w:rsidP="00AC3823">
      <w:pPr>
        <w:pStyle w:val="Footer"/>
        <w:tabs>
          <w:tab w:val="right" w:pos="2155"/>
        </w:tabs>
        <w:spacing w:after="80" w:line="240" w:lineRule="atLeast"/>
        <w:ind w:left="680"/>
        <w:rPr>
          <w:u w:val="single"/>
        </w:rPr>
      </w:pPr>
      <w:r>
        <w:rPr>
          <w:u w:val="single"/>
        </w:rPr>
        <w:tab/>
      </w:r>
    </w:p>
  </w:footnote>
  <w:footnote w:type="continuationSeparator" w:id="0">
    <w:p w:rsidR="00BF240F" w:rsidRPr="00AC3823" w:rsidRDefault="00BF240F" w:rsidP="00AC3823">
      <w:pPr>
        <w:pStyle w:val="Footer"/>
        <w:tabs>
          <w:tab w:val="right" w:pos="2155"/>
        </w:tabs>
        <w:spacing w:after="80" w:line="240" w:lineRule="atLeast"/>
        <w:ind w:left="680"/>
        <w:rPr>
          <w:u w:val="single"/>
        </w:rPr>
      </w:pPr>
      <w:r>
        <w:rPr>
          <w:u w:val="single"/>
        </w:rPr>
        <w:tab/>
      </w:r>
    </w:p>
  </w:footnote>
  <w:footnote w:type="continuationNotice" w:id="1">
    <w:p w:rsidR="00BF240F" w:rsidRPr="00AC3823" w:rsidRDefault="00BF240F">
      <w:pPr>
        <w:spacing w:line="240" w:lineRule="auto"/>
        <w:rPr>
          <w:sz w:val="2"/>
          <w:szCs w:val="2"/>
        </w:rPr>
      </w:pPr>
    </w:p>
  </w:footnote>
  <w:footnote w:id="2">
    <w:p w:rsidR="00B67457" w:rsidRPr="00C02A0D" w:rsidRDefault="00B67457" w:rsidP="008D2639">
      <w:pPr>
        <w:pStyle w:val="FootnoteText"/>
        <w:rPr>
          <w:szCs w:val="18"/>
          <w:lang w:val="fr-FR"/>
        </w:rPr>
      </w:pPr>
      <w:r w:rsidRPr="00C02A0D">
        <w:rPr>
          <w:lang w:val="fr-FR"/>
        </w:rPr>
        <w:tab/>
      </w:r>
      <w:r w:rsidRPr="00C02A0D">
        <w:rPr>
          <w:rStyle w:val="FootnoteReference"/>
          <w:sz w:val="20"/>
          <w:vertAlign w:val="baseline"/>
          <w:lang w:val="fr-FR"/>
        </w:rPr>
        <w:t>*</w:t>
      </w:r>
      <w:r w:rsidRPr="00C02A0D">
        <w:rPr>
          <w:rStyle w:val="FootnoteReference"/>
          <w:lang w:val="fr-FR"/>
        </w:rPr>
        <w:tab/>
      </w:r>
      <w:r w:rsidRPr="00916728">
        <w:rPr>
          <w:color w:val="000000"/>
          <w:szCs w:val="18"/>
          <w:lang w:val="fr-FR"/>
        </w:rPr>
        <w:t>Les membres du Comité dont le nom suit ont participé à l’examen de la communication :</w:t>
      </w:r>
      <w:r w:rsidRPr="00916728">
        <w:rPr>
          <w:bCs/>
          <w:color w:val="000000"/>
          <w:szCs w:val="18"/>
          <w:lang w:val="fr-FR"/>
        </w:rPr>
        <w:t xml:space="preserve"> Lazhari Bouzid, </w:t>
      </w:r>
      <w:r w:rsidRPr="00916728">
        <w:rPr>
          <w:lang w:val="fr-FR"/>
        </w:rPr>
        <w:t xml:space="preserve">Sarah Cleveland, Olivier de </w:t>
      </w:r>
      <w:r w:rsidRPr="000F3E57">
        <w:rPr>
          <w:lang w:val="fr-FR"/>
        </w:rPr>
        <w:t>Frouville</w:t>
      </w:r>
      <w:r w:rsidRPr="00916728">
        <w:rPr>
          <w:lang w:val="fr-FR"/>
        </w:rPr>
        <w:t xml:space="preserve">, Yuji Iwasawa, Ivana Jelić, Duncan </w:t>
      </w:r>
      <w:r w:rsidR="002667C5" w:rsidRPr="00916728">
        <w:rPr>
          <w:lang w:val="fr-FR"/>
        </w:rPr>
        <w:t xml:space="preserve">Laki </w:t>
      </w:r>
      <w:r w:rsidRPr="00916728">
        <w:rPr>
          <w:lang w:val="fr-FR"/>
        </w:rPr>
        <w:t>Muhumuza, Photini Pazartzis, Mauro Politi, Sir Nigel Rodley, Víctor Manuel Rodríguez-Rescia, Fabián Omar Salvioli, Dheerujlall Seetulsingh, Anja Seibert-Fohr, Yuval Shany, Konstantine Vardzelashvili et Margo Waterval.</w:t>
      </w:r>
    </w:p>
  </w:footnote>
  <w:footnote w:id="3">
    <w:p w:rsidR="00B67457" w:rsidRPr="00C02A0D" w:rsidRDefault="00B67457" w:rsidP="00C02A0D">
      <w:pPr>
        <w:pStyle w:val="FootnoteText"/>
        <w:tabs>
          <w:tab w:val="left" w:pos="8505"/>
        </w:tabs>
        <w:rPr>
          <w:lang w:val="fr-FR"/>
        </w:rPr>
      </w:pPr>
      <w:r w:rsidRPr="00C02A0D">
        <w:rPr>
          <w:lang w:val="fr-FR"/>
        </w:rPr>
        <w:tab/>
      </w:r>
      <w:r w:rsidRPr="00C02A0D">
        <w:rPr>
          <w:rStyle w:val="FootnoteReference"/>
          <w:lang w:val="fr-FR"/>
        </w:rPr>
        <w:footnoteRef/>
      </w:r>
      <w:r w:rsidRPr="00C02A0D">
        <w:rPr>
          <w:lang w:val="fr-FR"/>
        </w:rPr>
        <w:tab/>
        <w:t>L’auteur a soumis des informations additionnelles les 12, 18 et 21 novembre 2013, ainsi que les 6 et 18 décembre 2013. À des fins de précision et d’exhaustivité, cette section repose également sur les décisions judiciaires et administratives adoptées par les juridictions canadiennes. Cette partie expose donc l’intégralité des recours intentés par l’auteur, même si ces recours, ou leur issue, sont postérieurs à la présentation de la communication par l’auteur devant le Comité.</w:t>
      </w:r>
    </w:p>
  </w:footnote>
  <w:footnote w:id="4">
    <w:p w:rsidR="00B67457" w:rsidRPr="00C02A0D" w:rsidRDefault="00B67457">
      <w:pPr>
        <w:pStyle w:val="FootnoteText"/>
        <w:rPr>
          <w:lang w:val="fr-FR"/>
        </w:rPr>
      </w:pPr>
      <w:r w:rsidRPr="00C02A0D">
        <w:rPr>
          <w:lang w:val="fr-FR"/>
        </w:rPr>
        <w:tab/>
      </w:r>
      <w:r w:rsidRPr="00C02A0D">
        <w:rPr>
          <w:rStyle w:val="FootnoteReference"/>
          <w:lang w:val="fr-FR"/>
        </w:rPr>
        <w:footnoteRef/>
      </w:r>
      <w:r w:rsidRPr="00C02A0D">
        <w:rPr>
          <w:lang w:val="fr-FR"/>
        </w:rPr>
        <w:tab/>
        <w:t xml:space="preserve">Président d’honneur de l’Association des victimes de crimes et répressions politiques au Tchad, nommé « défenseur des droits de l’homme » </w:t>
      </w:r>
      <w:r w:rsidRPr="00916728">
        <w:rPr>
          <w:lang w:val="fr-FR"/>
        </w:rPr>
        <w:t>pour l’année 2002 par Human Rights Watch.</w:t>
      </w:r>
    </w:p>
  </w:footnote>
  <w:footnote w:id="5">
    <w:p w:rsidR="00B67457" w:rsidRPr="00C02A0D" w:rsidRDefault="00B67457" w:rsidP="00501E0B">
      <w:pPr>
        <w:pStyle w:val="FootnoteText"/>
        <w:rPr>
          <w:lang w:val="fr-FR"/>
        </w:rPr>
      </w:pPr>
      <w:r w:rsidRPr="00C02A0D">
        <w:rPr>
          <w:lang w:val="fr-FR"/>
        </w:rPr>
        <w:tab/>
      </w:r>
      <w:r w:rsidRPr="00C02A0D">
        <w:rPr>
          <w:rStyle w:val="FootnoteReference"/>
          <w:lang w:val="fr-FR"/>
        </w:rPr>
        <w:footnoteRef/>
      </w:r>
      <w:r w:rsidRPr="00C02A0D">
        <w:rPr>
          <w:lang w:val="fr-FR"/>
        </w:rPr>
        <w:tab/>
        <w:t>Notamment un courrier de l’</w:t>
      </w:r>
      <w:r w:rsidR="00501E0B">
        <w:rPr>
          <w:lang w:val="fr-FR"/>
        </w:rPr>
        <w:t>a</w:t>
      </w:r>
      <w:r w:rsidRPr="00C02A0D">
        <w:rPr>
          <w:lang w:val="fr-FR"/>
        </w:rPr>
        <w:t>bbé Diondoh, selon lequel les personnes qui en voulaient à l’auteur le recherchaient toujours.</w:t>
      </w:r>
    </w:p>
  </w:footnote>
  <w:footnote w:id="6">
    <w:p w:rsidR="00B67457" w:rsidRPr="00C02A0D" w:rsidRDefault="00B67457" w:rsidP="005A5A41">
      <w:pPr>
        <w:pStyle w:val="FootnoteText"/>
        <w:ind w:right="0"/>
        <w:rPr>
          <w:lang w:val="fr-FR"/>
        </w:rPr>
      </w:pPr>
      <w:r w:rsidRPr="00C02A0D">
        <w:rPr>
          <w:lang w:val="fr-FR"/>
        </w:rPr>
        <w:tab/>
      </w:r>
      <w:r w:rsidRPr="00C02A0D">
        <w:rPr>
          <w:rStyle w:val="FootnoteReference"/>
          <w:lang w:val="fr-FR"/>
        </w:rPr>
        <w:footnoteRef/>
      </w:r>
      <w:r w:rsidRPr="00C02A0D">
        <w:rPr>
          <w:lang w:val="fr-FR"/>
        </w:rPr>
        <w:tab/>
        <w:t xml:space="preserve">Qui peut être présentée un an après la première demande </w:t>
      </w:r>
      <w:r w:rsidRPr="000F3E57">
        <w:rPr>
          <w:lang w:val="fr-CH"/>
        </w:rPr>
        <w:t>d’examen des risques avant renvoi</w:t>
      </w:r>
      <w:r w:rsidRPr="00C02A0D">
        <w:rPr>
          <w:lang w:val="fr-FR"/>
        </w:rPr>
        <w:t xml:space="preserve">, si assortie de nouvelles preuves. </w:t>
      </w:r>
    </w:p>
  </w:footnote>
  <w:footnote w:id="7">
    <w:p w:rsidR="00B67457" w:rsidRPr="00C02A0D" w:rsidRDefault="00B67457">
      <w:pPr>
        <w:pStyle w:val="FootnoteText"/>
        <w:rPr>
          <w:lang w:val="fr-FR"/>
        </w:rPr>
      </w:pPr>
      <w:r w:rsidRPr="00C02A0D">
        <w:rPr>
          <w:lang w:val="fr-FR"/>
        </w:rPr>
        <w:tab/>
      </w:r>
      <w:r w:rsidRPr="00C02A0D">
        <w:rPr>
          <w:rStyle w:val="FootnoteReference"/>
          <w:lang w:val="fr-FR"/>
        </w:rPr>
        <w:footnoteRef/>
      </w:r>
      <w:r w:rsidRPr="00C02A0D">
        <w:rPr>
          <w:lang w:val="fr-FR"/>
        </w:rPr>
        <w:tab/>
        <w:t xml:space="preserve">L’auteur ne pouvait présenter que de nouvelles preuves qui soient </w:t>
      </w:r>
      <w:r w:rsidRPr="000F3E57">
        <w:rPr>
          <w:iCs/>
          <w:lang w:val="fr-FR"/>
        </w:rPr>
        <w:t>postérieures</w:t>
      </w:r>
      <w:r w:rsidRPr="00C02A0D">
        <w:rPr>
          <w:lang w:val="fr-FR"/>
        </w:rPr>
        <w:t xml:space="preserve"> au rejet de sa première demande </w:t>
      </w:r>
      <w:r w:rsidRPr="00916728">
        <w:rPr>
          <w:lang w:val="fr-FR"/>
        </w:rPr>
        <w:t>le 31 mai 2012.</w:t>
      </w:r>
    </w:p>
  </w:footnote>
  <w:footnote w:id="8">
    <w:p w:rsidR="00B67457" w:rsidRPr="00C02A0D" w:rsidRDefault="00B67457">
      <w:pPr>
        <w:pStyle w:val="FootnoteText"/>
        <w:tabs>
          <w:tab w:val="left" w:pos="8505"/>
        </w:tabs>
        <w:rPr>
          <w:lang w:val="fr-FR"/>
        </w:rPr>
      </w:pPr>
      <w:r w:rsidRPr="00C02A0D">
        <w:rPr>
          <w:lang w:val="fr-FR"/>
        </w:rPr>
        <w:tab/>
      </w:r>
      <w:r w:rsidRPr="00C02A0D">
        <w:rPr>
          <w:rStyle w:val="FootnoteReference"/>
          <w:lang w:val="fr-FR"/>
        </w:rPr>
        <w:footnoteRef/>
      </w:r>
      <w:r w:rsidRPr="00C02A0D">
        <w:rPr>
          <w:lang w:val="fr-FR"/>
        </w:rPr>
        <w:tab/>
        <w:t xml:space="preserve">Se référant à un arrêt de la Cour d’appel de l’Ontario, </w:t>
      </w:r>
      <w:r w:rsidRPr="00C02A0D">
        <w:rPr>
          <w:i/>
          <w:lang w:val="fr-FR"/>
        </w:rPr>
        <w:t>Ahani</w:t>
      </w:r>
      <w:r w:rsidRPr="00C02A0D">
        <w:rPr>
          <w:lang w:val="fr-FR"/>
        </w:rPr>
        <w:t xml:space="preserve"> </w:t>
      </w:r>
      <w:r w:rsidR="008D1A2C" w:rsidRPr="000F3E57">
        <w:rPr>
          <w:i/>
          <w:iCs/>
          <w:lang w:val="fr-FR"/>
        </w:rPr>
        <w:t>v</w:t>
      </w:r>
      <w:r w:rsidRPr="000F3E57">
        <w:rPr>
          <w:i/>
          <w:iCs/>
          <w:lang w:val="fr-FR"/>
        </w:rPr>
        <w:t>.</w:t>
      </w:r>
      <w:r w:rsidRPr="00C02A0D">
        <w:rPr>
          <w:lang w:val="fr-FR"/>
        </w:rPr>
        <w:t xml:space="preserve"> </w:t>
      </w:r>
      <w:r w:rsidRPr="00C02A0D">
        <w:rPr>
          <w:i/>
          <w:lang w:val="fr-FR"/>
        </w:rPr>
        <w:t>Canada (Attorney General)</w:t>
      </w:r>
      <w:r w:rsidRPr="00C02A0D">
        <w:rPr>
          <w:lang w:val="fr-FR"/>
        </w:rPr>
        <w:t>, 2002 CanLII 23589 (O</w:t>
      </w:r>
      <w:r w:rsidR="008D1A2C">
        <w:rPr>
          <w:lang w:val="fr-FR"/>
        </w:rPr>
        <w:t>N</w:t>
      </w:r>
      <w:r w:rsidRPr="00C02A0D">
        <w:rPr>
          <w:lang w:val="fr-FR"/>
        </w:rPr>
        <w:t xml:space="preserve"> CA)</w:t>
      </w:r>
      <w:r w:rsidR="002F0DD5">
        <w:rPr>
          <w:lang w:val="fr-FR"/>
        </w:rPr>
        <w:t>.</w:t>
      </w:r>
    </w:p>
  </w:footnote>
  <w:footnote w:id="9">
    <w:p w:rsidR="00B67457" w:rsidRPr="00916728" w:rsidRDefault="00B67457" w:rsidP="00D653B7">
      <w:pPr>
        <w:pStyle w:val="FootnoteText"/>
        <w:rPr>
          <w:lang w:val="fr-FR"/>
        </w:rPr>
      </w:pPr>
      <w:r w:rsidRPr="00C02A0D">
        <w:rPr>
          <w:lang w:val="fr-FR"/>
        </w:rPr>
        <w:tab/>
      </w:r>
      <w:r w:rsidRPr="00C02A0D">
        <w:rPr>
          <w:rStyle w:val="FootnoteReference"/>
          <w:lang w:val="fr-FR"/>
        </w:rPr>
        <w:footnoteRef/>
      </w:r>
      <w:r w:rsidRPr="00C02A0D">
        <w:rPr>
          <w:lang w:val="fr-FR"/>
        </w:rPr>
        <w:tab/>
        <w:t xml:space="preserve">Qui stipule que </w:t>
      </w:r>
      <w:r w:rsidRPr="00916728">
        <w:rPr>
          <w:lang w:val="fr-FR"/>
        </w:rPr>
        <w:t>« le demandeur d’asile débouté ne peut présenter que des éléments de preuve survenus depuis le rejet [de sa demande d’asile] ou qui n’étaient alors pas normalement accessibles ou, s’ils l’étaient, qu’il n’était pas raisonnable, dans les circonstances, de s’attendre à ce qu’il les ait présentés au moment du rejet ».</w:t>
      </w:r>
    </w:p>
  </w:footnote>
  <w:footnote w:id="10">
    <w:p w:rsidR="00B67457" w:rsidRPr="00916728" w:rsidRDefault="00B67457" w:rsidP="008549F0">
      <w:pPr>
        <w:pStyle w:val="FootnoteText"/>
        <w:ind w:right="0"/>
        <w:rPr>
          <w:lang w:val="fr-FR"/>
        </w:rPr>
      </w:pPr>
      <w:r w:rsidRPr="00916728">
        <w:rPr>
          <w:lang w:val="fr-FR"/>
        </w:rPr>
        <w:tab/>
      </w:r>
      <w:r w:rsidRPr="00916728">
        <w:rPr>
          <w:rStyle w:val="FootnoteReference"/>
          <w:lang w:val="fr-FR"/>
        </w:rPr>
        <w:footnoteRef/>
      </w:r>
      <w:r w:rsidRPr="00916728">
        <w:rPr>
          <w:lang w:val="fr-FR"/>
        </w:rPr>
        <w:tab/>
      </w:r>
      <w:r w:rsidR="008549F0" w:rsidRPr="00916728">
        <w:rPr>
          <w:lang w:val="fr-FR"/>
        </w:rPr>
        <w:t xml:space="preserve">Voir </w:t>
      </w:r>
      <w:r w:rsidR="000F3E57">
        <w:rPr>
          <w:lang w:val="fr-FR"/>
        </w:rPr>
        <w:t xml:space="preserve">la </w:t>
      </w:r>
      <w:r w:rsidR="008549F0" w:rsidRPr="00916728">
        <w:rPr>
          <w:lang w:val="fr-FR"/>
        </w:rPr>
        <w:t>c</w:t>
      </w:r>
      <w:r w:rsidRPr="00916728">
        <w:rPr>
          <w:lang w:val="fr-FR"/>
        </w:rPr>
        <w:t>ommunication n</w:t>
      </w:r>
      <w:r w:rsidRPr="000F3E57">
        <w:rPr>
          <w:vertAlign w:val="superscript"/>
          <w:lang w:val="fr-FR"/>
        </w:rPr>
        <w:t>o</w:t>
      </w:r>
      <w:r w:rsidRPr="00916728">
        <w:rPr>
          <w:lang w:val="fr-FR"/>
        </w:rPr>
        <w:t xml:space="preserve"> 1551/2007, </w:t>
      </w:r>
      <w:r w:rsidRPr="00916728">
        <w:rPr>
          <w:i/>
          <w:lang w:val="fr-FR"/>
        </w:rPr>
        <w:t xml:space="preserve">Tarlue </w:t>
      </w:r>
      <w:r w:rsidRPr="000F3E57">
        <w:rPr>
          <w:i/>
          <w:iCs/>
          <w:lang w:val="fr-FR"/>
        </w:rPr>
        <w:t>c.</w:t>
      </w:r>
      <w:r w:rsidRPr="00916728">
        <w:rPr>
          <w:lang w:val="fr-FR"/>
        </w:rPr>
        <w:t xml:space="preserve"> </w:t>
      </w:r>
      <w:r w:rsidRPr="00916728">
        <w:rPr>
          <w:i/>
          <w:lang w:val="fr-FR"/>
        </w:rPr>
        <w:t>Canada</w:t>
      </w:r>
      <w:r w:rsidRPr="000F3E57">
        <w:rPr>
          <w:iCs/>
          <w:lang w:val="fr-FR"/>
        </w:rPr>
        <w:t>,</w:t>
      </w:r>
      <w:r w:rsidRPr="00916728">
        <w:rPr>
          <w:i/>
          <w:lang w:val="fr-FR"/>
        </w:rPr>
        <w:t xml:space="preserve"> </w:t>
      </w:r>
      <w:r w:rsidRPr="000F3E57">
        <w:rPr>
          <w:lang w:val="fr-CH"/>
        </w:rPr>
        <w:t xml:space="preserve">décision d’irrecevabilité adoptée le 27 mars 2009, </w:t>
      </w:r>
      <w:r w:rsidRPr="00916728">
        <w:rPr>
          <w:lang w:val="fr-FR"/>
        </w:rPr>
        <w:t>par. 7.4.</w:t>
      </w:r>
    </w:p>
  </w:footnote>
  <w:footnote w:id="11">
    <w:p w:rsidR="00B67457" w:rsidRPr="00C02A0D" w:rsidRDefault="00B67457" w:rsidP="00D653B7">
      <w:pPr>
        <w:pStyle w:val="FootnoteText"/>
        <w:ind w:right="0"/>
        <w:rPr>
          <w:lang w:val="fr-FR"/>
        </w:rPr>
      </w:pPr>
      <w:r w:rsidRPr="00916728">
        <w:rPr>
          <w:lang w:val="fr-FR"/>
        </w:rPr>
        <w:tab/>
      </w:r>
      <w:r w:rsidRPr="00916728">
        <w:rPr>
          <w:rStyle w:val="FootnoteReference"/>
          <w:lang w:val="fr-FR"/>
        </w:rPr>
        <w:footnoteRef/>
      </w:r>
      <w:r w:rsidRPr="00916728">
        <w:rPr>
          <w:lang w:val="fr-FR"/>
        </w:rPr>
        <w:tab/>
        <w:t xml:space="preserve">L’État partie renvoie notamment à la communication </w:t>
      </w:r>
      <w:r w:rsidRPr="00916728">
        <w:rPr>
          <w:rFonts w:eastAsia="MS Mincho"/>
          <w:lang w:val="fr-FR"/>
        </w:rPr>
        <w:t>n</w:t>
      </w:r>
      <w:r w:rsidRPr="00916728">
        <w:rPr>
          <w:rFonts w:eastAsia="MS Mincho"/>
          <w:vertAlign w:val="superscript"/>
          <w:lang w:val="fr-FR"/>
        </w:rPr>
        <w:t>o</w:t>
      </w:r>
      <w:r w:rsidRPr="00916728">
        <w:rPr>
          <w:lang w:val="fr-FR"/>
        </w:rPr>
        <w:t xml:space="preserve"> 1551/2007, </w:t>
      </w:r>
      <w:r w:rsidRPr="00916728">
        <w:rPr>
          <w:i/>
          <w:lang w:val="fr-FR"/>
        </w:rPr>
        <w:t xml:space="preserve">Tarlue </w:t>
      </w:r>
      <w:r w:rsidRPr="000F3E57">
        <w:rPr>
          <w:i/>
          <w:iCs/>
          <w:lang w:val="fr-FR"/>
        </w:rPr>
        <w:t>c.</w:t>
      </w:r>
      <w:r w:rsidRPr="00916728">
        <w:rPr>
          <w:lang w:val="fr-FR"/>
        </w:rPr>
        <w:t xml:space="preserve"> </w:t>
      </w:r>
      <w:r w:rsidRPr="00916728">
        <w:rPr>
          <w:i/>
          <w:lang w:val="fr-FR"/>
        </w:rPr>
        <w:t>Cana</w:t>
      </w:r>
      <w:r w:rsidRPr="00A357BB">
        <w:rPr>
          <w:i/>
          <w:lang w:val="fr-FR"/>
        </w:rPr>
        <w:t>da</w:t>
      </w:r>
      <w:r w:rsidRPr="000F3E57">
        <w:rPr>
          <w:lang w:val="fr-CH"/>
        </w:rPr>
        <w:t xml:space="preserve">, </w:t>
      </w:r>
      <w:r w:rsidRPr="008A2B7A">
        <w:rPr>
          <w:lang w:val="fr-FR"/>
        </w:rPr>
        <w:t>par. 7.</w:t>
      </w:r>
      <w:r w:rsidR="00D653B7" w:rsidRPr="008A2B7A">
        <w:rPr>
          <w:lang w:val="fr-FR"/>
        </w:rPr>
        <w:t>3</w:t>
      </w:r>
      <w:r w:rsidRPr="00C02A0D">
        <w:rPr>
          <w:lang w:val="fr-FR"/>
        </w:rPr>
        <w:t>.</w:t>
      </w:r>
    </w:p>
  </w:footnote>
  <w:footnote w:id="12">
    <w:p w:rsidR="00B67457" w:rsidRPr="00916728" w:rsidRDefault="00B67457" w:rsidP="008549F0">
      <w:pPr>
        <w:pStyle w:val="FootnoteText"/>
        <w:ind w:right="0"/>
        <w:rPr>
          <w:lang w:val="fr-FR"/>
        </w:rPr>
      </w:pPr>
      <w:r w:rsidRPr="00C02A0D">
        <w:rPr>
          <w:lang w:val="fr-FR"/>
        </w:rPr>
        <w:tab/>
      </w:r>
      <w:r w:rsidRPr="00C02A0D">
        <w:rPr>
          <w:rStyle w:val="FootnoteReference"/>
          <w:lang w:val="fr-FR"/>
        </w:rPr>
        <w:footnoteRef/>
      </w:r>
      <w:r w:rsidRPr="00C02A0D">
        <w:rPr>
          <w:lang w:val="fr-FR"/>
        </w:rPr>
        <w:tab/>
      </w:r>
      <w:r w:rsidR="008549F0" w:rsidRPr="00916728">
        <w:rPr>
          <w:lang w:val="fr-FR"/>
        </w:rPr>
        <w:t xml:space="preserve">Voir </w:t>
      </w:r>
      <w:r w:rsidR="000F3E57">
        <w:rPr>
          <w:lang w:val="fr-FR"/>
        </w:rPr>
        <w:t>l’</w:t>
      </w:r>
      <w:r w:rsidR="008549F0" w:rsidRPr="000F3E57">
        <w:rPr>
          <w:lang w:val="fr-FR"/>
        </w:rPr>
        <w:t>o</w:t>
      </w:r>
      <w:r w:rsidRPr="00916728">
        <w:rPr>
          <w:lang w:val="fr-FR"/>
        </w:rPr>
        <w:t>bservation générale n</w:t>
      </w:r>
      <w:r w:rsidRPr="00916728">
        <w:rPr>
          <w:vertAlign w:val="superscript"/>
          <w:lang w:val="fr-FR"/>
        </w:rPr>
        <w:t>o</w:t>
      </w:r>
      <w:r w:rsidRPr="00916728">
        <w:rPr>
          <w:lang w:val="fr-FR"/>
        </w:rPr>
        <w:t xml:space="preserve"> 31 </w:t>
      </w:r>
      <w:r w:rsidRPr="000F3E57">
        <w:rPr>
          <w:szCs w:val="18"/>
          <w:lang w:val="fr-FR"/>
        </w:rPr>
        <w:t xml:space="preserve">(2004) </w:t>
      </w:r>
      <w:r w:rsidRPr="000F3E57">
        <w:rPr>
          <w:iCs/>
          <w:szCs w:val="18"/>
          <w:lang w:val="fr-FR"/>
        </w:rPr>
        <w:t>sur</w:t>
      </w:r>
      <w:r w:rsidRPr="000F3E57">
        <w:rPr>
          <w:szCs w:val="18"/>
          <w:lang w:val="fr-FR"/>
        </w:rPr>
        <w:t xml:space="preserve"> l</w:t>
      </w:r>
      <w:r w:rsidRPr="000F3E57">
        <w:rPr>
          <w:bCs/>
          <w:szCs w:val="18"/>
          <w:lang w:val="fr-FR"/>
        </w:rPr>
        <w:t>a nature de l’obligation juridique générale imposée aux États parties au Pacte</w:t>
      </w:r>
      <w:r w:rsidRPr="00916728">
        <w:rPr>
          <w:bCs/>
          <w:szCs w:val="18"/>
          <w:lang w:val="fr-FR"/>
        </w:rPr>
        <w:t xml:space="preserve">, </w:t>
      </w:r>
      <w:r w:rsidRPr="00916728">
        <w:rPr>
          <w:lang w:val="fr-FR"/>
        </w:rPr>
        <w:t>par. 3.</w:t>
      </w:r>
    </w:p>
  </w:footnote>
  <w:footnote w:id="13">
    <w:p w:rsidR="00B67457" w:rsidRPr="00C02A0D" w:rsidRDefault="00B67457" w:rsidP="008549F0">
      <w:pPr>
        <w:pStyle w:val="FootnoteText"/>
        <w:rPr>
          <w:lang w:val="fr-FR"/>
        </w:rPr>
      </w:pPr>
      <w:r w:rsidRPr="00916728">
        <w:rPr>
          <w:lang w:val="fr-FR"/>
        </w:rPr>
        <w:tab/>
      </w:r>
      <w:r w:rsidRPr="00916728">
        <w:rPr>
          <w:rStyle w:val="FootnoteReference"/>
          <w:lang w:val="fr-FR"/>
        </w:rPr>
        <w:footnoteRef/>
      </w:r>
      <w:r w:rsidRPr="00916728">
        <w:rPr>
          <w:lang w:val="fr-FR"/>
        </w:rPr>
        <w:tab/>
      </w:r>
      <w:r w:rsidR="008549F0" w:rsidRPr="00916728">
        <w:rPr>
          <w:lang w:val="fr-FR"/>
        </w:rPr>
        <w:t xml:space="preserve">Voir </w:t>
      </w:r>
      <w:r w:rsidR="000F3E57">
        <w:rPr>
          <w:lang w:val="fr-FR"/>
        </w:rPr>
        <w:t xml:space="preserve">les </w:t>
      </w:r>
      <w:r w:rsidR="008549F0" w:rsidRPr="00916728">
        <w:rPr>
          <w:lang w:val="fr-FR"/>
        </w:rPr>
        <w:t>c</w:t>
      </w:r>
      <w:r w:rsidRPr="00916728">
        <w:rPr>
          <w:lang w:val="fr-FR"/>
        </w:rPr>
        <w:t>ommunications n</w:t>
      </w:r>
      <w:r w:rsidRPr="000F3E57">
        <w:rPr>
          <w:vertAlign w:val="superscript"/>
          <w:lang w:val="fr-FR"/>
        </w:rPr>
        <w:t>os</w:t>
      </w:r>
      <w:r w:rsidRPr="00916728">
        <w:rPr>
          <w:lang w:val="fr-FR"/>
        </w:rPr>
        <w:t xml:space="preserve"> 343, 344 et 345/1988, </w:t>
      </w:r>
      <w:r w:rsidRPr="00916728">
        <w:rPr>
          <w:i/>
          <w:lang w:val="fr-FR"/>
        </w:rPr>
        <w:t>R. A. V. N</w:t>
      </w:r>
      <w:r w:rsidRPr="00916728">
        <w:rPr>
          <w:lang w:val="fr-FR"/>
        </w:rPr>
        <w:t xml:space="preserve">. </w:t>
      </w:r>
      <w:r w:rsidRPr="000F3E57">
        <w:rPr>
          <w:i/>
          <w:iCs/>
          <w:lang w:val="fr-FR"/>
        </w:rPr>
        <w:t>et consorts</w:t>
      </w:r>
      <w:r w:rsidRPr="000F3E57">
        <w:rPr>
          <w:lang w:val="fr-FR"/>
        </w:rPr>
        <w:t xml:space="preserve"> </w:t>
      </w:r>
      <w:r w:rsidRPr="000F3E57">
        <w:rPr>
          <w:i/>
          <w:iCs/>
          <w:lang w:val="fr-FR"/>
        </w:rPr>
        <w:t>c.</w:t>
      </w:r>
      <w:r w:rsidRPr="00916728">
        <w:rPr>
          <w:i/>
          <w:lang w:val="fr-FR"/>
        </w:rPr>
        <w:t xml:space="preserve"> Argentine</w:t>
      </w:r>
      <w:r w:rsidRPr="00916728">
        <w:rPr>
          <w:lang w:val="fr-FR"/>
        </w:rPr>
        <w:t>, décision d’irrecevabilité adoptée le 26 mars 1990, par. 5.3.</w:t>
      </w:r>
    </w:p>
  </w:footnote>
  <w:footnote w:id="14">
    <w:p w:rsidR="00B67457" w:rsidRPr="00C02A0D" w:rsidRDefault="00B67457" w:rsidP="00AF0D96">
      <w:pPr>
        <w:pStyle w:val="FootnoteText"/>
        <w:rPr>
          <w:lang w:val="fr-FR"/>
        </w:rPr>
      </w:pPr>
      <w:r w:rsidRPr="00C02A0D">
        <w:rPr>
          <w:lang w:val="fr-FR"/>
        </w:rPr>
        <w:tab/>
      </w:r>
      <w:r w:rsidRPr="00C02A0D">
        <w:rPr>
          <w:rStyle w:val="FootnoteReference"/>
          <w:lang w:val="fr-FR"/>
        </w:rPr>
        <w:footnoteRef/>
      </w:r>
      <w:r w:rsidRPr="00C02A0D">
        <w:rPr>
          <w:lang w:val="fr-FR"/>
        </w:rPr>
        <w:tab/>
        <w:t>Au moment de la soumission par l’État partie de ses observations. La demande a été rejetée le 7 mars 2014 (voir par. 5.1 ci-dessous).</w:t>
      </w:r>
    </w:p>
  </w:footnote>
  <w:footnote w:id="15">
    <w:p w:rsidR="00B67457" w:rsidRPr="00C02A0D" w:rsidRDefault="00B67457">
      <w:pPr>
        <w:pStyle w:val="FootnoteText"/>
        <w:rPr>
          <w:lang w:val="fr-FR"/>
        </w:rPr>
      </w:pPr>
      <w:r w:rsidRPr="00C02A0D">
        <w:rPr>
          <w:lang w:val="fr-FR"/>
        </w:rPr>
        <w:tab/>
      </w:r>
      <w:r w:rsidRPr="00C02A0D">
        <w:rPr>
          <w:rStyle w:val="FootnoteReference"/>
          <w:lang w:val="fr-FR"/>
        </w:rPr>
        <w:footnoteRef/>
      </w:r>
      <w:r w:rsidRPr="00C02A0D">
        <w:rPr>
          <w:lang w:val="fr-FR"/>
        </w:rPr>
        <w:tab/>
        <w:t>Par l’entremise de son conseil.</w:t>
      </w:r>
    </w:p>
  </w:footnote>
  <w:footnote w:id="16">
    <w:p w:rsidR="00B67457" w:rsidRPr="00C02A0D" w:rsidRDefault="00B67457" w:rsidP="00D653B7">
      <w:pPr>
        <w:pStyle w:val="FootnoteText"/>
        <w:rPr>
          <w:lang w:val="fr-FR"/>
        </w:rPr>
      </w:pPr>
      <w:r w:rsidRPr="00C02A0D">
        <w:rPr>
          <w:lang w:val="fr-FR"/>
        </w:rPr>
        <w:tab/>
      </w:r>
      <w:r w:rsidRPr="00C02A0D">
        <w:rPr>
          <w:rStyle w:val="FootnoteReference"/>
          <w:lang w:val="fr-FR"/>
        </w:rPr>
        <w:footnoteRef/>
      </w:r>
      <w:r w:rsidRPr="00C02A0D">
        <w:rPr>
          <w:lang w:val="fr-FR"/>
        </w:rPr>
        <w:tab/>
        <w:t xml:space="preserve">Notamment une lettre de l’évêque émérite de Moundou (Les Capucins, Fraternité de la réparation); un courrier du « Centre Afrika » de Montréal, ainsi qu’un nouveau courrier de </w:t>
      </w:r>
      <w:r>
        <w:rPr>
          <w:lang w:val="fr-FR"/>
        </w:rPr>
        <w:t>M. </w:t>
      </w:r>
      <w:r w:rsidRPr="00C02A0D">
        <w:rPr>
          <w:lang w:val="fr-FR"/>
        </w:rPr>
        <w:t>Guengueng (non daté) qui rappelle le risque encouru par l’auteur et souligne que ce dernier demeure caché « depuis bientôt huit mois dans une église de Montréal ».</w:t>
      </w:r>
    </w:p>
  </w:footnote>
  <w:footnote w:id="17">
    <w:p w:rsidR="00B67457" w:rsidRPr="00916728" w:rsidRDefault="00B67457" w:rsidP="008549F0">
      <w:pPr>
        <w:pStyle w:val="FootnoteText"/>
        <w:rPr>
          <w:lang w:val="fr-FR"/>
        </w:rPr>
      </w:pPr>
      <w:r w:rsidRPr="00C02A0D">
        <w:rPr>
          <w:lang w:val="fr-FR"/>
        </w:rPr>
        <w:tab/>
      </w:r>
      <w:r w:rsidRPr="00C02A0D">
        <w:rPr>
          <w:rStyle w:val="FootnoteReference"/>
          <w:lang w:val="fr-FR"/>
        </w:rPr>
        <w:footnoteRef/>
      </w:r>
      <w:r w:rsidRPr="00C02A0D">
        <w:rPr>
          <w:lang w:val="fr-FR"/>
        </w:rPr>
        <w:tab/>
      </w:r>
      <w:r w:rsidR="008549F0">
        <w:rPr>
          <w:lang w:val="fr-FR"/>
        </w:rPr>
        <w:t xml:space="preserve">Voir </w:t>
      </w:r>
      <w:r w:rsidR="000F3E57">
        <w:rPr>
          <w:lang w:val="fr-FR"/>
        </w:rPr>
        <w:t>l’</w:t>
      </w:r>
      <w:r w:rsidR="008549F0" w:rsidRPr="00916728">
        <w:rPr>
          <w:lang w:val="fr-FR"/>
        </w:rPr>
        <w:t>o</w:t>
      </w:r>
      <w:r w:rsidRPr="00916728">
        <w:rPr>
          <w:lang w:val="fr-FR"/>
        </w:rPr>
        <w:t>bservation générale n</w:t>
      </w:r>
      <w:r w:rsidRPr="000F3E57">
        <w:rPr>
          <w:vertAlign w:val="superscript"/>
          <w:lang w:val="fr-FR"/>
        </w:rPr>
        <w:t>o</w:t>
      </w:r>
      <w:r w:rsidRPr="00916728">
        <w:rPr>
          <w:lang w:val="fr-FR"/>
        </w:rPr>
        <w:t xml:space="preserve"> 33 (2008) sur les obligations </w:t>
      </w:r>
      <w:r w:rsidRPr="000F3E57">
        <w:rPr>
          <w:snapToGrid w:val="0"/>
          <w:szCs w:val="24"/>
          <w:lang w:val="fr-CH"/>
        </w:rPr>
        <w:t>des États parties en vertu du Protocole facultatif se rapportant au Pacte international relatif aux droits civils et politiques</w:t>
      </w:r>
      <w:r w:rsidRPr="00916728">
        <w:rPr>
          <w:lang w:val="fr-FR"/>
        </w:rPr>
        <w:t>, par. 19.</w:t>
      </w:r>
    </w:p>
  </w:footnote>
  <w:footnote w:id="18">
    <w:p w:rsidR="00B67457" w:rsidRPr="00916728" w:rsidRDefault="00B67457" w:rsidP="008549F0">
      <w:pPr>
        <w:pStyle w:val="FootnoteText"/>
        <w:rPr>
          <w:lang w:val="fr-FR"/>
        </w:rPr>
      </w:pPr>
      <w:r w:rsidRPr="00916728">
        <w:rPr>
          <w:lang w:val="fr-FR"/>
        </w:rPr>
        <w:tab/>
      </w:r>
      <w:r w:rsidRPr="00916728">
        <w:rPr>
          <w:rStyle w:val="FootnoteReference"/>
          <w:lang w:val="fr-FR"/>
        </w:rPr>
        <w:footnoteRef/>
      </w:r>
      <w:r w:rsidRPr="00916728">
        <w:rPr>
          <w:lang w:val="fr-FR"/>
        </w:rPr>
        <w:tab/>
      </w:r>
      <w:r w:rsidR="008549F0" w:rsidRPr="00916728">
        <w:rPr>
          <w:lang w:val="fr-FR"/>
        </w:rPr>
        <w:t xml:space="preserve">Voir </w:t>
      </w:r>
      <w:r w:rsidR="000F3E57">
        <w:rPr>
          <w:lang w:val="fr-FR"/>
        </w:rPr>
        <w:t>l’</w:t>
      </w:r>
      <w:r w:rsidR="008549F0" w:rsidRPr="000F3E57">
        <w:rPr>
          <w:lang w:val="fr-FR"/>
        </w:rPr>
        <w:t>o</w:t>
      </w:r>
      <w:r w:rsidRPr="00916728">
        <w:rPr>
          <w:lang w:val="fr-FR"/>
        </w:rPr>
        <w:t>bservation générale n</w:t>
      </w:r>
      <w:r w:rsidRPr="00916728">
        <w:rPr>
          <w:vertAlign w:val="superscript"/>
          <w:lang w:val="fr-FR"/>
        </w:rPr>
        <w:t>o</w:t>
      </w:r>
      <w:r w:rsidRPr="00916728">
        <w:rPr>
          <w:lang w:val="fr-FR"/>
        </w:rPr>
        <w:t> 31, par. 4.</w:t>
      </w:r>
    </w:p>
  </w:footnote>
  <w:footnote w:id="19">
    <w:p w:rsidR="00B67457" w:rsidRPr="00C02A0D" w:rsidRDefault="00B67457" w:rsidP="00AF0D96">
      <w:pPr>
        <w:pStyle w:val="FootnoteText"/>
        <w:rPr>
          <w:lang w:val="fr-FR"/>
        </w:rPr>
      </w:pPr>
      <w:r w:rsidRPr="00916728">
        <w:rPr>
          <w:lang w:val="fr-FR"/>
        </w:rPr>
        <w:tab/>
      </w:r>
      <w:r w:rsidRPr="00916728">
        <w:rPr>
          <w:rStyle w:val="FootnoteReference"/>
          <w:lang w:val="fr-FR"/>
        </w:rPr>
        <w:footnoteRef/>
      </w:r>
      <w:r w:rsidRPr="00916728">
        <w:rPr>
          <w:lang w:val="fr-FR"/>
        </w:rPr>
        <w:tab/>
        <w:t xml:space="preserve">Voir, par exemple, </w:t>
      </w:r>
      <w:r w:rsidR="000F3E57">
        <w:rPr>
          <w:lang w:val="fr-FR"/>
        </w:rPr>
        <w:t xml:space="preserve">les </w:t>
      </w:r>
      <w:r w:rsidRPr="00916728">
        <w:rPr>
          <w:lang w:val="fr-FR"/>
        </w:rPr>
        <w:t>communications n</w:t>
      </w:r>
      <w:r w:rsidRPr="00916728">
        <w:rPr>
          <w:vertAlign w:val="superscript"/>
          <w:lang w:val="fr-FR"/>
        </w:rPr>
        <w:t>o</w:t>
      </w:r>
      <w:r w:rsidRPr="00916728">
        <w:rPr>
          <w:lang w:val="fr-FR"/>
        </w:rPr>
        <w:t xml:space="preserve"> 2176/2012, </w:t>
      </w:r>
      <w:r w:rsidRPr="00916728">
        <w:rPr>
          <w:i/>
          <w:lang w:val="fr-FR"/>
        </w:rPr>
        <w:t>M</w:t>
      </w:r>
      <w:r w:rsidRPr="000F3E57">
        <w:rPr>
          <w:i/>
          <w:lang w:val="fr-FR"/>
        </w:rPr>
        <w:t xml:space="preserve"> c</w:t>
      </w:r>
      <w:r w:rsidRPr="00916728">
        <w:rPr>
          <w:lang w:val="fr-FR"/>
        </w:rPr>
        <w:t xml:space="preserve">. </w:t>
      </w:r>
      <w:r w:rsidRPr="00916728">
        <w:rPr>
          <w:i/>
          <w:lang w:val="fr-FR"/>
        </w:rPr>
        <w:t>Belgique</w:t>
      </w:r>
      <w:r w:rsidRPr="00916728">
        <w:rPr>
          <w:lang w:val="fr-FR"/>
        </w:rPr>
        <w:t>, décision d’irrecevabilité adoptée le 30 mars 2015, par. 6.5</w:t>
      </w:r>
      <w:r w:rsidRPr="000F3E57">
        <w:rPr>
          <w:lang w:val="fr-FR"/>
        </w:rPr>
        <w:t>;</w:t>
      </w:r>
      <w:r w:rsidRPr="00916728">
        <w:rPr>
          <w:lang w:val="fr-FR"/>
        </w:rPr>
        <w:t xml:space="preserve"> et n</w:t>
      </w:r>
      <w:r w:rsidRPr="00916728">
        <w:rPr>
          <w:vertAlign w:val="superscript"/>
          <w:lang w:val="fr-FR"/>
        </w:rPr>
        <w:t>o</w:t>
      </w:r>
      <w:r w:rsidRPr="00916728">
        <w:rPr>
          <w:lang w:val="fr-FR"/>
        </w:rPr>
        <w:t xml:space="preserve"> 1544/2007, </w:t>
      </w:r>
      <w:r w:rsidRPr="00916728">
        <w:rPr>
          <w:i/>
          <w:iCs/>
          <w:lang w:val="fr-FR"/>
        </w:rPr>
        <w:t>Hamida</w:t>
      </w:r>
      <w:r w:rsidRPr="00916728">
        <w:rPr>
          <w:lang w:val="fr-FR"/>
        </w:rPr>
        <w:t xml:space="preserve"> </w:t>
      </w:r>
      <w:r w:rsidRPr="000F3E57">
        <w:rPr>
          <w:i/>
          <w:iCs/>
          <w:lang w:val="fr-FR"/>
        </w:rPr>
        <w:t>c</w:t>
      </w:r>
      <w:r w:rsidRPr="00916728">
        <w:rPr>
          <w:lang w:val="fr-FR"/>
        </w:rPr>
        <w:t xml:space="preserve">. </w:t>
      </w:r>
      <w:r w:rsidRPr="00916728">
        <w:rPr>
          <w:i/>
          <w:iCs/>
          <w:lang w:val="fr-FR"/>
        </w:rPr>
        <w:t>Canada</w:t>
      </w:r>
      <w:r w:rsidRPr="00916728">
        <w:rPr>
          <w:lang w:val="fr-FR"/>
        </w:rPr>
        <w:t>, constatations adoptées le 18 mars 2010, par. 7.3.</w:t>
      </w:r>
    </w:p>
  </w:footnote>
  <w:footnote w:id="20">
    <w:p w:rsidR="00B67457" w:rsidRPr="00916728" w:rsidRDefault="00B67457">
      <w:pPr>
        <w:pStyle w:val="FootnoteText"/>
        <w:ind w:right="1138"/>
        <w:rPr>
          <w:szCs w:val="18"/>
          <w:lang w:val="fr-FR"/>
        </w:rPr>
      </w:pPr>
      <w:r w:rsidRPr="00C02A0D">
        <w:rPr>
          <w:szCs w:val="18"/>
          <w:lang w:val="fr-FR"/>
        </w:rPr>
        <w:tab/>
      </w:r>
      <w:r w:rsidRPr="00C02A0D">
        <w:rPr>
          <w:rStyle w:val="FootnoteReference"/>
          <w:szCs w:val="18"/>
          <w:lang w:val="fr-FR"/>
        </w:rPr>
        <w:footnoteRef/>
      </w:r>
      <w:r w:rsidRPr="00C02A0D">
        <w:rPr>
          <w:szCs w:val="18"/>
          <w:lang w:val="fr-FR"/>
        </w:rPr>
        <w:tab/>
      </w:r>
      <w:r w:rsidRPr="00916728">
        <w:rPr>
          <w:szCs w:val="18"/>
          <w:lang w:val="fr-FR"/>
        </w:rPr>
        <w:t xml:space="preserve">Voir </w:t>
      </w:r>
      <w:r w:rsidR="000F3E57">
        <w:rPr>
          <w:szCs w:val="18"/>
          <w:lang w:val="fr-FR"/>
        </w:rPr>
        <w:t xml:space="preserve">les </w:t>
      </w:r>
      <w:r w:rsidRPr="00916728">
        <w:rPr>
          <w:szCs w:val="18"/>
          <w:lang w:val="fr-FR"/>
        </w:rPr>
        <w:t xml:space="preserve">observations générales </w:t>
      </w:r>
      <w:r w:rsidRPr="00916728">
        <w:rPr>
          <w:rFonts w:eastAsia="MS Mincho"/>
          <w:szCs w:val="18"/>
          <w:lang w:val="fr-FR"/>
        </w:rPr>
        <w:t>n</w:t>
      </w:r>
      <w:r w:rsidRPr="00916728">
        <w:rPr>
          <w:rFonts w:eastAsia="MS Mincho"/>
          <w:szCs w:val="18"/>
          <w:vertAlign w:val="superscript"/>
          <w:lang w:val="fr-FR"/>
        </w:rPr>
        <w:t>o</w:t>
      </w:r>
      <w:r w:rsidRPr="00916728">
        <w:rPr>
          <w:szCs w:val="18"/>
          <w:lang w:val="fr-FR"/>
        </w:rPr>
        <w:t xml:space="preserve"> 6 (1982) sur </w:t>
      </w:r>
      <w:r w:rsidR="00823621" w:rsidRPr="000F3E57">
        <w:rPr>
          <w:szCs w:val="18"/>
          <w:lang w:val="fr-FR"/>
        </w:rPr>
        <w:t xml:space="preserve">le </w:t>
      </w:r>
      <w:r w:rsidRPr="00916728">
        <w:rPr>
          <w:szCs w:val="18"/>
          <w:lang w:val="fr-FR"/>
        </w:rPr>
        <w:t>droit à la vie</w:t>
      </w:r>
      <w:r w:rsidR="00823621" w:rsidRPr="000F3E57">
        <w:rPr>
          <w:szCs w:val="18"/>
          <w:lang w:val="fr-FR"/>
        </w:rPr>
        <w:t xml:space="preserve"> (article 6 du Pacte)</w:t>
      </w:r>
      <w:r w:rsidRPr="00916728">
        <w:rPr>
          <w:szCs w:val="18"/>
          <w:lang w:val="fr-FR"/>
        </w:rPr>
        <w:t xml:space="preserve"> et </w:t>
      </w:r>
      <w:r w:rsidRPr="00916728">
        <w:rPr>
          <w:rFonts w:eastAsia="MS Mincho"/>
          <w:szCs w:val="18"/>
          <w:lang w:val="fr-FR"/>
        </w:rPr>
        <w:t>n</w:t>
      </w:r>
      <w:r w:rsidRPr="00916728">
        <w:rPr>
          <w:rFonts w:eastAsia="MS Mincho"/>
          <w:szCs w:val="18"/>
          <w:vertAlign w:val="superscript"/>
          <w:lang w:val="fr-FR"/>
        </w:rPr>
        <w:t>o</w:t>
      </w:r>
      <w:r w:rsidRPr="00916728">
        <w:rPr>
          <w:szCs w:val="18"/>
          <w:lang w:val="fr-FR"/>
        </w:rPr>
        <w:t xml:space="preserve"> 20 (1992) sur l’interdiction de la torture et des peines ou traitements cruels, inhumains ou dégradants </w:t>
      </w:r>
      <w:r w:rsidR="00F17946" w:rsidRPr="00916728">
        <w:rPr>
          <w:szCs w:val="18"/>
          <w:lang w:val="fr-FR"/>
        </w:rPr>
        <w:t>(article 7 du Pacte)</w:t>
      </w:r>
      <w:r w:rsidRPr="00C02A0D">
        <w:rPr>
          <w:szCs w:val="18"/>
          <w:lang w:val="fr-FR"/>
        </w:rPr>
        <w:t xml:space="preserve">; voir </w:t>
      </w:r>
      <w:r w:rsidRPr="00916728">
        <w:rPr>
          <w:szCs w:val="18"/>
          <w:lang w:val="fr-FR"/>
        </w:rPr>
        <w:t xml:space="preserve">aussi </w:t>
      </w:r>
      <w:r w:rsidRPr="00916728">
        <w:rPr>
          <w:i/>
          <w:szCs w:val="18"/>
          <w:lang w:val="fr-FR"/>
        </w:rPr>
        <w:t xml:space="preserve">Hamida </w:t>
      </w:r>
      <w:r w:rsidRPr="000F3E57">
        <w:rPr>
          <w:i/>
          <w:iCs/>
          <w:szCs w:val="18"/>
          <w:lang w:val="fr-FR"/>
        </w:rPr>
        <w:t>c.</w:t>
      </w:r>
      <w:r w:rsidRPr="00916728">
        <w:rPr>
          <w:i/>
          <w:szCs w:val="18"/>
          <w:lang w:val="fr-FR"/>
        </w:rPr>
        <w:t> Canada</w:t>
      </w:r>
      <w:r w:rsidRPr="00916728">
        <w:rPr>
          <w:szCs w:val="18"/>
          <w:lang w:val="fr-FR"/>
        </w:rPr>
        <w:t>, par. 8.2.</w:t>
      </w:r>
    </w:p>
  </w:footnote>
  <w:footnote w:id="21">
    <w:p w:rsidR="00B67457" w:rsidRPr="00916728" w:rsidRDefault="00B67457" w:rsidP="008549F0">
      <w:pPr>
        <w:pStyle w:val="FootnoteText"/>
        <w:ind w:left="1138" w:right="1138" w:hanging="1138"/>
        <w:rPr>
          <w:szCs w:val="18"/>
          <w:lang w:val="fr-FR"/>
        </w:rPr>
      </w:pPr>
      <w:r w:rsidRPr="00916728">
        <w:rPr>
          <w:szCs w:val="18"/>
          <w:lang w:val="fr-FR"/>
        </w:rPr>
        <w:tab/>
      </w:r>
      <w:r w:rsidRPr="00916728">
        <w:rPr>
          <w:rStyle w:val="FootnoteReference"/>
          <w:szCs w:val="18"/>
          <w:lang w:val="fr-FR"/>
        </w:rPr>
        <w:footnoteRef/>
      </w:r>
      <w:r w:rsidRPr="00916728">
        <w:rPr>
          <w:szCs w:val="18"/>
          <w:lang w:val="fr-FR"/>
        </w:rPr>
        <w:tab/>
      </w:r>
      <w:r w:rsidR="008549F0" w:rsidRPr="00916728">
        <w:rPr>
          <w:szCs w:val="18"/>
          <w:lang w:val="fr-FR"/>
        </w:rPr>
        <w:t xml:space="preserve">Voir </w:t>
      </w:r>
      <w:r w:rsidR="000F3E57">
        <w:rPr>
          <w:szCs w:val="18"/>
          <w:lang w:val="fr-FR"/>
        </w:rPr>
        <w:t>l’</w:t>
      </w:r>
      <w:r w:rsidR="008549F0" w:rsidRPr="00916728">
        <w:rPr>
          <w:szCs w:val="18"/>
          <w:lang w:val="fr-FR"/>
        </w:rPr>
        <w:t>o</w:t>
      </w:r>
      <w:r w:rsidRPr="00916728">
        <w:rPr>
          <w:szCs w:val="18"/>
          <w:lang w:val="fr-FR"/>
        </w:rPr>
        <w:t xml:space="preserve">bservation générale </w:t>
      </w:r>
      <w:r w:rsidRPr="00916728">
        <w:rPr>
          <w:rFonts w:eastAsia="MS Mincho"/>
          <w:szCs w:val="18"/>
          <w:lang w:val="fr-FR"/>
        </w:rPr>
        <w:t>n</w:t>
      </w:r>
      <w:r w:rsidRPr="00916728">
        <w:rPr>
          <w:rFonts w:eastAsia="MS Mincho"/>
          <w:szCs w:val="18"/>
          <w:vertAlign w:val="superscript"/>
          <w:lang w:val="fr-FR"/>
        </w:rPr>
        <w:t>o</w:t>
      </w:r>
      <w:r w:rsidRPr="00916728">
        <w:rPr>
          <w:szCs w:val="18"/>
          <w:lang w:val="fr-FR"/>
        </w:rPr>
        <w:t xml:space="preserve"> 31, par. 12; voir, entre autres, </w:t>
      </w:r>
      <w:r w:rsidRPr="00916728">
        <w:rPr>
          <w:i/>
          <w:szCs w:val="18"/>
          <w:lang w:val="fr-FR"/>
        </w:rPr>
        <w:t xml:space="preserve">Hamida </w:t>
      </w:r>
      <w:r w:rsidRPr="000F3E57">
        <w:rPr>
          <w:i/>
          <w:iCs/>
          <w:szCs w:val="18"/>
          <w:lang w:val="fr-FR"/>
        </w:rPr>
        <w:t>c.</w:t>
      </w:r>
      <w:r w:rsidRPr="00916728">
        <w:rPr>
          <w:i/>
          <w:szCs w:val="18"/>
          <w:lang w:val="fr-FR"/>
        </w:rPr>
        <w:t> Canada</w:t>
      </w:r>
      <w:r w:rsidRPr="00916728">
        <w:rPr>
          <w:szCs w:val="18"/>
          <w:lang w:val="fr-FR"/>
        </w:rPr>
        <w:t>, par. 8.7</w:t>
      </w:r>
      <w:r w:rsidRPr="000F3E57">
        <w:rPr>
          <w:szCs w:val="18"/>
          <w:lang w:val="fr-FR"/>
        </w:rPr>
        <w:t>;</w:t>
      </w:r>
      <w:r w:rsidRPr="00916728">
        <w:rPr>
          <w:szCs w:val="18"/>
          <w:lang w:val="fr-FR"/>
        </w:rPr>
        <w:t xml:space="preserve"> et </w:t>
      </w:r>
      <w:r w:rsidR="000F3E57">
        <w:rPr>
          <w:szCs w:val="18"/>
          <w:lang w:val="fr-FR"/>
        </w:rPr>
        <w:t xml:space="preserve">la </w:t>
      </w:r>
      <w:r w:rsidRPr="00916728">
        <w:rPr>
          <w:szCs w:val="18"/>
          <w:lang w:val="fr-FR"/>
        </w:rPr>
        <w:t xml:space="preserve">communication </w:t>
      </w:r>
      <w:r w:rsidRPr="00916728">
        <w:rPr>
          <w:rFonts w:eastAsia="MS Mincho"/>
          <w:szCs w:val="18"/>
          <w:lang w:val="fr-FR"/>
        </w:rPr>
        <w:t>n</w:t>
      </w:r>
      <w:r w:rsidRPr="00916728">
        <w:rPr>
          <w:rFonts w:eastAsia="MS Mincho"/>
          <w:szCs w:val="18"/>
          <w:vertAlign w:val="superscript"/>
          <w:lang w:val="fr-FR"/>
        </w:rPr>
        <w:t>o</w:t>
      </w:r>
      <w:r w:rsidRPr="00916728">
        <w:rPr>
          <w:szCs w:val="18"/>
          <w:lang w:val="fr-FR"/>
        </w:rPr>
        <w:t xml:space="preserve"> 692/1996, </w:t>
      </w:r>
      <w:r w:rsidRPr="00916728">
        <w:rPr>
          <w:i/>
          <w:iCs/>
          <w:szCs w:val="18"/>
          <w:lang w:val="fr-FR"/>
        </w:rPr>
        <w:t xml:space="preserve">A. R. J. </w:t>
      </w:r>
      <w:r w:rsidRPr="000F3E57">
        <w:rPr>
          <w:i/>
          <w:szCs w:val="18"/>
          <w:lang w:val="fr-FR"/>
        </w:rPr>
        <w:t>c</w:t>
      </w:r>
      <w:r w:rsidRPr="00916728">
        <w:rPr>
          <w:iCs/>
          <w:szCs w:val="18"/>
          <w:lang w:val="fr-FR"/>
        </w:rPr>
        <w:t>.</w:t>
      </w:r>
      <w:r w:rsidRPr="00916728">
        <w:rPr>
          <w:i/>
          <w:iCs/>
          <w:szCs w:val="18"/>
          <w:lang w:val="fr-FR"/>
        </w:rPr>
        <w:t> Australie</w:t>
      </w:r>
      <w:r w:rsidRPr="00916728">
        <w:rPr>
          <w:szCs w:val="18"/>
          <w:lang w:val="fr-FR"/>
        </w:rPr>
        <w:t>, constatations adoptées le 28 juillet 1997, par. 6.14.</w:t>
      </w:r>
    </w:p>
  </w:footnote>
  <w:footnote w:id="22">
    <w:p w:rsidR="00B67457" w:rsidRPr="00916728" w:rsidRDefault="00B67457" w:rsidP="00AF0D96">
      <w:pPr>
        <w:pStyle w:val="FootnoteText"/>
        <w:tabs>
          <w:tab w:val="left" w:pos="8505"/>
        </w:tabs>
        <w:ind w:left="1138" w:right="1138" w:hanging="1138"/>
        <w:rPr>
          <w:szCs w:val="18"/>
          <w:lang w:val="fr-FR"/>
        </w:rPr>
      </w:pPr>
      <w:r w:rsidRPr="00916728">
        <w:rPr>
          <w:szCs w:val="18"/>
          <w:lang w:val="fr-FR"/>
        </w:rPr>
        <w:tab/>
      </w:r>
      <w:r w:rsidRPr="00916728">
        <w:rPr>
          <w:rStyle w:val="FootnoteReference"/>
          <w:szCs w:val="18"/>
          <w:lang w:val="fr-FR"/>
        </w:rPr>
        <w:footnoteRef/>
      </w:r>
      <w:r w:rsidRPr="00916728">
        <w:rPr>
          <w:szCs w:val="18"/>
          <w:lang w:val="fr-FR"/>
        </w:rPr>
        <w:tab/>
        <w:t xml:space="preserve">Voir </w:t>
      </w:r>
      <w:r w:rsidRPr="00916728">
        <w:rPr>
          <w:i/>
          <w:iCs/>
          <w:szCs w:val="18"/>
          <w:lang w:val="fr-FR"/>
        </w:rPr>
        <w:t xml:space="preserve">A. R. J. </w:t>
      </w:r>
      <w:r w:rsidRPr="000F3E57">
        <w:rPr>
          <w:i/>
          <w:szCs w:val="18"/>
          <w:lang w:val="fr-FR"/>
        </w:rPr>
        <w:t>c.</w:t>
      </w:r>
      <w:r w:rsidRPr="00916728">
        <w:rPr>
          <w:i/>
          <w:iCs/>
          <w:szCs w:val="18"/>
          <w:lang w:val="fr-FR"/>
        </w:rPr>
        <w:t xml:space="preserve"> Australie</w:t>
      </w:r>
      <w:r w:rsidRPr="00916728">
        <w:rPr>
          <w:szCs w:val="18"/>
          <w:lang w:val="fr-FR"/>
        </w:rPr>
        <w:t>, par. 6.6.</w:t>
      </w:r>
    </w:p>
  </w:footnote>
  <w:footnote w:id="23">
    <w:p w:rsidR="00B67457" w:rsidRPr="00916728" w:rsidRDefault="00B67457" w:rsidP="008549F0">
      <w:pPr>
        <w:pStyle w:val="FootnoteText"/>
        <w:ind w:left="1138" w:right="1138" w:hanging="1138"/>
        <w:rPr>
          <w:szCs w:val="18"/>
          <w:lang w:val="fr-FR"/>
        </w:rPr>
      </w:pPr>
      <w:r w:rsidRPr="00916728">
        <w:rPr>
          <w:szCs w:val="18"/>
          <w:lang w:val="fr-FR"/>
        </w:rPr>
        <w:tab/>
      </w:r>
      <w:r w:rsidRPr="00916728">
        <w:rPr>
          <w:rStyle w:val="FootnoteReference"/>
          <w:szCs w:val="18"/>
          <w:lang w:val="fr-FR"/>
        </w:rPr>
        <w:footnoteRef/>
      </w:r>
      <w:r w:rsidRPr="00916728">
        <w:rPr>
          <w:szCs w:val="18"/>
          <w:lang w:val="fr-FR"/>
        </w:rPr>
        <w:tab/>
      </w:r>
      <w:r w:rsidR="008549F0" w:rsidRPr="00916728">
        <w:rPr>
          <w:szCs w:val="18"/>
          <w:lang w:val="fr-FR"/>
        </w:rPr>
        <w:t xml:space="preserve">Voir </w:t>
      </w:r>
      <w:r w:rsidR="000F3E57">
        <w:rPr>
          <w:szCs w:val="18"/>
          <w:lang w:val="fr-FR"/>
        </w:rPr>
        <w:t xml:space="preserve">la </w:t>
      </w:r>
      <w:r w:rsidR="008549F0" w:rsidRPr="00916728">
        <w:rPr>
          <w:szCs w:val="18"/>
          <w:lang w:val="fr-FR"/>
        </w:rPr>
        <w:t>c</w:t>
      </w:r>
      <w:r w:rsidRPr="00916728">
        <w:rPr>
          <w:szCs w:val="18"/>
          <w:lang w:val="fr-FR"/>
        </w:rPr>
        <w:t xml:space="preserve">ommunication </w:t>
      </w:r>
      <w:r w:rsidRPr="00916728">
        <w:rPr>
          <w:rFonts w:eastAsia="MS Mincho"/>
          <w:szCs w:val="18"/>
          <w:lang w:val="fr-FR"/>
        </w:rPr>
        <w:t>n</w:t>
      </w:r>
      <w:r w:rsidRPr="00916728">
        <w:rPr>
          <w:rFonts w:eastAsia="MS Mincho"/>
          <w:szCs w:val="18"/>
          <w:vertAlign w:val="superscript"/>
          <w:lang w:val="fr-FR"/>
        </w:rPr>
        <w:t>o</w:t>
      </w:r>
      <w:r w:rsidRPr="00916728">
        <w:rPr>
          <w:szCs w:val="18"/>
          <w:lang w:val="fr-FR"/>
        </w:rPr>
        <w:t> 1833/2008</w:t>
      </w:r>
      <w:r w:rsidRPr="000F3E57">
        <w:rPr>
          <w:iCs/>
          <w:szCs w:val="18"/>
          <w:lang w:val="fr-FR"/>
        </w:rPr>
        <w:t>,</w:t>
      </w:r>
      <w:r w:rsidRPr="00916728">
        <w:rPr>
          <w:i/>
          <w:szCs w:val="18"/>
          <w:lang w:val="fr-FR"/>
        </w:rPr>
        <w:t xml:space="preserve"> X </w:t>
      </w:r>
      <w:r w:rsidRPr="000F3E57">
        <w:rPr>
          <w:i/>
          <w:iCs/>
          <w:szCs w:val="18"/>
          <w:lang w:val="fr-FR"/>
        </w:rPr>
        <w:t>c.</w:t>
      </w:r>
      <w:r w:rsidRPr="00916728">
        <w:rPr>
          <w:i/>
          <w:szCs w:val="18"/>
          <w:lang w:val="fr-FR"/>
        </w:rPr>
        <w:t> Suède</w:t>
      </w:r>
      <w:r w:rsidRPr="00916728">
        <w:rPr>
          <w:szCs w:val="18"/>
          <w:lang w:val="fr-FR"/>
        </w:rPr>
        <w:t>, constatations adoptées le 1</w:t>
      </w:r>
      <w:r w:rsidRPr="00916728">
        <w:rPr>
          <w:szCs w:val="18"/>
          <w:vertAlign w:val="superscript"/>
          <w:lang w:val="fr-FR"/>
        </w:rPr>
        <w:t>er</w:t>
      </w:r>
      <w:r w:rsidRPr="00916728">
        <w:rPr>
          <w:szCs w:val="18"/>
          <w:lang w:val="fr-FR"/>
        </w:rPr>
        <w:t> novembre 2011, par. 5.18.</w:t>
      </w:r>
    </w:p>
  </w:footnote>
  <w:footnote w:id="24">
    <w:p w:rsidR="00B67457" w:rsidRPr="00916728" w:rsidRDefault="00B67457" w:rsidP="00C02A0D">
      <w:pPr>
        <w:pStyle w:val="FootnoteText"/>
        <w:ind w:left="1138" w:right="1138" w:hanging="1138"/>
        <w:rPr>
          <w:szCs w:val="18"/>
          <w:lang w:val="fr-FR"/>
        </w:rPr>
      </w:pPr>
      <w:r w:rsidRPr="00916728">
        <w:rPr>
          <w:szCs w:val="18"/>
          <w:lang w:val="fr-FR"/>
        </w:rPr>
        <w:tab/>
      </w:r>
      <w:r w:rsidRPr="00916728">
        <w:rPr>
          <w:rStyle w:val="FootnoteReference"/>
          <w:szCs w:val="18"/>
          <w:lang w:val="fr-FR"/>
        </w:rPr>
        <w:footnoteRef/>
      </w:r>
      <w:r w:rsidRPr="00916728">
        <w:rPr>
          <w:szCs w:val="18"/>
          <w:lang w:val="fr-FR"/>
        </w:rPr>
        <w:tab/>
        <w:t>Ibid</w:t>
      </w:r>
      <w:r w:rsidRPr="00916728">
        <w:rPr>
          <w:i/>
          <w:szCs w:val="18"/>
          <w:lang w:val="fr-FR"/>
        </w:rPr>
        <w:t>.</w:t>
      </w:r>
    </w:p>
  </w:footnote>
  <w:footnote w:id="25">
    <w:p w:rsidR="00B67457" w:rsidRPr="00C02A0D" w:rsidRDefault="00B67457" w:rsidP="00AF0D96">
      <w:pPr>
        <w:pStyle w:val="FootnoteText"/>
        <w:ind w:left="1138" w:right="1138" w:hanging="1138"/>
        <w:rPr>
          <w:szCs w:val="18"/>
          <w:lang w:val="fr-FR"/>
        </w:rPr>
      </w:pPr>
      <w:r w:rsidRPr="00916728">
        <w:rPr>
          <w:szCs w:val="18"/>
          <w:lang w:val="fr-FR"/>
        </w:rPr>
        <w:tab/>
      </w:r>
      <w:r w:rsidRPr="00916728">
        <w:rPr>
          <w:rStyle w:val="FootnoteReference"/>
          <w:szCs w:val="18"/>
          <w:lang w:val="fr-FR"/>
        </w:rPr>
        <w:footnoteRef/>
      </w:r>
      <w:r w:rsidRPr="00916728">
        <w:rPr>
          <w:szCs w:val="18"/>
          <w:lang w:val="fr-FR"/>
        </w:rPr>
        <w:tab/>
        <w:t xml:space="preserve">Voir, entre autres, </w:t>
      </w:r>
      <w:r w:rsidR="000F3E57">
        <w:rPr>
          <w:szCs w:val="18"/>
          <w:lang w:val="fr-FR"/>
        </w:rPr>
        <w:t xml:space="preserve">la </w:t>
      </w:r>
      <w:r w:rsidRPr="00916728">
        <w:rPr>
          <w:szCs w:val="18"/>
          <w:lang w:val="fr-FR"/>
        </w:rPr>
        <w:t xml:space="preserve">communication </w:t>
      </w:r>
      <w:r w:rsidRPr="00916728">
        <w:rPr>
          <w:rFonts w:eastAsia="MS Mincho"/>
          <w:szCs w:val="18"/>
          <w:lang w:val="fr-FR"/>
        </w:rPr>
        <w:t>n</w:t>
      </w:r>
      <w:r w:rsidRPr="00916728">
        <w:rPr>
          <w:rFonts w:eastAsia="MS Mincho"/>
          <w:szCs w:val="18"/>
          <w:vertAlign w:val="superscript"/>
          <w:lang w:val="fr-FR"/>
        </w:rPr>
        <w:t>o</w:t>
      </w:r>
      <w:r w:rsidRPr="00916728">
        <w:rPr>
          <w:szCs w:val="18"/>
          <w:lang w:val="fr-FR"/>
        </w:rPr>
        <w:t xml:space="preserve"> 541/1993, </w:t>
      </w:r>
      <w:r w:rsidRPr="00916728">
        <w:rPr>
          <w:i/>
          <w:szCs w:val="18"/>
          <w:lang w:val="fr-FR"/>
        </w:rPr>
        <w:t>Simms</w:t>
      </w:r>
      <w:r w:rsidRPr="00916728">
        <w:rPr>
          <w:szCs w:val="18"/>
          <w:lang w:val="fr-FR"/>
        </w:rPr>
        <w:t xml:space="preserve"> </w:t>
      </w:r>
      <w:r w:rsidRPr="000F3E57">
        <w:rPr>
          <w:i/>
          <w:iCs/>
          <w:szCs w:val="18"/>
          <w:lang w:val="fr-FR"/>
        </w:rPr>
        <w:t>c</w:t>
      </w:r>
      <w:r w:rsidRPr="00916728">
        <w:rPr>
          <w:szCs w:val="18"/>
          <w:lang w:val="fr-FR"/>
        </w:rPr>
        <w:t>. </w:t>
      </w:r>
      <w:r w:rsidRPr="00916728">
        <w:rPr>
          <w:i/>
          <w:szCs w:val="18"/>
          <w:lang w:val="fr-FR"/>
        </w:rPr>
        <w:t>Jamaïque</w:t>
      </w:r>
      <w:r w:rsidRPr="00916728">
        <w:rPr>
          <w:szCs w:val="18"/>
          <w:lang w:val="fr-FR"/>
        </w:rPr>
        <w:t>, décision d’irrecevabilité adoptée le 3 avril 1995, par. 6.2.</w:t>
      </w:r>
    </w:p>
  </w:footnote>
  <w:footnote w:id="26">
    <w:p w:rsidR="00B67457" w:rsidRPr="00916728" w:rsidRDefault="00B67457" w:rsidP="00FF3E3D">
      <w:pPr>
        <w:pStyle w:val="FootnoteText"/>
        <w:tabs>
          <w:tab w:val="left" w:pos="8505"/>
        </w:tabs>
        <w:rPr>
          <w:lang w:val="fr-FR"/>
        </w:rPr>
      </w:pPr>
      <w:r w:rsidRPr="00C02A0D">
        <w:rPr>
          <w:lang w:val="fr-FR"/>
        </w:rPr>
        <w:tab/>
      </w:r>
      <w:r w:rsidRPr="00C02A0D">
        <w:rPr>
          <w:rStyle w:val="FootnoteReference"/>
          <w:lang w:val="fr-FR"/>
        </w:rPr>
        <w:footnoteRef/>
      </w:r>
      <w:r w:rsidRPr="00C02A0D">
        <w:rPr>
          <w:lang w:val="fr-FR"/>
        </w:rPr>
        <w:tab/>
        <w:t xml:space="preserve">Notamment les sujets de préoccupation relevés par </w:t>
      </w:r>
      <w:r w:rsidRPr="00916728">
        <w:rPr>
          <w:lang w:val="fr-FR"/>
        </w:rPr>
        <w:t xml:space="preserve">le Comité </w:t>
      </w:r>
      <w:r w:rsidRPr="000F3E57">
        <w:rPr>
          <w:lang w:val="fr-FR"/>
        </w:rPr>
        <w:t xml:space="preserve">dans ses observations finales (CCPR/C/TCD/CO/2) suite à </w:t>
      </w:r>
      <w:r w:rsidRPr="00916728">
        <w:rPr>
          <w:lang w:val="fr-FR"/>
        </w:rPr>
        <w:t xml:space="preserve">l’examen du deuxième rapport périodique </w:t>
      </w:r>
      <w:r w:rsidRPr="000F3E57">
        <w:rPr>
          <w:lang w:val="fr-FR"/>
        </w:rPr>
        <w:t xml:space="preserve">du Tchad </w:t>
      </w:r>
      <w:r w:rsidRPr="00916728">
        <w:rPr>
          <w:lang w:val="fr-FR"/>
        </w:rPr>
        <w:t>en 2014, comme la pratique courante de la torture et les atteintes à la liberté d’expression.</w:t>
      </w:r>
    </w:p>
  </w:footnote>
  <w:footnote w:id="27">
    <w:p w:rsidR="00B67457" w:rsidRPr="00916728" w:rsidRDefault="00B67457" w:rsidP="00AF6D20">
      <w:pPr>
        <w:pStyle w:val="FootnoteText"/>
        <w:rPr>
          <w:lang w:val="fr-FR"/>
        </w:rPr>
      </w:pPr>
      <w:r w:rsidRPr="00916728">
        <w:rPr>
          <w:lang w:val="fr-FR"/>
        </w:rPr>
        <w:tab/>
      </w:r>
      <w:r w:rsidRPr="00916728">
        <w:rPr>
          <w:rStyle w:val="FootnoteReference"/>
          <w:lang w:val="fr-FR"/>
        </w:rPr>
        <w:footnoteRef/>
      </w:r>
      <w:r w:rsidRPr="00916728">
        <w:rPr>
          <w:rStyle w:val="FootnoteReference"/>
          <w:vertAlign w:val="baseline"/>
          <w:lang w:val="fr-FR"/>
        </w:rPr>
        <w:tab/>
      </w:r>
      <w:r w:rsidRPr="00916728">
        <w:rPr>
          <w:lang w:val="fr-FR"/>
        </w:rPr>
        <w:t xml:space="preserve">Voir </w:t>
      </w:r>
      <w:r w:rsidR="000F3E57">
        <w:rPr>
          <w:lang w:val="fr-FR"/>
        </w:rPr>
        <w:t xml:space="preserve">la </w:t>
      </w:r>
      <w:r w:rsidRPr="00916728">
        <w:rPr>
          <w:lang w:val="fr-FR"/>
        </w:rPr>
        <w:t>communication n</w:t>
      </w:r>
      <w:r w:rsidRPr="00916728">
        <w:rPr>
          <w:vertAlign w:val="superscript"/>
          <w:lang w:val="fr-FR"/>
        </w:rPr>
        <w:t>o</w:t>
      </w:r>
      <w:r w:rsidRPr="00916728">
        <w:rPr>
          <w:lang w:val="fr-FR"/>
        </w:rPr>
        <w:t xml:space="preserve"> 2007/2010, </w:t>
      </w:r>
      <w:r w:rsidRPr="000F3E57">
        <w:rPr>
          <w:i/>
          <w:iCs/>
          <w:lang w:val="fr-FR"/>
        </w:rPr>
        <w:t>X</w:t>
      </w:r>
      <w:r w:rsidRPr="00916728">
        <w:rPr>
          <w:i/>
          <w:lang w:val="fr-FR"/>
        </w:rPr>
        <w:t xml:space="preserve"> </w:t>
      </w:r>
      <w:r w:rsidRPr="000F3E57">
        <w:rPr>
          <w:i/>
          <w:iCs/>
          <w:lang w:val="fr-FR"/>
        </w:rPr>
        <w:t>c.</w:t>
      </w:r>
      <w:r w:rsidRPr="00916728">
        <w:rPr>
          <w:i/>
          <w:lang w:val="fr-FR"/>
        </w:rPr>
        <w:t> Danemark</w:t>
      </w:r>
      <w:r w:rsidRPr="00916728">
        <w:rPr>
          <w:lang w:val="fr-FR"/>
        </w:rPr>
        <w:t>, constatations adoptées le 26 mars 2014, par. 9.2; Comité contre la torture, communications n</w:t>
      </w:r>
      <w:r w:rsidRPr="000F3E57">
        <w:rPr>
          <w:vertAlign w:val="superscript"/>
          <w:lang w:val="fr-FR"/>
        </w:rPr>
        <w:t>o</w:t>
      </w:r>
      <w:r w:rsidRPr="00916728">
        <w:rPr>
          <w:lang w:val="fr-FR"/>
        </w:rPr>
        <w:t xml:space="preserve"> 282/2005, </w:t>
      </w:r>
      <w:r w:rsidRPr="00916728">
        <w:rPr>
          <w:i/>
          <w:lang w:val="fr-FR"/>
        </w:rPr>
        <w:t xml:space="preserve">S. P. A. </w:t>
      </w:r>
      <w:r w:rsidRPr="000F3E57">
        <w:rPr>
          <w:i/>
          <w:iCs/>
          <w:lang w:val="fr-FR"/>
        </w:rPr>
        <w:t>c.</w:t>
      </w:r>
      <w:r w:rsidRPr="00916728">
        <w:rPr>
          <w:i/>
          <w:lang w:val="fr-FR"/>
        </w:rPr>
        <w:t> Canada</w:t>
      </w:r>
      <w:r w:rsidRPr="00916728">
        <w:rPr>
          <w:lang w:val="fr-FR"/>
        </w:rPr>
        <w:t>, décision adoptée le 7 novembre 2006; n</w:t>
      </w:r>
      <w:r w:rsidRPr="00916728">
        <w:rPr>
          <w:vertAlign w:val="superscript"/>
          <w:lang w:val="fr-FR"/>
        </w:rPr>
        <w:t>o</w:t>
      </w:r>
      <w:r w:rsidRPr="00916728">
        <w:rPr>
          <w:lang w:val="fr-FR"/>
        </w:rPr>
        <w:t xml:space="preserve"> 333/2007, </w:t>
      </w:r>
      <w:r w:rsidRPr="00916728">
        <w:rPr>
          <w:i/>
          <w:lang w:val="fr-FR"/>
        </w:rPr>
        <w:t>T. I. </w:t>
      </w:r>
      <w:r w:rsidRPr="000F3E57">
        <w:rPr>
          <w:i/>
          <w:iCs/>
          <w:lang w:val="fr-FR"/>
        </w:rPr>
        <w:t>c.</w:t>
      </w:r>
      <w:r w:rsidRPr="00916728">
        <w:rPr>
          <w:i/>
          <w:lang w:val="fr-FR"/>
        </w:rPr>
        <w:t> Canada</w:t>
      </w:r>
      <w:r w:rsidRPr="00916728">
        <w:rPr>
          <w:lang w:val="fr-FR"/>
        </w:rPr>
        <w:t>, décision adoptée le 15 novembre 2010; et n</w:t>
      </w:r>
      <w:r w:rsidRPr="00916728">
        <w:rPr>
          <w:vertAlign w:val="superscript"/>
          <w:lang w:val="fr-FR"/>
        </w:rPr>
        <w:t>o</w:t>
      </w:r>
      <w:r w:rsidRPr="00916728">
        <w:rPr>
          <w:lang w:val="fr-FR"/>
        </w:rPr>
        <w:t xml:space="preserve"> 344/2008, </w:t>
      </w:r>
      <w:r w:rsidRPr="00916728">
        <w:rPr>
          <w:i/>
          <w:lang w:val="fr-FR"/>
        </w:rPr>
        <w:t xml:space="preserve">A. M. A. </w:t>
      </w:r>
      <w:r w:rsidRPr="000F3E57">
        <w:rPr>
          <w:i/>
          <w:iCs/>
          <w:lang w:val="fr-FR"/>
        </w:rPr>
        <w:t>c.</w:t>
      </w:r>
      <w:r w:rsidRPr="00916728">
        <w:rPr>
          <w:i/>
          <w:lang w:val="fr-FR"/>
        </w:rPr>
        <w:t> Suisse</w:t>
      </w:r>
      <w:r w:rsidRPr="00916728">
        <w:rPr>
          <w:lang w:val="fr-FR"/>
        </w:rPr>
        <w:t xml:space="preserve">, décision adoptée le 12 novembre 2010; et Comité des droits de l’homme, </w:t>
      </w:r>
      <w:r w:rsidRPr="00916728">
        <w:rPr>
          <w:i/>
          <w:lang w:val="fr-FR"/>
        </w:rPr>
        <w:t xml:space="preserve">A. R. J. </w:t>
      </w:r>
      <w:r w:rsidRPr="000F3E57">
        <w:rPr>
          <w:i/>
          <w:iCs/>
          <w:lang w:val="fr-FR"/>
        </w:rPr>
        <w:t>c.</w:t>
      </w:r>
      <w:r w:rsidRPr="00916728">
        <w:rPr>
          <w:lang w:val="fr-FR"/>
        </w:rPr>
        <w:t> </w:t>
      </w:r>
      <w:r w:rsidRPr="00916728">
        <w:rPr>
          <w:i/>
          <w:lang w:val="fr-FR"/>
        </w:rPr>
        <w:t>Australie</w:t>
      </w:r>
      <w:r w:rsidRPr="00916728">
        <w:rPr>
          <w:lang w:val="fr-FR"/>
        </w:rPr>
        <w:t>, par. 6.6.</w:t>
      </w:r>
    </w:p>
  </w:footnote>
  <w:footnote w:id="28">
    <w:p w:rsidR="00B67457" w:rsidRPr="00C02A0D" w:rsidRDefault="00B67457" w:rsidP="00745D6F">
      <w:pPr>
        <w:pStyle w:val="FootnoteText"/>
        <w:rPr>
          <w:lang w:val="fr-FR"/>
        </w:rPr>
      </w:pPr>
      <w:r w:rsidRPr="00916728">
        <w:rPr>
          <w:lang w:val="fr-FR"/>
        </w:rPr>
        <w:tab/>
      </w:r>
      <w:r w:rsidRPr="00916728">
        <w:rPr>
          <w:rStyle w:val="FootnoteReference"/>
          <w:lang w:val="fr-FR"/>
        </w:rPr>
        <w:footnoteRef/>
      </w:r>
      <w:r w:rsidRPr="00916728">
        <w:rPr>
          <w:rStyle w:val="FootnoteReference"/>
          <w:vertAlign w:val="baseline"/>
          <w:lang w:val="fr-FR"/>
        </w:rPr>
        <w:tab/>
        <w:t xml:space="preserve">Voir </w:t>
      </w:r>
      <w:r w:rsidRPr="00916728">
        <w:rPr>
          <w:i/>
          <w:lang w:val="fr-FR"/>
        </w:rPr>
        <w:t xml:space="preserve">X </w:t>
      </w:r>
      <w:r w:rsidRPr="000F3E57">
        <w:rPr>
          <w:i/>
          <w:lang w:val="fr-FR"/>
        </w:rPr>
        <w:t>c. Danemark</w:t>
      </w:r>
      <w:r w:rsidRPr="00916728">
        <w:rPr>
          <w:lang w:val="fr-FR"/>
        </w:rPr>
        <w:t xml:space="preserve">, par. 9.2; et </w:t>
      </w:r>
      <w:r w:rsidRPr="00916728">
        <w:rPr>
          <w:i/>
          <w:lang w:val="fr-FR"/>
        </w:rPr>
        <w:t>X </w:t>
      </w:r>
      <w:r w:rsidRPr="000F3E57">
        <w:rPr>
          <w:i/>
          <w:iCs/>
          <w:lang w:val="fr-FR"/>
        </w:rPr>
        <w:t>c.</w:t>
      </w:r>
      <w:r w:rsidRPr="00916728">
        <w:rPr>
          <w:i/>
          <w:lang w:val="fr-FR"/>
        </w:rPr>
        <w:t> Suède</w:t>
      </w:r>
      <w:r w:rsidRPr="00916728">
        <w:rPr>
          <w:lang w:val="fr-FR"/>
        </w:rPr>
        <w:t>, par. 5.18.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457" w:rsidRPr="007474CD" w:rsidRDefault="00B67457">
    <w:pPr>
      <w:pStyle w:val="Header"/>
    </w:pPr>
    <w:r w:rsidRPr="007474CD">
      <w:t xml:space="preserve">CCPR/C/115/D/2284/2013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457" w:rsidRPr="007474CD" w:rsidRDefault="00B67457" w:rsidP="00DC75C5">
    <w:pPr>
      <w:pStyle w:val="Header"/>
      <w:jc w:val="right"/>
    </w:pPr>
    <w:r w:rsidRPr="007474CD">
      <w:t xml:space="preserve">CCPR/C/115/D/2284/2013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32B1785D"/>
    <w:multiLevelType w:val="multilevel"/>
    <w:tmpl w:val="939C47D8"/>
    <w:lvl w:ilvl="0">
      <w:start w:val="4"/>
      <w:numFmt w:val="decimal"/>
      <w:lvlText w:val="%1"/>
      <w:lvlJc w:val="left"/>
      <w:pPr>
        <w:ind w:left="360" w:hanging="360"/>
      </w:pPr>
      <w:rPr>
        <w:rFonts w:hint="default"/>
      </w:rPr>
    </w:lvl>
    <w:lvl w:ilvl="1">
      <w:start w:val="9"/>
      <w:numFmt w:val="decimal"/>
      <w:lvlText w:val="%1.%2"/>
      <w:lvlJc w:val="left"/>
      <w:pPr>
        <w:ind w:left="1572" w:hanging="360"/>
      </w:pPr>
      <w:rPr>
        <w:rFonts w:hint="default"/>
      </w:rPr>
    </w:lvl>
    <w:lvl w:ilvl="2">
      <w:start w:val="1"/>
      <w:numFmt w:val="decimal"/>
      <w:lvlText w:val="%1.%2.%3"/>
      <w:lvlJc w:val="left"/>
      <w:pPr>
        <w:ind w:left="3144" w:hanging="720"/>
      </w:pPr>
      <w:rPr>
        <w:rFonts w:hint="default"/>
      </w:rPr>
    </w:lvl>
    <w:lvl w:ilvl="3">
      <w:start w:val="1"/>
      <w:numFmt w:val="decimal"/>
      <w:lvlText w:val="%1.%2.%3.%4"/>
      <w:lvlJc w:val="left"/>
      <w:pPr>
        <w:ind w:left="4356" w:hanging="720"/>
      </w:pPr>
      <w:rPr>
        <w:rFonts w:hint="default"/>
      </w:rPr>
    </w:lvl>
    <w:lvl w:ilvl="4">
      <w:start w:val="1"/>
      <w:numFmt w:val="decimal"/>
      <w:lvlText w:val="%1.%2.%3.%4.%5"/>
      <w:lvlJc w:val="left"/>
      <w:pPr>
        <w:ind w:left="5568" w:hanging="720"/>
      </w:pPr>
      <w:rPr>
        <w:rFonts w:hint="default"/>
      </w:rPr>
    </w:lvl>
    <w:lvl w:ilvl="5">
      <w:start w:val="1"/>
      <w:numFmt w:val="decimal"/>
      <w:lvlText w:val="%1.%2.%3.%4.%5.%6"/>
      <w:lvlJc w:val="left"/>
      <w:pPr>
        <w:ind w:left="7140" w:hanging="1080"/>
      </w:pPr>
      <w:rPr>
        <w:rFonts w:hint="default"/>
      </w:rPr>
    </w:lvl>
    <w:lvl w:ilvl="6">
      <w:start w:val="1"/>
      <w:numFmt w:val="decimal"/>
      <w:lvlText w:val="%1.%2.%3.%4.%5.%6.%7"/>
      <w:lvlJc w:val="left"/>
      <w:pPr>
        <w:ind w:left="8352" w:hanging="1080"/>
      </w:pPr>
      <w:rPr>
        <w:rFonts w:hint="default"/>
      </w:rPr>
    </w:lvl>
    <w:lvl w:ilvl="7">
      <w:start w:val="1"/>
      <w:numFmt w:val="decimal"/>
      <w:lvlText w:val="%1.%2.%3.%4.%5.%6.%7.%8"/>
      <w:lvlJc w:val="left"/>
      <w:pPr>
        <w:ind w:left="9924" w:hanging="1440"/>
      </w:pPr>
      <w:rPr>
        <w:rFonts w:hint="default"/>
      </w:rPr>
    </w:lvl>
    <w:lvl w:ilvl="8">
      <w:start w:val="1"/>
      <w:numFmt w:val="decimal"/>
      <w:lvlText w:val="%1.%2.%3.%4.%5.%6.%7.%8.%9"/>
      <w:lvlJc w:val="left"/>
      <w:pPr>
        <w:ind w:left="11136" w:hanging="1440"/>
      </w:pPr>
      <w:rPr>
        <w:rFonts w:hint="default"/>
      </w:rPr>
    </w:lvl>
  </w:abstractNum>
  <w:abstractNum w:abstractNumId="13">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6">
    <w:nsid w:val="6D8607D2"/>
    <w:multiLevelType w:val="hybridMultilevel"/>
    <w:tmpl w:val="6D4A38EE"/>
    <w:lvl w:ilvl="0" w:tplc="119004AA">
      <w:start w:val="1"/>
      <w:numFmt w:val="decimal"/>
      <w:pStyle w:val="para"/>
      <w:lvlText w:val="%1."/>
      <w:lvlJc w:val="left"/>
      <w:pPr>
        <w:tabs>
          <w:tab w:val="num" w:pos="1212"/>
        </w:tabs>
        <w:ind w:left="1212" w:hanging="360"/>
      </w:pPr>
      <w:rPr>
        <w:b w:val="0"/>
        <w:lang w:val="fr-FR"/>
      </w:rPr>
    </w:lvl>
    <w:lvl w:ilvl="1" w:tplc="10090019">
      <w:start w:val="1"/>
      <w:numFmt w:val="lowerLetter"/>
      <w:lvlText w:val="%2."/>
      <w:lvlJc w:val="left"/>
      <w:pPr>
        <w:tabs>
          <w:tab w:val="num" w:pos="1440"/>
        </w:tabs>
        <w:ind w:left="1440" w:hanging="360"/>
      </w:pPr>
    </w:lvl>
    <w:lvl w:ilvl="2" w:tplc="1009001B">
      <w:start w:val="1"/>
      <w:numFmt w:val="lowerRoman"/>
      <w:lvlText w:val="%3."/>
      <w:lvlJc w:val="right"/>
      <w:pPr>
        <w:tabs>
          <w:tab w:val="num" w:pos="2160"/>
        </w:tabs>
        <w:ind w:left="2160" w:hanging="180"/>
      </w:pPr>
    </w:lvl>
    <w:lvl w:ilvl="3" w:tplc="1009000F">
      <w:start w:val="1"/>
      <w:numFmt w:val="decimal"/>
      <w:lvlText w:val="%4."/>
      <w:lvlJc w:val="left"/>
      <w:pPr>
        <w:tabs>
          <w:tab w:val="num" w:pos="2880"/>
        </w:tabs>
        <w:ind w:left="2880" w:hanging="360"/>
      </w:pPr>
    </w:lvl>
    <w:lvl w:ilvl="4" w:tplc="054234B0">
      <w:start w:val="1"/>
      <w:numFmt w:val="lowerRoman"/>
      <w:lvlText w:val="%5)"/>
      <w:lvlJc w:val="left"/>
      <w:pPr>
        <w:ind w:left="3960" w:hanging="720"/>
      </w:pPr>
      <w:rPr>
        <w:rFonts w:hint="default"/>
      </w:r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15"/>
  </w:num>
  <w:num w:numId="2">
    <w:abstractNumId w:val="13"/>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0"/>
  </w:num>
  <w:num w:numId="15">
    <w:abstractNumId w:val="14"/>
  </w:num>
  <w:num w:numId="16">
    <w:abstractNumId w:val="16"/>
  </w:num>
  <w:num w:numId="17">
    <w:abstractNumId w:val="16"/>
    <w:lvlOverride w:ilvl="0">
      <w:startOverride w:val="1"/>
    </w:lvlOverride>
    <w:lvlOverride w:ilvl="1">
      <w:startOverride w:val="3"/>
    </w:lvlOverride>
  </w:num>
  <w:num w:numId="18">
    <w:abstractNumId w:val="16"/>
    <w:lvlOverride w:ilvl="0">
      <w:startOverride w:val="1"/>
    </w:lvlOverride>
    <w:lvlOverride w:ilvl="1">
      <w:startOverride w:val="4"/>
    </w:lvlOverride>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revisionView w:markup="0"/>
  <w:defaultTabStop w:val="567"/>
  <w:hyphenationZone w:val="425"/>
  <w:evenAndOddHeaders/>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576"/>
    <w:rsid w:val="00002DD3"/>
    <w:rsid w:val="000062B4"/>
    <w:rsid w:val="000112FE"/>
    <w:rsid w:val="00016D37"/>
    <w:rsid w:val="00017F94"/>
    <w:rsid w:val="00020028"/>
    <w:rsid w:val="000235E3"/>
    <w:rsid w:val="00023842"/>
    <w:rsid w:val="000245F4"/>
    <w:rsid w:val="00031EB2"/>
    <w:rsid w:val="00032941"/>
    <w:rsid w:val="000334F9"/>
    <w:rsid w:val="000348A5"/>
    <w:rsid w:val="000667D9"/>
    <w:rsid w:val="00067BC9"/>
    <w:rsid w:val="00072826"/>
    <w:rsid w:val="0007796D"/>
    <w:rsid w:val="00082EFD"/>
    <w:rsid w:val="0008708C"/>
    <w:rsid w:val="000A1614"/>
    <w:rsid w:val="000B1557"/>
    <w:rsid w:val="000B3B44"/>
    <w:rsid w:val="000B7790"/>
    <w:rsid w:val="000C06E7"/>
    <w:rsid w:val="000C2225"/>
    <w:rsid w:val="000C43DA"/>
    <w:rsid w:val="000C5027"/>
    <w:rsid w:val="000D3B54"/>
    <w:rsid w:val="000E6FC1"/>
    <w:rsid w:val="000E7547"/>
    <w:rsid w:val="000E7F42"/>
    <w:rsid w:val="000F279D"/>
    <w:rsid w:val="000F3E57"/>
    <w:rsid w:val="00103540"/>
    <w:rsid w:val="00110438"/>
    <w:rsid w:val="00110DAF"/>
    <w:rsid w:val="00111F2F"/>
    <w:rsid w:val="0011486D"/>
    <w:rsid w:val="001208E1"/>
    <w:rsid w:val="00123E30"/>
    <w:rsid w:val="00125280"/>
    <w:rsid w:val="001300F2"/>
    <w:rsid w:val="001302DE"/>
    <w:rsid w:val="00130F86"/>
    <w:rsid w:val="00131FDE"/>
    <w:rsid w:val="00137C23"/>
    <w:rsid w:val="001413CA"/>
    <w:rsid w:val="0014365E"/>
    <w:rsid w:val="001470D2"/>
    <w:rsid w:val="00150E9A"/>
    <w:rsid w:val="00167390"/>
    <w:rsid w:val="00170FFA"/>
    <w:rsid w:val="00172D91"/>
    <w:rsid w:val="00175BE9"/>
    <w:rsid w:val="00176178"/>
    <w:rsid w:val="00180A27"/>
    <w:rsid w:val="00193C5E"/>
    <w:rsid w:val="001A12FA"/>
    <w:rsid w:val="001B2E21"/>
    <w:rsid w:val="001B379B"/>
    <w:rsid w:val="001B53F6"/>
    <w:rsid w:val="001B7936"/>
    <w:rsid w:val="001C4E3C"/>
    <w:rsid w:val="001C5CCB"/>
    <w:rsid w:val="001D1A03"/>
    <w:rsid w:val="001F155A"/>
    <w:rsid w:val="001F2326"/>
    <w:rsid w:val="001F525A"/>
    <w:rsid w:val="001F5986"/>
    <w:rsid w:val="0020135D"/>
    <w:rsid w:val="0020427C"/>
    <w:rsid w:val="00210D5C"/>
    <w:rsid w:val="00216534"/>
    <w:rsid w:val="00223272"/>
    <w:rsid w:val="00224BF9"/>
    <w:rsid w:val="00241747"/>
    <w:rsid w:val="00241767"/>
    <w:rsid w:val="00244916"/>
    <w:rsid w:val="0024779E"/>
    <w:rsid w:val="00247B86"/>
    <w:rsid w:val="00247E12"/>
    <w:rsid w:val="00251B46"/>
    <w:rsid w:val="00255D9C"/>
    <w:rsid w:val="002667C5"/>
    <w:rsid w:val="00272928"/>
    <w:rsid w:val="0028093D"/>
    <w:rsid w:val="00282531"/>
    <w:rsid w:val="00283891"/>
    <w:rsid w:val="0028423A"/>
    <w:rsid w:val="002842F3"/>
    <w:rsid w:val="00290CEE"/>
    <w:rsid w:val="00292A89"/>
    <w:rsid w:val="002969A0"/>
    <w:rsid w:val="00297576"/>
    <w:rsid w:val="002A0E8C"/>
    <w:rsid w:val="002A1B34"/>
    <w:rsid w:val="002A4A57"/>
    <w:rsid w:val="002C022F"/>
    <w:rsid w:val="002C45CB"/>
    <w:rsid w:val="002C7B8F"/>
    <w:rsid w:val="002D0BCE"/>
    <w:rsid w:val="002E1829"/>
    <w:rsid w:val="002E4EC1"/>
    <w:rsid w:val="002F0DD5"/>
    <w:rsid w:val="002F27FA"/>
    <w:rsid w:val="002F4B62"/>
    <w:rsid w:val="002F6444"/>
    <w:rsid w:val="002F7B2A"/>
    <w:rsid w:val="0030078E"/>
    <w:rsid w:val="00301F89"/>
    <w:rsid w:val="00311ABC"/>
    <w:rsid w:val="0032225A"/>
    <w:rsid w:val="003314F2"/>
    <w:rsid w:val="00332861"/>
    <w:rsid w:val="0033360E"/>
    <w:rsid w:val="00336CF8"/>
    <w:rsid w:val="0033731B"/>
    <w:rsid w:val="00340246"/>
    <w:rsid w:val="003402F1"/>
    <w:rsid w:val="00345D48"/>
    <w:rsid w:val="00350093"/>
    <w:rsid w:val="00351332"/>
    <w:rsid w:val="00360592"/>
    <w:rsid w:val="00364797"/>
    <w:rsid w:val="003658EF"/>
    <w:rsid w:val="003668D9"/>
    <w:rsid w:val="00385104"/>
    <w:rsid w:val="00392A08"/>
    <w:rsid w:val="003A01CC"/>
    <w:rsid w:val="003A2006"/>
    <w:rsid w:val="003A6790"/>
    <w:rsid w:val="003B1D60"/>
    <w:rsid w:val="003B3A09"/>
    <w:rsid w:val="003D4A86"/>
    <w:rsid w:val="003E12DF"/>
    <w:rsid w:val="003E39DB"/>
    <w:rsid w:val="003E4DC8"/>
    <w:rsid w:val="003E57A9"/>
    <w:rsid w:val="003F0B75"/>
    <w:rsid w:val="003F1BEB"/>
    <w:rsid w:val="0040201E"/>
    <w:rsid w:val="00402F5E"/>
    <w:rsid w:val="004104B9"/>
    <w:rsid w:val="00414F59"/>
    <w:rsid w:val="00416F2E"/>
    <w:rsid w:val="004201E2"/>
    <w:rsid w:val="004241E9"/>
    <w:rsid w:val="00424533"/>
    <w:rsid w:val="0042492C"/>
    <w:rsid w:val="0042497A"/>
    <w:rsid w:val="0042679B"/>
    <w:rsid w:val="00430E71"/>
    <w:rsid w:val="00431135"/>
    <w:rsid w:val="0044029C"/>
    <w:rsid w:val="00440553"/>
    <w:rsid w:val="004436F4"/>
    <w:rsid w:val="00446FE5"/>
    <w:rsid w:val="00452396"/>
    <w:rsid w:val="004538D1"/>
    <w:rsid w:val="00455F0F"/>
    <w:rsid w:val="00471345"/>
    <w:rsid w:val="00471C4F"/>
    <w:rsid w:val="00481233"/>
    <w:rsid w:val="00486690"/>
    <w:rsid w:val="004A1901"/>
    <w:rsid w:val="004A585F"/>
    <w:rsid w:val="004A588D"/>
    <w:rsid w:val="004A6096"/>
    <w:rsid w:val="004A644A"/>
    <w:rsid w:val="004A7283"/>
    <w:rsid w:val="004B44AD"/>
    <w:rsid w:val="004B5F9B"/>
    <w:rsid w:val="004D440B"/>
    <w:rsid w:val="004D4E7F"/>
    <w:rsid w:val="004D539D"/>
    <w:rsid w:val="004E0B57"/>
    <w:rsid w:val="004E5E1E"/>
    <w:rsid w:val="004E61DE"/>
    <w:rsid w:val="004E6566"/>
    <w:rsid w:val="00500E71"/>
    <w:rsid w:val="00501E0B"/>
    <w:rsid w:val="0051168C"/>
    <w:rsid w:val="0051265A"/>
    <w:rsid w:val="005145CB"/>
    <w:rsid w:val="0051715A"/>
    <w:rsid w:val="00531E91"/>
    <w:rsid w:val="005505B7"/>
    <w:rsid w:val="00555818"/>
    <w:rsid w:val="00561F75"/>
    <w:rsid w:val="005626A9"/>
    <w:rsid w:val="00565334"/>
    <w:rsid w:val="00573BE5"/>
    <w:rsid w:val="00577218"/>
    <w:rsid w:val="00586ED3"/>
    <w:rsid w:val="00596AA9"/>
    <w:rsid w:val="005A0852"/>
    <w:rsid w:val="005A556A"/>
    <w:rsid w:val="005A5A41"/>
    <w:rsid w:val="005A713A"/>
    <w:rsid w:val="005B6911"/>
    <w:rsid w:val="00602752"/>
    <w:rsid w:val="006102FD"/>
    <w:rsid w:val="00610A57"/>
    <w:rsid w:val="0062391B"/>
    <w:rsid w:val="0062414A"/>
    <w:rsid w:val="00627B5B"/>
    <w:rsid w:val="006342A0"/>
    <w:rsid w:val="00651D65"/>
    <w:rsid w:val="00652C97"/>
    <w:rsid w:val="00662DDB"/>
    <w:rsid w:val="00664DC0"/>
    <w:rsid w:val="00665A97"/>
    <w:rsid w:val="006713D2"/>
    <w:rsid w:val="00686D2F"/>
    <w:rsid w:val="006943AB"/>
    <w:rsid w:val="00694EF3"/>
    <w:rsid w:val="006969D2"/>
    <w:rsid w:val="00697ABD"/>
    <w:rsid w:val="006A4A64"/>
    <w:rsid w:val="006B09CB"/>
    <w:rsid w:val="006B1D27"/>
    <w:rsid w:val="006B3705"/>
    <w:rsid w:val="006C1BDC"/>
    <w:rsid w:val="006C2066"/>
    <w:rsid w:val="006C33AC"/>
    <w:rsid w:val="006D0742"/>
    <w:rsid w:val="006D3524"/>
    <w:rsid w:val="006D6FCF"/>
    <w:rsid w:val="006E1CB6"/>
    <w:rsid w:val="006F18BA"/>
    <w:rsid w:val="006F2741"/>
    <w:rsid w:val="006F71EA"/>
    <w:rsid w:val="007128D6"/>
    <w:rsid w:val="0071417E"/>
    <w:rsid w:val="0071601D"/>
    <w:rsid w:val="007214F9"/>
    <w:rsid w:val="00726242"/>
    <w:rsid w:val="00736CBC"/>
    <w:rsid w:val="00741CCD"/>
    <w:rsid w:val="00745D6F"/>
    <w:rsid w:val="007474CD"/>
    <w:rsid w:val="00753A61"/>
    <w:rsid w:val="00760B13"/>
    <w:rsid w:val="00770EB4"/>
    <w:rsid w:val="00775817"/>
    <w:rsid w:val="00776FB7"/>
    <w:rsid w:val="0078690D"/>
    <w:rsid w:val="007965B3"/>
    <w:rsid w:val="007A611C"/>
    <w:rsid w:val="007A62E6"/>
    <w:rsid w:val="007B1151"/>
    <w:rsid w:val="007B5348"/>
    <w:rsid w:val="007B55C9"/>
    <w:rsid w:val="007C236E"/>
    <w:rsid w:val="007C2445"/>
    <w:rsid w:val="007C2F95"/>
    <w:rsid w:val="007C3F38"/>
    <w:rsid w:val="007C4CE0"/>
    <w:rsid w:val="007D4277"/>
    <w:rsid w:val="007D7033"/>
    <w:rsid w:val="007E1970"/>
    <w:rsid w:val="007E2032"/>
    <w:rsid w:val="007E68E2"/>
    <w:rsid w:val="007F2574"/>
    <w:rsid w:val="00802605"/>
    <w:rsid w:val="0080684C"/>
    <w:rsid w:val="00807158"/>
    <w:rsid w:val="008122E2"/>
    <w:rsid w:val="00813A2C"/>
    <w:rsid w:val="008154D3"/>
    <w:rsid w:val="00815622"/>
    <w:rsid w:val="00823621"/>
    <w:rsid w:val="00825338"/>
    <w:rsid w:val="00827429"/>
    <w:rsid w:val="00832CD0"/>
    <w:rsid w:val="00836FA2"/>
    <w:rsid w:val="008421F6"/>
    <w:rsid w:val="00845D14"/>
    <w:rsid w:val="00850878"/>
    <w:rsid w:val="00851E1A"/>
    <w:rsid w:val="0085465F"/>
    <w:rsid w:val="008549F0"/>
    <w:rsid w:val="008560DB"/>
    <w:rsid w:val="008617CB"/>
    <w:rsid w:val="0086475F"/>
    <w:rsid w:val="008675D8"/>
    <w:rsid w:val="0087106A"/>
    <w:rsid w:val="00871C75"/>
    <w:rsid w:val="00871F9D"/>
    <w:rsid w:val="00872465"/>
    <w:rsid w:val="00873854"/>
    <w:rsid w:val="00873871"/>
    <w:rsid w:val="00873FCE"/>
    <w:rsid w:val="00874734"/>
    <w:rsid w:val="008776DC"/>
    <w:rsid w:val="008903EC"/>
    <w:rsid w:val="00892226"/>
    <w:rsid w:val="0089304E"/>
    <w:rsid w:val="008A1C3B"/>
    <w:rsid w:val="008A2B7A"/>
    <w:rsid w:val="008A4A2D"/>
    <w:rsid w:val="008C0D5A"/>
    <w:rsid w:val="008C6CE0"/>
    <w:rsid w:val="008D1A2C"/>
    <w:rsid w:val="008D25BF"/>
    <w:rsid w:val="008D2639"/>
    <w:rsid w:val="008D504D"/>
    <w:rsid w:val="008E27C7"/>
    <w:rsid w:val="008E7333"/>
    <w:rsid w:val="008E7FAE"/>
    <w:rsid w:val="008F6FE2"/>
    <w:rsid w:val="009037E3"/>
    <w:rsid w:val="0090748B"/>
    <w:rsid w:val="00911D87"/>
    <w:rsid w:val="00916728"/>
    <w:rsid w:val="0093202B"/>
    <w:rsid w:val="00935980"/>
    <w:rsid w:val="0094548D"/>
    <w:rsid w:val="00946E52"/>
    <w:rsid w:val="009705C8"/>
    <w:rsid w:val="009721A0"/>
    <w:rsid w:val="00985637"/>
    <w:rsid w:val="009906D5"/>
    <w:rsid w:val="0099298A"/>
    <w:rsid w:val="009A0320"/>
    <w:rsid w:val="009A1ABE"/>
    <w:rsid w:val="009B1A85"/>
    <w:rsid w:val="009B1E6C"/>
    <w:rsid w:val="009B709E"/>
    <w:rsid w:val="009C6523"/>
    <w:rsid w:val="009C7C9A"/>
    <w:rsid w:val="009D21D9"/>
    <w:rsid w:val="009D6B30"/>
    <w:rsid w:val="009D740B"/>
    <w:rsid w:val="009E2C6A"/>
    <w:rsid w:val="009F0A51"/>
    <w:rsid w:val="009F4766"/>
    <w:rsid w:val="00A0104F"/>
    <w:rsid w:val="00A01104"/>
    <w:rsid w:val="00A02533"/>
    <w:rsid w:val="00A02F34"/>
    <w:rsid w:val="00A0315E"/>
    <w:rsid w:val="00A04FED"/>
    <w:rsid w:val="00A10D1B"/>
    <w:rsid w:val="00A133D2"/>
    <w:rsid w:val="00A15DF2"/>
    <w:rsid w:val="00A24BBD"/>
    <w:rsid w:val="00A26E57"/>
    <w:rsid w:val="00A320CB"/>
    <w:rsid w:val="00A33D3A"/>
    <w:rsid w:val="00A357BB"/>
    <w:rsid w:val="00A36D82"/>
    <w:rsid w:val="00A5487F"/>
    <w:rsid w:val="00A63923"/>
    <w:rsid w:val="00A6404A"/>
    <w:rsid w:val="00A64862"/>
    <w:rsid w:val="00A764E9"/>
    <w:rsid w:val="00A81843"/>
    <w:rsid w:val="00A8346D"/>
    <w:rsid w:val="00A87F41"/>
    <w:rsid w:val="00A903B7"/>
    <w:rsid w:val="00A91260"/>
    <w:rsid w:val="00A92924"/>
    <w:rsid w:val="00AA508D"/>
    <w:rsid w:val="00AB0727"/>
    <w:rsid w:val="00AB250E"/>
    <w:rsid w:val="00AB774D"/>
    <w:rsid w:val="00AC3823"/>
    <w:rsid w:val="00AE323C"/>
    <w:rsid w:val="00AF0CB6"/>
    <w:rsid w:val="00AF0D96"/>
    <w:rsid w:val="00AF365F"/>
    <w:rsid w:val="00AF541A"/>
    <w:rsid w:val="00AF6D20"/>
    <w:rsid w:val="00B00181"/>
    <w:rsid w:val="00B00412"/>
    <w:rsid w:val="00B00E5F"/>
    <w:rsid w:val="00B04B5C"/>
    <w:rsid w:val="00B152E8"/>
    <w:rsid w:val="00B15419"/>
    <w:rsid w:val="00B26679"/>
    <w:rsid w:val="00B422BF"/>
    <w:rsid w:val="00B54AA6"/>
    <w:rsid w:val="00B559FF"/>
    <w:rsid w:val="00B57E7C"/>
    <w:rsid w:val="00B62EBE"/>
    <w:rsid w:val="00B64DCE"/>
    <w:rsid w:val="00B67457"/>
    <w:rsid w:val="00B700E4"/>
    <w:rsid w:val="00B765F7"/>
    <w:rsid w:val="00B76FDC"/>
    <w:rsid w:val="00B96B4F"/>
    <w:rsid w:val="00BA0CA9"/>
    <w:rsid w:val="00BA6452"/>
    <w:rsid w:val="00BA6A22"/>
    <w:rsid w:val="00BB1055"/>
    <w:rsid w:val="00BC2AB5"/>
    <w:rsid w:val="00BC4BAE"/>
    <w:rsid w:val="00BD2189"/>
    <w:rsid w:val="00BE22F5"/>
    <w:rsid w:val="00BE4042"/>
    <w:rsid w:val="00BF240F"/>
    <w:rsid w:val="00BF4BB5"/>
    <w:rsid w:val="00C01247"/>
    <w:rsid w:val="00C01ACF"/>
    <w:rsid w:val="00C02653"/>
    <w:rsid w:val="00C02897"/>
    <w:rsid w:val="00C02A0D"/>
    <w:rsid w:val="00C04395"/>
    <w:rsid w:val="00C13DBF"/>
    <w:rsid w:val="00C16232"/>
    <w:rsid w:val="00C21D01"/>
    <w:rsid w:val="00C362A0"/>
    <w:rsid w:val="00C45813"/>
    <w:rsid w:val="00C46273"/>
    <w:rsid w:val="00C61AE1"/>
    <w:rsid w:val="00C61D89"/>
    <w:rsid w:val="00C67B6D"/>
    <w:rsid w:val="00C75025"/>
    <w:rsid w:val="00C75B4A"/>
    <w:rsid w:val="00C766E9"/>
    <w:rsid w:val="00C768C1"/>
    <w:rsid w:val="00C8003A"/>
    <w:rsid w:val="00C8324E"/>
    <w:rsid w:val="00C85A1A"/>
    <w:rsid w:val="00C86F92"/>
    <w:rsid w:val="00C900F3"/>
    <w:rsid w:val="00C95710"/>
    <w:rsid w:val="00CA39ED"/>
    <w:rsid w:val="00CA4C9C"/>
    <w:rsid w:val="00CA51BC"/>
    <w:rsid w:val="00CA7BC4"/>
    <w:rsid w:val="00CB05CF"/>
    <w:rsid w:val="00CB5CAF"/>
    <w:rsid w:val="00CC118A"/>
    <w:rsid w:val="00CD4646"/>
    <w:rsid w:val="00CE1DC5"/>
    <w:rsid w:val="00CE5EB5"/>
    <w:rsid w:val="00CE7C21"/>
    <w:rsid w:val="00CF1627"/>
    <w:rsid w:val="00CF4A98"/>
    <w:rsid w:val="00CF59C2"/>
    <w:rsid w:val="00CF645C"/>
    <w:rsid w:val="00CF6DD5"/>
    <w:rsid w:val="00D05667"/>
    <w:rsid w:val="00D07AFA"/>
    <w:rsid w:val="00D25011"/>
    <w:rsid w:val="00D26689"/>
    <w:rsid w:val="00D3439C"/>
    <w:rsid w:val="00D3650D"/>
    <w:rsid w:val="00D365FD"/>
    <w:rsid w:val="00D632B4"/>
    <w:rsid w:val="00D653B7"/>
    <w:rsid w:val="00D65FA9"/>
    <w:rsid w:val="00D7104E"/>
    <w:rsid w:val="00D72432"/>
    <w:rsid w:val="00D757A2"/>
    <w:rsid w:val="00D81D66"/>
    <w:rsid w:val="00D82B2D"/>
    <w:rsid w:val="00D83177"/>
    <w:rsid w:val="00D83D45"/>
    <w:rsid w:val="00D83FF3"/>
    <w:rsid w:val="00D84119"/>
    <w:rsid w:val="00D84B13"/>
    <w:rsid w:val="00D85724"/>
    <w:rsid w:val="00D914A9"/>
    <w:rsid w:val="00D91DB3"/>
    <w:rsid w:val="00D93E04"/>
    <w:rsid w:val="00D9673A"/>
    <w:rsid w:val="00DA244A"/>
    <w:rsid w:val="00DA48EF"/>
    <w:rsid w:val="00DA560B"/>
    <w:rsid w:val="00DA6214"/>
    <w:rsid w:val="00DB12E8"/>
    <w:rsid w:val="00DB1831"/>
    <w:rsid w:val="00DB3954"/>
    <w:rsid w:val="00DB3A0A"/>
    <w:rsid w:val="00DB5793"/>
    <w:rsid w:val="00DB5968"/>
    <w:rsid w:val="00DB5CA7"/>
    <w:rsid w:val="00DC6BBF"/>
    <w:rsid w:val="00DC6E01"/>
    <w:rsid w:val="00DC75C5"/>
    <w:rsid w:val="00DC798E"/>
    <w:rsid w:val="00DD3BFD"/>
    <w:rsid w:val="00DE668D"/>
    <w:rsid w:val="00DF6678"/>
    <w:rsid w:val="00E01981"/>
    <w:rsid w:val="00E01ACC"/>
    <w:rsid w:val="00E13367"/>
    <w:rsid w:val="00E345A9"/>
    <w:rsid w:val="00E35EBA"/>
    <w:rsid w:val="00E41D3D"/>
    <w:rsid w:val="00E46828"/>
    <w:rsid w:val="00E542C7"/>
    <w:rsid w:val="00E61AC0"/>
    <w:rsid w:val="00E62A8A"/>
    <w:rsid w:val="00E715AE"/>
    <w:rsid w:val="00E82A35"/>
    <w:rsid w:val="00E83661"/>
    <w:rsid w:val="00E877E9"/>
    <w:rsid w:val="00E90D51"/>
    <w:rsid w:val="00E92CDB"/>
    <w:rsid w:val="00EA076F"/>
    <w:rsid w:val="00EA082D"/>
    <w:rsid w:val="00EA2A9A"/>
    <w:rsid w:val="00EA68D4"/>
    <w:rsid w:val="00EB51C6"/>
    <w:rsid w:val="00EB6B1C"/>
    <w:rsid w:val="00EC30D5"/>
    <w:rsid w:val="00ED0B71"/>
    <w:rsid w:val="00ED4D46"/>
    <w:rsid w:val="00ED6B6A"/>
    <w:rsid w:val="00EE1BD4"/>
    <w:rsid w:val="00EE2EB3"/>
    <w:rsid w:val="00EE4201"/>
    <w:rsid w:val="00EE6833"/>
    <w:rsid w:val="00EF5CC2"/>
    <w:rsid w:val="00F03CAE"/>
    <w:rsid w:val="00F0517F"/>
    <w:rsid w:val="00F12152"/>
    <w:rsid w:val="00F17946"/>
    <w:rsid w:val="00F22BAA"/>
    <w:rsid w:val="00F256C0"/>
    <w:rsid w:val="00F326F1"/>
    <w:rsid w:val="00F32FF2"/>
    <w:rsid w:val="00F33C13"/>
    <w:rsid w:val="00F35040"/>
    <w:rsid w:val="00F36CEB"/>
    <w:rsid w:val="00F629B5"/>
    <w:rsid w:val="00F63B31"/>
    <w:rsid w:val="00F660DF"/>
    <w:rsid w:val="00F66E7A"/>
    <w:rsid w:val="00F700AB"/>
    <w:rsid w:val="00F75464"/>
    <w:rsid w:val="00F82BFD"/>
    <w:rsid w:val="00F87871"/>
    <w:rsid w:val="00F91425"/>
    <w:rsid w:val="00F95C08"/>
    <w:rsid w:val="00F96294"/>
    <w:rsid w:val="00F96B97"/>
    <w:rsid w:val="00FB15E7"/>
    <w:rsid w:val="00FB4A74"/>
    <w:rsid w:val="00FC3850"/>
    <w:rsid w:val="00FC3BED"/>
    <w:rsid w:val="00FD2B9D"/>
    <w:rsid w:val="00FD57A3"/>
    <w:rsid w:val="00FE393C"/>
    <w:rsid w:val="00FE3DC9"/>
    <w:rsid w:val="00FE79C3"/>
    <w:rsid w:val="00FF0BFF"/>
    <w:rsid w:val="00FF3E3D"/>
  </w:rsids>
  <m:mathPr>
    <m:mathFont m:val="Cambria Math"/>
    <m:brkBin m:val="before"/>
    <m:brkBinSub m:val="--"/>
    <m:smallFrac m:val="0"/>
    <m:dispDef/>
    <m:lMargin m:val="0"/>
    <m:rMargin m:val="0"/>
    <m:defJc m:val="centerGroup"/>
    <m:wrapIndent m:val="1440"/>
    <m:intLim m:val="subSup"/>
    <m:naryLim m:val="undOvr"/>
  </m:mathPr>
  <w:themeFontLang w:val="fr-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line="240" w:lineRule="atLeast"/>
    </w:pPr>
    <w:rPr>
      <w:rFonts w:ascii="Times New Roman" w:hAnsi="Times New Roman" w:cs="Times New Roman"/>
      <w:lang w:val="fr-CH"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qFormat/>
    <w:rsid w:val="00023842"/>
    <w:pPr>
      <w:outlineLvl w:val="1"/>
    </w:pPr>
  </w:style>
  <w:style w:type="paragraph" w:styleId="Heading3">
    <w:name w:val="heading 3"/>
    <w:basedOn w:val="Normal"/>
    <w:next w:val="Normal"/>
    <w:link w:val="Heading3Char"/>
    <w:qFormat/>
    <w:rsid w:val="00023842"/>
    <w:pPr>
      <w:outlineLvl w:val="2"/>
    </w:pPr>
  </w:style>
  <w:style w:type="paragraph" w:styleId="Heading4">
    <w:name w:val="heading 4"/>
    <w:basedOn w:val="Normal"/>
    <w:next w:val="Normal"/>
    <w:link w:val="Heading4Char"/>
    <w:qFormat/>
    <w:rsid w:val="00023842"/>
    <w:pPr>
      <w:outlineLvl w:val="3"/>
    </w:pPr>
  </w:style>
  <w:style w:type="paragraph" w:styleId="Heading5">
    <w:name w:val="heading 5"/>
    <w:basedOn w:val="Normal"/>
    <w:next w:val="Normal"/>
    <w:link w:val="Heading5Char"/>
    <w:qFormat/>
    <w:rsid w:val="00023842"/>
    <w:pPr>
      <w:outlineLvl w:val="4"/>
    </w:pPr>
  </w:style>
  <w:style w:type="paragraph" w:styleId="Heading6">
    <w:name w:val="heading 6"/>
    <w:basedOn w:val="Normal"/>
    <w:next w:val="Normal"/>
    <w:link w:val="Heading6Char"/>
    <w:qFormat/>
    <w:rsid w:val="00023842"/>
    <w:pPr>
      <w:outlineLvl w:val="5"/>
    </w:pPr>
  </w:style>
  <w:style w:type="paragraph" w:styleId="Heading7">
    <w:name w:val="heading 7"/>
    <w:basedOn w:val="Normal"/>
    <w:next w:val="Normal"/>
    <w:link w:val="Heading7Char"/>
    <w:qFormat/>
    <w:rsid w:val="00023842"/>
    <w:pPr>
      <w:outlineLvl w:val="6"/>
    </w:pPr>
  </w:style>
  <w:style w:type="paragraph" w:styleId="Heading8">
    <w:name w:val="heading 8"/>
    <w:basedOn w:val="Normal"/>
    <w:next w:val="Normal"/>
    <w:link w:val="Heading8Char"/>
    <w:qFormat/>
    <w:rsid w:val="00023842"/>
    <w:pPr>
      <w:outlineLvl w:val="7"/>
    </w:pPr>
  </w:style>
  <w:style w:type="paragraph" w:styleId="Heading9">
    <w:name w:val="heading 9"/>
    <w:basedOn w:val="Normal"/>
    <w:next w:val="Normal"/>
    <w:link w:val="Heading9Char"/>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qFormat/>
    <w:rsid w:val="00424533"/>
    <w:rPr>
      <w:rFonts w:ascii="Times New Roman" w:hAnsi="Times New Roman"/>
      <w:sz w:val="18"/>
      <w:vertAlign w:val="superscript"/>
    </w:rPr>
  </w:style>
  <w:style w:type="character" w:styleId="EndnoteReference">
    <w:name w:val="endnote reference"/>
    <w:aliases w:val="1_G"/>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line="240" w:lineRule="atLeast"/>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nhideWhenUsed/>
    <w:rsid w:val="003402F1"/>
    <w:rPr>
      <w:color w:val="0000FF"/>
      <w:u w:val="none"/>
    </w:rPr>
  </w:style>
  <w:style w:type="character" w:styleId="FollowedHyperlink">
    <w:name w:val="FollowedHyperlink"/>
    <w:unhideWhenUsed/>
    <w:rsid w:val="003402F1"/>
    <w:rPr>
      <w:color w:val="0000FF"/>
      <w:u w:val="none"/>
    </w:rPr>
  </w:style>
  <w:style w:type="paragraph" w:styleId="FootnoteText">
    <w:name w:val="footnote text"/>
    <w:aliases w:val="5_G"/>
    <w:basedOn w:val="Normal"/>
    <w:link w:val="FootnoteTextChar"/>
    <w:qFormat/>
    <w:rsid w:val="00424533"/>
    <w:pPr>
      <w:tabs>
        <w:tab w:val="right" w:pos="1021"/>
      </w:tabs>
      <w:spacing w:line="220" w:lineRule="exact"/>
      <w:ind w:left="1134" w:right="1134" w:hanging="1134"/>
    </w:pPr>
    <w:rPr>
      <w:rFonts w:eastAsia="SimSun"/>
      <w:sz w:val="18"/>
      <w:lang w:val="en-US" w:eastAsia="zh-CN"/>
    </w:rPr>
  </w:style>
  <w:style w:type="character" w:customStyle="1" w:styleId="FootnoteTextChar">
    <w:name w:val="Footnote Text Char"/>
    <w:aliases w:val="5_G Char"/>
    <w:link w:val="FootnoteText"/>
    <w:rsid w:val="0080684C"/>
    <w:rPr>
      <w:rFonts w:ascii="Times New Roman" w:eastAsia="SimSun" w:hAnsi="Times New Roman" w:cs="Times New Roman"/>
      <w:sz w:val="18"/>
      <w:lang w:val="en-US" w:eastAsia="zh-CN"/>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qFormat/>
    <w:rsid w:val="00023842"/>
    <w:rPr>
      <w:rFonts w:ascii="Times New Roman" w:hAnsi="Times New Roman"/>
      <w:b/>
      <w:sz w:val="18"/>
      <w:lang w:val="fr-CH"/>
    </w:rPr>
  </w:style>
  <w:style w:type="character" w:customStyle="1" w:styleId="Heading1Char">
    <w:name w:val="Heading 1 Char"/>
    <w:aliases w:val="Table_G Char"/>
    <w:link w:val="Heading1"/>
    <w:rsid w:val="0080684C"/>
    <w:rPr>
      <w:rFonts w:ascii="Times New Roman" w:eastAsia="Times New Roman" w:hAnsi="Times New Roman" w:cs="Times New Roman"/>
      <w:sz w:val="20"/>
      <w:szCs w:val="20"/>
      <w:lang w:eastAsia="en-US"/>
    </w:rPr>
  </w:style>
  <w:style w:type="character" w:customStyle="1" w:styleId="Heading2Char">
    <w:name w:val="Heading 2 Char"/>
    <w:link w:val="Heading2"/>
    <w:rsid w:val="00023842"/>
    <w:rPr>
      <w:rFonts w:ascii="Times New Roman" w:eastAsia="Times New Roman" w:hAnsi="Times New Roman" w:cs="Times New Roman"/>
      <w:sz w:val="20"/>
      <w:szCs w:val="20"/>
      <w:lang w:eastAsia="en-US"/>
    </w:rPr>
  </w:style>
  <w:style w:type="character" w:customStyle="1" w:styleId="Heading3Char">
    <w:name w:val="Heading 3 Char"/>
    <w:link w:val="Heading3"/>
    <w:rsid w:val="00023842"/>
    <w:rPr>
      <w:rFonts w:ascii="Times New Roman" w:eastAsia="Times New Roman" w:hAnsi="Times New Roman" w:cs="Times New Roman"/>
      <w:sz w:val="20"/>
      <w:szCs w:val="20"/>
      <w:lang w:eastAsia="en-US"/>
    </w:rPr>
  </w:style>
  <w:style w:type="character" w:customStyle="1" w:styleId="Heading4Char">
    <w:name w:val="Heading 4 Char"/>
    <w:link w:val="Heading4"/>
    <w:rsid w:val="00023842"/>
    <w:rPr>
      <w:rFonts w:ascii="Times New Roman" w:eastAsia="Times New Roman" w:hAnsi="Times New Roman" w:cs="Times New Roman"/>
      <w:sz w:val="20"/>
      <w:szCs w:val="20"/>
      <w:lang w:eastAsia="en-US"/>
    </w:rPr>
  </w:style>
  <w:style w:type="character" w:customStyle="1" w:styleId="Heading5Char">
    <w:name w:val="Heading 5 Char"/>
    <w:link w:val="Heading5"/>
    <w:rsid w:val="00023842"/>
    <w:rPr>
      <w:rFonts w:ascii="Times New Roman" w:eastAsia="Times New Roman" w:hAnsi="Times New Roman" w:cs="Times New Roman"/>
      <w:sz w:val="20"/>
      <w:szCs w:val="20"/>
      <w:lang w:eastAsia="en-US"/>
    </w:rPr>
  </w:style>
  <w:style w:type="character" w:customStyle="1" w:styleId="Heading6Char">
    <w:name w:val="Heading 6 Char"/>
    <w:link w:val="Heading6"/>
    <w:rsid w:val="00023842"/>
    <w:rPr>
      <w:rFonts w:ascii="Times New Roman" w:eastAsia="Times New Roman" w:hAnsi="Times New Roman" w:cs="Times New Roman"/>
      <w:sz w:val="20"/>
      <w:szCs w:val="20"/>
      <w:lang w:eastAsia="en-US"/>
    </w:rPr>
  </w:style>
  <w:style w:type="character" w:customStyle="1" w:styleId="Heading7Char">
    <w:name w:val="Heading 7 Char"/>
    <w:link w:val="Heading7"/>
    <w:rsid w:val="00023842"/>
    <w:rPr>
      <w:rFonts w:ascii="Times New Roman" w:eastAsia="Times New Roman" w:hAnsi="Times New Roman" w:cs="Times New Roman"/>
      <w:sz w:val="20"/>
      <w:szCs w:val="20"/>
      <w:lang w:eastAsia="en-US"/>
    </w:rPr>
  </w:style>
  <w:style w:type="character" w:customStyle="1" w:styleId="Heading8Char">
    <w:name w:val="Heading 8 Char"/>
    <w:link w:val="Heading8"/>
    <w:rsid w:val="00023842"/>
    <w:rPr>
      <w:rFonts w:ascii="Times New Roman" w:eastAsia="Times New Roman" w:hAnsi="Times New Roman" w:cs="Times New Roman"/>
      <w:sz w:val="20"/>
      <w:szCs w:val="20"/>
      <w:lang w:eastAsia="en-US"/>
    </w:rPr>
  </w:style>
  <w:style w:type="character" w:customStyle="1" w:styleId="Heading9Char">
    <w:name w:val="Heading 9 Char"/>
    <w:link w:val="Heading9"/>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6F71EA"/>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6F71EA"/>
    <w:rPr>
      <w:rFonts w:ascii="Tahoma" w:hAnsi="Tahoma" w:cs="Tahoma"/>
      <w:sz w:val="16"/>
      <w:szCs w:val="16"/>
      <w:lang w:eastAsia="en-US"/>
    </w:rPr>
  </w:style>
  <w:style w:type="character" w:customStyle="1" w:styleId="Astrisque10pt">
    <w:name w:val="Astérisque 10 pt"/>
    <w:uiPriority w:val="1"/>
    <w:qFormat/>
    <w:rsid w:val="00C01ACF"/>
    <w:rPr>
      <w:rFonts w:ascii="Times New Roman" w:hAnsi="Times New Roman"/>
      <w:sz w:val="20"/>
      <w:vertAlign w:val="baseline"/>
    </w:rPr>
  </w:style>
  <w:style w:type="character" w:customStyle="1" w:styleId="SingleTxtGChar">
    <w:name w:val="_ Single Txt_G Char"/>
    <w:link w:val="SingleTxtG"/>
    <w:rsid w:val="00DC75C5"/>
    <w:rPr>
      <w:rFonts w:ascii="Times New Roman" w:hAnsi="Times New Roman" w:cs="Times New Roman"/>
      <w:sz w:val="20"/>
      <w:szCs w:val="20"/>
      <w:lang w:eastAsia="en-US"/>
    </w:rPr>
  </w:style>
  <w:style w:type="paragraph" w:customStyle="1" w:styleId="para">
    <w:name w:val="para"/>
    <w:basedOn w:val="Normal"/>
    <w:rsid w:val="00414F59"/>
    <w:pPr>
      <w:numPr>
        <w:numId w:val="16"/>
      </w:numPr>
      <w:suppressAutoHyphens w:val="0"/>
      <w:kinsoku/>
      <w:overflowPunct/>
      <w:autoSpaceDE/>
      <w:autoSpaceDN/>
      <w:adjustRightInd/>
      <w:snapToGrid/>
      <w:spacing w:before="240" w:after="240" w:line="240" w:lineRule="auto"/>
    </w:pPr>
    <w:rPr>
      <w:sz w:val="24"/>
      <w:szCs w:val="24"/>
      <w:lang w:val="fr-CA" w:eastAsia="en-CA"/>
    </w:rPr>
  </w:style>
  <w:style w:type="character" w:styleId="CommentReference">
    <w:name w:val="annotation reference"/>
    <w:basedOn w:val="DefaultParagraphFont"/>
    <w:uiPriority w:val="99"/>
    <w:semiHidden/>
    <w:unhideWhenUsed/>
    <w:rsid w:val="00DA244A"/>
    <w:rPr>
      <w:sz w:val="16"/>
      <w:szCs w:val="16"/>
    </w:rPr>
  </w:style>
  <w:style w:type="paragraph" w:styleId="CommentText">
    <w:name w:val="annotation text"/>
    <w:basedOn w:val="Normal"/>
    <w:link w:val="CommentTextChar"/>
    <w:uiPriority w:val="99"/>
    <w:semiHidden/>
    <w:unhideWhenUsed/>
    <w:rsid w:val="00DA244A"/>
    <w:pPr>
      <w:spacing w:line="240" w:lineRule="auto"/>
    </w:pPr>
  </w:style>
  <w:style w:type="character" w:customStyle="1" w:styleId="CommentTextChar">
    <w:name w:val="Comment Text Char"/>
    <w:basedOn w:val="DefaultParagraphFont"/>
    <w:link w:val="CommentText"/>
    <w:uiPriority w:val="99"/>
    <w:semiHidden/>
    <w:rsid w:val="00DA244A"/>
    <w:rPr>
      <w:rFonts w:ascii="Times New Roman" w:hAnsi="Times New Roman" w:cs="Times New Roman"/>
      <w:lang w:val="fr-CH" w:eastAsia="en-US"/>
    </w:rPr>
  </w:style>
  <w:style w:type="paragraph" w:styleId="CommentSubject">
    <w:name w:val="annotation subject"/>
    <w:basedOn w:val="CommentText"/>
    <w:next w:val="CommentText"/>
    <w:link w:val="CommentSubjectChar"/>
    <w:uiPriority w:val="99"/>
    <w:semiHidden/>
    <w:unhideWhenUsed/>
    <w:rsid w:val="00DA244A"/>
    <w:rPr>
      <w:b/>
      <w:bCs/>
    </w:rPr>
  </w:style>
  <w:style w:type="character" w:customStyle="1" w:styleId="CommentSubjectChar">
    <w:name w:val="Comment Subject Char"/>
    <w:basedOn w:val="CommentTextChar"/>
    <w:link w:val="CommentSubject"/>
    <w:uiPriority w:val="99"/>
    <w:semiHidden/>
    <w:rsid w:val="00DA244A"/>
    <w:rPr>
      <w:rFonts w:ascii="Times New Roman" w:hAnsi="Times New Roman" w:cs="Times New Roman"/>
      <w:b/>
      <w:bCs/>
      <w:lang w:val="fr-CH" w:eastAsia="en-US"/>
    </w:rPr>
  </w:style>
  <w:style w:type="paragraph" w:styleId="Revision">
    <w:name w:val="Revision"/>
    <w:hidden/>
    <w:uiPriority w:val="99"/>
    <w:semiHidden/>
    <w:rsid w:val="00AF0D96"/>
    <w:rPr>
      <w:rFonts w:ascii="Times New Roman" w:hAnsi="Times New Roman" w:cs="Times New Roman"/>
      <w:lang w:val="fr-CH"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line="240" w:lineRule="atLeast"/>
    </w:pPr>
    <w:rPr>
      <w:rFonts w:ascii="Times New Roman" w:hAnsi="Times New Roman" w:cs="Times New Roman"/>
      <w:lang w:val="fr-CH"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qFormat/>
    <w:rsid w:val="00023842"/>
    <w:pPr>
      <w:outlineLvl w:val="1"/>
    </w:pPr>
  </w:style>
  <w:style w:type="paragraph" w:styleId="Heading3">
    <w:name w:val="heading 3"/>
    <w:basedOn w:val="Normal"/>
    <w:next w:val="Normal"/>
    <w:link w:val="Heading3Char"/>
    <w:qFormat/>
    <w:rsid w:val="00023842"/>
    <w:pPr>
      <w:outlineLvl w:val="2"/>
    </w:pPr>
  </w:style>
  <w:style w:type="paragraph" w:styleId="Heading4">
    <w:name w:val="heading 4"/>
    <w:basedOn w:val="Normal"/>
    <w:next w:val="Normal"/>
    <w:link w:val="Heading4Char"/>
    <w:qFormat/>
    <w:rsid w:val="00023842"/>
    <w:pPr>
      <w:outlineLvl w:val="3"/>
    </w:pPr>
  </w:style>
  <w:style w:type="paragraph" w:styleId="Heading5">
    <w:name w:val="heading 5"/>
    <w:basedOn w:val="Normal"/>
    <w:next w:val="Normal"/>
    <w:link w:val="Heading5Char"/>
    <w:qFormat/>
    <w:rsid w:val="00023842"/>
    <w:pPr>
      <w:outlineLvl w:val="4"/>
    </w:pPr>
  </w:style>
  <w:style w:type="paragraph" w:styleId="Heading6">
    <w:name w:val="heading 6"/>
    <w:basedOn w:val="Normal"/>
    <w:next w:val="Normal"/>
    <w:link w:val="Heading6Char"/>
    <w:qFormat/>
    <w:rsid w:val="00023842"/>
    <w:pPr>
      <w:outlineLvl w:val="5"/>
    </w:pPr>
  </w:style>
  <w:style w:type="paragraph" w:styleId="Heading7">
    <w:name w:val="heading 7"/>
    <w:basedOn w:val="Normal"/>
    <w:next w:val="Normal"/>
    <w:link w:val="Heading7Char"/>
    <w:qFormat/>
    <w:rsid w:val="00023842"/>
    <w:pPr>
      <w:outlineLvl w:val="6"/>
    </w:pPr>
  </w:style>
  <w:style w:type="paragraph" w:styleId="Heading8">
    <w:name w:val="heading 8"/>
    <w:basedOn w:val="Normal"/>
    <w:next w:val="Normal"/>
    <w:link w:val="Heading8Char"/>
    <w:qFormat/>
    <w:rsid w:val="00023842"/>
    <w:pPr>
      <w:outlineLvl w:val="7"/>
    </w:pPr>
  </w:style>
  <w:style w:type="paragraph" w:styleId="Heading9">
    <w:name w:val="heading 9"/>
    <w:basedOn w:val="Normal"/>
    <w:next w:val="Normal"/>
    <w:link w:val="Heading9Char"/>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qFormat/>
    <w:rsid w:val="00424533"/>
    <w:rPr>
      <w:rFonts w:ascii="Times New Roman" w:hAnsi="Times New Roman"/>
      <w:sz w:val="18"/>
      <w:vertAlign w:val="superscript"/>
    </w:rPr>
  </w:style>
  <w:style w:type="character" w:styleId="EndnoteReference">
    <w:name w:val="endnote reference"/>
    <w:aliases w:val="1_G"/>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line="240" w:lineRule="atLeast"/>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nhideWhenUsed/>
    <w:rsid w:val="003402F1"/>
    <w:rPr>
      <w:color w:val="0000FF"/>
      <w:u w:val="none"/>
    </w:rPr>
  </w:style>
  <w:style w:type="character" w:styleId="FollowedHyperlink">
    <w:name w:val="FollowedHyperlink"/>
    <w:unhideWhenUsed/>
    <w:rsid w:val="003402F1"/>
    <w:rPr>
      <w:color w:val="0000FF"/>
      <w:u w:val="none"/>
    </w:rPr>
  </w:style>
  <w:style w:type="paragraph" w:styleId="FootnoteText">
    <w:name w:val="footnote text"/>
    <w:aliases w:val="5_G"/>
    <w:basedOn w:val="Normal"/>
    <w:link w:val="FootnoteTextChar"/>
    <w:qFormat/>
    <w:rsid w:val="00424533"/>
    <w:pPr>
      <w:tabs>
        <w:tab w:val="right" w:pos="1021"/>
      </w:tabs>
      <w:spacing w:line="220" w:lineRule="exact"/>
      <w:ind w:left="1134" w:right="1134" w:hanging="1134"/>
    </w:pPr>
    <w:rPr>
      <w:rFonts w:eastAsia="SimSun"/>
      <w:sz w:val="18"/>
      <w:lang w:val="en-US" w:eastAsia="zh-CN"/>
    </w:rPr>
  </w:style>
  <w:style w:type="character" w:customStyle="1" w:styleId="FootnoteTextChar">
    <w:name w:val="Footnote Text Char"/>
    <w:aliases w:val="5_G Char"/>
    <w:link w:val="FootnoteText"/>
    <w:rsid w:val="0080684C"/>
    <w:rPr>
      <w:rFonts w:ascii="Times New Roman" w:eastAsia="SimSun" w:hAnsi="Times New Roman" w:cs="Times New Roman"/>
      <w:sz w:val="18"/>
      <w:lang w:val="en-US" w:eastAsia="zh-CN"/>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qFormat/>
    <w:rsid w:val="00023842"/>
    <w:rPr>
      <w:rFonts w:ascii="Times New Roman" w:hAnsi="Times New Roman"/>
      <w:b/>
      <w:sz w:val="18"/>
      <w:lang w:val="fr-CH"/>
    </w:rPr>
  </w:style>
  <w:style w:type="character" w:customStyle="1" w:styleId="Heading1Char">
    <w:name w:val="Heading 1 Char"/>
    <w:aliases w:val="Table_G Char"/>
    <w:link w:val="Heading1"/>
    <w:rsid w:val="0080684C"/>
    <w:rPr>
      <w:rFonts w:ascii="Times New Roman" w:eastAsia="Times New Roman" w:hAnsi="Times New Roman" w:cs="Times New Roman"/>
      <w:sz w:val="20"/>
      <w:szCs w:val="20"/>
      <w:lang w:eastAsia="en-US"/>
    </w:rPr>
  </w:style>
  <w:style w:type="character" w:customStyle="1" w:styleId="Heading2Char">
    <w:name w:val="Heading 2 Char"/>
    <w:link w:val="Heading2"/>
    <w:rsid w:val="00023842"/>
    <w:rPr>
      <w:rFonts w:ascii="Times New Roman" w:eastAsia="Times New Roman" w:hAnsi="Times New Roman" w:cs="Times New Roman"/>
      <w:sz w:val="20"/>
      <w:szCs w:val="20"/>
      <w:lang w:eastAsia="en-US"/>
    </w:rPr>
  </w:style>
  <w:style w:type="character" w:customStyle="1" w:styleId="Heading3Char">
    <w:name w:val="Heading 3 Char"/>
    <w:link w:val="Heading3"/>
    <w:rsid w:val="00023842"/>
    <w:rPr>
      <w:rFonts w:ascii="Times New Roman" w:eastAsia="Times New Roman" w:hAnsi="Times New Roman" w:cs="Times New Roman"/>
      <w:sz w:val="20"/>
      <w:szCs w:val="20"/>
      <w:lang w:eastAsia="en-US"/>
    </w:rPr>
  </w:style>
  <w:style w:type="character" w:customStyle="1" w:styleId="Heading4Char">
    <w:name w:val="Heading 4 Char"/>
    <w:link w:val="Heading4"/>
    <w:rsid w:val="00023842"/>
    <w:rPr>
      <w:rFonts w:ascii="Times New Roman" w:eastAsia="Times New Roman" w:hAnsi="Times New Roman" w:cs="Times New Roman"/>
      <w:sz w:val="20"/>
      <w:szCs w:val="20"/>
      <w:lang w:eastAsia="en-US"/>
    </w:rPr>
  </w:style>
  <w:style w:type="character" w:customStyle="1" w:styleId="Heading5Char">
    <w:name w:val="Heading 5 Char"/>
    <w:link w:val="Heading5"/>
    <w:rsid w:val="00023842"/>
    <w:rPr>
      <w:rFonts w:ascii="Times New Roman" w:eastAsia="Times New Roman" w:hAnsi="Times New Roman" w:cs="Times New Roman"/>
      <w:sz w:val="20"/>
      <w:szCs w:val="20"/>
      <w:lang w:eastAsia="en-US"/>
    </w:rPr>
  </w:style>
  <w:style w:type="character" w:customStyle="1" w:styleId="Heading6Char">
    <w:name w:val="Heading 6 Char"/>
    <w:link w:val="Heading6"/>
    <w:rsid w:val="00023842"/>
    <w:rPr>
      <w:rFonts w:ascii="Times New Roman" w:eastAsia="Times New Roman" w:hAnsi="Times New Roman" w:cs="Times New Roman"/>
      <w:sz w:val="20"/>
      <w:szCs w:val="20"/>
      <w:lang w:eastAsia="en-US"/>
    </w:rPr>
  </w:style>
  <w:style w:type="character" w:customStyle="1" w:styleId="Heading7Char">
    <w:name w:val="Heading 7 Char"/>
    <w:link w:val="Heading7"/>
    <w:rsid w:val="00023842"/>
    <w:rPr>
      <w:rFonts w:ascii="Times New Roman" w:eastAsia="Times New Roman" w:hAnsi="Times New Roman" w:cs="Times New Roman"/>
      <w:sz w:val="20"/>
      <w:szCs w:val="20"/>
      <w:lang w:eastAsia="en-US"/>
    </w:rPr>
  </w:style>
  <w:style w:type="character" w:customStyle="1" w:styleId="Heading8Char">
    <w:name w:val="Heading 8 Char"/>
    <w:link w:val="Heading8"/>
    <w:rsid w:val="00023842"/>
    <w:rPr>
      <w:rFonts w:ascii="Times New Roman" w:eastAsia="Times New Roman" w:hAnsi="Times New Roman" w:cs="Times New Roman"/>
      <w:sz w:val="20"/>
      <w:szCs w:val="20"/>
      <w:lang w:eastAsia="en-US"/>
    </w:rPr>
  </w:style>
  <w:style w:type="character" w:customStyle="1" w:styleId="Heading9Char">
    <w:name w:val="Heading 9 Char"/>
    <w:link w:val="Heading9"/>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6F71EA"/>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6F71EA"/>
    <w:rPr>
      <w:rFonts w:ascii="Tahoma" w:hAnsi="Tahoma" w:cs="Tahoma"/>
      <w:sz w:val="16"/>
      <w:szCs w:val="16"/>
      <w:lang w:eastAsia="en-US"/>
    </w:rPr>
  </w:style>
  <w:style w:type="character" w:customStyle="1" w:styleId="Astrisque10pt">
    <w:name w:val="Astérisque 10 pt"/>
    <w:uiPriority w:val="1"/>
    <w:qFormat/>
    <w:rsid w:val="00C01ACF"/>
    <w:rPr>
      <w:rFonts w:ascii="Times New Roman" w:hAnsi="Times New Roman"/>
      <w:sz w:val="20"/>
      <w:vertAlign w:val="baseline"/>
    </w:rPr>
  </w:style>
  <w:style w:type="character" w:customStyle="1" w:styleId="SingleTxtGChar">
    <w:name w:val="_ Single Txt_G Char"/>
    <w:link w:val="SingleTxtG"/>
    <w:rsid w:val="00DC75C5"/>
    <w:rPr>
      <w:rFonts w:ascii="Times New Roman" w:hAnsi="Times New Roman" w:cs="Times New Roman"/>
      <w:sz w:val="20"/>
      <w:szCs w:val="20"/>
      <w:lang w:eastAsia="en-US"/>
    </w:rPr>
  </w:style>
  <w:style w:type="paragraph" w:customStyle="1" w:styleId="para">
    <w:name w:val="para"/>
    <w:basedOn w:val="Normal"/>
    <w:rsid w:val="00414F59"/>
    <w:pPr>
      <w:numPr>
        <w:numId w:val="16"/>
      </w:numPr>
      <w:suppressAutoHyphens w:val="0"/>
      <w:kinsoku/>
      <w:overflowPunct/>
      <w:autoSpaceDE/>
      <w:autoSpaceDN/>
      <w:adjustRightInd/>
      <w:snapToGrid/>
      <w:spacing w:before="240" w:after="240" w:line="240" w:lineRule="auto"/>
    </w:pPr>
    <w:rPr>
      <w:sz w:val="24"/>
      <w:szCs w:val="24"/>
      <w:lang w:val="fr-CA" w:eastAsia="en-CA"/>
    </w:rPr>
  </w:style>
  <w:style w:type="character" w:styleId="CommentReference">
    <w:name w:val="annotation reference"/>
    <w:basedOn w:val="DefaultParagraphFont"/>
    <w:uiPriority w:val="99"/>
    <w:semiHidden/>
    <w:unhideWhenUsed/>
    <w:rsid w:val="00DA244A"/>
    <w:rPr>
      <w:sz w:val="16"/>
      <w:szCs w:val="16"/>
    </w:rPr>
  </w:style>
  <w:style w:type="paragraph" w:styleId="CommentText">
    <w:name w:val="annotation text"/>
    <w:basedOn w:val="Normal"/>
    <w:link w:val="CommentTextChar"/>
    <w:uiPriority w:val="99"/>
    <w:semiHidden/>
    <w:unhideWhenUsed/>
    <w:rsid w:val="00DA244A"/>
    <w:pPr>
      <w:spacing w:line="240" w:lineRule="auto"/>
    </w:pPr>
  </w:style>
  <w:style w:type="character" w:customStyle="1" w:styleId="CommentTextChar">
    <w:name w:val="Comment Text Char"/>
    <w:basedOn w:val="DefaultParagraphFont"/>
    <w:link w:val="CommentText"/>
    <w:uiPriority w:val="99"/>
    <w:semiHidden/>
    <w:rsid w:val="00DA244A"/>
    <w:rPr>
      <w:rFonts w:ascii="Times New Roman" w:hAnsi="Times New Roman" w:cs="Times New Roman"/>
      <w:lang w:val="fr-CH" w:eastAsia="en-US"/>
    </w:rPr>
  </w:style>
  <w:style w:type="paragraph" w:styleId="CommentSubject">
    <w:name w:val="annotation subject"/>
    <w:basedOn w:val="CommentText"/>
    <w:next w:val="CommentText"/>
    <w:link w:val="CommentSubjectChar"/>
    <w:uiPriority w:val="99"/>
    <w:semiHidden/>
    <w:unhideWhenUsed/>
    <w:rsid w:val="00DA244A"/>
    <w:rPr>
      <w:b/>
      <w:bCs/>
    </w:rPr>
  </w:style>
  <w:style w:type="character" w:customStyle="1" w:styleId="CommentSubjectChar">
    <w:name w:val="Comment Subject Char"/>
    <w:basedOn w:val="CommentTextChar"/>
    <w:link w:val="CommentSubject"/>
    <w:uiPriority w:val="99"/>
    <w:semiHidden/>
    <w:rsid w:val="00DA244A"/>
    <w:rPr>
      <w:rFonts w:ascii="Times New Roman" w:hAnsi="Times New Roman" w:cs="Times New Roman"/>
      <w:b/>
      <w:bCs/>
      <w:lang w:val="fr-CH" w:eastAsia="en-US"/>
    </w:rPr>
  </w:style>
  <w:style w:type="paragraph" w:styleId="Revision">
    <w:name w:val="Revision"/>
    <w:hidden/>
    <w:uiPriority w:val="99"/>
    <w:semiHidden/>
    <w:rsid w:val="00AF0D96"/>
    <w:rPr>
      <w:rFonts w:ascii="Times New Roman" w:hAnsi="Times New Roman" w:cs="Times New Roman"/>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443701">
      <w:bodyDiv w:val="1"/>
      <w:marLeft w:val="0"/>
      <w:marRight w:val="0"/>
      <w:marTop w:val="0"/>
      <w:marBottom w:val="0"/>
      <w:divBdr>
        <w:top w:val="none" w:sz="0" w:space="0" w:color="auto"/>
        <w:left w:val="none" w:sz="0" w:space="0" w:color="auto"/>
        <w:bottom w:val="none" w:sz="0" w:space="0" w:color="auto"/>
        <w:right w:val="none" w:sz="0" w:space="0" w:color="auto"/>
      </w:divBdr>
    </w:div>
    <w:div w:id="1011642208">
      <w:bodyDiv w:val="1"/>
      <w:marLeft w:val="0"/>
      <w:marRight w:val="0"/>
      <w:marTop w:val="0"/>
      <w:marBottom w:val="0"/>
      <w:divBdr>
        <w:top w:val="none" w:sz="0" w:space="0" w:color="auto"/>
        <w:left w:val="none" w:sz="0" w:space="0" w:color="auto"/>
        <w:bottom w:val="none" w:sz="0" w:space="0" w:color="auto"/>
        <w:right w:val="none" w:sz="0" w:space="0" w:color="auto"/>
      </w:divBdr>
    </w:div>
    <w:div w:id="2034109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CCPR.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1ED87-43ED-42AC-9251-5757D3083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1</TotalTime>
  <Pages>13</Pages>
  <Words>6125</Words>
  <Characters>34915</Characters>
  <Application>Microsoft Office Word</Application>
  <DocSecurity>0</DocSecurity>
  <Lines>290</Lines>
  <Paragraphs>81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CCPR/C/WG/113/DR/2091/2011</vt:lpstr>
      <vt:lpstr>CCPR/C/WG/113/DR/2091/2011</vt:lpstr>
    </vt:vector>
  </TitlesOfParts>
  <Company>DCM</Company>
  <LinksUpToDate>false</LinksUpToDate>
  <CharactersWithSpaces>40959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CCPR/C/WG/113/DR/2091/2011</dc:title>
  <dc:subject>FINAL</dc:subject>
  <dc:creator>Granet C.</dc:creator>
  <cp:lastModifiedBy>crelier</cp:lastModifiedBy>
  <cp:revision>3</cp:revision>
  <cp:lastPrinted>2015-12-10T10:04:00Z</cp:lastPrinted>
  <dcterms:created xsi:type="dcterms:W3CDTF">2015-12-10T10:04:00Z</dcterms:created>
  <dcterms:modified xsi:type="dcterms:W3CDTF">2015-12-10T10:04:00Z</dcterms:modified>
</cp:coreProperties>
</file>