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6759B5">
                <w:t>C/111/D/1976/2010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fldSimple w:instr=" FILLIN  &quot;Введите дату документа&quot; \* MERGEFORMAT ">
              <w:r w:rsidR="006759B5">
                <w:rPr>
                  <w:lang w:val="en-US"/>
                </w:rPr>
                <w:t>30 September 2014</w:t>
              </w:r>
            </w:fldSimple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3032E2" w:rsidRPr="003032E2" w:rsidRDefault="003032E2" w:rsidP="003032E2">
      <w:pPr>
        <w:spacing w:before="120"/>
        <w:rPr>
          <w:b/>
          <w:sz w:val="24"/>
          <w:szCs w:val="24"/>
        </w:rPr>
      </w:pPr>
      <w:r w:rsidRPr="003032E2">
        <w:rPr>
          <w:b/>
          <w:sz w:val="24"/>
          <w:szCs w:val="24"/>
        </w:rPr>
        <w:t>Комитет по правам человека</w:t>
      </w:r>
    </w:p>
    <w:p w:rsidR="003032E2" w:rsidRPr="003032E2" w:rsidRDefault="003032E2" w:rsidP="003032E2">
      <w:pPr>
        <w:pStyle w:val="HChGR"/>
      </w:pPr>
      <w:r w:rsidRPr="003032E2">
        <w:tab/>
      </w:r>
      <w:r w:rsidRPr="003032E2">
        <w:tab/>
        <w:t>Сообщени</w:t>
      </w:r>
      <w:r w:rsidR="0003081B">
        <w:t>е</w:t>
      </w:r>
      <w:r w:rsidRPr="003032E2">
        <w:t xml:space="preserve"> № 1976/2010</w:t>
      </w:r>
    </w:p>
    <w:p w:rsidR="006E7AF7" w:rsidRDefault="003032E2" w:rsidP="003032E2">
      <w:pPr>
        <w:pStyle w:val="H1GR"/>
        <w:rPr>
          <w:lang w:val="en-US"/>
        </w:rPr>
      </w:pPr>
      <w:r w:rsidRPr="003032E2">
        <w:tab/>
      </w:r>
      <w:r w:rsidRPr="003032E2">
        <w:tab/>
        <w:t xml:space="preserve">Соображения, принятые Комитетом на его 111-й сессии </w:t>
      </w:r>
      <w:r>
        <w:rPr>
          <w:lang w:val="en-US"/>
        </w:rPr>
        <w:br/>
      </w:r>
      <w:r w:rsidRPr="003032E2">
        <w:t>(7−25 июля 2014 года)</w:t>
      </w:r>
    </w:p>
    <w:tbl>
      <w:tblPr>
        <w:tblStyle w:val="TableGrid"/>
        <w:tblW w:w="0" w:type="auto"/>
        <w:tblInd w:w="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19"/>
        <w:gridCol w:w="4536"/>
      </w:tblGrid>
      <w:tr w:rsidR="00746DA0" w:rsidRPr="00AA319B" w:rsidTr="00746DA0">
        <w:tc>
          <w:tcPr>
            <w:tcW w:w="3119" w:type="dxa"/>
          </w:tcPr>
          <w:p w:rsidR="00746DA0" w:rsidRPr="00746DA0" w:rsidRDefault="00746DA0" w:rsidP="00746DA0">
            <w:pPr>
              <w:spacing w:after="120"/>
              <w:rPr>
                <w:i/>
                <w:iCs/>
              </w:rPr>
            </w:pPr>
            <w:r w:rsidRPr="00746DA0">
              <w:rPr>
                <w:i/>
                <w:iCs/>
              </w:rPr>
              <w:t xml:space="preserve">Представлено: </w:t>
            </w:r>
          </w:p>
        </w:tc>
        <w:tc>
          <w:tcPr>
            <w:tcW w:w="4536" w:type="dxa"/>
          </w:tcPr>
          <w:p w:rsidR="00746DA0" w:rsidRPr="00746DA0" w:rsidRDefault="00746DA0" w:rsidP="00746DA0">
            <w:pPr>
              <w:spacing w:after="120"/>
              <w:rPr>
                <w:lang w:val="en-GB"/>
              </w:rPr>
            </w:pPr>
            <w:r w:rsidRPr="00746DA0">
              <w:rPr>
                <w:lang w:val="en-GB"/>
              </w:rPr>
              <w:t xml:space="preserve">Петром Кузнецовым </w:t>
            </w:r>
            <w:r w:rsidRPr="00746DA0">
              <w:rPr>
                <w:lang w:val="en-GB"/>
              </w:rPr>
              <w:br/>
              <w:t>(адвокатом не представлен)</w:t>
            </w:r>
          </w:p>
        </w:tc>
      </w:tr>
      <w:tr w:rsidR="00746DA0" w:rsidRPr="00AA319B" w:rsidTr="00746DA0">
        <w:tc>
          <w:tcPr>
            <w:tcW w:w="3119" w:type="dxa"/>
          </w:tcPr>
          <w:p w:rsidR="00746DA0" w:rsidRPr="00746DA0" w:rsidRDefault="00746DA0" w:rsidP="00746DA0">
            <w:pPr>
              <w:spacing w:after="120"/>
              <w:rPr>
                <w:i/>
                <w:iCs/>
              </w:rPr>
            </w:pPr>
            <w:r w:rsidRPr="00746DA0">
              <w:rPr>
                <w:i/>
                <w:iCs/>
              </w:rPr>
              <w:t xml:space="preserve">Предполагаемые жертвы: </w:t>
            </w:r>
          </w:p>
        </w:tc>
        <w:tc>
          <w:tcPr>
            <w:tcW w:w="4536" w:type="dxa"/>
          </w:tcPr>
          <w:p w:rsidR="00746DA0" w:rsidRPr="00746DA0" w:rsidRDefault="00746DA0" w:rsidP="00746DA0">
            <w:pPr>
              <w:spacing w:after="120"/>
              <w:rPr>
                <w:lang w:val="en-GB"/>
              </w:rPr>
            </w:pPr>
            <w:r w:rsidRPr="00746DA0">
              <w:rPr>
                <w:lang w:val="en-GB"/>
              </w:rPr>
              <w:t>авторы сообщения</w:t>
            </w:r>
          </w:p>
        </w:tc>
      </w:tr>
      <w:tr w:rsidR="00746DA0" w:rsidRPr="00AA319B" w:rsidTr="00746DA0">
        <w:tc>
          <w:tcPr>
            <w:tcW w:w="3119" w:type="dxa"/>
          </w:tcPr>
          <w:p w:rsidR="00746DA0" w:rsidRPr="00746DA0" w:rsidRDefault="00746DA0" w:rsidP="00746DA0">
            <w:pPr>
              <w:spacing w:after="120"/>
              <w:rPr>
                <w:i/>
                <w:iCs/>
              </w:rPr>
            </w:pPr>
            <w:r w:rsidRPr="00746DA0">
              <w:rPr>
                <w:i/>
                <w:iCs/>
              </w:rPr>
              <w:t xml:space="preserve">Государство-участник: </w:t>
            </w:r>
          </w:p>
        </w:tc>
        <w:tc>
          <w:tcPr>
            <w:tcW w:w="4536" w:type="dxa"/>
          </w:tcPr>
          <w:p w:rsidR="00746DA0" w:rsidRPr="00746DA0" w:rsidRDefault="00746DA0" w:rsidP="00746DA0">
            <w:pPr>
              <w:spacing w:after="120"/>
              <w:rPr>
                <w:lang w:val="en-GB"/>
              </w:rPr>
            </w:pPr>
            <w:r w:rsidRPr="00746DA0">
              <w:rPr>
                <w:lang w:val="en-GB"/>
              </w:rPr>
              <w:t>Беларусь</w:t>
            </w:r>
          </w:p>
        </w:tc>
      </w:tr>
      <w:tr w:rsidR="00746DA0" w:rsidRPr="00AA319B" w:rsidTr="00746DA0">
        <w:tc>
          <w:tcPr>
            <w:tcW w:w="3119" w:type="dxa"/>
          </w:tcPr>
          <w:p w:rsidR="00746DA0" w:rsidRPr="00746DA0" w:rsidRDefault="00746DA0" w:rsidP="00746DA0">
            <w:pPr>
              <w:spacing w:after="120"/>
              <w:rPr>
                <w:i/>
                <w:iCs/>
              </w:rPr>
            </w:pPr>
            <w:r w:rsidRPr="00746DA0">
              <w:rPr>
                <w:i/>
                <w:iCs/>
              </w:rPr>
              <w:t xml:space="preserve">Дата сообщения: </w:t>
            </w:r>
          </w:p>
        </w:tc>
        <w:tc>
          <w:tcPr>
            <w:tcW w:w="4536" w:type="dxa"/>
          </w:tcPr>
          <w:p w:rsidR="00746DA0" w:rsidRPr="00746DA0" w:rsidRDefault="00746DA0" w:rsidP="00746DA0">
            <w:pPr>
              <w:spacing w:after="120"/>
              <w:rPr>
                <w:lang w:val="en-GB"/>
              </w:rPr>
            </w:pPr>
            <w:r w:rsidRPr="00746DA0">
              <w:rPr>
                <w:lang w:val="en-GB"/>
              </w:rPr>
              <w:t xml:space="preserve">14 марта 2010 года </w:t>
            </w:r>
            <w:r w:rsidR="00E37B88">
              <w:rPr>
                <w:lang w:val="en-GB"/>
              </w:rPr>
              <w:br/>
            </w:r>
            <w:r w:rsidRPr="00746DA0">
              <w:rPr>
                <w:lang w:val="en-GB"/>
              </w:rPr>
              <w:t xml:space="preserve">(первоначальное представление) </w:t>
            </w:r>
          </w:p>
          <w:p w:rsidR="00746DA0" w:rsidRPr="00746DA0" w:rsidRDefault="00746DA0" w:rsidP="00746DA0">
            <w:pPr>
              <w:spacing w:after="120"/>
              <w:rPr>
                <w:lang w:val="en-GB"/>
              </w:rPr>
            </w:pPr>
            <w:r w:rsidRPr="00746DA0">
              <w:rPr>
                <w:lang w:val="en-GB"/>
              </w:rPr>
              <w:t xml:space="preserve">Решение Специального докладчика согласно правилу 97, препровожденное государству-участнику 24 сентября 2010 года </w:t>
            </w:r>
            <w:r w:rsidR="00187C6D">
              <w:rPr>
                <w:lang w:val="en-GB"/>
              </w:rPr>
              <w:br/>
            </w:r>
            <w:r w:rsidRPr="00746DA0">
              <w:rPr>
                <w:lang w:val="en-GB"/>
              </w:rPr>
              <w:t>(в виде документа не издавалось)</w:t>
            </w:r>
          </w:p>
        </w:tc>
      </w:tr>
      <w:tr w:rsidR="00746DA0" w:rsidRPr="00AA319B" w:rsidTr="00746DA0">
        <w:tc>
          <w:tcPr>
            <w:tcW w:w="3119" w:type="dxa"/>
          </w:tcPr>
          <w:p w:rsidR="00746DA0" w:rsidRPr="0003081B" w:rsidRDefault="00746DA0" w:rsidP="00746DA0">
            <w:pPr>
              <w:spacing w:after="120"/>
              <w:rPr>
                <w:i/>
                <w:iCs/>
              </w:rPr>
            </w:pPr>
            <w:r w:rsidRPr="00746DA0">
              <w:rPr>
                <w:i/>
                <w:iCs/>
              </w:rPr>
              <w:t>Дата принятия</w:t>
            </w:r>
            <w:r w:rsidR="0003081B">
              <w:rPr>
                <w:i/>
                <w:iCs/>
              </w:rPr>
              <w:t xml:space="preserve"> </w:t>
            </w:r>
            <w:r w:rsidR="0003081B" w:rsidRPr="0003081B">
              <w:rPr>
                <w:i/>
                <w:iCs/>
              </w:rPr>
              <w:t>Соображений</w:t>
            </w:r>
            <w:r w:rsidR="0003081B">
              <w:rPr>
                <w:i/>
                <w:iCs/>
              </w:rPr>
              <w:t>:</w:t>
            </w:r>
          </w:p>
        </w:tc>
        <w:tc>
          <w:tcPr>
            <w:tcW w:w="4536" w:type="dxa"/>
          </w:tcPr>
          <w:p w:rsidR="00746DA0" w:rsidRPr="00746DA0" w:rsidRDefault="00746DA0" w:rsidP="00746DA0">
            <w:pPr>
              <w:spacing w:after="120"/>
              <w:rPr>
                <w:lang w:val="en-GB"/>
              </w:rPr>
            </w:pPr>
            <w:r w:rsidRPr="00746DA0">
              <w:rPr>
                <w:lang w:val="en-GB"/>
              </w:rPr>
              <w:t>24 июля 2014 года</w:t>
            </w:r>
          </w:p>
        </w:tc>
      </w:tr>
      <w:tr w:rsidR="00746DA0" w:rsidRPr="00AA319B" w:rsidTr="00746DA0">
        <w:tc>
          <w:tcPr>
            <w:tcW w:w="3119" w:type="dxa"/>
          </w:tcPr>
          <w:p w:rsidR="00746DA0" w:rsidRPr="00746DA0" w:rsidRDefault="00746DA0" w:rsidP="00746DA0">
            <w:pPr>
              <w:spacing w:after="120"/>
              <w:rPr>
                <w:i/>
                <w:iCs/>
              </w:rPr>
            </w:pPr>
            <w:r w:rsidRPr="00746DA0">
              <w:rPr>
                <w:i/>
                <w:iCs/>
              </w:rPr>
              <w:t>Темы:</w:t>
            </w:r>
          </w:p>
        </w:tc>
        <w:tc>
          <w:tcPr>
            <w:tcW w:w="4536" w:type="dxa"/>
          </w:tcPr>
          <w:p w:rsidR="00746DA0" w:rsidRPr="00746DA0" w:rsidRDefault="00746DA0" w:rsidP="00746DA0">
            <w:pPr>
              <w:spacing w:after="120"/>
              <w:rPr>
                <w:lang w:val="en-GB"/>
              </w:rPr>
            </w:pPr>
            <w:r w:rsidRPr="00746DA0">
              <w:rPr>
                <w:lang w:val="en-GB"/>
              </w:rPr>
              <w:t>право защищать себя через адвоката по своему собственному выбору; право распространять информацию; право на мирные собрания</w:t>
            </w:r>
          </w:p>
        </w:tc>
      </w:tr>
      <w:tr w:rsidR="00746DA0" w:rsidRPr="00AA319B" w:rsidTr="00746DA0">
        <w:tc>
          <w:tcPr>
            <w:tcW w:w="3119" w:type="dxa"/>
          </w:tcPr>
          <w:p w:rsidR="00746DA0" w:rsidRPr="00746DA0" w:rsidRDefault="00746DA0" w:rsidP="00746DA0">
            <w:pPr>
              <w:spacing w:after="120"/>
              <w:rPr>
                <w:i/>
                <w:iCs/>
              </w:rPr>
            </w:pPr>
            <w:r w:rsidRPr="00746DA0">
              <w:rPr>
                <w:i/>
                <w:iCs/>
              </w:rPr>
              <w:t xml:space="preserve">Вопросы существа: </w:t>
            </w:r>
          </w:p>
        </w:tc>
        <w:tc>
          <w:tcPr>
            <w:tcW w:w="4536" w:type="dxa"/>
          </w:tcPr>
          <w:p w:rsidR="00746DA0" w:rsidRPr="00746DA0" w:rsidRDefault="00746DA0" w:rsidP="00746DA0">
            <w:pPr>
              <w:spacing w:after="120"/>
              <w:rPr>
                <w:lang w:val="en-GB"/>
              </w:rPr>
            </w:pPr>
            <w:r w:rsidRPr="00746DA0">
              <w:rPr>
                <w:lang w:val="en-GB"/>
              </w:rPr>
              <w:t>право защищать себя через адвоката по своему собственному выбору; свобода выражения мнений; мирные собрания</w:t>
            </w:r>
          </w:p>
        </w:tc>
      </w:tr>
      <w:tr w:rsidR="00746DA0" w:rsidRPr="00AA319B" w:rsidTr="00746DA0">
        <w:tc>
          <w:tcPr>
            <w:tcW w:w="3119" w:type="dxa"/>
          </w:tcPr>
          <w:p w:rsidR="00746DA0" w:rsidRPr="00746DA0" w:rsidRDefault="00746DA0" w:rsidP="00746DA0">
            <w:pPr>
              <w:spacing w:after="120"/>
              <w:rPr>
                <w:i/>
                <w:iCs/>
              </w:rPr>
            </w:pPr>
            <w:r w:rsidRPr="00746DA0">
              <w:rPr>
                <w:i/>
                <w:iCs/>
              </w:rPr>
              <w:t>Процедурные вопросы:</w:t>
            </w:r>
          </w:p>
        </w:tc>
        <w:tc>
          <w:tcPr>
            <w:tcW w:w="4536" w:type="dxa"/>
          </w:tcPr>
          <w:p w:rsidR="00746DA0" w:rsidRPr="00746DA0" w:rsidRDefault="00746DA0" w:rsidP="00746DA0">
            <w:pPr>
              <w:spacing w:after="120"/>
              <w:rPr>
                <w:lang w:val="en-GB"/>
              </w:rPr>
            </w:pPr>
            <w:r w:rsidRPr="00746DA0">
              <w:rPr>
                <w:lang w:val="en-GB"/>
              </w:rPr>
              <w:t xml:space="preserve">исчерпание внутренних средств правовой защиты; обоснованность утверждений </w:t>
            </w:r>
          </w:p>
        </w:tc>
      </w:tr>
      <w:tr w:rsidR="00746DA0" w:rsidRPr="00AA319B" w:rsidTr="00746DA0">
        <w:tc>
          <w:tcPr>
            <w:tcW w:w="3119" w:type="dxa"/>
          </w:tcPr>
          <w:p w:rsidR="00746DA0" w:rsidRPr="00746DA0" w:rsidRDefault="00746DA0" w:rsidP="00746DA0">
            <w:pPr>
              <w:spacing w:after="120"/>
              <w:rPr>
                <w:i/>
                <w:iCs/>
              </w:rPr>
            </w:pPr>
            <w:r w:rsidRPr="00746DA0">
              <w:rPr>
                <w:i/>
                <w:iCs/>
              </w:rPr>
              <w:t xml:space="preserve">Статьи Пакта: </w:t>
            </w:r>
          </w:p>
        </w:tc>
        <w:tc>
          <w:tcPr>
            <w:tcW w:w="4536" w:type="dxa"/>
          </w:tcPr>
          <w:p w:rsidR="00746DA0" w:rsidRPr="00746DA0" w:rsidRDefault="00746DA0" w:rsidP="00746DA0">
            <w:pPr>
              <w:spacing w:after="120"/>
              <w:rPr>
                <w:lang w:val="en-GB"/>
              </w:rPr>
            </w:pPr>
            <w:r w:rsidRPr="00746DA0">
              <w:rPr>
                <w:lang w:val="en-GB"/>
              </w:rPr>
              <w:t>14 (пункт 3 d)); 19 и 21 в сочетании с 2</w:t>
            </w:r>
          </w:p>
        </w:tc>
      </w:tr>
      <w:tr w:rsidR="00746DA0" w:rsidRPr="00D67502" w:rsidTr="00746DA0">
        <w:tc>
          <w:tcPr>
            <w:tcW w:w="3119" w:type="dxa"/>
          </w:tcPr>
          <w:p w:rsidR="00746DA0" w:rsidRPr="00746DA0" w:rsidRDefault="00746DA0" w:rsidP="00746DA0">
            <w:pPr>
              <w:spacing w:after="120"/>
              <w:rPr>
                <w:i/>
                <w:iCs/>
              </w:rPr>
            </w:pPr>
            <w:r w:rsidRPr="00746DA0">
              <w:rPr>
                <w:i/>
                <w:iCs/>
              </w:rPr>
              <w:t>Статьи Факультативного протокола:</w:t>
            </w:r>
          </w:p>
        </w:tc>
        <w:tc>
          <w:tcPr>
            <w:tcW w:w="4536" w:type="dxa"/>
          </w:tcPr>
          <w:p w:rsidR="00746DA0" w:rsidRPr="00746DA0" w:rsidRDefault="00746DA0" w:rsidP="00746DA0">
            <w:pPr>
              <w:spacing w:after="120"/>
              <w:rPr>
                <w:lang w:val="en-GB"/>
              </w:rPr>
            </w:pPr>
            <w:r w:rsidRPr="00746DA0">
              <w:rPr>
                <w:lang w:val="en-GB"/>
              </w:rPr>
              <w:t>2 и 5 (пункт 2 b)</w:t>
            </w:r>
          </w:p>
        </w:tc>
      </w:tr>
    </w:tbl>
    <w:p w:rsidR="00187C6D" w:rsidRDefault="00187C6D" w:rsidP="00D76358">
      <w:pPr>
        <w:rPr>
          <w:lang w:val="en-US"/>
        </w:rPr>
      </w:pPr>
    </w:p>
    <w:p w:rsidR="00187C6D" w:rsidRPr="00187C6D" w:rsidRDefault="00187C6D" w:rsidP="00187C6D">
      <w:pPr>
        <w:pStyle w:val="HChGR"/>
      </w:pPr>
      <w:r>
        <w:rPr>
          <w:lang w:val="en-US"/>
        </w:rPr>
        <w:br w:type="page"/>
      </w:r>
      <w:r w:rsidRPr="00187C6D">
        <w:t>Приложение</w:t>
      </w:r>
    </w:p>
    <w:p w:rsidR="00187C6D" w:rsidRPr="00187C6D" w:rsidRDefault="00187C6D" w:rsidP="00187C6D">
      <w:pPr>
        <w:pStyle w:val="HChGR"/>
        <w:rPr>
          <w:lang w:val="en-US"/>
        </w:rPr>
      </w:pPr>
      <w:r w:rsidRPr="00187C6D">
        <w:tab/>
      </w:r>
      <w:r w:rsidRPr="00187C6D">
        <w:tab/>
        <w:t>Соображения Комитета по правам человека в</w:t>
      </w:r>
      <w:r>
        <w:rPr>
          <w:lang w:val="en-US"/>
        </w:rPr>
        <w:t> </w:t>
      </w:r>
      <w:r w:rsidRPr="00187C6D">
        <w:t>соответствии с пунктом 4 статьи 5 Факультативного протокола к Международному пакту о гражданских и</w:t>
      </w:r>
      <w:r>
        <w:rPr>
          <w:lang w:val="en-US"/>
        </w:rPr>
        <w:t> </w:t>
      </w:r>
      <w:r w:rsidRPr="00187C6D">
        <w:t>пол</w:t>
      </w:r>
      <w:r>
        <w:t>итических правах (111-я сессия)</w:t>
      </w:r>
    </w:p>
    <w:p w:rsidR="00187C6D" w:rsidRPr="00187C6D" w:rsidRDefault="00187C6D" w:rsidP="00187C6D">
      <w:pPr>
        <w:pStyle w:val="SingleTxtGR"/>
        <w:rPr>
          <w:b/>
          <w:bCs/>
        </w:rPr>
      </w:pPr>
      <w:r w:rsidRPr="00187C6D">
        <w:t>относительно</w:t>
      </w:r>
    </w:p>
    <w:p w:rsidR="003032E2" w:rsidRPr="009469F6" w:rsidRDefault="00187C6D" w:rsidP="00AB1695">
      <w:pPr>
        <w:pStyle w:val="H1GR"/>
        <w:rPr>
          <w:b w:val="0"/>
          <w:lang w:val="en-US"/>
        </w:rPr>
      </w:pPr>
      <w:r w:rsidRPr="00187C6D">
        <w:tab/>
      </w:r>
      <w:r w:rsidRPr="00187C6D">
        <w:tab/>
        <w:t>Сообщения № 1976/2010</w:t>
      </w:r>
      <w:r w:rsidR="00FB4D86" w:rsidRPr="009469F6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82"/>
        <w:gridCol w:w="4536"/>
      </w:tblGrid>
      <w:tr w:rsidR="00E37B88" w:rsidRPr="00D3177B" w:rsidTr="00E37B88">
        <w:tc>
          <w:tcPr>
            <w:tcW w:w="2982" w:type="dxa"/>
          </w:tcPr>
          <w:p w:rsidR="00E37B88" w:rsidRPr="00E37B88" w:rsidRDefault="00E37B88" w:rsidP="00E37B88">
            <w:pPr>
              <w:spacing w:after="120"/>
              <w:rPr>
                <w:i/>
                <w:iCs/>
              </w:rPr>
            </w:pPr>
            <w:r w:rsidRPr="00E37B88">
              <w:rPr>
                <w:i/>
                <w:iCs/>
              </w:rPr>
              <w:t>Представлено:</w:t>
            </w:r>
          </w:p>
        </w:tc>
        <w:tc>
          <w:tcPr>
            <w:tcW w:w="4536" w:type="dxa"/>
          </w:tcPr>
          <w:p w:rsidR="00E37B88" w:rsidRPr="00E37B88" w:rsidRDefault="00E37B88" w:rsidP="00E37B88">
            <w:pPr>
              <w:spacing w:after="120"/>
              <w:rPr>
                <w:lang w:val="en-GB"/>
              </w:rPr>
            </w:pPr>
            <w:r w:rsidRPr="00E37B88">
              <w:rPr>
                <w:lang w:val="en-GB"/>
              </w:rPr>
              <w:t xml:space="preserve">Петром Кузнецовым </w:t>
            </w:r>
            <w:r>
              <w:rPr>
                <w:lang w:val="en-GB"/>
              </w:rPr>
              <w:br/>
            </w:r>
            <w:r w:rsidRPr="00E37B88">
              <w:rPr>
                <w:lang w:val="en-GB"/>
              </w:rPr>
              <w:t>(адвокатом не представлен)</w:t>
            </w:r>
          </w:p>
        </w:tc>
      </w:tr>
      <w:tr w:rsidR="00E37B88" w:rsidRPr="00D3177B" w:rsidTr="00E37B88">
        <w:tc>
          <w:tcPr>
            <w:tcW w:w="2982" w:type="dxa"/>
          </w:tcPr>
          <w:p w:rsidR="00E37B88" w:rsidRPr="00E37B88" w:rsidRDefault="00E37B88" w:rsidP="00E37B88">
            <w:pPr>
              <w:spacing w:after="120"/>
              <w:rPr>
                <w:i/>
                <w:iCs/>
              </w:rPr>
            </w:pPr>
            <w:r w:rsidRPr="00E37B88">
              <w:rPr>
                <w:i/>
                <w:iCs/>
              </w:rPr>
              <w:t>Предполагаемые жертвы:</w:t>
            </w:r>
          </w:p>
        </w:tc>
        <w:tc>
          <w:tcPr>
            <w:tcW w:w="4536" w:type="dxa"/>
          </w:tcPr>
          <w:p w:rsidR="00E37B88" w:rsidRPr="00E37B88" w:rsidRDefault="00E37B88" w:rsidP="00E37B88">
            <w:pPr>
              <w:spacing w:after="120"/>
              <w:rPr>
                <w:lang w:val="en-GB"/>
              </w:rPr>
            </w:pPr>
            <w:r w:rsidRPr="00E37B88">
              <w:rPr>
                <w:lang w:val="en-GB"/>
              </w:rPr>
              <w:t>авторы сообщения</w:t>
            </w:r>
          </w:p>
        </w:tc>
      </w:tr>
      <w:tr w:rsidR="00E37B88" w:rsidRPr="00D3177B" w:rsidTr="00E37B88">
        <w:tc>
          <w:tcPr>
            <w:tcW w:w="2982" w:type="dxa"/>
          </w:tcPr>
          <w:p w:rsidR="00E37B88" w:rsidRPr="00E37B88" w:rsidRDefault="00E37B88" w:rsidP="00E37B88">
            <w:pPr>
              <w:spacing w:after="120"/>
              <w:rPr>
                <w:i/>
                <w:iCs/>
              </w:rPr>
            </w:pPr>
            <w:r w:rsidRPr="00E37B88">
              <w:rPr>
                <w:i/>
                <w:iCs/>
              </w:rPr>
              <w:t>Государство-участник:</w:t>
            </w:r>
          </w:p>
        </w:tc>
        <w:tc>
          <w:tcPr>
            <w:tcW w:w="4536" w:type="dxa"/>
          </w:tcPr>
          <w:p w:rsidR="00E37B88" w:rsidRPr="00E37B88" w:rsidRDefault="00E37B88" w:rsidP="00E37B88">
            <w:pPr>
              <w:spacing w:after="120"/>
              <w:rPr>
                <w:lang w:val="en-GB"/>
              </w:rPr>
            </w:pPr>
            <w:r w:rsidRPr="00E37B88">
              <w:rPr>
                <w:lang w:val="en-GB"/>
              </w:rPr>
              <w:t>Беларусь</w:t>
            </w:r>
          </w:p>
        </w:tc>
      </w:tr>
      <w:tr w:rsidR="00E37B88" w:rsidRPr="00D67502" w:rsidTr="00E37B88">
        <w:tc>
          <w:tcPr>
            <w:tcW w:w="2982" w:type="dxa"/>
          </w:tcPr>
          <w:p w:rsidR="00E37B88" w:rsidRPr="00E37B88" w:rsidRDefault="00E37B88" w:rsidP="00E37B88">
            <w:pPr>
              <w:spacing w:after="120"/>
              <w:rPr>
                <w:i/>
                <w:iCs/>
              </w:rPr>
            </w:pPr>
            <w:r w:rsidRPr="00E37B88">
              <w:rPr>
                <w:i/>
                <w:iCs/>
              </w:rPr>
              <w:t xml:space="preserve">Дата сообщения: </w:t>
            </w:r>
          </w:p>
        </w:tc>
        <w:tc>
          <w:tcPr>
            <w:tcW w:w="4536" w:type="dxa"/>
          </w:tcPr>
          <w:p w:rsidR="00E37B88" w:rsidRPr="00E37B88" w:rsidRDefault="00E37B88" w:rsidP="00E37B88">
            <w:pPr>
              <w:spacing w:after="120"/>
              <w:rPr>
                <w:lang w:val="en-GB"/>
              </w:rPr>
            </w:pPr>
            <w:r w:rsidRPr="00E37B88">
              <w:rPr>
                <w:lang w:val="en-GB"/>
              </w:rPr>
              <w:t xml:space="preserve">14 марта 2010 года </w:t>
            </w:r>
            <w:r>
              <w:rPr>
                <w:lang w:val="en-GB"/>
              </w:rPr>
              <w:br/>
            </w:r>
            <w:r w:rsidRPr="00E37B88">
              <w:rPr>
                <w:lang w:val="en-GB"/>
              </w:rPr>
              <w:t>(первоначальное представление)</w:t>
            </w:r>
          </w:p>
        </w:tc>
      </w:tr>
    </w:tbl>
    <w:p w:rsidR="00E37B88" w:rsidRPr="00E37B88" w:rsidRDefault="00E37B88" w:rsidP="00E37B88">
      <w:pPr>
        <w:pStyle w:val="SingleTxtGR"/>
      </w:pPr>
      <w:r w:rsidRPr="00E37B88">
        <w:tab/>
      </w:r>
      <w:r w:rsidRPr="00E37B88">
        <w:rPr>
          <w:i/>
        </w:rPr>
        <w:t xml:space="preserve">Комитет по правам человека, </w:t>
      </w:r>
      <w:r w:rsidRPr="00E37B88">
        <w:t>учрежденный в соответствии со статьей 28 Международного пакта о гражданских и политических правах</w:t>
      </w:r>
      <w:r w:rsidRPr="00E37B88">
        <w:rPr>
          <w:i/>
        </w:rPr>
        <w:t>,</w:t>
      </w:r>
    </w:p>
    <w:p w:rsidR="00E37B88" w:rsidRPr="00E37B88" w:rsidRDefault="00E37B88" w:rsidP="00E37B88">
      <w:pPr>
        <w:pStyle w:val="SingleTxtGR"/>
      </w:pPr>
      <w:r w:rsidRPr="00E37B88">
        <w:tab/>
      </w:r>
      <w:r w:rsidRPr="00E37B88">
        <w:rPr>
          <w:i/>
        </w:rPr>
        <w:t xml:space="preserve">на своем заседании </w:t>
      </w:r>
      <w:r w:rsidRPr="00E37B88">
        <w:t>24 июля 2014 года,</w:t>
      </w:r>
      <w:r w:rsidRPr="00E37B88">
        <w:rPr>
          <w:i/>
        </w:rPr>
        <w:t xml:space="preserve"> </w:t>
      </w:r>
    </w:p>
    <w:p w:rsidR="00E37B88" w:rsidRPr="00E37B88" w:rsidRDefault="00E37B88" w:rsidP="00E37B88">
      <w:pPr>
        <w:pStyle w:val="SingleTxtGR"/>
      </w:pPr>
      <w:r w:rsidRPr="00E37B88">
        <w:tab/>
      </w:r>
      <w:r w:rsidRPr="00E37B88">
        <w:rPr>
          <w:i/>
        </w:rPr>
        <w:t xml:space="preserve">завершив </w:t>
      </w:r>
      <w:r w:rsidRPr="00E37B88">
        <w:t>рассмотрение сообщения № 1976/2010, представленного Ком</w:t>
      </w:r>
      <w:r w:rsidRPr="00E37B88">
        <w:t>и</w:t>
      </w:r>
      <w:r w:rsidRPr="00E37B88">
        <w:t>тету по правам человека г-ном Пет</w:t>
      </w:r>
      <w:r w:rsidR="0003081B">
        <w:t>ром Кузнецовым, Юрием Захаренко,</w:t>
      </w:r>
      <w:r w:rsidRPr="00E37B88">
        <w:t xml:space="preserve"> Анат</w:t>
      </w:r>
      <w:r w:rsidRPr="00E37B88">
        <w:t>о</w:t>
      </w:r>
      <w:r w:rsidRPr="00E37B88">
        <w:t>лием</w:t>
      </w:r>
      <w:r w:rsidR="0003081B">
        <w:t xml:space="preserve"> Поплавным,</w:t>
      </w:r>
      <w:r w:rsidRPr="00E37B88">
        <w:t xml:space="preserve"> Василием Поляковым и Владимиром Кацора в соответствии с Факультативным протоколом к Международному пакту о гражданских и пол</w:t>
      </w:r>
      <w:r w:rsidRPr="00E37B88">
        <w:t>и</w:t>
      </w:r>
      <w:r w:rsidRPr="00E37B88">
        <w:t>тических правах,</w:t>
      </w:r>
    </w:p>
    <w:p w:rsidR="00E37B88" w:rsidRPr="00E37B88" w:rsidRDefault="00E37B88" w:rsidP="00E37B88">
      <w:pPr>
        <w:pStyle w:val="SingleTxtGR"/>
      </w:pPr>
      <w:r w:rsidRPr="00E37B88">
        <w:tab/>
      </w:r>
      <w:r w:rsidRPr="00E37B88">
        <w:rPr>
          <w:i/>
        </w:rPr>
        <w:t xml:space="preserve">приняв во внимание </w:t>
      </w:r>
      <w:r w:rsidRPr="00E37B88">
        <w:t>всю письменную информацию, представленную ему автором сообщения и государством-участником,</w:t>
      </w:r>
    </w:p>
    <w:p w:rsidR="00E37B88" w:rsidRPr="00E37B88" w:rsidRDefault="00E37B88" w:rsidP="00E37B88">
      <w:pPr>
        <w:pStyle w:val="SingleTxtGR"/>
      </w:pPr>
      <w:r w:rsidRPr="00E37B88">
        <w:tab/>
      </w:r>
      <w:r w:rsidRPr="00E37B88">
        <w:rPr>
          <w:i/>
        </w:rPr>
        <w:t>принимает</w:t>
      </w:r>
      <w:r w:rsidRPr="00E37B88">
        <w:t xml:space="preserve"> следующее:</w:t>
      </w:r>
      <w:r w:rsidRPr="00E37B88">
        <w:rPr>
          <w:i/>
        </w:rPr>
        <w:t xml:space="preserve"> </w:t>
      </w:r>
    </w:p>
    <w:p w:rsidR="00E37B88" w:rsidRPr="00E37B88" w:rsidRDefault="00E37B88" w:rsidP="00DB227F">
      <w:pPr>
        <w:pStyle w:val="H1GR"/>
      </w:pPr>
      <w:r w:rsidRPr="00E37B88">
        <w:tab/>
      </w:r>
      <w:r w:rsidRPr="00E37B88">
        <w:tab/>
        <w:t>Соображения в соответствии с пунктом 4 статьи 5 Факультативного протокола</w:t>
      </w:r>
    </w:p>
    <w:p w:rsidR="00E37B88" w:rsidRPr="00E37B88" w:rsidRDefault="00E37B88" w:rsidP="00E37B88">
      <w:pPr>
        <w:pStyle w:val="SingleTxtGR"/>
      </w:pPr>
      <w:r w:rsidRPr="00E37B88">
        <w:t>1.</w:t>
      </w:r>
      <w:r w:rsidRPr="00E37B88">
        <w:tab/>
        <w:t>Авторами являются граждане Беларуси Петр Кузнецов 1981 года рожд</w:t>
      </w:r>
      <w:r w:rsidRPr="00E37B88">
        <w:t>е</w:t>
      </w:r>
      <w:r w:rsidR="00BF0792">
        <w:t>ния,</w:t>
      </w:r>
      <w:r w:rsidRPr="00E37B88">
        <w:t xml:space="preserve"> Юр</w:t>
      </w:r>
      <w:r w:rsidR="00BF0792">
        <w:t>ий Захаренко 1959 года рождения,</w:t>
      </w:r>
      <w:r w:rsidRPr="00E37B88">
        <w:t xml:space="preserve"> Анатолий Поплавный 1958 года р</w:t>
      </w:r>
      <w:r w:rsidRPr="00E37B88">
        <w:t>о</w:t>
      </w:r>
      <w:r w:rsidRPr="00E37B88">
        <w:t>ж</w:t>
      </w:r>
      <w:r w:rsidR="00BF0792">
        <w:t>дения,</w:t>
      </w:r>
      <w:r w:rsidRPr="00E37B88">
        <w:t xml:space="preserve"> Вас</w:t>
      </w:r>
      <w:r w:rsidR="00893B6B">
        <w:t>илий Поляков 1969 года рождения</w:t>
      </w:r>
      <w:r w:rsidRPr="00E37B88">
        <w:t xml:space="preserve"> и Владимир Кацора 1957 года рождения. Они утверждают, что являются жертвой нарушения Беларусью их прав по пункту 3 d) статьи 14 и статьям 19 и 21 в сочетании с пунктом 2 ст</w:t>
      </w:r>
      <w:r w:rsidRPr="00E37B88">
        <w:t>а</w:t>
      </w:r>
      <w:r w:rsidRPr="00E37B88">
        <w:t>тьи</w:t>
      </w:r>
      <w:r w:rsidR="00BF0792">
        <w:t> </w:t>
      </w:r>
      <w:r w:rsidRPr="00E37B88">
        <w:t>2 Международного пакта о гражданских и политических правах</w:t>
      </w:r>
      <w:r w:rsidRPr="00E260C3">
        <w:rPr>
          <w:sz w:val="18"/>
          <w:szCs w:val="18"/>
          <w:vertAlign w:val="superscript"/>
        </w:rPr>
        <w:footnoteReference w:id="2"/>
      </w:r>
      <w:r w:rsidRPr="00E37B88">
        <w:t>.</w:t>
      </w:r>
    </w:p>
    <w:p w:rsidR="00E37B88" w:rsidRPr="00E37B88" w:rsidRDefault="00E260C3" w:rsidP="00E260C3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E37B88" w:rsidRPr="00E37B88">
        <w:t>Факты в изложении авторов</w:t>
      </w:r>
    </w:p>
    <w:p w:rsidR="00E37B88" w:rsidRPr="00E37B88" w:rsidRDefault="00E37B88" w:rsidP="00E37B88">
      <w:pPr>
        <w:pStyle w:val="SingleTxtGR"/>
      </w:pPr>
      <w:r w:rsidRPr="00E37B88">
        <w:t>2.1</w:t>
      </w:r>
      <w:r w:rsidRPr="00E37B88">
        <w:tab/>
        <w:t>7 мая 2009 года авторы устроили пикет перед зданием Управления вну</w:t>
      </w:r>
      <w:r w:rsidRPr="00E37B88">
        <w:t>т</w:t>
      </w:r>
      <w:r w:rsidR="00371AB1">
        <w:t>ренних дел о</w:t>
      </w:r>
      <w:r w:rsidRPr="00E37B88">
        <w:t xml:space="preserve">бластного </w:t>
      </w:r>
      <w:r w:rsidR="00212EF4">
        <w:t>И</w:t>
      </w:r>
      <w:r w:rsidRPr="00E37B88">
        <w:t>сполнительного комитета города Гомеля. Они в теч</w:t>
      </w:r>
      <w:r w:rsidRPr="00E37B88">
        <w:t>е</w:t>
      </w:r>
      <w:r w:rsidR="00371AB1">
        <w:t>ние 30 минут простояли у здания</w:t>
      </w:r>
      <w:r w:rsidRPr="00E37B88">
        <w:t xml:space="preserve"> </w:t>
      </w:r>
      <w:r w:rsidR="00371AB1">
        <w:t>с</w:t>
      </w:r>
      <w:r w:rsidRPr="00E37B88">
        <w:t xml:space="preserve"> портрет</w:t>
      </w:r>
      <w:r w:rsidR="00371AB1">
        <w:t>ами</w:t>
      </w:r>
      <w:r w:rsidRPr="00E37B88">
        <w:t xml:space="preserve"> бывшего министра внутренних дел Юрия Захаренко, исчезнувшего 10 лет назад. По окончании пикетирования авторы передали в Управление внутренних дел письмо, в котором они указали на медленный прогресс в расследовании исчезновения г-на Захаренко и попр</w:t>
      </w:r>
      <w:r w:rsidRPr="00E37B88">
        <w:t>о</w:t>
      </w:r>
      <w:r w:rsidRPr="00E37B88">
        <w:t>сили власти должным образом расследовать это преступление. В ходе пикета полицейские, не приближаясь к авторам, вели видеозапись их действий.</w:t>
      </w:r>
    </w:p>
    <w:p w:rsidR="00E37B88" w:rsidRPr="00E37B88" w:rsidRDefault="00E37B88" w:rsidP="00E37B88">
      <w:pPr>
        <w:pStyle w:val="SingleTxtGR"/>
      </w:pPr>
      <w:r w:rsidRPr="00E37B88">
        <w:t>2.2</w:t>
      </w:r>
      <w:r w:rsidRPr="00E37B88">
        <w:tab/>
        <w:t>22 мая 2009 года авторы были вызваны в Управление внутренних дел Г</w:t>
      </w:r>
      <w:r w:rsidRPr="00E37B88">
        <w:t>о</w:t>
      </w:r>
      <w:r w:rsidRPr="00E37B88">
        <w:t>мельского областного исполнительного комитета, где им были предъявлены о</w:t>
      </w:r>
      <w:r w:rsidRPr="00E37B88">
        <w:t>б</w:t>
      </w:r>
      <w:r w:rsidRPr="00E37B88">
        <w:t>винения в совершении административн</w:t>
      </w:r>
      <w:r w:rsidR="00371AB1">
        <w:t>ого</w:t>
      </w:r>
      <w:r w:rsidRPr="00E37B88">
        <w:t xml:space="preserve"> правонарушени</w:t>
      </w:r>
      <w:r w:rsidR="00371AB1">
        <w:t>я</w:t>
      </w:r>
      <w:r w:rsidRPr="00E37B88">
        <w:t xml:space="preserve"> по пункту 1 ст</w:t>
      </w:r>
      <w:r w:rsidRPr="00E37B88">
        <w:t>а</w:t>
      </w:r>
      <w:r w:rsidRPr="00E37B88">
        <w:t>тьи 23.34 Кодекса Беларуси об административных правонарушениях. А именно, они были обвинены в проведении публичного собрания в нарушение порядка орг</w:t>
      </w:r>
      <w:r w:rsidRPr="00E37B88">
        <w:t>а</w:t>
      </w:r>
      <w:r w:rsidRPr="00E37B88">
        <w:t>низации собраний, установленного За</w:t>
      </w:r>
      <w:r w:rsidR="00415F5D">
        <w:t xml:space="preserve">коном 1997 года "О массовых </w:t>
      </w:r>
      <w:r w:rsidRPr="00E37B88">
        <w:t>меропри</w:t>
      </w:r>
      <w:r w:rsidRPr="00E37B88">
        <w:t>я</w:t>
      </w:r>
      <w:r w:rsidRPr="00E37B88">
        <w:t>тиях в Республике Беларусь". По этому закону организаторам массовых мер</w:t>
      </w:r>
      <w:r w:rsidRPr="00E37B88">
        <w:t>о</w:t>
      </w:r>
      <w:r w:rsidRPr="00E37B88">
        <w:t>приятий требуется за 15 дней до проведения мероприятия заручиться разреш</w:t>
      </w:r>
      <w:r w:rsidRPr="00E37B88">
        <w:t>е</w:t>
      </w:r>
      <w:r w:rsidRPr="00E37B88">
        <w:t xml:space="preserve">нием местных органов исполнительной власти на проведение собрания. Авторы вовсе не запрашивали разрешения, ибо, в соответствии с положениями того же закона, Гомельский городской </w:t>
      </w:r>
      <w:r w:rsidR="00212EF4">
        <w:t>и</w:t>
      </w:r>
      <w:r w:rsidRPr="00E37B88">
        <w:t>сполнительный комитет выпустил решение №</w:t>
      </w:r>
      <w:r w:rsidR="004C4178">
        <w:t> </w:t>
      </w:r>
      <w:r w:rsidRPr="00E37B88">
        <w:t>299 от 2 апреля 2008 года ("Относительно массовых мероприятий в городе Гомеле"), выделив для проведения массовых собраний одно-единственное м</w:t>
      </w:r>
      <w:r w:rsidRPr="00E37B88">
        <w:t>е</w:t>
      </w:r>
      <w:r w:rsidRPr="00E37B88">
        <w:t>сто на окраинах Гомеля, но авторы не желали проводить там свой пикет, ибо, по их мнению, это было бы бессмысленно.</w:t>
      </w:r>
    </w:p>
    <w:p w:rsidR="00E37B88" w:rsidRPr="00E37B88" w:rsidRDefault="00E37B88" w:rsidP="00E37B88">
      <w:pPr>
        <w:pStyle w:val="SingleTxtGR"/>
      </w:pPr>
      <w:r w:rsidRPr="00E37B88">
        <w:t>2.3</w:t>
      </w:r>
      <w:r w:rsidRPr="00E37B88">
        <w:tab/>
        <w:t xml:space="preserve">25 июня 2009 года </w:t>
      </w:r>
      <w:r w:rsidR="00371AB1">
        <w:t>Центральный районный суд Гомеля</w:t>
      </w:r>
      <w:r w:rsidRPr="00E37B88">
        <w:t xml:space="preserve"> признал авторов виновными в совершении административного правонарушения по пункту 1 ст</w:t>
      </w:r>
      <w:r w:rsidRPr="00E37B88">
        <w:t>а</w:t>
      </w:r>
      <w:r w:rsidRPr="00E37B88">
        <w:t>ть</w:t>
      </w:r>
      <w:r w:rsidR="00371AB1">
        <w:t>и</w:t>
      </w:r>
      <w:r w:rsidRPr="00E37B88">
        <w:t xml:space="preserve"> 23.24 Кодекса об административных правонарушениях </w:t>
      </w:r>
      <w:r w:rsidR="00371AB1">
        <w:t>в связи с</w:t>
      </w:r>
      <w:r w:rsidRPr="00E37B88">
        <w:t xml:space="preserve"> проведен</w:t>
      </w:r>
      <w:r w:rsidRPr="00E37B88">
        <w:t>и</w:t>
      </w:r>
      <w:r w:rsidRPr="00E37B88">
        <w:t>е</w:t>
      </w:r>
      <w:r w:rsidR="00371AB1">
        <w:t>м</w:t>
      </w:r>
      <w:r w:rsidRPr="00E37B88">
        <w:t xml:space="preserve"> несанкционированного пикета и назначил г-дам Кузнецову, Захаренко, П</w:t>
      </w:r>
      <w:r w:rsidRPr="00E37B88">
        <w:t>о</w:t>
      </w:r>
      <w:r w:rsidRPr="00E37B88">
        <w:t>плавному и Полякову штраф в размере 350 000 белорусских рублей, а г-ну К</w:t>
      </w:r>
      <w:r w:rsidRPr="00E37B88">
        <w:t>а</w:t>
      </w:r>
      <w:r w:rsidRPr="00E37B88">
        <w:t>цоре − трехдневный административный арест. 26 июня 2009 года авторы подали апелляцию на решение Центрального районного суда Гомеля от 25 июня 2009</w:t>
      </w:r>
      <w:r w:rsidR="00371AB1">
        <w:t> </w:t>
      </w:r>
      <w:r w:rsidRPr="00E37B88">
        <w:t>года, но 22 июля 2009 года их апелляция была отклонена Гомельским о</w:t>
      </w:r>
      <w:r w:rsidRPr="00E37B88">
        <w:t>б</w:t>
      </w:r>
      <w:r w:rsidRPr="00E37B88">
        <w:t>ластным судом. В апелляции авторы утверждали среди прочего, что было н</w:t>
      </w:r>
      <w:r w:rsidRPr="00E37B88">
        <w:t>а</w:t>
      </w:r>
      <w:r w:rsidRPr="00E37B88">
        <w:t>рушено их конституционное право на проведение мирных собраний, а также их права по статье 21 Пакта, поскольку ограничения, установленные отечестве</w:t>
      </w:r>
      <w:r w:rsidRPr="00E37B88">
        <w:t>н</w:t>
      </w:r>
      <w:r w:rsidRPr="00E37B88">
        <w:t>ным законодательством, не оправданны с точки зрения целей национальной безопа</w:t>
      </w:r>
      <w:r w:rsidRPr="00E37B88">
        <w:t>с</w:t>
      </w:r>
      <w:r w:rsidRPr="00E37B88">
        <w:t>ности, общественного порядка, здоровья или нравственности населения или защиты прав и свобод других лиц.</w:t>
      </w:r>
    </w:p>
    <w:p w:rsidR="00E37B88" w:rsidRPr="00E37B88" w:rsidRDefault="00E37B88" w:rsidP="00E37B88">
      <w:pPr>
        <w:pStyle w:val="SingleTxtGR"/>
      </w:pPr>
      <w:r w:rsidRPr="00E37B88">
        <w:t>2.4</w:t>
      </w:r>
      <w:r w:rsidRPr="00E37B88">
        <w:tab/>
        <w:t xml:space="preserve">Авторы подали апелляцию на решение </w:t>
      </w:r>
      <w:r w:rsidR="00371AB1">
        <w:t>областного</w:t>
      </w:r>
      <w:r w:rsidRPr="00E37B88">
        <w:t xml:space="preserve"> суда от 22 июля 2009</w:t>
      </w:r>
      <w:r w:rsidR="002B7E3D">
        <w:t> </w:t>
      </w:r>
      <w:r w:rsidRPr="00E37B88">
        <w:t>года в Верховный суд соответственно 27 и 30 июля 2009 года и 3, 5 и 12</w:t>
      </w:r>
      <w:r w:rsidR="00415F5D">
        <w:rPr>
          <w:lang w:val="en-US"/>
        </w:rPr>
        <w:t> </w:t>
      </w:r>
      <w:r w:rsidRPr="00E37B88">
        <w:t>декабря 2009 года. 30 сентября 2009 года применительно к одному из авт</w:t>
      </w:r>
      <w:r w:rsidRPr="00E37B88">
        <w:t>о</w:t>
      </w:r>
      <w:r w:rsidRPr="00E37B88">
        <w:t>ров и 21 января 2010 года применительно к другим Верховный суд отклонил апелляции и подтвердил приговор Центрального районного суда Гомеля от 25</w:t>
      </w:r>
      <w:r w:rsidR="00415F5D">
        <w:rPr>
          <w:lang w:val="en-US"/>
        </w:rPr>
        <w:t> </w:t>
      </w:r>
      <w:r w:rsidRPr="00E37B88">
        <w:t>июня 2009 г</w:t>
      </w:r>
      <w:r w:rsidRPr="00E37B88">
        <w:t>о</w:t>
      </w:r>
      <w:r w:rsidRPr="00E37B88">
        <w:t>да, заявив, в особенности, что положения Конституции и Пакта гарантируют право на свободу со</w:t>
      </w:r>
      <w:r w:rsidR="00371AB1">
        <w:t xml:space="preserve">браний, тогда как процедура </w:t>
      </w:r>
      <w:r w:rsidRPr="00E37B88">
        <w:t>реализации этого права предписана Законом 1997 года "О массовых мероприятиях в Республике Беларусь".</w:t>
      </w:r>
    </w:p>
    <w:p w:rsidR="00E37B88" w:rsidRPr="00E37B88" w:rsidRDefault="00E37B88" w:rsidP="00415F5D">
      <w:pPr>
        <w:pStyle w:val="H23GR"/>
      </w:pPr>
      <w:r w:rsidRPr="00E37B88">
        <w:tab/>
      </w:r>
      <w:r w:rsidRPr="00E37B88">
        <w:tab/>
        <w:t>Жалоба</w:t>
      </w:r>
    </w:p>
    <w:p w:rsidR="00E37B88" w:rsidRPr="00E37B88" w:rsidRDefault="00E37B88" w:rsidP="00E37B88">
      <w:pPr>
        <w:pStyle w:val="SingleTxtGR"/>
      </w:pPr>
      <w:r w:rsidRPr="00E37B88">
        <w:t>3.1</w:t>
      </w:r>
      <w:r w:rsidRPr="00E37B88">
        <w:tab/>
        <w:t>Авторы утверждают, что было произвольно ограничено их право на св</w:t>
      </w:r>
      <w:r w:rsidRPr="00E37B88">
        <w:t>о</w:t>
      </w:r>
      <w:r w:rsidRPr="00E37B88">
        <w:t>боду выражения мнения и свободу со</w:t>
      </w:r>
      <w:r w:rsidR="00415F5D">
        <w:t>браний по статьям 19 и 21 Пакта</w:t>
      </w:r>
      <w:r w:rsidRPr="00E37B88">
        <w:t>, поскол</w:t>
      </w:r>
      <w:r w:rsidRPr="00E37B88">
        <w:t>ь</w:t>
      </w:r>
      <w:r w:rsidRPr="00E37B88">
        <w:t xml:space="preserve">ку ни решение № 299 Гомельского городского </w:t>
      </w:r>
      <w:r w:rsidR="00212EF4">
        <w:t>и</w:t>
      </w:r>
      <w:r w:rsidRPr="00E37B88">
        <w:t>сполнительного комитета, ни суды не привели никакого обоснования для ограничения их прав, кроме фо</w:t>
      </w:r>
      <w:r w:rsidRPr="00E37B88">
        <w:t>р</w:t>
      </w:r>
      <w:r w:rsidRPr="00E37B88">
        <w:t>мального применения отечественного законодательства. Они утверждают, что в этом ограничении не было необходимости ни для уважения прав или р</w:t>
      </w:r>
      <w:r w:rsidRPr="00E37B88">
        <w:t>е</w:t>
      </w:r>
      <w:r w:rsidRPr="00E37B88">
        <w:t>путации других лиц, ни для охраны государственной безопасности или общественного порядка (публичный порядок) или здоровья или нравственности нас</w:t>
      </w:r>
      <w:r w:rsidRPr="00E37B88">
        <w:t>е</w:t>
      </w:r>
      <w:r w:rsidRPr="00E37B88">
        <w:t>ления (статья 19, пункт 3), ни для защиты п</w:t>
      </w:r>
      <w:r w:rsidR="00371AB1">
        <w:t>рав и свобод других лиц (статья</w:t>
      </w:r>
      <w:r w:rsidRPr="00E37B88">
        <w:t xml:space="preserve"> 22, вт</w:t>
      </w:r>
      <w:r w:rsidRPr="00E37B88">
        <w:t>о</w:t>
      </w:r>
      <w:r w:rsidRPr="00E37B88">
        <w:t>рое предложение), и поэтому оно нарушило статьи 19 и 21 Пакта.</w:t>
      </w:r>
    </w:p>
    <w:p w:rsidR="00E37B88" w:rsidRPr="00E37B88" w:rsidRDefault="00E37B88" w:rsidP="00E37B88">
      <w:pPr>
        <w:pStyle w:val="SingleTxtGR"/>
      </w:pPr>
      <w:r w:rsidRPr="00E37B88">
        <w:t>3.2</w:t>
      </w:r>
      <w:r w:rsidRPr="00E37B88">
        <w:tab/>
        <w:t>Авторы также заявляют, что принятием отечест</w:t>
      </w:r>
      <w:r w:rsidR="00371AB1">
        <w:t>венного законодательства, которо</w:t>
      </w:r>
      <w:r w:rsidRPr="00E37B88">
        <w:t>е носит не вполне четкий характер и противоречит статьям 19 и 21 Па</w:t>
      </w:r>
      <w:r w:rsidRPr="00E37B88">
        <w:t>к</w:t>
      </w:r>
      <w:r w:rsidRPr="00E37B88">
        <w:t>та, государство-участник также нарушило свои обязательства по пункту 2 ст</w:t>
      </w:r>
      <w:r w:rsidRPr="00E37B88">
        <w:t>а</w:t>
      </w:r>
      <w:r w:rsidRPr="00E37B88">
        <w:t>тьи 2 Пакта. В частности, вдобавок к требованию предварительно</w:t>
      </w:r>
      <w:r w:rsidR="00371AB1">
        <w:t>го</w:t>
      </w:r>
      <w:r w:rsidRPr="00E37B88">
        <w:t xml:space="preserve"> разрешени</w:t>
      </w:r>
      <w:r w:rsidR="00371AB1">
        <w:t>я</w:t>
      </w:r>
      <w:r w:rsidRPr="00E37B88">
        <w:t xml:space="preserve"> на все публичные собрания и к ограничению таких собраний одним-единственным </w:t>
      </w:r>
      <w:r w:rsidR="00371AB1">
        <w:t>местом</w:t>
      </w:r>
      <w:r w:rsidRPr="00E37B88">
        <w:t xml:space="preserve"> решение № 299 Гомельского городского </w:t>
      </w:r>
      <w:r w:rsidR="00212EF4">
        <w:t>и</w:t>
      </w:r>
      <w:r w:rsidRPr="00E37B88">
        <w:t>сполнительн</w:t>
      </w:r>
      <w:r w:rsidRPr="00E37B88">
        <w:t>о</w:t>
      </w:r>
      <w:r w:rsidRPr="00E37B88">
        <w:t xml:space="preserve">го комитета также требует от организаторов массовых мероприятий заключать за свой собственный счет договоры с Управлением внутренних дел </w:t>
      </w:r>
      <w:r w:rsidR="00415F5D">
        <w:rPr>
          <w:lang w:val="en-US"/>
        </w:rPr>
        <w:t>−</w:t>
      </w:r>
      <w:r w:rsidRPr="00E37B88">
        <w:t xml:space="preserve"> чтобы обе</w:t>
      </w:r>
      <w:r w:rsidRPr="00E37B88">
        <w:t>с</w:t>
      </w:r>
      <w:r w:rsidRPr="00E37B88">
        <w:t xml:space="preserve">печить защиту общественного порядка; с медицинскими учреждениями </w:t>
      </w:r>
      <w:r w:rsidR="00415F5D">
        <w:rPr>
          <w:lang w:val="en-US"/>
        </w:rPr>
        <w:t>−</w:t>
      </w:r>
      <w:r w:rsidRPr="00E37B88">
        <w:t xml:space="preserve"> чтобы пр</w:t>
      </w:r>
      <w:r w:rsidRPr="00E37B88">
        <w:t>е</w:t>
      </w:r>
      <w:r w:rsidRPr="00E37B88">
        <w:t xml:space="preserve">доставлять медицинскую помощь; и с уборочными предприятиями </w:t>
      </w:r>
      <w:r w:rsidR="00415F5D">
        <w:rPr>
          <w:lang w:val="en-US"/>
        </w:rPr>
        <w:t>−</w:t>
      </w:r>
      <w:r w:rsidRPr="00E37B88">
        <w:t xml:space="preserve"> чтобы обеспечить уборку после собрания. Авторы заявляют, что вышеуказанные тр</w:t>
      </w:r>
      <w:r w:rsidRPr="00E37B88">
        <w:t>е</w:t>
      </w:r>
      <w:r w:rsidRPr="00E37B88">
        <w:t>бования ограничивают саму суть свобод, гарантируемых по статьям 19 и 21 в сочетании с пунктом 2 статьи 2 Пакта.</w:t>
      </w:r>
    </w:p>
    <w:p w:rsidR="00E37B88" w:rsidRPr="00E37B88" w:rsidRDefault="00E37B88" w:rsidP="00E37B88">
      <w:pPr>
        <w:pStyle w:val="SingleTxtGR"/>
      </w:pPr>
      <w:r w:rsidRPr="00E37B88">
        <w:t>3.3</w:t>
      </w:r>
      <w:r w:rsidRPr="00E37B88">
        <w:tab/>
        <w:t xml:space="preserve">Авторы далее утверждают, что было нарушено их право на справедливое судебное разбирательство по пункту 3 d) статьи 14 Пакта, так как Центральный районный суд Гомеля отказался позволить им быть представленными адвокатом по </w:t>
      </w:r>
      <w:r w:rsidR="00C20D28">
        <w:t>своему</w:t>
      </w:r>
      <w:r w:rsidRPr="00E37B88">
        <w:t xml:space="preserve"> выбору в ходе разбирательства по первой инстанции, несмотря даже на то, что 25 июня 2009 года там присутствова</w:t>
      </w:r>
      <w:r w:rsidR="00C20D28">
        <w:t>л</w:t>
      </w:r>
      <w:r w:rsidRPr="00E37B88">
        <w:t xml:space="preserve"> и был готов участвовать в ра</w:t>
      </w:r>
      <w:r w:rsidRPr="00E37B88">
        <w:t>з</w:t>
      </w:r>
      <w:r w:rsidRPr="00E37B88">
        <w:t>бирательстве адвокат, нанятый ими в частном порядке.</w:t>
      </w:r>
    </w:p>
    <w:p w:rsidR="00E37B88" w:rsidRPr="00E37B88" w:rsidRDefault="00E37B88" w:rsidP="00415F5D">
      <w:pPr>
        <w:pStyle w:val="H23GR"/>
      </w:pPr>
      <w:r w:rsidRPr="00E37B88">
        <w:tab/>
      </w:r>
      <w:r w:rsidRPr="00E37B88">
        <w:tab/>
        <w:t>Замечания государства-участника относительно приемлемости</w:t>
      </w:r>
    </w:p>
    <w:p w:rsidR="00E37B88" w:rsidRPr="00E37B88" w:rsidRDefault="00E37B88" w:rsidP="00E37B88">
      <w:pPr>
        <w:pStyle w:val="SingleTxtGR"/>
      </w:pPr>
      <w:r w:rsidRPr="00E37B88">
        <w:t>4.</w:t>
      </w:r>
      <w:r w:rsidR="00C20D28">
        <w:t>1</w:t>
      </w:r>
      <w:r w:rsidRPr="00E37B88">
        <w:tab/>
        <w:t>Вербальной нотой от 6 января 2011 года государство-участник напомн</w:t>
      </w:r>
      <w:r w:rsidRPr="00E37B88">
        <w:t>и</w:t>
      </w:r>
      <w:r w:rsidRPr="00E37B88">
        <w:t>ло, что оно неоднократно выражало Комитету свои законные озабоченности о</w:t>
      </w:r>
      <w:r w:rsidRPr="00E37B88">
        <w:t>т</w:t>
      </w:r>
      <w:r w:rsidRPr="00E37B88">
        <w:t>носительно неоправданной регистрации индивидуальных сообщений. Бол</w:t>
      </w:r>
      <w:r w:rsidRPr="00E37B88">
        <w:t>ь</w:t>
      </w:r>
      <w:r w:rsidRPr="00E37B88">
        <w:t>шинство озабоченностей государства-участника касаются сообщений, пре</w:t>
      </w:r>
      <w:r w:rsidRPr="00E37B88">
        <w:t>д</w:t>
      </w:r>
      <w:r w:rsidRPr="00E37B88">
        <w:t xml:space="preserve">ставляемых лицами, которые сознательно не исчерпали всех наличных средств </w:t>
      </w:r>
      <w:r w:rsidR="00C20D28">
        <w:t xml:space="preserve">правовой </w:t>
      </w:r>
      <w:r w:rsidRPr="00E37B88">
        <w:t>защиты в государстве-участнике, включая среди прочего неподачу жалобы в прокуратуру в рамках надзорной процедуры в отношении решений, получивших силу res judicata</w:t>
      </w:r>
      <w:r w:rsidRPr="00415F5D">
        <w:rPr>
          <w:sz w:val="18"/>
          <w:szCs w:val="18"/>
          <w:vertAlign w:val="superscript"/>
        </w:rPr>
        <w:footnoteReference w:id="3"/>
      </w:r>
      <w:r w:rsidRPr="00E37B88">
        <w:t>. Государство-участник также добавило, что н</w:t>
      </w:r>
      <w:r w:rsidRPr="00E37B88">
        <w:t>а</w:t>
      </w:r>
      <w:r w:rsidRPr="00E37B88">
        <w:t>стоящее сообщение было "зарегистрировано в нарушение положений Факульт</w:t>
      </w:r>
      <w:r w:rsidRPr="00E37B88">
        <w:t>а</w:t>
      </w:r>
      <w:r w:rsidRPr="00E37B88">
        <w:t>тивного протокола" и поэтому для его рассмотрения государством-участником нет ник</w:t>
      </w:r>
      <w:r w:rsidRPr="00E37B88">
        <w:t>а</w:t>
      </w:r>
      <w:r w:rsidRPr="00E37B88">
        <w:t>ких правовых оснований.</w:t>
      </w:r>
    </w:p>
    <w:p w:rsidR="00E37B88" w:rsidRPr="00E37B88" w:rsidRDefault="00E37B88" w:rsidP="00E37B88">
      <w:pPr>
        <w:pStyle w:val="SingleTxtGR"/>
      </w:pPr>
      <w:r w:rsidRPr="00E37B88">
        <w:t>4.2</w:t>
      </w:r>
      <w:r w:rsidRPr="00E37B88">
        <w:tab/>
        <w:t>Письмом от 19 апреля 2011 года Председатель Комитета информировал государство-участник, что, как имплицитно вытекает из пункта 2 статьи 4 Ф</w:t>
      </w:r>
      <w:r w:rsidRPr="00E37B88">
        <w:t>а</w:t>
      </w:r>
      <w:r w:rsidRPr="00E37B88">
        <w:t>культативного протокола к Пакту, государство-участник должно предоставить Комитету всю информацию, имеющуюся в его распоряжении. И поэтому гос</w:t>
      </w:r>
      <w:r w:rsidRPr="00E37B88">
        <w:t>у</w:t>
      </w:r>
      <w:r w:rsidRPr="00E37B88">
        <w:t>дарству-участнику было предложено представить дальнейшие замечания по в</w:t>
      </w:r>
      <w:r w:rsidRPr="00E37B88">
        <w:t>о</w:t>
      </w:r>
      <w:r w:rsidRPr="00E37B88">
        <w:t>просу о приемлемости и по существу. Государство-участник было также и</w:t>
      </w:r>
      <w:r w:rsidRPr="00E37B88">
        <w:t>н</w:t>
      </w:r>
      <w:r w:rsidRPr="00E37B88">
        <w:t>формировано о том, что в отсутствие замечаний от государства Комитет пр</w:t>
      </w:r>
      <w:r w:rsidRPr="00E37B88">
        <w:t>и</w:t>
      </w:r>
      <w:r w:rsidRPr="00E37B88">
        <w:t>ступит к рассмотрению сообщения на основе информации, имеющейся в его распоряжении.</w:t>
      </w:r>
    </w:p>
    <w:p w:rsidR="00E37B88" w:rsidRPr="00E37B88" w:rsidRDefault="00E37B88" w:rsidP="00E37B88">
      <w:pPr>
        <w:pStyle w:val="SingleTxtGR"/>
      </w:pPr>
      <w:r w:rsidRPr="00E37B88">
        <w:t>4.3</w:t>
      </w:r>
      <w:r w:rsidRPr="00E37B88">
        <w:tab/>
        <w:t>22 сентября 2011 года государство-участник было вновь приглашено представить свои замечания относительно приемлемости и по существу.</w:t>
      </w:r>
    </w:p>
    <w:p w:rsidR="00E37B88" w:rsidRPr="00E37B88" w:rsidRDefault="00E37B88" w:rsidP="00E37B88">
      <w:pPr>
        <w:pStyle w:val="SingleTxtGR"/>
      </w:pPr>
      <w:r w:rsidRPr="00E37B88">
        <w:t>4.4</w:t>
      </w:r>
      <w:r w:rsidRPr="00E37B88">
        <w:tab/>
        <w:t>5 октября 2011 года государство-участник заявило среди прочего в отн</w:t>
      </w:r>
      <w:r w:rsidRPr="00E37B88">
        <w:t>о</w:t>
      </w:r>
      <w:r w:rsidRPr="00E37B88">
        <w:t>шении настоящего сообще</w:t>
      </w:r>
      <w:r w:rsidR="00C20D28">
        <w:t xml:space="preserve">ния, что, как оно полагает, </w:t>
      </w:r>
      <w:r w:rsidRPr="00E37B88">
        <w:t>для его рассмотрения нет никаких юридических оснований, поскольку оно было зарегистрировано в н</w:t>
      </w:r>
      <w:r w:rsidRPr="00E37B88">
        <w:t>а</w:t>
      </w:r>
      <w:r w:rsidRPr="00E37B88">
        <w:t>рушение статьи 1 Факультативного протокола. Оно заявило, что не были исче</w:t>
      </w:r>
      <w:r w:rsidRPr="00E37B88">
        <w:t>р</w:t>
      </w:r>
      <w:r w:rsidRPr="00E37B88">
        <w:t>паны все наличные внутренние средства правовой защиты, как это требуется статьей 2 Факультативного протокола, поскольку не было подано заявления в прокуратуру о пересмотре в порядке надзорного производства.</w:t>
      </w:r>
    </w:p>
    <w:p w:rsidR="00E37B88" w:rsidRPr="00E37B88" w:rsidRDefault="00E37B88" w:rsidP="00E37B88">
      <w:pPr>
        <w:pStyle w:val="SingleTxtGR"/>
      </w:pPr>
      <w:r w:rsidRPr="00E37B88">
        <w:t>4.5</w:t>
      </w:r>
      <w:r w:rsidRPr="00E37B88">
        <w:tab/>
        <w:t>25 октября 2011 года государство-участник было вновь приглашено пре</w:t>
      </w:r>
      <w:r w:rsidRPr="00E37B88">
        <w:t>д</w:t>
      </w:r>
      <w:r w:rsidRPr="00E37B88">
        <w:t>ставить свои замечания относительно приемлемости и по существу, и оно было информировано, что в отсутствие дальнейшей информации Комитет рассмотрит сообщение на основе информации, имеющейся в деле. 5 декабря 2011 года г</w:t>
      </w:r>
      <w:r w:rsidRPr="00E37B88">
        <w:t>о</w:t>
      </w:r>
      <w:r w:rsidRPr="00E37B88">
        <w:t>сударству-участнику было направлено аналогичное напоминание.</w:t>
      </w:r>
    </w:p>
    <w:p w:rsidR="00E37B88" w:rsidRPr="00E37B88" w:rsidRDefault="00E37B88" w:rsidP="00415F5D">
      <w:pPr>
        <w:pStyle w:val="H23GR"/>
      </w:pPr>
      <w:r w:rsidRPr="00E37B88">
        <w:tab/>
      </w:r>
      <w:r w:rsidRPr="00E37B88">
        <w:tab/>
        <w:t>Комментарии авторов сообщения по замечаниям государства-участника относительно приемлемости</w:t>
      </w:r>
    </w:p>
    <w:p w:rsidR="00E37B88" w:rsidRPr="00E37B88" w:rsidRDefault="00E37B88" w:rsidP="00E37B88">
      <w:pPr>
        <w:pStyle w:val="SingleTxtGR"/>
      </w:pPr>
      <w:r w:rsidRPr="00E37B88">
        <w:t>5.</w:t>
      </w:r>
      <w:r w:rsidRPr="00E37B88">
        <w:tab/>
        <w:t>30 ноября 2011 года г-н Кузнецов заявил, что он действительно не жал</w:t>
      </w:r>
      <w:r w:rsidRPr="00E37B88">
        <w:t>о</w:t>
      </w:r>
      <w:r w:rsidRPr="00E37B88">
        <w:t>вался в Генеральную прокуратуру в рамках разбирательства в порядке надзо</w:t>
      </w:r>
      <w:r w:rsidRPr="00E37B88">
        <w:t>р</w:t>
      </w:r>
      <w:r w:rsidRPr="00E37B88">
        <w:t>ного производства, ибо он полагал, что это средство правовой защиты носит неэффективный характер. Он утверждает, что эффективны только апелляции в суды, ибо они влекут за собой рассмотрение существа дела. Жалобы же в Ген</w:t>
      </w:r>
      <w:r w:rsidRPr="00E37B88">
        <w:t>е</w:t>
      </w:r>
      <w:r w:rsidRPr="00E37B88">
        <w:t>ральную прокуратуру в рамках разбирательства в порядке надзорного прои</w:t>
      </w:r>
      <w:r w:rsidRPr="00E37B88">
        <w:t>з</w:t>
      </w:r>
      <w:r w:rsidRPr="00E37B88">
        <w:t>водства были бы неэффективны, ибо решение о возбуждении такого произво</w:t>
      </w:r>
      <w:r w:rsidRPr="00E37B88">
        <w:t>д</w:t>
      </w:r>
      <w:r w:rsidRPr="00E37B88">
        <w:t>ства может принимать ограниченное число должностных лиц и оно не приведет к рассмотрению существа. Кроме того, если и будет возбуждено надзорное производство, изучение будет ограничиваться проблемами применимых прав</w:t>
      </w:r>
      <w:r w:rsidRPr="00E37B88">
        <w:t>о</w:t>
      </w:r>
      <w:r w:rsidRPr="00E37B88">
        <w:t>вых норм и не будет сопряжено с рассмотрением фактов и свидетельств по д</w:t>
      </w:r>
      <w:r w:rsidRPr="00E37B88">
        <w:t>е</w:t>
      </w:r>
      <w:r w:rsidRPr="00E37B88">
        <w:t>лу. Автор напоминает, что, согласно юриспруденции Комитета, если разбир</w:t>
      </w:r>
      <w:r w:rsidRPr="00E37B88">
        <w:t>а</w:t>
      </w:r>
      <w:r w:rsidRPr="00E37B88">
        <w:t>тельство в порядке надзорного производства сопряжено с решением ограниче</w:t>
      </w:r>
      <w:r w:rsidRPr="00E37B88">
        <w:t>н</w:t>
      </w:r>
      <w:r w:rsidRPr="00E37B88">
        <w:t>ного числа должностных лиц (например, Генеральный прокурор, Председатель Вер</w:t>
      </w:r>
      <w:r w:rsidR="00C20D28">
        <w:t>ховного суда), то обязательство</w:t>
      </w:r>
      <w:r w:rsidRPr="00E37B88">
        <w:t xml:space="preserve"> об исчерпании внутренних средств прав</w:t>
      </w:r>
      <w:r w:rsidRPr="00E37B88">
        <w:t>о</w:t>
      </w:r>
      <w:r w:rsidR="00C20D28">
        <w:t>вой защиты заканчивается</w:t>
      </w:r>
      <w:r w:rsidRPr="00E37B88">
        <w:t xml:space="preserve"> исчерпанием внутренних средств правовой защиты в рамках кассационного </w:t>
      </w:r>
      <w:r w:rsidR="00212EF4">
        <w:t>производства</w:t>
      </w:r>
      <w:r w:rsidRPr="00E37B88">
        <w:t>. Вдобавок, согласно юриспруденции Ком</w:t>
      </w:r>
      <w:r w:rsidRPr="00E37B88">
        <w:t>и</w:t>
      </w:r>
      <w:r w:rsidRPr="00E37B88">
        <w:t>тета, внутренние средства правовой защиты должны быть не только доступн</w:t>
      </w:r>
      <w:r w:rsidRPr="00E37B88">
        <w:t>ы</w:t>
      </w:r>
      <w:r w:rsidRPr="00E37B88">
        <w:t>ми, но и эффективными. Он также упомянул, что в своем решении относител</w:t>
      </w:r>
      <w:r w:rsidRPr="00E37B88">
        <w:t>ь</w:t>
      </w:r>
      <w:r w:rsidRPr="00E37B88">
        <w:t xml:space="preserve">но сообщения № 1814/2008, </w:t>
      </w:r>
      <w:r w:rsidRPr="00C20D28">
        <w:rPr>
          <w:i/>
        </w:rPr>
        <w:t>Левинов против Беларуси</w:t>
      </w:r>
      <w:r w:rsidRPr="00E37B88">
        <w:t>, Комитет напомнил, что обращение к Генеральному прок</w:t>
      </w:r>
      <w:r w:rsidR="00C20D28">
        <w:t>урору с просьбой подать протест</w:t>
      </w:r>
      <w:r w:rsidRPr="00E37B88">
        <w:t xml:space="preserve"> в порядке надзорного производства, не представляет собой средство правовой защиты, которое должно быть исчерпано для целей пункта 2 b) статьи 5 Факультативн</w:t>
      </w:r>
      <w:r w:rsidRPr="00E37B88">
        <w:t>о</w:t>
      </w:r>
      <w:r w:rsidRPr="00E37B88">
        <w:t>го протокола. И поэтому автор полагает, что он исчерпал все эффективные вну</w:t>
      </w:r>
      <w:r w:rsidRPr="00E37B88">
        <w:t>т</w:t>
      </w:r>
      <w:r w:rsidRPr="00E37B88">
        <w:t xml:space="preserve">ренние средства правовой защиты. </w:t>
      </w:r>
    </w:p>
    <w:p w:rsidR="00E37B88" w:rsidRPr="00E37B88" w:rsidRDefault="00E37B88" w:rsidP="00415F5D">
      <w:pPr>
        <w:pStyle w:val="H23GR"/>
      </w:pPr>
      <w:r w:rsidRPr="00E37B88">
        <w:tab/>
      </w:r>
      <w:r w:rsidRPr="00E37B88">
        <w:tab/>
        <w:t>Дополнительные замечания государства-участника</w:t>
      </w:r>
    </w:p>
    <w:p w:rsidR="00E37B88" w:rsidRPr="00E37B88" w:rsidRDefault="00E37B88" w:rsidP="00E37B88">
      <w:pPr>
        <w:pStyle w:val="SingleTxtGR"/>
      </w:pPr>
      <w:r w:rsidRPr="00E37B88">
        <w:t>6.1</w:t>
      </w:r>
      <w:r w:rsidRPr="00E37B88">
        <w:tab/>
        <w:t xml:space="preserve">Вербальной нотой от 25 января 2012 года государство-участник отметило, </w:t>
      </w:r>
      <w:r w:rsidR="00C20D28">
        <w:t>что</w:t>
      </w:r>
      <w:r w:rsidR="00212EF4">
        <w:t>,</w:t>
      </w:r>
      <w:r w:rsidR="00C20D28">
        <w:t xml:space="preserve"> </w:t>
      </w:r>
      <w:r w:rsidRPr="00E37B88">
        <w:t>присоединившись к Факультативному протоколу к Пакту, оно признало компетенцию Комитета по его статье 1 получать и рассматривать сообщения от подлежащих его юрисдикции лиц, которые утверждают, что они являются жертв</w:t>
      </w:r>
      <w:r w:rsidRPr="00E37B88">
        <w:t>а</w:t>
      </w:r>
      <w:r w:rsidRPr="00E37B88">
        <w:t>ми нарушения государством-участником любого из прав, изложенных в Пакте. Такое признание компетенции было произведено в увязке с другими п</w:t>
      </w:r>
      <w:r w:rsidRPr="00E37B88">
        <w:t>о</w:t>
      </w:r>
      <w:r w:rsidRPr="00E37B88">
        <w:t>ложениями Факультативного протокола к Пакту, в том числе с теми, которые устанавливают критерии в отношении авторов и приемлемости, и в особенн</w:t>
      </w:r>
      <w:r w:rsidRPr="00E37B88">
        <w:t>о</w:t>
      </w:r>
      <w:r w:rsidRPr="00E37B88">
        <w:t>сти со статьей 2 и пунктом 2 статьи 5 Факультативного протокола. Государства-участники не несут обязательства по Факультативному протоколу в плане пр</w:t>
      </w:r>
      <w:r w:rsidRPr="00E37B88">
        <w:t>и</w:t>
      </w:r>
      <w:r w:rsidRPr="00E37B88">
        <w:t>знания правил процедуры Комитета и его толкования положений Факультати</w:t>
      </w:r>
      <w:r w:rsidRPr="00E37B88">
        <w:t>в</w:t>
      </w:r>
      <w:r w:rsidRPr="00E37B88">
        <w:t>ного протокола.</w:t>
      </w:r>
    </w:p>
    <w:p w:rsidR="00E37B88" w:rsidRPr="00E37B88" w:rsidRDefault="00C20D28" w:rsidP="00E37B88">
      <w:pPr>
        <w:pStyle w:val="SingleTxtGR"/>
        <w:rPr>
          <w:b/>
        </w:rPr>
      </w:pPr>
      <w:r>
        <w:t>6.2</w:t>
      </w:r>
      <w:r>
        <w:tab/>
      </w:r>
      <w:r w:rsidR="00E37B88" w:rsidRPr="00E37B88">
        <w:t>По мнению государства-участника, в контексте процедуры рассмотрения с</w:t>
      </w:r>
      <w:r w:rsidR="00E37B88" w:rsidRPr="00E37B88">
        <w:t>о</w:t>
      </w:r>
      <w:r w:rsidR="00E37B88" w:rsidRPr="00E37B88">
        <w:t>общений государства-участники должны руководствоваться прежде всего и в первую очередь положениями Факультативного протокола, а ссылк</w:t>
      </w:r>
      <w:r w:rsidR="00212EF4">
        <w:t>и</w:t>
      </w:r>
      <w:r w:rsidR="00E37B88" w:rsidRPr="00E37B88">
        <w:t xml:space="preserve"> на да</w:t>
      </w:r>
      <w:r w:rsidR="00E37B88" w:rsidRPr="00E37B88">
        <w:t>в</w:t>
      </w:r>
      <w:r w:rsidR="00E37B88" w:rsidRPr="00E37B88">
        <w:t>нишнюю практик</w:t>
      </w:r>
      <w:r>
        <w:t>у</w:t>
      </w:r>
      <w:r w:rsidR="00E37B88" w:rsidRPr="00E37B88">
        <w:t>, методы работы и прецеденты Комитета "не являются пре</w:t>
      </w:r>
      <w:r w:rsidR="00E37B88" w:rsidRPr="00E37B88">
        <w:t>д</w:t>
      </w:r>
      <w:r w:rsidR="00E37B88" w:rsidRPr="00E37B88">
        <w:t>метом Факультативного протокола". Оно также заявляет, что любое сообщение, зар</w:t>
      </w:r>
      <w:r w:rsidR="00E37B88" w:rsidRPr="00E37B88">
        <w:t>е</w:t>
      </w:r>
      <w:r w:rsidR="00E37B88" w:rsidRPr="00E37B88">
        <w:t>гистрированное в нарушение положений Факультативного протокола к Пакту, будет рассматриваться государством-участником как несовместимое с Факультативным протоколом и будет отвергаться без замечаний относительно его приемлемости или по существу. Государство-участник далее полагает, что решения, принятые Комитетом по таким "отклоненным сообщениям", будут рассматр</w:t>
      </w:r>
      <w:r w:rsidR="00E37B88" w:rsidRPr="00E37B88">
        <w:t>и</w:t>
      </w:r>
      <w:r w:rsidR="00E37B88" w:rsidRPr="00E37B88">
        <w:t>ваться его властями как "недействительные".</w:t>
      </w:r>
    </w:p>
    <w:p w:rsidR="00E37B88" w:rsidRPr="00E37B88" w:rsidRDefault="00E37B88" w:rsidP="00415F5D">
      <w:pPr>
        <w:pStyle w:val="H23GR"/>
      </w:pPr>
      <w:r w:rsidRPr="00E37B88">
        <w:tab/>
      </w:r>
      <w:r w:rsidRPr="00E37B88">
        <w:tab/>
        <w:t>Вопросы и процедура их рассмотрения в Комитете</w:t>
      </w:r>
    </w:p>
    <w:p w:rsidR="00E37B88" w:rsidRPr="00E37B88" w:rsidRDefault="00E37B88" w:rsidP="00415F5D">
      <w:pPr>
        <w:pStyle w:val="H4GR"/>
      </w:pPr>
      <w:r w:rsidRPr="00E37B88">
        <w:tab/>
      </w:r>
      <w:r w:rsidRPr="00E37B88">
        <w:tab/>
        <w:t>Отсутствие сотрудничества со стороны государства-участника</w:t>
      </w:r>
    </w:p>
    <w:p w:rsidR="00E37B88" w:rsidRPr="00E37B88" w:rsidRDefault="00E37B88" w:rsidP="00E37B88">
      <w:pPr>
        <w:pStyle w:val="SingleTxtGR"/>
      </w:pPr>
      <w:r w:rsidRPr="00E37B88">
        <w:t>7.1</w:t>
      </w:r>
      <w:r w:rsidRPr="00E37B88">
        <w:tab/>
        <w:t>Комитет отмечает заявление государства-участника о том, что для ра</w:t>
      </w:r>
      <w:r w:rsidRPr="00E37B88">
        <w:t>с</w:t>
      </w:r>
      <w:r w:rsidRPr="00E37B88">
        <w:t>смотрения сообщения автора нет никаких юридических оснований, ибо оно было зарегистрировано в нарушение положений Факультативного протокола; оно не имеет никаких обязательств в отношении признания правил процедуры Комитета и в отношении толкования Комитетом положений Факультативного протокола; и если Комитетом будет принято решение по настоящему сообщ</w:t>
      </w:r>
      <w:r w:rsidRPr="00E37B88">
        <w:t>е</w:t>
      </w:r>
      <w:r w:rsidRPr="00E37B88">
        <w:t>нию, то оно будет игнорироваться как "недействительное".</w:t>
      </w:r>
    </w:p>
    <w:p w:rsidR="00E37B88" w:rsidRPr="00E37B88" w:rsidRDefault="00E37B88" w:rsidP="00E37B88">
      <w:pPr>
        <w:pStyle w:val="SingleTxtGR"/>
        <w:rPr>
          <w:lang w:val="en-US"/>
        </w:rPr>
      </w:pPr>
      <w:r w:rsidRPr="00E37B88">
        <w:t>7.2</w:t>
      </w:r>
      <w:r w:rsidRPr="00E37B88">
        <w:tab/>
        <w:t>Комитет напоминает, что</w:t>
      </w:r>
      <w:r w:rsidR="00C20D28">
        <w:t>,</w:t>
      </w:r>
      <w:r w:rsidRPr="00E37B88">
        <w:t xml:space="preserve"> по пункту 2 статьи 39 Пакта, он вправе уст</w:t>
      </w:r>
      <w:r w:rsidRPr="00E37B88">
        <w:t>а</w:t>
      </w:r>
      <w:r w:rsidRPr="00E37B88">
        <w:t>навливать свои собственные правила процедуры, которые государства-участники согласились признавать. Он также отмечает, что присоединившись к Факультативному протоколу, государство-участник Пакта признает компете</w:t>
      </w:r>
      <w:r w:rsidRPr="00E37B88">
        <w:t>н</w:t>
      </w:r>
      <w:r w:rsidRPr="00E37B88">
        <w:t>цию Комитета по правам человека получать и рассматривать сообщения лиц, утверждающих, что они являются жертвами нарушений любых из прав челов</w:t>
      </w:r>
      <w:r w:rsidRPr="00E37B88">
        <w:t>е</w:t>
      </w:r>
      <w:r w:rsidRPr="00E37B88">
        <w:t>ка, изложенных в Пакте (преамбула и статья 1). Из факта присоединения гос</w:t>
      </w:r>
      <w:r w:rsidRPr="00E37B88">
        <w:t>у</w:t>
      </w:r>
      <w:r w:rsidRPr="00E37B88">
        <w:t>дарства к Протоколу вытекает, что государство принимает на себя обязательс</w:t>
      </w:r>
      <w:r w:rsidRPr="00E37B88">
        <w:t>т</w:t>
      </w:r>
      <w:r w:rsidRPr="00E37B88">
        <w:t>во добр</w:t>
      </w:r>
      <w:r w:rsidRPr="00E37B88">
        <w:t>о</w:t>
      </w:r>
      <w:r w:rsidRPr="00E37B88">
        <w:t xml:space="preserve">совестно сотрудничать с Комитетом, с тем чтобы позволить ему и дать </w:t>
      </w:r>
      <w:r w:rsidR="00A36AC1">
        <w:t xml:space="preserve">ему </w:t>
      </w:r>
      <w:r w:rsidRPr="00E37B88">
        <w:t>возможность рассматривать такие сообщения и после рассмотрения н</w:t>
      </w:r>
      <w:r w:rsidRPr="00E37B88">
        <w:t>а</w:t>
      </w:r>
      <w:r w:rsidRPr="00E37B88">
        <w:t>правлять свои соображения государству-участнику и соответствующему лицу (пункты 1 и 4 статьи 5). И любые предпринимаемые государством-участником действия, препятствующие или мешающие Комитету в рассмотрении и обсу</w:t>
      </w:r>
      <w:r w:rsidRPr="00E37B88">
        <w:t>ж</w:t>
      </w:r>
      <w:r w:rsidRPr="00E37B88">
        <w:t>дении сообщения, а также в выражении с</w:t>
      </w:r>
      <w:r w:rsidR="00A36AC1">
        <w:t>воих соображений, несовместимы</w:t>
      </w:r>
      <w:r w:rsidRPr="00E37B88">
        <w:t xml:space="preserve"> с данными обязательствами</w:t>
      </w:r>
      <w:r w:rsidRPr="00415F5D">
        <w:rPr>
          <w:sz w:val="18"/>
          <w:szCs w:val="18"/>
          <w:vertAlign w:val="superscript"/>
        </w:rPr>
        <w:footnoteReference w:id="4"/>
      </w:r>
      <w:r w:rsidR="00A36AC1">
        <w:t>. И</w:t>
      </w:r>
      <w:r w:rsidRPr="00E37B88">
        <w:t>менно Комитету надлежит определять, следует ли регистрировать сообщение. Комитет отмечает, что, не признавая компете</w:t>
      </w:r>
      <w:r w:rsidRPr="00E37B88">
        <w:t>н</w:t>
      </w:r>
      <w:r w:rsidRPr="00E37B88">
        <w:t>цию Комитета определять, следует ли регистрировать сообщение, и заранее з</w:t>
      </w:r>
      <w:r w:rsidRPr="00E37B88">
        <w:t>а</w:t>
      </w:r>
      <w:r w:rsidRPr="00E37B88">
        <w:t>являя, что оно не признает заключения Комитета относительно приемлемости и по существу такого сообщения, государство-участник нарушает свои обязател</w:t>
      </w:r>
      <w:r w:rsidRPr="00E37B88">
        <w:t>ь</w:t>
      </w:r>
      <w:r w:rsidRPr="00E37B88">
        <w:t>ства по статье 1 Факультативного протокола к Пакту</w:t>
      </w:r>
      <w:r w:rsidRPr="00415F5D">
        <w:rPr>
          <w:sz w:val="18"/>
          <w:szCs w:val="18"/>
          <w:vertAlign w:val="superscript"/>
        </w:rPr>
        <w:footnoteReference w:id="5"/>
      </w:r>
      <w:r w:rsidRPr="00E37B88">
        <w:rPr>
          <w:lang w:val="en-US"/>
        </w:rPr>
        <w:t>.</w:t>
      </w:r>
    </w:p>
    <w:p w:rsidR="00E37B88" w:rsidRPr="00E37B88" w:rsidRDefault="00E37B88" w:rsidP="00415F5D">
      <w:pPr>
        <w:pStyle w:val="H4GR"/>
      </w:pPr>
      <w:r w:rsidRPr="00E37B88">
        <w:tab/>
      </w:r>
      <w:r w:rsidRPr="00E37B88">
        <w:tab/>
        <w:t>Рассмотрение вопроса о приемлемости</w:t>
      </w:r>
    </w:p>
    <w:p w:rsidR="00E37B88" w:rsidRPr="00E37B88" w:rsidRDefault="00E37B88" w:rsidP="00E37B88">
      <w:pPr>
        <w:pStyle w:val="SingleTxtGR"/>
      </w:pPr>
      <w:r w:rsidRPr="00E37B88">
        <w:t>8.1</w:t>
      </w:r>
      <w:r w:rsidRPr="00E37B88">
        <w:tab/>
        <w:t>Прежде чем рассматривать какое-либо утверждение, содержащееся в с</w:t>
      </w:r>
      <w:r w:rsidRPr="00E37B88">
        <w:t>о</w:t>
      </w:r>
      <w:r w:rsidRPr="00E37B88">
        <w:t>общении, Комитет по правам человека должен, согласно правилу 93 своих пр</w:t>
      </w:r>
      <w:r w:rsidRPr="00E37B88">
        <w:t>а</w:t>
      </w:r>
      <w:r w:rsidRPr="00E37B88">
        <w:t>вил процедуры, решить, является ли это дело приемлемым в соответствии с Факультативным протоколом к Пакту.</w:t>
      </w:r>
    </w:p>
    <w:p w:rsidR="00E37B88" w:rsidRPr="00E37B88" w:rsidRDefault="00E37B88" w:rsidP="00E37B88">
      <w:pPr>
        <w:pStyle w:val="SingleTxtGR"/>
      </w:pPr>
      <w:r w:rsidRPr="00E37B88">
        <w:t>8.2</w:t>
      </w:r>
      <w:r w:rsidRPr="00E37B88">
        <w:tab/>
        <w:t>В соответствии с требованиями пункта 2 а) статьи 5 Факультативного протокола</w:t>
      </w:r>
      <w:r w:rsidR="00A36AC1">
        <w:t>,</w:t>
      </w:r>
      <w:r w:rsidRPr="00E37B88">
        <w:t xml:space="preserve"> Комитет установил, что этот же вопрос не рассматривается в рамках другой процедуры международного разбирательства или урегулирования.</w:t>
      </w:r>
    </w:p>
    <w:p w:rsidR="00E37B88" w:rsidRPr="00E37B88" w:rsidRDefault="00E37B88" w:rsidP="00E37B88">
      <w:pPr>
        <w:pStyle w:val="SingleTxtGR"/>
        <w:rPr>
          <w:b/>
          <w:lang w:val="en-US"/>
        </w:rPr>
      </w:pPr>
      <w:r w:rsidRPr="00E37B88">
        <w:t>8.3</w:t>
      </w:r>
      <w:r w:rsidRPr="00E37B88">
        <w:tab/>
        <w:t>Что касается требования, изложенного в пункте 2 статьи 5 b) статьи 5 Факультативного протокола, то Комитет отмечает, что государство-участник оспаривает приемлемость сообщения по мотивам неисчерпанности внутренних средств правовой защиты, поскольку авторы не обращались в Генеральную прокуратуру в порядке надзорного производства. Комитет напоминает свою юриспруденцию, согласно которой разбирательство в государстве-участнике в порядке надзорного производства в Генеральной прокуратуре, позволяющего производить пересмотр судебных решений, вступивших в силу, не представляет собой средство правовой защиты, которое должно быть исчерпано для целей пункта 2 b) статьи 5 Факультативного протокола</w:t>
      </w:r>
      <w:r w:rsidRPr="00415F5D">
        <w:rPr>
          <w:sz w:val="18"/>
          <w:szCs w:val="18"/>
          <w:vertAlign w:val="superscript"/>
        </w:rPr>
        <w:footnoteReference w:id="6"/>
      </w:r>
      <w:r w:rsidRPr="00E37B88">
        <w:t>. Соответственно, Комитет считает, что пункт 2 b) статьи 5 Факультативного протокола не возбраняет ему рассматривать сообщение.</w:t>
      </w:r>
    </w:p>
    <w:p w:rsidR="00E37B88" w:rsidRPr="00E37B88" w:rsidRDefault="00E37B88" w:rsidP="00E37B88">
      <w:pPr>
        <w:pStyle w:val="SingleTxtGR"/>
      </w:pPr>
      <w:r w:rsidRPr="00E37B88">
        <w:t>8.4</w:t>
      </w:r>
      <w:r w:rsidRPr="00E37B88">
        <w:tab/>
        <w:t>Комитет принимает к сведению представлен</w:t>
      </w:r>
      <w:r w:rsidR="00A36AC1">
        <w:t>ие авторов</w:t>
      </w:r>
      <w:r w:rsidRPr="00E37B88">
        <w:t xml:space="preserve"> о том, что гос</w:t>
      </w:r>
      <w:r w:rsidRPr="00E37B88">
        <w:t>у</w:t>
      </w:r>
      <w:r w:rsidRPr="00E37B88">
        <w:t>дарство-участник нарушило свои обязательства по пункту 2 статьи 2 Пакта в сочетании со статьями 19 и 21, поскольку оно не приняло таких законов или иных мер, какие могли бы оказаться необходимыми для реализации прав, пр</w:t>
      </w:r>
      <w:r w:rsidRPr="00E37B88">
        <w:t>и</w:t>
      </w:r>
      <w:r w:rsidRPr="00E37B88">
        <w:t>знаваемых в статьях 19 и 21 Пакта. Комитет ссылается на свою юриспруде</w:t>
      </w:r>
      <w:r w:rsidRPr="00E37B88">
        <w:t>н</w:t>
      </w:r>
      <w:r w:rsidRPr="00E37B88">
        <w:t>цию, которая указывает, что положения статьи 2 Пакта устанавливают общее обязательство государств-участников и они сами по себе не могут служить в качестве основания для жалобы в том или ином сообщении по Факультативн</w:t>
      </w:r>
      <w:r w:rsidRPr="00E37B88">
        <w:t>о</w:t>
      </w:r>
      <w:r w:rsidRPr="00E37B88">
        <w:t>му пр</w:t>
      </w:r>
      <w:r w:rsidRPr="00E37B88">
        <w:t>о</w:t>
      </w:r>
      <w:r w:rsidRPr="00E37B88">
        <w:t>токолу. Он также считает, что на положения статьи 2 нельзя ссылаться в плане претензии в сообщении по Факультативному протоколу в сочетании с другими положениями Пакта, кроме как когда уклонение государства-участника от соблюдения своих обязательств по статье 2 является непосредственной пр</w:t>
      </w:r>
      <w:r w:rsidRPr="00E37B88">
        <w:t>и</w:t>
      </w:r>
      <w:r w:rsidRPr="00E37B88">
        <w:t xml:space="preserve">чиной </w:t>
      </w:r>
      <w:r w:rsidR="00C606FA">
        <w:t>отдельного</w:t>
      </w:r>
      <w:r w:rsidRPr="00E37B88">
        <w:t xml:space="preserve"> </w:t>
      </w:r>
      <w:r w:rsidR="00212EF4">
        <w:t xml:space="preserve">нарушения </w:t>
      </w:r>
      <w:r w:rsidRPr="00E37B88">
        <w:t>Пакта, которое прямо затрагивает индивида, у</w:t>
      </w:r>
      <w:r w:rsidRPr="00E37B88">
        <w:t>т</w:t>
      </w:r>
      <w:r w:rsidRPr="00E37B88">
        <w:t>верждающего, что он является жертвой. Комитет отмечает, однако, что авторы уже заявляли о нарушении своих прав по статьям 19 и 21 в результате толков</w:t>
      </w:r>
      <w:r w:rsidRPr="00E37B88">
        <w:t>а</w:t>
      </w:r>
      <w:r w:rsidRPr="00E37B88">
        <w:t>ния и применения существующих законов государства-участника, и Комитет не считает, что рассмотрение вопроса о том, нарушило ли государство-участник еще и свои общие обязательства по пункту 2 статьи 2 в сочетании со стать</w:t>
      </w:r>
      <w:r w:rsidRPr="00E37B88">
        <w:t>я</w:t>
      </w:r>
      <w:r w:rsidRPr="00E37B88">
        <w:t>ми</w:t>
      </w:r>
      <w:r w:rsidR="002B7E3D">
        <w:t> </w:t>
      </w:r>
      <w:r w:rsidRPr="00E37B88">
        <w:t>19 и 21, б</w:t>
      </w:r>
      <w:r w:rsidRPr="00E37B88">
        <w:t>ы</w:t>
      </w:r>
      <w:r w:rsidRPr="00E37B88">
        <w:t>ло бы отлично от рассмотрения нарушения прав авторов по статьям 19 и 21 Пакта. И поэтому Комитет заключает, что жалобы авторов в этом отно</w:t>
      </w:r>
      <w:r w:rsidR="00C606FA">
        <w:t xml:space="preserve">шении несовместимы </w:t>
      </w:r>
      <w:r w:rsidRPr="00E37B88">
        <w:t>со статьей 2 Пакта и неприемлемы по статье 3 Факульт</w:t>
      </w:r>
      <w:r w:rsidRPr="00E37B88">
        <w:t>а</w:t>
      </w:r>
      <w:r w:rsidRPr="00E37B88">
        <w:t>тивного протокола</w:t>
      </w:r>
      <w:r w:rsidRPr="00022CF9">
        <w:rPr>
          <w:sz w:val="18"/>
          <w:szCs w:val="18"/>
          <w:vertAlign w:val="superscript"/>
        </w:rPr>
        <w:footnoteReference w:id="7"/>
      </w:r>
      <w:r w:rsidRPr="00E37B88">
        <w:t>.</w:t>
      </w:r>
    </w:p>
    <w:p w:rsidR="00E37B88" w:rsidRPr="00E37B88" w:rsidRDefault="00E37B88" w:rsidP="00E37B88">
      <w:pPr>
        <w:pStyle w:val="SingleTxtGR"/>
      </w:pPr>
      <w:r w:rsidRPr="00E37B88">
        <w:t>8.5</w:t>
      </w:r>
      <w:r w:rsidRPr="00E37B88">
        <w:tab/>
        <w:t>Что касается утверждения авторов о том, что были нарушены их права по пункту 3 d) статьи 14 Пакта, поскольку Центральный районный суд Гомеля о</w:t>
      </w:r>
      <w:r w:rsidRPr="00E37B88">
        <w:t>т</w:t>
      </w:r>
      <w:r w:rsidRPr="00E37B88">
        <w:t>казался позволить им быть представленными адвокатом по своему собственн</w:t>
      </w:r>
      <w:r w:rsidRPr="00E37B88">
        <w:t>о</w:t>
      </w:r>
      <w:r w:rsidRPr="00E37B88">
        <w:t>му выбору в ходе производства по первой инстанции, то Комитет отмечает, что авторы не предоставили на этот счет никакой детальной информации и никаких свидетельств или копий своих жалоб по поводу такого отказа. Соответственно и в отсутствие какой-либо дальнейшей соответствующей информации Комитет полагает, что авторы не смогли достаточно обосновать свою претензию для ц</w:t>
      </w:r>
      <w:r w:rsidRPr="00E37B88">
        <w:t>е</w:t>
      </w:r>
      <w:r w:rsidRPr="00E37B88">
        <w:t>лей приемлемости, и заключает, что она неприемлема по статье 2 Факультати</w:t>
      </w:r>
      <w:r w:rsidRPr="00E37B88">
        <w:t>в</w:t>
      </w:r>
      <w:r w:rsidRPr="00E37B88">
        <w:t>ного протокола.</w:t>
      </w:r>
    </w:p>
    <w:p w:rsidR="00E37B88" w:rsidRPr="00E37B88" w:rsidRDefault="00E37B88" w:rsidP="00E37B88">
      <w:pPr>
        <w:pStyle w:val="SingleTxtGR"/>
      </w:pPr>
      <w:r w:rsidRPr="00E37B88">
        <w:t>8.</w:t>
      </w:r>
      <w:r w:rsidR="00C606FA">
        <w:t>6</w:t>
      </w:r>
      <w:r w:rsidRPr="00E37B88">
        <w:tab/>
        <w:t>Комитет считает, что остальные жалобы авторов по статьям 19 и 21 Пакта достаточно обоснованны для целей приемлемости, признает их приемлемыми и переходит к их рассмотрению по существу.</w:t>
      </w:r>
    </w:p>
    <w:p w:rsidR="00E37B88" w:rsidRPr="00E37B88" w:rsidRDefault="00E37B88" w:rsidP="00022CF9">
      <w:pPr>
        <w:pStyle w:val="H4GR"/>
      </w:pPr>
      <w:r w:rsidRPr="00E37B88">
        <w:tab/>
      </w:r>
      <w:r w:rsidRPr="00E37B88">
        <w:tab/>
        <w:t>Рассмотрение по существу</w:t>
      </w:r>
    </w:p>
    <w:p w:rsidR="00E37B88" w:rsidRPr="00E37B88" w:rsidRDefault="00E37B88" w:rsidP="00E37B88">
      <w:pPr>
        <w:pStyle w:val="SingleTxtGR"/>
      </w:pPr>
      <w:r w:rsidRPr="00E37B88">
        <w:t>9.1</w:t>
      </w:r>
      <w:r w:rsidRPr="00E37B88">
        <w:tab/>
        <w:t>Комитет по правам человека рассмотрел сообщение в свете всей инфо</w:t>
      </w:r>
      <w:r w:rsidRPr="00E37B88">
        <w:t>р</w:t>
      </w:r>
      <w:r w:rsidRPr="00E37B88">
        <w:t>мации, представленной ему сторонами, как предусмотрено по пункту 1 статьи 5 Факультативного протокола.</w:t>
      </w:r>
    </w:p>
    <w:p w:rsidR="00E37B88" w:rsidRPr="00E37B88" w:rsidRDefault="00E37B88" w:rsidP="00E37B88">
      <w:pPr>
        <w:pStyle w:val="SingleTxtGR"/>
      </w:pPr>
      <w:r w:rsidRPr="00E37B88">
        <w:t>9.2</w:t>
      </w:r>
      <w:r w:rsidRPr="00E37B88">
        <w:tab/>
        <w:t xml:space="preserve">Комитет отмечает утверждение авторов о том, что власти государства-участника нарушили их право на свободу выражения мнения по пункту 2 статьи 19 Пакта, поскольку четверо авторов были оштрафованы </w:t>
      </w:r>
      <w:r w:rsidR="00C606FA">
        <w:t xml:space="preserve">на </w:t>
      </w:r>
      <w:r w:rsidRPr="00E37B88">
        <w:t>350 000 белору</w:t>
      </w:r>
      <w:r w:rsidRPr="00E37B88">
        <w:t>с</w:t>
      </w:r>
      <w:r w:rsidRPr="00E37B88">
        <w:t>ских рублей</w:t>
      </w:r>
      <w:r w:rsidR="003B3114">
        <w:t>, а</w:t>
      </w:r>
      <w:r w:rsidRPr="00E37B88">
        <w:t xml:space="preserve"> один </w:t>
      </w:r>
      <w:r w:rsidR="00C606FA">
        <w:t xml:space="preserve">был </w:t>
      </w:r>
      <w:r w:rsidRPr="00E37B88">
        <w:t>подвергнут трехдневному задержанию за то, что они публично носили портреты бывшего министра внутренних дел, который исчез 10 лет н</w:t>
      </w:r>
      <w:r w:rsidRPr="00E37B88">
        <w:t>а</w:t>
      </w:r>
      <w:r w:rsidRPr="00E37B88">
        <w:t xml:space="preserve">зад, и за то, что 7 мая 2009 года в ходе несанкционированного </w:t>
      </w:r>
      <w:r w:rsidR="002B7E3D">
        <w:br/>
      </w:r>
      <w:r w:rsidRPr="00E37B88">
        <w:t>30-минутного пикета перед Управлением внутренних дел Гомельского облас</w:t>
      </w:r>
      <w:r w:rsidRPr="00E37B88">
        <w:t>т</w:t>
      </w:r>
      <w:r w:rsidRPr="00E37B88">
        <w:t xml:space="preserve">ного </w:t>
      </w:r>
      <w:r w:rsidR="003B3114">
        <w:t>и</w:t>
      </w:r>
      <w:r w:rsidRPr="00E37B88">
        <w:t>сполнительного комитета они выразили свою озабоченность по поводу длительности расследования в том, что касается этого исчезновения. Комитет также отмечает, что за участие в несанкционированном пикете авторы были н</w:t>
      </w:r>
      <w:r w:rsidRPr="00E37B88">
        <w:t>а</w:t>
      </w:r>
      <w:r w:rsidRPr="00E37B88">
        <w:t>казаны по пункту 1 статьи 23.34 Кодекса об административных правонаруш</w:t>
      </w:r>
      <w:r w:rsidRPr="00E37B88">
        <w:t>е</w:t>
      </w:r>
      <w:r w:rsidRPr="00E37B88">
        <w:t>ниях.</w:t>
      </w:r>
    </w:p>
    <w:p w:rsidR="00E37B88" w:rsidRPr="00E37B88" w:rsidRDefault="00E37B88" w:rsidP="00E37B88">
      <w:pPr>
        <w:pStyle w:val="SingleTxtGR"/>
      </w:pPr>
      <w:r w:rsidRPr="00E37B88">
        <w:t>9.3</w:t>
      </w:r>
      <w:r w:rsidRPr="00E37B88">
        <w:tab/>
        <w:t>Комитет отмечает утверждение авторов о том, что вдобавок к нечетким положениям Закона 1997 года о массовых мероприятиях, требующего предв</w:t>
      </w:r>
      <w:r w:rsidRPr="00E37B88">
        <w:t>а</w:t>
      </w:r>
      <w:r w:rsidRPr="00E37B88">
        <w:t>рительного разрешения на все публичные собрания и допускающего огранич</w:t>
      </w:r>
      <w:r w:rsidRPr="00E37B88">
        <w:t>е</w:t>
      </w:r>
      <w:r w:rsidRPr="00E37B88">
        <w:t xml:space="preserve">ние позволительных мест для проведения таких собраний, Гомельский </w:t>
      </w:r>
      <w:r w:rsidR="003B3114">
        <w:t>и</w:t>
      </w:r>
      <w:r w:rsidRPr="00E37B88">
        <w:t>спо</w:t>
      </w:r>
      <w:r w:rsidRPr="00E37B88">
        <w:t>л</w:t>
      </w:r>
      <w:r w:rsidRPr="00E37B88">
        <w:t>нительный комитет своим решением № 299 также требует от организаторов публичных мероприятий проводить массовые мероприяти</w:t>
      </w:r>
      <w:r w:rsidR="00C606FA">
        <w:t>я</w:t>
      </w:r>
      <w:r w:rsidRPr="00E37B88">
        <w:t xml:space="preserve"> в одном конкретном месте на окраине Гомеля и до проведения собрания заключать за свой собс</w:t>
      </w:r>
      <w:r w:rsidRPr="00E37B88">
        <w:t>т</w:t>
      </w:r>
      <w:r w:rsidRPr="00E37B88">
        <w:t>венный счет договоры с управлениями внутренних дел − с целью защиты о</w:t>
      </w:r>
      <w:r w:rsidRPr="00E37B88">
        <w:t>б</w:t>
      </w:r>
      <w:r w:rsidRPr="00E37B88">
        <w:t>щественного порядка; с медицинскими учреждениями − с целью предоставл</w:t>
      </w:r>
      <w:r w:rsidRPr="00E37B88">
        <w:t>е</w:t>
      </w:r>
      <w:r w:rsidRPr="00E37B88">
        <w:t>ния участникам медицинской помощи; и с уборочными предприятиями − с ц</w:t>
      </w:r>
      <w:r w:rsidRPr="00E37B88">
        <w:t>е</w:t>
      </w:r>
      <w:r w:rsidRPr="00E37B88">
        <w:t>лью последующей  уборки мест, где должно состояться публичное собрание. Авторы заявляют, что вышеуказанные требования ограничивают саму суть св</w:t>
      </w:r>
      <w:r w:rsidRPr="00E37B88">
        <w:t>о</w:t>
      </w:r>
      <w:r w:rsidRPr="00E37B88">
        <w:t xml:space="preserve">бод, гарантируемых среди прочего по статье 19 Пакта. </w:t>
      </w:r>
    </w:p>
    <w:p w:rsidR="00E37B88" w:rsidRPr="00E37B88" w:rsidRDefault="00C606FA" w:rsidP="00E37B88">
      <w:pPr>
        <w:pStyle w:val="SingleTxtGR"/>
      </w:pPr>
      <w:r>
        <w:t>9.4</w:t>
      </w:r>
      <w:r w:rsidR="00E37B88" w:rsidRPr="00E37B88">
        <w:tab/>
        <w:t>Первый вопрос, встающий перед Комитетом, заключается в том, соста</w:t>
      </w:r>
      <w:r w:rsidR="00E37B88" w:rsidRPr="00E37B88">
        <w:t>в</w:t>
      </w:r>
      <w:r w:rsidR="00E37B88" w:rsidRPr="00E37B88">
        <w:t>ляет ли применение по делу авторов пункта 1 статьи 23.34 Кодекса об админ</w:t>
      </w:r>
      <w:r w:rsidR="00E37B88" w:rsidRPr="00E37B88">
        <w:t>и</w:t>
      </w:r>
      <w:r w:rsidR="00E37B88" w:rsidRPr="00E37B88">
        <w:t xml:space="preserve">стративных правонарушениях, что обернулось штрафом для четверых авторов </w:t>
      </w:r>
      <w:r w:rsidR="003B3114">
        <w:t>и</w:t>
      </w:r>
      <w:r w:rsidR="00E37B88" w:rsidRPr="00E37B88">
        <w:t xml:space="preserve"> административным арестом </w:t>
      </w:r>
      <w:r>
        <w:t>для одного из них, ограничение</w:t>
      </w:r>
      <w:r w:rsidR="00E37B88" w:rsidRPr="00E37B88">
        <w:t xml:space="preserve"> права автора на свободу выражения мнений по смыслу пункта 3 статьи 19. Комитет отмечает, что пункт 1 статьи 23.34 Кодекса об административных правонарушениях уст</w:t>
      </w:r>
      <w:r w:rsidR="00E37B88" w:rsidRPr="00E37B88">
        <w:t>а</w:t>
      </w:r>
      <w:r w:rsidR="00E37B88" w:rsidRPr="00E37B88">
        <w:t>навливают административную ответственность за нарушение установленного порядка организации или проведения массовых мероприятий. Он также отмеч</w:t>
      </w:r>
      <w:r w:rsidR="00E37B88" w:rsidRPr="00E37B88">
        <w:t>а</w:t>
      </w:r>
      <w:r w:rsidR="00E37B88" w:rsidRPr="00E37B88">
        <w:t>ет, что, поскольку государство-участник установило "порядок проведения ма</w:t>
      </w:r>
      <w:r w:rsidR="00E37B88" w:rsidRPr="00E37B88">
        <w:t>с</w:t>
      </w:r>
      <w:r w:rsidR="00E37B88" w:rsidRPr="00E37B88">
        <w:t>совых мероприятий", оно фактически ввело ограничения в отношении осущ</w:t>
      </w:r>
      <w:r w:rsidR="00E37B88" w:rsidRPr="00E37B88">
        <w:t>е</w:t>
      </w:r>
      <w:r w:rsidR="00E37B88" w:rsidRPr="00E37B88">
        <w:t>ствления свободы передачи информации, гарантируемой пунктом 2 статьи 19 Пакта</w:t>
      </w:r>
      <w:r w:rsidR="00E37B88" w:rsidRPr="00022CF9">
        <w:rPr>
          <w:sz w:val="18"/>
          <w:szCs w:val="18"/>
          <w:vertAlign w:val="superscript"/>
        </w:rPr>
        <w:footnoteReference w:id="8"/>
      </w:r>
      <w:r w:rsidR="00E37B88" w:rsidRPr="00E37B88">
        <w:t>.</w:t>
      </w:r>
    </w:p>
    <w:p w:rsidR="00E37B88" w:rsidRPr="00E37B88" w:rsidRDefault="00E37B88" w:rsidP="00E37B88">
      <w:pPr>
        <w:pStyle w:val="SingleTxtGR"/>
      </w:pPr>
      <w:r w:rsidRPr="00E37B88">
        <w:t>9.5</w:t>
      </w:r>
      <w:r w:rsidRPr="00E37B88">
        <w:tab/>
        <w:t>И поэтому</w:t>
      </w:r>
      <w:r w:rsidR="00C606FA">
        <w:t xml:space="preserve"> второй</w:t>
      </w:r>
      <w:r w:rsidRPr="00E37B88">
        <w:t xml:space="preserve"> вопрос заключается в том, являются ли в данном сл</w:t>
      </w:r>
      <w:r w:rsidRPr="00E37B88">
        <w:t>у</w:t>
      </w:r>
      <w:r w:rsidRPr="00E37B88">
        <w:t>чае такие ограничения оправданными по пункту 3 статьи 19 Пакта, т.е. пред</w:t>
      </w:r>
      <w:r w:rsidRPr="00E37B88">
        <w:t>у</w:t>
      </w:r>
      <w:r w:rsidRPr="00E37B88">
        <w:t>смотренными законом и необходимыми: a) для уважения прав или репутации других лиц; и b) для охраны государственной безопасности или общественного порядка (ordre public) или здоровья и нравственности населения. Комитет н</w:t>
      </w:r>
      <w:r w:rsidRPr="00E37B88">
        <w:t>а</w:t>
      </w:r>
      <w:r w:rsidRPr="00E37B88">
        <w:t>поминает о том, что свобода мнения и свобода его выражения являются неот</w:t>
      </w:r>
      <w:r w:rsidRPr="00E37B88">
        <w:t>ъ</w:t>
      </w:r>
      <w:r w:rsidRPr="00E37B88">
        <w:t>емлемыми условиями для всестороннего развития личности, что они имеют ключевое значение для любого общества и что они являются основополага</w:t>
      </w:r>
      <w:r w:rsidRPr="00E37B88">
        <w:t>ю</w:t>
      </w:r>
      <w:r w:rsidRPr="00E37B88">
        <w:t>щими элементами любого свободного и демократического общества</w:t>
      </w:r>
      <w:r w:rsidRPr="00022CF9">
        <w:rPr>
          <w:sz w:val="18"/>
          <w:szCs w:val="18"/>
          <w:vertAlign w:val="superscript"/>
        </w:rPr>
        <w:footnoteReference w:id="9"/>
      </w:r>
      <w:r w:rsidRPr="00E37B88">
        <w:t>. Любые ограничения на их осуществление должны сообразовываться со строгими кр</w:t>
      </w:r>
      <w:r w:rsidRPr="00E37B88">
        <w:t>и</w:t>
      </w:r>
      <w:r w:rsidRPr="00E37B88">
        <w:t>териями необходимости и соразмерности и "устанавливаться лишь для тех ц</w:t>
      </w:r>
      <w:r w:rsidRPr="00E37B88">
        <w:t>е</w:t>
      </w:r>
      <w:r w:rsidRPr="00E37B88">
        <w:t>лей, для которых они предназначены, и они должны быть прямо связаны с ко</w:t>
      </w:r>
      <w:r w:rsidRPr="00E37B88">
        <w:t>н</w:t>
      </w:r>
      <w:r w:rsidRPr="00E37B88">
        <w:t>кретной целью, достижение которой они преследуют"</w:t>
      </w:r>
      <w:r w:rsidRPr="00022CF9">
        <w:rPr>
          <w:sz w:val="18"/>
          <w:szCs w:val="18"/>
          <w:vertAlign w:val="superscript"/>
        </w:rPr>
        <w:footnoteReference w:id="10"/>
      </w:r>
      <w:r w:rsidRPr="00E37B88">
        <w:t>.</w:t>
      </w:r>
    </w:p>
    <w:p w:rsidR="00E37B88" w:rsidRPr="00E37B88" w:rsidRDefault="00E37B88" w:rsidP="00E37B88">
      <w:pPr>
        <w:pStyle w:val="SingleTxtGR"/>
      </w:pPr>
      <w:r w:rsidRPr="00E37B88">
        <w:t>9.6</w:t>
      </w:r>
      <w:r w:rsidRPr="00E37B88">
        <w:tab/>
        <w:t>В свете вышесказанного Комитет отмечает, что, даже если ограничения, введенные в отношении права авторов на распространение информацию в да</w:t>
      </w:r>
      <w:r w:rsidRPr="00E37B88">
        <w:t>н</w:t>
      </w:r>
      <w:r w:rsidRPr="00E37B88">
        <w:t>ном случае были позволены национальным законодательством, местные власти не привели никаких разъяснений или обоснований на тот счет, почему они н</w:t>
      </w:r>
      <w:r w:rsidRPr="00E37B88">
        <w:t>е</w:t>
      </w:r>
      <w:r w:rsidRPr="00E37B88">
        <w:t>обходимы для одной из законных целей, изложенных в пункте 3 статьи 19 Па</w:t>
      </w:r>
      <w:r w:rsidRPr="00E37B88">
        <w:t>к</w:t>
      </w:r>
      <w:r w:rsidRPr="00E37B88">
        <w:t>та, и какие опасности создала бы публичная демонстрация авторами портретов исчезнувшего бывшего министра внутренних дел и выражение их озабоченн</w:t>
      </w:r>
      <w:r w:rsidRPr="00E37B88">
        <w:t>о</w:t>
      </w:r>
      <w:r w:rsidRPr="00E37B88">
        <w:t>сти по поводу затяжного расследования в этой связи</w:t>
      </w:r>
      <w:r w:rsidR="005E4CEC">
        <w:t>,</w:t>
      </w:r>
      <w:r w:rsidRPr="00E37B88">
        <w:t xml:space="preserve"> Комитет заключает, что в отсутствие всякой наличной соответствующей информации в решениях мес</w:t>
      </w:r>
      <w:r w:rsidRPr="00E37B88">
        <w:t>т</w:t>
      </w:r>
      <w:r w:rsidRPr="00E37B88">
        <w:t>ных властей в контексте административного разбирательства против авторов и в отсутствие всяких конкретных замечаний государства-участника в этом отн</w:t>
      </w:r>
      <w:r w:rsidRPr="00E37B88">
        <w:t>о</w:t>
      </w:r>
      <w:r w:rsidRPr="00E37B88">
        <w:t>шении, установленные ограничения на осуществление права авторов на своб</w:t>
      </w:r>
      <w:r w:rsidRPr="00E37B88">
        <w:t>о</w:t>
      </w:r>
      <w:r w:rsidRPr="00E37B88">
        <w:t>ду выражения мнений не могут считаться необходимыми для уважения прав или репутации других лиц; для охраны национальной безопасности или общ</w:t>
      </w:r>
      <w:r w:rsidRPr="00E37B88">
        <w:t>е</w:t>
      </w:r>
      <w:r w:rsidRPr="00E37B88">
        <w:t>ственного порядка (ordre public) или здоровья или нравственности населения. Поэтому Комитет приходит к выводу, что в данном случае были нарушены пр</w:t>
      </w:r>
      <w:r w:rsidRPr="00E37B88">
        <w:t>а</w:t>
      </w:r>
      <w:r w:rsidRPr="00E37B88">
        <w:t>ва авторов по пункту 2 статьи 19 Пакта.</w:t>
      </w:r>
    </w:p>
    <w:p w:rsidR="00E37B88" w:rsidRPr="00E37B88" w:rsidRDefault="00E37B88" w:rsidP="00E37B88">
      <w:pPr>
        <w:pStyle w:val="SingleTxtGR"/>
      </w:pPr>
      <w:r w:rsidRPr="00E37B88">
        <w:t>9.7</w:t>
      </w:r>
      <w:r w:rsidRPr="00E37B88">
        <w:tab/>
        <w:t>Комитет отмечает утверждение авторов о том, что было также нарушено их право на свободу собраний по статье 21 Пакта, так как они были признаны виновными в совершении административного правонарушения и подвергнуты штрафу и, в случае одного из авторов, задержанию за нарушение установленн</w:t>
      </w:r>
      <w:r w:rsidRPr="00E37B88">
        <w:t>о</w:t>
      </w:r>
      <w:r w:rsidRPr="00E37B88">
        <w:t>го порядка организации и проведения массового мероприятия. В этом контексте Комитет напоминает, что права и свободы, изложенные в статье 21 Пакта, не являются абсолютными, а могут подвергаться ограничениям. Второе предлож</w:t>
      </w:r>
      <w:r w:rsidRPr="00E37B88">
        <w:t>е</w:t>
      </w:r>
      <w:r w:rsidRPr="00E37B88">
        <w:t>ние статьи 21 Пакта требует, чтобы осуществление права на мирные собрания не подвергалось никаким ограничениям, кроме ограничений: a) налагаемых в соответствии с законом; и b) необходимых в демократическом обществе в инт</w:t>
      </w:r>
      <w:r w:rsidRPr="00E37B88">
        <w:t>е</w:t>
      </w:r>
      <w:r w:rsidRPr="00E37B88">
        <w:t>ресах государственной или общественной безопасности, общественного поря</w:t>
      </w:r>
      <w:r w:rsidRPr="00E37B88">
        <w:t>д</w:t>
      </w:r>
      <w:r w:rsidRPr="00E37B88">
        <w:t>ка (ordre public), охраны здоровья и нравственности населения или защиты прав и свобод других лиц</w:t>
      </w:r>
      <w:r w:rsidRPr="00022CF9">
        <w:rPr>
          <w:sz w:val="18"/>
          <w:szCs w:val="18"/>
          <w:vertAlign w:val="superscript"/>
        </w:rPr>
        <w:footnoteReference w:id="11"/>
      </w:r>
      <w:r w:rsidRPr="00E37B88">
        <w:t>.</w:t>
      </w:r>
    </w:p>
    <w:p w:rsidR="00E37B88" w:rsidRPr="00E37B88" w:rsidRDefault="005E4CEC" w:rsidP="00E37B88">
      <w:pPr>
        <w:pStyle w:val="SingleTxtGR"/>
      </w:pPr>
      <w:r>
        <w:t>9</w:t>
      </w:r>
      <w:r w:rsidR="00E37B88" w:rsidRPr="00E37B88">
        <w:t>.8</w:t>
      </w:r>
      <w:r w:rsidR="00E37B88" w:rsidRPr="00E37B88">
        <w:tab/>
        <w:t>В настоящем деле Комитет должен рассмотреть вопрос о том, оправда</w:t>
      </w:r>
      <w:r w:rsidR="00E37B88" w:rsidRPr="00E37B88">
        <w:t>н</w:t>
      </w:r>
      <w:r w:rsidR="00E37B88" w:rsidRPr="00E37B88">
        <w:t>ны ли по любому из критериев, изложенных во втором предложении статьи 21 Пакта, установленные ограничения в отношении права авторов на свободу со</w:t>
      </w:r>
      <w:r w:rsidR="00E37B88" w:rsidRPr="00E37B88">
        <w:t>б</w:t>
      </w:r>
      <w:r w:rsidR="00E37B88" w:rsidRPr="00E37B88">
        <w:t>раний. Комитет отмечает, что в свете наличествующей в деле информации м</w:t>
      </w:r>
      <w:r w:rsidR="00E37B88" w:rsidRPr="00E37B88">
        <w:t>е</w:t>
      </w:r>
      <w:r w:rsidR="00E37B88" w:rsidRPr="00E37B88">
        <w:t>стные власти не предоставили никакого обоснования или разъяснения на тот счет, каким образом на практике действия авторов в отношении демонстрации портретов исчезнувшего министра внутренних дел и продолжительности ра</w:t>
      </w:r>
      <w:r w:rsidR="00E37B88" w:rsidRPr="00E37B88">
        <w:t>с</w:t>
      </w:r>
      <w:r w:rsidR="00E37B88" w:rsidRPr="00E37B88">
        <w:t>следования в этом отношении ущемляют интересы государственной или общ</w:t>
      </w:r>
      <w:r w:rsidR="00E37B88" w:rsidRPr="00E37B88">
        <w:t>е</w:t>
      </w:r>
      <w:r w:rsidR="00E37B88" w:rsidRPr="00E37B88">
        <w:t>ственной безопасности, общественного порядка (ordre public), охраны здоровья и нравственности населения или защиты прав и свобод других лиц, как излож</w:t>
      </w:r>
      <w:r w:rsidR="00E37B88" w:rsidRPr="00E37B88">
        <w:t>е</w:t>
      </w:r>
      <w:r w:rsidR="00E37B88" w:rsidRPr="00E37B88">
        <w:t>но в статье 21 Пакта. Соответственно, Комитет заключает, что в настоящем случае государство-участник также нарушило право авторов по статье 21 Па</w:t>
      </w:r>
      <w:r w:rsidR="00E37B88" w:rsidRPr="00E37B88">
        <w:t>к</w:t>
      </w:r>
      <w:r w:rsidR="00E37B88" w:rsidRPr="00E37B88">
        <w:t>та.</w:t>
      </w:r>
    </w:p>
    <w:p w:rsidR="00E37B88" w:rsidRPr="00E37B88" w:rsidRDefault="005E4CEC" w:rsidP="00E37B88">
      <w:pPr>
        <w:pStyle w:val="SingleTxtGR"/>
      </w:pPr>
      <w:r>
        <w:t>10.</w:t>
      </w:r>
      <w:r>
        <w:tab/>
      </w:r>
      <w:r w:rsidR="00E37B88" w:rsidRPr="00E37B88">
        <w:t>Комитет, в соответствии с пунктом 4 статьи 5 Ф</w:t>
      </w:r>
      <w:r w:rsidR="00E37B88" w:rsidRPr="00E37B88">
        <w:t>а</w:t>
      </w:r>
      <w:r w:rsidR="00E37B88" w:rsidRPr="00E37B88">
        <w:t>культативного протокола к Международному пакту о гражданских и политич</w:t>
      </w:r>
      <w:r w:rsidR="00E37B88" w:rsidRPr="00E37B88">
        <w:t>е</w:t>
      </w:r>
      <w:r w:rsidR="00E37B88" w:rsidRPr="00E37B88">
        <w:t>ских правах, полагает, что имеющиеся у него факты вскрывают нарушение г</w:t>
      </w:r>
      <w:r w:rsidR="00E37B88" w:rsidRPr="00E37B88">
        <w:t>о</w:t>
      </w:r>
      <w:r w:rsidR="00E37B88" w:rsidRPr="00E37B88">
        <w:t>сударством-участником прав авторов по пункту 2 статьи 19 и по статье 21 Па</w:t>
      </w:r>
      <w:r w:rsidR="00E37B88" w:rsidRPr="00E37B88">
        <w:t>к</w:t>
      </w:r>
      <w:r w:rsidR="00E37B88" w:rsidRPr="00E37B88">
        <w:t>та.</w:t>
      </w:r>
    </w:p>
    <w:p w:rsidR="00E37B88" w:rsidRPr="00E37B88" w:rsidRDefault="00E37B88" w:rsidP="00E37B88">
      <w:pPr>
        <w:pStyle w:val="SingleTxtGR"/>
      </w:pPr>
      <w:r w:rsidRPr="00E37B88">
        <w:t>11.</w:t>
      </w:r>
      <w:r w:rsidRPr="00E37B88">
        <w:tab/>
        <w:t>Согласно пункту 3 а) статьи 2 Пакта государство-участник обязано обе</w:t>
      </w:r>
      <w:r w:rsidRPr="00E37B88">
        <w:t>с</w:t>
      </w:r>
      <w:r w:rsidRPr="00E37B88">
        <w:t>печить авторам эффективное средство правовой защиты, включая возмещение оштрафованным авторам суммы штрафа по состоянию на октябрь 2007</w:t>
      </w:r>
      <w:r w:rsidR="00022CF9">
        <w:rPr>
          <w:lang w:val="en-US"/>
        </w:rPr>
        <w:t> </w:t>
      </w:r>
      <w:r w:rsidR="003B3114">
        <w:t>года</w:t>
      </w:r>
      <w:r w:rsidRPr="00E37B88">
        <w:t xml:space="preserve"> и компенсацию. </w:t>
      </w:r>
      <w:r w:rsidR="005E4CEC">
        <w:t>Государство-участник также несет обязанность предпринять ш</w:t>
      </w:r>
      <w:r w:rsidR="005E4CEC">
        <w:t>а</w:t>
      </w:r>
      <w:r w:rsidR="005E4CEC">
        <w:t>ги к тому, чтобы предотвратить аналогичные нарушения в будущем.</w:t>
      </w:r>
      <w:r w:rsidRPr="00E37B88">
        <w:t xml:space="preserve"> В этой св</w:t>
      </w:r>
      <w:r w:rsidRPr="00E37B88">
        <w:t>я</w:t>
      </w:r>
      <w:r w:rsidRPr="00E37B88">
        <w:t>зи Комитет повторяет, что государству-участнику следует пересмотреть свое з</w:t>
      </w:r>
      <w:r w:rsidRPr="00E37B88">
        <w:t>а</w:t>
      </w:r>
      <w:r w:rsidRPr="00E37B88">
        <w:t>конодательство, в особенности Закон о массовых мероприятиях от 30 декабря 1997 года, как он был применен в настоящем деле, с целью обеспечить, чтобы в государстве-участнике можно было в полной мере пользоваться прав</w:t>
      </w:r>
      <w:r w:rsidRPr="00E37B88">
        <w:t>а</w:t>
      </w:r>
      <w:r w:rsidRPr="00E37B88">
        <w:t>ми по статьям 19 и 21 Пакта</w:t>
      </w:r>
      <w:r w:rsidRPr="00022CF9">
        <w:rPr>
          <w:sz w:val="18"/>
          <w:szCs w:val="18"/>
          <w:vertAlign w:val="superscript"/>
        </w:rPr>
        <w:footnoteReference w:id="12"/>
      </w:r>
      <w:r w:rsidRPr="00E37B88">
        <w:t>.</w:t>
      </w:r>
    </w:p>
    <w:p w:rsidR="00E37B88" w:rsidRPr="00E37B88" w:rsidRDefault="000E37BF" w:rsidP="00E37B88">
      <w:pPr>
        <w:pStyle w:val="SingleTxtGR"/>
      </w:pPr>
      <w:r>
        <w:t>12.</w:t>
      </w:r>
      <w:r>
        <w:tab/>
      </w:r>
      <w:r w:rsidR="00E37B88" w:rsidRPr="00E37B88">
        <w:t>Принимая во внимание, что, присоединившись к Факультативному пр</w:t>
      </w:r>
      <w:r w:rsidR="00E37B88" w:rsidRPr="00E37B88">
        <w:t>о</w:t>
      </w:r>
      <w:r w:rsidR="00E37B88" w:rsidRPr="00E37B88">
        <w:t>токолу, государство-участник признало компетенцию Комитета определять н</w:t>
      </w:r>
      <w:r w:rsidR="00E37B88" w:rsidRPr="00E37B88">
        <w:t>а</w:t>
      </w:r>
      <w:r w:rsidR="00E37B88" w:rsidRPr="00E37B88">
        <w:t>личие или отсутствие нарушения Пакта и что, согласно статье 2 Пакта, госуда</w:t>
      </w:r>
      <w:r w:rsidR="00E37B88" w:rsidRPr="00E37B88">
        <w:t>р</w:t>
      </w:r>
      <w:r w:rsidR="00E37B88" w:rsidRPr="00E37B88">
        <w:t>ство-участник обязалось обеспечивать всем лицам, находящимся в пределах его территории или под его юрисдикцией, права, признаваемые в Пакте, и предо</w:t>
      </w:r>
      <w:r w:rsidR="00E37B88" w:rsidRPr="00E37B88">
        <w:t>с</w:t>
      </w:r>
      <w:r w:rsidR="00E37B88" w:rsidRPr="00E37B88">
        <w:t>тавлять им эффективное и обеспеченное правовой санкцией средство прав</w:t>
      </w:r>
      <w:r w:rsidR="00E37B88" w:rsidRPr="00E37B88">
        <w:t>о</w:t>
      </w:r>
      <w:r w:rsidR="00E37B88" w:rsidRPr="00E37B88">
        <w:t>вой защиты в случае установления нарушения, Комитет желал бы получить от гос</w:t>
      </w:r>
      <w:r w:rsidR="00E37B88" w:rsidRPr="00E37B88">
        <w:t>у</w:t>
      </w:r>
      <w:r w:rsidR="00E37B88" w:rsidRPr="00E37B88">
        <w:t>дарства-участника в течение 180 дней информацию о принятых мерах по реал</w:t>
      </w:r>
      <w:r w:rsidR="00E37B88" w:rsidRPr="00E37B88">
        <w:t>и</w:t>
      </w:r>
      <w:r w:rsidR="00E37B88" w:rsidRPr="00E37B88">
        <w:t>зации Соображений Комитета. Государству-участнику также предлагается опубликовать настоящие Соображения и обеспечить их широкое распростран</w:t>
      </w:r>
      <w:r w:rsidR="00E37B88" w:rsidRPr="00E37B88">
        <w:t>е</w:t>
      </w:r>
      <w:r w:rsidR="00E37B88" w:rsidRPr="00E37B88">
        <w:t>ние в государстве-участнике на белорусском и русском языках.</w:t>
      </w:r>
    </w:p>
    <w:p w:rsidR="00E37B88" w:rsidRPr="00E37B88" w:rsidRDefault="00E57B64" w:rsidP="00022CF9">
      <w:pPr>
        <w:pStyle w:val="HChGR"/>
      </w:pPr>
      <w:r>
        <w:br w:type="page"/>
      </w:r>
      <w:r w:rsidR="00E37B88" w:rsidRPr="00E37B88">
        <w:t>Добавления</w:t>
      </w:r>
    </w:p>
    <w:p w:rsidR="00E37B88" w:rsidRPr="00E37B88" w:rsidRDefault="00E37B88" w:rsidP="00022CF9">
      <w:pPr>
        <w:pStyle w:val="HChGR"/>
      </w:pPr>
      <w:r w:rsidRPr="00E37B88">
        <w:t>Добавление I</w:t>
      </w:r>
    </w:p>
    <w:p w:rsidR="00E37B88" w:rsidRPr="00E37B88" w:rsidRDefault="00E37B88" w:rsidP="00022CF9">
      <w:pPr>
        <w:pStyle w:val="SingleTxtGR"/>
        <w:jc w:val="right"/>
        <w:rPr>
          <w:b/>
          <w:i/>
          <w:iCs/>
        </w:rPr>
      </w:pPr>
      <w:r w:rsidRPr="00E37B88">
        <w:t>[</w:t>
      </w:r>
      <w:r w:rsidRPr="00022CF9">
        <w:rPr>
          <w:i/>
        </w:rPr>
        <w:t>Оригинал: английский</w:t>
      </w:r>
      <w:r w:rsidRPr="00E37B88">
        <w:t>]</w:t>
      </w:r>
    </w:p>
    <w:p w:rsidR="00E37B88" w:rsidRPr="00E37B88" w:rsidRDefault="00E37B88" w:rsidP="00022CF9">
      <w:pPr>
        <w:pStyle w:val="H1GR"/>
      </w:pPr>
      <w:r w:rsidRPr="00E37B88">
        <w:tab/>
      </w:r>
      <w:r w:rsidRPr="00E37B88">
        <w:tab/>
        <w:t xml:space="preserve">Совместное мнение членов Комитета </w:t>
      </w:r>
      <w:r w:rsidR="003509B8" w:rsidRPr="003509B8">
        <w:t>Константина Вардзелашвили, Ани Зайберт-Фор, Юдзи Ивасавы и</w:t>
      </w:r>
      <w:r w:rsidR="003509B8">
        <w:t> </w:t>
      </w:r>
      <w:r w:rsidR="003509B8" w:rsidRPr="003509B8">
        <w:t xml:space="preserve">Джеральда Л. Ньюмана </w:t>
      </w:r>
      <w:r w:rsidRPr="00E37B88">
        <w:t>(совп</w:t>
      </w:r>
      <w:r w:rsidRPr="00E37B88">
        <w:t>а</w:t>
      </w:r>
      <w:r w:rsidRPr="00E37B88">
        <w:t>дающее)</w:t>
      </w:r>
    </w:p>
    <w:p w:rsidR="00E37B88" w:rsidRPr="00E37B88" w:rsidRDefault="00E37B88" w:rsidP="00E37B88">
      <w:pPr>
        <w:pStyle w:val="SingleTxtGR"/>
      </w:pPr>
      <w:r w:rsidRPr="00E37B88">
        <w:t>1.</w:t>
      </w:r>
      <w:r w:rsidRPr="00E37B88">
        <w:tab/>
        <w:t>Мы разделяем выводы Комитета по данному сообщению, но не согласны с частью аргументации, изложенной в пункте 8.4, которая рассматривает у</w:t>
      </w:r>
      <w:r w:rsidRPr="00E37B88">
        <w:t>т</w:t>
      </w:r>
      <w:r w:rsidRPr="00E37B88">
        <w:t>верждение авторов о том, что государство-участник нарушило свои обязател</w:t>
      </w:r>
      <w:r w:rsidRPr="00E37B88">
        <w:t>ь</w:t>
      </w:r>
      <w:r w:rsidR="000E37BF">
        <w:t>ства по пункту 2 статьи 2</w:t>
      </w:r>
      <w:r w:rsidRPr="00E37B88">
        <w:t xml:space="preserve"> Пакта </w:t>
      </w:r>
      <w:r w:rsidR="000E37BF">
        <w:t xml:space="preserve">в сочетании </w:t>
      </w:r>
      <w:r w:rsidRPr="00E37B88">
        <w:t>со статьями 19 и 21, не приняв т</w:t>
      </w:r>
      <w:r w:rsidRPr="00E37B88">
        <w:t>а</w:t>
      </w:r>
      <w:r w:rsidRPr="00E37B88">
        <w:t>ких законов или иных мер, какие могут оказаться необходимыми для реализ</w:t>
      </w:r>
      <w:r w:rsidRPr="00E37B88">
        <w:t>а</w:t>
      </w:r>
      <w:r w:rsidRPr="00E37B88">
        <w:t>ции прав, признаваемых в этих статьях. В этом пассаже Комитет оставляет о</w:t>
      </w:r>
      <w:r w:rsidRPr="00E37B88">
        <w:t>т</w:t>
      </w:r>
      <w:r w:rsidRPr="00E37B88">
        <w:t>крытой возможность того, что индивид мог бы ссылаться на пункт 2 статьи 2 Пакта в с</w:t>
      </w:r>
      <w:r w:rsidRPr="00E37B88">
        <w:t>о</w:t>
      </w:r>
      <w:r w:rsidRPr="00E37B88">
        <w:t xml:space="preserve">четании с другим положением Пакта, если уклонение государства-участника от соблюдения своих обязательств по пункту 2 статьи 2 является "непосредственной причиной" </w:t>
      </w:r>
      <w:r w:rsidR="00C370EE">
        <w:t>отдельного</w:t>
      </w:r>
      <w:r w:rsidRPr="00E37B88">
        <w:t xml:space="preserve"> нарушения Пакта, прямо затраг</w:t>
      </w:r>
      <w:r w:rsidRPr="00E37B88">
        <w:t>и</w:t>
      </w:r>
      <w:r w:rsidRPr="00E37B88">
        <w:t>вающего жизнь индивида, который утверждает, что является жертвой"</w:t>
      </w:r>
      <w:r w:rsidRPr="00022CF9">
        <w:rPr>
          <w:sz w:val="18"/>
          <w:szCs w:val="18"/>
          <w:vertAlign w:val="superscript"/>
        </w:rPr>
        <w:footnoteReference w:id="13"/>
      </w:r>
      <w:r w:rsidRPr="00E37B88">
        <w:t>.</w:t>
      </w:r>
    </w:p>
    <w:p w:rsidR="00E37B88" w:rsidRPr="00E37B88" w:rsidRDefault="00E37B88" w:rsidP="00E37B88">
      <w:pPr>
        <w:pStyle w:val="SingleTxtGR"/>
      </w:pPr>
      <w:r w:rsidRPr="00E37B88">
        <w:t>2.</w:t>
      </w:r>
      <w:r w:rsidRPr="00E37B88">
        <w:tab/>
        <w:t>Вместо того чтобы вводить такие расплывчатые понятия, как "непосре</w:t>
      </w:r>
      <w:r w:rsidRPr="00E37B88">
        <w:t>д</w:t>
      </w:r>
      <w:r w:rsidRPr="00E37B88">
        <w:t>ственная причина" и "отдельное нарушение" в качестве предпосылки для в</w:t>
      </w:r>
      <w:r w:rsidRPr="00E37B88">
        <w:t>ы</w:t>
      </w:r>
      <w:r w:rsidRPr="00E37B88">
        <w:t>движения таких претензий, Комитету следовало бы практиковать свой традиц</w:t>
      </w:r>
      <w:r w:rsidRPr="00E37B88">
        <w:t>и</w:t>
      </w:r>
      <w:r w:rsidRPr="00E37B88">
        <w:t xml:space="preserve">онный подход и рассматривать претензию авторов по пункту 2 статьи 2 в </w:t>
      </w:r>
      <w:r w:rsidR="00C370EE">
        <w:t>соч</w:t>
      </w:r>
      <w:r w:rsidR="00C370EE">
        <w:t>е</w:t>
      </w:r>
      <w:r w:rsidR="00C370EE">
        <w:t>тании</w:t>
      </w:r>
      <w:r w:rsidRPr="00E37B88">
        <w:t xml:space="preserve"> со статьями 19 и 21 как неприемлемую исходя </w:t>
      </w:r>
      <w:r w:rsidR="00C370EE">
        <w:t>из</w:t>
      </w:r>
      <w:r w:rsidRPr="00E37B88">
        <w:t xml:space="preserve"> того</w:t>
      </w:r>
      <w:r w:rsidR="00C370EE">
        <w:t>,</w:t>
      </w:r>
      <w:r w:rsidRPr="00E37B88">
        <w:t xml:space="preserve"> что </w:t>
      </w:r>
      <w:r w:rsidR="00C370EE">
        <w:t>ссылаться т</w:t>
      </w:r>
      <w:r w:rsidR="00C370EE">
        <w:t>а</w:t>
      </w:r>
      <w:r w:rsidR="00C370EE">
        <w:t>ким образом</w:t>
      </w:r>
      <w:r w:rsidRPr="00E37B88">
        <w:t xml:space="preserve"> </w:t>
      </w:r>
      <w:r w:rsidR="003B3114">
        <w:t xml:space="preserve">на </w:t>
      </w:r>
      <w:r w:rsidRPr="00E37B88">
        <w:t xml:space="preserve">пункт 2 статьи 2 </w:t>
      </w:r>
      <w:r w:rsidR="00C370EE">
        <w:t>можно</w:t>
      </w:r>
      <w:r w:rsidRPr="00E37B88">
        <w:t xml:space="preserve"> никак не больше, чем на него можно </w:t>
      </w:r>
      <w:r w:rsidR="00C370EE">
        <w:t xml:space="preserve">было бы </w:t>
      </w:r>
      <w:r w:rsidRPr="00E37B88">
        <w:t>ссылаться обособленно. Пункт 2 статьи 2 излагает объективное обяз</w:t>
      </w:r>
      <w:r w:rsidRPr="00E37B88">
        <w:t>а</w:t>
      </w:r>
      <w:r w:rsidRPr="00E37B88">
        <w:t>тельство государств-участников принять законодательные или иные меры для осуществления прав, признанных в Пакте. Но он не наделяет индивидов правом тр</w:t>
      </w:r>
      <w:r w:rsidRPr="00E37B88">
        <w:t>е</w:t>
      </w:r>
      <w:r w:rsidRPr="00E37B88">
        <w:t>бовать от государства-участника принятия законодательных или иных таких мер. Соответственно, Комитет последовательно полагает, что пункт 2 статьи 2 излагает общее обязательство для государств-участников, не предусматривая права, на которое мо</w:t>
      </w:r>
      <w:r w:rsidR="00C370EE">
        <w:t>ж</w:t>
      </w:r>
      <w:r w:rsidRPr="00E37B88">
        <w:t>но было бы претендовать в сообщении по Факультати</w:t>
      </w:r>
      <w:r w:rsidRPr="00E37B88">
        <w:t>в</w:t>
      </w:r>
      <w:r w:rsidRPr="00E37B88">
        <w:t>ному пр</w:t>
      </w:r>
      <w:r w:rsidRPr="00E37B88">
        <w:t>о</w:t>
      </w:r>
      <w:r w:rsidRPr="00E37B88">
        <w:t>токолу. И этот вывод не претерпевает изменений при рассмотрении этого положения в сочетании с тем или иным предметным пр</w:t>
      </w:r>
      <w:r w:rsidRPr="00E37B88">
        <w:t>а</w:t>
      </w:r>
      <w:r w:rsidRPr="00E37B88">
        <w:t>вом</w:t>
      </w:r>
      <w:r w:rsidRPr="00022CF9">
        <w:rPr>
          <w:sz w:val="18"/>
          <w:szCs w:val="18"/>
          <w:vertAlign w:val="superscript"/>
        </w:rPr>
        <w:footnoteReference w:id="14"/>
      </w:r>
      <w:r w:rsidRPr="00E37B88">
        <w:t>.</w:t>
      </w:r>
    </w:p>
    <w:p w:rsidR="00E37B88" w:rsidRPr="00E37B88" w:rsidRDefault="00E37B88" w:rsidP="00E37B88">
      <w:pPr>
        <w:pStyle w:val="SingleTxtGR"/>
      </w:pPr>
      <w:r w:rsidRPr="00E37B88">
        <w:t>3.</w:t>
      </w:r>
      <w:r w:rsidRPr="00E37B88">
        <w:tab/>
        <w:t>Как иллюстрирует этот самый случай и как подтверждают многочисле</w:t>
      </w:r>
      <w:r w:rsidRPr="00E37B88">
        <w:t>н</w:t>
      </w:r>
      <w:r w:rsidRPr="00E37B88">
        <w:t>ные другие случаи, Комитет может признать, что закон или практика способс</w:t>
      </w:r>
      <w:r w:rsidRPr="00E37B88">
        <w:t>т</w:t>
      </w:r>
      <w:r w:rsidRPr="00E37B88">
        <w:t>вуют отдельному нарушению Пакта, без какой-либо необходимости привносить в дискуссию пункт 2 статьи 2. Индивиды могут быть затронуты в своих правах законом, который на первый взгляд нарушает предметное право, или примен</w:t>
      </w:r>
      <w:r w:rsidRPr="00E37B88">
        <w:t>е</w:t>
      </w:r>
      <w:r w:rsidRPr="00E37B88">
        <w:t>нием закона, или отсутствием закона. Комитет правомочен констатировать н</w:t>
      </w:r>
      <w:r w:rsidRPr="00E37B88">
        <w:t>а</w:t>
      </w:r>
      <w:r w:rsidRPr="00E37B88">
        <w:t>рушение предметных прав в каждом из этих случаев и давать соответствующую корректирующую рекомендацию. Присовокупление нарушения пункта 2 ст</w:t>
      </w:r>
      <w:r w:rsidRPr="00E37B88">
        <w:t>а</w:t>
      </w:r>
      <w:r w:rsidRPr="00E37B88">
        <w:t>тьи</w:t>
      </w:r>
      <w:r w:rsidR="001A397B">
        <w:rPr>
          <w:lang w:val="en-US"/>
        </w:rPr>
        <w:t> </w:t>
      </w:r>
      <w:r w:rsidRPr="00E37B88">
        <w:t xml:space="preserve">2 в сочетании </w:t>
      </w:r>
      <w:r w:rsidR="0033412F">
        <w:t xml:space="preserve">с </w:t>
      </w:r>
      <w:r w:rsidRPr="00E37B88">
        <w:t>предметным положением ничего не добавляет к защите и</w:t>
      </w:r>
      <w:r w:rsidRPr="00E37B88">
        <w:t>н</w:t>
      </w:r>
      <w:r w:rsidRPr="00E37B88">
        <w:t>дивида. Задача Комитета при оценке претензии по Факультативному протоколу состоит в том, чтобы рассмотреть эффект законов и иных мер для прав жертв, которые представляют ему сообщение. Рассматривая нарушения индивидуал</w:t>
      </w:r>
      <w:r w:rsidRPr="00E37B88">
        <w:t>ь</w:t>
      </w:r>
      <w:r w:rsidRPr="00E37B88">
        <w:t>ных прав, а не общи</w:t>
      </w:r>
      <w:r w:rsidR="0033412F">
        <w:t>х обязательств</w:t>
      </w:r>
      <w:r w:rsidRPr="00E37B88">
        <w:t>, Комитет обеспечивает, чтобы сообщения касались жертв, которые были конкретно затронуты в отношении конкретных прав, а не лиц, возражающих абстрактно против того, как государство-участник ос</w:t>
      </w:r>
      <w:r w:rsidRPr="00E37B88">
        <w:t>у</w:t>
      </w:r>
      <w:r w:rsidRPr="00E37B88">
        <w:t>ществляет Пакт.</w:t>
      </w:r>
    </w:p>
    <w:p w:rsidR="00E37B88" w:rsidRPr="00E37B88" w:rsidRDefault="00E37B88" w:rsidP="00E37B88">
      <w:pPr>
        <w:pStyle w:val="SingleTxtGR"/>
      </w:pPr>
      <w:r w:rsidRPr="00E37B88">
        <w:t>4.</w:t>
      </w:r>
      <w:r w:rsidRPr="00E37B88">
        <w:tab/>
        <w:t>Изменение традиционного подхода Комитета в этом отношении, с тем чтобы сделать отдельные дополнительные выводы о невыполнение государс</w:t>
      </w:r>
      <w:r w:rsidRPr="00E37B88">
        <w:t>т</w:t>
      </w:r>
      <w:r w:rsidRPr="00E37B88">
        <w:t>вом своих объективных обязательств, не внесло бы практический вклад в защ</w:t>
      </w:r>
      <w:r w:rsidRPr="00E37B88">
        <w:t>и</w:t>
      </w:r>
      <w:r w:rsidRPr="00E37B88">
        <w:t>ту прав человека и мешало бы осуществлению Комитетом своих обязанностей по Факультативному протоколу. Оставление открытой возможност</w:t>
      </w:r>
      <w:r w:rsidR="0033412F">
        <w:t>и</w:t>
      </w:r>
      <w:r w:rsidRPr="00E37B88">
        <w:t xml:space="preserve"> констат</w:t>
      </w:r>
      <w:r w:rsidRPr="00E37B88">
        <w:t>а</w:t>
      </w:r>
      <w:r w:rsidRPr="00E37B88">
        <w:t>ции комбинированных нарушений в связи с пунктом 2 статьи 2 привело бы К</w:t>
      </w:r>
      <w:r w:rsidRPr="00E37B88">
        <w:t>о</w:t>
      </w:r>
      <w:r w:rsidRPr="00E37B88">
        <w:t>митет к непродуктивным дискуссиям, поглощающим ограниченное время, к</w:t>
      </w:r>
      <w:r w:rsidRPr="00E37B88">
        <w:t>о</w:t>
      </w:r>
      <w:r w:rsidRPr="00E37B88">
        <w:t>торые было бы лучше посвятить более важным проблемам или скорейшему принятию решений применительно к большему числу жертв по их сообщениям. К сожалению, формулировка пункта 8.4 усугубляла бы эту проблему, выдвигая двусмысленные стандарт</w:t>
      </w:r>
      <w:r w:rsidR="0033412F">
        <w:t>ы</w:t>
      </w:r>
      <w:r w:rsidRPr="00E37B88">
        <w:t xml:space="preserve"> "непосредственной причины" и </w:t>
      </w:r>
      <w:r w:rsidR="0033412F">
        <w:t>"</w:t>
      </w:r>
      <w:r w:rsidRPr="00E37B88">
        <w:t>отдельного нар</w:t>
      </w:r>
      <w:r w:rsidRPr="00E37B88">
        <w:t>у</w:t>
      </w:r>
      <w:r w:rsidRPr="00E37B88">
        <w:t>шения"</w:t>
      </w:r>
      <w:r w:rsidR="003509B8">
        <w:t xml:space="preserve"> </w:t>
      </w:r>
      <w:r w:rsidRPr="00E37B88">
        <w:t>в качестве предпосылок для формулировки таких выводов. Большинс</w:t>
      </w:r>
      <w:r w:rsidRPr="00E37B88">
        <w:t>т</w:t>
      </w:r>
      <w:r w:rsidRPr="00E37B88">
        <w:t xml:space="preserve">во не объясняет </w:t>
      </w:r>
      <w:r w:rsidR="0033412F">
        <w:t>и не</w:t>
      </w:r>
      <w:r w:rsidRPr="00E37B88">
        <w:t xml:space="preserve"> иллюстрирует примерами ситуацию, когда были бы с</w:t>
      </w:r>
      <w:r w:rsidRPr="00E37B88">
        <w:t>о</w:t>
      </w:r>
      <w:r w:rsidRPr="00E37B88">
        <w:t>блюдены эти предпосылки. Эта формулировка</w:t>
      </w:r>
      <w:r w:rsidR="0033412F">
        <w:t>,</w:t>
      </w:r>
      <w:r w:rsidRPr="00E37B88">
        <w:t xml:space="preserve"> весьма вероятно</w:t>
      </w:r>
      <w:r w:rsidR="0033412F">
        <w:t>,</w:t>
      </w:r>
      <w:r w:rsidRPr="00E37B88">
        <w:t xml:space="preserve"> генерирует разногл</w:t>
      </w:r>
      <w:r w:rsidRPr="00E37B88">
        <w:t>а</w:t>
      </w:r>
      <w:r w:rsidRPr="00E37B88">
        <w:t>сия, которых было бы лучше избегать.</w:t>
      </w:r>
    </w:p>
    <w:p w:rsidR="00E37B88" w:rsidRPr="00E37B88" w:rsidRDefault="00E37B88" w:rsidP="00E37B88">
      <w:pPr>
        <w:pStyle w:val="SingleTxtGR"/>
      </w:pPr>
      <w:r w:rsidRPr="00E37B88">
        <w:t>5.</w:t>
      </w:r>
      <w:r w:rsidRPr="00E37B88">
        <w:tab/>
        <w:t>Вместо этого Комитету следовало бы признать, что не существует таких "отдельных" нарушений индивидуальных прав</w:t>
      </w:r>
      <w:r w:rsidR="0033412F">
        <w:t>,</w:t>
      </w:r>
      <w:r w:rsidRPr="00E37B88">
        <w:t xml:space="preserve"> и следовало бы четко заявить, что на пункт 2 статьи 2 нельзя ссылаться в сообщении ни в отдельности, ни в </w:t>
      </w:r>
      <w:r w:rsidR="0033412F">
        <w:t>сочетании</w:t>
      </w:r>
      <w:r w:rsidRPr="00E37B88">
        <w:t xml:space="preserve"> в качестве заявляемого объекта нарушения.</w:t>
      </w:r>
    </w:p>
    <w:p w:rsidR="00E37B88" w:rsidRPr="00E37B88" w:rsidRDefault="00E37B88" w:rsidP="001A397B">
      <w:pPr>
        <w:pStyle w:val="HChGR"/>
      </w:pPr>
      <w:r w:rsidRPr="00E37B88">
        <w:br w:type="page"/>
      </w:r>
      <w:r w:rsidRPr="00E37B88">
        <w:tab/>
        <w:t>Добавление II</w:t>
      </w:r>
    </w:p>
    <w:p w:rsidR="00E37B88" w:rsidRPr="00E37B88" w:rsidRDefault="00E37B88" w:rsidP="001A397B">
      <w:pPr>
        <w:pStyle w:val="SingleTxtGR"/>
        <w:jc w:val="right"/>
        <w:rPr>
          <w:b/>
          <w:i/>
          <w:iCs/>
        </w:rPr>
      </w:pPr>
      <w:r w:rsidRPr="00E37B88">
        <w:t>[</w:t>
      </w:r>
      <w:r w:rsidRPr="001A397B">
        <w:rPr>
          <w:i/>
        </w:rPr>
        <w:t>Оригинал: испанский</w:t>
      </w:r>
      <w:r w:rsidRPr="00E37B88">
        <w:t>]</w:t>
      </w:r>
    </w:p>
    <w:p w:rsidR="00E37B88" w:rsidRPr="00E37B88" w:rsidRDefault="00E37B88" w:rsidP="001A397B">
      <w:pPr>
        <w:pStyle w:val="H1GR"/>
      </w:pPr>
      <w:r w:rsidRPr="00E37B88">
        <w:tab/>
      </w:r>
      <w:r w:rsidRPr="00E37B88">
        <w:tab/>
        <w:t xml:space="preserve">Совместное мнение г-на Фабиана Омара Сальвиоли </w:t>
      </w:r>
      <w:r w:rsidR="001A397B">
        <w:rPr>
          <w:lang w:val="en-US"/>
        </w:rPr>
        <w:br/>
      </w:r>
      <w:r w:rsidRPr="00E37B88">
        <w:t>и г-на Виктора Родригеса-Ресии</w:t>
      </w:r>
    </w:p>
    <w:p w:rsidR="00E37B88" w:rsidRPr="00E37B88" w:rsidRDefault="00E37B88" w:rsidP="00E37B88">
      <w:pPr>
        <w:pStyle w:val="SingleTxtGR"/>
      </w:pPr>
      <w:r w:rsidRPr="00E37B88">
        <w:t>1.</w:t>
      </w:r>
      <w:r w:rsidRPr="00E37B88">
        <w:tab/>
        <w:t>Мы согласны с решением Комитета по делу Кузнецов и др. (сообщ</w:t>
      </w:r>
      <w:r w:rsidRPr="00E37B88">
        <w:t>е</w:t>
      </w:r>
      <w:r w:rsidRPr="00E37B88">
        <w:t>ние</w:t>
      </w:r>
      <w:r w:rsidR="001A397B">
        <w:rPr>
          <w:lang w:val="en-US"/>
        </w:rPr>
        <w:t> </w:t>
      </w:r>
      <w:r w:rsidRPr="00E37B88">
        <w:t>№</w:t>
      </w:r>
      <w:r w:rsidR="001A397B">
        <w:rPr>
          <w:lang w:val="en-US"/>
        </w:rPr>
        <w:t> </w:t>
      </w:r>
      <w:r w:rsidRPr="00E37B88">
        <w:t>1976/2010), в котором государство Беларусь было признано междунаро</w:t>
      </w:r>
      <w:r w:rsidRPr="00E37B88">
        <w:t>д</w:t>
      </w:r>
      <w:r w:rsidRPr="00E37B88">
        <w:t>но ответственным за нарушения статей 19 и 21 Международного пакта о гра</w:t>
      </w:r>
      <w:r w:rsidRPr="00E37B88">
        <w:t>ж</w:t>
      </w:r>
      <w:r w:rsidRPr="00E37B88">
        <w:t xml:space="preserve">данских и политических правах. </w:t>
      </w:r>
    </w:p>
    <w:p w:rsidR="00E37B88" w:rsidRPr="00E37B88" w:rsidRDefault="00E37B88" w:rsidP="00E37B88">
      <w:pPr>
        <w:pStyle w:val="SingleTxtGR"/>
      </w:pPr>
      <w:r w:rsidRPr="00E37B88">
        <w:t>2.</w:t>
      </w:r>
      <w:r w:rsidRPr="00E37B88">
        <w:tab/>
        <w:t>Однако мы не согласны с заявлением Комитета о том, что жалоба авторов в отношении нарушения пункта 2 статьи 2 в сочетании со статьями 19 и 21, я</w:t>
      </w:r>
      <w:r w:rsidRPr="00E37B88">
        <w:t>в</w:t>
      </w:r>
      <w:r w:rsidRPr="00E37B88">
        <w:t>ляется неприемлем</w:t>
      </w:r>
      <w:r w:rsidR="0033412F">
        <w:t>ой</w:t>
      </w:r>
      <w:r w:rsidRPr="00E37B88">
        <w:t>, поскольку в данном случае рассмотрение Комитетом эт</w:t>
      </w:r>
      <w:r w:rsidRPr="00E37B88">
        <w:t>о</w:t>
      </w:r>
      <w:r w:rsidRPr="00E37B88">
        <w:t>го аргумента [не] было бы отлично от рассмотрения нарушения прав а</w:t>
      </w:r>
      <w:r w:rsidR="001A397B">
        <w:t>второв по статьям 19 и 21 Пакта</w:t>
      </w:r>
      <w:r w:rsidR="0033412F">
        <w:t>".</w:t>
      </w:r>
    </w:p>
    <w:p w:rsidR="00E37B88" w:rsidRPr="00E37B88" w:rsidRDefault="00E37B88" w:rsidP="00E37B88">
      <w:pPr>
        <w:pStyle w:val="SingleTxtGR"/>
      </w:pPr>
      <w:r w:rsidRPr="00E37B88">
        <w:t>3.</w:t>
      </w:r>
      <w:r w:rsidRPr="00E37B88">
        <w:tab/>
        <w:t>Событи</w:t>
      </w:r>
      <w:r w:rsidR="003509B8">
        <w:t>я</w:t>
      </w:r>
      <w:r w:rsidRPr="00E37B88">
        <w:t>, влекущие международную ответственность государства в да</w:t>
      </w:r>
      <w:r w:rsidRPr="00E37B88">
        <w:t>н</w:t>
      </w:r>
      <w:r w:rsidRPr="00E37B88">
        <w:t>ном случае, носят иной характер и тем самым представляют собой отдельные нарушения Пакта, которые должны иметь прямое отношение к предоставля</w:t>
      </w:r>
      <w:r w:rsidRPr="00E37B88">
        <w:t>е</w:t>
      </w:r>
      <w:r w:rsidRPr="00E37B88">
        <w:t>мому возмещению.</w:t>
      </w:r>
    </w:p>
    <w:p w:rsidR="00E37B88" w:rsidRPr="00E37B88" w:rsidRDefault="00E37B88" w:rsidP="00E37B88">
      <w:pPr>
        <w:pStyle w:val="SingleTxtGR"/>
      </w:pPr>
      <w:r w:rsidRPr="00E37B88">
        <w:t>4.</w:t>
      </w:r>
      <w:r w:rsidRPr="00E37B88">
        <w:tab/>
        <w:t>Комитет установил, что были нарушены права, закрепленные в статье 21 (пункты 9.4</w:t>
      </w:r>
      <w:r w:rsidR="001A397B">
        <w:rPr>
          <w:lang w:val="en-US"/>
        </w:rPr>
        <w:t>−</w:t>
      </w:r>
      <w:r w:rsidRPr="00E37B88">
        <w:t>9.8 его Соображений). Однако ему следовало бы также констат</w:t>
      </w:r>
      <w:r w:rsidRPr="00E37B88">
        <w:t>и</w:t>
      </w:r>
      <w:r w:rsidRPr="00E37B88">
        <w:t>ровать, что государство нарушило свои обязательства по пункту 2 статьи 2 (в</w:t>
      </w:r>
      <w:r w:rsidR="001A397B">
        <w:rPr>
          <w:lang w:val="en-US"/>
        </w:rPr>
        <w:t> </w:t>
      </w:r>
      <w:r w:rsidRPr="00E37B88">
        <w:t>совокупности со статьями 19 и 21 в данном случае)</w:t>
      </w:r>
      <w:r w:rsidR="0033412F">
        <w:t>,</w:t>
      </w:r>
      <w:r w:rsidRPr="00E37B88">
        <w:t xml:space="preserve"> когда Гомельский и</w:t>
      </w:r>
      <w:r w:rsidRPr="00E37B88">
        <w:t>с</w:t>
      </w:r>
      <w:r w:rsidRPr="00E37B88">
        <w:t>полнительный комитет принял решение № 299, которое требует от организат</w:t>
      </w:r>
      <w:r w:rsidRPr="00E37B88">
        <w:t>о</w:t>
      </w:r>
      <w:r w:rsidR="003509B8">
        <w:t>ров мероприятия заключать</w:t>
      </w:r>
      <w:r w:rsidRPr="00E37B88">
        <w:t xml:space="preserve"> за свой собственный сч</w:t>
      </w:r>
      <w:r w:rsidR="003509B8">
        <w:t>ет</w:t>
      </w:r>
      <w:r w:rsidRPr="00E37B88">
        <w:t xml:space="preserve"> договоры с соответс</w:t>
      </w:r>
      <w:r w:rsidRPr="00E37B88">
        <w:t>т</w:t>
      </w:r>
      <w:r w:rsidRPr="00E37B88">
        <w:t>вующими управлениями внутренних дел (для обеспечения защиты обществе</w:t>
      </w:r>
      <w:r w:rsidRPr="00E37B88">
        <w:t>н</w:t>
      </w:r>
      <w:r w:rsidRPr="00E37B88">
        <w:t>ного порядка), с медицинскими учреждения</w:t>
      </w:r>
      <w:r w:rsidR="0033412F">
        <w:t>ми</w:t>
      </w:r>
      <w:r w:rsidRPr="00E37B88">
        <w:t xml:space="preserve"> (для предоставления медици</w:t>
      </w:r>
      <w:r w:rsidRPr="00E37B88">
        <w:t>н</w:t>
      </w:r>
      <w:r w:rsidRPr="00E37B88">
        <w:t>ской помощи) и с уборочными предприятиям (для обеспечения очистки терр</w:t>
      </w:r>
      <w:r w:rsidRPr="00E37B88">
        <w:t>и</w:t>
      </w:r>
      <w:r w:rsidRPr="00E37B88">
        <w:t>тории после с</w:t>
      </w:r>
      <w:r w:rsidRPr="00E37B88">
        <w:t>о</w:t>
      </w:r>
      <w:r w:rsidRPr="00E37B88">
        <w:t>брания).</w:t>
      </w:r>
    </w:p>
    <w:p w:rsidR="00E37B88" w:rsidRPr="00E37B88" w:rsidRDefault="00E37B88" w:rsidP="00E37B88">
      <w:pPr>
        <w:pStyle w:val="SingleTxtGR"/>
      </w:pPr>
      <w:r w:rsidRPr="00E37B88">
        <w:t>5.</w:t>
      </w:r>
      <w:r w:rsidRPr="00E37B88">
        <w:tab/>
        <w:t>Поведением, которое повлекло за собой международную ответственность государства, является принятие решения № 299, которое явно несовместимо с общим обязательством, изложенными в пункт</w:t>
      </w:r>
      <w:r w:rsidR="0033412F">
        <w:t>е</w:t>
      </w:r>
      <w:r w:rsidRPr="00E37B88">
        <w:t xml:space="preserve"> 2 статьи 2. В той мере, в какой это решение было осуществлено в отношении авторов с целью помешать им в проведении мероприятия, где они могли бы выразить свои мнения, Комитету следовало бы констатировать нарушение пункта 2 статьи 2 в сочетании со статьями 19 и 21 Пакта в настоящем случае.</w:t>
      </w:r>
    </w:p>
    <w:p w:rsidR="00746DA0" w:rsidRPr="001A397B" w:rsidRDefault="00E37B88" w:rsidP="00E37B88">
      <w:pPr>
        <w:pStyle w:val="SingleTxtGR"/>
      </w:pPr>
      <w:r w:rsidRPr="00E37B88">
        <w:rPr>
          <w:lang w:val="en-GB"/>
        </w:rPr>
        <w:t>6.</w:t>
      </w:r>
      <w:r w:rsidRPr="00F43EC3">
        <w:tab/>
      </w:r>
      <w:r w:rsidRPr="001A397B">
        <w:t>Соответственно, вместо того чтобы заявлять в общем плане</w:t>
      </w:r>
      <w:r w:rsidR="00A6393E">
        <w:t>,</w:t>
      </w:r>
      <w:r w:rsidRPr="001A397B">
        <w:t xml:space="preserve"> что госуда</w:t>
      </w:r>
      <w:r w:rsidRPr="001A397B">
        <w:t>р</w:t>
      </w:r>
      <w:r w:rsidRPr="001A397B">
        <w:t>ству "следует пересмотреть свое законодательство" (пункт 11 Соображений), Комитету было бы уместнее четко указать, что государству следует отменить законодательство, которое несовместимо с Пактом (как Закон о массовых мер</w:t>
      </w:r>
      <w:r w:rsidRPr="001A397B">
        <w:t>о</w:t>
      </w:r>
      <w:r w:rsidRPr="001A397B">
        <w:t>приятиям, так и решение № 299 Гомельского исполнительного комитета) и обеспечить, чтобы положения, которые заменят эти инструменты, были в по</w:t>
      </w:r>
      <w:r w:rsidRPr="001A397B">
        <w:t>л</w:t>
      </w:r>
      <w:r w:rsidRPr="001A397B">
        <w:t>ной мере совместимы с правами, изложенными в Пакте.</w:t>
      </w:r>
    </w:p>
    <w:p w:rsidR="00E37B88" w:rsidRPr="00F43EC3" w:rsidRDefault="00F43EC3" w:rsidP="00F43EC3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E37B88" w:rsidRPr="00F43EC3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1CC" w:rsidRDefault="009D61CC">
      <w:r>
        <w:rPr>
          <w:lang w:val="en-US"/>
        </w:rPr>
        <w:tab/>
      </w:r>
      <w:r>
        <w:separator/>
      </w:r>
    </w:p>
  </w:endnote>
  <w:endnote w:type="continuationSeparator" w:id="0">
    <w:p w:rsidR="009D61CC" w:rsidRDefault="009D6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BE4" w:rsidRPr="00531E9A" w:rsidRDefault="009C4BE4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6546">
      <w:rPr>
        <w:rStyle w:val="PageNumber"/>
        <w:noProof/>
      </w:rPr>
      <w:t>14</w:t>
    </w:r>
    <w:r>
      <w:rPr>
        <w:rStyle w:val="PageNumber"/>
      </w:rPr>
      <w:fldChar w:fldCharType="end"/>
    </w:r>
    <w:r>
      <w:rPr>
        <w:lang w:val="en-US"/>
      </w:rPr>
      <w:tab/>
      <w:t>GE.1</w:t>
    </w:r>
    <w:r>
      <w:rPr>
        <w:lang w:val="ru-RU"/>
      </w:rPr>
      <w:t>4</w:t>
    </w:r>
    <w:r>
      <w:rPr>
        <w:lang w:val="en-US"/>
      </w:rPr>
      <w:t>-</w:t>
    </w:r>
    <w:r>
      <w:rPr>
        <w:lang w:val="ru-RU"/>
      </w:rPr>
      <w:t>17558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BE4" w:rsidRPr="005F0588" w:rsidRDefault="009C4BE4">
    <w:pPr>
      <w:pStyle w:val="Footer"/>
      <w:rPr>
        <w:lang w:val="en-US"/>
      </w:rPr>
    </w:pPr>
    <w:r>
      <w:rPr>
        <w:lang w:val="en-US"/>
      </w:rPr>
      <w:t>GE.1</w:t>
    </w:r>
    <w:r>
      <w:rPr>
        <w:lang w:val="ru-RU"/>
      </w:rPr>
      <w:t>4</w:t>
    </w:r>
    <w:r>
      <w:rPr>
        <w:lang w:val="en-US"/>
      </w:rPr>
      <w:t>-</w:t>
    </w:r>
    <w:r>
      <w:rPr>
        <w:lang w:val="ru-RU"/>
      </w:rPr>
      <w:t>17558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6546"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BE4" w:rsidRDefault="009C4BE4" w:rsidP="00381289">
    <w:pPr>
      <w:spacing w:line="240" w:lineRule="auto"/>
      <w:rPr>
        <w:sz w:val="2"/>
        <w:szCs w:val="2"/>
        <w:lang w:val="en-US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9C4BE4" w:rsidTr="00347E0F">
      <w:trPr>
        <w:trHeight w:val="438"/>
      </w:trPr>
      <w:tc>
        <w:tcPr>
          <w:tcW w:w="4068" w:type="dxa"/>
          <w:vAlign w:val="bottom"/>
        </w:tcPr>
        <w:p w:rsidR="009C4BE4" w:rsidRPr="00F95E37" w:rsidRDefault="009C4BE4" w:rsidP="00347E0F">
          <w:r>
            <w:rPr>
              <w:lang w:val="en-US"/>
            </w:rPr>
            <w:t>GE.14-</w:t>
          </w:r>
          <w:r>
            <w:t>17558</w:t>
          </w:r>
          <w:r>
            <w:rPr>
              <w:lang w:val="en-US"/>
            </w:rPr>
            <w:t xml:space="preserve">  (R)</w:t>
          </w:r>
          <w:r w:rsidR="00E76546">
            <w:t xml:space="preserve">  201014  22</w:t>
          </w:r>
          <w:r>
            <w:t>1014</w:t>
          </w:r>
        </w:p>
      </w:tc>
      <w:tc>
        <w:tcPr>
          <w:tcW w:w="4663" w:type="dxa"/>
          <w:vMerge w:val="restart"/>
          <w:vAlign w:val="bottom"/>
        </w:tcPr>
        <w:p w:rsidR="009C4BE4" w:rsidRDefault="009C4BE4" w:rsidP="00347E0F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9C4BE4" w:rsidRDefault="009C4BE4" w:rsidP="00347E0F">
          <w:pPr>
            <w:jc w:val="right"/>
          </w:pPr>
          <w:r>
            <w:pict>
              <v:shape id="_x0000_i1027" type="#_x0000_t75" style="width:50.25pt;height:50.25pt">
                <v:imagedata r:id="rId2" o:title="2010&amp;Size=2&amp;Lang=R"/>
              </v:shape>
            </w:pict>
          </w:r>
        </w:p>
      </w:tc>
    </w:tr>
    <w:tr w:rsidR="009C4BE4" w:rsidRPr="00797A78" w:rsidTr="00347E0F">
      <w:tc>
        <w:tcPr>
          <w:tcW w:w="4068" w:type="dxa"/>
          <w:vAlign w:val="bottom"/>
        </w:tcPr>
        <w:p w:rsidR="009C4BE4" w:rsidRPr="00596643" w:rsidRDefault="009C4BE4" w:rsidP="00347E0F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59664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9664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9664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59664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9664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59664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59664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59664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59664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9C4BE4" w:rsidRDefault="009C4BE4" w:rsidP="00347E0F"/>
      </w:tc>
      <w:tc>
        <w:tcPr>
          <w:tcW w:w="1124" w:type="dxa"/>
          <w:vMerge/>
        </w:tcPr>
        <w:p w:rsidR="009C4BE4" w:rsidRDefault="009C4BE4" w:rsidP="00347E0F"/>
      </w:tc>
    </w:tr>
  </w:tbl>
  <w:p w:rsidR="009C4BE4" w:rsidRPr="002D7E3C" w:rsidRDefault="009C4BE4" w:rsidP="006E7AF7">
    <w:pPr>
      <w:pStyle w:val="Footer"/>
      <w:rPr>
        <w:sz w:val="2"/>
        <w:szCs w:val="2"/>
      </w:rPr>
    </w:pPr>
    <w:r w:rsidRPr="002D7E3C">
      <w:rPr>
        <w:noProof/>
        <w:sz w:val="2"/>
        <w:szCs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0pt;margin-top:-193.15pt;width:36pt;height:162.95pt;z-index:1;mso-position-horizontal-relative:text;mso-position-vertical-relative:text" filled="f" stroked="f">
          <v:textbox style="layout-flow:vertical" inset="0,0,0,0">
            <w:txbxContent>
              <w:p w:rsidR="009C4BE4" w:rsidRDefault="009C4BE4" w:rsidP="006E7AF7">
                <w:pPr>
                  <w:rPr>
                    <w:lang w:val="en-US"/>
                  </w:rPr>
                </w:pPr>
              </w:p>
              <w:p w:rsidR="009C4BE4" w:rsidRDefault="009C4BE4" w:rsidP="006E7AF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E76546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1CC" w:rsidRPr="00F71F63" w:rsidRDefault="009D61CC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9D61CC" w:rsidRPr="00F71F63" w:rsidRDefault="009D61CC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9D61CC" w:rsidRPr="00635E86" w:rsidRDefault="009D61CC" w:rsidP="00635E86">
      <w:pPr>
        <w:pStyle w:val="Footer"/>
      </w:pPr>
    </w:p>
  </w:footnote>
  <w:footnote w:id="1">
    <w:p w:rsidR="009C4BE4" w:rsidRPr="0003081B" w:rsidRDefault="009C4BE4" w:rsidP="00FB4D86">
      <w:pPr>
        <w:pStyle w:val="FootnoteText"/>
        <w:rPr>
          <w:lang w:val="ru-RU"/>
        </w:rPr>
      </w:pPr>
      <w:r>
        <w:tab/>
      </w:r>
      <w:r w:rsidRPr="00FB4D86">
        <w:rPr>
          <w:rStyle w:val="FootnoteReference"/>
          <w:sz w:val="20"/>
          <w:vertAlign w:val="baseline"/>
        </w:rPr>
        <w:t>*</w:t>
      </w:r>
      <w:r w:rsidRPr="00FB4D86">
        <w:tab/>
        <w:t>В рассмотрении настоящего сообщения принимали участие следующие члены Комитета:</w:t>
      </w:r>
      <w:r>
        <w:rPr>
          <w:lang w:val="ru-RU"/>
        </w:rPr>
        <w:t xml:space="preserve"> </w:t>
      </w:r>
      <w:r w:rsidRPr="007D29BA">
        <w:rPr>
          <w:lang w:val="ru-RU"/>
        </w:rPr>
        <w:t>Яд Бен Ашур, Лазхари Бузид, Константин Вардзелашвили, Марго Ватервал, Андрей Паул Злэтеску, Аня Зайберт-Фор, Юдзи Ивасава, Вальтер Келин, Зонке Занеле Майодина, Джеральд Л. Ньюман, сэр Найджел Родли, Виктор Мануэль Родригес-Ресия, Фабиан Омар Сальвиоли, Дируджлалл Б. Ситулсингх, Ахмад Амин Фатхалла, Корнелис Флинтерман и Юваль Шани.</w:t>
      </w:r>
    </w:p>
    <w:p w:rsidR="009C4BE4" w:rsidRPr="00FB4D86" w:rsidRDefault="009C4BE4" w:rsidP="00FB4D86">
      <w:pPr>
        <w:pStyle w:val="FootnoteText"/>
      </w:pPr>
      <w:r w:rsidRPr="00FB4D86">
        <w:tab/>
      </w:r>
      <w:r w:rsidRPr="00FB4D86">
        <w:tab/>
        <w:t xml:space="preserve">К настоящим Соображениям приобщаются тексты совместных мнений членов Комитета </w:t>
      </w:r>
      <w:r w:rsidRPr="001F7BE2">
        <w:rPr>
          <w:lang w:val="ru-RU"/>
        </w:rPr>
        <w:t>Константина Вардзелашвили, Ани Зайберт-Фор, Юдзи Ивасавы, Джеральда Л. Ньюмана, Виктора Мануэля Родригеса-Ресии и Фабиана Омара Сальвиоли.</w:t>
      </w:r>
    </w:p>
  </w:footnote>
  <w:footnote w:id="2">
    <w:p w:rsidR="009C4BE4" w:rsidRDefault="009C4BE4" w:rsidP="00E260C3">
      <w:pPr>
        <w:pStyle w:val="FootnoteText"/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ab/>
      </w:r>
      <w:r w:rsidRPr="00D75F55">
        <w:rPr>
          <w:lang w:val="ru-RU"/>
        </w:rPr>
        <w:t>Факультативный протокол вступил в силу для государства-участника 30 декабря 1992</w:t>
      </w:r>
      <w:r>
        <w:rPr>
          <w:lang w:val="en-US"/>
        </w:rPr>
        <w:t> </w:t>
      </w:r>
      <w:r w:rsidRPr="00D75F55">
        <w:rPr>
          <w:lang w:val="ru-RU"/>
        </w:rPr>
        <w:t>года.</w:t>
      </w:r>
    </w:p>
  </w:footnote>
  <w:footnote w:id="3">
    <w:p w:rsidR="009C4BE4" w:rsidRDefault="009C4BE4" w:rsidP="00E37B88">
      <w:pPr>
        <w:pStyle w:val="FootnoteText"/>
      </w:pPr>
      <w:r>
        <w:rPr>
          <w:szCs w:val="18"/>
          <w:lang w:val="ru-RU"/>
        </w:rPr>
        <w:tab/>
      </w:r>
      <w:r w:rsidRPr="008A4D35">
        <w:rPr>
          <w:rStyle w:val="FootnoteReference"/>
          <w:szCs w:val="18"/>
          <w:lang w:val="ru-RU"/>
        </w:rPr>
        <w:footnoteRef/>
      </w:r>
      <w:r>
        <w:rPr>
          <w:szCs w:val="18"/>
          <w:lang w:val="ru-RU"/>
        </w:rPr>
        <w:tab/>
      </w:r>
      <w:r w:rsidRPr="008A4D35">
        <w:rPr>
          <w:szCs w:val="18"/>
          <w:lang w:val="ru-RU"/>
        </w:rPr>
        <w:t>Государство-участник пояснило, что в основе этого требования лежит статья 2 Факультативного протокола к Пакту.</w:t>
      </w:r>
    </w:p>
  </w:footnote>
  <w:footnote w:id="4">
    <w:p w:rsidR="009C4BE4" w:rsidRDefault="009C4BE4" w:rsidP="00E37B88">
      <w:pPr>
        <w:pStyle w:val="FootnoteText"/>
      </w:pPr>
      <w:r>
        <w:rPr>
          <w:lang w:val="ru-RU"/>
        </w:rPr>
        <w:tab/>
      </w:r>
      <w:r w:rsidRPr="00B44CD7">
        <w:rPr>
          <w:rStyle w:val="FootnoteReference"/>
          <w:lang w:val="ru-RU"/>
        </w:rPr>
        <w:footnoteRef/>
      </w:r>
      <w:r>
        <w:rPr>
          <w:lang w:val="ru-RU"/>
        </w:rPr>
        <w:tab/>
        <w:t xml:space="preserve">См. среди прочего сообщение № 869/1999, </w:t>
      </w:r>
      <w:r w:rsidRPr="00A36AC1">
        <w:rPr>
          <w:i/>
          <w:lang w:val="ru-RU"/>
        </w:rPr>
        <w:t>Пьяндьонг и др. против Филиппин</w:t>
      </w:r>
      <w:r>
        <w:rPr>
          <w:lang w:val="ru-RU"/>
        </w:rPr>
        <w:t>, Соображения, принятые 19 октября 2000 года, пункт 5.1.</w:t>
      </w:r>
    </w:p>
  </w:footnote>
  <w:footnote w:id="5">
    <w:p w:rsidR="009C4BE4" w:rsidRDefault="009C4BE4" w:rsidP="00022CF9">
      <w:pPr>
        <w:pStyle w:val="FootnoteText"/>
      </w:pPr>
      <w:r>
        <w:rPr>
          <w:lang w:val="ru-RU"/>
        </w:rPr>
        <w:tab/>
      </w:r>
      <w:r w:rsidRPr="00B44CD7">
        <w:rPr>
          <w:rStyle w:val="FootnoteReference"/>
          <w:lang w:val="ru-RU"/>
        </w:rPr>
        <w:footnoteRef/>
      </w:r>
      <w:r>
        <w:rPr>
          <w:lang w:val="ru-RU"/>
        </w:rPr>
        <w:tab/>
      </w:r>
      <w:r w:rsidRPr="00B44CD7">
        <w:rPr>
          <w:lang w:val="ru-RU"/>
        </w:rPr>
        <w:t xml:space="preserve">См., например, сообщение № 1226/2003, </w:t>
      </w:r>
      <w:r w:rsidRPr="00A36AC1">
        <w:rPr>
          <w:i/>
          <w:lang w:val="ru-RU"/>
        </w:rPr>
        <w:t>Корнеенко против Беларуси</w:t>
      </w:r>
      <w:r w:rsidRPr="00B44CD7">
        <w:rPr>
          <w:lang w:val="ru-RU"/>
        </w:rPr>
        <w:t>, Соображения, принятые 20 и</w:t>
      </w:r>
      <w:r>
        <w:rPr>
          <w:lang w:val="ru-RU"/>
        </w:rPr>
        <w:t>юля 2012 года, пункты 8.1 и 8.2; и</w:t>
      </w:r>
      <w:r w:rsidRPr="00B44CD7">
        <w:rPr>
          <w:lang w:val="ru-RU"/>
        </w:rPr>
        <w:t xml:space="preserve"> № 1948/2010, </w:t>
      </w:r>
      <w:r w:rsidRPr="00A36AC1">
        <w:rPr>
          <w:i/>
          <w:lang w:val="ru-RU"/>
        </w:rPr>
        <w:t>Турченяк и др. против Беларуси</w:t>
      </w:r>
      <w:r w:rsidRPr="00B44CD7">
        <w:rPr>
          <w:lang w:val="ru-RU"/>
        </w:rPr>
        <w:t xml:space="preserve">, Соображения, принятые 24 июля 2013 года, пункты 5.1 и 5.2. </w:t>
      </w:r>
    </w:p>
  </w:footnote>
  <w:footnote w:id="6">
    <w:p w:rsidR="009C4BE4" w:rsidRDefault="009C4BE4" w:rsidP="00E37B88">
      <w:pPr>
        <w:pStyle w:val="FootnoteText"/>
        <w:jc w:val="both"/>
      </w:pPr>
      <w:r>
        <w:rPr>
          <w:lang w:val="ru-RU"/>
        </w:rPr>
        <w:tab/>
      </w:r>
      <w:r w:rsidRPr="00964867">
        <w:rPr>
          <w:rStyle w:val="FootnoteReference"/>
          <w:lang w:val="ru-RU"/>
        </w:rPr>
        <w:footnoteRef/>
      </w:r>
      <w:r>
        <w:rPr>
          <w:lang w:val="ru-RU"/>
        </w:rPr>
        <w:tab/>
      </w:r>
      <w:r w:rsidRPr="007B3302">
        <w:rPr>
          <w:lang w:val="ru-RU"/>
        </w:rPr>
        <w:t xml:space="preserve">См. например, сообщения № 1785/2008, </w:t>
      </w:r>
      <w:r w:rsidRPr="00A36AC1">
        <w:rPr>
          <w:i/>
          <w:lang w:val="ru-RU"/>
        </w:rPr>
        <w:t>Олешкевич против Беларуси</w:t>
      </w:r>
      <w:r w:rsidRPr="007B3302">
        <w:rPr>
          <w:lang w:val="ru-RU"/>
        </w:rPr>
        <w:t xml:space="preserve">, Соображения, принятые 18 марта 2013 года, пункт 7.3; № 1784/2008, </w:t>
      </w:r>
      <w:r w:rsidRPr="00A36AC1">
        <w:rPr>
          <w:i/>
          <w:lang w:val="ru-RU"/>
        </w:rPr>
        <w:t>Шумилин против Беларуси</w:t>
      </w:r>
      <w:r w:rsidRPr="007B3302">
        <w:rPr>
          <w:lang w:val="ru-RU"/>
        </w:rPr>
        <w:t xml:space="preserve">, Соображения, принятые 23 июля 2012 года, пункт 8.3; № 1841/2008, </w:t>
      </w:r>
      <w:r w:rsidRPr="00A36AC1">
        <w:rPr>
          <w:i/>
          <w:lang w:val="ru-RU"/>
        </w:rPr>
        <w:t>П.Л. против Беларуси</w:t>
      </w:r>
      <w:r>
        <w:rPr>
          <w:lang w:val="ru-RU"/>
        </w:rPr>
        <w:t>, решение от</w:t>
      </w:r>
      <w:r w:rsidRPr="007B3302">
        <w:rPr>
          <w:lang w:val="ru-RU"/>
        </w:rPr>
        <w:t xml:space="preserve"> 26 июля 2011 года, пункт 6.2; № 1839/2008, </w:t>
      </w:r>
      <w:r w:rsidRPr="00A36AC1">
        <w:rPr>
          <w:i/>
          <w:lang w:val="ru-RU"/>
        </w:rPr>
        <w:t>Комаровский против Беларуси</w:t>
      </w:r>
      <w:r w:rsidRPr="007B3302">
        <w:rPr>
          <w:lang w:val="ru-RU"/>
        </w:rPr>
        <w:t xml:space="preserve">, </w:t>
      </w:r>
      <w:r>
        <w:rPr>
          <w:lang w:val="ru-RU"/>
        </w:rPr>
        <w:t>Соображения, принятые 25 октября</w:t>
      </w:r>
      <w:r w:rsidRPr="007B3302">
        <w:rPr>
          <w:lang w:val="ru-RU"/>
        </w:rPr>
        <w:t xml:space="preserve"> 2013</w:t>
      </w:r>
      <w:r>
        <w:rPr>
          <w:lang w:val="ru-RU"/>
        </w:rPr>
        <w:t xml:space="preserve"> года</w:t>
      </w:r>
      <w:r w:rsidRPr="007B3302">
        <w:rPr>
          <w:lang w:val="ru-RU"/>
        </w:rPr>
        <w:t xml:space="preserve">, </w:t>
      </w:r>
      <w:r>
        <w:rPr>
          <w:lang w:val="ru-RU"/>
        </w:rPr>
        <w:t>пункт</w:t>
      </w:r>
      <w:r w:rsidRPr="007B3302">
        <w:rPr>
          <w:lang w:val="ru-RU"/>
        </w:rPr>
        <w:t xml:space="preserve"> 8.3; и № 1903/2009, </w:t>
      </w:r>
      <w:r w:rsidRPr="00A36AC1">
        <w:rPr>
          <w:i/>
          <w:lang w:val="ru-RU"/>
        </w:rPr>
        <w:t>Юбко против Беларуси</w:t>
      </w:r>
      <w:r w:rsidRPr="007B3302">
        <w:rPr>
          <w:lang w:val="ru-RU"/>
        </w:rPr>
        <w:t>, Соображения, принятые 17 марта 2014 года, пункт 8.3.</w:t>
      </w:r>
    </w:p>
  </w:footnote>
  <w:footnote w:id="7">
    <w:p w:rsidR="009C4BE4" w:rsidRDefault="009C4BE4" w:rsidP="00E37B88">
      <w:pPr>
        <w:pStyle w:val="FootnoteText"/>
        <w:jc w:val="both"/>
      </w:pPr>
      <w:r>
        <w:rPr>
          <w:lang w:val="ru-RU"/>
        </w:rPr>
        <w:tab/>
      </w:r>
      <w:r w:rsidRPr="0059677E">
        <w:rPr>
          <w:rStyle w:val="FootnoteReference"/>
          <w:szCs w:val="18"/>
          <w:lang w:val="ru-RU"/>
        </w:rPr>
        <w:footnoteRef/>
      </w:r>
      <w:r>
        <w:rPr>
          <w:lang w:val="ru-RU"/>
        </w:rPr>
        <w:tab/>
      </w:r>
      <w:r w:rsidRPr="0059677E">
        <w:rPr>
          <w:lang w:val="ru-RU"/>
        </w:rPr>
        <w:t xml:space="preserve">См. сообщения № 2202/2012, </w:t>
      </w:r>
      <w:r w:rsidRPr="00C606FA">
        <w:rPr>
          <w:i/>
          <w:lang w:val="ru-RU"/>
        </w:rPr>
        <w:t>Кастаньеда против Мексики</w:t>
      </w:r>
      <w:r w:rsidRPr="0059677E">
        <w:rPr>
          <w:lang w:val="ru-RU"/>
        </w:rPr>
        <w:t>, решение, принятое 29</w:t>
      </w:r>
      <w:r>
        <w:rPr>
          <w:lang w:val="en-US"/>
        </w:rPr>
        <w:t> </w:t>
      </w:r>
      <w:r w:rsidRPr="0059677E">
        <w:rPr>
          <w:lang w:val="ru-RU"/>
        </w:rPr>
        <w:t xml:space="preserve">августа 2013 года, пункт 6.8, 1834/2008, </w:t>
      </w:r>
      <w:r w:rsidRPr="00C606FA">
        <w:rPr>
          <w:i/>
          <w:lang w:val="ru-RU"/>
        </w:rPr>
        <w:t>А.П. против Украины</w:t>
      </w:r>
      <w:r w:rsidRPr="0059677E">
        <w:rPr>
          <w:lang w:val="ru-RU"/>
        </w:rPr>
        <w:t xml:space="preserve">, решение, принятое 23 июля 2012 года, пункт 8.5; и № 1887/2009, </w:t>
      </w:r>
      <w:r w:rsidRPr="00C606FA">
        <w:rPr>
          <w:i/>
          <w:lang w:val="ru-RU"/>
        </w:rPr>
        <w:t>Хуан Пейрано Бассо против Уругвая</w:t>
      </w:r>
      <w:r w:rsidRPr="0059677E">
        <w:rPr>
          <w:lang w:val="ru-RU"/>
        </w:rPr>
        <w:t>, Соображения, принятые 19 октября 2010 года, пункт 9.4.</w:t>
      </w:r>
    </w:p>
  </w:footnote>
  <w:footnote w:id="8">
    <w:p w:rsidR="009C4BE4" w:rsidRDefault="009C4BE4" w:rsidP="00E37B88">
      <w:pPr>
        <w:pStyle w:val="FootnoteText"/>
      </w:pPr>
      <w:r>
        <w:rPr>
          <w:lang w:val="ru-RU"/>
        </w:rPr>
        <w:tab/>
      </w:r>
      <w:r w:rsidRPr="003733DF">
        <w:rPr>
          <w:rStyle w:val="FootnoteReference"/>
          <w:lang w:val="ru-RU"/>
        </w:rPr>
        <w:footnoteRef/>
      </w:r>
      <w:r>
        <w:rPr>
          <w:lang w:val="ru-RU"/>
        </w:rPr>
        <w:tab/>
        <w:t xml:space="preserve">См сообщения № 780/1997, </w:t>
      </w:r>
      <w:r w:rsidRPr="005E4CEC">
        <w:rPr>
          <w:i/>
          <w:lang w:val="ru-RU"/>
        </w:rPr>
        <w:t>Лапцевич против Беларуси</w:t>
      </w:r>
      <w:r>
        <w:rPr>
          <w:lang w:val="ru-RU"/>
        </w:rPr>
        <w:t xml:space="preserve">, Соображения, принятые 20 марта 2000 года, пункт 8.1; и № 1808/2008, </w:t>
      </w:r>
      <w:r w:rsidRPr="005E4CEC">
        <w:rPr>
          <w:i/>
          <w:lang w:val="ru-RU"/>
        </w:rPr>
        <w:t>Коваленко против Беларуси</w:t>
      </w:r>
      <w:r>
        <w:rPr>
          <w:lang w:val="ru-RU"/>
        </w:rPr>
        <w:t>, Соображения, принятые 17 июля 2013 года, пункт 8.3.</w:t>
      </w:r>
    </w:p>
  </w:footnote>
  <w:footnote w:id="9">
    <w:p w:rsidR="009C4BE4" w:rsidRDefault="009C4BE4" w:rsidP="00E37B88">
      <w:pPr>
        <w:pStyle w:val="FootnoteText"/>
      </w:pPr>
      <w:r>
        <w:rPr>
          <w:lang w:val="ru-RU"/>
        </w:rPr>
        <w:tab/>
      </w:r>
      <w:r w:rsidRPr="003733DF">
        <w:rPr>
          <w:rStyle w:val="FootnoteReference"/>
          <w:lang w:val="ru-RU"/>
        </w:rPr>
        <w:footnoteRef/>
      </w:r>
      <w:r>
        <w:rPr>
          <w:lang w:val="ru-RU"/>
        </w:rPr>
        <w:tab/>
      </w:r>
      <w:r w:rsidRPr="003733DF">
        <w:rPr>
          <w:lang w:val="ru-RU"/>
        </w:rPr>
        <w:t>См. Комитет по правам человека, замечание общего порядка № 34 (2011) по пункту 2 статьи 19 о свободе мнений и их выражения.</w:t>
      </w:r>
    </w:p>
  </w:footnote>
  <w:footnote w:id="10">
    <w:p w:rsidR="009C4BE4" w:rsidRDefault="009C4BE4" w:rsidP="00E37B88">
      <w:pPr>
        <w:pStyle w:val="FootnoteText"/>
      </w:pPr>
      <w:r>
        <w:rPr>
          <w:lang w:val="ru-RU"/>
        </w:rPr>
        <w:tab/>
      </w:r>
      <w:r w:rsidRPr="003733DF">
        <w:rPr>
          <w:rStyle w:val="FootnoteReference"/>
          <w:lang w:val="ru-RU"/>
        </w:rPr>
        <w:footnoteRef/>
      </w:r>
      <w:r>
        <w:rPr>
          <w:lang w:val="ru-RU"/>
        </w:rPr>
        <w:tab/>
        <w:t>Там же, пункт 22.</w:t>
      </w:r>
    </w:p>
  </w:footnote>
  <w:footnote w:id="11">
    <w:p w:rsidR="009C4BE4" w:rsidRDefault="009C4BE4" w:rsidP="00E37B88">
      <w:pPr>
        <w:pStyle w:val="FootnoteText"/>
      </w:pPr>
      <w:r>
        <w:rPr>
          <w:lang w:val="ru-RU"/>
        </w:rPr>
        <w:tab/>
      </w:r>
      <w:r w:rsidRPr="003733DF">
        <w:rPr>
          <w:rStyle w:val="FootnoteReference"/>
          <w:lang w:val="ru-RU"/>
        </w:rPr>
        <w:footnoteRef/>
      </w:r>
      <w:r>
        <w:rPr>
          <w:lang w:val="ru-RU"/>
        </w:rPr>
        <w:tab/>
      </w:r>
      <w:r w:rsidRPr="003733DF">
        <w:rPr>
          <w:lang w:val="ru-RU"/>
        </w:rPr>
        <w:t xml:space="preserve">См. среди прочего сообщения № 1772/2008, </w:t>
      </w:r>
      <w:r w:rsidRPr="005E4CEC">
        <w:rPr>
          <w:i/>
          <w:lang w:val="ru-RU"/>
        </w:rPr>
        <w:t>Белязек против Беларуси</w:t>
      </w:r>
      <w:r w:rsidRPr="003733DF">
        <w:rPr>
          <w:lang w:val="ru-RU"/>
        </w:rPr>
        <w:t xml:space="preserve"> (Соображения, принятые 23 марта 2012 года, пункт 11.7; и № 1604/2007, </w:t>
      </w:r>
      <w:r w:rsidRPr="005E4CEC">
        <w:rPr>
          <w:i/>
          <w:lang w:val="ru-RU"/>
        </w:rPr>
        <w:t>Залеская против Беларуси</w:t>
      </w:r>
      <w:r w:rsidRPr="003733DF">
        <w:rPr>
          <w:lang w:val="ru-RU"/>
        </w:rPr>
        <w:t>, Соображения, принятые 28 марта 2011 года, пункт 10.6.</w:t>
      </w:r>
    </w:p>
  </w:footnote>
  <w:footnote w:id="12">
    <w:p w:rsidR="009C4BE4" w:rsidRDefault="009C4BE4" w:rsidP="00E37B88">
      <w:pPr>
        <w:pStyle w:val="FootnoteText"/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ab/>
      </w:r>
      <w:r>
        <w:rPr>
          <w:color w:val="000000"/>
          <w:szCs w:val="18"/>
          <w:lang w:val="ru-RU"/>
        </w:rPr>
        <w:t xml:space="preserve">См. например, сообщения № 2008/1851, </w:t>
      </w:r>
      <w:r w:rsidRPr="005E4CEC">
        <w:rPr>
          <w:i/>
          <w:color w:val="000000"/>
          <w:szCs w:val="18"/>
          <w:lang w:val="ru-RU"/>
        </w:rPr>
        <w:t>Владимир Секерко против Беларуси</w:t>
      </w:r>
      <w:r>
        <w:rPr>
          <w:color w:val="000000"/>
          <w:szCs w:val="18"/>
          <w:lang w:val="ru-RU"/>
        </w:rPr>
        <w:t xml:space="preserve">, Соображения, принятые 28 октября 2013 года, пункт 11; № 1948/2010, </w:t>
      </w:r>
      <w:r w:rsidRPr="005E4CEC">
        <w:rPr>
          <w:i/>
          <w:color w:val="000000"/>
          <w:szCs w:val="18"/>
          <w:lang w:val="ru-RU"/>
        </w:rPr>
        <w:t>Турченяк и др. против Беларуси</w:t>
      </w:r>
      <w:r>
        <w:rPr>
          <w:color w:val="000000"/>
          <w:szCs w:val="18"/>
          <w:lang w:val="ru-RU"/>
        </w:rPr>
        <w:t xml:space="preserve">, Соображения, принятые 23 июля 2013 года, пункт 9; и № 1790/2008, </w:t>
      </w:r>
      <w:r w:rsidRPr="000E37BF">
        <w:rPr>
          <w:i/>
          <w:color w:val="000000"/>
          <w:szCs w:val="18"/>
          <w:lang w:val="ru-RU"/>
        </w:rPr>
        <w:t>Сергей Говша, Виктор Сирица и Виктор Мезяк против Беларуси</w:t>
      </w:r>
      <w:r>
        <w:rPr>
          <w:color w:val="000000"/>
          <w:szCs w:val="18"/>
          <w:lang w:val="ru-RU"/>
        </w:rPr>
        <w:t xml:space="preserve">, Соображения, принятые 27 июля 2012 года, пункт 11. </w:t>
      </w:r>
    </w:p>
  </w:footnote>
  <w:footnote w:id="13">
    <w:p w:rsidR="009C4BE4" w:rsidRDefault="009C4BE4" w:rsidP="00E37B88">
      <w:pPr>
        <w:pStyle w:val="FootnoteText"/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ab/>
      </w:r>
      <w:r w:rsidRPr="004B12F4">
        <w:rPr>
          <w:lang w:val="ru-RU"/>
        </w:rPr>
        <w:t>Комитет далее отмечает, что возражени</w:t>
      </w:r>
      <w:r>
        <w:rPr>
          <w:lang w:val="ru-RU"/>
        </w:rPr>
        <w:t>е</w:t>
      </w:r>
      <w:r w:rsidRPr="004B12F4">
        <w:rPr>
          <w:lang w:val="ru-RU"/>
        </w:rPr>
        <w:t xml:space="preserve"> авторов против Закона государства-участника о массовых мероприятиях не был</w:t>
      </w:r>
      <w:r>
        <w:rPr>
          <w:lang w:val="ru-RU"/>
        </w:rPr>
        <w:t>о</w:t>
      </w:r>
      <w:r w:rsidRPr="004B12F4">
        <w:rPr>
          <w:lang w:val="ru-RU"/>
        </w:rPr>
        <w:t xml:space="preserve"> бы сопряжено с нарушением, отличным от нарушений статей 19 и 21, которые Комитет констатирует в пунктах 9.6 и 9.8 своих Заключений. </w:t>
      </w:r>
    </w:p>
  </w:footnote>
  <w:footnote w:id="14">
    <w:p w:rsidR="009C4BE4" w:rsidRDefault="009C4BE4" w:rsidP="00022CF9">
      <w:pPr>
        <w:pStyle w:val="FootnoteText"/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ab/>
      </w:r>
      <w:r w:rsidRPr="0059677E">
        <w:rPr>
          <w:lang w:val="ru-RU"/>
        </w:rPr>
        <w:t xml:space="preserve">См. сообщения № 2202/2012, </w:t>
      </w:r>
      <w:r w:rsidRPr="00C370EE">
        <w:rPr>
          <w:i/>
          <w:lang w:val="ru-RU"/>
        </w:rPr>
        <w:t>Родригес Кастаньеда против Мексики</w:t>
      </w:r>
      <w:r w:rsidRPr="0059677E">
        <w:rPr>
          <w:lang w:val="ru-RU"/>
        </w:rPr>
        <w:t xml:space="preserve">, Соображения, принятые 18 июля 2013 года, пункт 6.8, 1834/2008, </w:t>
      </w:r>
      <w:r w:rsidRPr="00C370EE">
        <w:rPr>
          <w:i/>
          <w:lang w:val="ru-RU"/>
        </w:rPr>
        <w:t>А.П. против Украины</w:t>
      </w:r>
      <w:r w:rsidRPr="0059677E">
        <w:rPr>
          <w:lang w:val="ru-RU"/>
        </w:rPr>
        <w:t xml:space="preserve">, решение, принятое 23 июля 2012 года, пункт 8.5; и № 1887/2009, </w:t>
      </w:r>
      <w:r w:rsidRPr="00C370EE">
        <w:rPr>
          <w:i/>
          <w:lang w:val="ru-RU"/>
        </w:rPr>
        <w:t>Пейрано Бассо против Уругвая</w:t>
      </w:r>
      <w:r w:rsidRPr="0059677E">
        <w:rPr>
          <w:lang w:val="ru-RU"/>
        </w:rPr>
        <w:t>, Соображения, принятые 19 октября 2010 года, пункт 9</w:t>
      </w:r>
      <w:r>
        <w:rPr>
          <w:lang w:val="ru-RU"/>
        </w:rPr>
        <w:t>.</w:t>
      </w:r>
      <w:r w:rsidRPr="0059677E">
        <w:rPr>
          <w:lang w:val="ru-RU"/>
        </w:rPr>
        <w:t>4; ср. сообщение</w:t>
      </w:r>
      <w:r>
        <w:rPr>
          <w:lang w:val="ru-RU"/>
        </w:rPr>
        <w:t> </w:t>
      </w:r>
      <w:r w:rsidRPr="0059677E">
        <w:rPr>
          <w:lang w:val="ru-RU"/>
        </w:rPr>
        <w:t>№</w:t>
      </w:r>
      <w:r>
        <w:rPr>
          <w:lang w:val="ru-RU"/>
        </w:rPr>
        <w:t> </w:t>
      </w:r>
      <w:r w:rsidRPr="0059677E">
        <w:rPr>
          <w:lang w:val="ru-RU"/>
        </w:rPr>
        <w:t xml:space="preserve">1874/2009, </w:t>
      </w:r>
      <w:r w:rsidRPr="00C370EE">
        <w:rPr>
          <w:i/>
          <w:lang w:val="ru-RU"/>
        </w:rPr>
        <w:t>Михуби против Алжира</w:t>
      </w:r>
      <w:r w:rsidRPr="0059677E">
        <w:rPr>
          <w:lang w:val="ru-RU"/>
        </w:rPr>
        <w:t>, Соображения, принятые 18 октября 2013 года (совпадающее и особое мнение).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BE4" w:rsidRPr="00531E9A" w:rsidRDefault="009C4BE4" w:rsidP="00531E9A">
    <w:pPr>
      <w:pStyle w:val="Header"/>
    </w:pPr>
    <w:r>
      <w:t>CCPR/C/111/D/1976/2010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BE4" w:rsidRPr="005F0588" w:rsidRDefault="009C4BE4">
    <w:pPr>
      <w:pStyle w:val="Header"/>
      <w:rPr>
        <w:lang w:val="en-US"/>
      </w:rPr>
    </w:pPr>
    <w:r>
      <w:rPr>
        <w:lang w:val="en-US"/>
      </w:rPr>
      <w:tab/>
    </w:r>
    <w:r>
      <w:t>CCPR/C/111/D/1976/2010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9B5"/>
    <w:rsid w:val="000033D8"/>
    <w:rsid w:val="00005C1C"/>
    <w:rsid w:val="00016553"/>
    <w:rsid w:val="00022CF9"/>
    <w:rsid w:val="000233B3"/>
    <w:rsid w:val="00023E9E"/>
    <w:rsid w:val="00026B0C"/>
    <w:rsid w:val="0003081B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E37BF"/>
    <w:rsid w:val="000F410F"/>
    <w:rsid w:val="00117AEE"/>
    <w:rsid w:val="001463F7"/>
    <w:rsid w:val="0015769C"/>
    <w:rsid w:val="001755A4"/>
    <w:rsid w:val="00180752"/>
    <w:rsid w:val="00182887"/>
    <w:rsid w:val="00185076"/>
    <w:rsid w:val="0018543C"/>
    <w:rsid w:val="00187C6D"/>
    <w:rsid w:val="00190231"/>
    <w:rsid w:val="00192ABD"/>
    <w:rsid w:val="001A397B"/>
    <w:rsid w:val="001A75D5"/>
    <w:rsid w:val="001A7D40"/>
    <w:rsid w:val="001D07F7"/>
    <w:rsid w:val="001D7B8F"/>
    <w:rsid w:val="001E48EE"/>
    <w:rsid w:val="001F2D04"/>
    <w:rsid w:val="001F7BE2"/>
    <w:rsid w:val="0020059C"/>
    <w:rsid w:val="002019BD"/>
    <w:rsid w:val="00212EF4"/>
    <w:rsid w:val="00232D42"/>
    <w:rsid w:val="00237334"/>
    <w:rsid w:val="002444F4"/>
    <w:rsid w:val="002629A0"/>
    <w:rsid w:val="0028492B"/>
    <w:rsid w:val="00291C8F"/>
    <w:rsid w:val="002B7E3D"/>
    <w:rsid w:val="002C5036"/>
    <w:rsid w:val="002C6A71"/>
    <w:rsid w:val="002C6D5F"/>
    <w:rsid w:val="002D15EA"/>
    <w:rsid w:val="002D6C07"/>
    <w:rsid w:val="002E0CE6"/>
    <w:rsid w:val="002E1163"/>
    <w:rsid w:val="002E43F3"/>
    <w:rsid w:val="003032E2"/>
    <w:rsid w:val="003215F5"/>
    <w:rsid w:val="00332891"/>
    <w:rsid w:val="0033412F"/>
    <w:rsid w:val="003421C3"/>
    <w:rsid w:val="00347E0F"/>
    <w:rsid w:val="003509B8"/>
    <w:rsid w:val="00356BB2"/>
    <w:rsid w:val="00360477"/>
    <w:rsid w:val="00367FC9"/>
    <w:rsid w:val="003711A1"/>
    <w:rsid w:val="00371AB1"/>
    <w:rsid w:val="00372123"/>
    <w:rsid w:val="00381289"/>
    <w:rsid w:val="00386581"/>
    <w:rsid w:val="00387100"/>
    <w:rsid w:val="003951D3"/>
    <w:rsid w:val="003978C6"/>
    <w:rsid w:val="003B3114"/>
    <w:rsid w:val="003B40A9"/>
    <w:rsid w:val="003C016E"/>
    <w:rsid w:val="003D5EBD"/>
    <w:rsid w:val="00401CE0"/>
    <w:rsid w:val="00403234"/>
    <w:rsid w:val="00407AC3"/>
    <w:rsid w:val="00414586"/>
    <w:rsid w:val="00415059"/>
    <w:rsid w:val="00415F5D"/>
    <w:rsid w:val="00424FDD"/>
    <w:rsid w:val="0043033D"/>
    <w:rsid w:val="00435FE4"/>
    <w:rsid w:val="004572E6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178"/>
    <w:rsid w:val="004C43EC"/>
    <w:rsid w:val="004E6729"/>
    <w:rsid w:val="004F0E47"/>
    <w:rsid w:val="0051339C"/>
    <w:rsid w:val="0051412F"/>
    <w:rsid w:val="00522B6F"/>
    <w:rsid w:val="0052430E"/>
    <w:rsid w:val="005276AD"/>
    <w:rsid w:val="00531E9A"/>
    <w:rsid w:val="00534E6D"/>
    <w:rsid w:val="00540A9A"/>
    <w:rsid w:val="00543522"/>
    <w:rsid w:val="00545680"/>
    <w:rsid w:val="0056618E"/>
    <w:rsid w:val="00576F59"/>
    <w:rsid w:val="00577A34"/>
    <w:rsid w:val="00580AAD"/>
    <w:rsid w:val="00593A04"/>
    <w:rsid w:val="00596643"/>
    <w:rsid w:val="005A6D5A"/>
    <w:rsid w:val="005B1B28"/>
    <w:rsid w:val="005B7D51"/>
    <w:rsid w:val="005B7F35"/>
    <w:rsid w:val="005C2081"/>
    <w:rsid w:val="005C678A"/>
    <w:rsid w:val="005D346D"/>
    <w:rsid w:val="005E4CEC"/>
    <w:rsid w:val="005E74AB"/>
    <w:rsid w:val="00606A3E"/>
    <w:rsid w:val="00611264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59B5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3933"/>
    <w:rsid w:val="006D5E4E"/>
    <w:rsid w:val="006E6860"/>
    <w:rsid w:val="006E7183"/>
    <w:rsid w:val="006E7AF7"/>
    <w:rsid w:val="006F5FBF"/>
    <w:rsid w:val="0070327E"/>
    <w:rsid w:val="00707B5F"/>
    <w:rsid w:val="00735602"/>
    <w:rsid w:val="00746DA0"/>
    <w:rsid w:val="0075279B"/>
    <w:rsid w:val="00753748"/>
    <w:rsid w:val="00762446"/>
    <w:rsid w:val="00781ACB"/>
    <w:rsid w:val="007A79EB"/>
    <w:rsid w:val="007D29BA"/>
    <w:rsid w:val="007D4CA0"/>
    <w:rsid w:val="007D7A23"/>
    <w:rsid w:val="007E0C40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6B0F"/>
    <w:rsid w:val="00887A27"/>
    <w:rsid w:val="00891C08"/>
    <w:rsid w:val="00893B6B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469F6"/>
    <w:rsid w:val="00955022"/>
    <w:rsid w:val="00957B4D"/>
    <w:rsid w:val="00964EEA"/>
    <w:rsid w:val="00980C86"/>
    <w:rsid w:val="009B1D9B"/>
    <w:rsid w:val="009B4074"/>
    <w:rsid w:val="009C30BB"/>
    <w:rsid w:val="009C4BE4"/>
    <w:rsid w:val="009C60BE"/>
    <w:rsid w:val="009D61CC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25844"/>
    <w:rsid w:val="00A36AC1"/>
    <w:rsid w:val="00A4025D"/>
    <w:rsid w:val="00A6393E"/>
    <w:rsid w:val="00A800D1"/>
    <w:rsid w:val="00A92699"/>
    <w:rsid w:val="00A94573"/>
    <w:rsid w:val="00AB1695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3587F"/>
    <w:rsid w:val="00B81305"/>
    <w:rsid w:val="00BB17DC"/>
    <w:rsid w:val="00BB1AF9"/>
    <w:rsid w:val="00BB4C4A"/>
    <w:rsid w:val="00BC7F12"/>
    <w:rsid w:val="00BD3CAE"/>
    <w:rsid w:val="00BD5F3C"/>
    <w:rsid w:val="00BF0792"/>
    <w:rsid w:val="00C07C0F"/>
    <w:rsid w:val="00C145C4"/>
    <w:rsid w:val="00C20D28"/>
    <w:rsid w:val="00C20D2F"/>
    <w:rsid w:val="00C2131B"/>
    <w:rsid w:val="00C370EE"/>
    <w:rsid w:val="00C37AF8"/>
    <w:rsid w:val="00C37C79"/>
    <w:rsid w:val="00C41BBC"/>
    <w:rsid w:val="00C51419"/>
    <w:rsid w:val="00C54056"/>
    <w:rsid w:val="00C606FA"/>
    <w:rsid w:val="00C64D1D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1AF6"/>
    <w:rsid w:val="00D26B13"/>
    <w:rsid w:val="00D26CC1"/>
    <w:rsid w:val="00D30662"/>
    <w:rsid w:val="00D32A0B"/>
    <w:rsid w:val="00D4651C"/>
    <w:rsid w:val="00D47252"/>
    <w:rsid w:val="00D6236B"/>
    <w:rsid w:val="00D76358"/>
    <w:rsid w:val="00D809D1"/>
    <w:rsid w:val="00D84ECF"/>
    <w:rsid w:val="00DA2851"/>
    <w:rsid w:val="00DA2B7C"/>
    <w:rsid w:val="00DA5686"/>
    <w:rsid w:val="00DB227F"/>
    <w:rsid w:val="00DB2FC0"/>
    <w:rsid w:val="00DF18FA"/>
    <w:rsid w:val="00DF49CA"/>
    <w:rsid w:val="00DF775B"/>
    <w:rsid w:val="00E007F3"/>
    <w:rsid w:val="00E00DEA"/>
    <w:rsid w:val="00E06EF0"/>
    <w:rsid w:val="00E11679"/>
    <w:rsid w:val="00E260C3"/>
    <w:rsid w:val="00E307D1"/>
    <w:rsid w:val="00E37B88"/>
    <w:rsid w:val="00E46A04"/>
    <w:rsid w:val="00E57B64"/>
    <w:rsid w:val="00E717F3"/>
    <w:rsid w:val="00E72C5E"/>
    <w:rsid w:val="00E73451"/>
    <w:rsid w:val="00E7489F"/>
    <w:rsid w:val="00E75147"/>
    <w:rsid w:val="00E76546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43EC3"/>
    <w:rsid w:val="00F52A0E"/>
    <w:rsid w:val="00F71F63"/>
    <w:rsid w:val="00F87506"/>
    <w:rsid w:val="00F92C41"/>
    <w:rsid w:val="00FA5522"/>
    <w:rsid w:val="00FA6E4A"/>
    <w:rsid w:val="00FB2B35"/>
    <w:rsid w:val="00FB4D86"/>
    <w:rsid w:val="00FC4AE1"/>
    <w:rsid w:val="00FD78A3"/>
    <w:rsid w:val="00FF6C8A"/>
    <w:rsid w:val="00FF6D71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TxtG">
    <w:name w:val="_ Single Txt_G"/>
    <w:basedOn w:val="Normal"/>
    <w:link w:val="SingleTxtGChar"/>
    <w:rsid w:val="00746DA0"/>
    <w:pPr>
      <w:suppressAutoHyphens/>
      <w:spacing w:after="120"/>
      <w:ind w:left="1134" w:right="1134"/>
      <w:jc w:val="both"/>
    </w:pPr>
    <w:rPr>
      <w:spacing w:val="0"/>
      <w:w w:val="100"/>
      <w:kern w:val="0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character" w:customStyle="1" w:styleId="SingleTxtGChar">
    <w:name w:val="_ Single Txt_G Char"/>
    <w:link w:val="SingleTxtG"/>
    <w:locked/>
    <w:rsid w:val="00746DA0"/>
    <w:rPr>
      <w:lang w:val="ru-RU" w:eastAsia="en-US" w:bidi="ar-SA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</Template>
  <TotalTime>0</TotalTime>
  <Pages>1</Pages>
  <Words>5250</Words>
  <Characters>29925</Characters>
  <Application>Microsoft Office Outlook</Application>
  <DocSecurity>4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35105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Ольга Новикова</dc:creator>
  <cp:keywords/>
  <dc:description/>
  <cp:lastModifiedBy>Ольга Новикова</cp:lastModifiedBy>
  <cp:revision>3</cp:revision>
  <cp:lastPrinted>2014-10-22T09:22:00Z</cp:lastPrinted>
  <dcterms:created xsi:type="dcterms:W3CDTF">2014-10-22T09:22:00Z</dcterms:created>
  <dcterms:modified xsi:type="dcterms:W3CDTF">2014-10-22T09:32:00Z</dcterms:modified>
</cp:coreProperties>
</file>