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F94A04" w:rsidRDefault="006B3E27" w:rsidP="00E70E04">
            <w:pPr>
              <w:jc w:val="center"/>
              <w:rPr>
                <w:sz w:val="56"/>
                <w:szCs w:val="56"/>
              </w:rPr>
            </w:pPr>
            <w:bookmarkStart w:id="0" w:name="_GoBack"/>
            <w:bookmarkEnd w:id="0"/>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3008A3" w:rsidP="008D3DC8">
            <w:pPr>
              <w:bidi w:val="0"/>
              <w:spacing w:after="20"/>
              <w:jc w:val="left"/>
              <w:rPr>
                <w:szCs w:val="20"/>
              </w:rPr>
            </w:pPr>
            <w:r w:rsidRPr="003008A3">
              <w:rPr>
                <w:sz w:val="40"/>
                <w:szCs w:val="20"/>
              </w:rPr>
              <w:t>CCPR</w:t>
            </w:r>
            <w:r>
              <w:rPr>
                <w:szCs w:val="20"/>
              </w:rPr>
              <w:t>/C/117/D/2082/2011</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30734D10" wp14:editId="526039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8D3DC8" w:rsidP="008D3DC8">
            <w:pPr>
              <w:bidi w:val="0"/>
              <w:spacing w:before="240"/>
              <w:jc w:val="left"/>
              <w:rPr>
                <w:szCs w:val="20"/>
              </w:rPr>
            </w:pPr>
            <w:r>
              <w:rPr>
                <w:szCs w:val="20"/>
              </w:rPr>
              <w:t>Distr.: General</w:t>
            </w:r>
          </w:p>
          <w:p w:rsidR="008D3DC8" w:rsidRDefault="008D3DC8" w:rsidP="008D3DC8">
            <w:pPr>
              <w:bidi w:val="0"/>
              <w:jc w:val="left"/>
              <w:rPr>
                <w:szCs w:val="20"/>
              </w:rPr>
            </w:pPr>
            <w:r>
              <w:rPr>
                <w:szCs w:val="20"/>
              </w:rPr>
              <w:t>9 September 2016</w:t>
            </w:r>
          </w:p>
          <w:p w:rsidR="008D3DC8" w:rsidRDefault="008D3DC8" w:rsidP="008D3DC8">
            <w:pPr>
              <w:bidi w:val="0"/>
              <w:jc w:val="left"/>
              <w:rPr>
                <w:szCs w:val="20"/>
              </w:rPr>
            </w:pPr>
            <w:r>
              <w:rPr>
                <w:szCs w:val="20"/>
              </w:rPr>
              <w:t>Arabic</w:t>
            </w:r>
          </w:p>
          <w:p w:rsidR="008D3DC8" w:rsidRPr="00CB6622" w:rsidRDefault="008D3DC8" w:rsidP="008D3DC8">
            <w:pPr>
              <w:bidi w:val="0"/>
              <w:jc w:val="left"/>
              <w:rPr>
                <w:szCs w:val="20"/>
              </w:rPr>
            </w:pPr>
            <w:r>
              <w:rPr>
                <w:szCs w:val="20"/>
              </w:rPr>
              <w:t>Original: English</w:t>
            </w:r>
          </w:p>
        </w:tc>
      </w:tr>
    </w:tbl>
    <w:p w:rsidR="008D3DC8" w:rsidRPr="002706A2" w:rsidRDefault="008D3DC8" w:rsidP="00FB67A1">
      <w:pPr>
        <w:spacing w:before="120" w:line="380" w:lineRule="exact"/>
        <w:rPr>
          <w:b/>
          <w:bCs/>
          <w:sz w:val="26"/>
          <w:szCs w:val="36"/>
          <w:rtl/>
        </w:rPr>
      </w:pPr>
      <w:r w:rsidRPr="002706A2">
        <w:rPr>
          <w:rFonts w:hint="cs"/>
          <w:b/>
          <w:bCs/>
          <w:sz w:val="26"/>
          <w:szCs w:val="36"/>
          <w:rtl/>
        </w:rPr>
        <w:t>اللجنة المعنية بحقوق الإنسان</w:t>
      </w:r>
    </w:p>
    <w:p w:rsidR="008D3DC8" w:rsidRDefault="008D3DC8" w:rsidP="00726C7A">
      <w:pPr>
        <w:pStyle w:val="HChGA"/>
        <w:rPr>
          <w:rtl/>
        </w:rPr>
      </w:pPr>
      <w:r>
        <w:rPr>
          <w:rFonts w:hint="cs"/>
          <w:rtl/>
        </w:rPr>
        <w:tab/>
      </w:r>
      <w:r>
        <w:rPr>
          <w:rFonts w:hint="cs"/>
          <w:rtl/>
        </w:rPr>
        <w:tab/>
      </w:r>
      <w:r w:rsidRPr="00914615">
        <w:rPr>
          <w:rFonts w:hint="cs"/>
          <w:rtl/>
        </w:rPr>
        <w:t xml:space="preserve">الآراء التي اعتمدتها اللجنة </w:t>
      </w:r>
      <w:r w:rsidR="009862AE">
        <w:rPr>
          <w:rFonts w:hint="cs"/>
          <w:rtl/>
        </w:rPr>
        <w:t>بموجب المادة 5</w:t>
      </w:r>
      <w:r>
        <w:rPr>
          <w:rFonts w:hint="cs"/>
          <w:rtl/>
        </w:rPr>
        <w:t>(4) من البروتوكول الاختياري، بشأن البلاغ رقم 2082/2011</w:t>
      </w:r>
      <w:r w:rsidR="00035E59" w:rsidRPr="00FB67A1">
        <w:rPr>
          <w:rStyle w:val="FootnoteReference"/>
          <w:bCs w:val="0"/>
          <w:vertAlign w:val="baseline"/>
          <w:rtl/>
        </w:rPr>
        <w:footnoteReference w:customMarkFollows="1" w:id="1"/>
        <w:t>*</w:t>
      </w:r>
      <w:r w:rsidRPr="00FB67A1">
        <w:rPr>
          <w:rStyle w:val="FootnoteReference"/>
          <w:rFonts w:hint="cs"/>
          <w:bCs w:val="0"/>
          <w:sz w:val="20"/>
          <w:vertAlign w:val="baseline"/>
          <w:rtl/>
        </w:rPr>
        <w:t xml:space="preserve"> </w:t>
      </w:r>
      <w:r w:rsidR="00FB67A1" w:rsidRPr="00FB67A1">
        <w:rPr>
          <w:rStyle w:val="FootnoteReference"/>
          <w:bCs w:val="0"/>
          <w:sz w:val="20"/>
          <w:vertAlign w:val="baseline"/>
          <w:rtl/>
        </w:rPr>
        <w:footnoteReference w:customMarkFollows="1" w:id="2"/>
        <w:t>**</w:t>
      </w:r>
      <w:r w:rsidRPr="00FB67A1">
        <w:rPr>
          <w:rStyle w:val="FootnoteReference"/>
          <w:rFonts w:hint="cs"/>
          <w:bCs w:val="0"/>
          <w:sz w:val="20"/>
          <w:vertAlign w:val="baseline"/>
          <w:rtl/>
        </w:rPr>
        <w:t xml:space="preserve"> </w:t>
      </w:r>
    </w:p>
    <w:p w:rsidR="008D3DC8" w:rsidRPr="009862AE" w:rsidRDefault="008D3DC8" w:rsidP="00FB67A1">
      <w:pPr>
        <w:pStyle w:val="SingleTxtGA"/>
        <w:spacing w:after="80" w:line="360" w:lineRule="exact"/>
        <w:ind w:left="1170" w:firstLine="737"/>
        <w:rPr>
          <w:rtl/>
        </w:rPr>
      </w:pPr>
      <w:r w:rsidRPr="009862AE">
        <w:rPr>
          <w:rFonts w:hint="cs"/>
          <w:i/>
          <w:iCs/>
          <w:rtl/>
        </w:rPr>
        <w:t>المقدم من:</w:t>
      </w:r>
      <w:r w:rsidRPr="009862AE">
        <w:rPr>
          <w:rFonts w:hint="cs"/>
          <w:rtl/>
        </w:rPr>
        <w:tab/>
      </w:r>
      <w:r w:rsidRPr="009862AE">
        <w:rPr>
          <w:rFonts w:hint="cs"/>
          <w:rtl/>
        </w:rPr>
        <w:tab/>
      </w:r>
      <w:r w:rsidRPr="009862AE">
        <w:rPr>
          <w:rFonts w:hint="cs"/>
          <w:rtl/>
        </w:rPr>
        <w:tab/>
        <w:t xml:space="preserve">بافل </w:t>
      </w:r>
      <w:proofErr w:type="spellStart"/>
      <w:r w:rsidRPr="009862AE">
        <w:rPr>
          <w:rFonts w:hint="cs"/>
          <w:rtl/>
        </w:rPr>
        <w:t>ليفينوف</w:t>
      </w:r>
      <w:proofErr w:type="spellEnd"/>
      <w:r w:rsidRPr="009862AE">
        <w:rPr>
          <w:rFonts w:hint="cs"/>
          <w:rtl/>
        </w:rPr>
        <w:t xml:space="preserve"> (لا يمثله محام)</w:t>
      </w:r>
    </w:p>
    <w:p w:rsidR="008D3DC8" w:rsidRPr="009862AE" w:rsidRDefault="008D3DC8" w:rsidP="00FB67A1">
      <w:pPr>
        <w:pStyle w:val="SingleTxtGA"/>
        <w:spacing w:after="80" w:line="360" w:lineRule="exact"/>
        <w:ind w:left="1170" w:firstLine="737"/>
        <w:rPr>
          <w:rtl/>
        </w:rPr>
      </w:pPr>
      <w:r w:rsidRPr="009862AE">
        <w:rPr>
          <w:rFonts w:hint="cs"/>
          <w:i/>
          <w:iCs/>
          <w:rtl/>
        </w:rPr>
        <w:t>الشخص المدعى أنه ضحية:</w:t>
      </w:r>
      <w:r w:rsidRPr="009862AE">
        <w:rPr>
          <w:rFonts w:hint="cs"/>
          <w:rtl/>
        </w:rPr>
        <w:tab/>
        <w:t>صاحب البلاغ</w:t>
      </w:r>
    </w:p>
    <w:p w:rsidR="008D3DC8" w:rsidRPr="009862AE" w:rsidRDefault="008D3DC8" w:rsidP="00FB67A1">
      <w:pPr>
        <w:pStyle w:val="SingleTxtGA"/>
        <w:spacing w:after="80" w:line="360" w:lineRule="exact"/>
        <w:ind w:left="1170" w:firstLine="737"/>
        <w:rPr>
          <w:rtl/>
        </w:rPr>
      </w:pPr>
      <w:r w:rsidRPr="009862AE">
        <w:rPr>
          <w:rFonts w:hint="cs"/>
          <w:i/>
          <w:iCs/>
          <w:rtl/>
        </w:rPr>
        <w:t>الدولة الطرف:</w:t>
      </w:r>
      <w:r w:rsidRPr="009862AE">
        <w:rPr>
          <w:rFonts w:hint="cs"/>
          <w:i/>
          <w:iCs/>
          <w:rtl/>
        </w:rPr>
        <w:tab/>
      </w:r>
      <w:r w:rsidRPr="009862AE">
        <w:rPr>
          <w:rFonts w:hint="cs"/>
          <w:i/>
          <w:iCs/>
          <w:rtl/>
        </w:rPr>
        <w:tab/>
      </w:r>
      <w:r w:rsidRPr="009862AE">
        <w:rPr>
          <w:rFonts w:hint="cs"/>
          <w:i/>
          <w:iCs/>
          <w:rtl/>
        </w:rPr>
        <w:tab/>
      </w:r>
      <w:r w:rsidRPr="009862AE">
        <w:rPr>
          <w:rFonts w:hint="cs"/>
          <w:rtl/>
        </w:rPr>
        <w:t>بيلاروس</w:t>
      </w:r>
    </w:p>
    <w:p w:rsidR="008D3DC8" w:rsidRPr="009862AE" w:rsidRDefault="008D3DC8" w:rsidP="00FB67A1">
      <w:pPr>
        <w:pStyle w:val="SingleTxtGA"/>
        <w:spacing w:after="80" w:line="360" w:lineRule="exact"/>
        <w:ind w:left="4649" w:hanging="2742"/>
        <w:rPr>
          <w:rtl/>
        </w:rPr>
      </w:pPr>
      <w:r w:rsidRPr="009862AE">
        <w:rPr>
          <w:rFonts w:hint="cs"/>
          <w:i/>
          <w:iCs/>
          <w:rtl/>
        </w:rPr>
        <w:t>تاريخ تقديم البلاغ:</w:t>
      </w:r>
      <w:r w:rsidRPr="009862AE">
        <w:rPr>
          <w:rFonts w:hint="cs"/>
          <w:rtl/>
        </w:rPr>
        <w:tab/>
      </w:r>
      <w:r w:rsidRPr="009862AE">
        <w:rPr>
          <w:rtl/>
        </w:rPr>
        <w:tab/>
      </w:r>
      <w:r w:rsidRPr="009862AE">
        <w:rPr>
          <w:rFonts w:hint="cs"/>
          <w:rtl/>
        </w:rPr>
        <w:t>30 آب/أغسطس 2010 (تاريخ الرسالة الأولى)</w:t>
      </w:r>
    </w:p>
    <w:p w:rsidR="008D3DC8" w:rsidRPr="009862AE" w:rsidRDefault="008D3DC8" w:rsidP="00600318">
      <w:pPr>
        <w:pStyle w:val="SingleTxtGA"/>
        <w:spacing w:after="80" w:line="360" w:lineRule="exact"/>
        <w:ind w:left="4649" w:hanging="2742"/>
        <w:rPr>
          <w:rtl/>
        </w:rPr>
      </w:pPr>
      <w:r w:rsidRPr="009862AE">
        <w:rPr>
          <w:rFonts w:hint="cs"/>
          <w:i/>
          <w:iCs/>
          <w:rtl/>
        </w:rPr>
        <w:t>الوثائق المرجعية:</w:t>
      </w:r>
      <w:r w:rsidRPr="009862AE">
        <w:rPr>
          <w:rFonts w:hint="cs"/>
          <w:i/>
          <w:iCs/>
          <w:rtl/>
        </w:rPr>
        <w:tab/>
      </w:r>
      <w:r w:rsidRPr="009862AE">
        <w:rPr>
          <w:rFonts w:hint="cs"/>
          <w:i/>
          <w:iCs/>
          <w:rtl/>
        </w:rPr>
        <w:tab/>
      </w:r>
      <w:r w:rsidRPr="009862AE">
        <w:rPr>
          <w:rFonts w:hint="cs"/>
          <w:i/>
          <w:iCs/>
          <w:rtl/>
        </w:rPr>
        <w:tab/>
      </w:r>
      <w:r w:rsidRPr="009862AE">
        <w:rPr>
          <w:rFonts w:hint="cs"/>
          <w:rtl/>
        </w:rPr>
        <w:t>قرار المقرر الخاص بموجب المادة 97 من النظام الداخلي للجنة، المحال إلى الدولة الطرف في 10 آب/أغسطس 201</w:t>
      </w:r>
      <w:r w:rsidR="00600318">
        <w:rPr>
          <w:rFonts w:hint="cs"/>
          <w:rtl/>
        </w:rPr>
        <w:t>1</w:t>
      </w:r>
      <w:r w:rsidRPr="009862AE">
        <w:rPr>
          <w:rFonts w:hint="cs"/>
          <w:rtl/>
        </w:rPr>
        <w:t xml:space="preserve"> (لم يصدر في شكل وثيقة)</w:t>
      </w:r>
    </w:p>
    <w:p w:rsidR="008D3DC8" w:rsidRPr="009862AE" w:rsidRDefault="008D3DC8" w:rsidP="00FB67A1">
      <w:pPr>
        <w:pStyle w:val="SingleTxtGA"/>
        <w:spacing w:after="80" w:line="360" w:lineRule="exact"/>
        <w:ind w:left="1170" w:firstLine="737"/>
        <w:rPr>
          <w:rtl/>
        </w:rPr>
      </w:pPr>
      <w:r w:rsidRPr="009862AE">
        <w:rPr>
          <w:rFonts w:hint="cs"/>
          <w:i/>
          <w:iCs/>
          <w:rtl/>
        </w:rPr>
        <w:t>تاريخ اعتماد الآراء:</w:t>
      </w:r>
      <w:r w:rsidRPr="009862AE">
        <w:rPr>
          <w:rFonts w:hint="cs"/>
          <w:rtl/>
        </w:rPr>
        <w:tab/>
      </w:r>
      <w:r w:rsidRPr="009862AE">
        <w:rPr>
          <w:rFonts w:hint="cs"/>
          <w:rtl/>
        </w:rPr>
        <w:tab/>
        <w:t>14 تموز/يوليه 2016</w:t>
      </w:r>
    </w:p>
    <w:p w:rsidR="008D3DC8" w:rsidRPr="001F2593" w:rsidRDefault="008D3DC8" w:rsidP="00FB67A1">
      <w:pPr>
        <w:pStyle w:val="SingleTxtGA"/>
        <w:spacing w:after="80" w:line="360" w:lineRule="exact"/>
        <w:ind w:left="4649" w:hanging="2742"/>
        <w:rPr>
          <w:spacing w:val="-2"/>
          <w:rtl/>
        </w:rPr>
      </w:pPr>
      <w:r w:rsidRPr="001F2593">
        <w:rPr>
          <w:rFonts w:hint="cs"/>
          <w:i/>
          <w:iCs/>
          <w:spacing w:val="-2"/>
          <w:rtl/>
        </w:rPr>
        <w:t>الموضوع:</w:t>
      </w:r>
      <w:r w:rsidRPr="001F2593">
        <w:rPr>
          <w:rFonts w:hint="cs"/>
          <w:i/>
          <w:iCs/>
          <w:spacing w:val="-2"/>
          <w:rtl/>
        </w:rPr>
        <w:tab/>
      </w:r>
      <w:r w:rsidRPr="001F2593">
        <w:rPr>
          <w:rFonts w:hint="cs"/>
          <w:i/>
          <w:iCs/>
          <w:spacing w:val="-2"/>
          <w:rtl/>
        </w:rPr>
        <w:tab/>
      </w:r>
      <w:r w:rsidRPr="001F2593">
        <w:rPr>
          <w:rFonts w:hint="cs"/>
          <w:i/>
          <w:iCs/>
          <w:spacing w:val="-2"/>
          <w:rtl/>
        </w:rPr>
        <w:tab/>
      </w:r>
      <w:r w:rsidRPr="001F2593">
        <w:rPr>
          <w:rFonts w:hint="cs"/>
          <w:i/>
          <w:iCs/>
          <w:spacing w:val="-2"/>
          <w:rtl/>
        </w:rPr>
        <w:tab/>
      </w:r>
      <w:r w:rsidRPr="001F2593">
        <w:rPr>
          <w:rFonts w:hint="cs"/>
          <w:spacing w:val="-2"/>
          <w:rtl/>
        </w:rPr>
        <w:t>رفض منح إذن بتنظيم تجمع سلمي؛ وحرية التعبير؛ والمحاكمة العادلة؛ وسبيل الانتصاف الفعال</w:t>
      </w:r>
    </w:p>
    <w:p w:rsidR="008D3DC8" w:rsidRPr="009862AE" w:rsidRDefault="008D3DC8" w:rsidP="00FB67A1">
      <w:pPr>
        <w:pStyle w:val="SingleTxtGA"/>
        <w:spacing w:after="80" w:line="360" w:lineRule="exact"/>
        <w:ind w:left="4649" w:hanging="2742"/>
        <w:rPr>
          <w:rtl/>
        </w:rPr>
      </w:pPr>
      <w:r w:rsidRPr="009862AE">
        <w:rPr>
          <w:rFonts w:hint="cs"/>
          <w:i/>
          <w:iCs/>
          <w:rtl/>
        </w:rPr>
        <w:t>المسائل الإجرائية:</w:t>
      </w:r>
      <w:r w:rsidRPr="009862AE">
        <w:rPr>
          <w:rFonts w:hint="cs"/>
          <w:i/>
          <w:iCs/>
          <w:rtl/>
        </w:rPr>
        <w:tab/>
      </w:r>
      <w:r w:rsidRPr="009862AE">
        <w:rPr>
          <w:rFonts w:hint="cs"/>
          <w:i/>
          <w:iCs/>
          <w:rtl/>
        </w:rPr>
        <w:tab/>
      </w:r>
      <w:r w:rsidRPr="009862AE">
        <w:rPr>
          <w:rFonts w:hint="cs"/>
          <w:i/>
          <w:iCs/>
          <w:rtl/>
        </w:rPr>
        <w:tab/>
      </w:r>
      <w:r w:rsidRPr="009862AE">
        <w:rPr>
          <w:rFonts w:hint="cs"/>
          <w:rtl/>
        </w:rPr>
        <w:t xml:space="preserve">المقبولية من حيث </w:t>
      </w:r>
      <w:r w:rsidRPr="009862AE">
        <w:rPr>
          <w:rFonts w:hint="cs"/>
          <w:i/>
          <w:iCs/>
          <w:rtl/>
        </w:rPr>
        <w:t>الاختصاص الموضوعي</w:t>
      </w:r>
      <w:r w:rsidRPr="009862AE">
        <w:rPr>
          <w:rFonts w:hint="cs"/>
          <w:rtl/>
        </w:rPr>
        <w:t>؛ واستنفاد سبل الانتصاف المحلية</w:t>
      </w:r>
    </w:p>
    <w:p w:rsidR="008D3DC8" w:rsidRPr="009862AE" w:rsidRDefault="008D3DC8" w:rsidP="00FB67A1">
      <w:pPr>
        <w:pStyle w:val="SingleTxtGA"/>
        <w:spacing w:after="80" w:line="360" w:lineRule="exact"/>
        <w:ind w:left="4649" w:hanging="2742"/>
        <w:rPr>
          <w:rtl/>
        </w:rPr>
      </w:pPr>
      <w:r w:rsidRPr="009862AE">
        <w:rPr>
          <w:rFonts w:hint="cs"/>
          <w:i/>
          <w:iCs/>
          <w:rtl/>
        </w:rPr>
        <w:t>المسائل الموضوعية:</w:t>
      </w:r>
      <w:r w:rsidRPr="009862AE">
        <w:rPr>
          <w:rFonts w:hint="cs"/>
          <w:i/>
          <w:iCs/>
          <w:rtl/>
        </w:rPr>
        <w:tab/>
      </w:r>
      <w:r w:rsidRPr="009862AE">
        <w:rPr>
          <w:rFonts w:hint="cs"/>
          <w:i/>
          <w:iCs/>
          <w:rtl/>
        </w:rPr>
        <w:tab/>
      </w:r>
      <w:r w:rsidRPr="009862AE">
        <w:rPr>
          <w:rFonts w:hint="cs"/>
          <w:rtl/>
        </w:rPr>
        <w:t>حرية التعبير؛ وحرية التجمع</w:t>
      </w:r>
    </w:p>
    <w:p w:rsidR="008D3DC8" w:rsidRPr="009862AE" w:rsidRDefault="008D3DC8" w:rsidP="00FB67A1">
      <w:pPr>
        <w:pStyle w:val="SingleTxtGA"/>
        <w:spacing w:after="80" w:line="360" w:lineRule="exact"/>
        <w:ind w:left="1170" w:firstLine="737"/>
        <w:rPr>
          <w:rtl/>
        </w:rPr>
      </w:pPr>
      <w:r w:rsidRPr="009862AE">
        <w:rPr>
          <w:rFonts w:hint="cs"/>
          <w:i/>
          <w:iCs/>
          <w:rtl/>
        </w:rPr>
        <w:t>مواد العهد:</w:t>
      </w:r>
      <w:r w:rsidRPr="009862AE">
        <w:rPr>
          <w:rFonts w:hint="cs"/>
          <w:i/>
          <w:iCs/>
          <w:rtl/>
        </w:rPr>
        <w:tab/>
      </w:r>
      <w:r w:rsidRPr="009862AE">
        <w:rPr>
          <w:rFonts w:hint="cs"/>
          <w:i/>
          <w:iCs/>
          <w:rtl/>
        </w:rPr>
        <w:tab/>
      </w:r>
      <w:r w:rsidRPr="009862AE">
        <w:rPr>
          <w:rFonts w:hint="cs"/>
          <w:i/>
          <w:iCs/>
          <w:rtl/>
        </w:rPr>
        <w:tab/>
      </w:r>
      <w:r w:rsidRPr="009862AE">
        <w:rPr>
          <w:rFonts w:hint="cs"/>
          <w:rtl/>
        </w:rPr>
        <w:t>2(1) و5(1) و14(1) و19 و21</w:t>
      </w:r>
    </w:p>
    <w:p w:rsidR="008D3DC8" w:rsidRPr="009862AE" w:rsidRDefault="008D3DC8" w:rsidP="00FB67A1">
      <w:pPr>
        <w:pStyle w:val="SingleTxtGA"/>
        <w:spacing w:after="80" w:line="360" w:lineRule="exact"/>
        <w:ind w:left="1170" w:firstLine="737"/>
        <w:rPr>
          <w:rtl/>
        </w:rPr>
      </w:pPr>
      <w:r w:rsidRPr="009862AE">
        <w:rPr>
          <w:rFonts w:hint="cs"/>
          <w:i/>
          <w:iCs/>
          <w:rtl/>
        </w:rPr>
        <w:t>مواد البروتوكول الاختياري:</w:t>
      </w:r>
      <w:r w:rsidRPr="009862AE">
        <w:rPr>
          <w:rFonts w:hint="cs"/>
          <w:i/>
          <w:iCs/>
          <w:rtl/>
        </w:rPr>
        <w:tab/>
      </w:r>
      <w:r w:rsidRPr="009862AE">
        <w:rPr>
          <w:rFonts w:hint="cs"/>
          <w:i/>
          <w:iCs/>
          <w:rtl/>
        </w:rPr>
        <w:tab/>
      </w:r>
      <w:r w:rsidR="00FB67A1" w:rsidRPr="009862AE">
        <w:rPr>
          <w:rFonts w:hint="cs"/>
          <w:rtl/>
        </w:rPr>
        <w:t>2 و3 و5</w:t>
      </w:r>
    </w:p>
    <w:p w:rsidR="008D3DC8" w:rsidRPr="009862AE" w:rsidRDefault="008D3DC8" w:rsidP="008D3DC8">
      <w:pPr>
        <w:pStyle w:val="SingleTxtGA"/>
        <w:rPr>
          <w:rtl/>
        </w:rPr>
      </w:pPr>
      <w:r w:rsidRPr="009862AE">
        <w:rPr>
          <w:rFonts w:hint="cs"/>
          <w:rtl/>
        </w:rPr>
        <w:lastRenderedPageBreak/>
        <w:t>1-</w:t>
      </w:r>
      <w:r w:rsidRPr="009862AE">
        <w:rPr>
          <w:rFonts w:hint="cs"/>
          <w:rtl/>
        </w:rPr>
        <w:tab/>
        <w:t xml:space="preserve">صاحب البلاغ هو بافل </w:t>
      </w:r>
      <w:proofErr w:type="spellStart"/>
      <w:r w:rsidRPr="009862AE">
        <w:rPr>
          <w:rFonts w:hint="cs"/>
          <w:rtl/>
        </w:rPr>
        <w:t>ليفينوف</w:t>
      </w:r>
      <w:proofErr w:type="spellEnd"/>
      <w:r w:rsidRPr="009862AE">
        <w:rPr>
          <w:rFonts w:hint="cs"/>
          <w:rtl/>
        </w:rPr>
        <w:t>، وهو مواطن بيلاروسي وُلد في عام 1961. وهو يدعي أنه وقع ضحية انتهاك بيلاروس حقوقه المكفولة بموجب المواد 2(1) و5(1) و14(1) و19 و21 من العهد. وقد دخل البروتوكول الاختياري حيز النفاذ بالنسبة لبيلاروس في 30 كانون الأول/ديسمبر 1992. وصاحب البلاغ ليس ممثلاً بمحام.</w:t>
      </w:r>
    </w:p>
    <w:p w:rsidR="008D3DC8" w:rsidRPr="009862AE" w:rsidRDefault="008D3DC8" w:rsidP="00600318">
      <w:pPr>
        <w:pStyle w:val="H23GA"/>
        <w:rPr>
          <w:rtl/>
        </w:rPr>
      </w:pPr>
      <w:r w:rsidRPr="009862AE">
        <w:rPr>
          <w:rFonts w:hint="cs"/>
          <w:rtl/>
        </w:rPr>
        <w:tab/>
      </w:r>
      <w:r w:rsidRPr="009862AE">
        <w:rPr>
          <w:rFonts w:hint="cs"/>
          <w:rtl/>
        </w:rPr>
        <w:tab/>
        <w:t>الوقائع كما عرضها صاحب البلاغ</w:t>
      </w:r>
    </w:p>
    <w:p w:rsidR="008D3DC8" w:rsidRPr="009862AE" w:rsidRDefault="008D3DC8" w:rsidP="009862AE">
      <w:pPr>
        <w:pStyle w:val="SingleTxtGA"/>
        <w:rPr>
          <w:rtl/>
          <w:lang w:eastAsia="ar-SA"/>
        </w:rPr>
      </w:pPr>
      <w:r w:rsidRPr="009862AE">
        <w:rPr>
          <w:rFonts w:hint="cs"/>
          <w:rtl/>
          <w:lang w:eastAsia="ar-SA"/>
        </w:rPr>
        <w:t>2-1</w:t>
      </w:r>
      <w:r w:rsidRPr="009862AE">
        <w:rPr>
          <w:rFonts w:hint="cs"/>
          <w:rtl/>
          <w:lang w:eastAsia="ar-SA"/>
        </w:rPr>
        <w:tab/>
        <w:t>في 30 تشرين الثاني/نوفمبر 2009، قدم صاحب البلاغ طلباً إلى الإدارة المحلية في</w:t>
      </w:r>
      <w:r w:rsidR="009862AE" w:rsidRPr="009862AE">
        <w:rPr>
          <w:rFonts w:hint="eastAsia"/>
          <w:rtl/>
          <w:lang w:eastAsia="ar-SA"/>
        </w:rPr>
        <w:t> </w:t>
      </w:r>
      <w:proofErr w:type="spellStart"/>
      <w:r w:rsidRPr="009862AE">
        <w:rPr>
          <w:rFonts w:hint="cs"/>
          <w:rtl/>
          <w:lang w:eastAsia="ar-SA"/>
        </w:rPr>
        <w:t>زيليزنودوروزني</w:t>
      </w:r>
      <w:proofErr w:type="spellEnd"/>
      <w:r w:rsidRPr="009862AE">
        <w:rPr>
          <w:rFonts w:hint="cs"/>
          <w:rtl/>
          <w:lang w:eastAsia="ar-SA"/>
        </w:rPr>
        <w:t xml:space="preserve"> في مدينة </w:t>
      </w:r>
      <w:proofErr w:type="spellStart"/>
      <w:r w:rsidRPr="009862AE">
        <w:rPr>
          <w:rFonts w:hint="cs"/>
          <w:rtl/>
          <w:lang w:eastAsia="ar-SA"/>
        </w:rPr>
        <w:t>فيتيبسك</w:t>
      </w:r>
      <w:proofErr w:type="spellEnd"/>
      <w:r w:rsidRPr="009862AE">
        <w:rPr>
          <w:rFonts w:hint="cs"/>
          <w:rtl/>
          <w:lang w:eastAsia="ar-SA"/>
        </w:rPr>
        <w:t xml:space="preserve"> من أجل تنظيم اعتصام يوم 31 كانون الأول/</w:t>
      </w:r>
      <w:r w:rsidR="009862AE" w:rsidRPr="009862AE">
        <w:rPr>
          <w:rFonts w:hint="cs"/>
          <w:rtl/>
          <w:lang w:eastAsia="ar-SA"/>
        </w:rPr>
        <w:t xml:space="preserve"> </w:t>
      </w:r>
      <w:r w:rsidRPr="009862AE">
        <w:rPr>
          <w:rFonts w:hint="cs"/>
          <w:rtl/>
          <w:lang w:eastAsia="ar-SA"/>
        </w:rPr>
        <w:t>ديسمبر</w:t>
      </w:r>
      <w:r w:rsidR="009862AE" w:rsidRPr="009862AE">
        <w:rPr>
          <w:rFonts w:hint="eastAsia"/>
          <w:rtl/>
          <w:lang w:eastAsia="ar-SA"/>
        </w:rPr>
        <w:t> </w:t>
      </w:r>
      <w:r w:rsidRPr="009862AE">
        <w:rPr>
          <w:rFonts w:hint="cs"/>
          <w:rtl/>
          <w:lang w:eastAsia="ar-SA"/>
        </w:rPr>
        <w:t xml:space="preserve">2009. وكان الغرض من الاعتصام هو تهنئة المواطنين بمناسبة العام الجديد وعيد ميلاد المسيح. وذُكر في الطلب أن الاعتصام سيقوم به شخص واحد يظهر بلباس </w:t>
      </w:r>
      <w:r w:rsidR="009862AE" w:rsidRPr="009862AE">
        <w:rPr>
          <w:rtl/>
          <w:lang w:eastAsia="ar-SA"/>
        </w:rPr>
        <w:t>"</w:t>
      </w:r>
      <w:r w:rsidRPr="009862AE">
        <w:rPr>
          <w:rFonts w:hint="cs"/>
          <w:rtl/>
          <w:lang w:eastAsia="ar-SA"/>
        </w:rPr>
        <w:t>البابا نويل</w:t>
      </w:r>
      <w:r w:rsidR="009862AE" w:rsidRPr="009862AE">
        <w:rPr>
          <w:rtl/>
          <w:lang w:eastAsia="ar-SA"/>
        </w:rPr>
        <w:t>"</w:t>
      </w:r>
      <w:r w:rsidRPr="009862AE">
        <w:rPr>
          <w:rFonts w:hint="cs"/>
          <w:rtl/>
          <w:lang w:eastAsia="ar-SA"/>
        </w:rPr>
        <w:t>.</w:t>
      </w:r>
    </w:p>
    <w:p w:rsidR="008D3DC8" w:rsidRPr="009862AE" w:rsidRDefault="008D3DC8" w:rsidP="001E2A29">
      <w:pPr>
        <w:pStyle w:val="SingleTxtGA"/>
        <w:rPr>
          <w:rtl/>
          <w:lang w:eastAsia="ar-SA"/>
        </w:rPr>
      </w:pPr>
      <w:r w:rsidRPr="009862AE">
        <w:rPr>
          <w:rFonts w:hint="cs"/>
          <w:rtl/>
          <w:lang w:eastAsia="ar-SA"/>
        </w:rPr>
        <w:t>2-2</w:t>
      </w:r>
      <w:r w:rsidRPr="009862AE">
        <w:rPr>
          <w:rFonts w:hint="cs"/>
          <w:rtl/>
          <w:lang w:eastAsia="ar-SA"/>
        </w:rPr>
        <w:tab/>
        <w:t xml:space="preserve">وفي 3 كانون الأول/ديسمبر 2009، رفضت الإدارة المحلية طلب صاحب البلاغ للأسباب التالية: (أ) أن مكان الاعتصام ليس من الأماكن المحددة لهذا النوع الفعاليات في قرار اللجنة التنفيذية لمدينة </w:t>
      </w:r>
      <w:proofErr w:type="spellStart"/>
      <w:r w:rsidRPr="009862AE">
        <w:rPr>
          <w:rFonts w:hint="cs"/>
          <w:rtl/>
          <w:lang w:eastAsia="ar-SA"/>
        </w:rPr>
        <w:t>فيتيبسك</w:t>
      </w:r>
      <w:proofErr w:type="spellEnd"/>
      <w:r w:rsidRPr="009862AE">
        <w:rPr>
          <w:rFonts w:hint="cs"/>
          <w:rtl/>
          <w:lang w:eastAsia="ar-SA"/>
        </w:rPr>
        <w:t xml:space="preserve"> رقم 881 المؤرخ 10 تموز/يوليه 2009 بشأن التظاهرات العامة في مدينة </w:t>
      </w:r>
      <w:proofErr w:type="spellStart"/>
      <w:r w:rsidRPr="009862AE">
        <w:rPr>
          <w:rFonts w:hint="cs"/>
          <w:rtl/>
          <w:lang w:eastAsia="ar-SA"/>
        </w:rPr>
        <w:t>فيتيبسك</w:t>
      </w:r>
      <w:proofErr w:type="spellEnd"/>
      <w:r w:rsidR="001E2A29" w:rsidRPr="009862AE">
        <w:rPr>
          <w:rStyle w:val="FootnoteReference"/>
          <w:rtl/>
          <w:lang w:eastAsia="ar-SA"/>
        </w:rPr>
        <w:t>(</w:t>
      </w:r>
      <w:r w:rsidR="001E2A29" w:rsidRPr="009862AE">
        <w:rPr>
          <w:rStyle w:val="FootnoteReference"/>
          <w:rtl/>
          <w:lang w:eastAsia="ar-SA"/>
        </w:rPr>
        <w:footnoteReference w:id="3"/>
      </w:r>
      <w:r w:rsidR="001E2A29" w:rsidRPr="009862AE">
        <w:rPr>
          <w:rStyle w:val="FootnoteReference"/>
          <w:rtl/>
          <w:lang w:eastAsia="ar-SA"/>
        </w:rPr>
        <w:t>)</w:t>
      </w:r>
      <w:r w:rsidR="001E2A29" w:rsidRPr="009862AE">
        <w:rPr>
          <w:rFonts w:hint="cs"/>
          <w:rtl/>
          <w:lang w:eastAsia="ar-SA"/>
        </w:rPr>
        <w:t>،</w:t>
      </w:r>
      <w:r w:rsidRPr="009862AE">
        <w:rPr>
          <w:rFonts w:hint="cs"/>
          <w:rtl/>
          <w:lang w:eastAsia="ar-SA"/>
        </w:rPr>
        <w:t xml:space="preserve"> (ب) أن صاحب البلاغ لم يقدم عقود أبرمت مع مزودين بالخدمات في المدينة من حيث ضمان الأمن والرعاية الطبية والتنظيف أثناء الاعتصام، على النحو المطلوب بموجب القرار رقم 881.</w:t>
      </w:r>
    </w:p>
    <w:p w:rsidR="008D3DC8" w:rsidRPr="009862AE" w:rsidRDefault="008D3DC8" w:rsidP="009862AE">
      <w:pPr>
        <w:pStyle w:val="SingleTxtGA"/>
        <w:rPr>
          <w:rtl/>
          <w:lang w:eastAsia="ar-SA"/>
        </w:rPr>
      </w:pPr>
      <w:r w:rsidRPr="009862AE">
        <w:rPr>
          <w:rFonts w:hint="cs"/>
          <w:rtl/>
          <w:lang w:eastAsia="ar-SA"/>
        </w:rPr>
        <w:t>2-3</w:t>
      </w:r>
      <w:r w:rsidRPr="009862AE">
        <w:rPr>
          <w:rFonts w:hint="cs"/>
          <w:rtl/>
          <w:lang w:eastAsia="ar-SA"/>
        </w:rPr>
        <w:tab/>
        <w:t xml:space="preserve">وفي 15 كانون الأول/ديسمبر 2009، قدم صاحب البلاغ طعناً في قرار الرفض الصادر عن الإدارة المحلية إلى محكمة دائرة </w:t>
      </w:r>
      <w:proofErr w:type="spellStart"/>
      <w:r w:rsidRPr="009862AE">
        <w:rPr>
          <w:rFonts w:hint="cs"/>
          <w:rtl/>
          <w:lang w:eastAsia="ar-SA"/>
        </w:rPr>
        <w:t>زيليزنودوروزني</w:t>
      </w:r>
      <w:proofErr w:type="spellEnd"/>
      <w:r w:rsidRPr="009862AE">
        <w:rPr>
          <w:rFonts w:hint="cs"/>
          <w:rtl/>
          <w:lang w:eastAsia="ar-SA"/>
        </w:rPr>
        <w:t>. وفي</w:t>
      </w:r>
      <w:r w:rsidRPr="009862AE">
        <w:rPr>
          <w:rFonts w:hint="eastAsia"/>
          <w:rtl/>
          <w:lang w:eastAsia="ar-SA"/>
        </w:rPr>
        <w:t> </w:t>
      </w:r>
      <w:r w:rsidRPr="009862AE">
        <w:rPr>
          <w:rFonts w:hint="cs"/>
          <w:rtl/>
          <w:lang w:eastAsia="ar-SA"/>
        </w:rPr>
        <w:t>24 كانون الأول/ديسمبر 2009، رُفض هذا الطعن. وفي 3 كانون الثاني/يناير 2010، قدم صاحب البلاغ استئناف</w:t>
      </w:r>
      <w:r w:rsidR="00884D8A">
        <w:rPr>
          <w:rFonts w:hint="cs"/>
          <w:rtl/>
          <w:lang w:eastAsia="ar-SA"/>
        </w:rPr>
        <w:t xml:space="preserve">اً </w:t>
      </w:r>
      <w:r w:rsidRPr="009862AE">
        <w:rPr>
          <w:rFonts w:hint="cs"/>
          <w:rtl/>
          <w:lang w:eastAsia="ar-SA"/>
        </w:rPr>
        <w:t xml:space="preserve">بالنقض على قرار محكمة الدائرة إلى المحكمة </w:t>
      </w:r>
      <w:proofErr w:type="spellStart"/>
      <w:r w:rsidRPr="009862AE">
        <w:rPr>
          <w:rFonts w:hint="cs"/>
          <w:rtl/>
          <w:lang w:eastAsia="ar-SA"/>
        </w:rPr>
        <w:t>فيتيبسك</w:t>
      </w:r>
      <w:proofErr w:type="spellEnd"/>
      <w:r w:rsidRPr="009862AE">
        <w:rPr>
          <w:rFonts w:hint="cs"/>
          <w:rtl/>
          <w:lang w:eastAsia="ar-SA"/>
        </w:rPr>
        <w:t xml:space="preserve"> الإقليمية. وفي 15 شباط/ فبراير</w:t>
      </w:r>
      <w:r w:rsidR="009862AE" w:rsidRPr="009862AE">
        <w:rPr>
          <w:rFonts w:hint="eastAsia"/>
          <w:rtl/>
          <w:lang w:eastAsia="ar-SA"/>
        </w:rPr>
        <w:t> </w:t>
      </w:r>
      <w:r w:rsidRPr="009862AE">
        <w:rPr>
          <w:rFonts w:hint="cs"/>
          <w:rtl/>
          <w:lang w:eastAsia="ar-SA"/>
        </w:rPr>
        <w:t xml:space="preserve">2010، رفضت المحكمة الإقليمية الاستئناف بالنقض الذي قدمه صاحب البلاغ. واستأنف صاحب البلاغ من خلال إجراء المراجعة القضائية الرقابية لدى رئيس محكمة </w:t>
      </w:r>
      <w:proofErr w:type="spellStart"/>
      <w:r w:rsidRPr="009862AE">
        <w:rPr>
          <w:rFonts w:hint="cs"/>
          <w:rtl/>
          <w:lang w:eastAsia="ar-SA"/>
        </w:rPr>
        <w:t>فيتيبسك</w:t>
      </w:r>
      <w:proofErr w:type="spellEnd"/>
      <w:r w:rsidRPr="009862AE">
        <w:rPr>
          <w:rFonts w:hint="cs"/>
          <w:rtl/>
          <w:lang w:eastAsia="ar-SA"/>
        </w:rPr>
        <w:t xml:space="preserve"> الإقليمية ولدى رئيس المحكمة العليا في بيلاروس في 7 حزيران/يونيه 2010 وفي 14 تموز/يوليه 2010، على التوالي. ورُفض الاستئنافان في 1 تموز/يوليه 2010 و19 آب/أغسطس 2010، على التوالي. </w:t>
      </w:r>
    </w:p>
    <w:p w:rsidR="008D3DC8" w:rsidRPr="009862AE" w:rsidRDefault="008D3DC8" w:rsidP="008D3DC8">
      <w:pPr>
        <w:pStyle w:val="SingleTxtGA"/>
        <w:rPr>
          <w:rtl/>
          <w:lang w:eastAsia="ar-SA"/>
        </w:rPr>
      </w:pPr>
      <w:r w:rsidRPr="009862AE">
        <w:rPr>
          <w:rFonts w:hint="cs"/>
          <w:rtl/>
          <w:lang w:eastAsia="ar-SA"/>
        </w:rPr>
        <w:t>2-4</w:t>
      </w:r>
      <w:r w:rsidRPr="009862AE">
        <w:rPr>
          <w:rFonts w:hint="cs"/>
          <w:rtl/>
          <w:lang w:eastAsia="ar-SA"/>
        </w:rPr>
        <w:tab/>
        <w:t xml:space="preserve">ويدفع صاحب البلاغ أنه استنفد جميع سبل الانتصاف المحلية الفعلية والمتاحة. </w:t>
      </w:r>
    </w:p>
    <w:p w:rsidR="008D3DC8" w:rsidRPr="009862AE" w:rsidRDefault="008D3DC8" w:rsidP="008D3DC8">
      <w:pPr>
        <w:pStyle w:val="H23GA"/>
        <w:rPr>
          <w:rtl/>
        </w:rPr>
      </w:pPr>
      <w:r w:rsidRPr="009862AE">
        <w:rPr>
          <w:rFonts w:hint="cs"/>
          <w:rtl/>
        </w:rPr>
        <w:tab/>
      </w:r>
      <w:r w:rsidRPr="009862AE">
        <w:rPr>
          <w:rFonts w:hint="cs"/>
          <w:rtl/>
        </w:rPr>
        <w:tab/>
        <w:t>الشكوى</w:t>
      </w:r>
    </w:p>
    <w:p w:rsidR="008D3DC8" w:rsidRPr="009862AE" w:rsidRDefault="008D3DC8" w:rsidP="008D3DC8">
      <w:pPr>
        <w:pStyle w:val="SingleTxtGA"/>
        <w:rPr>
          <w:rtl/>
          <w:lang w:eastAsia="ar-SA"/>
        </w:rPr>
      </w:pPr>
      <w:r w:rsidRPr="009862AE">
        <w:rPr>
          <w:rFonts w:hint="cs"/>
          <w:rtl/>
          <w:lang w:eastAsia="ar-SA"/>
        </w:rPr>
        <w:t>3-1</w:t>
      </w:r>
      <w:r w:rsidRPr="009862AE">
        <w:rPr>
          <w:rFonts w:hint="cs"/>
          <w:rtl/>
          <w:lang w:eastAsia="ar-SA"/>
        </w:rPr>
        <w:tab/>
        <w:t>يجادل صاحب البلاغ بأن بيلاروس منحت الأسبقية لقوانينها الوطنية على الالتزامات الدولية بموجب العهد، وفي ذلك انتهاك للمادة 2</w:t>
      </w:r>
      <w:r w:rsidR="009862AE" w:rsidRPr="009862AE">
        <w:rPr>
          <w:rFonts w:hint="cs"/>
          <w:rtl/>
          <w:lang w:eastAsia="ar-SA"/>
        </w:rPr>
        <w:t>(</w:t>
      </w:r>
      <w:r w:rsidRPr="009862AE">
        <w:rPr>
          <w:rFonts w:hint="cs"/>
          <w:rtl/>
          <w:lang w:eastAsia="ar-SA"/>
        </w:rPr>
        <w:t>1) من العهد.</w:t>
      </w:r>
    </w:p>
    <w:p w:rsidR="008D3DC8" w:rsidRPr="009862AE" w:rsidRDefault="008D3DC8" w:rsidP="008D3DC8">
      <w:pPr>
        <w:pStyle w:val="SingleTxtGA"/>
        <w:rPr>
          <w:rtl/>
          <w:lang w:eastAsia="ar-SA"/>
        </w:rPr>
      </w:pPr>
      <w:r w:rsidRPr="009862AE">
        <w:rPr>
          <w:rFonts w:hint="cs"/>
          <w:rtl/>
          <w:lang w:eastAsia="ar-SA"/>
        </w:rPr>
        <w:lastRenderedPageBreak/>
        <w:t>3-2</w:t>
      </w:r>
      <w:r w:rsidRPr="009862AE">
        <w:rPr>
          <w:rFonts w:hint="cs"/>
          <w:rtl/>
          <w:lang w:eastAsia="ar-SA"/>
        </w:rPr>
        <w:tab/>
        <w:t>ويذكر صاحب البلاغ أن قرار الإدارة المحلية يرقى عمل يهدف إلى تقييد حرية التجمع إلى حد أبعد مما توخاه العهد ومن ثم فهو ينتهك المادة 5</w:t>
      </w:r>
      <w:r w:rsidR="009862AE" w:rsidRPr="009862AE">
        <w:rPr>
          <w:rFonts w:hint="cs"/>
          <w:rtl/>
          <w:lang w:eastAsia="ar-SA"/>
        </w:rPr>
        <w:t>(</w:t>
      </w:r>
      <w:r w:rsidRPr="009862AE">
        <w:rPr>
          <w:rFonts w:hint="cs"/>
          <w:rtl/>
          <w:lang w:eastAsia="ar-SA"/>
        </w:rPr>
        <w:t>1) من العهد.</w:t>
      </w:r>
    </w:p>
    <w:p w:rsidR="008D3DC8" w:rsidRPr="009862AE" w:rsidRDefault="008D3DC8" w:rsidP="009862AE">
      <w:pPr>
        <w:pStyle w:val="SingleTxtGA"/>
        <w:rPr>
          <w:rtl/>
        </w:rPr>
      </w:pPr>
      <w:r w:rsidRPr="009862AE">
        <w:rPr>
          <w:rFonts w:hint="cs"/>
          <w:rtl/>
          <w:lang w:eastAsia="ar-SA"/>
        </w:rPr>
        <w:t>3-3</w:t>
      </w:r>
      <w:r w:rsidRPr="009862AE">
        <w:rPr>
          <w:rtl/>
          <w:lang w:eastAsia="ar-SA"/>
        </w:rPr>
        <w:tab/>
      </w:r>
      <w:r w:rsidRPr="009862AE">
        <w:rPr>
          <w:rFonts w:hint="cs"/>
          <w:rtl/>
          <w:lang w:eastAsia="ar-SA"/>
        </w:rPr>
        <w:t xml:space="preserve">ويدعي صاحب البلاغ أن المحاكم التي راجعت قرار الإدارة المحلية </w:t>
      </w:r>
      <w:r w:rsidRPr="009862AE">
        <w:rPr>
          <w:rtl/>
        </w:rPr>
        <w:t>تصرفت على نحو يشكل انتهاكاً لالتزامات بيلاروس الدولية في مجال حقوق الإنسان وأن</w:t>
      </w:r>
      <w:r w:rsidRPr="009862AE">
        <w:rPr>
          <w:rFonts w:hint="cs"/>
          <w:rtl/>
        </w:rPr>
        <w:t>ها كانت تخضع لتأثير</w:t>
      </w:r>
      <w:r w:rsidRPr="009862AE">
        <w:rPr>
          <w:rtl/>
        </w:rPr>
        <w:t xml:space="preserve"> السلطة التنفيذية. وبالتالي فهو يدعي أن حقه في محاكمة عادلة من جانب محكمة مختصة ومستقلة ونزيهة</w:t>
      </w:r>
      <w:r w:rsidRPr="009862AE">
        <w:rPr>
          <w:rFonts w:hint="cs"/>
          <w:rtl/>
        </w:rPr>
        <w:t xml:space="preserve"> المنصوص عليه في المادة 14</w:t>
      </w:r>
      <w:r w:rsidR="009862AE" w:rsidRPr="009862AE">
        <w:rPr>
          <w:rFonts w:hint="cs"/>
          <w:rtl/>
        </w:rPr>
        <w:t>(</w:t>
      </w:r>
      <w:r w:rsidRPr="009862AE">
        <w:rPr>
          <w:rFonts w:hint="cs"/>
          <w:rtl/>
        </w:rPr>
        <w:t xml:space="preserve">1) من العهد قد انتهك. ولإسناد حجته، أشار إلى تقرير </w:t>
      </w:r>
      <w:r w:rsidRPr="009862AE">
        <w:rPr>
          <w:rtl/>
        </w:rPr>
        <w:t>المقرر الخاص المعني باستقلال القضاة والمحامين</w:t>
      </w:r>
      <w:r w:rsidRPr="009862AE">
        <w:rPr>
          <w:rFonts w:hint="cs"/>
          <w:rtl/>
        </w:rPr>
        <w:t xml:space="preserve"> المؤرخ 8 شباط/فبراير 2001</w:t>
      </w:r>
      <w:r w:rsidR="001E2A29" w:rsidRPr="009862AE">
        <w:rPr>
          <w:rStyle w:val="FootnoteReference"/>
          <w:rtl/>
        </w:rPr>
        <w:t>(</w:t>
      </w:r>
      <w:r w:rsidR="001E2A29" w:rsidRPr="009862AE">
        <w:rPr>
          <w:rStyle w:val="FootnoteReference"/>
          <w:rtl/>
        </w:rPr>
        <w:footnoteReference w:id="4"/>
      </w:r>
      <w:r w:rsidR="001E2A29" w:rsidRPr="009862AE">
        <w:rPr>
          <w:rStyle w:val="FootnoteReference"/>
          <w:rtl/>
        </w:rPr>
        <w:t>)</w:t>
      </w:r>
      <w:r w:rsidR="001E2A29" w:rsidRPr="009862AE">
        <w:rPr>
          <w:rFonts w:hint="cs"/>
          <w:rtl/>
        </w:rPr>
        <w:t>،</w:t>
      </w:r>
      <w:r w:rsidRPr="009862AE">
        <w:rPr>
          <w:rFonts w:hint="cs"/>
          <w:rtl/>
        </w:rPr>
        <w:t xml:space="preserve"> وقال إن السلطات لم تنفذ توصيات المقرر الخاص. وأشار صاحب البلاغ أيض</w:t>
      </w:r>
      <w:r w:rsidR="00884D8A">
        <w:rPr>
          <w:rFonts w:hint="cs"/>
          <w:rtl/>
        </w:rPr>
        <w:t xml:space="preserve">اً </w:t>
      </w:r>
      <w:r w:rsidRPr="009862AE">
        <w:rPr>
          <w:rFonts w:hint="cs"/>
          <w:rtl/>
        </w:rPr>
        <w:t xml:space="preserve">إلى </w:t>
      </w:r>
      <w:r w:rsidRPr="009862AE">
        <w:rPr>
          <w:rtl/>
        </w:rPr>
        <w:t>البلاغ رقم</w:t>
      </w:r>
      <w:r w:rsidR="009862AE" w:rsidRPr="009862AE">
        <w:rPr>
          <w:rFonts w:hint="cs"/>
          <w:rtl/>
        </w:rPr>
        <w:t> </w:t>
      </w:r>
      <w:r w:rsidRPr="009862AE">
        <w:rPr>
          <w:rtl/>
        </w:rPr>
        <w:t>628/1995</w:t>
      </w:r>
      <w:r w:rsidR="001E2A29" w:rsidRPr="009862AE">
        <w:rPr>
          <w:rStyle w:val="FootnoteReference"/>
          <w:rtl/>
        </w:rPr>
        <w:t>(</w:t>
      </w:r>
      <w:r w:rsidR="001E2A29" w:rsidRPr="009862AE">
        <w:rPr>
          <w:rStyle w:val="FootnoteReference"/>
          <w:rtl/>
        </w:rPr>
        <w:footnoteReference w:id="5"/>
      </w:r>
      <w:r w:rsidR="001E2A29" w:rsidRPr="009862AE">
        <w:rPr>
          <w:rStyle w:val="FootnoteReference"/>
          <w:rtl/>
        </w:rPr>
        <w:t>)</w:t>
      </w:r>
      <w:r w:rsidR="001E2A29" w:rsidRPr="009862AE">
        <w:rPr>
          <w:rFonts w:hint="cs"/>
          <w:rtl/>
        </w:rPr>
        <w:t>،</w:t>
      </w:r>
      <w:r w:rsidRPr="009862AE">
        <w:rPr>
          <w:rtl/>
        </w:rPr>
        <w:t xml:space="preserve"> الذي خلُصت فيه اللجنة إلى أن إعطاء الدولة الطرف </w:t>
      </w:r>
      <w:r w:rsidRPr="009862AE">
        <w:rPr>
          <w:rFonts w:hint="cs"/>
          <w:rtl/>
        </w:rPr>
        <w:t>الأسبقية</w:t>
      </w:r>
      <w:r w:rsidRPr="009862AE">
        <w:rPr>
          <w:rtl/>
        </w:rPr>
        <w:t xml:space="preserve"> لقانونها الوطني على التزاماتها بموجب العهد لا يتماشى مع العهد</w:t>
      </w:r>
      <w:r w:rsidRPr="009862AE">
        <w:rPr>
          <w:rFonts w:hint="cs"/>
          <w:rtl/>
        </w:rPr>
        <w:t>.</w:t>
      </w:r>
    </w:p>
    <w:p w:rsidR="008D3DC8" w:rsidRPr="009862AE" w:rsidRDefault="008D3DC8" w:rsidP="009862AE">
      <w:pPr>
        <w:pStyle w:val="SingleTxtGA"/>
        <w:rPr>
          <w:rtl/>
          <w:lang w:eastAsia="ar-SA"/>
        </w:rPr>
      </w:pPr>
      <w:r w:rsidRPr="009862AE">
        <w:rPr>
          <w:rFonts w:hint="cs"/>
          <w:rtl/>
        </w:rPr>
        <w:t>3-4</w:t>
      </w:r>
      <w:r w:rsidRPr="009862AE">
        <w:rPr>
          <w:rFonts w:hint="cs"/>
          <w:rtl/>
        </w:rPr>
        <w:tab/>
        <w:t xml:space="preserve">ويدعي </w:t>
      </w:r>
      <w:r w:rsidRPr="009862AE">
        <w:rPr>
          <w:rFonts w:hint="cs"/>
          <w:rtl/>
          <w:lang w:eastAsia="ar-SA"/>
        </w:rPr>
        <w:t>صاحب البلاغ أن حريته في التعبير قد قُيّدت، وفي ذلك انتهاك للمادة 19 من العهد. ويدعي أن هذا التقييد ليس له مبرر لأي اعتبار من الاعتبارات المذكورة في المادة</w:t>
      </w:r>
      <w:r w:rsidR="009862AE" w:rsidRPr="009862AE">
        <w:rPr>
          <w:rFonts w:hint="eastAsia"/>
          <w:rtl/>
          <w:lang w:eastAsia="ar-SA"/>
        </w:rPr>
        <w:t> </w:t>
      </w:r>
      <w:r w:rsidRPr="009862AE">
        <w:rPr>
          <w:rFonts w:hint="cs"/>
          <w:rtl/>
          <w:lang w:eastAsia="ar-SA"/>
        </w:rPr>
        <w:t>19</w:t>
      </w:r>
      <w:r w:rsidR="009862AE" w:rsidRPr="009862AE">
        <w:rPr>
          <w:rFonts w:hint="cs"/>
          <w:rtl/>
          <w:lang w:eastAsia="ar-SA"/>
        </w:rPr>
        <w:t>(</w:t>
      </w:r>
      <w:r w:rsidRPr="009862AE">
        <w:rPr>
          <w:rFonts w:hint="cs"/>
          <w:rtl/>
          <w:lang w:eastAsia="ar-SA"/>
        </w:rPr>
        <w:t>3) من العهد، أي أنه كان مخالف</w:t>
      </w:r>
      <w:r w:rsidR="00884D8A">
        <w:rPr>
          <w:rFonts w:hint="cs"/>
          <w:rtl/>
          <w:lang w:eastAsia="ar-SA"/>
        </w:rPr>
        <w:t xml:space="preserve">اً </w:t>
      </w:r>
      <w:r w:rsidRPr="009862AE">
        <w:rPr>
          <w:rFonts w:hint="cs"/>
          <w:rtl/>
          <w:lang w:eastAsia="ar-SA"/>
        </w:rPr>
        <w:t>للقانون أو أنه لم يكن ضروري</w:t>
      </w:r>
      <w:r w:rsidR="00884D8A">
        <w:rPr>
          <w:rFonts w:hint="cs"/>
          <w:rtl/>
          <w:lang w:eastAsia="ar-SA"/>
        </w:rPr>
        <w:t xml:space="preserve">اً </w:t>
      </w:r>
      <w:r w:rsidRPr="009862AE">
        <w:rPr>
          <w:rFonts w:hint="cs"/>
          <w:rtl/>
          <w:lang w:eastAsia="ar-SA"/>
        </w:rPr>
        <w:t>لحماية حقوق وحريات الآخرين، ولم يكن مبرر</w:t>
      </w:r>
      <w:r w:rsidR="00884D8A">
        <w:rPr>
          <w:rFonts w:hint="cs"/>
          <w:rtl/>
          <w:lang w:eastAsia="ar-SA"/>
        </w:rPr>
        <w:t xml:space="preserve">اً </w:t>
      </w:r>
      <w:r w:rsidRPr="009862AE">
        <w:rPr>
          <w:rFonts w:hint="cs"/>
          <w:rtl/>
          <w:lang w:eastAsia="ar-SA"/>
        </w:rPr>
        <w:t>لدواعي الأمن القومي أو السلامة العامة ولا لحماية الصحة العامة أو الأخلاق.</w:t>
      </w:r>
    </w:p>
    <w:p w:rsidR="008D3DC8" w:rsidRPr="009862AE" w:rsidRDefault="008D3DC8" w:rsidP="008D3DC8">
      <w:pPr>
        <w:pStyle w:val="SingleTxtGA"/>
        <w:rPr>
          <w:rtl/>
          <w:lang w:eastAsia="ar-SA"/>
        </w:rPr>
      </w:pPr>
      <w:r w:rsidRPr="009862AE">
        <w:rPr>
          <w:rFonts w:hint="cs"/>
          <w:rtl/>
          <w:lang w:eastAsia="ar-SA"/>
        </w:rPr>
        <w:t>3-5</w:t>
      </w:r>
      <w:r w:rsidRPr="009862AE">
        <w:rPr>
          <w:rFonts w:hint="cs"/>
          <w:rtl/>
          <w:lang w:eastAsia="ar-SA"/>
        </w:rPr>
        <w:tab/>
        <w:t xml:space="preserve">ويدعي صاحب البلاغ </w:t>
      </w:r>
      <w:r w:rsidRPr="009862AE">
        <w:rPr>
          <w:rtl/>
        </w:rPr>
        <w:t>أن حقه في التجمع السلمي قُيِّد</w:t>
      </w:r>
      <w:r w:rsidRPr="009862AE">
        <w:rPr>
          <w:rFonts w:hint="cs"/>
          <w:rtl/>
        </w:rPr>
        <w:t>،</w:t>
      </w:r>
      <w:r w:rsidRPr="009862AE">
        <w:rPr>
          <w:rtl/>
        </w:rPr>
        <w:t xml:space="preserve"> </w:t>
      </w:r>
      <w:r w:rsidRPr="009862AE">
        <w:rPr>
          <w:rFonts w:hint="cs"/>
          <w:rtl/>
        </w:rPr>
        <w:t>و</w:t>
      </w:r>
      <w:r w:rsidRPr="009862AE">
        <w:rPr>
          <w:rtl/>
        </w:rPr>
        <w:t xml:space="preserve">في </w:t>
      </w:r>
      <w:r w:rsidRPr="009862AE">
        <w:rPr>
          <w:rFonts w:hint="cs"/>
          <w:rtl/>
        </w:rPr>
        <w:t xml:space="preserve">ذلك </w:t>
      </w:r>
      <w:r w:rsidRPr="009862AE">
        <w:rPr>
          <w:rtl/>
        </w:rPr>
        <w:t xml:space="preserve">انتهاك للمادة 21 من العهد، لأن القيود المفروضة </w:t>
      </w:r>
      <w:r w:rsidRPr="009862AE">
        <w:rPr>
          <w:rFonts w:hint="cs"/>
          <w:rtl/>
        </w:rPr>
        <w:t xml:space="preserve">لا هي متوافقة مع القانون ولا هي </w:t>
      </w:r>
      <w:r w:rsidRPr="009862AE">
        <w:rPr>
          <w:rtl/>
        </w:rPr>
        <w:t>ضرورية في مجتمع ديمقراطي</w:t>
      </w:r>
      <w:r w:rsidRPr="009862AE">
        <w:t>.</w:t>
      </w:r>
      <w:r w:rsidRPr="009862AE">
        <w:t>‬</w:t>
      </w:r>
    </w:p>
    <w:p w:rsidR="008D3DC8" w:rsidRPr="009862AE" w:rsidRDefault="008D3DC8" w:rsidP="008D3DC8">
      <w:pPr>
        <w:pStyle w:val="H23GA"/>
        <w:rPr>
          <w:rtl/>
        </w:rPr>
      </w:pPr>
      <w:r w:rsidRPr="009862AE">
        <w:rPr>
          <w:rFonts w:hint="cs"/>
          <w:rtl/>
        </w:rPr>
        <w:tab/>
      </w:r>
      <w:r w:rsidRPr="009862AE">
        <w:rPr>
          <w:rFonts w:hint="cs"/>
          <w:rtl/>
        </w:rPr>
        <w:tab/>
        <w:t xml:space="preserve">ملاحظات الدولة الطرف </w:t>
      </w:r>
    </w:p>
    <w:p w:rsidR="008D3DC8" w:rsidRPr="009862AE" w:rsidRDefault="008D3DC8" w:rsidP="008D3DC8">
      <w:pPr>
        <w:pStyle w:val="SingleTxtGA"/>
        <w:rPr>
          <w:rtl/>
          <w:lang w:eastAsia="ar-SA"/>
        </w:rPr>
      </w:pPr>
      <w:r w:rsidRPr="009862AE">
        <w:rPr>
          <w:rFonts w:hint="cs"/>
          <w:rtl/>
          <w:lang w:eastAsia="ar-SA"/>
        </w:rPr>
        <w:t>4-1</w:t>
      </w:r>
      <w:r w:rsidRPr="009862AE">
        <w:rPr>
          <w:rFonts w:hint="cs"/>
          <w:rtl/>
          <w:lang w:eastAsia="ar-SA"/>
        </w:rPr>
        <w:tab/>
        <w:t xml:space="preserve">في مذكرة شفوية مؤرخة 27 أيلول/سبتمبر 2011، لاحظت الدولة الطرف أن صاحب البلاغ لم يستنفد جميع سبل الانتصاف المحلية على النحو المطلوب بموجب المادة 2 من البروتوكول الاختياري إذ أنه لم يستأنف لدى مكتب المدعى الإقليمي في </w:t>
      </w:r>
      <w:proofErr w:type="spellStart"/>
      <w:r w:rsidRPr="009862AE">
        <w:rPr>
          <w:rFonts w:hint="cs"/>
          <w:rtl/>
          <w:lang w:eastAsia="ar-SA"/>
        </w:rPr>
        <w:t>فيتيبسك</w:t>
      </w:r>
      <w:proofErr w:type="spellEnd"/>
      <w:r w:rsidRPr="009862AE">
        <w:rPr>
          <w:rFonts w:hint="cs"/>
          <w:rtl/>
          <w:lang w:eastAsia="ar-SA"/>
        </w:rPr>
        <w:t>. وترى الدولة الطرف أنه ليس ثمة أساس قانوني للنظر في البلاغ إذ أنه تقديمه ينتهك المادة 1 من البروتوكول الاختياري.</w:t>
      </w:r>
    </w:p>
    <w:p w:rsidR="008D3DC8" w:rsidRPr="009862AE" w:rsidRDefault="008D3DC8" w:rsidP="008D3DC8">
      <w:pPr>
        <w:pStyle w:val="SingleTxtGA"/>
        <w:rPr>
          <w:rtl/>
          <w:lang w:eastAsia="ar-SA"/>
        </w:rPr>
      </w:pPr>
      <w:r w:rsidRPr="009862AE">
        <w:rPr>
          <w:rFonts w:hint="cs"/>
          <w:rtl/>
          <w:lang w:eastAsia="ar-SA"/>
        </w:rPr>
        <w:t>4-2</w:t>
      </w:r>
      <w:r w:rsidRPr="009862AE">
        <w:rPr>
          <w:rFonts w:hint="cs"/>
          <w:rtl/>
          <w:lang w:eastAsia="ar-SA"/>
        </w:rPr>
        <w:tab/>
        <w:t xml:space="preserve">وفي مذكرة شفوية مؤرخة 25 كانون الثاني/يناير 2012، ذكرت الدولة الطرف أنها، بانضمامها إلى البروتوكول الاختياري، وافقت بمقتضى المادة 1 من هذا البروتوكول على الاعتراف باختصاص اللجنة بتلقي وبحث البلاغات التي ترد إليها من الأفراد خاضعين لولاية الدولة الطرف الذين يدعون وقوعهم ضحايا انتهاك الدولة الطرف لأيٍّ من الحقوق المكفولة بموجب العهد. على أنها لاحظت </w:t>
      </w:r>
      <w:r w:rsidRPr="009862AE">
        <w:rPr>
          <w:rtl/>
        </w:rPr>
        <w:t xml:space="preserve">أن ذلك الاعتراف اقترن بأحكام أخرى في البروتوكول الاختياري، بما فيها الأحكام التي تحدد معايير بخصوص مقدِّمي البلاغات ومقبوليتها، ولا سيما </w:t>
      </w:r>
      <w:r w:rsidRPr="009862AE">
        <w:rPr>
          <w:rtl/>
        </w:rPr>
        <w:lastRenderedPageBreak/>
        <w:t>المادت</w:t>
      </w:r>
      <w:r w:rsidRPr="009862AE">
        <w:rPr>
          <w:rFonts w:hint="cs"/>
          <w:rtl/>
        </w:rPr>
        <w:t>ا</w:t>
      </w:r>
      <w:r w:rsidRPr="009862AE">
        <w:rPr>
          <w:rtl/>
        </w:rPr>
        <w:t>ن 2 و5</w:t>
      </w:r>
      <w:r w:rsidRPr="009862AE">
        <w:rPr>
          <w:rFonts w:hint="cs"/>
          <w:rtl/>
        </w:rPr>
        <w:t>. و</w:t>
      </w:r>
      <w:r w:rsidRPr="009862AE">
        <w:rPr>
          <w:rtl/>
        </w:rPr>
        <w:t>تؤكد أن الدول الأطراف ليست ملزمة، بموجب البروتوكول الاختياري، بالاعتراف بالنظام الداخلي للجنة ولا بتفسيرها لأحكام البروتوكول الاختياري الذي لا يمكن أن يكون فعالاً إلا إذا تم وفقاً لاتفاقية فيينا بشأن قانون المعاهدات</w:t>
      </w:r>
      <w:r w:rsidRPr="009862AE">
        <w:t>.</w:t>
      </w:r>
      <w:r w:rsidRPr="009862AE">
        <w:t>‬</w:t>
      </w:r>
      <w:r w:rsidRPr="009862AE">
        <w:t>‬</w:t>
      </w:r>
      <w:r w:rsidRPr="009862AE">
        <w:rPr>
          <w:rFonts w:hint="cs"/>
          <w:rtl/>
        </w:rPr>
        <w:t xml:space="preserve"> </w:t>
      </w:r>
      <w:r w:rsidRPr="009862AE">
        <w:rPr>
          <w:rtl/>
        </w:rPr>
        <w:t>وتدفع بأنه ينبغي للدول الأطراف، في ما يخص إجراءات الشكوى، أن تسترشد في المقام الأول بأحكام البروتوكول الاختياري وأن الإحالات إلى الممارسة التي تتبعها اللجنة منذ أمد بعيد وأساليب عملها و</w:t>
      </w:r>
      <w:r w:rsidRPr="009862AE">
        <w:rPr>
          <w:rFonts w:hint="cs"/>
          <w:rtl/>
        </w:rPr>
        <w:t>القانون القضائي</w:t>
      </w:r>
      <w:r w:rsidRPr="009862AE">
        <w:rPr>
          <w:rtl/>
        </w:rPr>
        <w:t xml:space="preserve"> ليست مواضيع تندرج ضمن نطاق البروتوكول الاختياري</w:t>
      </w:r>
      <w:r w:rsidRPr="009862AE">
        <w:t>.</w:t>
      </w:r>
      <w:r w:rsidRPr="009862AE">
        <w:rPr>
          <w:rFonts w:hint="cs"/>
          <w:rtl/>
        </w:rPr>
        <w:t xml:space="preserve"> </w:t>
      </w:r>
      <w:r w:rsidRPr="009862AE">
        <w:rPr>
          <w:rtl/>
        </w:rPr>
        <w:t xml:space="preserve">وتدفع </w:t>
      </w:r>
      <w:r w:rsidRPr="009862AE">
        <w:rPr>
          <w:rFonts w:hint="cs"/>
          <w:rtl/>
        </w:rPr>
        <w:t xml:space="preserve">الدولة الطرف </w:t>
      </w:r>
      <w:r w:rsidRPr="009862AE">
        <w:rPr>
          <w:rtl/>
        </w:rPr>
        <w:t xml:space="preserve">أيضاً بأن أي بلاغ </w:t>
      </w:r>
      <w:r w:rsidRPr="009862AE">
        <w:rPr>
          <w:rFonts w:hint="cs"/>
          <w:rtl/>
        </w:rPr>
        <w:t xml:space="preserve">ينتهك تقديمُه </w:t>
      </w:r>
      <w:r w:rsidRPr="009862AE">
        <w:rPr>
          <w:rtl/>
        </w:rPr>
        <w:t xml:space="preserve">أحكام البروتوكول الاختياري ستعُدّه الدولة الطرف غير متفق مع البروتوكول الاختياري وسيُرفض دون إبداء تعليقات على مقبوليته أو أسسه الموضوعية، وأي قرار تتخذه اللجنة بشأن مثل هذه البلاغات </w:t>
      </w:r>
      <w:r w:rsidRPr="009862AE">
        <w:rPr>
          <w:rFonts w:hint="cs"/>
          <w:rtl/>
        </w:rPr>
        <w:t>فستعتبره</w:t>
      </w:r>
      <w:r w:rsidRPr="009862AE">
        <w:rPr>
          <w:rtl/>
        </w:rPr>
        <w:t xml:space="preserve"> سلطاتها </w:t>
      </w:r>
      <w:r w:rsidRPr="009862AE">
        <w:rPr>
          <w:rFonts w:hint="cs"/>
          <w:rtl/>
        </w:rPr>
        <w:t>قرار</w:t>
      </w:r>
      <w:r w:rsidR="00884D8A">
        <w:rPr>
          <w:rFonts w:hint="cs"/>
          <w:rtl/>
        </w:rPr>
        <w:t xml:space="preserve">اً </w:t>
      </w:r>
      <w:r w:rsidR="009862AE" w:rsidRPr="009862AE">
        <w:rPr>
          <w:rtl/>
        </w:rPr>
        <w:t>"</w:t>
      </w:r>
      <w:r w:rsidRPr="009862AE">
        <w:rPr>
          <w:rtl/>
        </w:rPr>
        <w:t>باطلاً</w:t>
      </w:r>
      <w:r w:rsidR="009862AE" w:rsidRPr="009862AE">
        <w:rPr>
          <w:rtl/>
        </w:rPr>
        <w:t>"</w:t>
      </w:r>
      <w:r w:rsidRPr="009862AE">
        <w:rPr>
          <w:rFonts w:hint="cs"/>
          <w:rtl/>
        </w:rPr>
        <w:t>. وتكرر الدولة الطرف رأيها وأن هذا البلاغ سُجّل على نحو ينتهك البروتوكول الاختياري.</w:t>
      </w:r>
    </w:p>
    <w:p w:rsidR="008D3DC8" w:rsidRPr="009862AE" w:rsidRDefault="008D3DC8" w:rsidP="008D3DC8">
      <w:pPr>
        <w:pStyle w:val="H23GA"/>
        <w:rPr>
          <w:rtl/>
        </w:rPr>
      </w:pPr>
      <w:r w:rsidRPr="009862AE">
        <w:rPr>
          <w:rFonts w:hint="cs"/>
          <w:rtl/>
        </w:rPr>
        <w:tab/>
      </w:r>
      <w:r w:rsidRPr="009862AE">
        <w:rPr>
          <w:rFonts w:hint="cs"/>
          <w:rtl/>
        </w:rPr>
        <w:tab/>
        <w:t xml:space="preserve">تعليقات صاحب البلاغ على ملاحظات الدولة الطرف </w:t>
      </w:r>
    </w:p>
    <w:p w:rsidR="008D3DC8" w:rsidRPr="009862AE" w:rsidRDefault="008D3DC8" w:rsidP="001E2A29">
      <w:pPr>
        <w:pStyle w:val="SingleTxtGA"/>
        <w:keepNext/>
        <w:rPr>
          <w:rtl/>
          <w:lang w:eastAsia="ar-SA"/>
        </w:rPr>
      </w:pPr>
      <w:r w:rsidRPr="009862AE">
        <w:rPr>
          <w:rFonts w:hint="cs"/>
          <w:rtl/>
          <w:lang w:eastAsia="ar-SA"/>
        </w:rPr>
        <w:t>5-1</w:t>
      </w:r>
      <w:r w:rsidRPr="009862AE">
        <w:rPr>
          <w:rFonts w:hint="cs"/>
          <w:rtl/>
          <w:lang w:eastAsia="ar-SA"/>
        </w:rPr>
        <w:tab/>
        <w:t>في رسالة مؤرخة 27 كانون الثاني/يناير 2015، دفع صاحب البلاغ بأن المراجعة الرقابية أمام مكتب المدعي العام لا يمكن أن تشكل، وفق</w:t>
      </w:r>
      <w:r w:rsidR="00884D8A">
        <w:rPr>
          <w:rFonts w:hint="cs"/>
          <w:rtl/>
          <w:lang w:eastAsia="ar-SA"/>
        </w:rPr>
        <w:t xml:space="preserve">اً </w:t>
      </w:r>
      <w:r w:rsidRPr="009862AE">
        <w:rPr>
          <w:rFonts w:hint="cs"/>
          <w:rtl/>
          <w:lang w:eastAsia="ar-SA"/>
        </w:rPr>
        <w:t>لاجتهادات اللجنة</w:t>
      </w:r>
      <w:r w:rsidRPr="009862AE">
        <w:rPr>
          <w:vertAlign w:val="superscript"/>
          <w:rtl/>
          <w:lang w:eastAsia="ar-SA"/>
        </w:rPr>
        <w:t>(</w:t>
      </w:r>
      <w:r w:rsidRPr="009862AE">
        <w:rPr>
          <w:rStyle w:val="FootnoteReference"/>
          <w:rtl/>
          <w:lang w:eastAsia="ar-SA"/>
        </w:rPr>
        <w:footnoteReference w:id="6"/>
      </w:r>
      <w:r w:rsidRPr="009862AE">
        <w:rPr>
          <w:vertAlign w:val="superscript"/>
          <w:rtl/>
          <w:lang w:eastAsia="ar-SA"/>
        </w:rPr>
        <w:t>)</w:t>
      </w:r>
      <w:r w:rsidRPr="009862AE">
        <w:rPr>
          <w:rFonts w:hint="cs"/>
          <w:rtl/>
          <w:lang w:eastAsia="ar-SA"/>
        </w:rPr>
        <w:t xml:space="preserve"> والمحكمة الأوروبية لحقوق الإنسان</w:t>
      </w:r>
      <w:r w:rsidRPr="009862AE">
        <w:rPr>
          <w:vertAlign w:val="superscript"/>
          <w:rtl/>
          <w:lang w:eastAsia="ar-SA"/>
        </w:rPr>
        <w:t>(</w:t>
      </w:r>
      <w:r w:rsidRPr="009862AE">
        <w:rPr>
          <w:rStyle w:val="FootnoteReference"/>
          <w:rtl/>
          <w:lang w:eastAsia="ar-SA"/>
        </w:rPr>
        <w:footnoteReference w:id="7"/>
      </w:r>
      <w:r w:rsidRPr="009862AE">
        <w:rPr>
          <w:vertAlign w:val="superscript"/>
          <w:rtl/>
          <w:lang w:eastAsia="ar-SA"/>
        </w:rPr>
        <w:t>)</w:t>
      </w:r>
      <w:r w:rsidR="001E2A29" w:rsidRPr="009862AE">
        <w:rPr>
          <w:rFonts w:hint="cs"/>
          <w:rtl/>
          <w:lang w:eastAsia="ar-SA"/>
        </w:rPr>
        <w:t>،</w:t>
      </w:r>
      <w:r w:rsidRPr="009862AE">
        <w:rPr>
          <w:rFonts w:hint="cs"/>
          <w:rtl/>
          <w:lang w:eastAsia="ar-SA"/>
        </w:rPr>
        <w:t xml:space="preserve"> سبيل انتصاف فعالاً. </w:t>
      </w:r>
    </w:p>
    <w:p w:rsidR="008D3DC8" w:rsidRPr="009862AE" w:rsidRDefault="008D3DC8" w:rsidP="008D3DC8">
      <w:pPr>
        <w:pStyle w:val="SingleTxtGA"/>
        <w:rPr>
          <w:rtl/>
          <w:lang w:eastAsia="ar-SA"/>
        </w:rPr>
      </w:pPr>
      <w:r w:rsidRPr="009862AE">
        <w:rPr>
          <w:rFonts w:hint="cs"/>
          <w:rtl/>
          <w:lang w:eastAsia="ar-SA"/>
        </w:rPr>
        <w:t>5-2</w:t>
      </w:r>
      <w:r w:rsidRPr="009862AE">
        <w:rPr>
          <w:rFonts w:hint="cs"/>
          <w:rtl/>
          <w:lang w:eastAsia="ar-SA"/>
        </w:rPr>
        <w:tab/>
        <w:t>وفيما يتعلق باعتراض الدولة الطرف على نظام اللجنة الداخلي، يلاحظ صاحب البلاغ أن اللجنة هي التي تفسر أحكام العهد وأن "آراء اللجنة بموجب البروتوكول الاختياري تمثل قراراً ذا حجية من قبل الهيئة المنشأة بموجب العهد نفسه والمكلفة بتفسير ذلك النص"</w:t>
      </w:r>
      <w:r w:rsidRPr="009862AE">
        <w:rPr>
          <w:vertAlign w:val="superscript"/>
          <w:rtl/>
          <w:lang w:eastAsia="ar-SA"/>
        </w:rPr>
        <w:t>(</w:t>
      </w:r>
      <w:r w:rsidRPr="009862AE">
        <w:rPr>
          <w:rStyle w:val="FootnoteReference"/>
          <w:rtl/>
          <w:lang w:eastAsia="ar-SA"/>
        </w:rPr>
        <w:footnoteReference w:id="8"/>
      </w:r>
      <w:r w:rsidRPr="009862AE">
        <w:rPr>
          <w:vertAlign w:val="superscript"/>
          <w:rtl/>
          <w:lang w:eastAsia="ar-SA"/>
        </w:rPr>
        <w:t>)</w:t>
      </w:r>
      <w:r w:rsidRPr="009862AE">
        <w:rPr>
          <w:rFonts w:hint="cs"/>
          <w:rtl/>
          <w:lang w:eastAsia="ar-SA"/>
        </w:rPr>
        <w:t>. لذا يرى صاحب البلاغ أنه يجب على الدولة الطرف احترام قرارات اللجنة وكذلك "معاييرها وممارستها وأساليب عملها".</w:t>
      </w:r>
    </w:p>
    <w:p w:rsidR="008D3DC8" w:rsidRPr="009862AE" w:rsidRDefault="008D3DC8" w:rsidP="001E2A29">
      <w:pPr>
        <w:pStyle w:val="SingleTxtGA"/>
        <w:rPr>
          <w:rtl/>
          <w:lang w:eastAsia="ar-SA"/>
        </w:rPr>
      </w:pPr>
      <w:r w:rsidRPr="009862AE">
        <w:rPr>
          <w:rFonts w:hint="cs"/>
          <w:rtl/>
          <w:lang w:eastAsia="ar-SA"/>
        </w:rPr>
        <w:t>5-3</w:t>
      </w:r>
      <w:r w:rsidRPr="009862AE">
        <w:rPr>
          <w:rFonts w:hint="cs"/>
          <w:rtl/>
          <w:lang w:eastAsia="ar-SA"/>
        </w:rPr>
        <w:tab/>
        <w:t>ويلاحظ صاحب البلاغ أن الدولة الطرف لم تنفذ، حتى تاريخ تقديمه بلاغه هذا، آراء اللجنة في أكثر من 65 بلاغا، بما في ذلك عدد من البلاغات التي قدمها صاحب البلاغ نفسه</w:t>
      </w:r>
      <w:r w:rsidRPr="009862AE">
        <w:rPr>
          <w:vertAlign w:val="superscript"/>
          <w:rtl/>
          <w:lang w:eastAsia="ar-SA"/>
        </w:rPr>
        <w:t>(</w:t>
      </w:r>
      <w:r w:rsidRPr="009862AE">
        <w:rPr>
          <w:rStyle w:val="FootnoteReference"/>
          <w:rtl/>
          <w:lang w:eastAsia="ar-SA"/>
        </w:rPr>
        <w:footnoteReference w:id="9"/>
      </w:r>
      <w:r w:rsidRPr="009862AE">
        <w:rPr>
          <w:vertAlign w:val="superscript"/>
          <w:rtl/>
          <w:lang w:eastAsia="ar-SA"/>
        </w:rPr>
        <w:t>)</w:t>
      </w:r>
      <w:r w:rsidR="001E2A29" w:rsidRPr="009862AE">
        <w:rPr>
          <w:rFonts w:hint="cs"/>
          <w:rtl/>
          <w:lang w:eastAsia="ar-SA"/>
        </w:rPr>
        <w:t>.</w:t>
      </w:r>
    </w:p>
    <w:p w:rsidR="008D3DC8" w:rsidRPr="009862AE" w:rsidRDefault="008D3DC8" w:rsidP="009862AE">
      <w:pPr>
        <w:pStyle w:val="H23GA"/>
        <w:rPr>
          <w:rtl/>
        </w:rPr>
      </w:pPr>
      <w:r w:rsidRPr="009862AE">
        <w:rPr>
          <w:rFonts w:hint="cs"/>
          <w:rtl/>
        </w:rPr>
        <w:lastRenderedPageBreak/>
        <w:tab/>
      </w:r>
      <w:r w:rsidRPr="009862AE">
        <w:rPr>
          <w:rFonts w:hint="cs"/>
          <w:rtl/>
        </w:rPr>
        <w:tab/>
        <w:t>المسائل والإجراءات المعروضة على اللجنة</w:t>
      </w:r>
    </w:p>
    <w:p w:rsidR="008D3DC8" w:rsidRPr="009862AE" w:rsidRDefault="008D3DC8" w:rsidP="008D3DC8">
      <w:pPr>
        <w:pStyle w:val="H4GA"/>
        <w:rPr>
          <w:rtl/>
          <w:lang w:eastAsia="ar-SA"/>
        </w:rPr>
      </w:pPr>
      <w:r w:rsidRPr="009862AE">
        <w:rPr>
          <w:rFonts w:hint="cs"/>
          <w:rtl/>
          <w:lang w:eastAsia="ar-SA"/>
        </w:rPr>
        <w:tab/>
      </w:r>
      <w:r w:rsidRPr="009862AE">
        <w:rPr>
          <w:rFonts w:hint="cs"/>
          <w:rtl/>
          <w:lang w:eastAsia="ar-SA"/>
        </w:rPr>
        <w:tab/>
        <w:t>عدم تعاون الدولة الطرف</w:t>
      </w:r>
    </w:p>
    <w:p w:rsidR="008D3DC8" w:rsidRPr="009862AE" w:rsidRDefault="008D3DC8" w:rsidP="008D3DC8">
      <w:pPr>
        <w:pStyle w:val="SingleTxtGA"/>
        <w:rPr>
          <w:u w:val="single"/>
          <w:rtl/>
        </w:rPr>
      </w:pPr>
      <w:r w:rsidRPr="009862AE">
        <w:rPr>
          <w:rFonts w:hint="cs"/>
          <w:rtl/>
        </w:rPr>
        <w:t>6-1</w:t>
      </w:r>
      <w:r w:rsidRPr="009862AE">
        <w:rPr>
          <w:rFonts w:hint="cs"/>
          <w:rtl/>
        </w:rPr>
        <w:tab/>
        <w:t>تلاحظ اللجنة تأكيد الدولة الطرف بأنه لا توجد أسس قانونية للنظر في هذا البلاغ ما دام قد سُجِّل على نحو يشكل انتهاكاً لأحكام البروتوكول الاختياري؛ وأنها غير ملزمة بأي التزام فيما يتعلق بالاعتراف بنظام اللجنة الداخلي وبتفسير اللجنة لأحكام البروتوكول الاختياري؛ وأنه إذا اتخذت اللجنة قراراً بشأن هذا البلاغ، فستعتبره السلطات قراراً "باطلاً".</w:t>
      </w:r>
    </w:p>
    <w:p w:rsidR="008D3DC8" w:rsidRPr="009862AE" w:rsidRDefault="008D3DC8" w:rsidP="001E2A29">
      <w:pPr>
        <w:pStyle w:val="SingleTxtGA"/>
        <w:rPr>
          <w:rtl/>
        </w:rPr>
      </w:pPr>
      <w:r w:rsidRPr="009862AE">
        <w:rPr>
          <w:rFonts w:hint="cs"/>
          <w:rtl/>
        </w:rPr>
        <w:t>6-2</w:t>
      </w:r>
      <w:r w:rsidRPr="009862AE">
        <w:rPr>
          <w:rFonts w:hint="cs"/>
          <w:rtl/>
        </w:rPr>
        <w:tab/>
      </w:r>
      <w:r w:rsidRPr="009862AE">
        <w:rPr>
          <w:rtl/>
        </w:rPr>
        <w:t xml:space="preserve">وتلاحظ </w:t>
      </w:r>
      <w:r w:rsidRPr="009862AE">
        <w:rPr>
          <w:rFonts w:hint="cs"/>
          <w:rtl/>
        </w:rPr>
        <w:t>اللجنة</w:t>
      </w:r>
      <w:r w:rsidRPr="009862AE">
        <w:rPr>
          <w:rtl/>
        </w:rPr>
        <w:t xml:space="preserve"> أن الدولة الطرف في العهد، بانضمامها إلى البروتوكول الاختياري، تعترف باختصاص اللجنة بتلقي بلاغات مقدَّمة ممّن يدّعون أنهم ضحايا انتهاك أي حق من الحقوق المنصوص عليها في العهد وبالنظر في هذه البلاغات (الديباجة والمادة 1 من البروتوكول الاختياري).</w:t>
      </w:r>
      <w:r w:rsidRPr="009862AE">
        <w:rPr>
          <w:rFonts w:cs="Times New Roman" w:hint="cs"/>
          <w:rtl/>
        </w:rPr>
        <w:t>‬</w:t>
      </w:r>
      <w:r w:rsidRPr="009862AE">
        <w:rPr>
          <w:rtl/>
        </w:rPr>
        <w:t xml:space="preserve"> ويعني انضمام دولة ما إلى البروتوكول الاختياري ضمناً تعهدها بالتعاون مع اللجنة بحسن نية من أجل السماح لها بالنظر في مثل هذه البلاغات وتمكينها من ذلك ثم إحالة آرائها إلى الدولة الطرف والفرد المعني بعد دراسة البلاغ (الفقرتان 1 و4 من المادة 5).</w:t>
      </w:r>
      <w:r w:rsidRPr="009862AE">
        <w:rPr>
          <w:rFonts w:cs="Times New Roman" w:hint="cs"/>
          <w:rtl/>
        </w:rPr>
        <w:t>‬</w:t>
      </w:r>
      <w:r w:rsidRPr="009862AE">
        <w:rPr>
          <w:rFonts w:cs="Times New Roman" w:hint="cs"/>
          <w:rtl/>
        </w:rPr>
        <w:t>‬</w:t>
      </w:r>
      <w:r w:rsidRPr="009862AE">
        <w:rPr>
          <w:rFonts w:hint="cs"/>
          <w:rtl/>
        </w:rPr>
        <w:t xml:space="preserve"> </w:t>
      </w:r>
      <w:r w:rsidRPr="009862AE">
        <w:rPr>
          <w:rtl/>
        </w:rPr>
        <w:t>وأي إجراء تتخذه الدولة الطرف يمنع اللجنة من النظر في البلاغ ودراسته والتعبير عن آرائها بشأنه أو يعطلها عن ذلك هو إجراء يتعارض مع التزامات تلك الدولة</w:t>
      </w:r>
      <w:r w:rsidRPr="009862AE">
        <w:rPr>
          <w:vertAlign w:val="superscript"/>
          <w:rtl/>
          <w:lang w:eastAsia="ar-SA"/>
        </w:rPr>
        <w:t>(</w:t>
      </w:r>
      <w:r w:rsidRPr="009862AE">
        <w:rPr>
          <w:rStyle w:val="FootnoteReference"/>
          <w:rtl/>
          <w:lang w:eastAsia="ar-SA"/>
        </w:rPr>
        <w:footnoteReference w:id="10"/>
      </w:r>
      <w:r w:rsidRPr="009862AE">
        <w:rPr>
          <w:vertAlign w:val="superscript"/>
          <w:rtl/>
          <w:lang w:eastAsia="ar-SA"/>
        </w:rPr>
        <w:t>)</w:t>
      </w:r>
      <w:r w:rsidR="001E2A29" w:rsidRPr="009862AE">
        <w:rPr>
          <w:rFonts w:hint="cs"/>
          <w:rtl/>
        </w:rPr>
        <w:t>.</w:t>
      </w:r>
      <w:r w:rsidRPr="009862AE">
        <w:rPr>
          <w:rFonts w:hint="cs"/>
          <w:rtl/>
        </w:rPr>
        <w:t xml:space="preserve"> </w:t>
      </w:r>
      <w:r w:rsidRPr="009862AE">
        <w:rPr>
          <w:rtl/>
        </w:rPr>
        <w:t>واللجنة هي المسؤولة عن تحديد ما إذا كان ينبغي تسجيل البلاغ.</w:t>
      </w:r>
      <w:r w:rsidRPr="009862AE">
        <w:rPr>
          <w:rFonts w:hint="cs"/>
          <w:rtl/>
        </w:rPr>
        <w:t>‬</w:t>
      </w:r>
      <w:r w:rsidRPr="009862AE">
        <w:rPr>
          <w:rFonts w:hint="cs"/>
          <w:rtl/>
        </w:rPr>
        <w:t xml:space="preserve">‬ </w:t>
      </w:r>
      <w:r w:rsidRPr="009862AE">
        <w:rPr>
          <w:rtl/>
        </w:rPr>
        <w:t>وتلاحظ اللجنة أن الدولة الطرف</w:t>
      </w:r>
      <w:r w:rsidRPr="009862AE">
        <w:rPr>
          <w:rFonts w:hint="cs"/>
          <w:rtl/>
        </w:rPr>
        <w:t xml:space="preserve">، بعدم قبولها </w:t>
      </w:r>
      <w:r w:rsidRPr="009862AE">
        <w:rPr>
          <w:rtl/>
        </w:rPr>
        <w:t>اختصاص اللجنة في تحديد ما إذا كان ينبغي تسجيل البلاغ و</w:t>
      </w:r>
      <w:r w:rsidRPr="009862AE">
        <w:rPr>
          <w:rFonts w:hint="cs"/>
          <w:rtl/>
        </w:rPr>
        <w:t>بعدم إعلانها</w:t>
      </w:r>
      <w:r w:rsidRPr="009862AE">
        <w:rPr>
          <w:rtl/>
        </w:rPr>
        <w:t xml:space="preserve"> مسبقاً عدم قبولها قرار اللجنة بشأن مقبولية البلاغ أو أسسه الموضوعي</w:t>
      </w:r>
      <w:r w:rsidRPr="009862AE">
        <w:rPr>
          <w:rFonts w:hint="cs"/>
          <w:rtl/>
        </w:rPr>
        <w:t xml:space="preserve">ة، تكون قد أخلت </w:t>
      </w:r>
      <w:r w:rsidRPr="009862AE">
        <w:rPr>
          <w:rtl/>
        </w:rPr>
        <w:t>بالتزاماتها المنصوص عليها في المادة 1 من البروتوكول الاختياري.</w:t>
      </w:r>
      <w:r w:rsidRPr="009862AE">
        <w:rPr>
          <w:rtl/>
        </w:rPr>
        <w:t>‬</w:t>
      </w:r>
      <w:r w:rsidRPr="009862AE">
        <w:rPr>
          <w:rFonts w:hint="cs"/>
          <w:rtl/>
        </w:rPr>
        <w:t>‬</w:t>
      </w:r>
    </w:p>
    <w:p w:rsidR="008D3DC8" w:rsidRPr="009862AE" w:rsidRDefault="008D3DC8" w:rsidP="008D3DC8">
      <w:pPr>
        <w:pStyle w:val="H4GA"/>
        <w:rPr>
          <w:rtl/>
        </w:rPr>
      </w:pPr>
      <w:r w:rsidRPr="009862AE">
        <w:rPr>
          <w:rFonts w:hint="cs"/>
          <w:rtl/>
        </w:rPr>
        <w:tab/>
      </w:r>
      <w:r w:rsidRPr="009862AE">
        <w:rPr>
          <w:rFonts w:hint="cs"/>
          <w:rtl/>
        </w:rPr>
        <w:tab/>
        <w:t>النظر في مقبولية البلاغ</w:t>
      </w:r>
    </w:p>
    <w:p w:rsidR="008D3DC8" w:rsidRPr="009862AE" w:rsidRDefault="008D3DC8" w:rsidP="008D3DC8">
      <w:pPr>
        <w:pStyle w:val="SingleTxtGA"/>
        <w:rPr>
          <w:rtl/>
        </w:rPr>
      </w:pPr>
      <w:r w:rsidRPr="009862AE">
        <w:rPr>
          <w:rFonts w:hint="cs"/>
          <w:rtl/>
        </w:rPr>
        <w:t>7-1</w:t>
      </w:r>
      <w:r w:rsidRPr="009862AE">
        <w:rPr>
          <w:rFonts w:hint="cs"/>
          <w:rtl/>
        </w:rPr>
        <w:tab/>
        <w:t xml:space="preserve">قبل النظر في أي ادعاء يرد في بلاغ ما، يجب على اللجنة أن تقرر، وفقاً لما </w:t>
      </w:r>
      <w:proofErr w:type="spellStart"/>
      <w:r w:rsidRPr="009862AE">
        <w:rPr>
          <w:rFonts w:hint="cs"/>
          <w:rtl/>
        </w:rPr>
        <w:t>تقتضيه</w:t>
      </w:r>
      <w:proofErr w:type="spellEnd"/>
      <w:r w:rsidRPr="009862AE">
        <w:rPr>
          <w:rFonts w:hint="cs"/>
          <w:rtl/>
        </w:rPr>
        <w:t xml:space="preserve"> المادة 93 من نظامها الداخلي، ما إذا كان البلاغ مقبولاً أم لا بموجب البروتوكول الاختياري.</w:t>
      </w:r>
    </w:p>
    <w:p w:rsidR="008D3DC8" w:rsidRPr="009862AE" w:rsidRDefault="008D3DC8" w:rsidP="008D3DC8">
      <w:pPr>
        <w:pStyle w:val="SingleTxtGA"/>
        <w:rPr>
          <w:rtl/>
        </w:rPr>
      </w:pPr>
      <w:r w:rsidRPr="009862AE">
        <w:rPr>
          <w:rFonts w:hint="cs"/>
          <w:rtl/>
        </w:rPr>
        <w:t>7-2</w:t>
      </w:r>
      <w:r w:rsidRPr="009862AE">
        <w:rPr>
          <w:rFonts w:hint="cs"/>
          <w:rtl/>
        </w:rPr>
        <w:tab/>
        <w:t xml:space="preserve">وقد تحققت اللجنة، وفقاً لما </w:t>
      </w:r>
      <w:proofErr w:type="spellStart"/>
      <w:r w:rsidRPr="009862AE">
        <w:rPr>
          <w:rFonts w:hint="cs"/>
          <w:rtl/>
        </w:rPr>
        <w:t>تقتضيه</w:t>
      </w:r>
      <w:proofErr w:type="spellEnd"/>
      <w:r w:rsidRPr="009862AE">
        <w:rPr>
          <w:rFonts w:hint="cs"/>
          <w:rtl/>
        </w:rPr>
        <w:t xml:space="preserve"> المادة 5(2)(أ) من البروتوكول الاختياري، من أن المسألة نفسها ليست موضع بحث في إطار إجراء آخر من إجراءات التحقيق الدولي أو التسوية الدولية.</w:t>
      </w:r>
    </w:p>
    <w:p w:rsidR="008D3DC8" w:rsidRPr="009862AE" w:rsidRDefault="008D3DC8" w:rsidP="008D3DC8">
      <w:pPr>
        <w:pStyle w:val="SingleTxtGA"/>
        <w:rPr>
          <w:rtl/>
        </w:rPr>
      </w:pPr>
      <w:r w:rsidRPr="009862AE">
        <w:rPr>
          <w:rFonts w:hint="cs"/>
          <w:rtl/>
        </w:rPr>
        <w:t>7-3</w:t>
      </w:r>
      <w:r w:rsidRPr="009862AE">
        <w:rPr>
          <w:rFonts w:hint="cs"/>
          <w:rtl/>
        </w:rPr>
        <w:tab/>
        <w:t xml:space="preserve">وتحيط اللجنة علماً باعتراض الدولة الطرف لأن صاحب البلاغ لم يقدم طلباً إلى مكتب المدعي العام لإجراء مراجعة رقابية لقرارات المحاكم المحلية. وتُذكّر اللجنة باجتهاداتها السابقة التي تفيد بأن تقديم التماس إلى مكتب المدعي العام من أجل إجراء مراجعة رقابية لقرارات المحاكم التي أصحبت نافذة لا يشكل سبيل انتصاف يجب استنفاده لأغراض </w:t>
      </w:r>
      <w:r w:rsidRPr="009862AE">
        <w:rPr>
          <w:rFonts w:hint="cs"/>
          <w:rtl/>
        </w:rPr>
        <w:lastRenderedPageBreak/>
        <w:t>المادة</w:t>
      </w:r>
      <w:r w:rsidRPr="009862AE">
        <w:rPr>
          <w:rFonts w:hint="eastAsia"/>
          <w:rtl/>
        </w:rPr>
        <w:t> </w:t>
      </w:r>
      <w:r w:rsidRPr="009862AE">
        <w:rPr>
          <w:rFonts w:hint="cs"/>
          <w:rtl/>
        </w:rPr>
        <w:t>5(2)(ب) من البروتوكول الاختياري</w:t>
      </w:r>
      <w:r w:rsidRPr="009862AE">
        <w:rPr>
          <w:vertAlign w:val="superscript"/>
          <w:rtl/>
        </w:rPr>
        <w:t>(</w:t>
      </w:r>
      <w:r w:rsidRPr="009862AE">
        <w:rPr>
          <w:rStyle w:val="FootnoteReference"/>
          <w:rtl/>
        </w:rPr>
        <w:footnoteReference w:id="11"/>
      </w:r>
      <w:r w:rsidRPr="009862AE">
        <w:rPr>
          <w:vertAlign w:val="superscript"/>
          <w:rtl/>
        </w:rPr>
        <w:t>)</w:t>
      </w:r>
      <w:r w:rsidRPr="009862AE">
        <w:rPr>
          <w:rFonts w:hint="cs"/>
          <w:rtl/>
        </w:rPr>
        <w:t>. وبناء عليه، تعتبر اللجنة أنه ليس ثمة ما يمنعها، بموجب المادة 5(2)(ب) من البروتوكول الاختياري، من دراسة هذا البلاغ.</w:t>
      </w:r>
    </w:p>
    <w:p w:rsidR="008D3DC8" w:rsidRPr="009862AE" w:rsidRDefault="008D3DC8" w:rsidP="001E2A29">
      <w:pPr>
        <w:pStyle w:val="SingleTxtGA"/>
        <w:rPr>
          <w:rtl/>
        </w:rPr>
      </w:pPr>
      <w:r w:rsidRPr="009862AE">
        <w:rPr>
          <w:rtl/>
        </w:rPr>
        <w:t>7-4</w:t>
      </w:r>
      <w:r w:rsidRPr="009862AE">
        <w:rPr>
          <w:rtl/>
        </w:rPr>
        <w:tab/>
        <w:t>و</w:t>
      </w:r>
      <w:r w:rsidRPr="009862AE">
        <w:rPr>
          <w:rFonts w:hint="cs"/>
          <w:rtl/>
        </w:rPr>
        <w:t>فيما يتعلق</w:t>
      </w:r>
      <w:r w:rsidRPr="009862AE">
        <w:rPr>
          <w:rtl/>
        </w:rPr>
        <w:t xml:space="preserve"> بادعاء صاحب البلاغ </w:t>
      </w:r>
      <w:r w:rsidRPr="009862AE">
        <w:rPr>
          <w:rFonts w:hint="cs"/>
          <w:rtl/>
        </w:rPr>
        <w:t>بموجب المادة 2</w:t>
      </w:r>
      <w:r w:rsidR="009862AE" w:rsidRPr="009862AE">
        <w:rPr>
          <w:rFonts w:hint="cs"/>
          <w:rtl/>
        </w:rPr>
        <w:t>(</w:t>
      </w:r>
      <w:r w:rsidRPr="009862AE">
        <w:rPr>
          <w:rFonts w:hint="cs"/>
          <w:rtl/>
        </w:rPr>
        <w:t xml:space="preserve">1) من العهد، تذكّر اللجنة باجتهادها السابقة ومؤداه أن </w:t>
      </w:r>
      <w:r w:rsidRPr="009862AE">
        <w:rPr>
          <w:rtl/>
        </w:rPr>
        <w:t xml:space="preserve">أحكام المـادة 2 من العهد، التي تُقر الالتزامات العامة للدول الأطراف، لا يمكن أن تنشأ عنها، وحدها </w:t>
      </w:r>
      <w:r w:rsidRPr="009862AE">
        <w:rPr>
          <w:rFonts w:hint="cs"/>
          <w:rtl/>
        </w:rPr>
        <w:t>و</w:t>
      </w:r>
      <w:r w:rsidRPr="009862AE">
        <w:rPr>
          <w:rtl/>
        </w:rPr>
        <w:t xml:space="preserve">بمعزل عن غيرها، مطالبات في أي بلاغات بموجب البروتوكول الاختياري. وعليه، تعتبر اللجنة أن دفوع صاحب البلاغ في هذا الصدد غير مقبولة في إطار المادة </w:t>
      </w:r>
      <w:r w:rsidRPr="009862AE">
        <w:rPr>
          <w:rFonts w:hint="cs"/>
          <w:rtl/>
        </w:rPr>
        <w:t>3</w:t>
      </w:r>
      <w:r w:rsidRPr="009862AE">
        <w:rPr>
          <w:rtl/>
        </w:rPr>
        <w:t xml:space="preserve"> من البروتوكول الاختياري</w:t>
      </w:r>
      <w:r w:rsidRPr="009862AE">
        <w:rPr>
          <w:vertAlign w:val="superscript"/>
          <w:rtl/>
        </w:rPr>
        <w:t>(</w:t>
      </w:r>
      <w:r w:rsidRPr="009862AE">
        <w:rPr>
          <w:rStyle w:val="FootnoteReference"/>
          <w:rtl/>
        </w:rPr>
        <w:footnoteReference w:id="12"/>
      </w:r>
      <w:r w:rsidRPr="009862AE">
        <w:rPr>
          <w:vertAlign w:val="superscript"/>
          <w:rtl/>
        </w:rPr>
        <w:t>)</w:t>
      </w:r>
      <w:r w:rsidR="001E2A29" w:rsidRPr="009862AE">
        <w:rPr>
          <w:rFonts w:hint="cs"/>
          <w:rtl/>
        </w:rPr>
        <w:t>.</w:t>
      </w:r>
    </w:p>
    <w:p w:rsidR="008D3DC8" w:rsidRPr="009862AE" w:rsidRDefault="008D3DC8" w:rsidP="001E2A29">
      <w:pPr>
        <w:pStyle w:val="SingleTxtGA"/>
        <w:rPr>
          <w:rtl/>
        </w:rPr>
      </w:pPr>
      <w:r w:rsidRPr="009862AE">
        <w:rPr>
          <w:rtl/>
        </w:rPr>
        <w:t>7-5</w:t>
      </w:r>
      <w:r w:rsidRPr="009862AE">
        <w:rPr>
          <w:rtl/>
        </w:rPr>
        <w:tab/>
      </w:r>
      <w:r w:rsidRPr="009862AE">
        <w:rPr>
          <w:rFonts w:hint="cs"/>
          <w:rtl/>
        </w:rPr>
        <w:t>وفيما يتعلق بادعاء صاحب البلاغ بموجب المادة 5</w:t>
      </w:r>
      <w:r w:rsidR="009862AE" w:rsidRPr="009862AE">
        <w:rPr>
          <w:rFonts w:hint="cs"/>
          <w:rtl/>
        </w:rPr>
        <w:t>(</w:t>
      </w:r>
      <w:r w:rsidRPr="009862AE">
        <w:rPr>
          <w:rFonts w:hint="cs"/>
          <w:rtl/>
        </w:rPr>
        <w:t xml:space="preserve">1) من العهد، </w:t>
      </w:r>
      <w:r w:rsidRPr="009862AE">
        <w:rPr>
          <w:rtl/>
        </w:rPr>
        <w:t>ترى اللجنة أن هذا الحكم من أحكام العهد لا ينشئ أي حق فردي مستقل.</w:t>
      </w:r>
      <w:r w:rsidRPr="009862AE">
        <w:rPr>
          <w:rFonts w:cs="Times New Roman" w:hint="cs"/>
          <w:rtl/>
        </w:rPr>
        <w:t>‬</w:t>
      </w:r>
      <w:r w:rsidRPr="009862AE">
        <w:rPr>
          <w:rFonts w:hint="cs"/>
          <w:rtl/>
        </w:rPr>
        <w:t xml:space="preserve"> </w:t>
      </w:r>
      <w:r w:rsidRPr="009862AE">
        <w:rPr>
          <w:rtl/>
        </w:rPr>
        <w:t xml:space="preserve">وعليه، فإن </w:t>
      </w:r>
      <w:r w:rsidRPr="009862AE">
        <w:rPr>
          <w:rFonts w:hint="cs"/>
          <w:rtl/>
        </w:rPr>
        <w:t xml:space="preserve">هذا الجزء من </w:t>
      </w:r>
      <w:r w:rsidRPr="009862AE">
        <w:rPr>
          <w:rtl/>
        </w:rPr>
        <w:t>الادعاء لا يتمشى مع العهد وغير مقبول بموجب المادة 3 من البروتوكول الاختياري</w:t>
      </w:r>
      <w:r w:rsidRPr="009862AE">
        <w:rPr>
          <w:vertAlign w:val="superscript"/>
          <w:rtl/>
        </w:rPr>
        <w:t>(</w:t>
      </w:r>
      <w:r w:rsidRPr="009862AE">
        <w:rPr>
          <w:rStyle w:val="FootnoteReference"/>
          <w:rtl/>
        </w:rPr>
        <w:footnoteReference w:id="13"/>
      </w:r>
      <w:r w:rsidRPr="009862AE">
        <w:rPr>
          <w:vertAlign w:val="superscript"/>
          <w:rtl/>
        </w:rPr>
        <w:t>)</w:t>
      </w:r>
      <w:r w:rsidR="001E2A29" w:rsidRPr="009862AE">
        <w:rPr>
          <w:rFonts w:hint="cs"/>
          <w:rtl/>
        </w:rPr>
        <w:t>.</w:t>
      </w:r>
    </w:p>
    <w:p w:rsidR="008D3DC8" w:rsidRPr="009862AE" w:rsidRDefault="008D3DC8" w:rsidP="001E2A29">
      <w:pPr>
        <w:pStyle w:val="SingleTxtGA"/>
        <w:rPr>
          <w:rFonts w:cs="Times New Roman"/>
          <w:rtl/>
        </w:rPr>
      </w:pPr>
      <w:r w:rsidRPr="009862AE">
        <w:rPr>
          <w:rFonts w:hint="cs"/>
          <w:rtl/>
        </w:rPr>
        <w:t>7-6</w:t>
      </w:r>
      <w:r w:rsidRPr="009862AE">
        <w:rPr>
          <w:rFonts w:hint="cs"/>
          <w:rtl/>
        </w:rPr>
        <w:tab/>
        <w:t>وفيما يتعلق بادعاءات بموجب المادة 14</w:t>
      </w:r>
      <w:r w:rsidR="009862AE" w:rsidRPr="009862AE">
        <w:rPr>
          <w:rFonts w:hint="cs"/>
          <w:rtl/>
        </w:rPr>
        <w:t>(</w:t>
      </w:r>
      <w:r w:rsidRPr="009862AE">
        <w:rPr>
          <w:rFonts w:hint="cs"/>
          <w:rtl/>
        </w:rPr>
        <w:t xml:space="preserve">1) من العهد، </w:t>
      </w:r>
      <w:r w:rsidRPr="009862AE">
        <w:rPr>
          <w:rtl/>
        </w:rPr>
        <w:t>ترى اللجنة</w:t>
      </w:r>
      <w:r w:rsidRPr="009862AE">
        <w:rPr>
          <w:rFonts w:hint="cs"/>
          <w:rtl/>
        </w:rPr>
        <w:t xml:space="preserve"> </w:t>
      </w:r>
      <w:r w:rsidRPr="009862AE">
        <w:rPr>
          <w:rtl/>
        </w:rPr>
        <w:t xml:space="preserve">هذه </w:t>
      </w:r>
      <w:r w:rsidRPr="009862AE">
        <w:rPr>
          <w:rFonts w:hint="cs"/>
          <w:rtl/>
        </w:rPr>
        <w:t>المزاعم</w:t>
      </w:r>
      <w:r w:rsidRPr="009862AE">
        <w:rPr>
          <w:rtl/>
        </w:rPr>
        <w:t xml:space="preserve"> تتعلق أساساً بتقييم الأدلة المقدمة خلال المحاكمة وإلى تفسير القوانين، وهي مسألة تعود، من حيث المبدأ، إلى المحاكم الوطنية ما لم يكن تقييم الأدلة بائن التعسف أو يرقى إلى درجة إنكار العدالة</w:t>
      </w:r>
      <w:r w:rsidRPr="009862AE">
        <w:rPr>
          <w:vertAlign w:val="superscript"/>
          <w:rtl/>
        </w:rPr>
        <w:t>(</w:t>
      </w:r>
      <w:r w:rsidRPr="009862AE">
        <w:rPr>
          <w:rStyle w:val="FootnoteReference"/>
          <w:rtl/>
        </w:rPr>
        <w:footnoteReference w:id="14"/>
      </w:r>
      <w:r w:rsidRPr="009862AE">
        <w:rPr>
          <w:vertAlign w:val="superscript"/>
          <w:rtl/>
        </w:rPr>
        <w:t>)</w:t>
      </w:r>
      <w:r w:rsidR="001E2A29" w:rsidRPr="009862AE">
        <w:rPr>
          <w:rFonts w:hint="cs"/>
          <w:rtl/>
        </w:rPr>
        <w:t>.</w:t>
      </w:r>
      <w:r w:rsidRPr="009862AE">
        <w:rPr>
          <w:rtl/>
        </w:rPr>
        <w:t xml:space="preserve"> وفي هذه القضية، ترى اللجنة أن صاحب البلاغ لم يبين، </w:t>
      </w:r>
      <w:r w:rsidRPr="009862AE">
        <w:rPr>
          <w:rFonts w:hint="cs"/>
          <w:rtl/>
        </w:rPr>
        <w:t>ل</w:t>
      </w:r>
      <w:r w:rsidRPr="009862AE">
        <w:rPr>
          <w:rtl/>
        </w:rPr>
        <w:t xml:space="preserve">أغراض المقبولية، أن سير الإجراءات القضائية في قضيته كان تعسفياً أو كان يرقى إلى درجة إنكار العدالة. ومن ثمَّ، ترى اللجنة أن هذا الجزء من البلاغ لا </w:t>
      </w:r>
      <w:r w:rsidRPr="009862AE">
        <w:rPr>
          <w:rFonts w:hint="cs"/>
          <w:rtl/>
        </w:rPr>
        <w:t>يستند إلى</w:t>
      </w:r>
      <w:r w:rsidRPr="009862AE">
        <w:rPr>
          <w:rtl/>
        </w:rPr>
        <w:t xml:space="preserve"> أدلة كافية، وبالتالي ترى أنه غير مقبول بموجب المادة 2 من البروتوكول الاختياري.</w:t>
      </w:r>
    </w:p>
    <w:p w:rsidR="008D3DC8" w:rsidRPr="009862AE" w:rsidRDefault="008D3DC8" w:rsidP="001E2A29">
      <w:pPr>
        <w:pStyle w:val="SingleTxtGA"/>
        <w:rPr>
          <w:rtl/>
        </w:rPr>
      </w:pPr>
      <w:r w:rsidRPr="009862AE">
        <w:rPr>
          <w:rFonts w:hint="cs"/>
          <w:rtl/>
        </w:rPr>
        <w:lastRenderedPageBreak/>
        <w:t>7-7</w:t>
      </w:r>
      <w:r w:rsidRPr="009862AE">
        <w:rPr>
          <w:rFonts w:hint="cs"/>
          <w:rtl/>
        </w:rPr>
        <w:tab/>
      </w:r>
      <w:r w:rsidRPr="009862AE">
        <w:rPr>
          <w:rtl/>
        </w:rPr>
        <w:t xml:space="preserve">وتلاحظ اللجنة أن ادعاءات صاحب البلاغ بأن حريته في التجمع بموجب المادة 21 من العهد </w:t>
      </w:r>
      <w:r w:rsidRPr="009862AE">
        <w:rPr>
          <w:rFonts w:hint="cs"/>
          <w:rtl/>
        </w:rPr>
        <w:t xml:space="preserve">قد </w:t>
      </w:r>
      <w:r w:rsidRPr="009862AE">
        <w:rPr>
          <w:rtl/>
        </w:rPr>
        <w:t>قُي</w:t>
      </w:r>
      <w:r w:rsidRPr="009862AE">
        <w:rPr>
          <w:rFonts w:hint="cs"/>
          <w:rtl/>
        </w:rPr>
        <w:t>ّ</w:t>
      </w:r>
      <w:r w:rsidRPr="009862AE">
        <w:rPr>
          <w:rtl/>
        </w:rPr>
        <w:t>دت على نحو تعسفي، ل</w:t>
      </w:r>
      <w:r w:rsidRPr="009862AE">
        <w:rPr>
          <w:rFonts w:hint="cs"/>
          <w:rtl/>
        </w:rPr>
        <w:t>رفض التصريح له ب</w:t>
      </w:r>
      <w:r w:rsidRPr="009862AE">
        <w:rPr>
          <w:rtl/>
        </w:rPr>
        <w:t>الاعتصام. بيد أن اللجنة تلاحظ أن صاحب البلاغ كان ينوي، وفقاً للمعلومات التي قدمها</w:t>
      </w:r>
      <w:r w:rsidRPr="009862AE">
        <w:rPr>
          <w:rFonts w:hint="cs"/>
          <w:rtl/>
        </w:rPr>
        <w:t xml:space="preserve"> بنفسه</w:t>
      </w:r>
      <w:r w:rsidRPr="009862AE">
        <w:rPr>
          <w:rtl/>
        </w:rPr>
        <w:t xml:space="preserve">، الاعتصام لوحده. وبناءً عليه، وفي ظروف هذه القضية، ترى اللجنة أن صاحب البلاغ لم يدعم هذا الادعاء بالتحديد بأدلة كافية لأغراض المقبولية وترى أن </w:t>
      </w:r>
      <w:r w:rsidRPr="009862AE">
        <w:rPr>
          <w:rFonts w:hint="cs"/>
          <w:rtl/>
        </w:rPr>
        <w:t xml:space="preserve">هذا الجزء من </w:t>
      </w:r>
      <w:r w:rsidRPr="009862AE">
        <w:rPr>
          <w:rtl/>
        </w:rPr>
        <w:t>البلاغ غير مقبول بموجب المادة 2 من البروتوكول الاختياري</w:t>
      </w:r>
      <w:r w:rsidRPr="009862AE">
        <w:rPr>
          <w:vertAlign w:val="superscript"/>
          <w:rtl/>
        </w:rPr>
        <w:t>(</w:t>
      </w:r>
      <w:r w:rsidRPr="009862AE">
        <w:rPr>
          <w:rStyle w:val="FootnoteReference"/>
          <w:rtl/>
        </w:rPr>
        <w:footnoteReference w:id="15"/>
      </w:r>
      <w:r w:rsidRPr="009862AE">
        <w:rPr>
          <w:vertAlign w:val="superscript"/>
          <w:rtl/>
        </w:rPr>
        <w:t>)</w:t>
      </w:r>
      <w:r w:rsidR="001E2A29" w:rsidRPr="009862AE">
        <w:rPr>
          <w:rFonts w:hint="cs"/>
          <w:rtl/>
        </w:rPr>
        <w:t>.</w:t>
      </w:r>
    </w:p>
    <w:p w:rsidR="008D3DC8" w:rsidRPr="009862AE" w:rsidRDefault="008D3DC8" w:rsidP="008D3DC8">
      <w:pPr>
        <w:pStyle w:val="SingleTxtGA"/>
        <w:rPr>
          <w:rtl/>
        </w:rPr>
      </w:pPr>
      <w:r w:rsidRPr="009862AE">
        <w:rPr>
          <w:rFonts w:hint="cs"/>
          <w:rtl/>
        </w:rPr>
        <w:t>7-8</w:t>
      </w:r>
      <w:r w:rsidRPr="009862AE">
        <w:rPr>
          <w:rFonts w:hint="cs"/>
          <w:rtl/>
        </w:rPr>
        <w:tab/>
        <w:t xml:space="preserve">وفيما يتعلق بادعاء صاحب البلاغ انتهاك حقوقه المكفولة بموجب المادة 19 من العهد، </w:t>
      </w:r>
      <w:r w:rsidRPr="009862AE">
        <w:rPr>
          <w:rtl/>
        </w:rPr>
        <w:t>ترى اللجنة</w:t>
      </w:r>
      <w:r w:rsidRPr="009862AE">
        <w:rPr>
          <w:rFonts w:hint="cs"/>
          <w:rtl/>
        </w:rPr>
        <w:t xml:space="preserve"> أن الأدلة التي سيقت بشأنه كافية لأغراض المقبولية، </w:t>
      </w:r>
      <w:r w:rsidRPr="009862AE">
        <w:rPr>
          <w:rtl/>
        </w:rPr>
        <w:t>و</w:t>
      </w:r>
      <w:r w:rsidRPr="009862AE">
        <w:rPr>
          <w:rFonts w:hint="cs"/>
          <w:rtl/>
        </w:rPr>
        <w:t xml:space="preserve">تقرر </w:t>
      </w:r>
      <w:r w:rsidRPr="009862AE">
        <w:rPr>
          <w:rtl/>
        </w:rPr>
        <w:t>قبوله</w:t>
      </w:r>
      <w:r w:rsidRPr="009862AE">
        <w:rPr>
          <w:rFonts w:hint="cs"/>
          <w:rtl/>
        </w:rPr>
        <w:t>،</w:t>
      </w:r>
      <w:r w:rsidRPr="009862AE">
        <w:rPr>
          <w:rtl/>
        </w:rPr>
        <w:t xml:space="preserve"> وتنتقل إلى النظر في الأسس الموضوعية.</w:t>
      </w:r>
    </w:p>
    <w:p w:rsidR="008D3DC8" w:rsidRPr="009862AE" w:rsidRDefault="008D3DC8" w:rsidP="008D3DC8">
      <w:pPr>
        <w:pStyle w:val="H4GA"/>
        <w:rPr>
          <w:rtl/>
        </w:rPr>
      </w:pPr>
      <w:r w:rsidRPr="009862AE">
        <w:rPr>
          <w:rtl/>
        </w:rPr>
        <w:tab/>
      </w:r>
      <w:r w:rsidRPr="009862AE">
        <w:rPr>
          <w:rtl/>
        </w:rPr>
        <w:tab/>
        <w:t>النظر في الأسس الموضوعية</w:t>
      </w:r>
    </w:p>
    <w:p w:rsidR="008D3DC8" w:rsidRPr="009862AE" w:rsidRDefault="008D3DC8" w:rsidP="008D3DC8">
      <w:pPr>
        <w:pStyle w:val="SingleTxtGA"/>
        <w:rPr>
          <w:rtl/>
        </w:rPr>
      </w:pPr>
      <w:r w:rsidRPr="009862AE">
        <w:rPr>
          <w:rtl/>
        </w:rPr>
        <w:t>8-1</w:t>
      </w:r>
      <w:r w:rsidRPr="009862AE">
        <w:rPr>
          <w:rtl/>
        </w:rPr>
        <w:tab/>
        <w:t xml:space="preserve">نظرت اللجنة في البلاغ في ضوء جميع المعلومات التي أتاحها لها الطرفان حسبما </w:t>
      </w:r>
      <w:proofErr w:type="spellStart"/>
      <w:r w:rsidRPr="009862AE">
        <w:rPr>
          <w:rtl/>
        </w:rPr>
        <w:t>تقتضيه</w:t>
      </w:r>
      <w:proofErr w:type="spellEnd"/>
      <w:r w:rsidRPr="009862AE">
        <w:rPr>
          <w:rtl/>
        </w:rPr>
        <w:t xml:space="preserve"> المادة 5(1) من البروتوكول الاختياري.</w:t>
      </w:r>
    </w:p>
    <w:p w:rsidR="008D3DC8" w:rsidRPr="009862AE" w:rsidRDefault="008D3DC8" w:rsidP="008D3DC8">
      <w:pPr>
        <w:pStyle w:val="SingleTxtGA"/>
        <w:rPr>
          <w:rtl/>
        </w:rPr>
      </w:pPr>
      <w:r w:rsidRPr="009862AE">
        <w:rPr>
          <w:rtl/>
        </w:rPr>
        <w:t>8-2</w:t>
      </w:r>
      <w:r w:rsidRPr="009862AE">
        <w:rPr>
          <w:rtl/>
        </w:rPr>
        <w:tab/>
        <w:t>وتلاحظ اللجنة ادعاء</w:t>
      </w:r>
      <w:r w:rsidRPr="009862AE">
        <w:rPr>
          <w:rFonts w:hint="cs"/>
          <w:rtl/>
        </w:rPr>
        <w:t>ات</w:t>
      </w:r>
      <w:r w:rsidRPr="009862AE">
        <w:rPr>
          <w:rtl/>
        </w:rPr>
        <w:t xml:space="preserve"> صاحب البلاغ بأن حريته في التجمع </w:t>
      </w:r>
      <w:r w:rsidRPr="009862AE">
        <w:rPr>
          <w:rFonts w:hint="cs"/>
          <w:rtl/>
        </w:rPr>
        <w:t xml:space="preserve">قد </w:t>
      </w:r>
      <w:r w:rsidRPr="009862AE">
        <w:rPr>
          <w:rtl/>
        </w:rPr>
        <w:t>قُي</w:t>
      </w:r>
      <w:r w:rsidRPr="009862AE">
        <w:rPr>
          <w:rFonts w:hint="cs"/>
          <w:rtl/>
        </w:rPr>
        <w:t>ّ</w:t>
      </w:r>
      <w:r w:rsidRPr="009862AE">
        <w:rPr>
          <w:rtl/>
        </w:rPr>
        <w:t>دت على نحو تعسفي، ل</w:t>
      </w:r>
      <w:r w:rsidRPr="009862AE">
        <w:rPr>
          <w:rFonts w:hint="cs"/>
          <w:rtl/>
        </w:rPr>
        <w:t>رفض التصريح له ب</w:t>
      </w:r>
      <w:r w:rsidRPr="009862AE">
        <w:rPr>
          <w:rtl/>
        </w:rPr>
        <w:t>الاعتصام</w:t>
      </w:r>
      <w:r w:rsidRPr="009862AE">
        <w:rPr>
          <w:rFonts w:hint="cs"/>
          <w:rtl/>
        </w:rPr>
        <w:t xml:space="preserve"> والتعبير عن آرائه علانية. </w:t>
      </w:r>
      <w:r w:rsidRPr="009862AE">
        <w:rPr>
          <w:rtl/>
        </w:rPr>
        <w:t xml:space="preserve">وترى اللجنة أن القضية القانونية المعروضة عليها تتمثل في البت فيما إذا كان </w:t>
      </w:r>
      <w:r w:rsidRPr="009862AE">
        <w:rPr>
          <w:rFonts w:hint="cs"/>
          <w:rtl/>
        </w:rPr>
        <w:t>قرار السلطات التنفيذية في الدولة الطرف ب</w:t>
      </w:r>
      <w:r w:rsidRPr="009862AE">
        <w:rPr>
          <w:rtl/>
        </w:rPr>
        <w:t xml:space="preserve">منع صاحب البلاغات من الاعتصام في مكان عام يشكل انتهاكاً للمادة 19 من العهد. ويتضح من المواد المعروضة على اللجنة أن </w:t>
      </w:r>
      <w:r w:rsidRPr="009862AE">
        <w:rPr>
          <w:rFonts w:hint="cs"/>
          <w:rtl/>
        </w:rPr>
        <w:t>تصرف</w:t>
      </w:r>
      <w:r w:rsidRPr="009862AE">
        <w:rPr>
          <w:rtl/>
        </w:rPr>
        <w:t xml:space="preserve"> صاحب البلاغ وصف</w:t>
      </w:r>
      <w:r w:rsidRPr="009862AE">
        <w:rPr>
          <w:rFonts w:hint="cs"/>
          <w:rtl/>
        </w:rPr>
        <w:t xml:space="preserve"> من قبل</w:t>
      </w:r>
      <w:r w:rsidRPr="009862AE">
        <w:rPr>
          <w:rtl/>
        </w:rPr>
        <w:t xml:space="preserve"> المحاكم </w:t>
      </w:r>
      <w:r w:rsidRPr="009862AE">
        <w:rPr>
          <w:rFonts w:hint="cs"/>
          <w:rtl/>
        </w:rPr>
        <w:t xml:space="preserve">على أنه طلب </w:t>
      </w:r>
      <w:r w:rsidRPr="009862AE">
        <w:rPr>
          <w:rtl/>
        </w:rPr>
        <w:t>ل</w:t>
      </w:r>
      <w:r w:rsidRPr="009862AE">
        <w:rPr>
          <w:rFonts w:hint="cs"/>
          <w:rtl/>
        </w:rPr>
        <w:t>عقد تظاهرة عامة و</w:t>
      </w:r>
      <w:r w:rsidRPr="009862AE">
        <w:rPr>
          <w:rtl/>
        </w:rPr>
        <w:t xml:space="preserve">رفض على أساس أن </w:t>
      </w:r>
      <w:r w:rsidRPr="009862AE">
        <w:rPr>
          <w:rFonts w:hint="cs"/>
          <w:rtl/>
        </w:rPr>
        <w:t>المكان</w:t>
      </w:r>
      <w:r w:rsidRPr="009862AE">
        <w:rPr>
          <w:rtl/>
        </w:rPr>
        <w:t xml:space="preserve"> المختار ليس </w:t>
      </w:r>
      <w:r w:rsidRPr="009862AE">
        <w:rPr>
          <w:rFonts w:hint="cs"/>
          <w:rtl/>
        </w:rPr>
        <w:t>من</w:t>
      </w:r>
      <w:r w:rsidRPr="009862AE">
        <w:rPr>
          <w:rtl/>
        </w:rPr>
        <w:t xml:space="preserve"> الأماكن التي تسمح فيها السلطات التنفيذية للمدينة بالاعتصام</w:t>
      </w:r>
      <w:r w:rsidRPr="009862AE">
        <w:rPr>
          <w:rFonts w:hint="cs"/>
          <w:rtl/>
        </w:rPr>
        <w:t xml:space="preserve">، ولأن صاحب البلاغ لم يثبت تكفله </w:t>
      </w:r>
      <w:r w:rsidRPr="009862AE">
        <w:rPr>
          <w:rFonts w:hint="cs"/>
          <w:rtl/>
          <w:lang w:eastAsia="ar-SA"/>
        </w:rPr>
        <w:t>بمسائل الرعاية الطبية والأمن والتنظيف أثناء الاعتصام</w:t>
      </w:r>
      <w:r w:rsidRPr="009862AE">
        <w:rPr>
          <w:rtl/>
        </w:rPr>
        <w:t>.</w:t>
      </w:r>
      <w:r w:rsidRPr="009862AE">
        <w:rPr>
          <w:rFonts w:hint="cs"/>
          <w:rtl/>
        </w:rPr>
        <w:t xml:space="preserve"> </w:t>
      </w:r>
      <w:r w:rsidRPr="009862AE">
        <w:rPr>
          <w:rtl/>
        </w:rPr>
        <w:t xml:space="preserve">وترى اللجنة أن </w:t>
      </w:r>
      <w:r w:rsidRPr="009862AE">
        <w:rPr>
          <w:rFonts w:hint="cs"/>
          <w:rtl/>
        </w:rPr>
        <w:t>ال</w:t>
      </w:r>
      <w:r w:rsidRPr="009862AE">
        <w:rPr>
          <w:rtl/>
        </w:rPr>
        <w:t>إجراءات المذكورة أعلاه</w:t>
      </w:r>
      <w:r w:rsidRPr="009862AE">
        <w:rPr>
          <w:rFonts w:hint="cs"/>
          <w:rtl/>
        </w:rPr>
        <w:t xml:space="preserve"> التي اتخذتها </w:t>
      </w:r>
      <w:r w:rsidRPr="009862AE">
        <w:rPr>
          <w:rtl/>
        </w:rPr>
        <w:t>السلطات، بغض النظر عن تقييمها من الناحية القانونية، تمثل في الواقع تقييداً لحقوق صاحب البلاغات، خصوصاً الحق في نقل المعلومات والأفكار</w:t>
      </w:r>
      <w:r w:rsidRPr="009862AE">
        <w:rPr>
          <w:rFonts w:hint="cs"/>
          <w:rtl/>
        </w:rPr>
        <w:t xml:space="preserve"> أياًّ كان نوعها</w:t>
      </w:r>
      <w:r w:rsidRPr="009862AE">
        <w:rPr>
          <w:rtl/>
        </w:rPr>
        <w:t>، وهي حرية تكفلها المادة 19 من العهد.</w:t>
      </w:r>
    </w:p>
    <w:p w:rsidR="008D3DC8" w:rsidRPr="009862AE" w:rsidRDefault="008D3DC8" w:rsidP="00884D8A">
      <w:pPr>
        <w:pStyle w:val="SingleTxtGA"/>
        <w:rPr>
          <w:rtl/>
        </w:rPr>
      </w:pPr>
      <w:r w:rsidRPr="009862AE">
        <w:rPr>
          <w:rFonts w:hint="cs"/>
          <w:rtl/>
        </w:rPr>
        <w:t>8-3</w:t>
      </w:r>
      <w:r w:rsidRPr="009862AE">
        <w:rPr>
          <w:rFonts w:hint="cs"/>
          <w:rtl/>
        </w:rPr>
        <w:tab/>
      </w:r>
      <w:r w:rsidRPr="009862AE">
        <w:rPr>
          <w:rtl/>
        </w:rPr>
        <w:t xml:space="preserve">وتشير اللجنة إلى تعليقها العام رقم 34(2011) بشأن حرية الرأي والتعبير، </w:t>
      </w:r>
      <w:r w:rsidRPr="009862AE">
        <w:rPr>
          <w:rFonts w:hint="cs"/>
          <w:rtl/>
        </w:rPr>
        <w:t>الذي</w:t>
      </w:r>
      <w:r w:rsidRPr="009862AE">
        <w:rPr>
          <w:rtl/>
        </w:rPr>
        <w:t xml:space="preserve"> جاء فيه أن حرية الرأي وحرية التعبير شرطان لا غنى عنهما لنماء الشخص نماءً كاملاً، وأن هاتين الحريتين ضروريتان لأي مجتمع</w:t>
      </w:r>
      <w:r w:rsidRPr="009862AE">
        <w:rPr>
          <w:vertAlign w:val="superscript"/>
          <w:rtl/>
        </w:rPr>
        <w:t>(</w:t>
      </w:r>
      <w:r w:rsidRPr="009862AE">
        <w:rPr>
          <w:rStyle w:val="FootnoteReference"/>
          <w:rtl/>
        </w:rPr>
        <w:footnoteReference w:id="16"/>
      </w:r>
      <w:r w:rsidRPr="009862AE">
        <w:rPr>
          <w:vertAlign w:val="superscript"/>
          <w:rtl/>
        </w:rPr>
        <w:t>)</w:t>
      </w:r>
      <w:r w:rsidR="001E2A29" w:rsidRPr="009862AE">
        <w:rPr>
          <w:rFonts w:hint="cs"/>
          <w:rtl/>
        </w:rPr>
        <w:t>.</w:t>
      </w:r>
      <w:r w:rsidRPr="009862AE">
        <w:rPr>
          <w:rtl/>
        </w:rPr>
        <w:t xml:space="preserve"> فهما تشكلان حجر الأساس لكل مجتمع حر </w:t>
      </w:r>
      <w:r w:rsidRPr="009862AE">
        <w:rPr>
          <w:rtl/>
        </w:rPr>
        <w:lastRenderedPageBreak/>
        <w:t>وديمقراطي</w:t>
      </w:r>
      <w:r w:rsidRPr="009862AE">
        <w:rPr>
          <w:vertAlign w:val="superscript"/>
          <w:rtl/>
        </w:rPr>
        <w:t>(</w:t>
      </w:r>
      <w:r w:rsidRPr="009862AE">
        <w:rPr>
          <w:rStyle w:val="FootnoteReference"/>
          <w:rtl/>
        </w:rPr>
        <w:footnoteReference w:id="17"/>
      </w:r>
      <w:r w:rsidRPr="009862AE">
        <w:rPr>
          <w:vertAlign w:val="superscript"/>
          <w:rtl/>
        </w:rPr>
        <w:t>)</w:t>
      </w:r>
      <w:r w:rsidR="001E2A29" w:rsidRPr="009862AE">
        <w:rPr>
          <w:rFonts w:hint="cs"/>
          <w:rtl/>
        </w:rPr>
        <w:t>.</w:t>
      </w:r>
      <w:r w:rsidRPr="009862AE">
        <w:rPr>
          <w:rFonts w:hint="cs"/>
          <w:rtl/>
        </w:rPr>
        <w:t xml:space="preserve"> </w:t>
      </w:r>
      <w:r w:rsidRPr="009862AE">
        <w:rPr>
          <w:rtl/>
        </w:rPr>
        <w:t>وتذكّر اللجنة بأن المادة 19(3) من العهد تجيز فرض بعض القيود، لكن شريطة أن تكون محددة بنص القانون وأن تكون ضرورية (أ) لاحترام حقوق الآخرين وسمعتهم، و(ب) لحماية الأمن القومي أو النظام العام أو الصحة العامة أو الآداب العامة.</w:t>
      </w:r>
      <w:r w:rsidRPr="009862AE">
        <w:rPr>
          <w:rFonts w:hint="cs"/>
          <w:rtl/>
        </w:rPr>
        <w:t xml:space="preserve"> </w:t>
      </w:r>
      <w:r w:rsidRPr="009862AE">
        <w:rPr>
          <w:rtl/>
        </w:rPr>
        <w:t>وأي تقييد لممارسة هاتين الحريتين يجب أن يكون متوافقاً مع المعيارين الصارمين المتمثلين في الضرورة والتناسب.</w:t>
      </w:r>
      <w:r w:rsidRPr="009862AE">
        <w:rPr>
          <w:rFonts w:cs="Times New Roman" w:hint="cs"/>
          <w:rtl/>
        </w:rPr>
        <w:t>‬</w:t>
      </w:r>
      <w:r w:rsidRPr="009862AE">
        <w:rPr>
          <w:rFonts w:hint="cs"/>
          <w:rtl/>
        </w:rPr>
        <w:t xml:space="preserve"> </w:t>
      </w:r>
      <w:r w:rsidRPr="009862AE">
        <w:rPr>
          <w:rtl/>
        </w:rPr>
        <w:t>ويجب ألاّ تُفرض القيود إلا لتلك الأغراض التي حددت من أجلها ويجب أن تكون متصلة اتصالاً مباشراً بالحاجة المحددة التي فُرضت من أجلها</w:t>
      </w:r>
      <w:r w:rsidRPr="009862AE">
        <w:rPr>
          <w:vertAlign w:val="superscript"/>
          <w:rtl/>
        </w:rPr>
        <w:t>(</w:t>
      </w:r>
      <w:r w:rsidRPr="009862AE">
        <w:rPr>
          <w:rStyle w:val="FootnoteReference"/>
          <w:rtl/>
        </w:rPr>
        <w:footnoteReference w:id="18"/>
      </w:r>
      <w:r w:rsidRPr="009862AE">
        <w:rPr>
          <w:vertAlign w:val="superscript"/>
          <w:rtl/>
        </w:rPr>
        <w:t>)</w:t>
      </w:r>
      <w:r w:rsidR="001E2A29" w:rsidRPr="009862AE">
        <w:rPr>
          <w:rFonts w:hint="cs"/>
          <w:rtl/>
        </w:rPr>
        <w:t>.</w:t>
      </w:r>
      <w:r w:rsidRPr="009862AE">
        <w:rPr>
          <w:rFonts w:hint="cs"/>
          <w:rtl/>
        </w:rPr>
        <w:t xml:space="preserve"> وتُذكّر</w:t>
      </w:r>
      <w:r w:rsidRPr="009862AE">
        <w:rPr>
          <w:rtl/>
        </w:rPr>
        <w:t xml:space="preserve"> اللجنة</w:t>
      </w:r>
      <w:r w:rsidRPr="009862AE">
        <w:rPr>
          <w:vertAlign w:val="superscript"/>
          <w:rtl/>
        </w:rPr>
        <w:t>(</w:t>
      </w:r>
      <w:r w:rsidRPr="009862AE">
        <w:rPr>
          <w:rStyle w:val="FootnoteReference"/>
          <w:rtl/>
        </w:rPr>
        <w:footnoteReference w:id="19"/>
      </w:r>
      <w:r w:rsidRPr="009862AE">
        <w:rPr>
          <w:vertAlign w:val="superscript"/>
          <w:rtl/>
        </w:rPr>
        <w:t>)</w:t>
      </w:r>
      <w:r w:rsidRPr="009862AE">
        <w:rPr>
          <w:rtl/>
        </w:rPr>
        <w:t xml:space="preserve"> بأن الدولة الطرف هي من يجب أن يثبت أن القيود المفروضة على حقوق صاحب البلاغ التي تكفلها المادة 19 من العهد ضرورية ومتناسبة</w:t>
      </w:r>
      <w:r w:rsidRPr="009862AE">
        <w:rPr>
          <w:vertAlign w:val="superscript"/>
          <w:rtl/>
        </w:rPr>
        <w:t>(</w:t>
      </w:r>
      <w:r w:rsidRPr="009862AE">
        <w:rPr>
          <w:rStyle w:val="FootnoteReference"/>
          <w:rtl/>
        </w:rPr>
        <w:footnoteReference w:id="20"/>
      </w:r>
      <w:r w:rsidRPr="009862AE">
        <w:rPr>
          <w:vertAlign w:val="superscript"/>
          <w:rtl/>
        </w:rPr>
        <w:t>)</w:t>
      </w:r>
      <w:r w:rsidR="001E2A29" w:rsidRPr="009862AE">
        <w:rPr>
          <w:rFonts w:hint="cs"/>
          <w:rtl/>
        </w:rPr>
        <w:t>.</w:t>
      </w:r>
      <w:r w:rsidRPr="009862AE">
        <w:rPr>
          <w:rtl/>
        </w:rPr>
        <w:t xml:space="preserve"> و</w:t>
      </w:r>
      <w:r w:rsidRPr="009862AE">
        <w:rPr>
          <w:rFonts w:hint="cs"/>
          <w:rtl/>
        </w:rPr>
        <w:t xml:space="preserve">تلاحظ اللجنة </w:t>
      </w:r>
      <w:r w:rsidRPr="009862AE">
        <w:rPr>
          <w:rtl/>
        </w:rPr>
        <w:t>أن حصر الاعتصامات في بعض الأماكن المحددة مسبقاً،</w:t>
      </w:r>
      <w:r w:rsidRPr="009862AE">
        <w:rPr>
          <w:rFonts w:hint="cs"/>
          <w:rtl/>
        </w:rPr>
        <w:t xml:space="preserve"> وكذلك طلبها من شخص واحد ينظم اعتصام</w:t>
      </w:r>
      <w:r w:rsidR="00884D8A">
        <w:rPr>
          <w:rFonts w:hint="cs"/>
          <w:rtl/>
        </w:rPr>
        <w:t xml:space="preserve">اً </w:t>
      </w:r>
      <w:r w:rsidRPr="009862AE">
        <w:rPr>
          <w:rFonts w:hint="cs"/>
          <w:rtl/>
        </w:rPr>
        <w:t xml:space="preserve">إبرام عقود على خدمات إضافية لتنظيم الاعتصام، لا يبدو أن في ذلك مراعاة لمعياري الضرورة والتناسب بموجب </w:t>
      </w:r>
      <w:r w:rsidRPr="009862AE">
        <w:rPr>
          <w:rtl/>
        </w:rPr>
        <w:t>أحكام المادة</w:t>
      </w:r>
      <w:r w:rsidR="009862AE" w:rsidRPr="009862AE">
        <w:rPr>
          <w:rFonts w:hint="cs"/>
          <w:rtl/>
        </w:rPr>
        <w:t> </w:t>
      </w:r>
      <w:r w:rsidRPr="009862AE">
        <w:rPr>
          <w:rtl/>
        </w:rPr>
        <w:t>19 من العهد.</w:t>
      </w:r>
      <w:r w:rsidRPr="009862AE">
        <w:rPr>
          <w:rFonts w:hint="cs"/>
          <w:rtl/>
        </w:rPr>
        <w:t xml:space="preserve"> وتلاحظ اللجنة أنه لا الدولة الطرف ولا محاكمها الوطنية قدمت تبرير</w:t>
      </w:r>
      <w:r w:rsidR="00884D8A">
        <w:rPr>
          <w:rFonts w:hint="cs"/>
          <w:rtl/>
        </w:rPr>
        <w:t xml:space="preserve">اً </w:t>
      </w:r>
      <w:r w:rsidRPr="009862AE">
        <w:rPr>
          <w:rFonts w:hint="cs"/>
          <w:rtl/>
        </w:rPr>
        <w:t xml:space="preserve">على فرض هذه القيود. </w:t>
      </w:r>
      <w:r w:rsidRPr="009862AE">
        <w:rPr>
          <w:rtl/>
        </w:rPr>
        <w:t>وترى اللجنة</w:t>
      </w:r>
      <w:r w:rsidRPr="009862AE">
        <w:rPr>
          <w:rFonts w:hint="cs"/>
          <w:rtl/>
        </w:rPr>
        <w:t>، بالنظر إلى ملابسات القضية،</w:t>
      </w:r>
      <w:r w:rsidRPr="009862AE">
        <w:rPr>
          <w:rtl/>
        </w:rPr>
        <w:t xml:space="preserve"> </w:t>
      </w:r>
      <w:r w:rsidRPr="009862AE">
        <w:rPr>
          <w:rFonts w:hint="cs"/>
          <w:rtl/>
        </w:rPr>
        <w:t xml:space="preserve">أن </w:t>
      </w:r>
      <w:r w:rsidRPr="009862AE">
        <w:rPr>
          <w:rtl/>
        </w:rPr>
        <w:t xml:space="preserve">قرارات المنع التي طُبقت </w:t>
      </w:r>
      <w:r w:rsidRPr="009862AE">
        <w:rPr>
          <w:rFonts w:hint="cs"/>
          <w:rtl/>
        </w:rPr>
        <w:t>على</w:t>
      </w:r>
      <w:r w:rsidRPr="009862AE">
        <w:rPr>
          <w:rtl/>
        </w:rPr>
        <w:t xml:space="preserve"> صاحب البلاغات، رغم </w:t>
      </w:r>
      <w:r w:rsidRPr="009862AE">
        <w:rPr>
          <w:rFonts w:hint="cs"/>
          <w:rtl/>
        </w:rPr>
        <w:t>استنادها</w:t>
      </w:r>
      <w:r w:rsidRPr="009862AE">
        <w:rPr>
          <w:rtl/>
        </w:rPr>
        <w:t xml:space="preserve"> إلى القوانين المحلية، لم تكن مبررة وفقاً للشروط المبينة في الفقرة 3 من المادة 19 من العهد. وتخلص بالتالي إلى أن حقوق صاحب البلاغات بموجب الفقرة 2 من المادة 19 من العهد قد انتهكت</w:t>
      </w:r>
      <w:r w:rsidRPr="009862AE">
        <w:rPr>
          <w:rFonts w:hint="cs"/>
          <w:rtl/>
        </w:rPr>
        <w:t>.</w:t>
      </w:r>
    </w:p>
    <w:p w:rsidR="008D3DC8" w:rsidRPr="009862AE" w:rsidRDefault="008D3DC8" w:rsidP="009862AE">
      <w:pPr>
        <w:pStyle w:val="SingleTxtGA"/>
        <w:rPr>
          <w:rtl/>
        </w:rPr>
      </w:pPr>
      <w:r w:rsidRPr="009862AE">
        <w:rPr>
          <w:rtl/>
        </w:rPr>
        <w:t>9-</w:t>
      </w:r>
      <w:r w:rsidRPr="009862AE">
        <w:rPr>
          <w:rtl/>
        </w:rPr>
        <w:tab/>
        <w:t>وإن اللجنة، إذ تتصرف بموجب المادة 5(4) من البروتوكول الاختياري، ترى أن الوقائع المعروضة عليها تكشف عن حدوث انتهاك لحقوق صاحب البلاغ بموجب</w:t>
      </w:r>
      <w:r w:rsidRPr="009862AE">
        <w:rPr>
          <w:rFonts w:hint="cs"/>
          <w:rtl/>
        </w:rPr>
        <w:t xml:space="preserve"> الفقرة 2 من</w:t>
      </w:r>
      <w:r w:rsidRPr="009862AE">
        <w:rPr>
          <w:rtl/>
        </w:rPr>
        <w:t xml:space="preserve"> الماد</w:t>
      </w:r>
      <w:r w:rsidRPr="009862AE">
        <w:rPr>
          <w:rFonts w:hint="cs"/>
          <w:rtl/>
        </w:rPr>
        <w:t>ة</w:t>
      </w:r>
      <w:r w:rsidR="009862AE" w:rsidRPr="009862AE">
        <w:rPr>
          <w:rFonts w:hint="cs"/>
          <w:rtl/>
        </w:rPr>
        <w:t> </w:t>
      </w:r>
      <w:r w:rsidRPr="009862AE">
        <w:rPr>
          <w:rtl/>
        </w:rPr>
        <w:t>19 من العهد.</w:t>
      </w:r>
    </w:p>
    <w:p w:rsidR="008D3DC8" w:rsidRPr="009862AE" w:rsidRDefault="008D3DC8" w:rsidP="001E2A29">
      <w:pPr>
        <w:pStyle w:val="SingleTxtGA"/>
        <w:rPr>
          <w:rtl/>
        </w:rPr>
      </w:pPr>
      <w:r w:rsidRPr="009862AE">
        <w:rPr>
          <w:rtl/>
        </w:rPr>
        <w:t>10-</w:t>
      </w:r>
      <w:r w:rsidRPr="009862AE">
        <w:rPr>
          <w:rtl/>
        </w:rPr>
        <w:tab/>
        <w:t xml:space="preserve">ووفقاً للمادة 2(3)(أ) من العهد، يقع على عاتق الدولة الطرف التزام بأن تتيح لصاحب البلاغ سبيل انتصاف فعالاً. وهذا يتطلب منها أن تجبر الضرر </w:t>
      </w:r>
      <w:r w:rsidRPr="009862AE">
        <w:rPr>
          <w:rFonts w:hint="cs"/>
          <w:rtl/>
        </w:rPr>
        <w:t>الذي لحق</w:t>
      </w:r>
      <w:r w:rsidRPr="009862AE">
        <w:rPr>
          <w:rtl/>
        </w:rPr>
        <w:t xml:space="preserve"> بالأفراد الذين انتُهكت حقوقهم المكفولة بموجب العهد</w:t>
      </w:r>
      <w:r w:rsidRPr="009862AE">
        <w:rPr>
          <w:rFonts w:hint="cs"/>
          <w:rtl/>
        </w:rPr>
        <w:t xml:space="preserve"> جبراً كاملاً</w:t>
      </w:r>
      <w:r w:rsidRPr="009862AE">
        <w:rPr>
          <w:rtl/>
        </w:rPr>
        <w:t xml:space="preserve">. وبناء ًعليه، فإن الدولة الطرف ملزمة، في جملة أمور، </w:t>
      </w:r>
      <w:r w:rsidRPr="009862AE">
        <w:rPr>
          <w:rFonts w:hint="cs"/>
          <w:rtl/>
        </w:rPr>
        <w:t>باتخاذ الخطوات اللازمة لتمكين</w:t>
      </w:r>
      <w:r w:rsidRPr="009862AE">
        <w:rPr>
          <w:rtl/>
        </w:rPr>
        <w:t xml:space="preserve"> صاحب البلاغ </w:t>
      </w:r>
      <w:r w:rsidRPr="009862AE">
        <w:rPr>
          <w:rFonts w:hint="cs"/>
          <w:rtl/>
        </w:rPr>
        <w:t xml:space="preserve">من الحصول على </w:t>
      </w:r>
      <w:r w:rsidRPr="009862AE">
        <w:rPr>
          <w:rtl/>
        </w:rPr>
        <w:t xml:space="preserve">التعويض </w:t>
      </w:r>
      <w:r w:rsidRPr="009862AE">
        <w:rPr>
          <w:rFonts w:hint="cs"/>
          <w:rtl/>
        </w:rPr>
        <w:t>المناسب</w:t>
      </w:r>
      <w:r w:rsidRPr="009862AE">
        <w:rPr>
          <w:rtl/>
        </w:rPr>
        <w:t xml:space="preserve"> وب</w:t>
      </w:r>
      <w:r w:rsidRPr="009862AE">
        <w:rPr>
          <w:rFonts w:hint="cs"/>
          <w:rtl/>
        </w:rPr>
        <w:t xml:space="preserve">اتخاذ خطوات لمنع تكرار مثل هذه الانتهاكات مستقبلاً. </w:t>
      </w:r>
      <w:r w:rsidRPr="009862AE">
        <w:rPr>
          <w:rtl/>
        </w:rPr>
        <w:t xml:space="preserve">وفي هذا الصدد، تؤكد اللجنة من جديد أن على الدولة الطرف </w:t>
      </w:r>
      <w:r w:rsidRPr="009862AE">
        <w:rPr>
          <w:rFonts w:hint="cs"/>
          <w:rtl/>
        </w:rPr>
        <w:t xml:space="preserve">مراجعة تشريعاتها غير المتوافقة مع التزامها بموجب الفقرة 2 من المادة 2 من العهد، </w:t>
      </w:r>
      <w:r w:rsidRPr="009862AE">
        <w:rPr>
          <w:rtl/>
        </w:rPr>
        <w:t xml:space="preserve">وخاصة القرار رقم </w:t>
      </w:r>
      <w:r w:rsidRPr="009862AE">
        <w:rPr>
          <w:rFonts w:hint="cs"/>
          <w:rtl/>
        </w:rPr>
        <w:t>881</w:t>
      </w:r>
      <w:r w:rsidRPr="009862AE">
        <w:rPr>
          <w:rtl/>
        </w:rPr>
        <w:t xml:space="preserve"> الصادر عن اللجنة التنفيذية لمدينة </w:t>
      </w:r>
      <w:proofErr w:type="spellStart"/>
      <w:r w:rsidRPr="009862AE">
        <w:rPr>
          <w:rFonts w:hint="cs"/>
          <w:rtl/>
          <w:lang w:eastAsia="ar-SA"/>
        </w:rPr>
        <w:t>فيتيبسك</w:t>
      </w:r>
      <w:proofErr w:type="spellEnd"/>
      <w:r w:rsidRPr="009862AE">
        <w:rPr>
          <w:rFonts w:hint="cs"/>
          <w:rtl/>
          <w:lang w:eastAsia="ar-SA"/>
        </w:rPr>
        <w:t xml:space="preserve"> </w:t>
      </w:r>
      <w:r w:rsidRPr="009862AE">
        <w:rPr>
          <w:rtl/>
        </w:rPr>
        <w:t xml:space="preserve">وقانون </w:t>
      </w:r>
      <w:r w:rsidRPr="009862AE">
        <w:rPr>
          <w:rFonts w:hint="cs"/>
          <w:rtl/>
        </w:rPr>
        <w:t>التظاهرات العامة</w:t>
      </w:r>
      <w:r w:rsidRPr="009862AE">
        <w:rPr>
          <w:rtl/>
        </w:rPr>
        <w:t xml:space="preserve"> الصادر في 30 كانون الأول/ديسمبر 1997، كما طُبِّقا في </w:t>
      </w:r>
      <w:r w:rsidRPr="009862AE">
        <w:rPr>
          <w:rtl/>
        </w:rPr>
        <w:lastRenderedPageBreak/>
        <w:t>هذه القضية، بغية ضمان التمتع بالحقوق المنصوص عليها في المادتين 19 و21 من العهد تمتعاً تاماً في الدولة الطرف</w:t>
      </w:r>
      <w:r w:rsidRPr="009862AE">
        <w:rPr>
          <w:vertAlign w:val="superscript"/>
          <w:rtl/>
        </w:rPr>
        <w:t>(</w:t>
      </w:r>
      <w:r w:rsidRPr="009862AE">
        <w:rPr>
          <w:rStyle w:val="FootnoteReference"/>
          <w:rtl/>
        </w:rPr>
        <w:footnoteReference w:id="21"/>
      </w:r>
      <w:r w:rsidRPr="009862AE">
        <w:rPr>
          <w:vertAlign w:val="superscript"/>
          <w:rtl/>
        </w:rPr>
        <w:t>)</w:t>
      </w:r>
      <w:r w:rsidR="001E2A29" w:rsidRPr="009862AE">
        <w:rPr>
          <w:rFonts w:hint="cs"/>
          <w:rtl/>
        </w:rPr>
        <w:t>.</w:t>
      </w:r>
    </w:p>
    <w:p w:rsidR="00B54045" w:rsidRPr="009862AE" w:rsidRDefault="008D3DC8" w:rsidP="008D3DC8">
      <w:pPr>
        <w:pStyle w:val="SingleTxtGA"/>
        <w:rPr>
          <w:sz w:val="36"/>
          <w:szCs w:val="36"/>
          <w:rtl/>
        </w:rPr>
      </w:pPr>
      <w:r w:rsidRPr="009862AE">
        <w:rPr>
          <w:rtl/>
        </w:rPr>
        <w:t>11-</w:t>
      </w:r>
      <w:r w:rsidRPr="009862AE">
        <w:rPr>
          <w:rtl/>
        </w:rPr>
        <w:tab/>
        <w:t>وبالنظر إلى أن الدولة الطرف، بانضمامها إلى البروتوكول الاختياري، قد اعترفت باختصاص اللجنة في تحديد ما إذا كان قد حدث انتهاك لأحكام العهد أم لا، وأن الدولة الطرف قد تعهدت، بموجب المادة 2 من العهد، بأن تكفل لجميع الأفراد الموجودين داخل إقليميها أو الخاضعين لولايتها الحقوق المعترف بها في العهد وأن تتيح سبل انتصاف فعالة وقابلة للإنفاذ عن</w:t>
      </w:r>
      <w:r w:rsidRPr="009862AE">
        <w:rPr>
          <w:rFonts w:hint="cs"/>
          <w:rtl/>
        </w:rPr>
        <w:t>د</w:t>
      </w:r>
      <w:r w:rsidRPr="009862AE">
        <w:rPr>
          <w:rtl/>
        </w:rPr>
        <w:t xml:space="preserve"> ثبوت حدوث انتهاك، تود اللجنة أن تتلقى من الدولة الطرف، في غضون 180 يوماً، معلومات عن التدابير المتخذة لوضع آراء اللجنة هذه موضع التنفيذ. ويُطلب إلى الدولة الطرف أيضاً نشر هذه الآراء وتعميمها على نطاق واسع باللغتين البيلاروسية والروسية في الدولة الطرف</w:t>
      </w:r>
      <w:r w:rsidR="00636AFF" w:rsidRPr="009862AE">
        <w:rPr>
          <w:rFonts w:hint="cs"/>
          <w:sz w:val="36"/>
          <w:szCs w:val="36"/>
          <w:rtl/>
        </w:rPr>
        <w:t>.</w:t>
      </w:r>
    </w:p>
    <w:p w:rsidR="00636AFF" w:rsidRPr="009862AE" w:rsidRDefault="00726C7A" w:rsidP="00726C7A">
      <w:pPr>
        <w:spacing w:before="120"/>
        <w:jc w:val="center"/>
        <w:rPr>
          <w:u w:val="single"/>
          <w:rtl/>
        </w:rPr>
      </w:pPr>
      <w:r w:rsidRPr="009862AE">
        <w:rPr>
          <w:u w:val="single"/>
          <w:rtl/>
        </w:rPr>
        <w:tab/>
      </w:r>
      <w:r w:rsidRPr="009862AE">
        <w:rPr>
          <w:u w:val="single"/>
          <w:rtl/>
        </w:rPr>
        <w:tab/>
      </w:r>
      <w:r w:rsidRPr="009862AE">
        <w:rPr>
          <w:u w:val="single"/>
          <w:rtl/>
        </w:rPr>
        <w:tab/>
      </w:r>
    </w:p>
    <w:sectPr w:rsidR="00636AFF" w:rsidRPr="009862AE" w:rsidSect="003008A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9A" w:rsidRPr="002901D9" w:rsidRDefault="0077139A" w:rsidP="002901D9">
      <w:pPr>
        <w:spacing w:after="60" w:line="240" w:lineRule="auto"/>
        <w:rPr>
          <w:i/>
          <w:iCs/>
        </w:rPr>
      </w:pPr>
      <w:r>
        <w:rPr>
          <w:rFonts w:hint="cs"/>
          <w:i/>
          <w:iCs/>
          <w:rtl/>
        </w:rPr>
        <w:t>الحواشي</w:t>
      </w:r>
    </w:p>
  </w:endnote>
  <w:endnote w:type="continuationSeparator" w:id="0">
    <w:p w:rsidR="0077139A" w:rsidRDefault="0077139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C8" w:rsidRPr="008D3DC8" w:rsidRDefault="008D3DC8" w:rsidP="008D3DC8">
    <w:pPr>
      <w:pStyle w:val="Footer"/>
      <w:tabs>
        <w:tab w:val="right" w:pos="9598"/>
      </w:tabs>
      <w:rPr>
        <w:sz w:val="17"/>
      </w:rPr>
    </w:pPr>
    <w:r>
      <w:rPr>
        <w:sz w:val="17"/>
      </w:rPr>
      <w:t>GE.16-15631</w:t>
    </w:r>
    <w:r>
      <w:rPr>
        <w:sz w:val="17"/>
      </w:rPr>
      <w:tab/>
    </w:r>
    <w:r w:rsidRPr="008D3DC8">
      <w:rPr>
        <w:b/>
        <w:sz w:val="18"/>
      </w:rPr>
      <w:fldChar w:fldCharType="begin"/>
    </w:r>
    <w:r w:rsidRPr="008D3DC8">
      <w:rPr>
        <w:b/>
        <w:sz w:val="18"/>
      </w:rPr>
      <w:instrText xml:space="preserve"> PAGE  \* MERGEFORMAT </w:instrText>
    </w:r>
    <w:r w:rsidRPr="008D3DC8">
      <w:rPr>
        <w:b/>
        <w:sz w:val="18"/>
      </w:rPr>
      <w:fldChar w:fldCharType="separate"/>
    </w:r>
    <w:r w:rsidR="00DB55B3">
      <w:rPr>
        <w:b/>
        <w:noProof/>
        <w:sz w:val="18"/>
      </w:rPr>
      <w:t>2</w:t>
    </w:r>
    <w:r w:rsidRPr="008D3DC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8D3DC8" w:rsidRDefault="008D3DC8" w:rsidP="006959B0">
    <w:pPr>
      <w:pStyle w:val="Footer"/>
      <w:tabs>
        <w:tab w:val="right" w:pos="9599"/>
      </w:tabs>
      <w:jc w:val="left"/>
      <w:rPr>
        <w:b/>
        <w:sz w:val="18"/>
        <w:lang w:val="en-US"/>
      </w:rPr>
    </w:pPr>
    <w:r w:rsidRPr="008D3DC8">
      <w:rPr>
        <w:b/>
        <w:sz w:val="18"/>
        <w:lang w:val="en-US"/>
      </w:rPr>
      <w:fldChar w:fldCharType="begin"/>
    </w:r>
    <w:r w:rsidRPr="008D3DC8">
      <w:rPr>
        <w:b/>
        <w:sz w:val="18"/>
        <w:lang w:val="en-US"/>
      </w:rPr>
      <w:instrText xml:space="preserve"> PAGE  \* MERGEFORMAT </w:instrText>
    </w:r>
    <w:r w:rsidRPr="008D3DC8">
      <w:rPr>
        <w:b/>
        <w:sz w:val="18"/>
        <w:lang w:val="en-US"/>
      </w:rPr>
      <w:fldChar w:fldCharType="separate"/>
    </w:r>
    <w:r w:rsidR="00DB55B3">
      <w:rPr>
        <w:b/>
        <w:noProof/>
        <w:sz w:val="18"/>
        <w:lang w:val="en-US"/>
      </w:rPr>
      <w:t>9</w:t>
    </w:r>
    <w:r w:rsidRPr="008D3DC8">
      <w:rPr>
        <w:b/>
        <w:sz w:val="18"/>
        <w:lang w:val="en-US"/>
      </w:rPr>
      <w:fldChar w:fldCharType="end"/>
    </w:r>
    <w:r>
      <w:rPr>
        <w:b/>
        <w:sz w:val="18"/>
        <w:lang w:val="en-US"/>
      </w:rPr>
      <w:tab/>
    </w:r>
    <w:r>
      <w:rPr>
        <w:sz w:val="17"/>
        <w:lang w:val="en-US"/>
      </w:rPr>
      <w:t>GE.16-15631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3008A3" w:rsidP="00DE50B1">
    <w:pPr>
      <w:pStyle w:val="Footer"/>
      <w:jc w:val="right"/>
      <w:rPr>
        <w:sz w:val="20"/>
        <w:szCs w:val="20"/>
      </w:rPr>
    </w:pPr>
    <w:r>
      <w:rPr>
        <w:sz w:val="20"/>
        <w:szCs w:val="20"/>
      </w:rPr>
      <w:t>GE.16-15631</w:t>
    </w:r>
    <w:r w:rsidR="00DE50B1">
      <w:rPr>
        <w:noProof/>
        <w:lang w:val="en-US"/>
      </w:rPr>
      <w:drawing>
        <wp:anchor distT="0" distB="0" distL="114300" distR="114300" simplePos="0" relativeHeight="251659264" behindDoc="1" locked="1" layoutInCell="0" allowOverlap="1" wp14:anchorId="233A0382" wp14:editId="03A5619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3008A3" w:rsidRPr="003008A3" w:rsidRDefault="003008A3" w:rsidP="003008A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117/D/2082/201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082/201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9A" w:rsidRPr="00FB67A1" w:rsidRDefault="0077139A" w:rsidP="00FB67A1">
      <w:pPr>
        <w:pStyle w:val="Footer"/>
        <w:bidi/>
        <w:spacing w:after="80" w:line="200" w:lineRule="exact"/>
        <w:ind w:left="680"/>
      </w:pPr>
      <w:r>
        <w:rPr>
          <w:rtl/>
        </w:rPr>
        <w:t>__________</w:t>
      </w:r>
    </w:p>
  </w:footnote>
  <w:footnote w:type="continuationSeparator" w:id="0">
    <w:p w:rsidR="0077139A" w:rsidRDefault="0077139A" w:rsidP="00656392">
      <w:pPr>
        <w:spacing w:line="240" w:lineRule="auto"/>
      </w:pPr>
      <w:r>
        <w:continuationSeparator/>
      </w:r>
    </w:p>
  </w:footnote>
  <w:footnote w:id="1">
    <w:p w:rsidR="00035E59" w:rsidRPr="009862AE" w:rsidRDefault="00035E59" w:rsidP="00636AFF">
      <w:pPr>
        <w:pStyle w:val="FootnoteText1"/>
        <w:ind w:left="1360" w:hanging="680"/>
        <w:rPr>
          <w:rtl/>
        </w:rPr>
      </w:pPr>
      <w:r w:rsidRPr="009862AE">
        <w:rPr>
          <w:b/>
          <w:rtl/>
        </w:rPr>
        <w:t>*</w:t>
      </w:r>
      <w:r w:rsidR="00FB67A1" w:rsidRPr="009862AE">
        <w:rPr>
          <w:rFonts w:hint="cs"/>
          <w:rtl/>
        </w:rPr>
        <w:tab/>
        <w:t xml:space="preserve">اعتمدتها اللجنة في دورتها 117 (20 حزيران/يونيه </w:t>
      </w:r>
      <w:r w:rsidR="009862AE">
        <w:rPr>
          <w:rtl/>
        </w:rPr>
        <w:t>-</w:t>
      </w:r>
      <w:r w:rsidR="00FB67A1" w:rsidRPr="009862AE">
        <w:rPr>
          <w:rFonts w:hint="cs"/>
          <w:rtl/>
        </w:rPr>
        <w:t xml:space="preserve"> 15 تموز/يوليه 2016).</w:t>
      </w:r>
    </w:p>
  </w:footnote>
  <w:footnote w:id="2">
    <w:p w:rsidR="00FB67A1" w:rsidRPr="009862AE" w:rsidRDefault="00FB67A1" w:rsidP="00636AFF">
      <w:pPr>
        <w:pStyle w:val="FootnoteText1"/>
        <w:ind w:left="1360" w:hanging="680"/>
        <w:rPr>
          <w:rtl/>
        </w:rPr>
      </w:pPr>
      <w:r w:rsidRPr="009862AE">
        <w:rPr>
          <w:rtl/>
        </w:rPr>
        <w:t>**</w:t>
      </w:r>
      <w:r w:rsidRPr="009862AE">
        <w:rPr>
          <w:rtl/>
        </w:rPr>
        <w:tab/>
        <w:t xml:space="preserve">شارك في </w:t>
      </w:r>
      <w:r w:rsidRPr="009862AE">
        <w:rPr>
          <w:rFonts w:hint="cs"/>
          <w:rtl/>
        </w:rPr>
        <w:t>دراسة</w:t>
      </w:r>
      <w:r w:rsidRPr="009862AE">
        <w:rPr>
          <w:rtl/>
        </w:rPr>
        <w:t xml:space="preserve"> هذا البلاغ أعضاء اللجنة </w:t>
      </w:r>
      <w:r w:rsidRPr="009862AE">
        <w:rPr>
          <w:rFonts w:hint="cs"/>
          <w:rtl/>
        </w:rPr>
        <w:t xml:space="preserve">التالية </w:t>
      </w:r>
      <w:r w:rsidRPr="009862AE">
        <w:rPr>
          <w:rtl/>
        </w:rPr>
        <w:t xml:space="preserve">أسماؤهم: عياض بن عاشور، </w:t>
      </w:r>
      <w:r w:rsidRPr="009862AE">
        <w:rPr>
          <w:rFonts w:hint="cs"/>
          <w:rtl/>
        </w:rPr>
        <w:t>و</w:t>
      </w:r>
      <w:r w:rsidRPr="009862AE">
        <w:rPr>
          <w:rtl/>
        </w:rPr>
        <w:t>لزه</w:t>
      </w:r>
      <w:r w:rsidRPr="009862AE">
        <w:rPr>
          <w:rFonts w:hint="cs"/>
          <w:rtl/>
        </w:rPr>
        <w:t>ا</w:t>
      </w:r>
      <w:r w:rsidRPr="009862AE">
        <w:rPr>
          <w:rtl/>
        </w:rPr>
        <w:t xml:space="preserve">ري بوزيد، </w:t>
      </w:r>
      <w:r w:rsidRPr="009862AE">
        <w:rPr>
          <w:rFonts w:hint="cs"/>
          <w:rtl/>
        </w:rPr>
        <w:t>وسارة</w:t>
      </w:r>
      <w:r w:rsidRPr="009862AE">
        <w:rPr>
          <w:rtl/>
        </w:rPr>
        <w:t xml:space="preserve"> كليفلاند، </w:t>
      </w:r>
      <w:proofErr w:type="spellStart"/>
      <w:r w:rsidRPr="009862AE">
        <w:rPr>
          <w:rFonts w:hint="cs"/>
          <w:rtl/>
        </w:rPr>
        <w:t>و</w:t>
      </w:r>
      <w:r w:rsidRPr="009862AE">
        <w:rPr>
          <w:rtl/>
        </w:rPr>
        <w:t>أوليفيي</w:t>
      </w:r>
      <w:r w:rsidRPr="009862AE">
        <w:rPr>
          <w:rFonts w:hint="cs"/>
          <w:rtl/>
        </w:rPr>
        <w:t>ه</w:t>
      </w:r>
      <w:proofErr w:type="spellEnd"/>
      <w:r w:rsidRPr="009862AE">
        <w:rPr>
          <w:rtl/>
        </w:rPr>
        <w:t xml:space="preserve"> دو </w:t>
      </w:r>
      <w:proofErr w:type="spellStart"/>
      <w:r w:rsidRPr="009862AE">
        <w:rPr>
          <w:rtl/>
        </w:rPr>
        <w:t>فروفي</w:t>
      </w:r>
      <w:r w:rsidRPr="009862AE">
        <w:rPr>
          <w:rFonts w:hint="cs"/>
          <w:rtl/>
        </w:rPr>
        <w:t>ل</w:t>
      </w:r>
      <w:proofErr w:type="spellEnd"/>
      <w:r w:rsidRPr="009862AE">
        <w:rPr>
          <w:rtl/>
        </w:rPr>
        <w:t xml:space="preserve">، </w:t>
      </w:r>
      <w:r w:rsidRPr="009862AE">
        <w:rPr>
          <w:rFonts w:hint="cs"/>
          <w:rtl/>
        </w:rPr>
        <w:t>وأحمد أمين فتح الله، و</w:t>
      </w:r>
      <w:r w:rsidRPr="009862AE">
        <w:rPr>
          <w:rtl/>
        </w:rPr>
        <w:t xml:space="preserve">يوجي </w:t>
      </w:r>
      <w:proofErr w:type="spellStart"/>
      <w:r w:rsidRPr="009862AE">
        <w:rPr>
          <w:rtl/>
        </w:rPr>
        <w:t>إواساوا</w:t>
      </w:r>
      <w:proofErr w:type="spellEnd"/>
      <w:r w:rsidRPr="009862AE">
        <w:rPr>
          <w:rtl/>
        </w:rPr>
        <w:t xml:space="preserve">، </w:t>
      </w:r>
      <w:r w:rsidRPr="009862AE">
        <w:rPr>
          <w:rFonts w:hint="cs"/>
          <w:rtl/>
        </w:rPr>
        <w:t>و</w:t>
      </w:r>
      <w:r w:rsidRPr="009862AE">
        <w:rPr>
          <w:rtl/>
        </w:rPr>
        <w:t xml:space="preserve">إيفانا </w:t>
      </w:r>
      <w:proofErr w:type="spellStart"/>
      <w:r w:rsidRPr="009862AE">
        <w:rPr>
          <w:rFonts w:hint="cs"/>
          <w:rtl/>
        </w:rPr>
        <w:t>ي</w:t>
      </w:r>
      <w:r w:rsidRPr="009862AE">
        <w:rPr>
          <w:rtl/>
        </w:rPr>
        <w:t>يليتش</w:t>
      </w:r>
      <w:proofErr w:type="spellEnd"/>
      <w:r w:rsidRPr="009862AE">
        <w:rPr>
          <w:rtl/>
        </w:rPr>
        <w:t xml:space="preserve">، </w:t>
      </w:r>
      <w:r w:rsidRPr="009862AE">
        <w:rPr>
          <w:rFonts w:hint="cs"/>
          <w:rtl/>
        </w:rPr>
        <w:t>و</w:t>
      </w:r>
      <w:r w:rsidRPr="009862AE">
        <w:rPr>
          <w:rtl/>
        </w:rPr>
        <w:t xml:space="preserve">فوتيني </w:t>
      </w:r>
      <w:proofErr w:type="spellStart"/>
      <w:r w:rsidRPr="009862AE">
        <w:rPr>
          <w:rtl/>
        </w:rPr>
        <w:t>بازارتزيس</w:t>
      </w:r>
      <w:proofErr w:type="spellEnd"/>
      <w:r w:rsidRPr="009862AE">
        <w:rPr>
          <w:rtl/>
        </w:rPr>
        <w:t xml:space="preserve">، </w:t>
      </w:r>
      <w:proofErr w:type="spellStart"/>
      <w:r w:rsidRPr="009862AE">
        <w:rPr>
          <w:rFonts w:hint="cs"/>
          <w:rtl/>
        </w:rPr>
        <w:t>و</w:t>
      </w:r>
      <w:r w:rsidRPr="009862AE">
        <w:rPr>
          <w:rtl/>
        </w:rPr>
        <w:t>ماورو</w:t>
      </w:r>
      <w:proofErr w:type="spellEnd"/>
      <w:r w:rsidRPr="009862AE">
        <w:rPr>
          <w:rtl/>
        </w:rPr>
        <w:t xml:space="preserve"> بوليتي، </w:t>
      </w:r>
      <w:proofErr w:type="spellStart"/>
      <w:r w:rsidRPr="009862AE">
        <w:rPr>
          <w:rFonts w:hint="cs"/>
          <w:rtl/>
        </w:rPr>
        <w:t>و</w:t>
      </w:r>
      <w:r w:rsidRPr="009862AE">
        <w:rPr>
          <w:rtl/>
        </w:rPr>
        <w:t>ن</w:t>
      </w:r>
      <w:r w:rsidRPr="009862AE">
        <w:rPr>
          <w:rFonts w:hint="cs"/>
          <w:rtl/>
        </w:rPr>
        <w:t>ا</w:t>
      </w:r>
      <w:r w:rsidRPr="009862AE">
        <w:rPr>
          <w:rtl/>
        </w:rPr>
        <w:t>يجل</w:t>
      </w:r>
      <w:proofErr w:type="spellEnd"/>
      <w:r w:rsidRPr="009862AE">
        <w:rPr>
          <w:rtl/>
        </w:rPr>
        <w:t xml:space="preserve"> </w:t>
      </w:r>
      <w:proofErr w:type="spellStart"/>
      <w:r w:rsidRPr="009862AE">
        <w:rPr>
          <w:rtl/>
        </w:rPr>
        <w:t>رودلي</w:t>
      </w:r>
      <w:proofErr w:type="spellEnd"/>
      <w:r w:rsidRPr="009862AE">
        <w:rPr>
          <w:rtl/>
        </w:rPr>
        <w:t xml:space="preserve">، </w:t>
      </w:r>
      <w:r w:rsidRPr="009862AE">
        <w:rPr>
          <w:rFonts w:hint="cs"/>
          <w:rtl/>
        </w:rPr>
        <w:t>و</w:t>
      </w:r>
      <w:r w:rsidRPr="009862AE">
        <w:rPr>
          <w:rtl/>
        </w:rPr>
        <w:t xml:space="preserve">فكتور مانويل </w:t>
      </w:r>
      <w:proofErr w:type="spellStart"/>
      <w:r w:rsidRPr="009862AE">
        <w:rPr>
          <w:rtl/>
        </w:rPr>
        <w:t>رودريغي</w:t>
      </w:r>
      <w:r w:rsidRPr="009862AE">
        <w:rPr>
          <w:rFonts w:hint="cs"/>
          <w:rtl/>
        </w:rPr>
        <w:t>س</w:t>
      </w:r>
      <w:proofErr w:type="spellEnd"/>
      <w:r w:rsidRPr="009862AE">
        <w:rPr>
          <w:rFonts w:hint="cs"/>
          <w:rtl/>
        </w:rPr>
        <w:t xml:space="preserve"> </w:t>
      </w:r>
      <w:r w:rsidRPr="009862AE">
        <w:rPr>
          <w:rtl/>
        </w:rPr>
        <w:t>-</w:t>
      </w:r>
      <w:r w:rsidRPr="009862AE">
        <w:rPr>
          <w:rFonts w:hint="cs"/>
          <w:rtl/>
        </w:rPr>
        <w:t xml:space="preserve"> </w:t>
      </w:r>
      <w:proofErr w:type="spellStart"/>
      <w:r w:rsidRPr="009862AE">
        <w:rPr>
          <w:rtl/>
        </w:rPr>
        <w:t>ريسيا</w:t>
      </w:r>
      <w:proofErr w:type="spellEnd"/>
      <w:r w:rsidRPr="009862AE">
        <w:rPr>
          <w:rtl/>
        </w:rPr>
        <w:t xml:space="preserve">، </w:t>
      </w:r>
      <w:r w:rsidRPr="009862AE">
        <w:rPr>
          <w:rFonts w:hint="cs"/>
          <w:rtl/>
        </w:rPr>
        <w:t xml:space="preserve">وفابيان عمر </w:t>
      </w:r>
      <w:proofErr w:type="spellStart"/>
      <w:r w:rsidRPr="009862AE">
        <w:rPr>
          <w:rFonts w:hint="cs"/>
          <w:rtl/>
        </w:rPr>
        <w:t>سالفيولي</w:t>
      </w:r>
      <w:proofErr w:type="spellEnd"/>
      <w:r w:rsidRPr="009862AE">
        <w:rPr>
          <w:rFonts w:hint="cs"/>
          <w:rtl/>
        </w:rPr>
        <w:t>، و</w:t>
      </w:r>
      <w:r w:rsidRPr="009862AE">
        <w:rPr>
          <w:rtl/>
        </w:rPr>
        <w:t xml:space="preserve">يوفال </w:t>
      </w:r>
      <w:proofErr w:type="spellStart"/>
      <w:r w:rsidRPr="009862AE">
        <w:rPr>
          <w:rtl/>
        </w:rPr>
        <w:t>شاني</w:t>
      </w:r>
      <w:proofErr w:type="spellEnd"/>
      <w:r w:rsidRPr="009862AE">
        <w:rPr>
          <w:rtl/>
        </w:rPr>
        <w:t xml:space="preserve">، </w:t>
      </w:r>
      <w:r w:rsidRPr="009862AE">
        <w:rPr>
          <w:rFonts w:hint="cs"/>
          <w:rtl/>
        </w:rPr>
        <w:t>و</w:t>
      </w:r>
      <w:r w:rsidRPr="009862AE">
        <w:rPr>
          <w:rtl/>
        </w:rPr>
        <w:t xml:space="preserve">مارغو </w:t>
      </w:r>
      <w:proofErr w:type="spellStart"/>
      <w:r w:rsidRPr="009862AE">
        <w:rPr>
          <w:rtl/>
        </w:rPr>
        <w:t>واترفال</w:t>
      </w:r>
      <w:proofErr w:type="spellEnd"/>
      <w:r w:rsidRPr="009862AE">
        <w:rPr>
          <w:rFonts w:hint="cs"/>
          <w:rtl/>
        </w:rPr>
        <w:t>.</w:t>
      </w:r>
    </w:p>
  </w:footnote>
  <w:footnote w:id="3">
    <w:p w:rsidR="001E2A29" w:rsidRPr="009862AE" w:rsidRDefault="00636AFF" w:rsidP="00726C7A">
      <w:pPr>
        <w:pStyle w:val="FootnoteText"/>
        <w:spacing w:after="60" w:line="300" w:lineRule="exact"/>
        <w:ind w:left="1360" w:right="1247" w:hanging="680"/>
        <w:rPr>
          <w:sz w:val="18"/>
          <w:szCs w:val="26"/>
        </w:rPr>
      </w:pPr>
      <w:r w:rsidRPr="009862AE">
        <w:rPr>
          <w:rStyle w:val="FootnoteReference"/>
          <w:szCs w:val="26"/>
          <w:vertAlign w:val="baseline"/>
          <w:rtl/>
        </w:rPr>
        <w:t>(</w:t>
      </w:r>
      <w:r w:rsidRPr="009862AE">
        <w:rPr>
          <w:rStyle w:val="FootnoteReference"/>
          <w:szCs w:val="26"/>
          <w:vertAlign w:val="baseline"/>
          <w:rtl/>
        </w:rPr>
        <w:footnoteRef/>
      </w:r>
      <w:r w:rsidRPr="009862AE">
        <w:rPr>
          <w:rStyle w:val="FootnoteReference"/>
          <w:szCs w:val="26"/>
          <w:vertAlign w:val="baseline"/>
          <w:rtl/>
        </w:rPr>
        <w:t>)</w:t>
      </w:r>
      <w:r w:rsidR="001E2A29" w:rsidRPr="009862AE">
        <w:rPr>
          <w:sz w:val="18"/>
          <w:szCs w:val="26"/>
          <w:rtl/>
        </w:rPr>
        <w:tab/>
      </w:r>
      <w:r w:rsidR="001E2A29" w:rsidRPr="009862AE">
        <w:rPr>
          <w:rFonts w:hint="cs"/>
          <w:sz w:val="18"/>
          <w:szCs w:val="26"/>
          <w:rtl/>
        </w:rPr>
        <w:t>القرار رقم 881 يستند إلى قانون التظاهرات العامة المؤرخ 30 كانون الأول/ديسمبر 1997.</w:t>
      </w:r>
    </w:p>
  </w:footnote>
  <w:footnote w:id="4">
    <w:p w:rsidR="001E2A29" w:rsidRPr="009862AE" w:rsidRDefault="00636AFF" w:rsidP="00636AFF">
      <w:pPr>
        <w:pStyle w:val="FootnoteText"/>
        <w:spacing w:after="60" w:line="300" w:lineRule="exact"/>
        <w:ind w:left="1360" w:right="1247" w:hanging="680"/>
        <w:rPr>
          <w:sz w:val="18"/>
          <w:szCs w:val="26"/>
        </w:rPr>
      </w:pPr>
      <w:r w:rsidRPr="009862AE">
        <w:rPr>
          <w:rStyle w:val="FootnoteReference"/>
          <w:szCs w:val="26"/>
          <w:vertAlign w:val="baseline"/>
          <w:rtl/>
        </w:rPr>
        <w:t>(</w:t>
      </w:r>
      <w:r w:rsidRPr="009862AE">
        <w:rPr>
          <w:rStyle w:val="FootnoteReference"/>
          <w:szCs w:val="26"/>
          <w:vertAlign w:val="baseline"/>
          <w:rtl/>
        </w:rPr>
        <w:footnoteRef/>
      </w:r>
      <w:r w:rsidRPr="009862AE">
        <w:rPr>
          <w:rStyle w:val="FootnoteReference"/>
          <w:szCs w:val="26"/>
          <w:vertAlign w:val="baseline"/>
          <w:rtl/>
        </w:rPr>
        <w:t>)</w:t>
      </w:r>
      <w:r w:rsidR="001E2A29" w:rsidRPr="009862AE">
        <w:rPr>
          <w:sz w:val="18"/>
          <w:szCs w:val="26"/>
          <w:rtl/>
        </w:rPr>
        <w:tab/>
      </w:r>
      <w:r w:rsidR="001E2A29" w:rsidRPr="009862AE">
        <w:rPr>
          <w:rFonts w:hint="cs"/>
          <w:sz w:val="18"/>
          <w:szCs w:val="26"/>
          <w:rtl/>
        </w:rPr>
        <w:t>انظر التقرير عن بعثة المقرر الخاص إلى بيلاروس (</w:t>
      </w:r>
      <w:r w:rsidR="001E2A29" w:rsidRPr="009862AE">
        <w:rPr>
          <w:sz w:val="18"/>
          <w:szCs w:val="26"/>
        </w:rPr>
        <w:t>E/CN.4/2001/65/Add.1</w:t>
      </w:r>
      <w:r w:rsidR="001E2A29" w:rsidRPr="009862AE">
        <w:rPr>
          <w:rFonts w:hint="cs"/>
          <w:sz w:val="18"/>
          <w:szCs w:val="26"/>
          <w:rtl/>
        </w:rPr>
        <w:t>).</w:t>
      </w:r>
    </w:p>
  </w:footnote>
  <w:footnote w:id="5">
    <w:p w:rsidR="001E2A29" w:rsidRPr="009862AE" w:rsidRDefault="00636AFF" w:rsidP="009862AE">
      <w:pPr>
        <w:pStyle w:val="FootnoteText"/>
        <w:spacing w:after="60" w:line="300" w:lineRule="exact"/>
        <w:ind w:left="1360" w:right="1247" w:hanging="680"/>
        <w:rPr>
          <w:sz w:val="18"/>
          <w:szCs w:val="26"/>
        </w:rPr>
      </w:pPr>
      <w:r w:rsidRPr="009862AE">
        <w:rPr>
          <w:rStyle w:val="FootnoteReference"/>
          <w:szCs w:val="26"/>
          <w:vertAlign w:val="baseline"/>
          <w:rtl/>
        </w:rPr>
        <w:t>(</w:t>
      </w:r>
      <w:r w:rsidRPr="009862AE">
        <w:rPr>
          <w:rStyle w:val="FootnoteReference"/>
          <w:szCs w:val="26"/>
          <w:vertAlign w:val="baseline"/>
          <w:rtl/>
        </w:rPr>
        <w:footnoteRef/>
      </w:r>
      <w:r w:rsidRPr="009862AE">
        <w:rPr>
          <w:rStyle w:val="FootnoteReference"/>
          <w:szCs w:val="26"/>
          <w:vertAlign w:val="baseline"/>
          <w:rtl/>
        </w:rPr>
        <w:t>)</w:t>
      </w:r>
      <w:r w:rsidR="001E2A29" w:rsidRPr="009862AE">
        <w:rPr>
          <w:sz w:val="18"/>
          <w:szCs w:val="26"/>
          <w:rtl/>
        </w:rPr>
        <w:tab/>
      </w:r>
      <w:proofErr w:type="spellStart"/>
      <w:r w:rsidR="001E2A29" w:rsidRPr="009862AE">
        <w:rPr>
          <w:rFonts w:hint="cs"/>
          <w:i/>
          <w:iCs/>
          <w:sz w:val="18"/>
          <w:szCs w:val="26"/>
          <w:rtl/>
        </w:rPr>
        <w:t>تاي</w:t>
      </w:r>
      <w:proofErr w:type="spellEnd"/>
      <w:r w:rsidR="001E2A29" w:rsidRPr="009862AE">
        <w:rPr>
          <w:rFonts w:hint="cs"/>
          <w:i/>
          <w:iCs/>
          <w:sz w:val="18"/>
          <w:szCs w:val="26"/>
          <w:rtl/>
        </w:rPr>
        <w:t xml:space="preserve"> هون بارك ضد جمهورية كوريا</w:t>
      </w:r>
      <w:r w:rsidR="001E2A29" w:rsidRPr="009862AE">
        <w:rPr>
          <w:rFonts w:hint="cs"/>
          <w:sz w:val="18"/>
          <w:szCs w:val="26"/>
          <w:rtl/>
        </w:rPr>
        <w:t>، الآراء المعتمدة في 20 تشرين الأول/أكتوبر 1998، الفقرة 10-4.</w:t>
      </w:r>
    </w:p>
  </w:footnote>
  <w:footnote w:id="6">
    <w:p w:rsidR="008D3DC8" w:rsidRPr="009862AE" w:rsidRDefault="008D3DC8" w:rsidP="00636AFF">
      <w:pPr>
        <w:pStyle w:val="FootnoteText1"/>
        <w:ind w:left="1360" w:hanging="680"/>
      </w:pPr>
      <w:r w:rsidRPr="009862AE">
        <w:rPr>
          <w:rtl/>
        </w:rPr>
        <w:t>(</w:t>
      </w:r>
      <w:r w:rsidRPr="009862AE">
        <w:rPr>
          <w:rStyle w:val="FootnoteReference"/>
          <w:szCs w:val="26"/>
          <w:vertAlign w:val="baseline"/>
        </w:rPr>
        <w:footnoteRef/>
      </w:r>
      <w:r w:rsidRPr="009862AE">
        <w:rPr>
          <w:rtl/>
        </w:rPr>
        <w:t>)</w:t>
      </w:r>
      <w:r w:rsidRPr="009862AE">
        <w:rPr>
          <w:rtl/>
        </w:rPr>
        <w:tab/>
      </w:r>
      <w:r w:rsidRPr="009862AE">
        <w:rPr>
          <w:rFonts w:hint="cs"/>
          <w:rtl/>
        </w:rPr>
        <w:t xml:space="preserve">البلاغ رقم 1418/2005، </w:t>
      </w:r>
      <w:proofErr w:type="spellStart"/>
      <w:r w:rsidRPr="009862AE">
        <w:rPr>
          <w:rFonts w:hint="cs"/>
          <w:i/>
          <w:iCs/>
          <w:rtl/>
        </w:rPr>
        <w:t>إسكياييف</w:t>
      </w:r>
      <w:proofErr w:type="spellEnd"/>
      <w:r w:rsidRPr="009862AE">
        <w:rPr>
          <w:rFonts w:hint="cs"/>
          <w:i/>
          <w:iCs/>
          <w:rtl/>
        </w:rPr>
        <w:t xml:space="preserve"> ضد أوزبكستان</w:t>
      </w:r>
      <w:r w:rsidRPr="009862AE">
        <w:rPr>
          <w:rFonts w:hint="cs"/>
          <w:rtl/>
        </w:rPr>
        <w:t>، الآراء المعتمدة في 20 آذار/مارس 2009.</w:t>
      </w:r>
      <w:r w:rsidRPr="009862AE">
        <w:rPr>
          <w:rtl/>
        </w:rPr>
        <w:t xml:space="preserve"> </w:t>
      </w:r>
    </w:p>
  </w:footnote>
  <w:footnote w:id="7">
    <w:p w:rsidR="008D3DC8" w:rsidRPr="009862AE" w:rsidRDefault="008D3DC8" w:rsidP="006154B0">
      <w:pPr>
        <w:pStyle w:val="FootnoteText1"/>
        <w:ind w:left="1360" w:hanging="680"/>
      </w:pPr>
      <w:r w:rsidRPr="009862AE">
        <w:rPr>
          <w:rtl/>
        </w:rPr>
        <w:t>(</w:t>
      </w:r>
      <w:r w:rsidRPr="009862AE">
        <w:rPr>
          <w:rStyle w:val="FootnoteReference"/>
          <w:szCs w:val="26"/>
          <w:vertAlign w:val="baseline"/>
        </w:rPr>
        <w:footnoteRef/>
      </w:r>
      <w:r w:rsidRPr="009862AE">
        <w:rPr>
          <w:rtl/>
        </w:rPr>
        <w:t>)</w:t>
      </w:r>
      <w:r w:rsidRPr="009862AE">
        <w:rPr>
          <w:rtl/>
        </w:rPr>
        <w:tab/>
      </w:r>
      <w:r w:rsidRPr="009862AE">
        <w:rPr>
          <w:rFonts w:hint="cs"/>
          <w:rtl/>
        </w:rPr>
        <w:t xml:space="preserve">انظر المحكمة الأوروبية لحقوق الإنسان، الالتماس رقم 47033/99، </w:t>
      </w:r>
      <w:proofErr w:type="spellStart"/>
      <w:r w:rsidR="006154B0" w:rsidRPr="006154B0">
        <w:rPr>
          <w:i/>
          <w:iCs/>
        </w:rPr>
        <w:t>Tumilovich</w:t>
      </w:r>
      <w:proofErr w:type="spellEnd"/>
      <w:r w:rsidR="006154B0" w:rsidRPr="006154B0">
        <w:rPr>
          <w:i/>
          <w:iCs/>
        </w:rPr>
        <w:t xml:space="preserve"> v. Russia</w:t>
      </w:r>
      <w:r w:rsidRPr="009862AE">
        <w:rPr>
          <w:rFonts w:hint="cs"/>
          <w:rtl/>
        </w:rPr>
        <w:t>، القرار المؤرخ</w:t>
      </w:r>
      <w:r w:rsidR="006154B0">
        <w:rPr>
          <w:rFonts w:hint="cs"/>
          <w:rtl/>
        </w:rPr>
        <w:t xml:space="preserve"> </w:t>
      </w:r>
      <w:r w:rsidRPr="009862AE">
        <w:rPr>
          <w:rFonts w:hint="cs"/>
          <w:rtl/>
        </w:rPr>
        <w:t>22 حزيران/يونيه 1999.</w:t>
      </w:r>
      <w:r w:rsidRPr="009862AE">
        <w:rPr>
          <w:rtl/>
        </w:rPr>
        <w:t xml:space="preserve"> </w:t>
      </w:r>
    </w:p>
  </w:footnote>
  <w:footnote w:id="8">
    <w:p w:rsidR="008D3DC8" w:rsidRPr="009862AE" w:rsidRDefault="008D3DC8" w:rsidP="00636AFF">
      <w:pPr>
        <w:pStyle w:val="FootnoteText1"/>
        <w:ind w:left="1360" w:hanging="680"/>
      </w:pPr>
      <w:r w:rsidRPr="009862AE">
        <w:rPr>
          <w:rtl/>
        </w:rPr>
        <w:t>(</w:t>
      </w:r>
      <w:r w:rsidRPr="009862AE">
        <w:rPr>
          <w:rStyle w:val="FootnoteReference"/>
          <w:szCs w:val="26"/>
          <w:vertAlign w:val="baseline"/>
        </w:rPr>
        <w:footnoteRef/>
      </w:r>
      <w:r w:rsidRPr="009862AE">
        <w:rPr>
          <w:rtl/>
        </w:rPr>
        <w:t>)</w:t>
      </w:r>
      <w:r w:rsidRPr="009862AE">
        <w:rPr>
          <w:rtl/>
        </w:rPr>
        <w:tab/>
      </w:r>
      <w:r w:rsidRPr="009862AE">
        <w:rPr>
          <w:rFonts w:hint="cs"/>
          <w:rtl/>
        </w:rPr>
        <w:t>يشار إلى تعليق اللجنة العام رقم 33(2008) بشأن التزامات الدول الأطراف بموجب البروتوكول الاختياري، الفقرة 13.</w:t>
      </w:r>
    </w:p>
  </w:footnote>
  <w:footnote w:id="9">
    <w:p w:rsidR="008D3DC8" w:rsidRPr="009862AE" w:rsidRDefault="008D3DC8" w:rsidP="009862AE">
      <w:pPr>
        <w:pStyle w:val="FootnoteText1"/>
        <w:ind w:left="1360" w:hanging="680"/>
      </w:pPr>
      <w:r w:rsidRPr="009862AE">
        <w:rPr>
          <w:rtl/>
        </w:rPr>
        <w:t>(</w:t>
      </w:r>
      <w:r w:rsidRPr="009862AE">
        <w:rPr>
          <w:rStyle w:val="FootnoteReference"/>
          <w:szCs w:val="26"/>
          <w:vertAlign w:val="baseline"/>
        </w:rPr>
        <w:footnoteRef/>
      </w:r>
      <w:r w:rsidRPr="009862AE">
        <w:rPr>
          <w:rtl/>
        </w:rPr>
        <w:t>)</w:t>
      </w:r>
      <w:r w:rsidRPr="009862AE">
        <w:rPr>
          <w:rtl/>
        </w:rPr>
        <w:tab/>
      </w:r>
      <w:r w:rsidRPr="009862AE">
        <w:rPr>
          <w:rFonts w:hint="cs"/>
          <w:rtl/>
        </w:rPr>
        <w:t>انظر على سبيل المثال البلاغات رقم 1867/2009، ورقم 1936/2010، ورقم 1975/2010، ورقم</w:t>
      </w:r>
      <w:r w:rsidR="009862AE">
        <w:rPr>
          <w:rFonts w:hint="eastAsia"/>
          <w:rtl/>
        </w:rPr>
        <w:t> </w:t>
      </w:r>
      <w:r w:rsidRPr="009862AE">
        <w:rPr>
          <w:rFonts w:hint="cs"/>
          <w:rtl/>
        </w:rPr>
        <w:t xml:space="preserve">1977/2010، ورقم 1981/2010، ورقم 2010/2010، </w:t>
      </w:r>
      <w:proofErr w:type="spellStart"/>
      <w:r w:rsidRPr="009862AE">
        <w:rPr>
          <w:rFonts w:hint="cs"/>
          <w:i/>
          <w:iCs/>
          <w:rtl/>
        </w:rPr>
        <w:t>لفينوف</w:t>
      </w:r>
      <w:proofErr w:type="spellEnd"/>
      <w:r w:rsidRPr="009862AE">
        <w:rPr>
          <w:rFonts w:hint="cs"/>
          <w:i/>
          <w:iCs/>
          <w:rtl/>
        </w:rPr>
        <w:t xml:space="preserve"> ضد بيلاروس</w:t>
      </w:r>
      <w:r w:rsidRPr="009862AE">
        <w:rPr>
          <w:rFonts w:hint="cs"/>
          <w:rtl/>
        </w:rPr>
        <w:t>، الآراء المعتمدة في 19 تموز/يوليه 2012.</w:t>
      </w:r>
    </w:p>
  </w:footnote>
  <w:footnote w:id="10">
    <w:p w:rsidR="008D3DC8" w:rsidRPr="009862AE" w:rsidRDefault="008D3DC8" w:rsidP="00636AFF">
      <w:pPr>
        <w:pStyle w:val="FootnoteText1"/>
        <w:ind w:left="1360" w:hanging="680"/>
      </w:pPr>
      <w:r w:rsidRPr="009862AE">
        <w:rPr>
          <w:rtl/>
        </w:rPr>
        <w:t>(</w:t>
      </w:r>
      <w:r w:rsidRPr="009862AE">
        <w:rPr>
          <w:rStyle w:val="FootnoteReference"/>
          <w:szCs w:val="26"/>
          <w:vertAlign w:val="baseline"/>
        </w:rPr>
        <w:footnoteRef/>
      </w:r>
      <w:r w:rsidRPr="009862AE">
        <w:rPr>
          <w:rtl/>
        </w:rPr>
        <w:t>)</w:t>
      </w:r>
      <w:r w:rsidRPr="009862AE">
        <w:rPr>
          <w:rtl/>
        </w:rPr>
        <w:tab/>
      </w:r>
      <w:r w:rsidRPr="009862AE">
        <w:rPr>
          <w:rFonts w:hint="cs"/>
          <w:rtl/>
        </w:rPr>
        <w:t xml:space="preserve">انظر، على سبيل المثال، المرجع السابق، الفقرة 8-2، والبلاغات رقم 2019/2010، </w:t>
      </w:r>
      <w:proofErr w:type="spellStart"/>
      <w:r w:rsidRPr="009862AE">
        <w:rPr>
          <w:rFonts w:hint="cs"/>
          <w:i/>
          <w:iCs/>
          <w:rtl/>
        </w:rPr>
        <w:t>بوبلافني</w:t>
      </w:r>
      <w:proofErr w:type="spellEnd"/>
      <w:r w:rsidRPr="009862AE">
        <w:rPr>
          <w:rFonts w:hint="cs"/>
          <w:i/>
          <w:iCs/>
          <w:rtl/>
        </w:rPr>
        <w:t xml:space="preserve"> ضد بيلاروس</w:t>
      </w:r>
      <w:r w:rsidRPr="009862AE">
        <w:rPr>
          <w:rFonts w:hint="cs"/>
          <w:rtl/>
        </w:rPr>
        <w:t>، الآراء المعتمدة في 5 تشرين الثاني/نوفمبر 2015، الفقرة 6-2.</w:t>
      </w:r>
    </w:p>
  </w:footnote>
  <w:footnote w:id="11">
    <w:p w:rsidR="008D3DC8" w:rsidRPr="009862AE" w:rsidRDefault="008D3DC8" w:rsidP="00636AFF">
      <w:pPr>
        <w:pStyle w:val="FootnoteText1"/>
        <w:ind w:left="1360" w:hanging="680"/>
      </w:pPr>
      <w:r w:rsidRPr="009862AE">
        <w:rPr>
          <w:rtl/>
        </w:rPr>
        <w:t>(</w:t>
      </w:r>
      <w:r w:rsidRPr="009862AE">
        <w:rPr>
          <w:rStyle w:val="FootnoteReference"/>
          <w:szCs w:val="26"/>
          <w:vertAlign w:val="baseline"/>
        </w:rPr>
        <w:footnoteRef/>
      </w:r>
      <w:r w:rsidRPr="009862AE">
        <w:rPr>
          <w:rtl/>
        </w:rPr>
        <w:t>)</w:t>
      </w:r>
      <w:r w:rsidRPr="009862AE">
        <w:rPr>
          <w:rtl/>
        </w:rPr>
        <w:tab/>
      </w:r>
      <w:r w:rsidRPr="009862AE">
        <w:rPr>
          <w:rFonts w:hint="cs"/>
          <w:rtl/>
        </w:rPr>
        <w:t xml:space="preserve">انظر البلاغ رقم 1873/2009، </w:t>
      </w:r>
      <w:proofErr w:type="spellStart"/>
      <w:r w:rsidRPr="009862AE">
        <w:rPr>
          <w:rFonts w:hint="cs"/>
          <w:i/>
          <w:iCs/>
          <w:rtl/>
        </w:rPr>
        <w:t>أليكسيف</w:t>
      </w:r>
      <w:proofErr w:type="spellEnd"/>
      <w:r w:rsidRPr="009862AE">
        <w:rPr>
          <w:rFonts w:hint="cs"/>
          <w:i/>
          <w:iCs/>
          <w:rtl/>
        </w:rPr>
        <w:t xml:space="preserve"> ضد الاتحاد الروسي</w:t>
      </w:r>
      <w:r w:rsidRPr="009862AE">
        <w:rPr>
          <w:rFonts w:hint="cs"/>
          <w:rtl/>
        </w:rPr>
        <w:t xml:space="preserve">، الآراء المعتمدة في 25 تشرين الأول/ أكتوبر 2013، الفقرة 8-4 والبلاغ رقم 1929/2010، </w:t>
      </w:r>
      <w:proofErr w:type="spellStart"/>
      <w:r w:rsidRPr="009862AE">
        <w:rPr>
          <w:rFonts w:hint="cs"/>
          <w:i/>
          <w:iCs/>
          <w:rtl/>
        </w:rPr>
        <w:t>لوزينكو</w:t>
      </w:r>
      <w:proofErr w:type="spellEnd"/>
      <w:r w:rsidRPr="009862AE">
        <w:rPr>
          <w:rFonts w:hint="cs"/>
          <w:i/>
          <w:iCs/>
          <w:rtl/>
        </w:rPr>
        <w:t xml:space="preserve"> ضد بيلاروس</w:t>
      </w:r>
      <w:r w:rsidRPr="009862AE">
        <w:rPr>
          <w:rFonts w:hint="cs"/>
          <w:rtl/>
        </w:rPr>
        <w:t>، الآراء المعتمدة في 24 تشرين الأول/أكتوبر 2014، الفقرة 6-3.</w:t>
      </w:r>
      <w:r w:rsidRPr="009862AE">
        <w:rPr>
          <w:rtl/>
        </w:rPr>
        <w:t xml:space="preserve"> </w:t>
      </w:r>
    </w:p>
  </w:footnote>
  <w:footnote w:id="12">
    <w:p w:rsidR="008D3DC8" w:rsidRPr="009862AE" w:rsidRDefault="008D3DC8" w:rsidP="009862AE">
      <w:pPr>
        <w:pStyle w:val="FootnoteText1"/>
        <w:ind w:left="1360" w:hanging="680"/>
      </w:pPr>
      <w:r w:rsidRPr="009862AE">
        <w:rPr>
          <w:rtl/>
        </w:rPr>
        <w:t>(</w:t>
      </w:r>
      <w:r w:rsidRPr="009862AE">
        <w:rPr>
          <w:rStyle w:val="FootnoteReference"/>
          <w:szCs w:val="26"/>
          <w:vertAlign w:val="baseline"/>
        </w:rPr>
        <w:footnoteRef/>
      </w:r>
      <w:r w:rsidRPr="009862AE">
        <w:rPr>
          <w:rtl/>
        </w:rPr>
        <w:t>)</w:t>
      </w:r>
      <w:r w:rsidRPr="009862AE">
        <w:rPr>
          <w:rtl/>
        </w:rPr>
        <w:tab/>
      </w:r>
      <w:r w:rsidRPr="009862AE">
        <w:rPr>
          <w:rFonts w:hint="cs"/>
          <w:rtl/>
        </w:rPr>
        <w:t xml:space="preserve">انظر البلاغ رقم 1834/2008، </w:t>
      </w:r>
      <w:r w:rsidRPr="009862AE">
        <w:rPr>
          <w:rFonts w:hint="cs"/>
          <w:i/>
          <w:iCs/>
          <w:rtl/>
        </w:rPr>
        <w:t>أ.</w:t>
      </w:r>
      <w:r w:rsidR="00DA5824">
        <w:rPr>
          <w:rFonts w:hint="cs"/>
          <w:i/>
          <w:iCs/>
          <w:rtl/>
        </w:rPr>
        <w:t xml:space="preserve"> </w:t>
      </w:r>
      <w:r w:rsidRPr="009862AE">
        <w:rPr>
          <w:rFonts w:hint="cs"/>
          <w:i/>
          <w:iCs/>
          <w:rtl/>
        </w:rPr>
        <w:t>ب. ضد أوكرانيا</w:t>
      </w:r>
      <w:r w:rsidRPr="009862AE">
        <w:rPr>
          <w:rFonts w:hint="cs"/>
          <w:rtl/>
        </w:rPr>
        <w:t xml:space="preserve">، الآراء المعتمدة في 23 تموز/يوليه 2012، </w:t>
      </w:r>
      <w:r w:rsidR="009862AE">
        <w:rPr>
          <w:rFonts w:hint="cs"/>
          <w:rtl/>
        </w:rPr>
        <w:t xml:space="preserve">   </w:t>
      </w:r>
      <w:r w:rsidRPr="009862AE">
        <w:rPr>
          <w:rFonts w:hint="cs"/>
          <w:rtl/>
        </w:rPr>
        <w:t>الفقرة</w:t>
      </w:r>
      <w:r w:rsidR="009862AE">
        <w:rPr>
          <w:rFonts w:hint="eastAsia"/>
          <w:rtl/>
        </w:rPr>
        <w:t> </w:t>
      </w:r>
      <w:r w:rsidRPr="009862AE">
        <w:rPr>
          <w:rFonts w:hint="cs"/>
          <w:rtl/>
        </w:rPr>
        <w:t>8-5؛ والبلاغات رقم 1867/2009، ورقم 1936/2010، ورقم 1975/2010، ورقم</w:t>
      </w:r>
      <w:r w:rsidR="009862AE">
        <w:rPr>
          <w:rFonts w:hint="eastAsia"/>
          <w:rtl/>
        </w:rPr>
        <w:t> </w:t>
      </w:r>
      <w:r w:rsidRPr="009862AE">
        <w:rPr>
          <w:rFonts w:hint="cs"/>
          <w:rtl/>
        </w:rPr>
        <w:t xml:space="preserve">1977/2010 </w:t>
      </w:r>
      <w:r w:rsidR="009862AE">
        <w:rPr>
          <w:rtl/>
        </w:rPr>
        <w:t>-</w:t>
      </w:r>
      <w:r w:rsidRPr="009862AE">
        <w:rPr>
          <w:rFonts w:hint="cs"/>
          <w:rtl/>
        </w:rPr>
        <w:t xml:space="preserve"> 1981/2010، و2010/2010، </w:t>
      </w:r>
      <w:proofErr w:type="spellStart"/>
      <w:r w:rsidRPr="009862AE">
        <w:rPr>
          <w:rFonts w:hint="cs"/>
          <w:i/>
          <w:iCs/>
          <w:rtl/>
        </w:rPr>
        <w:t>لفينوف</w:t>
      </w:r>
      <w:proofErr w:type="spellEnd"/>
      <w:r w:rsidRPr="009862AE">
        <w:rPr>
          <w:rFonts w:hint="cs"/>
          <w:i/>
          <w:iCs/>
          <w:rtl/>
        </w:rPr>
        <w:t xml:space="preserve"> ضد بيلاروس</w:t>
      </w:r>
      <w:r w:rsidRPr="009862AE">
        <w:rPr>
          <w:rFonts w:hint="cs"/>
          <w:rtl/>
        </w:rPr>
        <w:t>، الآراء المعتمدة في 19 تموز/يوليه 2012، الفقرة 9-3.</w:t>
      </w:r>
    </w:p>
  </w:footnote>
  <w:footnote w:id="13">
    <w:p w:rsidR="008D3DC8" w:rsidRPr="009862AE" w:rsidRDefault="008D3DC8" w:rsidP="009862AE">
      <w:pPr>
        <w:pStyle w:val="FootnoteText1"/>
        <w:ind w:left="1360" w:hanging="680"/>
      </w:pPr>
      <w:r w:rsidRPr="00600318">
        <w:rPr>
          <w:spacing w:val="-2"/>
          <w:rtl/>
        </w:rPr>
        <w:t>(</w:t>
      </w:r>
      <w:r w:rsidRPr="00600318">
        <w:rPr>
          <w:rStyle w:val="FootnoteReference"/>
          <w:spacing w:val="-2"/>
          <w:szCs w:val="26"/>
          <w:vertAlign w:val="baseline"/>
        </w:rPr>
        <w:footnoteRef/>
      </w:r>
      <w:r w:rsidRPr="00600318">
        <w:rPr>
          <w:spacing w:val="-2"/>
          <w:rtl/>
        </w:rPr>
        <w:t>)</w:t>
      </w:r>
      <w:r w:rsidRPr="00600318">
        <w:rPr>
          <w:spacing w:val="-2"/>
          <w:rtl/>
        </w:rPr>
        <w:tab/>
      </w:r>
      <w:r w:rsidRPr="00600318">
        <w:rPr>
          <w:rFonts w:hint="cs"/>
          <w:spacing w:val="-2"/>
          <w:rtl/>
        </w:rPr>
        <w:t>انظر البلاغ رقم 1361/2005،</w:t>
      </w:r>
      <w:r w:rsidRPr="00600318">
        <w:rPr>
          <w:rFonts w:hint="cs"/>
          <w:i/>
          <w:iCs/>
          <w:spacing w:val="-2"/>
          <w:rtl/>
        </w:rPr>
        <w:t xml:space="preserve"> س. ضد كولومبيا</w:t>
      </w:r>
      <w:r w:rsidR="00600318" w:rsidRPr="00600318">
        <w:rPr>
          <w:rFonts w:hint="cs"/>
          <w:spacing w:val="-2"/>
          <w:rtl/>
        </w:rPr>
        <w:t>، الآراء المعتمدة في 30 آذار</w:t>
      </w:r>
      <w:r w:rsidRPr="00600318">
        <w:rPr>
          <w:rFonts w:hint="cs"/>
          <w:spacing w:val="-2"/>
          <w:rtl/>
        </w:rPr>
        <w:t>/مارس 2007، الفقرة</w:t>
      </w:r>
      <w:r w:rsidR="009862AE" w:rsidRPr="00600318">
        <w:rPr>
          <w:rFonts w:hint="eastAsia"/>
          <w:spacing w:val="-2"/>
          <w:rtl/>
        </w:rPr>
        <w:t> </w:t>
      </w:r>
      <w:r w:rsidRPr="00600318">
        <w:rPr>
          <w:rFonts w:hint="cs"/>
          <w:spacing w:val="-2"/>
          <w:rtl/>
        </w:rPr>
        <w:t>6-3؛</w:t>
      </w:r>
      <w:r w:rsidRPr="009862AE">
        <w:rPr>
          <w:rFonts w:hint="cs"/>
          <w:rtl/>
        </w:rPr>
        <w:t xml:space="preserve"> والبلاغ رقم 2041/2011، </w:t>
      </w:r>
      <w:proofErr w:type="spellStart"/>
      <w:r w:rsidRPr="009862AE">
        <w:rPr>
          <w:rFonts w:hint="cs"/>
          <w:i/>
          <w:iCs/>
          <w:rtl/>
        </w:rPr>
        <w:t>دوروفييف</w:t>
      </w:r>
      <w:proofErr w:type="spellEnd"/>
      <w:r w:rsidRPr="009862AE">
        <w:rPr>
          <w:rFonts w:hint="cs"/>
          <w:i/>
          <w:iCs/>
          <w:rtl/>
        </w:rPr>
        <w:t xml:space="preserve"> ضد الاتحاد الروسي</w:t>
      </w:r>
      <w:r w:rsidRPr="009862AE">
        <w:rPr>
          <w:rFonts w:hint="cs"/>
          <w:rtl/>
        </w:rPr>
        <w:t>، الآراء المعتمدة في 11 تموز/يوليه</w:t>
      </w:r>
      <w:r w:rsidR="009862AE">
        <w:rPr>
          <w:rFonts w:hint="eastAsia"/>
          <w:rtl/>
        </w:rPr>
        <w:t> </w:t>
      </w:r>
      <w:r w:rsidRPr="009862AE">
        <w:rPr>
          <w:rFonts w:hint="cs"/>
          <w:rtl/>
        </w:rPr>
        <w:t>2015، الفقرة 9-3.</w:t>
      </w:r>
    </w:p>
  </w:footnote>
  <w:footnote w:id="14">
    <w:p w:rsidR="008D3DC8" w:rsidRPr="009862AE" w:rsidRDefault="008D3DC8" w:rsidP="009862AE">
      <w:pPr>
        <w:pStyle w:val="FootnoteText1"/>
        <w:ind w:left="1360" w:hanging="680"/>
      </w:pPr>
      <w:r w:rsidRPr="009862AE">
        <w:rPr>
          <w:rtl/>
        </w:rPr>
        <w:t>(</w:t>
      </w:r>
      <w:r w:rsidRPr="009862AE">
        <w:rPr>
          <w:rStyle w:val="FootnoteReference"/>
          <w:szCs w:val="26"/>
          <w:vertAlign w:val="baseline"/>
        </w:rPr>
        <w:footnoteRef/>
      </w:r>
      <w:r w:rsidRPr="009862AE">
        <w:rPr>
          <w:rtl/>
        </w:rPr>
        <w:t>)</w:t>
      </w:r>
      <w:r w:rsidRPr="009862AE">
        <w:rPr>
          <w:rtl/>
        </w:rPr>
        <w:tab/>
      </w:r>
      <w:r w:rsidRPr="009862AE">
        <w:rPr>
          <w:rFonts w:hint="cs"/>
          <w:rtl/>
        </w:rPr>
        <w:t xml:space="preserve">انظر </w:t>
      </w:r>
      <w:r w:rsidRPr="009862AE">
        <w:rPr>
          <w:rtl/>
        </w:rPr>
        <w:t>التعليق العام رقم 32(2007) بشأن الحق في المساواة أمام المحاكم والهيئات القضائية وفي محاكمة عادلة، الفقرة 26</w:t>
      </w:r>
      <w:r w:rsidRPr="009862AE">
        <w:rPr>
          <w:rFonts w:hint="cs"/>
          <w:rtl/>
        </w:rPr>
        <w:t>؛</w:t>
      </w:r>
      <w:r w:rsidRPr="009862AE">
        <w:rPr>
          <w:rtl/>
        </w:rPr>
        <w:t xml:space="preserve"> </w:t>
      </w:r>
      <w:r w:rsidRPr="009862AE">
        <w:rPr>
          <w:rFonts w:cs="Times New Roman" w:hint="cs"/>
          <w:rtl/>
        </w:rPr>
        <w:t>‬</w:t>
      </w:r>
      <w:r w:rsidRPr="009862AE">
        <w:rPr>
          <w:rFonts w:hint="cs"/>
          <w:rtl/>
        </w:rPr>
        <w:t>وانظر، في جملة أمور أخرى، البلاغ رقم 927/2000،</w:t>
      </w:r>
      <w:r w:rsidRPr="009862AE">
        <w:rPr>
          <w:rFonts w:hint="cs"/>
          <w:i/>
          <w:iCs/>
          <w:rtl/>
        </w:rPr>
        <w:t xml:space="preserve"> </w:t>
      </w:r>
      <w:proofErr w:type="spellStart"/>
      <w:r w:rsidRPr="009862AE">
        <w:rPr>
          <w:rFonts w:hint="cs"/>
          <w:i/>
          <w:iCs/>
          <w:rtl/>
        </w:rPr>
        <w:t>سفيتيك</w:t>
      </w:r>
      <w:proofErr w:type="spellEnd"/>
      <w:r w:rsidRPr="009862AE">
        <w:rPr>
          <w:rFonts w:hint="cs"/>
          <w:i/>
          <w:iCs/>
          <w:rtl/>
        </w:rPr>
        <w:t xml:space="preserve"> ضد بيلاروس</w:t>
      </w:r>
      <w:r w:rsidRPr="009862AE">
        <w:rPr>
          <w:rFonts w:hint="cs"/>
          <w:rtl/>
        </w:rPr>
        <w:t xml:space="preserve">، الآراء المعتمدة في 8 تموز/يوليه 2004، الفقرة 6-3؛ والبلاغ رقم 1399/2005، </w:t>
      </w:r>
      <w:proofErr w:type="spellStart"/>
      <w:r w:rsidRPr="009862AE">
        <w:rPr>
          <w:rFonts w:hint="cs"/>
          <w:i/>
          <w:iCs/>
          <w:rtl/>
        </w:rPr>
        <w:t>كوارتيرو</w:t>
      </w:r>
      <w:proofErr w:type="spellEnd"/>
      <w:r w:rsidRPr="009862AE">
        <w:rPr>
          <w:rFonts w:hint="cs"/>
          <w:i/>
          <w:iCs/>
          <w:rtl/>
        </w:rPr>
        <w:t xml:space="preserve"> ضد إسبانيا</w:t>
      </w:r>
      <w:r w:rsidRPr="009862AE">
        <w:rPr>
          <w:rFonts w:hint="cs"/>
          <w:rtl/>
        </w:rPr>
        <w:t>، القرار بشأن المقبولية المعتمدة في 25 تموز/يوليه 2005، الفقرة 4-3؛ والبلاغات رقم 1867/2009، ورقم</w:t>
      </w:r>
      <w:r w:rsidR="009862AE">
        <w:rPr>
          <w:rFonts w:hint="eastAsia"/>
          <w:rtl/>
        </w:rPr>
        <w:t> </w:t>
      </w:r>
      <w:r w:rsidRPr="009862AE">
        <w:rPr>
          <w:rFonts w:hint="cs"/>
          <w:rtl/>
        </w:rPr>
        <w:t xml:space="preserve">1936/2010، ورقم 1975/2010، ورقم 1977/2010 </w:t>
      </w:r>
      <w:r w:rsidR="009862AE">
        <w:rPr>
          <w:rtl/>
        </w:rPr>
        <w:t>-</w:t>
      </w:r>
      <w:r w:rsidRPr="009862AE">
        <w:rPr>
          <w:rFonts w:hint="cs"/>
          <w:rtl/>
        </w:rPr>
        <w:t xml:space="preserve"> 1981/2010، و2010/2010، </w:t>
      </w:r>
      <w:proofErr w:type="spellStart"/>
      <w:r w:rsidRPr="009862AE">
        <w:rPr>
          <w:rFonts w:hint="cs"/>
          <w:i/>
          <w:iCs/>
          <w:rtl/>
        </w:rPr>
        <w:t>لفينوف</w:t>
      </w:r>
      <w:proofErr w:type="spellEnd"/>
      <w:r w:rsidRPr="009862AE">
        <w:rPr>
          <w:rFonts w:hint="cs"/>
          <w:i/>
          <w:iCs/>
          <w:rtl/>
        </w:rPr>
        <w:t xml:space="preserve"> ضد بيلاروس</w:t>
      </w:r>
      <w:r w:rsidRPr="009862AE">
        <w:rPr>
          <w:rFonts w:hint="cs"/>
          <w:rtl/>
        </w:rPr>
        <w:t>، الآراء المعتمدة في 19 تموز/يوليه 2012، الفقرة 9-5.</w:t>
      </w:r>
    </w:p>
  </w:footnote>
  <w:footnote w:id="15">
    <w:p w:rsidR="008D3DC8" w:rsidRPr="009862AE" w:rsidRDefault="008D3DC8" w:rsidP="009862AE">
      <w:pPr>
        <w:pStyle w:val="FootnoteText1"/>
        <w:ind w:left="1360" w:hanging="680"/>
      </w:pPr>
      <w:r w:rsidRPr="009862AE">
        <w:rPr>
          <w:rtl/>
        </w:rPr>
        <w:t>(</w:t>
      </w:r>
      <w:r w:rsidRPr="009862AE">
        <w:rPr>
          <w:rStyle w:val="FootnoteReference"/>
          <w:szCs w:val="26"/>
          <w:vertAlign w:val="baseline"/>
        </w:rPr>
        <w:footnoteRef/>
      </w:r>
      <w:r w:rsidRPr="009862AE">
        <w:rPr>
          <w:rtl/>
        </w:rPr>
        <w:t>)</w:t>
      </w:r>
      <w:r w:rsidRPr="009862AE">
        <w:rPr>
          <w:rtl/>
        </w:rPr>
        <w:tab/>
      </w:r>
      <w:r w:rsidRPr="009862AE">
        <w:rPr>
          <w:rFonts w:hint="cs"/>
          <w:rtl/>
        </w:rPr>
        <w:t>انظر البلاغ رقم 1157/2003،</w:t>
      </w:r>
      <w:r w:rsidRPr="009862AE">
        <w:rPr>
          <w:rFonts w:hint="cs"/>
          <w:i/>
          <w:iCs/>
          <w:rtl/>
        </w:rPr>
        <w:t xml:space="preserve"> </w:t>
      </w:r>
      <w:proofErr w:type="spellStart"/>
      <w:r w:rsidRPr="009862AE">
        <w:rPr>
          <w:rFonts w:hint="cs"/>
          <w:i/>
          <w:iCs/>
          <w:rtl/>
        </w:rPr>
        <w:t>كولمان</w:t>
      </w:r>
      <w:proofErr w:type="spellEnd"/>
      <w:r w:rsidRPr="009862AE">
        <w:rPr>
          <w:rFonts w:hint="cs"/>
          <w:i/>
          <w:iCs/>
          <w:rtl/>
        </w:rPr>
        <w:t xml:space="preserve"> ضد أستراليا</w:t>
      </w:r>
      <w:r w:rsidRPr="009862AE">
        <w:rPr>
          <w:rFonts w:hint="cs"/>
          <w:rtl/>
        </w:rPr>
        <w:t>، الآراء المعتمدة في 17 تموز/يوليه 2006،</w:t>
      </w:r>
      <w:r w:rsidR="009862AE">
        <w:rPr>
          <w:rFonts w:hint="cs"/>
          <w:rtl/>
        </w:rPr>
        <w:t xml:space="preserve">             </w:t>
      </w:r>
      <w:r w:rsidRPr="009862AE">
        <w:rPr>
          <w:rFonts w:hint="cs"/>
          <w:rtl/>
        </w:rPr>
        <w:t xml:space="preserve"> الفقرة 6-4؛ والبلاغات رقم 1867/2009، ورقم 1936/2010، ورقم 1975/2010، ورقم</w:t>
      </w:r>
      <w:r w:rsidR="009862AE">
        <w:rPr>
          <w:rFonts w:hint="eastAsia"/>
          <w:rtl/>
        </w:rPr>
        <w:t> </w:t>
      </w:r>
      <w:r w:rsidRPr="009862AE">
        <w:rPr>
          <w:rFonts w:hint="cs"/>
          <w:rtl/>
        </w:rPr>
        <w:t xml:space="preserve">1977/2010 </w:t>
      </w:r>
      <w:r w:rsidR="009862AE">
        <w:rPr>
          <w:rtl/>
        </w:rPr>
        <w:t>-</w:t>
      </w:r>
      <w:r w:rsidRPr="009862AE">
        <w:rPr>
          <w:rFonts w:hint="cs"/>
          <w:rtl/>
        </w:rPr>
        <w:t xml:space="preserve"> 1981/2010، و2010/2010، </w:t>
      </w:r>
      <w:proofErr w:type="spellStart"/>
      <w:r w:rsidRPr="009862AE">
        <w:rPr>
          <w:rFonts w:hint="cs"/>
          <w:i/>
          <w:iCs/>
          <w:rtl/>
        </w:rPr>
        <w:t>لفينوف</w:t>
      </w:r>
      <w:proofErr w:type="spellEnd"/>
      <w:r w:rsidRPr="009862AE">
        <w:rPr>
          <w:rFonts w:hint="cs"/>
          <w:i/>
          <w:iCs/>
          <w:rtl/>
        </w:rPr>
        <w:t xml:space="preserve"> ضد بيلاروس</w:t>
      </w:r>
      <w:r w:rsidRPr="009862AE">
        <w:rPr>
          <w:rFonts w:hint="cs"/>
          <w:rtl/>
        </w:rPr>
        <w:t>، الآراء المعتمدة في 19 تموز/يوليه 2012، الفقرة 9-7.</w:t>
      </w:r>
    </w:p>
  </w:footnote>
  <w:footnote w:id="16">
    <w:p w:rsidR="008D3DC8" w:rsidRPr="009862AE" w:rsidRDefault="008D3DC8" w:rsidP="00636AFF">
      <w:pPr>
        <w:pStyle w:val="FootnoteText1"/>
        <w:ind w:left="1360" w:hanging="680"/>
      </w:pPr>
      <w:r w:rsidRPr="009862AE">
        <w:rPr>
          <w:rtl/>
        </w:rPr>
        <w:t>(</w:t>
      </w:r>
      <w:r w:rsidRPr="009862AE">
        <w:rPr>
          <w:rStyle w:val="FootnoteReference"/>
          <w:szCs w:val="26"/>
          <w:vertAlign w:val="baseline"/>
        </w:rPr>
        <w:footnoteRef/>
      </w:r>
      <w:r w:rsidRPr="009862AE">
        <w:rPr>
          <w:rtl/>
        </w:rPr>
        <w:t>)</w:t>
      </w:r>
      <w:r w:rsidRPr="009862AE">
        <w:rPr>
          <w:rtl/>
        </w:rPr>
        <w:tab/>
      </w:r>
      <w:r w:rsidRPr="009862AE">
        <w:rPr>
          <w:rFonts w:hint="cs"/>
          <w:rtl/>
        </w:rPr>
        <w:t>انظر التعليق العام رقم 34(2011)</w:t>
      </w:r>
      <w:r w:rsidRPr="009862AE">
        <w:rPr>
          <w:rtl/>
        </w:rPr>
        <w:t>، الفقرة 2.</w:t>
      </w:r>
    </w:p>
  </w:footnote>
  <w:footnote w:id="17">
    <w:p w:rsidR="008D3DC8" w:rsidRPr="009862AE" w:rsidRDefault="008D3DC8" w:rsidP="00636AFF">
      <w:pPr>
        <w:pStyle w:val="FootnoteText1"/>
        <w:ind w:left="1360" w:hanging="680"/>
      </w:pPr>
      <w:r w:rsidRPr="009862AE">
        <w:rPr>
          <w:rtl/>
        </w:rPr>
        <w:t>(</w:t>
      </w:r>
      <w:r w:rsidRPr="009862AE">
        <w:rPr>
          <w:rStyle w:val="FootnoteReference"/>
          <w:szCs w:val="26"/>
          <w:vertAlign w:val="baseline"/>
        </w:rPr>
        <w:footnoteRef/>
      </w:r>
      <w:r w:rsidRPr="009862AE">
        <w:rPr>
          <w:rtl/>
        </w:rPr>
        <w:t>)</w:t>
      </w:r>
      <w:r w:rsidRPr="009862AE">
        <w:rPr>
          <w:rtl/>
        </w:rPr>
        <w:tab/>
        <w:t>المرجع نفسه، الفقرة 2</w:t>
      </w:r>
      <w:r w:rsidRPr="009862AE">
        <w:rPr>
          <w:rFonts w:hint="cs"/>
          <w:rtl/>
        </w:rPr>
        <w:t>.</w:t>
      </w:r>
    </w:p>
  </w:footnote>
  <w:footnote w:id="18">
    <w:p w:rsidR="008D3DC8" w:rsidRPr="009862AE" w:rsidRDefault="008D3DC8" w:rsidP="00636AFF">
      <w:pPr>
        <w:pStyle w:val="FootnoteText1"/>
        <w:ind w:left="1360" w:hanging="680"/>
      </w:pPr>
      <w:r w:rsidRPr="009862AE">
        <w:rPr>
          <w:rtl/>
        </w:rPr>
        <w:t>(</w:t>
      </w:r>
      <w:r w:rsidRPr="009862AE">
        <w:rPr>
          <w:rStyle w:val="FootnoteReference"/>
          <w:szCs w:val="26"/>
          <w:vertAlign w:val="baseline"/>
        </w:rPr>
        <w:footnoteRef/>
      </w:r>
      <w:r w:rsidRPr="009862AE">
        <w:rPr>
          <w:rtl/>
        </w:rPr>
        <w:t>)</w:t>
      </w:r>
      <w:r w:rsidRPr="009862AE">
        <w:rPr>
          <w:rtl/>
        </w:rPr>
        <w:tab/>
        <w:t>المرجع نفسه، الفقرة 22.</w:t>
      </w:r>
    </w:p>
  </w:footnote>
  <w:footnote w:id="19">
    <w:p w:rsidR="008D3DC8" w:rsidRPr="009862AE" w:rsidRDefault="008D3DC8" w:rsidP="009862AE">
      <w:pPr>
        <w:pStyle w:val="FootnoteText1"/>
        <w:ind w:left="1360" w:hanging="680"/>
      </w:pPr>
      <w:r w:rsidRPr="009862AE">
        <w:rPr>
          <w:rtl/>
        </w:rPr>
        <w:t>(</w:t>
      </w:r>
      <w:r w:rsidRPr="009862AE">
        <w:rPr>
          <w:rStyle w:val="FootnoteReference"/>
          <w:szCs w:val="26"/>
          <w:vertAlign w:val="baseline"/>
        </w:rPr>
        <w:footnoteRef/>
      </w:r>
      <w:r w:rsidRPr="009862AE">
        <w:rPr>
          <w:rtl/>
        </w:rPr>
        <w:t>)</w:t>
      </w:r>
      <w:r w:rsidRPr="009862AE">
        <w:rPr>
          <w:rtl/>
        </w:rPr>
        <w:tab/>
        <w:t xml:space="preserve">انظر، مثلاً، البلاغ رقم 1830/2008، </w:t>
      </w:r>
      <w:proofErr w:type="spellStart"/>
      <w:r w:rsidRPr="009862AE">
        <w:rPr>
          <w:rFonts w:hint="cs"/>
          <w:i/>
          <w:iCs/>
          <w:rtl/>
        </w:rPr>
        <w:t>بيفونوس</w:t>
      </w:r>
      <w:proofErr w:type="spellEnd"/>
      <w:r w:rsidRPr="009862AE">
        <w:rPr>
          <w:i/>
          <w:iCs/>
          <w:rtl/>
        </w:rPr>
        <w:t xml:space="preserve"> ضد بيلاروس</w:t>
      </w:r>
      <w:r w:rsidRPr="009862AE">
        <w:rPr>
          <w:rtl/>
        </w:rPr>
        <w:t>، الآراء المعتمدة في 29 تشرين الأول/</w:t>
      </w:r>
      <w:r w:rsidRPr="009862AE">
        <w:rPr>
          <w:rFonts w:hint="cs"/>
          <w:rtl/>
        </w:rPr>
        <w:t xml:space="preserve"> </w:t>
      </w:r>
      <w:r w:rsidRPr="009862AE">
        <w:rPr>
          <w:rtl/>
        </w:rPr>
        <w:t xml:space="preserve">أكتوبر 2012، الفقرة 9-3؛ والبلاغ رقم 1785/2008، </w:t>
      </w:r>
      <w:proofErr w:type="spellStart"/>
      <w:r w:rsidRPr="009862AE">
        <w:rPr>
          <w:i/>
          <w:iCs/>
          <w:rtl/>
        </w:rPr>
        <w:t>أو</w:t>
      </w:r>
      <w:r w:rsidRPr="009862AE">
        <w:rPr>
          <w:rFonts w:hint="cs"/>
          <w:i/>
          <w:iCs/>
          <w:rtl/>
        </w:rPr>
        <w:t>لشيكيفتش</w:t>
      </w:r>
      <w:proofErr w:type="spellEnd"/>
      <w:r w:rsidRPr="009862AE">
        <w:rPr>
          <w:i/>
          <w:iCs/>
          <w:rtl/>
        </w:rPr>
        <w:t xml:space="preserve"> ضد بيلاروس</w:t>
      </w:r>
      <w:r w:rsidRPr="009862AE">
        <w:rPr>
          <w:rtl/>
        </w:rPr>
        <w:t>، الآراء المعتمدة في</w:t>
      </w:r>
      <w:r w:rsidR="009862AE">
        <w:rPr>
          <w:rFonts w:hint="cs"/>
          <w:rtl/>
        </w:rPr>
        <w:t> </w:t>
      </w:r>
      <w:r w:rsidRPr="009862AE">
        <w:rPr>
          <w:rtl/>
        </w:rPr>
        <w:t>18 آذار/مارس 2013، الفقرة 8-5.</w:t>
      </w:r>
    </w:p>
  </w:footnote>
  <w:footnote w:id="20">
    <w:p w:rsidR="008D3DC8" w:rsidRPr="009862AE" w:rsidRDefault="008D3DC8" w:rsidP="00636AFF">
      <w:pPr>
        <w:pStyle w:val="FootnoteText1"/>
        <w:ind w:left="1360" w:hanging="680"/>
      </w:pPr>
      <w:r w:rsidRPr="009862AE">
        <w:rPr>
          <w:rtl/>
        </w:rPr>
        <w:t>(</w:t>
      </w:r>
      <w:r w:rsidRPr="009862AE">
        <w:rPr>
          <w:rStyle w:val="FootnoteReference"/>
          <w:szCs w:val="26"/>
          <w:vertAlign w:val="baseline"/>
        </w:rPr>
        <w:footnoteRef/>
      </w:r>
      <w:r w:rsidRPr="009862AE">
        <w:rPr>
          <w:rtl/>
        </w:rPr>
        <w:t>)</w:t>
      </w:r>
      <w:r w:rsidRPr="009862AE">
        <w:rPr>
          <w:rtl/>
        </w:rPr>
        <w:tab/>
      </w:r>
      <w:r w:rsidRPr="009862AE">
        <w:rPr>
          <w:rFonts w:hint="cs"/>
          <w:rtl/>
        </w:rPr>
        <w:t xml:space="preserve">انظر على سبيل المثال البلاغ رقم 2092/2011، </w:t>
      </w:r>
      <w:proofErr w:type="spellStart"/>
      <w:r w:rsidRPr="009862AE">
        <w:rPr>
          <w:rFonts w:hint="cs"/>
          <w:i/>
          <w:iCs/>
          <w:rtl/>
        </w:rPr>
        <w:t>أندروزينكو</w:t>
      </w:r>
      <w:proofErr w:type="spellEnd"/>
      <w:r w:rsidRPr="009862AE">
        <w:rPr>
          <w:rFonts w:hint="cs"/>
          <w:i/>
          <w:iCs/>
          <w:rtl/>
        </w:rPr>
        <w:t xml:space="preserve"> ضد بيلاروس</w:t>
      </w:r>
      <w:r w:rsidRPr="009862AE">
        <w:rPr>
          <w:rFonts w:hint="cs"/>
          <w:rtl/>
        </w:rPr>
        <w:t>، الآراء المعتمدة في 30 آذار/مارس 2016، الفقرة 7-3</w:t>
      </w:r>
      <w:r w:rsidRPr="009862AE">
        <w:rPr>
          <w:rtl/>
        </w:rPr>
        <w:t>.</w:t>
      </w:r>
    </w:p>
  </w:footnote>
  <w:footnote w:id="21">
    <w:p w:rsidR="008D3DC8" w:rsidRPr="009862AE" w:rsidRDefault="008D3DC8" w:rsidP="00636AFF">
      <w:pPr>
        <w:pStyle w:val="FootnoteText1"/>
        <w:ind w:left="1360" w:hanging="680"/>
      </w:pPr>
      <w:r w:rsidRPr="009862AE">
        <w:rPr>
          <w:rtl/>
        </w:rPr>
        <w:t>(</w:t>
      </w:r>
      <w:r w:rsidRPr="009862AE">
        <w:rPr>
          <w:rStyle w:val="FootnoteReference"/>
          <w:szCs w:val="26"/>
          <w:vertAlign w:val="baseline"/>
        </w:rPr>
        <w:footnoteRef/>
      </w:r>
      <w:r w:rsidRPr="009862AE">
        <w:rPr>
          <w:rtl/>
        </w:rPr>
        <w:t>)</w:t>
      </w:r>
      <w:r w:rsidRPr="009862AE">
        <w:rPr>
          <w:rtl/>
        </w:rPr>
        <w:tab/>
        <w:t xml:space="preserve">انظر، مثلاً، البلاغ رقم 1851/2008، </w:t>
      </w:r>
      <w:proofErr w:type="spellStart"/>
      <w:r w:rsidRPr="009862AE">
        <w:rPr>
          <w:rFonts w:hint="cs"/>
          <w:i/>
          <w:iCs/>
          <w:rtl/>
        </w:rPr>
        <w:t>سيكيركو</w:t>
      </w:r>
      <w:proofErr w:type="spellEnd"/>
      <w:r w:rsidRPr="009862AE">
        <w:rPr>
          <w:i/>
          <w:iCs/>
          <w:rtl/>
        </w:rPr>
        <w:t xml:space="preserve"> ضد بيلاروس</w:t>
      </w:r>
      <w:r w:rsidRPr="009862AE">
        <w:rPr>
          <w:rtl/>
        </w:rPr>
        <w:t>، الآراء المعتمدة في 28 تشرين الأول/</w:t>
      </w:r>
      <w:r w:rsidRPr="009862AE">
        <w:rPr>
          <w:rFonts w:hint="cs"/>
          <w:rtl/>
        </w:rPr>
        <w:t xml:space="preserve"> </w:t>
      </w:r>
      <w:r w:rsidRPr="009862AE">
        <w:rPr>
          <w:rtl/>
        </w:rPr>
        <w:t xml:space="preserve">أكتوبر 2013، الفقرة 11؛ والبلاغ رقم 1948/2010، </w:t>
      </w:r>
      <w:proofErr w:type="spellStart"/>
      <w:r w:rsidRPr="009862AE">
        <w:rPr>
          <w:i/>
          <w:iCs/>
          <w:rtl/>
        </w:rPr>
        <w:t>تورتشيفاك</w:t>
      </w:r>
      <w:proofErr w:type="spellEnd"/>
      <w:r w:rsidRPr="009862AE">
        <w:rPr>
          <w:i/>
          <w:iCs/>
          <w:rtl/>
        </w:rPr>
        <w:t xml:space="preserve"> وآخرون ضد بيلاروس</w:t>
      </w:r>
      <w:r w:rsidRPr="009862AE">
        <w:rPr>
          <w:rtl/>
        </w:rPr>
        <w:t xml:space="preserve">، الآراء المعتمدة في 24 تموز/يوليه 2013، الفقرة 9؛ والبلاغ رقم 1790/2008، </w:t>
      </w:r>
      <w:proofErr w:type="spellStart"/>
      <w:r w:rsidRPr="009862AE">
        <w:rPr>
          <w:i/>
          <w:iCs/>
          <w:rtl/>
        </w:rPr>
        <w:t>غوشيا</w:t>
      </w:r>
      <w:proofErr w:type="spellEnd"/>
      <w:r w:rsidRPr="009862AE">
        <w:rPr>
          <w:i/>
          <w:iCs/>
          <w:rtl/>
        </w:rPr>
        <w:t xml:space="preserve"> وآخرون ضد بيلاروس</w:t>
      </w:r>
      <w:r w:rsidRPr="009862AE">
        <w:rPr>
          <w:rtl/>
        </w:rPr>
        <w:t>، الآراء المعتمدة في 27 تموز/يوليه 2012، الفقرة 11؛ و</w:t>
      </w:r>
      <w:r w:rsidRPr="009862AE">
        <w:rPr>
          <w:rFonts w:hint="cs"/>
          <w:rtl/>
        </w:rPr>
        <w:t>مع مراعاة الفروق</w:t>
      </w:r>
      <w:r w:rsidRPr="009862AE">
        <w:rPr>
          <w:rtl/>
        </w:rPr>
        <w:t xml:space="preserve"> البلاغ رقم 1992/2010، </w:t>
      </w:r>
      <w:proofErr w:type="spellStart"/>
      <w:r w:rsidRPr="009862AE">
        <w:rPr>
          <w:i/>
          <w:iCs/>
          <w:rtl/>
        </w:rPr>
        <w:t>سودا</w:t>
      </w:r>
      <w:r w:rsidRPr="009862AE">
        <w:rPr>
          <w:rFonts w:hint="cs"/>
          <w:i/>
          <w:iCs/>
          <w:rtl/>
        </w:rPr>
        <w:t>لي</w:t>
      </w:r>
      <w:r w:rsidRPr="009862AE">
        <w:rPr>
          <w:i/>
          <w:iCs/>
          <w:rtl/>
        </w:rPr>
        <w:t>كو</w:t>
      </w:r>
      <w:proofErr w:type="spellEnd"/>
      <w:r w:rsidRPr="009862AE">
        <w:rPr>
          <w:i/>
          <w:iCs/>
          <w:rtl/>
        </w:rPr>
        <w:t xml:space="preserve"> ضد بيلاروس</w:t>
      </w:r>
      <w:r w:rsidRPr="009862AE">
        <w:rPr>
          <w:rtl/>
        </w:rPr>
        <w:t>، الآراء المعتمدة في 27 آذار/مارس 2015، الفقرة 10</w:t>
      </w:r>
      <w:r w:rsidRPr="009862AE">
        <w:rPr>
          <w:rFonts w:hint="cs"/>
          <w:rtl/>
        </w:rPr>
        <w:t xml:space="preserve">؛ والبلاغ رقم 2019/2010، </w:t>
      </w:r>
      <w:proofErr w:type="spellStart"/>
      <w:r w:rsidRPr="009862AE">
        <w:rPr>
          <w:rFonts w:hint="cs"/>
          <w:rtl/>
        </w:rPr>
        <w:t>بوبلافني</w:t>
      </w:r>
      <w:proofErr w:type="spellEnd"/>
      <w:r w:rsidRPr="009862AE">
        <w:rPr>
          <w:rFonts w:hint="cs"/>
          <w:rtl/>
        </w:rPr>
        <w:t xml:space="preserve"> ضد بيلاروس، الآراء المعتمدة في 5 تشرين الثاني/نوفمبر 2015، الفقرة 10.</w:t>
      </w:r>
      <w:r w:rsidR="0002134A">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C8" w:rsidRPr="008D3DC8" w:rsidRDefault="008D3DC8" w:rsidP="008D3DC8">
    <w:pPr>
      <w:pStyle w:val="Header"/>
      <w:jc w:val="right"/>
    </w:pPr>
    <w:r w:rsidRPr="008D3DC8">
      <w:t>CCPR/C/117/D/2082/2011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C8" w:rsidRPr="008D3DC8" w:rsidRDefault="008D3DC8" w:rsidP="008D3DC8">
    <w:pPr>
      <w:pStyle w:val="Header"/>
      <w:jc w:val="left"/>
    </w:pPr>
    <w:r w:rsidRPr="008D3DC8">
      <w:t>CCPR/C/117/D/2082/2011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7139A"/>
    <w:rsid w:val="000076D5"/>
    <w:rsid w:val="0002134A"/>
    <w:rsid w:val="00035E59"/>
    <w:rsid w:val="00043663"/>
    <w:rsid w:val="000437B8"/>
    <w:rsid w:val="000505CF"/>
    <w:rsid w:val="000D701C"/>
    <w:rsid w:val="000E2A71"/>
    <w:rsid w:val="00160263"/>
    <w:rsid w:val="00181F96"/>
    <w:rsid w:val="001A1371"/>
    <w:rsid w:val="001B346A"/>
    <w:rsid w:val="001E1CAD"/>
    <w:rsid w:val="001E290D"/>
    <w:rsid w:val="001E2A29"/>
    <w:rsid w:val="001F2593"/>
    <w:rsid w:val="002144FA"/>
    <w:rsid w:val="0023469A"/>
    <w:rsid w:val="00243C8A"/>
    <w:rsid w:val="00267A0E"/>
    <w:rsid w:val="002901D9"/>
    <w:rsid w:val="002976C2"/>
    <w:rsid w:val="003008A3"/>
    <w:rsid w:val="003260FF"/>
    <w:rsid w:val="00343D95"/>
    <w:rsid w:val="00363A18"/>
    <w:rsid w:val="00374341"/>
    <w:rsid w:val="003D1062"/>
    <w:rsid w:val="00420D7B"/>
    <w:rsid w:val="00450B21"/>
    <w:rsid w:val="00453B63"/>
    <w:rsid w:val="00455780"/>
    <w:rsid w:val="004B0A1C"/>
    <w:rsid w:val="004D298E"/>
    <w:rsid w:val="00517BC9"/>
    <w:rsid w:val="0054472E"/>
    <w:rsid w:val="005662A9"/>
    <w:rsid w:val="005827D4"/>
    <w:rsid w:val="0059622A"/>
    <w:rsid w:val="005C5878"/>
    <w:rsid w:val="005C7CEA"/>
    <w:rsid w:val="005D3C0B"/>
    <w:rsid w:val="005E5217"/>
    <w:rsid w:val="005F0FA4"/>
    <w:rsid w:val="005F30EE"/>
    <w:rsid w:val="00600318"/>
    <w:rsid w:val="0060473A"/>
    <w:rsid w:val="006154B0"/>
    <w:rsid w:val="00636AFF"/>
    <w:rsid w:val="00656392"/>
    <w:rsid w:val="0068781D"/>
    <w:rsid w:val="006959B0"/>
    <w:rsid w:val="006B3E27"/>
    <w:rsid w:val="006B6507"/>
    <w:rsid w:val="006C104C"/>
    <w:rsid w:val="00726C7A"/>
    <w:rsid w:val="00733704"/>
    <w:rsid w:val="0077139A"/>
    <w:rsid w:val="0078071A"/>
    <w:rsid w:val="00787E1E"/>
    <w:rsid w:val="007F0EEF"/>
    <w:rsid w:val="00852A9A"/>
    <w:rsid w:val="00884D8A"/>
    <w:rsid w:val="008D3DC8"/>
    <w:rsid w:val="008F49E1"/>
    <w:rsid w:val="0090370F"/>
    <w:rsid w:val="009269D2"/>
    <w:rsid w:val="00942135"/>
    <w:rsid w:val="009521B0"/>
    <w:rsid w:val="009862AE"/>
    <w:rsid w:val="009A7E9F"/>
    <w:rsid w:val="009E5018"/>
    <w:rsid w:val="00A12B37"/>
    <w:rsid w:val="00AB6758"/>
    <w:rsid w:val="00B13763"/>
    <w:rsid w:val="00B477A4"/>
    <w:rsid w:val="00B54045"/>
    <w:rsid w:val="00C438D7"/>
    <w:rsid w:val="00C81B50"/>
    <w:rsid w:val="00CB6622"/>
    <w:rsid w:val="00CD1801"/>
    <w:rsid w:val="00CF65C6"/>
    <w:rsid w:val="00D10EF1"/>
    <w:rsid w:val="00D42810"/>
    <w:rsid w:val="00D914A7"/>
    <w:rsid w:val="00DA5824"/>
    <w:rsid w:val="00DB55B3"/>
    <w:rsid w:val="00DD13C3"/>
    <w:rsid w:val="00DD596E"/>
    <w:rsid w:val="00DD621E"/>
    <w:rsid w:val="00DE50B1"/>
    <w:rsid w:val="00DF0575"/>
    <w:rsid w:val="00E70E04"/>
    <w:rsid w:val="00EC05A7"/>
    <w:rsid w:val="00EC4B6B"/>
    <w:rsid w:val="00ED7442"/>
    <w:rsid w:val="00EF1EE5"/>
    <w:rsid w:val="00F763B4"/>
    <w:rsid w:val="00F900C3"/>
    <w:rsid w:val="00F94A04"/>
    <w:rsid w:val="00FB67A1"/>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600318"/>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600318"/>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0181-847B-4411-8C56-031D5966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CCPR/C/117/D/2082/2011</vt:lpstr>
    </vt:vector>
  </TitlesOfParts>
  <Company>DCM</Company>
  <LinksUpToDate>false</LinksUpToDate>
  <CharactersWithSpaces>14657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CCPR/C/117/D/2082/2011</dc:title>
  <dc:subject>GE.1615631</dc:subject>
  <dc:creator>JCHD/ASE</dc:creator>
  <cp:keywords>ODS No.1620058</cp:keywords>
  <dc:description>Distribution: General_x000d_
Original: English_x000d_
Date: 9 September 2016</dc:description>
  <cp:lastModifiedBy>RKHO13</cp:lastModifiedBy>
  <cp:revision>2</cp:revision>
  <dcterms:created xsi:type="dcterms:W3CDTF">2016-11-08T15:45:00Z</dcterms:created>
  <dcterms:modified xsi:type="dcterms:W3CDTF">2016-11-08T15:45:00Z</dcterms:modified>
  <cp:category>Finale</cp:category>
</cp:coreProperties>
</file>