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15080A" w:rsidP="0015080A">
            <w:pPr>
              <w:bidi w:val="0"/>
              <w:spacing w:after="20"/>
              <w:jc w:val="left"/>
              <w:rPr>
                <w:szCs w:val="20"/>
              </w:rPr>
            </w:pPr>
            <w:r w:rsidRPr="0015080A">
              <w:rPr>
                <w:sz w:val="40"/>
                <w:szCs w:val="20"/>
              </w:rPr>
              <w:t>CCPR</w:t>
            </w:r>
            <w:r>
              <w:rPr>
                <w:szCs w:val="20"/>
              </w:rPr>
              <w:t>/C/109/D/1919-1920/2009</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15080A" w:rsidRDefault="0015080A" w:rsidP="0015080A">
            <w:pPr>
              <w:bidi w:val="0"/>
              <w:spacing w:before="240"/>
              <w:jc w:val="left"/>
            </w:pPr>
            <w:r>
              <w:t>Distr.: General</w:t>
            </w:r>
          </w:p>
          <w:p w:rsidR="0015080A" w:rsidRDefault="0015080A" w:rsidP="0015080A">
            <w:pPr>
              <w:bidi w:val="0"/>
              <w:jc w:val="left"/>
            </w:pPr>
            <w:r>
              <w:t>2 December 2013</w:t>
            </w:r>
          </w:p>
          <w:p w:rsidR="0015080A" w:rsidRDefault="0015080A" w:rsidP="0015080A">
            <w:pPr>
              <w:bidi w:val="0"/>
              <w:jc w:val="left"/>
            </w:pPr>
            <w:r>
              <w:t>Arabic</w:t>
            </w:r>
          </w:p>
          <w:p w:rsidR="00257225" w:rsidRPr="008B4BC6" w:rsidRDefault="0015080A" w:rsidP="0015080A">
            <w:pPr>
              <w:bidi w:val="0"/>
              <w:jc w:val="left"/>
            </w:pPr>
            <w:r>
              <w:t>Original: English</w:t>
            </w:r>
          </w:p>
        </w:tc>
      </w:tr>
    </w:tbl>
    <w:p w:rsidR="0015080A" w:rsidRPr="00C51330" w:rsidRDefault="0015080A" w:rsidP="0015080A">
      <w:pPr>
        <w:spacing w:before="120" w:after="120" w:line="380" w:lineRule="exact"/>
        <w:rPr>
          <w:rFonts w:hint="cs"/>
          <w:b/>
          <w:bCs/>
          <w:sz w:val="26"/>
          <w:szCs w:val="36"/>
          <w:rtl/>
          <w:lang w:val="fr-CH"/>
        </w:rPr>
      </w:pPr>
      <w:r w:rsidRPr="00C51330">
        <w:rPr>
          <w:rFonts w:hint="cs"/>
          <w:b/>
          <w:bCs/>
          <w:sz w:val="26"/>
          <w:szCs w:val="36"/>
          <w:rtl/>
          <w:lang w:val="fr-CH"/>
        </w:rPr>
        <w:t>اللجنة المعنية بحقوق الإنسان</w:t>
      </w:r>
    </w:p>
    <w:p w:rsidR="0015080A" w:rsidRDefault="0015080A" w:rsidP="00632FE1">
      <w:pPr>
        <w:pStyle w:val="HChGA"/>
        <w:rPr>
          <w:rFonts w:hint="cs"/>
          <w:rtl/>
          <w:lang w:val="fr-CH"/>
        </w:rPr>
      </w:pPr>
      <w:r>
        <w:rPr>
          <w:rFonts w:hint="cs"/>
          <w:rtl/>
          <w:lang w:val="fr-CH"/>
        </w:rPr>
        <w:tab/>
      </w:r>
      <w:r>
        <w:rPr>
          <w:rFonts w:hint="cs"/>
          <w:rtl/>
          <w:lang w:val="fr-CH"/>
        </w:rPr>
        <w:tab/>
        <w:t>البلاغان رقم 1919-1920/2009</w:t>
      </w:r>
    </w:p>
    <w:p w:rsidR="0015080A" w:rsidRPr="00C51330" w:rsidRDefault="0015080A" w:rsidP="00632FE1">
      <w:pPr>
        <w:pStyle w:val="H1GA"/>
        <w:rPr>
          <w:rFonts w:hint="cs"/>
          <w:rtl/>
          <w:lang w:val="fr-CH"/>
        </w:rPr>
      </w:pPr>
      <w:r w:rsidRPr="00C51330">
        <w:rPr>
          <w:rFonts w:hint="cs"/>
          <w:rtl/>
          <w:lang w:val="fr-CH"/>
        </w:rPr>
        <w:tab/>
      </w:r>
      <w:r w:rsidRPr="00C51330">
        <w:rPr>
          <w:rFonts w:hint="cs"/>
          <w:rtl/>
          <w:lang w:val="fr-CH"/>
        </w:rPr>
        <w:tab/>
        <w:t xml:space="preserve">الآراء التي اعتمدتها اللجنة في دورتها </w:t>
      </w:r>
      <w:r>
        <w:rPr>
          <w:rFonts w:hint="cs"/>
          <w:rtl/>
          <w:lang w:val="fr-CH"/>
        </w:rPr>
        <w:t>109</w:t>
      </w:r>
      <w:r w:rsidRPr="00C51330">
        <w:rPr>
          <w:rFonts w:hint="cs"/>
          <w:rtl/>
          <w:lang w:val="fr-CH"/>
        </w:rPr>
        <w:t xml:space="preserve"> (</w:t>
      </w:r>
      <w:r>
        <w:rPr>
          <w:rFonts w:hint="cs"/>
          <w:rtl/>
          <w:lang w:val="fr-CH"/>
        </w:rPr>
        <w:t xml:space="preserve">14 تشرين الأول/أكتوبر </w:t>
      </w:r>
      <w:r w:rsidR="00632FE1">
        <w:rPr>
          <w:rFonts w:hint="cs"/>
          <w:rtl/>
          <w:lang w:val="fr-CH"/>
        </w:rPr>
        <w:t>-</w:t>
      </w:r>
      <w:r>
        <w:rPr>
          <w:rFonts w:hint="cs"/>
          <w:rtl/>
          <w:lang w:val="fr-CH"/>
        </w:rPr>
        <w:t xml:space="preserve"> 1 تشرين الثاني/نوفمبر</w:t>
      </w:r>
      <w:r w:rsidRPr="00C51330">
        <w:rPr>
          <w:rFonts w:hint="cs"/>
          <w:rtl/>
          <w:lang w:val="fr-CH"/>
        </w:rPr>
        <w:t xml:space="preserve"> 2013)</w:t>
      </w:r>
    </w:p>
    <w:p w:rsidR="0015080A" w:rsidRPr="0064250B" w:rsidRDefault="0015080A" w:rsidP="00632FE1">
      <w:pPr>
        <w:pStyle w:val="SingleTxtGA"/>
        <w:tabs>
          <w:tab w:val="clear" w:pos="1928"/>
        </w:tabs>
        <w:ind w:left="4649" w:hanging="2778"/>
        <w:rPr>
          <w:rFonts w:hint="cs"/>
          <w:rtl/>
          <w:lang w:val="fr-CH"/>
        </w:rPr>
      </w:pPr>
      <w:r w:rsidRPr="00835882">
        <w:rPr>
          <w:rFonts w:hint="cs"/>
          <w:i/>
          <w:iCs/>
          <w:rtl/>
          <w:lang w:val="fr-CH"/>
        </w:rPr>
        <w:t>المقدمان من</w:t>
      </w:r>
      <w:r w:rsidRPr="00632FE1">
        <w:rPr>
          <w:rFonts w:hint="cs"/>
          <w:rtl/>
          <w:lang w:val="fr-CH"/>
        </w:rPr>
        <w:t>:</w:t>
      </w:r>
      <w:r>
        <w:rPr>
          <w:rFonts w:hint="cs"/>
          <w:i/>
          <w:iCs/>
          <w:rtl/>
          <w:lang w:val="fr-CH"/>
        </w:rPr>
        <w:tab/>
      </w:r>
      <w:r>
        <w:rPr>
          <w:rFonts w:hint="cs"/>
          <w:i/>
          <w:iCs/>
          <w:rtl/>
          <w:lang w:val="fr-CH"/>
        </w:rPr>
        <w:tab/>
      </w:r>
      <w:r>
        <w:rPr>
          <w:rFonts w:hint="cs"/>
          <w:i/>
          <w:iCs/>
          <w:rtl/>
          <w:lang w:val="fr-CH"/>
        </w:rPr>
        <w:tab/>
      </w:r>
      <w:r>
        <w:rPr>
          <w:rFonts w:hint="cs"/>
          <w:rtl/>
          <w:lang w:val="fr-CH"/>
        </w:rPr>
        <w:t xml:space="preserve">ألكسندر </w:t>
      </w:r>
      <w:proofErr w:type="spellStart"/>
      <w:r>
        <w:rPr>
          <w:rFonts w:hint="cs"/>
          <w:rtl/>
          <w:lang w:val="fr-CH"/>
        </w:rPr>
        <w:t>بروتسكو</w:t>
      </w:r>
      <w:proofErr w:type="spellEnd"/>
      <w:r>
        <w:rPr>
          <w:rFonts w:hint="cs"/>
          <w:rtl/>
          <w:lang w:val="fr-CH"/>
        </w:rPr>
        <w:t xml:space="preserve"> </w:t>
      </w:r>
      <w:proofErr w:type="spellStart"/>
      <w:r>
        <w:rPr>
          <w:rFonts w:hint="cs"/>
          <w:rtl/>
          <w:lang w:val="fr-CH"/>
        </w:rPr>
        <w:t>وأندري</w:t>
      </w:r>
      <w:proofErr w:type="spellEnd"/>
      <w:r>
        <w:rPr>
          <w:rFonts w:hint="cs"/>
          <w:rtl/>
          <w:lang w:val="fr-CH"/>
        </w:rPr>
        <w:t xml:space="preserve"> </w:t>
      </w:r>
      <w:proofErr w:type="spellStart"/>
      <w:r>
        <w:rPr>
          <w:rFonts w:hint="cs"/>
          <w:rtl/>
          <w:lang w:val="fr-CH"/>
        </w:rPr>
        <w:t>تولشين</w:t>
      </w:r>
      <w:proofErr w:type="spellEnd"/>
      <w:r w:rsidRPr="00C51330">
        <w:rPr>
          <w:rFonts w:hint="cs"/>
          <w:rtl/>
          <w:lang w:val="fr-CH"/>
        </w:rPr>
        <w:t xml:space="preserve"> (لا يمثله</w:t>
      </w:r>
      <w:r>
        <w:rPr>
          <w:rFonts w:hint="cs"/>
          <w:rtl/>
          <w:lang w:val="fr-CH"/>
        </w:rPr>
        <w:t>ما</w:t>
      </w:r>
      <w:r w:rsidRPr="00C51330">
        <w:rPr>
          <w:rFonts w:hint="cs"/>
          <w:rtl/>
          <w:lang w:val="fr-CH"/>
        </w:rPr>
        <w:t xml:space="preserve"> محام)</w:t>
      </w:r>
    </w:p>
    <w:p w:rsidR="0015080A" w:rsidRDefault="0015080A" w:rsidP="00632FE1">
      <w:pPr>
        <w:pStyle w:val="SingleTxtGA"/>
        <w:tabs>
          <w:tab w:val="clear" w:pos="1928"/>
        </w:tabs>
        <w:ind w:left="4649" w:hanging="2778"/>
        <w:rPr>
          <w:rFonts w:hint="cs"/>
          <w:rtl/>
          <w:lang w:val="fr-CH"/>
        </w:rPr>
      </w:pPr>
      <w:r w:rsidRPr="0060381C">
        <w:rPr>
          <w:rFonts w:hint="cs"/>
          <w:i/>
          <w:iCs/>
          <w:rtl/>
          <w:lang w:val="fr-CH"/>
        </w:rPr>
        <w:t>الشخصان المدعى أنهما ضحيتان</w:t>
      </w:r>
      <w:r w:rsidRPr="00632FE1">
        <w:rPr>
          <w:rFonts w:hint="cs"/>
          <w:rtl/>
          <w:lang w:val="fr-CH"/>
        </w:rPr>
        <w:t>:</w:t>
      </w:r>
      <w:r>
        <w:rPr>
          <w:rFonts w:hint="cs"/>
          <w:i/>
          <w:iCs/>
          <w:rtl/>
          <w:lang w:val="fr-CH"/>
        </w:rPr>
        <w:tab/>
      </w:r>
      <w:r>
        <w:rPr>
          <w:rFonts w:hint="cs"/>
          <w:rtl/>
          <w:lang w:val="fr-CH"/>
        </w:rPr>
        <w:t>صاحبا البلاغين</w:t>
      </w:r>
    </w:p>
    <w:p w:rsidR="0015080A" w:rsidRDefault="0015080A" w:rsidP="00632FE1">
      <w:pPr>
        <w:pStyle w:val="SingleTxtGA"/>
        <w:tabs>
          <w:tab w:val="clear" w:pos="1928"/>
        </w:tabs>
        <w:ind w:left="4649" w:hanging="2778"/>
        <w:rPr>
          <w:rFonts w:hint="cs"/>
          <w:rtl/>
          <w:lang w:val="fr-CH"/>
        </w:rPr>
      </w:pPr>
      <w:r>
        <w:rPr>
          <w:rFonts w:hint="cs"/>
          <w:i/>
          <w:iCs/>
          <w:rtl/>
          <w:lang w:val="fr-CH"/>
        </w:rPr>
        <w:t>الدولة الطرف</w:t>
      </w:r>
      <w:r w:rsidRPr="00632FE1">
        <w:rPr>
          <w:rFonts w:hint="cs"/>
          <w:rtl/>
          <w:lang w:val="fr-CH"/>
        </w:rPr>
        <w:t>:</w:t>
      </w:r>
      <w:r>
        <w:rPr>
          <w:rFonts w:hint="cs"/>
          <w:i/>
          <w:iCs/>
          <w:rtl/>
          <w:lang w:val="fr-CH"/>
        </w:rPr>
        <w:tab/>
      </w:r>
      <w:r>
        <w:rPr>
          <w:rFonts w:hint="cs"/>
          <w:i/>
          <w:iCs/>
          <w:rtl/>
          <w:lang w:val="fr-CH"/>
        </w:rPr>
        <w:tab/>
      </w:r>
      <w:r>
        <w:rPr>
          <w:rFonts w:hint="cs"/>
          <w:i/>
          <w:iCs/>
          <w:rtl/>
          <w:lang w:val="fr-CH"/>
        </w:rPr>
        <w:tab/>
      </w:r>
      <w:r>
        <w:rPr>
          <w:rFonts w:hint="cs"/>
          <w:rtl/>
          <w:lang w:val="fr-CH"/>
        </w:rPr>
        <w:t>بيلاروس</w:t>
      </w:r>
    </w:p>
    <w:p w:rsidR="0015080A" w:rsidRPr="00C51330" w:rsidRDefault="0015080A" w:rsidP="00632FE1">
      <w:pPr>
        <w:pStyle w:val="SingleTxtGA"/>
        <w:tabs>
          <w:tab w:val="clear" w:pos="1928"/>
        </w:tabs>
        <w:ind w:left="4649" w:hanging="2778"/>
        <w:rPr>
          <w:rFonts w:hint="cs"/>
          <w:spacing w:val="-4"/>
          <w:rtl/>
          <w:lang w:val="fr-CH"/>
        </w:rPr>
      </w:pPr>
      <w:r w:rsidRPr="00464861">
        <w:rPr>
          <w:rFonts w:hint="cs"/>
          <w:i/>
          <w:iCs/>
          <w:rtl/>
          <w:lang w:val="fr-CH"/>
        </w:rPr>
        <w:t>تاريخ تقديم البلاغين</w:t>
      </w:r>
      <w:r w:rsidRPr="00464861">
        <w:rPr>
          <w:rFonts w:hint="cs"/>
          <w:rtl/>
          <w:lang w:val="fr-CH"/>
        </w:rPr>
        <w:t>:</w:t>
      </w:r>
      <w:r w:rsidRPr="00464861">
        <w:rPr>
          <w:rFonts w:hint="cs"/>
          <w:rtl/>
          <w:lang w:val="fr-CH"/>
        </w:rPr>
        <w:tab/>
      </w:r>
      <w:r>
        <w:rPr>
          <w:rFonts w:hint="cs"/>
          <w:i/>
          <w:iCs/>
          <w:rtl/>
          <w:lang w:val="fr-CH"/>
        </w:rPr>
        <w:tab/>
      </w:r>
      <w:r>
        <w:rPr>
          <w:rFonts w:hint="cs"/>
          <w:spacing w:val="-4"/>
          <w:rtl/>
          <w:lang w:val="fr-CH"/>
        </w:rPr>
        <w:t>22 آب</w:t>
      </w:r>
      <w:r w:rsidRPr="00C51330">
        <w:rPr>
          <w:rFonts w:hint="cs"/>
          <w:spacing w:val="-4"/>
          <w:rtl/>
          <w:lang w:val="fr-CH"/>
        </w:rPr>
        <w:t>/</w:t>
      </w:r>
      <w:r>
        <w:rPr>
          <w:rFonts w:hint="cs"/>
          <w:spacing w:val="-4"/>
          <w:rtl/>
          <w:lang w:val="fr-CH"/>
        </w:rPr>
        <w:t>أغسطس 2009</w:t>
      </w:r>
      <w:r w:rsidRPr="00C51330">
        <w:rPr>
          <w:rFonts w:hint="cs"/>
          <w:spacing w:val="-4"/>
          <w:rtl/>
          <w:lang w:val="fr-CH"/>
        </w:rPr>
        <w:t xml:space="preserve"> (تاريخ </w:t>
      </w:r>
      <w:r>
        <w:rPr>
          <w:rFonts w:hint="cs"/>
          <w:spacing w:val="-4"/>
          <w:rtl/>
          <w:lang w:val="fr-CH"/>
        </w:rPr>
        <w:t>الرسالتين</w:t>
      </w:r>
      <w:r w:rsidRPr="00C51330">
        <w:rPr>
          <w:rFonts w:hint="cs"/>
          <w:spacing w:val="-4"/>
          <w:rtl/>
          <w:lang w:val="fr-CH"/>
        </w:rPr>
        <w:t xml:space="preserve"> </w:t>
      </w:r>
      <w:r>
        <w:rPr>
          <w:rFonts w:hint="cs"/>
          <w:spacing w:val="-4"/>
          <w:rtl/>
          <w:lang w:val="fr-CH"/>
        </w:rPr>
        <w:t>الأوليين</w:t>
      </w:r>
      <w:r w:rsidRPr="00C51330">
        <w:rPr>
          <w:rFonts w:hint="cs"/>
          <w:spacing w:val="-4"/>
          <w:rtl/>
          <w:lang w:val="fr-CH"/>
        </w:rPr>
        <w:t>)</w:t>
      </w:r>
    </w:p>
    <w:p w:rsidR="0015080A" w:rsidRPr="00632FE1" w:rsidRDefault="0015080A" w:rsidP="00632FE1">
      <w:pPr>
        <w:pStyle w:val="SingleTxtGA"/>
        <w:tabs>
          <w:tab w:val="clear" w:pos="1928"/>
        </w:tabs>
        <w:ind w:left="4649" w:hanging="2778"/>
        <w:rPr>
          <w:rFonts w:hint="cs"/>
          <w:spacing w:val="-3"/>
          <w:rtl/>
          <w:lang w:val="fr-CH"/>
        </w:rPr>
      </w:pPr>
      <w:r w:rsidRPr="00632FE1">
        <w:rPr>
          <w:rFonts w:hint="cs"/>
          <w:i/>
          <w:iCs/>
          <w:spacing w:val="-3"/>
          <w:rtl/>
          <w:lang w:val="fr-CH"/>
        </w:rPr>
        <w:t>الوثائق المرجعية</w:t>
      </w:r>
      <w:r w:rsidRPr="00632FE1">
        <w:rPr>
          <w:rFonts w:hint="cs"/>
          <w:spacing w:val="-3"/>
          <w:rtl/>
          <w:lang w:val="fr-CH"/>
        </w:rPr>
        <w:t>:</w:t>
      </w:r>
      <w:r w:rsidRPr="00632FE1">
        <w:rPr>
          <w:rFonts w:hint="cs"/>
          <w:i/>
          <w:iCs/>
          <w:spacing w:val="-3"/>
          <w:rtl/>
          <w:lang w:val="fr-CH"/>
        </w:rPr>
        <w:tab/>
      </w:r>
      <w:r w:rsidRPr="00632FE1">
        <w:rPr>
          <w:rFonts w:hint="cs"/>
          <w:i/>
          <w:iCs/>
          <w:spacing w:val="-3"/>
          <w:rtl/>
          <w:lang w:val="fr-CH"/>
        </w:rPr>
        <w:tab/>
      </w:r>
      <w:r w:rsidRPr="00632FE1">
        <w:rPr>
          <w:rFonts w:hint="cs"/>
          <w:i/>
          <w:iCs/>
          <w:spacing w:val="-3"/>
          <w:rtl/>
          <w:lang w:val="fr-CH"/>
        </w:rPr>
        <w:tab/>
      </w:r>
      <w:r w:rsidRPr="00632FE1">
        <w:rPr>
          <w:rFonts w:hint="cs"/>
          <w:spacing w:val="-3"/>
          <w:rtl/>
          <w:lang w:val="fr-CH"/>
        </w:rPr>
        <w:t>قرارا المقرر الخاص بموجب المادة 97 من النظام الداخلي، المحالان إلى الدولة الطرف في 24 تشرين الثاني/نوفمبر 2009 (لم يصدرا في شكل وثيقة)</w:t>
      </w:r>
    </w:p>
    <w:p w:rsidR="0015080A" w:rsidRDefault="0015080A" w:rsidP="00632FE1">
      <w:pPr>
        <w:pStyle w:val="SingleTxtGA"/>
        <w:tabs>
          <w:tab w:val="clear" w:pos="1928"/>
        </w:tabs>
        <w:ind w:left="4649" w:hanging="2778"/>
        <w:rPr>
          <w:rFonts w:hint="cs"/>
          <w:rtl/>
          <w:lang w:val="fr-CH"/>
        </w:rPr>
      </w:pPr>
      <w:r>
        <w:rPr>
          <w:rFonts w:hint="cs"/>
          <w:i/>
          <w:iCs/>
          <w:rtl/>
          <w:lang w:val="fr-CH"/>
        </w:rPr>
        <w:t>تاريخ اعتماد الآراء</w:t>
      </w:r>
      <w:r w:rsidRPr="00632FE1">
        <w:rPr>
          <w:rFonts w:hint="cs"/>
          <w:rtl/>
          <w:lang w:val="fr-CH"/>
        </w:rPr>
        <w:t>:</w:t>
      </w:r>
      <w:r>
        <w:rPr>
          <w:rFonts w:hint="cs"/>
          <w:i/>
          <w:iCs/>
          <w:rtl/>
          <w:lang w:val="fr-CH"/>
        </w:rPr>
        <w:tab/>
      </w:r>
      <w:r>
        <w:rPr>
          <w:rFonts w:hint="cs"/>
          <w:i/>
          <w:iCs/>
          <w:rtl/>
          <w:lang w:val="fr-CH"/>
        </w:rPr>
        <w:tab/>
      </w:r>
      <w:r>
        <w:rPr>
          <w:rFonts w:hint="cs"/>
          <w:rtl/>
          <w:lang w:val="fr-CH"/>
        </w:rPr>
        <w:t>1 تشرين الثاني/نوفمبر 2013</w:t>
      </w:r>
    </w:p>
    <w:p w:rsidR="0015080A" w:rsidRDefault="0015080A" w:rsidP="00617407">
      <w:pPr>
        <w:pStyle w:val="SingleTxtGA"/>
        <w:tabs>
          <w:tab w:val="clear" w:pos="1928"/>
        </w:tabs>
        <w:ind w:left="4649" w:hanging="2778"/>
        <w:rPr>
          <w:rFonts w:hint="cs"/>
          <w:rtl/>
          <w:lang w:val="fr-CH"/>
        </w:rPr>
      </w:pPr>
      <w:r>
        <w:rPr>
          <w:rFonts w:hint="cs"/>
          <w:i/>
          <w:iCs/>
          <w:rtl/>
          <w:lang w:val="fr-CH"/>
        </w:rPr>
        <w:t>الموضوع</w:t>
      </w:r>
      <w:r w:rsidRPr="00632FE1">
        <w:rPr>
          <w:rFonts w:hint="cs"/>
          <w:rtl/>
          <w:lang w:val="fr-CH"/>
        </w:rPr>
        <w:t>:</w:t>
      </w:r>
      <w:r>
        <w:rPr>
          <w:rFonts w:hint="cs"/>
          <w:i/>
          <w:iCs/>
          <w:rtl/>
          <w:lang w:val="fr-CH"/>
        </w:rPr>
        <w:tab/>
      </w:r>
      <w:r>
        <w:rPr>
          <w:rFonts w:hint="cs"/>
          <w:i/>
          <w:iCs/>
          <w:rtl/>
          <w:lang w:val="fr-CH"/>
        </w:rPr>
        <w:tab/>
      </w:r>
      <w:r>
        <w:rPr>
          <w:rFonts w:hint="cs"/>
          <w:i/>
          <w:iCs/>
          <w:rtl/>
          <w:lang w:val="fr-CH"/>
        </w:rPr>
        <w:tab/>
      </w:r>
      <w:r>
        <w:rPr>
          <w:rFonts w:hint="cs"/>
          <w:rtl/>
          <w:lang w:val="fr-CH"/>
        </w:rPr>
        <w:t>حرية التعبير؛ وحرية التجمع</w:t>
      </w:r>
    </w:p>
    <w:p w:rsidR="0015080A" w:rsidRDefault="0015080A" w:rsidP="00632FE1">
      <w:pPr>
        <w:pStyle w:val="SingleTxtGA"/>
        <w:tabs>
          <w:tab w:val="clear" w:pos="1928"/>
        </w:tabs>
        <w:ind w:left="4649" w:hanging="2778"/>
        <w:rPr>
          <w:rFonts w:hint="cs"/>
          <w:rtl/>
          <w:lang w:val="fr-CH"/>
        </w:rPr>
      </w:pPr>
      <w:r>
        <w:rPr>
          <w:rFonts w:hint="cs"/>
          <w:i/>
          <w:iCs/>
          <w:rtl/>
          <w:lang w:val="fr-CH"/>
        </w:rPr>
        <w:t>المسائل الإجرائية</w:t>
      </w:r>
      <w:r w:rsidRPr="00632FE1">
        <w:rPr>
          <w:rFonts w:hint="cs"/>
          <w:rtl/>
          <w:lang w:val="fr-CH"/>
        </w:rPr>
        <w:t>:</w:t>
      </w:r>
      <w:r>
        <w:rPr>
          <w:rFonts w:hint="cs"/>
          <w:i/>
          <w:iCs/>
          <w:rtl/>
          <w:lang w:val="fr-CH"/>
        </w:rPr>
        <w:tab/>
      </w:r>
      <w:r>
        <w:rPr>
          <w:rFonts w:hint="cs"/>
          <w:i/>
          <w:iCs/>
          <w:rtl/>
          <w:lang w:val="fr-CH"/>
        </w:rPr>
        <w:tab/>
      </w:r>
      <w:r>
        <w:rPr>
          <w:rFonts w:hint="cs"/>
          <w:i/>
          <w:iCs/>
          <w:rtl/>
          <w:lang w:val="fr-CH"/>
        </w:rPr>
        <w:tab/>
      </w:r>
      <w:r>
        <w:rPr>
          <w:rFonts w:hint="cs"/>
          <w:rtl/>
          <w:lang w:val="fr-CH"/>
        </w:rPr>
        <w:t>استنفاد سبل الانتصاف ال</w:t>
      </w:r>
      <w:r w:rsidR="00617407">
        <w:rPr>
          <w:rFonts w:hint="cs"/>
          <w:rtl/>
          <w:lang w:val="fr-CH"/>
        </w:rPr>
        <w:t>محلية</w:t>
      </w:r>
    </w:p>
    <w:p w:rsidR="0015080A" w:rsidRPr="00C51330" w:rsidRDefault="0015080A" w:rsidP="00632FE1">
      <w:pPr>
        <w:pStyle w:val="SingleTxtGA"/>
        <w:tabs>
          <w:tab w:val="clear" w:pos="1928"/>
        </w:tabs>
        <w:ind w:left="4649" w:hanging="2778"/>
        <w:rPr>
          <w:rFonts w:hint="cs"/>
          <w:spacing w:val="-4"/>
          <w:rtl/>
          <w:lang w:val="fr-CH"/>
        </w:rPr>
      </w:pPr>
      <w:r w:rsidRPr="00C51330">
        <w:rPr>
          <w:rFonts w:hint="cs"/>
          <w:i/>
          <w:iCs/>
          <w:spacing w:val="-4"/>
          <w:rtl/>
          <w:lang w:val="fr-CH"/>
        </w:rPr>
        <w:t>المسائل الموضوعية</w:t>
      </w:r>
      <w:r w:rsidRPr="00632FE1">
        <w:rPr>
          <w:rFonts w:hint="cs"/>
          <w:spacing w:val="-4"/>
          <w:rtl/>
          <w:lang w:val="fr-CH"/>
        </w:rPr>
        <w:t>:</w:t>
      </w:r>
      <w:r w:rsidRPr="00632FE1">
        <w:rPr>
          <w:rFonts w:hint="cs"/>
          <w:spacing w:val="-4"/>
          <w:rtl/>
          <w:lang w:val="fr-CH"/>
        </w:rPr>
        <w:tab/>
      </w:r>
      <w:r w:rsidR="00632FE1">
        <w:rPr>
          <w:rFonts w:hint="cs"/>
          <w:i/>
          <w:iCs/>
          <w:spacing w:val="-4"/>
          <w:rtl/>
          <w:lang w:val="fr-CH"/>
        </w:rPr>
        <w:tab/>
      </w:r>
      <w:r w:rsidRPr="00C51330">
        <w:rPr>
          <w:rFonts w:hint="cs"/>
          <w:i/>
          <w:iCs/>
          <w:spacing w:val="-4"/>
          <w:rtl/>
          <w:lang w:val="fr-CH"/>
        </w:rPr>
        <w:tab/>
      </w:r>
      <w:r>
        <w:rPr>
          <w:rFonts w:hint="cs"/>
          <w:spacing w:val="-4"/>
          <w:rtl/>
          <w:lang w:val="fr-CH"/>
        </w:rPr>
        <w:t>تقييد غير مبرر ل</w:t>
      </w:r>
      <w:r w:rsidR="00617407">
        <w:rPr>
          <w:rFonts w:hint="cs"/>
          <w:spacing w:val="-4"/>
          <w:rtl/>
          <w:lang w:val="fr-CH"/>
        </w:rPr>
        <w:t>لحق في نشر المعلومات</w:t>
      </w:r>
    </w:p>
    <w:p w:rsidR="0015080A" w:rsidRDefault="0015080A" w:rsidP="00632FE1">
      <w:pPr>
        <w:pStyle w:val="SingleTxtGA"/>
        <w:tabs>
          <w:tab w:val="clear" w:pos="1928"/>
        </w:tabs>
        <w:ind w:left="4649" w:hanging="2778"/>
        <w:rPr>
          <w:rFonts w:hint="cs"/>
          <w:rtl/>
          <w:lang w:val="fr-CH"/>
        </w:rPr>
      </w:pPr>
      <w:r>
        <w:rPr>
          <w:rFonts w:hint="cs"/>
          <w:i/>
          <w:iCs/>
          <w:rtl/>
          <w:lang w:val="fr-CH"/>
        </w:rPr>
        <w:t>مواد العهد</w:t>
      </w:r>
      <w:r w:rsidRPr="00632FE1">
        <w:rPr>
          <w:rFonts w:hint="cs"/>
          <w:rtl/>
          <w:lang w:val="fr-CH"/>
        </w:rPr>
        <w:t>:</w:t>
      </w:r>
      <w:r>
        <w:rPr>
          <w:rFonts w:hint="cs"/>
          <w:i/>
          <w:iCs/>
          <w:rtl/>
          <w:lang w:val="fr-CH"/>
        </w:rPr>
        <w:tab/>
      </w:r>
      <w:r>
        <w:rPr>
          <w:rFonts w:hint="cs"/>
          <w:i/>
          <w:iCs/>
          <w:rtl/>
          <w:lang w:val="fr-CH"/>
        </w:rPr>
        <w:tab/>
      </w:r>
      <w:r>
        <w:rPr>
          <w:rFonts w:hint="cs"/>
          <w:i/>
          <w:iCs/>
          <w:rtl/>
          <w:lang w:val="fr-CH"/>
        </w:rPr>
        <w:tab/>
      </w:r>
      <w:r w:rsidRPr="004C0FFD">
        <w:rPr>
          <w:rFonts w:hint="cs"/>
          <w:rtl/>
          <w:lang w:val="fr-CH"/>
        </w:rPr>
        <w:t>المادتان</w:t>
      </w:r>
      <w:r>
        <w:rPr>
          <w:rFonts w:hint="cs"/>
          <w:i/>
          <w:iCs/>
          <w:rtl/>
          <w:lang w:val="fr-CH"/>
        </w:rPr>
        <w:t xml:space="preserve"> </w:t>
      </w:r>
      <w:r>
        <w:rPr>
          <w:rFonts w:hint="cs"/>
          <w:rtl/>
          <w:lang w:val="fr-CH"/>
        </w:rPr>
        <w:t>19 و21</w:t>
      </w:r>
    </w:p>
    <w:p w:rsidR="0015080A" w:rsidRDefault="0015080A" w:rsidP="00632FE1">
      <w:pPr>
        <w:pStyle w:val="SingleTxtGA"/>
        <w:tabs>
          <w:tab w:val="clear" w:pos="1928"/>
        </w:tabs>
        <w:ind w:left="4649" w:hanging="2778"/>
        <w:rPr>
          <w:rFonts w:hint="cs"/>
          <w:rtl/>
          <w:lang w:val="fr-CH"/>
        </w:rPr>
      </w:pPr>
      <w:r>
        <w:rPr>
          <w:rFonts w:hint="cs"/>
          <w:i/>
          <w:iCs/>
          <w:rtl/>
          <w:lang w:val="fr-CH"/>
        </w:rPr>
        <w:t>مواد البروتوكول الاختياري</w:t>
      </w:r>
      <w:r w:rsidRPr="00632FE1">
        <w:rPr>
          <w:rFonts w:hint="cs"/>
          <w:rtl/>
          <w:lang w:val="fr-CH"/>
        </w:rPr>
        <w:t>:</w:t>
      </w:r>
      <w:r>
        <w:rPr>
          <w:rFonts w:hint="cs"/>
          <w:i/>
          <w:iCs/>
          <w:rtl/>
          <w:lang w:val="fr-CH"/>
        </w:rPr>
        <w:tab/>
      </w:r>
      <w:r>
        <w:rPr>
          <w:rFonts w:hint="cs"/>
          <w:rtl/>
          <w:lang w:val="fr-CH"/>
        </w:rPr>
        <w:t>الفقرة 2(ب) من المادة 5</w:t>
      </w:r>
    </w:p>
    <w:p w:rsidR="0015080A" w:rsidRDefault="0015080A" w:rsidP="002643E5">
      <w:pPr>
        <w:pStyle w:val="HChGA"/>
        <w:spacing w:before="120"/>
        <w:rPr>
          <w:rFonts w:hint="cs"/>
          <w:rtl/>
          <w:lang w:val="fr-CH"/>
        </w:rPr>
      </w:pPr>
      <w:r>
        <w:rPr>
          <w:rFonts w:hint="cs"/>
          <w:rtl/>
          <w:lang w:val="fr-CH"/>
        </w:rPr>
        <w:t>المرفق</w:t>
      </w:r>
    </w:p>
    <w:p w:rsidR="0015080A" w:rsidRPr="002643E5" w:rsidRDefault="0015080A" w:rsidP="00AD23B1">
      <w:pPr>
        <w:pStyle w:val="HChGA"/>
        <w:spacing w:before="240"/>
        <w:rPr>
          <w:rFonts w:hint="cs"/>
          <w:b w:val="0"/>
          <w:bCs w:val="0"/>
          <w:rtl/>
          <w:lang w:val="fr-CH"/>
        </w:rPr>
      </w:pPr>
      <w:r>
        <w:rPr>
          <w:rFonts w:hint="cs"/>
          <w:rtl/>
          <w:lang w:val="fr-CH"/>
        </w:rPr>
        <w:tab/>
      </w:r>
      <w:r>
        <w:rPr>
          <w:rFonts w:hint="cs"/>
          <w:rtl/>
          <w:lang w:val="fr-CH"/>
        </w:rPr>
        <w:tab/>
        <w:t xml:space="preserve">آراء اللجنة المعنية بحقوق الإنسان بموجب الفقرة 4 من المادة 5 من البروتوكول الاختياري الملحق بالعهد الدولي الخاص بالحقوق المدنية والسياسية </w:t>
      </w:r>
      <w:r w:rsidRPr="002643E5">
        <w:rPr>
          <w:rFonts w:hint="cs"/>
          <w:b w:val="0"/>
          <w:bCs w:val="0"/>
          <w:rtl/>
          <w:lang w:val="fr-CH"/>
        </w:rPr>
        <w:t>(الدورة 109)</w:t>
      </w:r>
    </w:p>
    <w:p w:rsidR="0015080A" w:rsidRDefault="0015080A" w:rsidP="0015080A">
      <w:pPr>
        <w:pStyle w:val="SingleTxtGA"/>
        <w:rPr>
          <w:rFonts w:hint="cs"/>
          <w:rtl/>
          <w:lang w:val="fr-CH"/>
        </w:rPr>
      </w:pPr>
      <w:r>
        <w:rPr>
          <w:rFonts w:hint="cs"/>
          <w:rtl/>
          <w:lang w:val="fr-CH"/>
        </w:rPr>
        <w:t>بشأن</w:t>
      </w:r>
    </w:p>
    <w:p w:rsidR="0015080A" w:rsidRDefault="0015080A" w:rsidP="002643E5">
      <w:pPr>
        <w:pStyle w:val="H1GA"/>
        <w:rPr>
          <w:rFonts w:hint="cs"/>
          <w:rtl/>
          <w:lang w:val="fr-CH"/>
        </w:rPr>
      </w:pPr>
      <w:r>
        <w:rPr>
          <w:rFonts w:hint="cs"/>
          <w:rtl/>
          <w:lang w:val="fr-CH"/>
        </w:rPr>
        <w:tab/>
      </w:r>
      <w:r>
        <w:rPr>
          <w:rFonts w:hint="cs"/>
          <w:rtl/>
          <w:lang w:val="fr-CH"/>
        </w:rPr>
        <w:tab/>
        <w:t>البلاغين رقم 1919-1920/2009</w:t>
      </w:r>
      <w:r w:rsidR="002643E5" w:rsidRPr="002643E5">
        <w:rPr>
          <w:rStyle w:val="FootnoteReference"/>
          <w:sz w:val="20"/>
          <w:vertAlign w:val="baseline"/>
          <w:rtl/>
          <w:lang w:val="fr-CH"/>
        </w:rPr>
        <w:footnoteReference w:customMarkFollows="1" w:id="1"/>
        <w:t>*</w:t>
      </w:r>
    </w:p>
    <w:p w:rsidR="0015080A" w:rsidRPr="00AB3A66" w:rsidRDefault="0015080A" w:rsidP="00617407">
      <w:pPr>
        <w:pStyle w:val="SingleTxtGA"/>
        <w:ind w:left="4649" w:hanging="3402"/>
        <w:rPr>
          <w:rFonts w:hint="cs"/>
          <w:rtl/>
          <w:lang w:val="fr-CH"/>
        </w:rPr>
      </w:pPr>
      <w:r>
        <w:rPr>
          <w:rFonts w:hint="cs"/>
          <w:i/>
          <w:iCs/>
          <w:rtl/>
          <w:lang w:val="fr-CH"/>
        </w:rPr>
        <w:tab/>
        <w:t>المقدمين من:</w:t>
      </w:r>
      <w:r>
        <w:rPr>
          <w:rFonts w:hint="cs"/>
          <w:i/>
          <w:iCs/>
          <w:rtl/>
          <w:lang w:val="fr-CH"/>
        </w:rPr>
        <w:tab/>
      </w:r>
      <w:r w:rsidR="00617407">
        <w:rPr>
          <w:rFonts w:hint="cs"/>
          <w:i/>
          <w:iCs/>
          <w:rtl/>
          <w:lang w:val="fr-CH"/>
        </w:rPr>
        <w:tab/>
      </w:r>
      <w:r>
        <w:rPr>
          <w:rFonts w:hint="cs"/>
          <w:i/>
          <w:iCs/>
          <w:rtl/>
          <w:lang w:val="fr-CH"/>
        </w:rPr>
        <w:tab/>
      </w:r>
      <w:r>
        <w:rPr>
          <w:rFonts w:hint="cs"/>
          <w:rtl/>
          <w:lang w:val="fr-CH"/>
        </w:rPr>
        <w:t xml:space="preserve">ألكسندر </w:t>
      </w:r>
      <w:proofErr w:type="spellStart"/>
      <w:r>
        <w:rPr>
          <w:rFonts w:hint="cs"/>
          <w:rtl/>
          <w:lang w:val="fr-CH"/>
        </w:rPr>
        <w:t>بروتسكو</w:t>
      </w:r>
      <w:proofErr w:type="spellEnd"/>
      <w:r>
        <w:rPr>
          <w:rFonts w:hint="cs"/>
          <w:rtl/>
          <w:lang w:val="fr-CH"/>
        </w:rPr>
        <w:t xml:space="preserve"> </w:t>
      </w:r>
      <w:proofErr w:type="spellStart"/>
      <w:r>
        <w:rPr>
          <w:rFonts w:hint="cs"/>
          <w:rtl/>
          <w:lang w:val="fr-CH"/>
        </w:rPr>
        <w:t>وأندري</w:t>
      </w:r>
      <w:proofErr w:type="spellEnd"/>
      <w:r>
        <w:rPr>
          <w:rFonts w:hint="cs"/>
          <w:rtl/>
          <w:lang w:val="fr-CH"/>
        </w:rPr>
        <w:t xml:space="preserve"> </w:t>
      </w:r>
      <w:proofErr w:type="spellStart"/>
      <w:r>
        <w:rPr>
          <w:rFonts w:hint="cs"/>
          <w:rtl/>
          <w:lang w:val="fr-CH"/>
        </w:rPr>
        <w:t>تولشين</w:t>
      </w:r>
      <w:proofErr w:type="spellEnd"/>
      <w:r w:rsidRPr="00C51330">
        <w:rPr>
          <w:rFonts w:hint="cs"/>
          <w:rtl/>
          <w:lang w:val="fr-CH"/>
        </w:rPr>
        <w:t xml:space="preserve"> (لا يمثله</w:t>
      </w:r>
      <w:r>
        <w:rPr>
          <w:rFonts w:hint="cs"/>
          <w:rtl/>
          <w:lang w:val="fr-CH"/>
        </w:rPr>
        <w:t>ما</w:t>
      </w:r>
      <w:r w:rsidRPr="00C51330">
        <w:rPr>
          <w:rFonts w:hint="cs"/>
          <w:rtl/>
          <w:lang w:val="fr-CH"/>
        </w:rPr>
        <w:t xml:space="preserve"> محام)</w:t>
      </w:r>
    </w:p>
    <w:p w:rsidR="0015080A" w:rsidRDefault="0015080A" w:rsidP="0015080A">
      <w:pPr>
        <w:pStyle w:val="SingleTxtGA"/>
        <w:rPr>
          <w:rFonts w:hint="cs"/>
          <w:rtl/>
          <w:lang w:val="fr-CH"/>
        </w:rPr>
      </w:pPr>
      <w:r>
        <w:rPr>
          <w:rFonts w:hint="cs"/>
          <w:i/>
          <w:iCs/>
          <w:rtl/>
          <w:lang w:val="fr-CH"/>
        </w:rPr>
        <w:tab/>
        <w:t>الشخصان المدعى أنهما ضحيتان:</w:t>
      </w:r>
      <w:r>
        <w:rPr>
          <w:rFonts w:hint="cs"/>
          <w:i/>
          <w:iCs/>
          <w:rtl/>
          <w:lang w:val="fr-CH"/>
        </w:rPr>
        <w:tab/>
      </w:r>
      <w:r>
        <w:rPr>
          <w:rFonts w:hint="cs"/>
          <w:rtl/>
          <w:lang w:val="fr-CH"/>
        </w:rPr>
        <w:t>صاحبا البلاغين</w:t>
      </w:r>
    </w:p>
    <w:p w:rsidR="0015080A" w:rsidRDefault="0015080A" w:rsidP="0015080A">
      <w:pPr>
        <w:pStyle w:val="SingleTxtGA"/>
        <w:rPr>
          <w:rFonts w:hint="cs"/>
          <w:rtl/>
          <w:lang w:val="fr-CH"/>
        </w:rPr>
      </w:pPr>
      <w:r>
        <w:rPr>
          <w:rFonts w:hint="cs"/>
          <w:i/>
          <w:iCs/>
          <w:rtl/>
          <w:lang w:val="fr-CH"/>
        </w:rPr>
        <w:tab/>
        <w:t>الدولة الطرف:</w:t>
      </w:r>
      <w:r>
        <w:rPr>
          <w:rFonts w:hint="cs"/>
          <w:i/>
          <w:iCs/>
          <w:rtl/>
          <w:lang w:val="fr-CH"/>
        </w:rPr>
        <w:tab/>
      </w:r>
      <w:r>
        <w:rPr>
          <w:rFonts w:hint="cs"/>
          <w:i/>
          <w:iCs/>
          <w:rtl/>
          <w:lang w:val="fr-CH"/>
        </w:rPr>
        <w:tab/>
      </w:r>
      <w:r>
        <w:rPr>
          <w:rFonts w:hint="cs"/>
          <w:i/>
          <w:iCs/>
          <w:rtl/>
          <w:lang w:val="fr-CH"/>
        </w:rPr>
        <w:tab/>
      </w:r>
      <w:r>
        <w:rPr>
          <w:rFonts w:hint="cs"/>
          <w:rtl/>
          <w:lang w:val="fr-CH"/>
        </w:rPr>
        <w:t>بيلاروس</w:t>
      </w:r>
    </w:p>
    <w:p w:rsidR="0015080A" w:rsidRPr="00C51330" w:rsidRDefault="0015080A" w:rsidP="0015080A">
      <w:pPr>
        <w:pStyle w:val="SingleTxtGA"/>
        <w:spacing w:line="340" w:lineRule="exact"/>
        <w:ind w:left="4649" w:hanging="2721"/>
        <w:rPr>
          <w:rFonts w:hint="cs"/>
          <w:spacing w:val="-4"/>
          <w:rtl/>
          <w:lang w:val="fr-CH"/>
        </w:rPr>
      </w:pPr>
      <w:r w:rsidRPr="00C51330">
        <w:rPr>
          <w:rFonts w:hint="cs"/>
          <w:i/>
          <w:iCs/>
          <w:spacing w:val="-4"/>
          <w:rtl/>
          <w:lang w:val="fr-CH"/>
        </w:rPr>
        <w:t>تاريخ</w:t>
      </w:r>
      <w:r>
        <w:rPr>
          <w:rFonts w:hint="cs"/>
          <w:i/>
          <w:iCs/>
          <w:spacing w:val="-4"/>
          <w:rtl/>
          <w:lang w:val="fr-CH"/>
        </w:rPr>
        <w:t xml:space="preserve"> تقديم</w:t>
      </w:r>
      <w:r w:rsidRPr="00C51330">
        <w:rPr>
          <w:rFonts w:hint="cs"/>
          <w:i/>
          <w:iCs/>
          <w:spacing w:val="-4"/>
          <w:rtl/>
          <w:lang w:val="fr-CH"/>
        </w:rPr>
        <w:t xml:space="preserve"> البلا</w:t>
      </w:r>
      <w:r>
        <w:rPr>
          <w:rFonts w:hint="cs"/>
          <w:i/>
          <w:iCs/>
          <w:spacing w:val="-4"/>
          <w:rtl/>
          <w:lang w:val="fr-CH"/>
        </w:rPr>
        <w:t>غين</w:t>
      </w:r>
      <w:r w:rsidRPr="00C51330">
        <w:rPr>
          <w:rFonts w:hint="cs"/>
          <w:i/>
          <w:iCs/>
          <w:spacing w:val="-4"/>
          <w:rtl/>
          <w:lang w:val="fr-CH"/>
        </w:rPr>
        <w:t>:</w:t>
      </w:r>
      <w:r w:rsidRPr="00C51330">
        <w:rPr>
          <w:rFonts w:hint="cs"/>
          <w:i/>
          <w:iCs/>
          <w:spacing w:val="-4"/>
          <w:rtl/>
          <w:lang w:val="fr-CH"/>
        </w:rPr>
        <w:tab/>
      </w:r>
      <w:r w:rsidRPr="00C51330">
        <w:rPr>
          <w:rFonts w:hint="cs"/>
          <w:i/>
          <w:iCs/>
          <w:spacing w:val="-4"/>
          <w:rtl/>
          <w:lang w:val="fr-CH"/>
        </w:rPr>
        <w:tab/>
      </w:r>
      <w:r>
        <w:rPr>
          <w:rFonts w:hint="cs"/>
          <w:spacing w:val="-4"/>
          <w:rtl/>
          <w:lang w:val="fr-CH"/>
        </w:rPr>
        <w:t>22 آب</w:t>
      </w:r>
      <w:r w:rsidRPr="00C51330">
        <w:rPr>
          <w:rFonts w:hint="cs"/>
          <w:spacing w:val="-4"/>
          <w:rtl/>
          <w:lang w:val="fr-CH"/>
        </w:rPr>
        <w:t>/</w:t>
      </w:r>
      <w:r>
        <w:rPr>
          <w:rFonts w:hint="cs"/>
          <w:spacing w:val="-4"/>
          <w:rtl/>
          <w:lang w:val="fr-CH"/>
        </w:rPr>
        <w:t>أغسطس 2009</w:t>
      </w:r>
      <w:r w:rsidRPr="00C51330">
        <w:rPr>
          <w:rFonts w:hint="cs"/>
          <w:spacing w:val="-4"/>
          <w:rtl/>
          <w:lang w:val="fr-CH"/>
        </w:rPr>
        <w:t xml:space="preserve"> (تاريخ </w:t>
      </w:r>
      <w:r>
        <w:rPr>
          <w:rFonts w:hint="cs"/>
          <w:spacing w:val="-4"/>
          <w:rtl/>
          <w:lang w:val="fr-CH"/>
        </w:rPr>
        <w:t>الرسالتين</w:t>
      </w:r>
      <w:r w:rsidRPr="00C51330">
        <w:rPr>
          <w:rFonts w:hint="cs"/>
          <w:spacing w:val="-4"/>
          <w:rtl/>
          <w:lang w:val="fr-CH"/>
        </w:rPr>
        <w:t xml:space="preserve"> </w:t>
      </w:r>
      <w:r>
        <w:rPr>
          <w:rFonts w:hint="cs"/>
          <w:spacing w:val="-4"/>
          <w:rtl/>
          <w:lang w:val="fr-CH"/>
        </w:rPr>
        <w:t>الأوليين</w:t>
      </w:r>
      <w:r w:rsidRPr="00C51330">
        <w:rPr>
          <w:rFonts w:hint="cs"/>
          <w:spacing w:val="-4"/>
          <w:rtl/>
          <w:lang w:val="fr-CH"/>
        </w:rPr>
        <w:t>)</w:t>
      </w:r>
    </w:p>
    <w:p w:rsidR="0015080A" w:rsidRDefault="0015080A" w:rsidP="0015080A">
      <w:pPr>
        <w:pStyle w:val="SingleTxtGA"/>
        <w:rPr>
          <w:rFonts w:hint="cs"/>
          <w:rtl/>
          <w:lang w:val="fr-CH"/>
        </w:rPr>
      </w:pPr>
      <w:r>
        <w:rPr>
          <w:rFonts w:hint="cs"/>
          <w:i/>
          <w:iCs/>
          <w:rtl/>
          <w:lang w:val="fr-CH"/>
        </w:rPr>
        <w:tab/>
        <w:t>إن اللجنة المعنية بحقوق الإنسان</w:t>
      </w:r>
      <w:r>
        <w:rPr>
          <w:rFonts w:hint="cs"/>
          <w:rtl/>
          <w:lang w:val="fr-CH"/>
        </w:rPr>
        <w:t>، المنشأة بموجب المادة 28 من العهد الدولي الخاص بالحقوق المدنية والسياسية،</w:t>
      </w:r>
    </w:p>
    <w:p w:rsidR="0015080A" w:rsidRDefault="0015080A" w:rsidP="0015080A">
      <w:pPr>
        <w:pStyle w:val="SingleTxtGA"/>
        <w:rPr>
          <w:rFonts w:hint="cs"/>
          <w:rtl/>
          <w:lang w:val="fr-CH"/>
        </w:rPr>
      </w:pPr>
      <w:r>
        <w:rPr>
          <w:rFonts w:hint="cs"/>
          <w:rtl/>
          <w:lang w:val="fr-CH"/>
        </w:rPr>
        <w:tab/>
      </w:r>
      <w:r>
        <w:rPr>
          <w:rFonts w:hint="cs"/>
          <w:i/>
          <w:iCs/>
          <w:rtl/>
          <w:lang w:val="fr-CH"/>
        </w:rPr>
        <w:t>وقد اجتمعت</w:t>
      </w:r>
      <w:r w:rsidRPr="00C51330">
        <w:rPr>
          <w:rFonts w:hint="cs"/>
          <w:rtl/>
          <w:lang w:val="fr-CH"/>
        </w:rPr>
        <w:t xml:space="preserve"> في</w:t>
      </w:r>
      <w:r>
        <w:rPr>
          <w:rFonts w:hint="cs"/>
          <w:rtl/>
          <w:lang w:val="fr-CH"/>
        </w:rPr>
        <w:t xml:space="preserve"> 1 تشرين الثاني/نوفمبر 2013،</w:t>
      </w:r>
    </w:p>
    <w:p w:rsidR="0015080A" w:rsidRDefault="0015080A" w:rsidP="0015080A">
      <w:pPr>
        <w:pStyle w:val="SingleTxtGA"/>
        <w:rPr>
          <w:rFonts w:hint="cs"/>
          <w:rtl/>
          <w:lang w:val="fr-CH"/>
        </w:rPr>
      </w:pPr>
      <w:r>
        <w:rPr>
          <w:rFonts w:hint="cs"/>
          <w:rtl/>
          <w:lang w:val="fr-CH"/>
        </w:rPr>
        <w:tab/>
      </w:r>
      <w:r>
        <w:rPr>
          <w:rFonts w:hint="cs"/>
          <w:i/>
          <w:iCs/>
          <w:rtl/>
          <w:lang w:val="fr-CH"/>
        </w:rPr>
        <w:t>وقد فرغت من النظر</w:t>
      </w:r>
      <w:r>
        <w:rPr>
          <w:rFonts w:hint="cs"/>
          <w:rtl/>
          <w:lang w:val="fr-CH"/>
        </w:rPr>
        <w:t xml:space="preserve"> في البلاغين رقم 1919-1920/2008، المقدمين إليها من السيد ألكسندر </w:t>
      </w:r>
      <w:proofErr w:type="spellStart"/>
      <w:r>
        <w:rPr>
          <w:rFonts w:hint="cs"/>
          <w:rtl/>
          <w:lang w:val="fr-CH"/>
        </w:rPr>
        <w:t>بروتسكو</w:t>
      </w:r>
      <w:proofErr w:type="spellEnd"/>
      <w:r>
        <w:rPr>
          <w:rFonts w:hint="cs"/>
          <w:rtl/>
          <w:lang w:val="fr-CH"/>
        </w:rPr>
        <w:t xml:space="preserve"> والسيد </w:t>
      </w:r>
      <w:proofErr w:type="spellStart"/>
      <w:r>
        <w:rPr>
          <w:rFonts w:hint="cs"/>
          <w:rtl/>
          <w:lang w:val="fr-CH"/>
        </w:rPr>
        <w:t>أندريي</w:t>
      </w:r>
      <w:proofErr w:type="spellEnd"/>
      <w:r>
        <w:rPr>
          <w:rFonts w:hint="cs"/>
          <w:rtl/>
          <w:lang w:val="fr-CH"/>
        </w:rPr>
        <w:t xml:space="preserve"> </w:t>
      </w:r>
      <w:proofErr w:type="spellStart"/>
      <w:r>
        <w:rPr>
          <w:rFonts w:hint="cs"/>
          <w:rtl/>
          <w:lang w:val="fr-CH"/>
        </w:rPr>
        <w:t>تولشين</w:t>
      </w:r>
      <w:proofErr w:type="spellEnd"/>
      <w:r w:rsidRPr="00C51330">
        <w:rPr>
          <w:rFonts w:hint="cs"/>
          <w:rtl/>
          <w:lang w:val="fr-CH"/>
        </w:rPr>
        <w:t xml:space="preserve"> </w:t>
      </w:r>
      <w:r>
        <w:rPr>
          <w:rFonts w:hint="cs"/>
          <w:rtl/>
          <w:lang w:val="fr-CH"/>
        </w:rPr>
        <w:t xml:space="preserve">بموجب البروتوكول الاختياري الملحق بالعهد الدولي الخاص بالحقوق المدنية والسياسية، </w:t>
      </w:r>
    </w:p>
    <w:p w:rsidR="0015080A" w:rsidRDefault="0015080A" w:rsidP="0015080A">
      <w:pPr>
        <w:pStyle w:val="SingleTxtGA"/>
        <w:rPr>
          <w:rFonts w:hint="cs"/>
          <w:rtl/>
          <w:lang w:val="fr-CH"/>
        </w:rPr>
      </w:pPr>
      <w:r>
        <w:rPr>
          <w:rFonts w:hint="cs"/>
          <w:i/>
          <w:iCs/>
          <w:rtl/>
          <w:lang w:val="fr-CH"/>
        </w:rPr>
        <w:tab/>
        <w:t>وقد وضعت في اعتبارها</w:t>
      </w:r>
      <w:r>
        <w:rPr>
          <w:rFonts w:hint="cs"/>
          <w:rtl/>
          <w:lang w:val="fr-CH"/>
        </w:rPr>
        <w:t xml:space="preserve"> جميع المعلومات المكتوبة التي أتاحها لها كل من صاحبي البلاغين والدولة الطرف،</w:t>
      </w:r>
    </w:p>
    <w:p w:rsidR="0015080A" w:rsidRPr="002643E5" w:rsidRDefault="0015080A" w:rsidP="0015080A">
      <w:pPr>
        <w:pStyle w:val="SingleTxtGA"/>
        <w:rPr>
          <w:rFonts w:hint="cs"/>
          <w:rtl/>
          <w:lang w:val="fr-CH"/>
        </w:rPr>
      </w:pPr>
      <w:r>
        <w:rPr>
          <w:rFonts w:hint="cs"/>
          <w:i/>
          <w:iCs/>
          <w:rtl/>
          <w:lang w:val="fr-CH"/>
        </w:rPr>
        <w:tab/>
        <w:t xml:space="preserve">تعتمد </w:t>
      </w:r>
      <w:r w:rsidRPr="002643E5">
        <w:rPr>
          <w:rFonts w:hint="cs"/>
          <w:rtl/>
          <w:lang w:val="fr-CH"/>
        </w:rPr>
        <w:t>ما يلي:</w:t>
      </w:r>
    </w:p>
    <w:p w:rsidR="0015080A" w:rsidRDefault="0015080A" w:rsidP="0015080A">
      <w:pPr>
        <w:pStyle w:val="H1GA"/>
        <w:spacing w:before="120"/>
        <w:rPr>
          <w:rFonts w:hint="cs"/>
          <w:rtl/>
          <w:lang w:val="fr-CH"/>
        </w:rPr>
      </w:pPr>
      <w:r>
        <w:rPr>
          <w:rFonts w:hint="cs"/>
          <w:rtl/>
          <w:lang w:val="fr-CH"/>
        </w:rPr>
        <w:tab/>
      </w:r>
      <w:r>
        <w:rPr>
          <w:rFonts w:hint="cs"/>
          <w:rtl/>
          <w:lang w:val="fr-CH"/>
        </w:rPr>
        <w:tab/>
        <w:t>الآراء بموجب الفقرة 4 من المادة 5 من البروتوكول الاختياري</w:t>
      </w:r>
    </w:p>
    <w:p w:rsidR="0015080A" w:rsidRDefault="0015080A" w:rsidP="002B0529">
      <w:pPr>
        <w:pStyle w:val="SingleTxtGA"/>
        <w:rPr>
          <w:rFonts w:hint="cs"/>
          <w:rtl/>
          <w:lang w:val="fr-CH"/>
        </w:rPr>
      </w:pPr>
      <w:r>
        <w:rPr>
          <w:rFonts w:hint="cs"/>
          <w:rtl/>
          <w:lang w:val="fr-CH"/>
        </w:rPr>
        <w:t>1-</w:t>
      </w:r>
      <w:r w:rsidR="0060381C">
        <w:rPr>
          <w:rFonts w:hint="cs"/>
          <w:rtl/>
          <w:lang w:val="fr-CH"/>
        </w:rPr>
        <w:t>1</w:t>
      </w:r>
      <w:r>
        <w:rPr>
          <w:rFonts w:hint="cs"/>
          <w:rtl/>
          <w:lang w:val="fr-CH"/>
        </w:rPr>
        <w:tab/>
        <w:t>صاحبا البلاغين هما السيد ألكسندر</w:t>
      </w:r>
      <w:r w:rsidRPr="002B6F2F">
        <w:rPr>
          <w:rFonts w:hint="cs"/>
          <w:rtl/>
          <w:lang w:val="fr-CH"/>
        </w:rPr>
        <w:t xml:space="preserve"> </w:t>
      </w:r>
      <w:proofErr w:type="spellStart"/>
      <w:r>
        <w:rPr>
          <w:rFonts w:hint="cs"/>
          <w:rtl/>
          <w:lang w:val="fr-CH"/>
        </w:rPr>
        <w:t>بروتسكو</w:t>
      </w:r>
      <w:proofErr w:type="spellEnd"/>
      <w:r>
        <w:rPr>
          <w:rFonts w:hint="cs"/>
          <w:rtl/>
          <w:lang w:val="fr-CH"/>
        </w:rPr>
        <w:t>، "صاحب البلاغ الأول" (البلاغ رقم</w:t>
      </w:r>
      <w:r w:rsidR="002B0529">
        <w:rPr>
          <w:rFonts w:hint="eastAsia"/>
          <w:rtl/>
          <w:lang w:val="fr-CH"/>
        </w:rPr>
        <w:t> </w:t>
      </w:r>
      <w:r>
        <w:rPr>
          <w:rFonts w:hint="cs"/>
          <w:rtl/>
          <w:lang w:val="fr-CH"/>
        </w:rPr>
        <w:t xml:space="preserve">1919/2009) والسيد أندري </w:t>
      </w:r>
      <w:proofErr w:type="spellStart"/>
      <w:r>
        <w:rPr>
          <w:rFonts w:hint="cs"/>
          <w:rtl/>
          <w:lang w:val="fr-CH"/>
        </w:rPr>
        <w:t>تولشين</w:t>
      </w:r>
      <w:proofErr w:type="spellEnd"/>
      <w:r>
        <w:rPr>
          <w:rFonts w:hint="cs"/>
          <w:rtl/>
          <w:lang w:val="fr-CH"/>
        </w:rPr>
        <w:t xml:space="preserve"> "صاحب البلاغ الثاني" (البلاغ رقم</w:t>
      </w:r>
      <w:r w:rsidR="002B0529">
        <w:rPr>
          <w:rFonts w:hint="eastAsia"/>
          <w:rtl/>
          <w:lang w:val="fr-CH"/>
        </w:rPr>
        <w:t> </w:t>
      </w:r>
      <w:r>
        <w:rPr>
          <w:rFonts w:hint="cs"/>
          <w:rtl/>
          <w:lang w:val="fr-CH"/>
        </w:rPr>
        <w:t xml:space="preserve">1920/2009)، وهما مواطنان </w:t>
      </w:r>
      <w:proofErr w:type="spellStart"/>
      <w:r>
        <w:rPr>
          <w:rFonts w:hint="cs"/>
          <w:rtl/>
          <w:lang w:val="fr-CH"/>
        </w:rPr>
        <w:t>بيلاروسيان</w:t>
      </w:r>
      <w:proofErr w:type="spellEnd"/>
      <w:r>
        <w:rPr>
          <w:rFonts w:hint="cs"/>
          <w:rtl/>
          <w:lang w:val="fr-CH"/>
        </w:rPr>
        <w:t xml:space="preserve"> وُلدا على التوالي في عام</w:t>
      </w:r>
      <w:r>
        <w:rPr>
          <w:rFonts w:hint="eastAsia"/>
          <w:rtl/>
          <w:lang w:val="fr-CH"/>
        </w:rPr>
        <w:t> </w:t>
      </w:r>
      <w:r>
        <w:rPr>
          <w:rFonts w:hint="cs"/>
          <w:rtl/>
          <w:lang w:val="fr-CH"/>
        </w:rPr>
        <w:t>1953 وعام</w:t>
      </w:r>
      <w:r w:rsidR="002B0529">
        <w:rPr>
          <w:rFonts w:hint="eastAsia"/>
          <w:rtl/>
          <w:lang w:val="fr-CH"/>
        </w:rPr>
        <w:t> </w:t>
      </w:r>
      <w:r>
        <w:rPr>
          <w:rFonts w:hint="cs"/>
          <w:rtl/>
          <w:lang w:val="fr-CH"/>
        </w:rPr>
        <w:t>1959. وهما يدعيان أن بيلاروس انتهكت حقوقهما المكفولة في المادتين 19 و21 من</w:t>
      </w:r>
      <w:r w:rsidR="002B0529">
        <w:rPr>
          <w:rFonts w:hint="eastAsia"/>
          <w:rtl/>
          <w:lang w:val="fr-CH"/>
        </w:rPr>
        <w:t> </w:t>
      </w:r>
      <w:r>
        <w:rPr>
          <w:rFonts w:hint="cs"/>
          <w:rtl/>
          <w:lang w:val="fr-CH"/>
        </w:rPr>
        <w:t xml:space="preserve">العهد الدولي الخاص بالحقوق المدنية والسياسية. ولا يمثلهما محام. وقد بدأ نفاذ البروتوكول الاختياري بالنسبة إلى الدولة الطرف في 30 أيلول/سبتمبر 1992. </w:t>
      </w:r>
    </w:p>
    <w:p w:rsidR="0015080A" w:rsidRPr="00644149" w:rsidRDefault="0015080A" w:rsidP="00644149">
      <w:pPr>
        <w:pStyle w:val="SingleTxtGA"/>
        <w:rPr>
          <w:rFonts w:hint="cs"/>
          <w:spacing w:val="-2"/>
          <w:rtl/>
          <w:lang w:val="fr-CH"/>
        </w:rPr>
      </w:pPr>
      <w:r w:rsidRPr="00644149">
        <w:rPr>
          <w:rFonts w:hint="cs"/>
          <w:spacing w:val="-2"/>
          <w:rtl/>
          <w:lang w:val="fr-CH"/>
        </w:rPr>
        <w:t>1-2</w:t>
      </w:r>
      <w:r w:rsidR="00644149" w:rsidRPr="00644149">
        <w:rPr>
          <w:rFonts w:hint="cs"/>
          <w:spacing w:val="-2"/>
          <w:rtl/>
          <w:lang w:val="fr-CH"/>
        </w:rPr>
        <w:tab/>
      </w:r>
      <w:r w:rsidRPr="00644149">
        <w:rPr>
          <w:rFonts w:hint="cs"/>
          <w:spacing w:val="-2"/>
          <w:rtl/>
          <w:lang w:val="fr-CH"/>
        </w:rPr>
        <w:t>وفي 1 تشرين الثاني/نوفمبر 2013، قرّرت اللجنة، عمل</w:t>
      </w:r>
      <w:r w:rsidR="0064250B" w:rsidRPr="00644149">
        <w:rPr>
          <w:rFonts w:hint="cs"/>
          <w:spacing w:val="-2"/>
          <w:rtl/>
          <w:lang w:val="fr-CH"/>
        </w:rPr>
        <w:t xml:space="preserve">اً </w:t>
      </w:r>
      <w:r w:rsidRPr="00644149">
        <w:rPr>
          <w:rFonts w:hint="cs"/>
          <w:spacing w:val="-2"/>
          <w:rtl/>
          <w:lang w:val="fr-CH"/>
        </w:rPr>
        <w:t>بالفقرة 2 من المادة 94 من نظامها الداخلي، أن تنظر في البلاغين مع</w:t>
      </w:r>
      <w:r w:rsidR="0064250B" w:rsidRPr="00644149">
        <w:rPr>
          <w:rFonts w:hint="cs"/>
          <w:spacing w:val="-2"/>
          <w:rtl/>
          <w:lang w:val="fr-CH"/>
        </w:rPr>
        <w:t xml:space="preserve">اً </w:t>
      </w:r>
      <w:r w:rsidRPr="00644149">
        <w:rPr>
          <w:rFonts w:hint="cs"/>
          <w:spacing w:val="-2"/>
          <w:rtl/>
          <w:lang w:val="fr-CH"/>
        </w:rPr>
        <w:t>بالنظر إلى التشابه بينهما من حيث الوقائع والقانون.</w:t>
      </w:r>
      <w:r w:rsidR="00934703" w:rsidRPr="00644149">
        <w:rPr>
          <w:rFonts w:hint="cs"/>
          <w:spacing w:val="-2"/>
          <w:rtl/>
          <w:lang w:val="fr-CH"/>
        </w:rPr>
        <w:t xml:space="preserve"> </w:t>
      </w:r>
    </w:p>
    <w:p w:rsidR="0015080A" w:rsidRDefault="0015080A" w:rsidP="00617407">
      <w:pPr>
        <w:pStyle w:val="H23GA"/>
        <w:rPr>
          <w:rFonts w:hint="cs"/>
          <w:rtl/>
          <w:lang w:val="fr-CH"/>
        </w:rPr>
      </w:pPr>
      <w:r>
        <w:rPr>
          <w:rFonts w:hint="cs"/>
          <w:rtl/>
          <w:lang w:val="fr-CH"/>
        </w:rPr>
        <w:tab/>
      </w:r>
      <w:r>
        <w:rPr>
          <w:rFonts w:hint="cs"/>
          <w:rtl/>
          <w:lang w:val="fr-CH"/>
        </w:rPr>
        <w:tab/>
        <w:t>الوقائع كما قدّمها صاحبا البلاغين</w:t>
      </w:r>
    </w:p>
    <w:p w:rsidR="0015080A" w:rsidRDefault="0015080A" w:rsidP="00644149">
      <w:pPr>
        <w:pStyle w:val="SingleTxtGA"/>
        <w:rPr>
          <w:rFonts w:hint="cs"/>
          <w:rtl/>
          <w:lang w:val="fr-CH"/>
        </w:rPr>
      </w:pPr>
      <w:r>
        <w:rPr>
          <w:rFonts w:hint="cs"/>
          <w:rtl/>
          <w:lang w:val="fr-CH"/>
        </w:rPr>
        <w:t>2-1</w:t>
      </w:r>
      <w:r>
        <w:rPr>
          <w:rFonts w:hint="cs"/>
          <w:rtl/>
          <w:lang w:val="fr-CH"/>
        </w:rPr>
        <w:tab/>
        <w:t>في</w:t>
      </w:r>
      <w:r w:rsidR="00934703">
        <w:rPr>
          <w:rFonts w:hint="cs"/>
          <w:rtl/>
          <w:lang w:val="fr-CH"/>
        </w:rPr>
        <w:t xml:space="preserve"> </w:t>
      </w:r>
      <w:r>
        <w:rPr>
          <w:rFonts w:hint="cs"/>
          <w:rtl/>
          <w:lang w:val="fr-CH"/>
        </w:rPr>
        <w:t xml:space="preserve">نيسان أبريل 2009، كان صاحبا البلاغين يوزعان في موقعين مختلفين من إقليم </w:t>
      </w:r>
      <w:proofErr w:type="spellStart"/>
      <w:r>
        <w:rPr>
          <w:rFonts w:hint="cs"/>
          <w:rtl/>
          <w:lang w:val="fr-CH"/>
        </w:rPr>
        <w:t>غوميل</w:t>
      </w:r>
      <w:proofErr w:type="spellEnd"/>
      <w:r>
        <w:rPr>
          <w:rFonts w:hint="cs"/>
          <w:rtl/>
          <w:lang w:val="fr-CH"/>
        </w:rPr>
        <w:t xml:space="preserve"> منشورات إعلامية بشأن تجمعات سلمية مقرر تنظيمها إحياءً لذكرى الهالكين في</w:t>
      </w:r>
      <w:r w:rsidR="00644149">
        <w:rPr>
          <w:rFonts w:hint="eastAsia"/>
          <w:rtl/>
          <w:lang w:val="fr-CH"/>
        </w:rPr>
        <w:t> </w:t>
      </w:r>
      <w:r>
        <w:rPr>
          <w:rFonts w:hint="cs"/>
          <w:rtl/>
          <w:lang w:val="fr-CH"/>
        </w:rPr>
        <w:t>حادث تشرنوبيل في</w:t>
      </w:r>
      <w:r w:rsidR="00934703">
        <w:rPr>
          <w:rFonts w:hint="cs"/>
          <w:rtl/>
          <w:lang w:val="fr-CH"/>
        </w:rPr>
        <w:t xml:space="preserve"> </w:t>
      </w:r>
      <w:r>
        <w:rPr>
          <w:rFonts w:hint="cs"/>
          <w:rtl/>
          <w:lang w:val="fr-CH"/>
        </w:rPr>
        <w:t>نيسان/أبريل 1986.</w:t>
      </w:r>
    </w:p>
    <w:p w:rsidR="0015080A" w:rsidRPr="00A57219" w:rsidRDefault="00644149" w:rsidP="00644149">
      <w:pPr>
        <w:pStyle w:val="H4GA"/>
        <w:rPr>
          <w:rFonts w:hint="cs"/>
          <w:rtl/>
          <w:lang w:val="fr-CH"/>
        </w:rPr>
      </w:pPr>
      <w:r>
        <w:rPr>
          <w:rFonts w:hint="cs"/>
          <w:rtl/>
          <w:lang w:val="fr-CH"/>
        </w:rPr>
        <w:tab/>
      </w:r>
      <w:r>
        <w:rPr>
          <w:rFonts w:hint="cs"/>
          <w:rtl/>
          <w:lang w:val="fr-CH"/>
        </w:rPr>
        <w:tab/>
      </w:r>
      <w:r w:rsidR="0015080A" w:rsidRPr="00A57219">
        <w:rPr>
          <w:rFonts w:hint="cs"/>
          <w:rtl/>
          <w:lang w:val="fr-CH"/>
        </w:rPr>
        <w:t xml:space="preserve">السيد </w:t>
      </w:r>
      <w:proofErr w:type="spellStart"/>
      <w:r w:rsidR="0015080A" w:rsidRPr="00A57219">
        <w:rPr>
          <w:rFonts w:hint="cs"/>
          <w:rtl/>
          <w:lang w:val="fr-CH"/>
        </w:rPr>
        <w:t>بروتسكو</w:t>
      </w:r>
      <w:proofErr w:type="spellEnd"/>
    </w:p>
    <w:p w:rsidR="0015080A" w:rsidRDefault="0015080A" w:rsidP="002643E5">
      <w:pPr>
        <w:pStyle w:val="SingleTxtGA"/>
        <w:rPr>
          <w:rFonts w:hint="cs"/>
          <w:rtl/>
          <w:lang w:val="fr-CH"/>
        </w:rPr>
      </w:pPr>
      <w:r>
        <w:rPr>
          <w:rFonts w:hint="cs"/>
          <w:rtl/>
          <w:lang w:val="fr-CH"/>
        </w:rPr>
        <w:t>2-2</w:t>
      </w:r>
      <w:r>
        <w:rPr>
          <w:rFonts w:hint="cs"/>
          <w:rtl/>
          <w:lang w:val="fr-CH"/>
        </w:rPr>
        <w:tab/>
        <w:t>في 22 نيسان/أبريل 2009، وزّع صاحب البلاغ الأول في قرية براجين منشورات إعلامية بشأن تجمّع احتفالي سلمي مقرر تنظيمه في براجين ويشمل أحداث</w:t>
      </w:r>
      <w:r w:rsidR="0064250B">
        <w:rPr>
          <w:rFonts w:hint="cs"/>
          <w:rtl/>
          <w:lang w:val="fr-CH"/>
        </w:rPr>
        <w:t xml:space="preserve">اً </w:t>
      </w:r>
      <w:r>
        <w:rPr>
          <w:rFonts w:hint="cs"/>
          <w:rtl/>
          <w:lang w:val="fr-CH"/>
        </w:rPr>
        <w:t xml:space="preserve">منها وضع أكاليل الزهور عند نُصب </w:t>
      </w:r>
      <w:proofErr w:type="spellStart"/>
      <w:r>
        <w:rPr>
          <w:rFonts w:hint="cs"/>
          <w:rtl/>
          <w:lang w:val="fr-CH"/>
        </w:rPr>
        <w:t>فاسيلي</w:t>
      </w:r>
      <w:proofErr w:type="spellEnd"/>
      <w:r>
        <w:rPr>
          <w:rFonts w:hint="cs"/>
          <w:rtl/>
          <w:lang w:val="fr-CH"/>
        </w:rPr>
        <w:t xml:space="preserve"> </w:t>
      </w:r>
      <w:proofErr w:type="spellStart"/>
      <w:r>
        <w:rPr>
          <w:rFonts w:hint="cs"/>
          <w:rtl/>
          <w:lang w:val="fr-CH"/>
        </w:rPr>
        <w:t>إغناتنكو</w:t>
      </w:r>
      <w:proofErr w:type="spellEnd"/>
      <w:r>
        <w:rPr>
          <w:rFonts w:hint="cs"/>
          <w:rtl/>
          <w:lang w:val="fr-CH"/>
        </w:rPr>
        <w:t xml:space="preserve"> الهالك في حادث تشرنوبيل. </w:t>
      </w:r>
    </w:p>
    <w:p w:rsidR="0015080A" w:rsidRDefault="0015080A" w:rsidP="002643E5">
      <w:pPr>
        <w:pStyle w:val="SingleTxtGA"/>
        <w:rPr>
          <w:rFonts w:hint="cs"/>
          <w:rtl/>
          <w:lang w:val="fr-CH"/>
        </w:rPr>
      </w:pPr>
      <w:r>
        <w:rPr>
          <w:rFonts w:hint="cs"/>
          <w:rtl/>
          <w:lang w:val="fr-CH"/>
        </w:rPr>
        <w:t>2-3</w:t>
      </w:r>
      <w:r>
        <w:rPr>
          <w:rFonts w:hint="cs"/>
          <w:rtl/>
          <w:lang w:val="fr-CH"/>
        </w:rPr>
        <w:tab/>
        <w:t xml:space="preserve">ولقد أوقفت الشرطة السيد </w:t>
      </w:r>
      <w:proofErr w:type="spellStart"/>
      <w:r>
        <w:rPr>
          <w:rFonts w:hint="cs"/>
          <w:rtl/>
          <w:lang w:val="fr-CH"/>
        </w:rPr>
        <w:t>بروتسكو</w:t>
      </w:r>
      <w:proofErr w:type="spellEnd"/>
      <w:r>
        <w:rPr>
          <w:rFonts w:hint="cs"/>
          <w:rtl/>
          <w:lang w:val="fr-CH"/>
        </w:rPr>
        <w:t xml:space="preserve"> وحرّرت له محضر</w:t>
      </w:r>
      <w:r w:rsidR="0064250B">
        <w:rPr>
          <w:rFonts w:hint="cs"/>
          <w:rtl/>
          <w:lang w:val="fr-CH"/>
        </w:rPr>
        <w:t xml:space="preserve">اً </w:t>
      </w:r>
      <w:r>
        <w:rPr>
          <w:rFonts w:hint="cs"/>
          <w:rtl/>
          <w:lang w:val="fr-CH"/>
        </w:rPr>
        <w:t>رسمي</w:t>
      </w:r>
      <w:r w:rsidR="0064250B">
        <w:rPr>
          <w:rFonts w:hint="cs"/>
          <w:rtl/>
          <w:lang w:val="fr-CH"/>
        </w:rPr>
        <w:t xml:space="preserve">اً </w:t>
      </w:r>
      <w:r>
        <w:rPr>
          <w:rFonts w:hint="cs"/>
          <w:rtl/>
          <w:lang w:val="fr-CH"/>
        </w:rPr>
        <w:t xml:space="preserve">بتهمة ارتكاب مخالفة إدارية بموجب الجزء 1 من المادة 23-34 من قانون المخالفات الإدارية (العقوبات المترتبة على خرق الأحكام القانونية التي تحكم تنظيم أو عقد تجمعات واجتماعات ومسيرات ومظاهرات </w:t>
      </w:r>
      <w:proofErr w:type="spellStart"/>
      <w:r>
        <w:rPr>
          <w:rFonts w:hint="cs"/>
          <w:rtl/>
          <w:lang w:val="fr-CH"/>
        </w:rPr>
        <w:t>واعتصامات</w:t>
      </w:r>
      <w:proofErr w:type="spellEnd"/>
      <w:r>
        <w:rPr>
          <w:rFonts w:hint="cs"/>
          <w:rtl/>
          <w:lang w:val="fr-CH"/>
        </w:rPr>
        <w:t xml:space="preserve"> وغيرها من الأحداث). ويشير صاحب البلاغ إلى أن المادة 8 من قانون التظاهرات الشعبية المؤرخ 30 كانون الأول/ديسمبر 1997 تحظر إعداد وتوزيع أي مواد إعلامية بشأن حدث مقرر تنظيمه قبل الحصول على ترخيص رسمي للغرض. وقد اعتبر ضباط الشرطة أن صاحب البلاغ خرق قواعد تنظيم التجمعات السلمية لأنه كان يوزع منشورات بشأن حدث غير مرخص له. وعُرضت القضية على المحكمة فور</w:t>
      </w:r>
      <w:r w:rsidR="0064250B">
        <w:rPr>
          <w:rFonts w:hint="cs"/>
          <w:rtl/>
          <w:lang w:val="fr-CH"/>
        </w:rPr>
        <w:t>اً.</w:t>
      </w:r>
    </w:p>
    <w:p w:rsidR="0015080A" w:rsidRDefault="0015080A" w:rsidP="00644149">
      <w:pPr>
        <w:pStyle w:val="SingleTxtGA"/>
        <w:rPr>
          <w:rFonts w:hint="cs"/>
          <w:rtl/>
          <w:lang w:val="fr-CH"/>
        </w:rPr>
      </w:pPr>
      <w:r>
        <w:rPr>
          <w:rFonts w:hint="cs"/>
          <w:rtl/>
          <w:lang w:val="fr-CH"/>
        </w:rPr>
        <w:t>2-4</w:t>
      </w:r>
      <w:r>
        <w:rPr>
          <w:rFonts w:hint="cs"/>
          <w:rtl/>
          <w:lang w:val="fr-CH"/>
        </w:rPr>
        <w:tab/>
        <w:t xml:space="preserve">وفي اليوم ذاته، أدانت محكمة مقاطعة </w:t>
      </w:r>
      <w:proofErr w:type="spellStart"/>
      <w:r>
        <w:rPr>
          <w:rFonts w:hint="cs"/>
          <w:rtl/>
          <w:lang w:val="fr-CH"/>
        </w:rPr>
        <w:t>براغينسك</w:t>
      </w:r>
      <w:proofErr w:type="spellEnd"/>
      <w:r>
        <w:rPr>
          <w:rFonts w:hint="cs"/>
          <w:rtl/>
          <w:lang w:val="fr-CH"/>
        </w:rPr>
        <w:t xml:space="preserve"> السيد </w:t>
      </w:r>
      <w:proofErr w:type="spellStart"/>
      <w:r>
        <w:rPr>
          <w:rFonts w:hint="cs"/>
          <w:rtl/>
          <w:lang w:val="fr-CH"/>
        </w:rPr>
        <w:t>بروتسكو</w:t>
      </w:r>
      <w:proofErr w:type="spellEnd"/>
      <w:r>
        <w:rPr>
          <w:rFonts w:hint="cs"/>
          <w:rtl/>
          <w:lang w:val="fr-CH"/>
        </w:rPr>
        <w:t xml:space="preserve"> بتهمة انتهاك الجزء</w:t>
      </w:r>
      <w:r w:rsidR="00644149">
        <w:rPr>
          <w:rFonts w:hint="eastAsia"/>
          <w:rtl/>
          <w:lang w:val="fr-CH"/>
        </w:rPr>
        <w:t> </w:t>
      </w:r>
      <w:r>
        <w:rPr>
          <w:rFonts w:hint="cs"/>
          <w:rtl/>
          <w:lang w:val="fr-CH"/>
        </w:rPr>
        <w:t>1 من المادة 23-34 من قانون المخالفات الإدارية، وحكمت عليه بغرامة مالية قيمتها</w:t>
      </w:r>
      <w:r w:rsidR="00644149">
        <w:rPr>
          <w:rFonts w:hint="eastAsia"/>
          <w:rtl/>
          <w:lang w:val="fr-CH"/>
        </w:rPr>
        <w:t> </w:t>
      </w:r>
      <w:r w:rsidR="00644149">
        <w:rPr>
          <w:rFonts w:hint="cs"/>
          <w:rtl/>
          <w:lang w:val="fr-CH"/>
        </w:rPr>
        <w:t xml:space="preserve">000 105 </w:t>
      </w:r>
      <w:r>
        <w:rPr>
          <w:rFonts w:hint="cs"/>
          <w:rtl/>
          <w:lang w:val="fr-CH"/>
        </w:rPr>
        <w:t xml:space="preserve">روبل </w:t>
      </w:r>
      <w:proofErr w:type="spellStart"/>
      <w:r>
        <w:rPr>
          <w:rFonts w:hint="cs"/>
          <w:rtl/>
          <w:lang w:val="fr-CH"/>
        </w:rPr>
        <w:t>بيلاروسي</w:t>
      </w:r>
      <w:proofErr w:type="spellEnd"/>
      <w:r>
        <w:rPr>
          <w:rFonts w:hint="cs"/>
          <w:rtl/>
          <w:lang w:val="fr-CH"/>
        </w:rPr>
        <w:t>. كما أمرت المحكمة بمصادرة المنشورات التي حجزت لديه، وعددها ستمائة منشور.</w:t>
      </w:r>
    </w:p>
    <w:p w:rsidR="0015080A" w:rsidRDefault="0015080A" w:rsidP="002643E5">
      <w:pPr>
        <w:pStyle w:val="SingleTxtGA"/>
        <w:rPr>
          <w:rFonts w:hint="cs"/>
          <w:rtl/>
          <w:lang w:val="fr-CH"/>
        </w:rPr>
      </w:pPr>
      <w:r>
        <w:rPr>
          <w:rFonts w:hint="cs"/>
          <w:rtl/>
          <w:lang w:val="fr-CH"/>
        </w:rPr>
        <w:t>2-5</w:t>
      </w:r>
      <w:r>
        <w:rPr>
          <w:rFonts w:hint="cs"/>
          <w:rtl/>
          <w:lang w:val="fr-CH"/>
        </w:rPr>
        <w:tab/>
        <w:t xml:space="preserve">وفي 20 أيار/مايو 2009، رفضت محكمة </w:t>
      </w:r>
      <w:proofErr w:type="spellStart"/>
      <w:r>
        <w:rPr>
          <w:rFonts w:hint="cs"/>
          <w:rtl/>
          <w:lang w:val="fr-CH"/>
        </w:rPr>
        <w:t>غوميل</w:t>
      </w:r>
      <w:proofErr w:type="spellEnd"/>
      <w:r>
        <w:rPr>
          <w:rFonts w:hint="cs"/>
          <w:rtl/>
          <w:lang w:val="fr-CH"/>
        </w:rPr>
        <w:t xml:space="preserve"> الإقليمية الاستئناف المقدم من صاحب البلاغ الأول طعناً على قرار محكمة مقاطعة </w:t>
      </w:r>
      <w:proofErr w:type="spellStart"/>
      <w:r>
        <w:rPr>
          <w:rFonts w:hint="cs"/>
          <w:rtl/>
          <w:lang w:val="fr-CH"/>
        </w:rPr>
        <w:t>براغينسك</w:t>
      </w:r>
      <w:proofErr w:type="spellEnd"/>
      <w:r>
        <w:rPr>
          <w:rFonts w:hint="cs"/>
          <w:rtl/>
          <w:lang w:val="fr-CH"/>
        </w:rPr>
        <w:t>. وقدّم صاحب البلاغ كذلك شكوى إلى رئيس المحكمة العليا بموجب إجراءات المراجعة القضائية، إلا أن أحد نواب رئيس المحكمة قرّر رفض شكواه في 4 آب/أغسطس 2009. ويشير صاحب البلاغ إلى أنه استنفد جميع سبل الانتصاف المحلية دون الحصول على انتصاف.</w:t>
      </w:r>
    </w:p>
    <w:p w:rsidR="0015080A" w:rsidRPr="005F26EB" w:rsidRDefault="00644149" w:rsidP="00644149">
      <w:pPr>
        <w:pStyle w:val="H4GA"/>
        <w:rPr>
          <w:rFonts w:hint="cs"/>
          <w:rtl/>
          <w:lang w:val="fr-CH"/>
        </w:rPr>
      </w:pPr>
      <w:r>
        <w:rPr>
          <w:rFonts w:hint="cs"/>
          <w:rtl/>
          <w:lang w:val="fr-CH"/>
        </w:rPr>
        <w:tab/>
      </w:r>
      <w:r>
        <w:rPr>
          <w:rFonts w:hint="cs"/>
          <w:rtl/>
          <w:lang w:val="fr-CH"/>
        </w:rPr>
        <w:tab/>
      </w:r>
      <w:r w:rsidR="0015080A" w:rsidRPr="005F26EB">
        <w:rPr>
          <w:rFonts w:hint="cs"/>
          <w:rtl/>
          <w:lang w:val="fr-CH"/>
        </w:rPr>
        <w:t xml:space="preserve">السيد </w:t>
      </w:r>
      <w:proofErr w:type="spellStart"/>
      <w:r w:rsidR="0015080A" w:rsidRPr="005F26EB">
        <w:rPr>
          <w:rFonts w:hint="cs"/>
          <w:rtl/>
          <w:lang w:val="fr-CH"/>
        </w:rPr>
        <w:t>تو</w:t>
      </w:r>
      <w:r w:rsidR="0015080A">
        <w:rPr>
          <w:rFonts w:hint="cs"/>
          <w:rtl/>
          <w:lang w:val="fr-CH"/>
        </w:rPr>
        <w:t>لش</w:t>
      </w:r>
      <w:r w:rsidR="0015080A" w:rsidRPr="005F26EB">
        <w:rPr>
          <w:rFonts w:hint="cs"/>
          <w:rtl/>
          <w:lang w:val="fr-CH"/>
        </w:rPr>
        <w:t>ين</w:t>
      </w:r>
      <w:proofErr w:type="spellEnd"/>
    </w:p>
    <w:p w:rsidR="0015080A" w:rsidRDefault="0015080A" w:rsidP="00644149">
      <w:pPr>
        <w:pStyle w:val="SingleTxtGA"/>
        <w:rPr>
          <w:rFonts w:hint="cs"/>
          <w:rtl/>
          <w:lang w:val="fr-CH"/>
        </w:rPr>
      </w:pPr>
      <w:r>
        <w:rPr>
          <w:rFonts w:hint="cs"/>
          <w:rtl/>
          <w:lang w:val="fr-CH"/>
        </w:rPr>
        <w:t>2-6</w:t>
      </w:r>
      <w:r>
        <w:rPr>
          <w:rFonts w:hint="cs"/>
          <w:rtl/>
          <w:lang w:val="fr-CH"/>
        </w:rPr>
        <w:tab/>
        <w:t xml:space="preserve">في 23 نيسان/أبريل 2009، وزّع صاحب البلاغ الثاني في مدينة </w:t>
      </w:r>
      <w:proofErr w:type="spellStart"/>
      <w:r>
        <w:rPr>
          <w:rFonts w:hint="cs"/>
          <w:rtl/>
          <w:lang w:val="fr-CH"/>
        </w:rPr>
        <w:t>ناروفليا</w:t>
      </w:r>
      <w:proofErr w:type="spellEnd"/>
      <w:r>
        <w:rPr>
          <w:rFonts w:hint="cs"/>
          <w:rtl/>
          <w:lang w:val="fr-CH"/>
        </w:rPr>
        <w:t xml:space="preserve"> منشورات بشأن تجمع سلمي مقرر تنظيمه في </w:t>
      </w:r>
      <w:proofErr w:type="spellStart"/>
      <w:r>
        <w:rPr>
          <w:rFonts w:hint="cs"/>
          <w:rtl/>
          <w:lang w:val="fr-CH"/>
        </w:rPr>
        <w:t>ناروفليا</w:t>
      </w:r>
      <w:proofErr w:type="spellEnd"/>
      <w:r>
        <w:rPr>
          <w:rFonts w:hint="cs"/>
          <w:rtl/>
          <w:lang w:val="fr-CH"/>
        </w:rPr>
        <w:t xml:space="preserve"> لوضع أكاليل الزهور عند نُصب للهالكين في حادث تشرنوبيل. وقبضت الشرطة على السيد </w:t>
      </w:r>
      <w:proofErr w:type="spellStart"/>
      <w:r>
        <w:rPr>
          <w:rFonts w:hint="cs"/>
          <w:rtl/>
          <w:lang w:val="fr-CH"/>
        </w:rPr>
        <w:t>تولشين</w:t>
      </w:r>
      <w:proofErr w:type="spellEnd"/>
      <w:r>
        <w:rPr>
          <w:rFonts w:hint="cs"/>
          <w:rtl/>
          <w:lang w:val="fr-CH"/>
        </w:rPr>
        <w:t xml:space="preserve"> وحرّرت له محضر</w:t>
      </w:r>
      <w:r w:rsidR="0064250B">
        <w:rPr>
          <w:rFonts w:hint="cs"/>
          <w:rtl/>
          <w:lang w:val="fr-CH"/>
        </w:rPr>
        <w:t xml:space="preserve">اً </w:t>
      </w:r>
      <w:r>
        <w:rPr>
          <w:rFonts w:hint="cs"/>
          <w:rtl/>
          <w:lang w:val="fr-CH"/>
        </w:rPr>
        <w:t xml:space="preserve">بتهمة انتهاك الجزء 1 من المادة 23-34 من قانون المخالفات الإدارية بسبب توزيعه منشورات بشأن حدث غير مرخص له. وبناء عليه، قرّرت محكمة مقاطعة </w:t>
      </w:r>
      <w:proofErr w:type="spellStart"/>
      <w:r>
        <w:rPr>
          <w:rFonts w:hint="cs"/>
          <w:rtl/>
          <w:lang w:val="fr-CH"/>
        </w:rPr>
        <w:t>ناروفليانسك</w:t>
      </w:r>
      <w:proofErr w:type="spellEnd"/>
      <w:r>
        <w:rPr>
          <w:rFonts w:hint="cs"/>
          <w:rtl/>
          <w:lang w:val="fr-CH"/>
        </w:rPr>
        <w:t xml:space="preserve"> في 24 نيسان/</w:t>
      </w:r>
      <w:r w:rsidR="00644149">
        <w:rPr>
          <w:rFonts w:hint="cs"/>
          <w:rtl/>
          <w:lang w:val="fr-CH"/>
        </w:rPr>
        <w:t xml:space="preserve">     </w:t>
      </w:r>
      <w:r>
        <w:rPr>
          <w:rFonts w:hint="cs"/>
          <w:rtl/>
          <w:lang w:val="fr-CH"/>
        </w:rPr>
        <w:t>أبريل 2009 الحكم على صاحب البلاغ بالاحتجاز الإداري لمدة خمسة أيام. وطعن صاحب</w:t>
      </w:r>
      <w:r w:rsidR="00644149">
        <w:rPr>
          <w:rFonts w:hint="eastAsia"/>
          <w:rtl/>
          <w:lang w:val="fr-CH"/>
        </w:rPr>
        <w:t> </w:t>
      </w:r>
      <w:r>
        <w:rPr>
          <w:rFonts w:hint="cs"/>
          <w:rtl/>
          <w:lang w:val="fr-CH"/>
        </w:rPr>
        <w:t xml:space="preserve">البلاغ في هذا القرار، لكن محكمة </w:t>
      </w:r>
      <w:proofErr w:type="spellStart"/>
      <w:r>
        <w:rPr>
          <w:rFonts w:hint="cs"/>
          <w:rtl/>
          <w:lang w:val="fr-CH"/>
        </w:rPr>
        <w:t>غوميل</w:t>
      </w:r>
      <w:proofErr w:type="spellEnd"/>
      <w:r>
        <w:rPr>
          <w:rFonts w:hint="cs"/>
          <w:rtl/>
          <w:lang w:val="fr-CH"/>
        </w:rPr>
        <w:t xml:space="preserve"> الإقليمية رفضت هذا الطعن في 15 </w:t>
      </w:r>
      <w:r w:rsidR="0064250B">
        <w:rPr>
          <w:rFonts w:hint="cs"/>
          <w:rtl/>
          <w:lang w:val="fr-CH"/>
        </w:rPr>
        <w:t>أ</w:t>
      </w:r>
      <w:r>
        <w:rPr>
          <w:rFonts w:hint="cs"/>
          <w:rtl/>
          <w:lang w:val="fr-CH"/>
        </w:rPr>
        <w:t>يار/</w:t>
      </w:r>
      <w:r w:rsidR="00644149">
        <w:rPr>
          <w:rFonts w:hint="cs"/>
          <w:rtl/>
          <w:lang w:val="fr-CH"/>
        </w:rPr>
        <w:t xml:space="preserve">      </w:t>
      </w:r>
      <w:r>
        <w:rPr>
          <w:rFonts w:hint="cs"/>
          <w:rtl/>
          <w:lang w:val="fr-CH"/>
        </w:rPr>
        <w:t>مايو 2009. وهكذا بات قرار محكمة الدرجة الأولى نهائي</w:t>
      </w:r>
      <w:r w:rsidR="0064250B">
        <w:rPr>
          <w:rFonts w:hint="cs"/>
          <w:rtl/>
          <w:lang w:val="fr-CH"/>
        </w:rPr>
        <w:t xml:space="preserve">اً </w:t>
      </w:r>
      <w:r>
        <w:rPr>
          <w:rFonts w:hint="cs"/>
          <w:rtl/>
          <w:lang w:val="fr-CH"/>
        </w:rPr>
        <w:t>وقابل</w:t>
      </w:r>
      <w:r w:rsidR="0064250B">
        <w:rPr>
          <w:rFonts w:hint="cs"/>
          <w:rtl/>
          <w:lang w:val="fr-CH"/>
        </w:rPr>
        <w:t xml:space="preserve">اً </w:t>
      </w:r>
      <w:r>
        <w:rPr>
          <w:rFonts w:hint="cs"/>
          <w:rtl/>
          <w:lang w:val="fr-CH"/>
        </w:rPr>
        <w:t>للتنفيذ.</w:t>
      </w:r>
    </w:p>
    <w:p w:rsidR="0015080A" w:rsidRDefault="0015080A" w:rsidP="00617407">
      <w:pPr>
        <w:pStyle w:val="SingleTxtGA"/>
        <w:rPr>
          <w:rFonts w:hint="cs"/>
          <w:rtl/>
          <w:lang w:val="fr-CH"/>
        </w:rPr>
      </w:pPr>
      <w:r>
        <w:rPr>
          <w:rFonts w:hint="cs"/>
          <w:rtl/>
          <w:lang w:val="fr-CH"/>
        </w:rPr>
        <w:t>2-7</w:t>
      </w:r>
      <w:r w:rsidR="0064250B">
        <w:rPr>
          <w:rFonts w:hint="cs"/>
          <w:rtl/>
          <w:lang w:val="fr-CH"/>
        </w:rPr>
        <w:tab/>
      </w:r>
      <w:r>
        <w:rPr>
          <w:rFonts w:hint="cs"/>
          <w:rtl/>
          <w:lang w:val="fr-CH"/>
        </w:rPr>
        <w:t>وفيما يتعلق باستنفاد سبل الانتصاف المحلية، وإشارة إلى الاجتهادات السابقة للجنة، يدعي صاحب البلاغ أن إجراءات المراجعة القضائية في الدولة الطرف لا تشكل سبيل انتصاف فعّال</w:t>
      </w:r>
      <w:r w:rsidR="0064250B">
        <w:rPr>
          <w:rFonts w:hint="cs"/>
          <w:rtl/>
          <w:lang w:val="fr-CH"/>
        </w:rPr>
        <w:t>اً.</w:t>
      </w:r>
      <w:r>
        <w:rPr>
          <w:rFonts w:hint="cs"/>
          <w:rtl/>
          <w:lang w:val="fr-CH"/>
        </w:rPr>
        <w:t xml:space="preserve"> زِد على ذلك أن طلب المراجعة القضائية للقضايا الإدارية يترتب عليه دفع رسوم حكومية. وقدّم صاحب البلاغ بعد ذلك طعن</w:t>
      </w:r>
      <w:r w:rsidR="0064250B">
        <w:rPr>
          <w:rFonts w:hint="cs"/>
          <w:rtl/>
          <w:lang w:val="fr-CH"/>
        </w:rPr>
        <w:t xml:space="preserve">اً </w:t>
      </w:r>
      <w:r>
        <w:rPr>
          <w:rFonts w:hint="cs"/>
          <w:rtl/>
          <w:lang w:val="fr-CH"/>
        </w:rPr>
        <w:t>إلى رئيس المحكمة العليا بموجب إجراءات المراجعة القضائية، ولكن هذا الطعن أُعيد إلى صاحبه دون أن ينظر فيه بسبب عدم</w:t>
      </w:r>
      <w:r w:rsidR="00617407">
        <w:rPr>
          <w:rFonts w:hint="eastAsia"/>
          <w:rtl/>
          <w:lang w:val="fr-CH"/>
        </w:rPr>
        <w:t> </w:t>
      </w:r>
      <w:r>
        <w:rPr>
          <w:rFonts w:hint="cs"/>
          <w:rtl/>
          <w:lang w:val="fr-CH"/>
        </w:rPr>
        <w:t>دفع الرسوم.</w:t>
      </w:r>
    </w:p>
    <w:p w:rsidR="0015080A" w:rsidRDefault="0015080A" w:rsidP="0015080A">
      <w:pPr>
        <w:pStyle w:val="H23GA"/>
        <w:rPr>
          <w:rFonts w:hint="cs"/>
          <w:rtl/>
        </w:rPr>
      </w:pPr>
      <w:r>
        <w:rPr>
          <w:rFonts w:hint="cs"/>
          <w:rtl/>
        </w:rPr>
        <w:tab/>
      </w:r>
      <w:r>
        <w:rPr>
          <w:rFonts w:hint="cs"/>
          <w:rtl/>
        </w:rPr>
        <w:tab/>
        <w:t>الشكوى</w:t>
      </w:r>
    </w:p>
    <w:p w:rsidR="0015080A" w:rsidRDefault="0015080A" w:rsidP="002643E5">
      <w:pPr>
        <w:pStyle w:val="SingleTxtGA"/>
        <w:rPr>
          <w:rFonts w:hint="cs"/>
          <w:rtl/>
          <w:lang w:val="fr-CH"/>
        </w:rPr>
      </w:pPr>
      <w:r>
        <w:rPr>
          <w:rFonts w:hint="cs"/>
          <w:rtl/>
          <w:lang w:val="fr-CH"/>
        </w:rPr>
        <w:t>3-1</w:t>
      </w:r>
      <w:r>
        <w:rPr>
          <w:rFonts w:hint="cs"/>
          <w:rtl/>
          <w:lang w:val="fr-CH"/>
        </w:rPr>
        <w:tab/>
        <w:t xml:space="preserve">يدّعي صاحبا البلاغين أن تطبيق قانون التظاهرات الشعبية في حالتهما أسفر عن تقييد غير مبرر لحقهما في نشر المعلومات بشأن تجمع احتفالي سلمي، كما هو مكفول في المادة 2 من الفقرة 19 من العهد، وحق التجمع السلمي المكفول في المادة 21 من العهد. </w:t>
      </w:r>
    </w:p>
    <w:p w:rsidR="0015080A" w:rsidRDefault="0015080A" w:rsidP="002643E5">
      <w:pPr>
        <w:pStyle w:val="SingleTxtGA"/>
        <w:rPr>
          <w:rFonts w:hint="cs"/>
          <w:rtl/>
          <w:lang w:val="fr-CH"/>
        </w:rPr>
      </w:pPr>
      <w:r>
        <w:rPr>
          <w:rFonts w:hint="cs"/>
          <w:rtl/>
          <w:lang w:val="fr-CH"/>
        </w:rPr>
        <w:t>3-2</w:t>
      </w:r>
      <w:r>
        <w:rPr>
          <w:rFonts w:hint="cs"/>
          <w:rtl/>
          <w:lang w:val="fr-CH"/>
        </w:rPr>
        <w:tab/>
        <w:t>ويدّعي صاحبا البلاغين أن المحكمة لم تبرر الحكم بتغريمهما، عدا إشارتها المتكررة إلى أنهما لم يتقيّدا بواجب الحصول على ترخيص لتنظيم تجمع قبل توزيع منشورات بشأنه. واعتمدت محكمتا الاستئناف قراريهما دون تقييم أفعال صاحب البلاغ في ضوء العهد، رغم أن صاحبي البلاغين طلبا ذلك. ويصرّ صاحبا البلاغين على أن هذا التقييد لم يكن ضروري</w:t>
      </w:r>
      <w:r w:rsidR="0064250B">
        <w:rPr>
          <w:rFonts w:hint="cs"/>
          <w:rtl/>
          <w:lang w:val="fr-CH"/>
        </w:rPr>
        <w:t xml:space="preserve">اً </w:t>
      </w:r>
      <w:r>
        <w:rPr>
          <w:rFonts w:hint="cs"/>
          <w:rtl/>
          <w:lang w:val="fr-CH"/>
        </w:rPr>
        <w:t>لأغراض الفقرة 3 من المادة 19 من العهد وهي: احترام حقوق الآخرين أو سمعتهم، وحماية الأمن القومي أو النظام العام أو الصحة العامة أو الآداب العامة. وهكذا يعتبر صاحبا البلاغين أن بيلاروس انتهكت حقوقهما المكفولة في الفقرة 2 من المادة 19 والمادة 21 من العهد.</w:t>
      </w:r>
    </w:p>
    <w:p w:rsidR="0015080A" w:rsidRDefault="0015080A" w:rsidP="0015080A">
      <w:pPr>
        <w:pStyle w:val="H23GA"/>
        <w:rPr>
          <w:rFonts w:hint="cs"/>
          <w:rtl/>
          <w:lang w:val="fr-CH"/>
        </w:rPr>
      </w:pPr>
      <w:r>
        <w:rPr>
          <w:rFonts w:hint="cs"/>
          <w:rtl/>
          <w:lang w:val="fr-CH"/>
        </w:rPr>
        <w:tab/>
      </w:r>
      <w:r>
        <w:rPr>
          <w:rFonts w:hint="cs"/>
          <w:rtl/>
          <w:lang w:val="fr-CH"/>
        </w:rPr>
        <w:tab/>
        <w:t xml:space="preserve">ملاحظات الدولة الطرف بشأن </w:t>
      </w:r>
      <w:proofErr w:type="spellStart"/>
      <w:r>
        <w:rPr>
          <w:rFonts w:hint="cs"/>
          <w:rtl/>
          <w:lang w:val="fr-CH"/>
        </w:rPr>
        <w:t>مقبولية</w:t>
      </w:r>
      <w:proofErr w:type="spellEnd"/>
      <w:r>
        <w:rPr>
          <w:rFonts w:hint="cs"/>
          <w:rtl/>
          <w:lang w:val="fr-CH"/>
        </w:rPr>
        <w:t xml:space="preserve"> البلاغ وأسسه الموضوعية</w:t>
      </w:r>
    </w:p>
    <w:p w:rsidR="0015080A" w:rsidRPr="00644149" w:rsidRDefault="0015080A" w:rsidP="002643E5">
      <w:pPr>
        <w:pStyle w:val="SingleTxtGA"/>
        <w:rPr>
          <w:rFonts w:hint="cs"/>
          <w:spacing w:val="-2"/>
          <w:rtl/>
          <w:lang w:val="fr-CH"/>
        </w:rPr>
      </w:pPr>
      <w:r w:rsidRPr="00644149">
        <w:rPr>
          <w:rFonts w:hint="cs"/>
          <w:spacing w:val="-2"/>
          <w:rtl/>
          <w:lang w:val="fr-CH"/>
        </w:rPr>
        <w:t>4-1</w:t>
      </w:r>
      <w:r w:rsidRPr="00644149">
        <w:rPr>
          <w:rFonts w:hint="cs"/>
          <w:spacing w:val="-2"/>
          <w:rtl/>
          <w:lang w:val="fr-CH"/>
        </w:rPr>
        <w:tab/>
        <w:t xml:space="preserve">بموجب مذكرتين شفويتين مؤرختين 25 كانون الثاني/يناير 2010، قدمت الدولة ملاحظاتها بشأن </w:t>
      </w:r>
      <w:proofErr w:type="spellStart"/>
      <w:r w:rsidRPr="00644149">
        <w:rPr>
          <w:rFonts w:hint="cs"/>
          <w:spacing w:val="-2"/>
          <w:rtl/>
          <w:lang w:val="fr-CH"/>
        </w:rPr>
        <w:t>مقبولية</w:t>
      </w:r>
      <w:proofErr w:type="spellEnd"/>
      <w:r w:rsidRPr="00644149">
        <w:rPr>
          <w:rFonts w:hint="cs"/>
          <w:spacing w:val="-2"/>
          <w:rtl/>
          <w:lang w:val="fr-CH"/>
        </w:rPr>
        <w:t xml:space="preserve"> البلاغين وأسسهما الموضوعية. وأوضحت أن صاحبي البلاغين أدينا على التوالي في 22 و23 نيسان/أبريل 2009 بتهمة توزيع منشورات بشأن تنظيم تجمعين احتفاليين قبل أن يحصلا من السلطات على الترخيص المسبق اللازم، ما يشكل انتهاكاً للقانون. وأوقفتهما الشرطة وحرّرت لهما محضرين رسميين بتهمة انتهاك قانون المخالفات الإدارية.</w:t>
      </w:r>
    </w:p>
    <w:p w:rsidR="0015080A" w:rsidRDefault="0015080A" w:rsidP="00644149">
      <w:pPr>
        <w:pStyle w:val="SingleTxtGA"/>
        <w:rPr>
          <w:rFonts w:hint="cs"/>
          <w:rtl/>
          <w:lang w:val="fr-CH"/>
        </w:rPr>
      </w:pPr>
      <w:r>
        <w:rPr>
          <w:rFonts w:hint="cs"/>
          <w:rtl/>
          <w:lang w:val="fr-CH"/>
        </w:rPr>
        <w:t>4-2</w:t>
      </w:r>
      <w:r>
        <w:rPr>
          <w:rFonts w:hint="cs"/>
          <w:rtl/>
          <w:lang w:val="fr-CH"/>
        </w:rPr>
        <w:tab/>
        <w:t xml:space="preserve">وفي 22 أبريل/نيسان 2009، أدانت محكمة مقاطعة </w:t>
      </w:r>
      <w:proofErr w:type="spellStart"/>
      <w:r>
        <w:rPr>
          <w:rFonts w:hint="cs"/>
          <w:rtl/>
          <w:lang w:val="fr-CH"/>
        </w:rPr>
        <w:t>براغينسك</w:t>
      </w:r>
      <w:proofErr w:type="spellEnd"/>
      <w:r>
        <w:rPr>
          <w:rFonts w:hint="cs"/>
          <w:rtl/>
          <w:lang w:val="fr-CH"/>
        </w:rPr>
        <w:t xml:space="preserve"> السيد </w:t>
      </w:r>
      <w:proofErr w:type="spellStart"/>
      <w:r>
        <w:rPr>
          <w:rFonts w:hint="cs"/>
          <w:rtl/>
          <w:lang w:val="fr-CH"/>
        </w:rPr>
        <w:t>بروتسكو</w:t>
      </w:r>
      <w:proofErr w:type="spellEnd"/>
      <w:r>
        <w:rPr>
          <w:rFonts w:hint="cs"/>
          <w:rtl/>
          <w:lang w:val="fr-CH"/>
        </w:rPr>
        <w:t xml:space="preserve"> بتهمة انتهاك الجزء 1 من المادة 23-34 من قانون المخالفات الإدارية المتعلق بتنظيم أو عقد تظاهرات شعبية وحكمت عليه بغرامة مالية قيمتها</w:t>
      </w:r>
      <w:r w:rsidR="00644149">
        <w:rPr>
          <w:rFonts w:hint="cs"/>
          <w:rtl/>
          <w:lang w:val="fr-CH"/>
        </w:rPr>
        <w:t xml:space="preserve"> 000 105</w:t>
      </w:r>
      <w:r>
        <w:rPr>
          <w:rFonts w:hint="cs"/>
          <w:rtl/>
          <w:lang w:val="fr-CH"/>
        </w:rPr>
        <w:t xml:space="preserve"> روبل </w:t>
      </w:r>
      <w:proofErr w:type="spellStart"/>
      <w:r>
        <w:rPr>
          <w:rFonts w:hint="cs"/>
          <w:rtl/>
          <w:lang w:val="fr-CH"/>
        </w:rPr>
        <w:t>بيلاروسي</w:t>
      </w:r>
      <w:proofErr w:type="spellEnd"/>
      <w:r>
        <w:rPr>
          <w:rFonts w:hint="cs"/>
          <w:rtl/>
          <w:lang w:val="fr-CH"/>
        </w:rPr>
        <w:t xml:space="preserve">. وفي 20 أيار/مايو 2009، أيّدت محكمة </w:t>
      </w:r>
      <w:proofErr w:type="spellStart"/>
      <w:r>
        <w:rPr>
          <w:rFonts w:hint="cs"/>
          <w:rtl/>
          <w:lang w:val="fr-CH"/>
        </w:rPr>
        <w:t>غوميل</w:t>
      </w:r>
      <w:proofErr w:type="spellEnd"/>
      <w:r>
        <w:rPr>
          <w:rFonts w:hint="cs"/>
          <w:rtl/>
          <w:lang w:val="fr-CH"/>
        </w:rPr>
        <w:t xml:space="preserve"> الإقليمية هذا الحكم في مرحلة </w:t>
      </w:r>
      <w:r w:rsidR="00617407">
        <w:rPr>
          <w:rFonts w:hint="cs"/>
          <w:rtl/>
          <w:lang w:val="fr-CH"/>
        </w:rPr>
        <w:t>الاستئناف</w:t>
      </w:r>
      <w:r>
        <w:rPr>
          <w:rFonts w:hint="cs"/>
          <w:rtl/>
          <w:lang w:val="fr-CH"/>
        </w:rPr>
        <w:t xml:space="preserve">. وفي 4 آب/أغسطس 2009، قرّر أحد نواب رئيس المحكمة العليا رفض الطعن المقدم من السيد </w:t>
      </w:r>
      <w:proofErr w:type="spellStart"/>
      <w:r>
        <w:rPr>
          <w:rFonts w:hint="cs"/>
          <w:rtl/>
          <w:lang w:val="fr-CH"/>
        </w:rPr>
        <w:t>بروتسكو</w:t>
      </w:r>
      <w:proofErr w:type="spellEnd"/>
      <w:r>
        <w:rPr>
          <w:rFonts w:hint="cs"/>
          <w:rtl/>
          <w:lang w:val="fr-CH"/>
        </w:rPr>
        <w:t xml:space="preserve"> بموجب إجراءات المراجعة القضائية. </w:t>
      </w:r>
    </w:p>
    <w:p w:rsidR="0015080A" w:rsidRDefault="0015080A" w:rsidP="00644149">
      <w:pPr>
        <w:pStyle w:val="SingleTxtGA"/>
        <w:rPr>
          <w:rFonts w:hint="cs"/>
          <w:rtl/>
          <w:lang w:val="fr-CH"/>
        </w:rPr>
      </w:pPr>
      <w:r>
        <w:rPr>
          <w:rFonts w:hint="cs"/>
          <w:rtl/>
          <w:lang w:val="fr-CH"/>
        </w:rPr>
        <w:t>4-3</w:t>
      </w:r>
      <w:r>
        <w:rPr>
          <w:rFonts w:hint="cs"/>
          <w:rtl/>
          <w:lang w:val="fr-CH"/>
        </w:rPr>
        <w:tab/>
        <w:t xml:space="preserve">وفي 24 نيسان/أبريل 2009، أدانت محكمة مقاطعة </w:t>
      </w:r>
      <w:proofErr w:type="spellStart"/>
      <w:r>
        <w:rPr>
          <w:rFonts w:hint="cs"/>
          <w:rtl/>
          <w:lang w:val="fr-CH"/>
        </w:rPr>
        <w:t>ناروفلياسنك</w:t>
      </w:r>
      <w:proofErr w:type="spellEnd"/>
      <w:r>
        <w:rPr>
          <w:rFonts w:hint="cs"/>
          <w:rtl/>
          <w:lang w:val="fr-CH"/>
        </w:rPr>
        <w:t xml:space="preserve"> السيد </w:t>
      </w:r>
      <w:proofErr w:type="spellStart"/>
      <w:r>
        <w:rPr>
          <w:rFonts w:hint="cs"/>
          <w:rtl/>
          <w:lang w:val="fr-CH"/>
        </w:rPr>
        <w:t>تولشين</w:t>
      </w:r>
      <w:proofErr w:type="spellEnd"/>
      <w:r>
        <w:rPr>
          <w:rFonts w:hint="cs"/>
          <w:rtl/>
          <w:lang w:val="fr-CH"/>
        </w:rPr>
        <w:t xml:space="preserve"> بتهمة انتهاك الجزء 1 من المادة 23-34 من قانون المخالفات الإدارية المتعلق بتنظيم أو</w:t>
      </w:r>
      <w:r w:rsidR="00644149">
        <w:rPr>
          <w:rFonts w:hint="eastAsia"/>
          <w:rtl/>
          <w:lang w:val="fr-CH"/>
        </w:rPr>
        <w:t> </w:t>
      </w:r>
      <w:r>
        <w:rPr>
          <w:rFonts w:hint="cs"/>
          <w:rtl/>
          <w:lang w:val="fr-CH"/>
        </w:rPr>
        <w:t>عقد</w:t>
      </w:r>
      <w:r w:rsidR="00644149">
        <w:rPr>
          <w:rFonts w:hint="eastAsia"/>
          <w:rtl/>
          <w:lang w:val="fr-CH"/>
        </w:rPr>
        <w:t> </w:t>
      </w:r>
      <w:r>
        <w:rPr>
          <w:rFonts w:hint="cs"/>
          <w:rtl/>
          <w:lang w:val="fr-CH"/>
        </w:rPr>
        <w:t>تظاهرات شعبية وحكمت عليه بالاحتجاز الإداري لمدة خمسة أيام. وفي 15 أيار/</w:t>
      </w:r>
      <w:r w:rsidR="00644149">
        <w:rPr>
          <w:rFonts w:hint="cs"/>
          <w:rtl/>
          <w:lang w:val="fr-CH"/>
        </w:rPr>
        <w:t xml:space="preserve">   </w:t>
      </w:r>
      <w:r>
        <w:rPr>
          <w:rFonts w:hint="cs"/>
          <w:rtl/>
          <w:lang w:val="fr-CH"/>
        </w:rPr>
        <w:t xml:space="preserve">مايو 2009، أيّدت محكمة </w:t>
      </w:r>
      <w:proofErr w:type="spellStart"/>
      <w:r>
        <w:rPr>
          <w:rFonts w:hint="cs"/>
          <w:rtl/>
          <w:lang w:val="fr-CH"/>
        </w:rPr>
        <w:t>غوميل</w:t>
      </w:r>
      <w:proofErr w:type="spellEnd"/>
      <w:r>
        <w:rPr>
          <w:rFonts w:hint="cs"/>
          <w:rtl/>
          <w:lang w:val="fr-CH"/>
        </w:rPr>
        <w:t xml:space="preserve"> الإقليمية هذا الحكم في مرحلة الاستئناف. وفي 14 تموز/</w:t>
      </w:r>
      <w:r w:rsidR="00644149">
        <w:rPr>
          <w:rFonts w:hint="cs"/>
          <w:rtl/>
          <w:lang w:val="fr-CH"/>
        </w:rPr>
        <w:t xml:space="preserve">     </w:t>
      </w:r>
      <w:r>
        <w:rPr>
          <w:rFonts w:hint="cs"/>
          <w:rtl/>
          <w:lang w:val="fr-CH"/>
        </w:rPr>
        <w:t xml:space="preserve">يوليه 2009، أعادت المحكمة العليا إلى السيد </w:t>
      </w:r>
      <w:proofErr w:type="spellStart"/>
      <w:r>
        <w:rPr>
          <w:rFonts w:hint="cs"/>
          <w:rtl/>
          <w:lang w:val="fr-CH"/>
        </w:rPr>
        <w:t>تولشين</w:t>
      </w:r>
      <w:proofErr w:type="spellEnd"/>
      <w:r>
        <w:rPr>
          <w:rFonts w:hint="cs"/>
          <w:rtl/>
          <w:lang w:val="fr-CH"/>
        </w:rPr>
        <w:t xml:space="preserve"> الطعن الذي قدمه بموجب إجراءات المراجعة القضائية بداع عدم دفع الرسوم الحكومية الإلزامية. </w:t>
      </w:r>
    </w:p>
    <w:p w:rsidR="0015080A" w:rsidRDefault="0015080A" w:rsidP="002643E5">
      <w:pPr>
        <w:pStyle w:val="SingleTxtGA"/>
        <w:rPr>
          <w:rFonts w:hint="cs"/>
          <w:rtl/>
          <w:lang w:val="fr-CH"/>
        </w:rPr>
      </w:pPr>
      <w:r>
        <w:rPr>
          <w:rFonts w:hint="cs"/>
          <w:rtl/>
          <w:lang w:val="fr-CH"/>
        </w:rPr>
        <w:t>4-4</w:t>
      </w:r>
      <w:r>
        <w:rPr>
          <w:rFonts w:hint="cs"/>
          <w:rtl/>
          <w:lang w:val="fr-CH"/>
        </w:rPr>
        <w:tab/>
        <w:t xml:space="preserve">وتضيف الدولة الطرف أنه يمكن للشخص المدان الطعن بموجب المادة 12-1 من قانون المخالفات الإدارية في الأحكام المتصلة بالقضايا الإدارية. وتشير إلى أن السيد </w:t>
      </w:r>
      <w:proofErr w:type="spellStart"/>
      <w:r>
        <w:rPr>
          <w:rFonts w:hint="cs"/>
          <w:rtl/>
          <w:lang w:val="fr-CH"/>
        </w:rPr>
        <w:t>بروتسكو</w:t>
      </w:r>
      <w:proofErr w:type="spellEnd"/>
      <w:r>
        <w:rPr>
          <w:rFonts w:hint="cs"/>
          <w:rtl/>
          <w:lang w:val="fr-CH"/>
        </w:rPr>
        <w:t xml:space="preserve"> لم يطعن أمام إدارة الشؤون الداخلية في </w:t>
      </w:r>
      <w:proofErr w:type="spellStart"/>
      <w:r>
        <w:rPr>
          <w:rFonts w:hint="cs"/>
          <w:rtl/>
          <w:lang w:val="fr-CH"/>
        </w:rPr>
        <w:t>غوميل</w:t>
      </w:r>
      <w:proofErr w:type="spellEnd"/>
      <w:r>
        <w:rPr>
          <w:rFonts w:hint="cs"/>
          <w:rtl/>
          <w:lang w:val="fr-CH"/>
        </w:rPr>
        <w:t xml:space="preserve"> أو أمام وزارة الشؤون الداخلية (كما تخوله ذلك المادة 7-2 من قانون الإجراءات المتعلقة بالمخالفات الإدارية وبتنفيذ العقوبات ذات الصلة) في قرار توقيفه من قبل إدارة الشؤون الداخلية لمقاطعة </w:t>
      </w:r>
      <w:proofErr w:type="spellStart"/>
      <w:r>
        <w:rPr>
          <w:rFonts w:hint="cs"/>
          <w:rtl/>
          <w:lang w:val="fr-CH"/>
        </w:rPr>
        <w:t>براغينسك</w:t>
      </w:r>
      <w:proofErr w:type="spellEnd"/>
      <w:r>
        <w:rPr>
          <w:rFonts w:hint="cs"/>
          <w:rtl/>
          <w:lang w:val="fr-CH"/>
        </w:rPr>
        <w:t xml:space="preserve">، أو في محضر الشرطة المتعلق بارتكاب مخالفة إدارية. ولم يطعن السيد </w:t>
      </w:r>
      <w:proofErr w:type="spellStart"/>
      <w:r>
        <w:rPr>
          <w:rFonts w:hint="cs"/>
          <w:rtl/>
          <w:lang w:val="fr-CH"/>
        </w:rPr>
        <w:t>تولشين</w:t>
      </w:r>
      <w:proofErr w:type="spellEnd"/>
      <w:r>
        <w:rPr>
          <w:rFonts w:hint="cs"/>
          <w:rtl/>
          <w:lang w:val="fr-CH"/>
        </w:rPr>
        <w:t xml:space="preserve"> بدوره أمام هاتين المؤسستين في قرار توقيفه أو محضر إدارة الشؤون الداخلية لمقاطعة </w:t>
      </w:r>
      <w:proofErr w:type="spellStart"/>
      <w:r>
        <w:rPr>
          <w:rFonts w:hint="cs"/>
          <w:rtl/>
          <w:lang w:val="fr-CH"/>
        </w:rPr>
        <w:t>ناروفليانسك</w:t>
      </w:r>
      <w:proofErr w:type="spellEnd"/>
      <w:r>
        <w:rPr>
          <w:rFonts w:hint="cs"/>
          <w:rtl/>
          <w:lang w:val="fr-CH"/>
        </w:rPr>
        <w:t xml:space="preserve"> المتعلق بارتكاب مخالفة إدارية. ولم يقدم صاحبا البلاغين أيضاً طلبات مراجعة إلى مكتب الادعاء العام. وتشير الدولة الطرف أيض</w:t>
      </w:r>
      <w:r w:rsidR="0064250B">
        <w:rPr>
          <w:rFonts w:hint="cs"/>
          <w:rtl/>
          <w:lang w:val="fr-CH"/>
        </w:rPr>
        <w:t xml:space="preserve">اً </w:t>
      </w:r>
      <w:r>
        <w:rPr>
          <w:rFonts w:hint="cs"/>
          <w:rtl/>
          <w:lang w:val="fr-CH"/>
        </w:rPr>
        <w:t xml:space="preserve">إلى أن السيد </w:t>
      </w:r>
      <w:proofErr w:type="spellStart"/>
      <w:r>
        <w:rPr>
          <w:rFonts w:hint="cs"/>
          <w:rtl/>
          <w:lang w:val="fr-CH"/>
        </w:rPr>
        <w:t>بروتسكو</w:t>
      </w:r>
      <w:proofErr w:type="spellEnd"/>
      <w:r>
        <w:rPr>
          <w:rFonts w:hint="cs"/>
          <w:rtl/>
          <w:lang w:val="fr-CH"/>
        </w:rPr>
        <w:t xml:space="preserve"> لم يطلب من رئيس المحكمة العليا مراجعة قضائية وأن السيد </w:t>
      </w:r>
      <w:proofErr w:type="spellStart"/>
      <w:r>
        <w:rPr>
          <w:rFonts w:hint="cs"/>
          <w:rtl/>
          <w:lang w:val="fr-CH"/>
        </w:rPr>
        <w:t>تولشين</w:t>
      </w:r>
      <w:proofErr w:type="spellEnd"/>
      <w:r>
        <w:rPr>
          <w:rFonts w:hint="cs"/>
          <w:rtl/>
          <w:lang w:val="fr-CH"/>
        </w:rPr>
        <w:t xml:space="preserve"> لم يقدم طعن</w:t>
      </w:r>
      <w:r w:rsidR="0064250B">
        <w:rPr>
          <w:rFonts w:hint="cs"/>
          <w:rtl/>
          <w:lang w:val="fr-CH"/>
        </w:rPr>
        <w:t xml:space="preserve">اً </w:t>
      </w:r>
      <w:r>
        <w:rPr>
          <w:rFonts w:hint="cs"/>
          <w:rtl/>
          <w:lang w:val="fr-CH"/>
        </w:rPr>
        <w:t>مباشر</w:t>
      </w:r>
      <w:r w:rsidR="0064250B">
        <w:rPr>
          <w:rFonts w:hint="cs"/>
          <w:rtl/>
          <w:lang w:val="fr-CH"/>
        </w:rPr>
        <w:t xml:space="preserve">اً </w:t>
      </w:r>
      <w:r>
        <w:rPr>
          <w:rFonts w:hint="cs"/>
          <w:rtl/>
          <w:lang w:val="fr-CH"/>
        </w:rPr>
        <w:t>إلى رئيس المحكمة العليا بموجب إجراءات المراجعة القضائية. وهكذا تعتبر الدولة الطرف أن صاحبي البلاغين لم يستنفدا جميع سبل الانتصاف المحلية وليس ثمة ما يدعو إلى الاعتقاد بأن هذه السبل غير متاحة أو غير فعّالة.</w:t>
      </w:r>
      <w:r w:rsidR="00934703">
        <w:rPr>
          <w:rFonts w:hint="cs"/>
          <w:rtl/>
          <w:lang w:val="fr-CH"/>
        </w:rPr>
        <w:t xml:space="preserve"> </w:t>
      </w:r>
    </w:p>
    <w:p w:rsidR="0015080A" w:rsidRDefault="0015080A" w:rsidP="00617407">
      <w:pPr>
        <w:pStyle w:val="SingleTxtGA"/>
        <w:rPr>
          <w:rFonts w:hint="cs"/>
          <w:rtl/>
          <w:lang w:val="fr-CH"/>
        </w:rPr>
      </w:pPr>
      <w:r>
        <w:rPr>
          <w:rFonts w:hint="cs"/>
          <w:rtl/>
          <w:lang w:val="fr-CH"/>
        </w:rPr>
        <w:t>4-5</w:t>
      </w:r>
      <w:r>
        <w:rPr>
          <w:rFonts w:hint="cs"/>
          <w:rtl/>
          <w:lang w:val="fr-CH"/>
        </w:rPr>
        <w:tab/>
        <w:t xml:space="preserve">وتضيف الدولة الطرف أن ادعاء السيد </w:t>
      </w:r>
      <w:proofErr w:type="spellStart"/>
      <w:r>
        <w:rPr>
          <w:rFonts w:hint="cs"/>
          <w:rtl/>
          <w:lang w:val="fr-CH"/>
        </w:rPr>
        <w:t>تولشين</w:t>
      </w:r>
      <w:proofErr w:type="spellEnd"/>
      <w:r>
        <w:rPr>
          <w:rFonts w:hint="cs"/>
          <w:rtl/>
          <w:lang w:val="fr-CH"/>
        </w:rPr>
        <w:t xml:space="preserve"> الذي مفاده أن إجراءات المراجعة القضائية غير فعالة لا يقوم على أي أساس. وإثباتاً لذلك، تقدّم الدولة الطرف بيانات إحصائية تشير إلى أن مكتب الادعاء العام تلقّى في عام 2009 ما مجموعه</w:t>
      </w:r>
      <w:r w:rsidR="00617407">
        <w:rPr>
          <w:rFonts w:hint="cs"/>
          <w:rtl/>
          <w:lang w:val="fr-CH"/>
        </w:rPr>
        <w:t xml:space="preserve"> 235 3</w:t>
      </w:r>
      <w:r>
        <w:rPr>
          <w:rFonts w:hint="cs"/>
          <w:rtl/>
          <w:lang w:val="fr-CH"/>
        </w:rPr>
        <w:t xml:space="preserve"> طلب مراجعة تتعلق بمخالفات إدارية، وبَتّ في 518 طلب</w:t>
      </w:r>
      <w:r w:rsidR="0064250B">
        <w:rPr>
          <w:rFonts w:hint="cs"/>
          <w:rtl/>
          <w:lang w:val="fr-CH"/>
        </w:rPr>
        <w:t xml:space="preserve">اً </w:t>
      </w:r>
      <w:r>
        <w:rPr>
          <w:rFonts w:hint="cs"/>
          <w:rtl/>
          <w:lang w:val="fr-CH"/>
        </w:rPr>
        <w:t>منها. وبناء على مذكرات اعتراض صادرة عن المدعي العام، ألغي وعُدّل 126 حكم</w:t>
      </w:r>
      <w:r w:rsidR="0064250B">
        <w:rPr>
          <w:rFonts w:hint="cs"/>
          <w:rtl/>
          <w:lang w:val="fr-CH"/>
        </w:rPr>
        <w:t xml:space="preserve">اً </w:t>
      </w:r>
      <w:r>
        <w:rPr>
          <w:rFonts w:hint="cs"/>
          <w:rtl/>
          <w:lang w:val="fr-CH"/>
        </w:rPr>
        <w:t>نهائي</w:t>
      </w:r>
      <w:r w:rsidR="0064250B">
        <w:rPr>
          <w:rFonts w:hint="cs"/>
          <w:rtl/>
          <w:lang w:val="fr-CH"/>
        </w:rPr>
        <w:t xml:space="preserve">اً </w:t>
      </w:r>
      <w:r>
        <w:rPr>
          <w:rFonts w:hint="cs"/>
          <w:rtl/>
          <w:lang w:val="fr-CH"/>
        </w:rPr>
        <w:t>نُفّذ بالفعل بشأن مخالفات إدارية. وبحسب الدولة الطرف، تكشف البيانات أن المراجعة القضائية التي يضطلع بها المدّعي العام تشكل سبيل</w:t>
      </w:r>
      <w:r w:rsidR="0064250B">
        <w:rPr>
          <w:rFonts w:hint="cs"/>
          <w:rtl/>
          <w:lang w:val="fr-CH"/>
        </w:rPr>
        <w:t xml:space="preserve">اً </w:t>
      </w:r>
      <w:r>
        <w:rPr>
          <w:rFonts w:hint="cs"/>
          <w:rtl/>
          <w:lang w:val="fr-CH"/>
        </w:rPr>
        <w:t>فعال</w:t>
      </w:r>
      <w:r w:rsidR="0064250B">
        <w:rPr>
          <w:rFonts w:hint="cs"/>
          <w:rtl/>
          <w:lang w:val="fr-CH"/>
        </w:rPr>
        <w:t xml:space="preserve">اً </w:t>
      </w:r>
      <w:r>
        <w:rPr>
          <w:rFonts w:hint="cs"/>
          <w:rtl/>
          <w:lang w:val="fr-CH"/>
        </w:rPr>
        <w:t>للحماية القضائية وأن عدد</w:t>
      </w:r>
      <w:r w:rsidR="0064250B">
        <w:rPr>
          <w:rFonts w:hint="cs"/>
          <w:rtl/>
          <w:lang w:val="fr-CH"/>
        </w:rPr>
        <w:t xml:space="preserve">اً </w:t>
      </w:r>
      <w:r>
        <w:rPr>
          <w:rFonts w:hint="cs"/>
          <w:rtl/>
          <w:lang w:val="fr-CH"/>
        </w:rPr>
        <w:t>كبير</w:t>
      </w:r>
      <w:r w:rsidR="0064250B">
        <w:rPr>
          <w:rFonts w:hint="cs"/>
          <w:rtl/>
          <w:lang w:val="fr-CH"/>
        </w:rPr>
        <w:t xml:space="preserve">اً </w:t>
      </w:r>
      <w:r>
        <w:rPr>
          <w:rFonts w:hint="cs"/>
          <w:rtl/>
          <w:lang w:val="fr-CH"/>
        </w:rPr>
        <w:t>من المخالفات الإدارية يُبحث سنوي</w:t>
      </w:r>
      <w:r w:rsidR="0064250B">
        <w:rPr>
          <w:rFonts w:hint="cs"/>
          <w:rtl/>
          <w:lang w:val="fr-CH"/>
        </w:rPr>
        <w:t xml:space="preserve">اً </w:t>
      </w:r>
      <w:r>
        <w:rPr>
          <w:rFonts w:hint="cs"/>
          <w:rtl/>
          <w:lang w:val="fr-CH"/>
        </w:rPr>
        <w:t xml:space="preserve">على أساس مذكرات اعتراض صادرة عن المدعي العام. وفيما يتعلق بالخسائر المالية التي يتكبّدها المشتكون عند طلب المراجعة القضائية، تشير الدولة الطرف إلى أن القانون ينص على وجوب دفع رسوم حكومية وأنه يجب امتثال القانون. </w:t>
      </w:r>
    </w:p>
    <w:p w:rsidR="0015080A" w:rsidRDefault="0015080A" w:rsidP="00205885">
      <w:pPr>
        <w:pStyle w:val="SingleTxtGA"/>
        <w:rPr>
          <w:rFonts w:hint="cs"/>
          <w:rtl/>
          <w:lang w:val="fr-CH"/>
        </w:rPr>
      </w:pPr>
      <w:r>
        <w:rPr>
          <w:rFonts w:hint="cs"/>
          <w:rtl/>
          <w:lang w:val="fr-CH"/>
        </w:rPr>
        <w:t>4-6</w:t>
      </w:r>
      <w:r w:rsidR="00205885">
        <w:rPr>
          <w:rFonts w:hint="cs"/>
          <w:rtl/>
          <w:lang w:val="fr-CH"/>
        </w:rPr>
        <w:tab/>
      </w:r>
      <w:r>
        <w:rPr>
          <w:rFonts w:hint="cs"/>
          <w:rtl/>
          <w:lang w:val="fr-CH"/>
        </w:rPr>
        <w:t xml:space="preserve">وفيما يتعلق بتعارض قانون التظاهرات الشعبية مع أحكام العهد، تحتج الدولة الطرف بأن القانون ذا الصلة لا يتوخى ضبط عملية تنظيم وعقد التظاهرات الشعبية والاجتماعات والمسيرات والمظاهرات </w:t>
      </w:r>
      <w:proofErr w:type="spellStart"/>
      <w:r>
        <w:rPr>
          <w:rFonts w:hint="cs"/>
          <w:rtl/>
          <w:lang w:val="fr-CH"/>
        </w:rPr>
        <w:t>والاعتصامات</w:t>
      </w:r>
      <w:proofErr w:type="spellEnd"/>
      <w:r>
        <w:rPr>
          <w:rFonts w:hint="cs"/>
          <w:rtl/>
          <w:lang w:val="fr-CH"/>
        </w:rPr>
        <w:t xml:space="preserve"> وغيرها من الأحداث فحسب، وإنما يتوخى أيض</w:t>
      </w:r>
      <w:r w:rsidR="0064250B">
        <w:rPr>
          <w:rFonts w:hint="cs"/>
          <w:rtl/>
          <w:lang w:val="fr-CH"/>
        </w:rPr>
        <w:t xml:space="preserve">اً </w:t>
      </w:r>
      <w:r>
        <w:rPr>
          <w:rFonts w:hint="cs"/>
          <w:rtl/>
          <w:lang w:val="fr-CH"/>
        </w:rPr>
        <w:t>إيجاد</w:t>
      </w:r>
      <w:r w:rsidR="00617407">
        <w:rPr>
          <w:rFonts w:hint="eastAsia"/>
          <w:rtl/>
          <w:lang w:val="fr-CH"/>
        </w:rPr>
        <w:t> </w:t>
      </w:r>
      <w:r>
        <w:rPr>
          <w:rFonts w:hint="cs"/>
          <w:rtl/>
          <w:lang w:val="fr-CH"/>
        </w:rPr>
        <w:t>الظروف اللازمة لإعمال حقوق المواطنين وكفالة حرياتهم الدستورية ولتحقيق السلامة</w:t>
      </w:r>
      <w:r w:rsidR="00617407">
        <w:rPr>
          <w:rFonts w:hint="eastAsia"/>
          <w:rtl/>
          <w:lang w:val="fr-CH"/>
        </w:rPr>
        <w:t> </w:t>
      </w:r>
      <w:r>
        <w:rPr>
          <w:rFonts w:hint="cs"/>
          <w:rtl/>
          <w:lang w:val="fr-CH"/>
        </w:rPr>
        <w:t>والنظام العامين في الشوارع والساحات أو غيرها من الأماكن العامة التي يمكن أن تنظم فيها هذه الأحداث</w:t>
      </w:r>
      <w:r w:rsidR="00B37184">
        <w:rPr>
          <w:vertAlign w:val="superscript"/>
          <w:rtl/>
          <w:lang w:val="fr-CH"/>
        </w:rPr>
        <w:t>(</w:t>
      </w:r>
      <w:r w:rsidR="00B37184">
        <w:rPr>
          <w:rStyle w:val="FootnoteReference"/>
          <w:rtl/>
          <w:lang w:val="fr-CH"/>
        </w:rPr>
        <w:footnoteReference w:id="2"/>
      </w:r>
      <w:r w:rsidR="00B37184">
        <w:rPr>
          <w:vertAlign w:val="superscript"/>
          <w:rtl/>
          <w:lang w:val="fr-CH"/>
        </w:rPr>
        <w:t>)</w:t>
      </w:r>
      <w:r>
        <w:rPr>
          <w:rFonts w:hint="cs"/>
          <w:rtl/>
          <w:lang w:val="fr-CH"/>
        </w:rPr>
        <w:t>.</w:t>
      </w:r>
    </w:p>
    <w:p w:rsidR="0015080A" w:rsidRDefault="0015080A" w:rsidP="00205885">
      <w:pPr>
        <w:pStyle w:val="SingleTxtGA"/>
        <w:rPr>
          <w:rFonts w:hint="cs"/>
          <w:rtl/>
          <w:lang w:val="fr-CH"/>
        </w:rPr>
      </w:pPr>
      <w:r>
        <w:rPr>
          <w:rFonts w:hint="cs"/>
          <w:rtl/>
          <w:lang w:val="fr-CH"/>
        </w:rPr>
        <w:t>4-7</w:t>
      </w:r>
      <w:r w:rsidR="00205885">
        <w:rPr>
          <w:rFonts w:hint="cs"/>
          <w:rtl/>
          <w:lang w:val="fr-CH"/>
        </w:rPr>
        <w:tab/>
      </w:r>
      <w:r>
        <w:rPr>
          <w:rFonts w:hint="cs"/>
          <w:rtl/>
          <w:lang w:val="fr-CH"/>
        </w:rPr>
        <w:t>وتعلن الدولة الطرف أن ادعاءات صاحبي البلاغين التي مفادها أن تحميلهما مسؤولية إدارية في هذا الصدد يشكل انتهاك</w:t>
      </w:r>
      <w:r w:rsidR="0064250B">
        <w:rPr>
          <w:rFonts w:hint="cs"/>
          <w:rtl/>
          <w:lang w:val="fr-CH"/>
        </w:rPr>
        <w:t xml:space="preserve">اً </w:t>
      </w:r>
      <w:r>
        <w:rPr>
          <w:rFonts w:hint="cs"/>
          <w:rtl/>
          <w:lang w:val="fr-CH"/>
        </w:rPr>
        <w:t>لحقوقهما المكفولة في المادتين 19 و21 من العهد، ادعاء</w:t>
      </w:r>
      <w:r w:rsidR="00205885">
        <w:rPr>
          <w:rFonts w:hint="eastAsia"/>
          <w:rtl/>
          <w:lang w:val="fr-CH"/>
        </w:rPr>
        <w:t> </w:t>
      </w:r>
      <w:r>
        <w:rPr>
          <w:rFonts w:hint="cs"/>
          <w:rtl/>
          <w:lang w:val="fr-CH"/>
        </w:rPr>
        <w:t>با</w:t>
      </w:r>
      <w:r w:rsidR="00AD23B1">
        <w:rPr>
          <w:rFonts w:hint="cs"/>
          <w:rtl/>
          <w:lang w:val="fr-CH"/>
        </w:rPr>
        <w:t xml:space="preserve">طل في ظل الاعتبارات </w:t>
      </w:r>
      <w:proofErr w:type="spellStart"/>
      <w:r w:rsidR="00AD23B1">
        <w:rPr>
          <w:rFonts w:hint="cs"/>
          <w:rtl/>
          <w:lang w:val="fr-CH"/>
        </w:rPr>
        <w:t>آنفة</w:t>
      </w:r>
      <w:proofErr w:type="spellEnd"/>
      <w:r w:rsidR="00AD23B1">
        <w:rPr>
          <w:rFonts w:hint="cs"/>
          <w:rtl/>
          <w:lang w:val="fr-CH"/>
        </w:rPr>
        <w:t xml:space="preserve"> الذكر.</w:t>
      </w:r>
    </w:p>
    <w:p w:rsidR="0015080A" w:rsidRDefault="0015080A" w:rsidP="0015080A">
      <w:pPr>
        <w:pStyle w:val="H23GA"/>
        <w:rPr>
          <w:rFonts w:hint="cs"/>
          <w:rtl/>
          <w:lang w:val="fr-CH"/>
        </w:rPr>
      </w:pPr>
      <w:r>
        <w:rPr>
          <w:rFonts w:hint="cs"/>
          <w:rtl/>
          <w:lang w:val="fr-CH"/>
        </w:rPr>
        <w:tab/>
      </w:r>
      <w:r>
        <w:rPr>
          <w:rFonts w:hint="cs"/>
          <w:rtl/>
          <w:lang w:val="fr-CH"/>
        </w:rPr>
        <w:tab/>
        <w:t>تعليقات صاحب البلاغ على ملاحظات الدولة الطرف</w:t>
      </w:r>
    </w:p>
    <w:p w:rsidR="0015080A" w:rsidRDefault="0015080A" w:rsidP="0060381C">
      <w:pPr>
        <w:pStyle w:val="SingleTxtGA"/>
        <w:rPr>
          <w:rFonts w:hint="cs"/>
          <w:rtl/>
          <w:lang w:val="fr-CH"/>
        </w:rPr>
      </w:pPr>
      <w:r>
        <w:rPr>
          <w:rFonts w:hint="cs"/>
          <w:rtl/>
          <w:lang w:val="fr-CH"/>
        </w:rPr>
        <w:t>5-1</w:t>
      </w:r>
      <w:r>
        <w:rPr>
          <w:rFonts w:hint="cs"/>
          <w:rtl/>
          <w:lang w:val="fr-CH"/>
        </w:rPr>
        <w:tab/>
        <w:t>قدّم صاحبا البلاغين تعليقاتهما على ملاحظات الدولة الطرف في رسالتين مؤرختين</w:t>
      </w:r>
      <w:r w:rsidR="00644149">
        <w:rPr>
          <w:rFonts w:hint="eastAsia"/>
          <w:rtl/>
          <w:lang w:val="fr-CH"/>
        </w:rPr>
        <w:t> </w:t>
      </w:r>
      <w:r>
        <w:rPr>
          <w:rFonts w:hint="cs"/>
          <w:rtl/>
          <w:lang w:val="fr-CH"/>
        </w:rPr>
        <w:t>22 تشرين</w:t>
      </w:r>
      <w:r w:rsidRPr="00363B71">
        <w:rPr>
          <w:rFonts w:hint="cs"/>
          <w:rtl/>
          <w:lang w:val="fr-CH"/>
        </w:rPr>
        <w:t xml:space="preserve"> الثاني/</w:t>
      </w:r>
      <w:r>
        <w:rPr>
          <w:rFonts w:hint="cs"/>
          <w:rtl/>
          <w:lang w:val="fr-CH"/>
        </w:rPr>
        <w:t xml:space="preserve">نوفمبر 2010 (ومستلمتين في آذار/مارس 2013). وهما يؤكدان أنهما استنفدا جميع سبل الانتصاف المحلية المتاحة إذ </w:t>
      </w:r>
      <w:r w:rsidR="0060381C">
        <w:rPr>
          <w:rFonts w:hint="cs"/>
          <w:rtl/>
          <w:lang w:val="fr-CH"/>
        </w:rPr>
        <w:t>إ</w:t>
      </w:r>
      <w:r>
        <w:rPr>
          <w:rFonts w:hint="cs"/>
          <w:rtl/>
          <w:lang w:val="fr-CH"/>
        </w:rPr>
        <w:t>نهما طعنا بالاستئناف في قرارات محكمة الدرجة الأولى. ويمثل الطعن في نظرهما السبيل الفعال الوحيد لأنه يفضي دائم</w:t>
      </w:r>
      <w:r w:rsidR="0064250B">
        <w:rPr>
          <w:rFonts w:hint="cs"/>
          <w:rtl/>
          <w:lang w:val="fr-CH"/>
        </w:rPr>
        <w:t xml:space="preserve">اً </w:t>
      </w:r>
      <w:r>
        <w:rPr>
          <w:rFonts w:hint="cs"/>
          <w:rtl/>
          <w:lang w:val="fr-CH"/>
        </w:rPr>
        <w:t>إلى تقييم القضية من حيث أسسها الموضوعية. وأما الطعون المقدمة لطلب مراجعة قضائية فهي غير فعالة لأنها تُترك لتقدير موظف، ولا تفضي، حتى في حال قبولها، إلى إعادة النظر في وقائع القضية وأدلتها وإنما في المسائل القانونية. ويلاحظ صاحبا البلاغين أن اللجنة تعتبر أن سبل الانتصاف ينبغي ألا تكون متاحة فحسب وإنما فعالة أيض</w:t>
      </w:r>
      <w:r w:rsidR="0064250B">
        <w:rPr>
          <w:rFonts w:hint="cs"/>
          <w:rtl/>
          <w:lang w:val="fr-CH"/>
        </w:rPr>
        <w:t>اً.</w:t>
      </w:r>
      <w:r>
        <w:rPr>
          <w:rFonts w:hint="cs"/>
          <w:rtl/>
          <w:lang w:val="fr-CH"/>
        </w:rPr>
        <w:t xml:space="preserve"> ويضيف صاحبا البلاغين أنه</w:t>
      </w:r>
      <w:r w:rsidR="00644149">
        <w:rPr>
          <w:rFonts w:hint="eastAsia"/>
          <w:rtl/>
          <w:lang w:val="fr-CH"/>
        </w:rPr>
        <w:t> </w:t>
      </w:r>
      <w:r w:rsidR="00A47B22">
        <w:rPr>
          <w:rFonts w:hint="cs"/>
          <w:rtl/>
          <w:lang w:val="fr-CH"/>
        </w:rPr>
        <w:t>لا </w:t>
      </w:r>
      <w:r>
        <w:rPr>
          <w:rFonts w:hint="cs"/>
          <w:rtl/>
          <w:lang w:val="fr-CH"/>
        </w:rPr>
        <w:t xml:space="preserve">يمكن تقديم أي شكوى فردية إلى المحكمة الدستورية في بيلاروس. </w:t>
      </w:r>
    </w:p>
    <w:p w:rsidR="0015080A" w:rsidRDefault="0015080A" w:rsidP="00C821FF">
      <w:pPr>
        <w:pStyle w:val="SingleTxtGA"/>
        <w:rPr>
          <w:rFonts w:hint="cs"/>
          <w:rtl/>
          <w:lang w:val="fr-CH"/>
        </w:rPr>
      </w:pPr>
      <w:r>
        <w:rPr>
          <w:rFonts w:hint="cs"/>
          <w:rtl/>
          <w:lang w:val="fr-CH"/>
        </w:rPr>
        <w:t>5-2</w:t>
      </w:r>
      <w:r w:rsidR="00C821FF">
        <w:rPr>
          <w:rFonts w:hint="cs"/>
          <w:rtl/>
          <w:lang w:val="fr-CH"/>
        </w:rPr>
        <w:tab/>
      </w:r>
      <w:r>
        <w:rPr>
          <w:rFonts w:hint="cs"/>
          <w:rtl/>
          <w:lang w:val="fr-CH"/>
        </w:rPr>
        <w:t xml:space="preserve">ويضيف السيد </w:t>
      </w:r>
      <w:proofErr w:type="spellStart"/>
      <w:r>
        <w:rPr>
          <w:rFonts w:hint="cs"/>
          <w:rtl/>
          <w:lang w:val="fr-CH"/>
        </w:rPr>
        <w:t>تولشين</w:t>
      </w:r>
      <w:proofErr w:type="spellEnd"/>
      <w:r>
        <w:rPr>
          <w:rFonts w:hint="cs"/>
          <w:rtl/>
          <w:lang w:val="fr-CH"/>
        </w:rPr>
        <w:t xml:space="preserve"> أنه قدم شكوى إلى رئيس المحكمة العليا بموجب إجراءات المراجعة القضائية إلا أنه لم يُنظر في شكواه لأنه لم يسدد الرسوم الحكومية اللازمة لإجراء المراجعة؛ ويدعي أنه غير قادر على دفع هذه الرسوم. ويشير السيد </w:t>
      </w:r>
      <w:proofErr w:type="spellStart"/>
      <w:r>
        <w:rPr>
          <w:rFonts w:hint="cs"/>
          <w:rtl/>
          <w:lang w:val="fr-CH"/>
        </w:rPr>
        <w:t>بروتسكو</w:t>
      </w:r>
      <w:proofErr w:type="spellEnd"/>
      <w:r>
        <w:rPr>
          <w:rFonts w:hint="cs"/>
          <w:rtl/>
          <w:lang w:val="fr-CH"/>
        </w:rPr>
        <w:t xml:space="preserve"> إلى أنه قدم بدوره شكوى إلى رئيس المحكمة العليا بموجب إجراءات المراجعة القضائية غير أن نائب الرئيس الذي نظر في شكواه رفض الطعن.</w:t>
      </w:r>
    </w:p>
    <w:p w:rsidR="0015080A" w:rsidRDefault="0015080A" w:rsidP="00C821FF">
      <w:pPr>
        <w:pStyle w:val="SingleTxtGA"/>
        <w:rPr>
          <w:rFonts w:hint="cs"/>
          <w:rtl/>
          <w:lang w:val="fr-CH"/>
        </w:rPr>
      </w:pPr>
      <w:r>
        <w:rPr>
          <w:rFonts w:hint="cs"/>
          <w:rtl/>
          <w:lang w:val="fr-CH"/>
        </w:rPr>
        <w:t>5-3</w:t>
      </w:r>
      <w:r w:rsidR="00C821FF">
        <w:rPr>
          <w:rFonts w:hint="cs"/>
          <w:rtl/>
          <w:lang w:val="fr-CH"/>
        </w:rPr>
        <w:tab/>
      </w:r>
      <w:r>
        <w:rPr>
          <w:rFonts w:hint="cs"/>
          <w:rtl/>
          <w:lang w:val="fr-CH"/>
        </w:rPr>
        <w:t xml:space="preserve">ويشير السيد </w:t>
      </w:r>
      <w:proofErr w:type="spellStart"/>
      <w:r>
        <w:rPr>
          <w:rFonts w:hint="cs"/>
          <w:rtl/>
          <w:lang w:val="fr-CH"/>
        </w:rPr>
        <w:t>تولشين</w:t>
      </w:r>
      <w:proofErr w:type="spellEnd"/>
      <w:r>
        <w:rPr>
          <w:rFonts w:hint="cs"/>
          <w:rtl/>
          <w:lang w:val="fr-CH"/>
        </w:rPr>
        <w:t xml:space="preserve"> إلى أن البيانات الإحصائية المقدمة من الدولة الطرف بشأن إجراءات المراجعة القضائية للقضايا الإدارية لا تشير إلى عدد الملاحقات الإدارية التي استهدفت ناشطين عامين أو سياسيين لأسباب سياسية صرفة. ويشك في أن تكون هذه الأرقام متصلة بإجراءات تتعلق بالحقوق المدنية والسياسية، ويوضح أنه لم يعلم على مدى 10 سنوات الماضية بوجود أي حالة طلبت فيها المحكمة العليا أو هيئة الادعاء العام إلغاء إجراءات إدارية متصلة بالحقوق المدنية والسياسية لمواطني بيلاروسيا. </w:t>
      </w:r>
    </w:p>
    <w:p w:rsidR="0015080A" w:rsidRDefault="0015080A" w:rsidP="00C821FF">
      <w:pPr>
        <w:pStyle w:val="SingleTxtGA"/>
        <w:rPr>
          <w:rFonts w:hint="cs"/>
          <w:rtl/>
          <w:lang w:val="fr-CH"/>
        </w:rPr>
      </w:pPr>
      <w:r>
        <w:rPr>
          <w:rFonts w:hint="cs"/>
          <w:rtl/>
          <w:lang w:val="fr-CH"/>
        </w:rPr>
        <w:t>5-4</w:t>
      </w:r>
      <w:r w:rsidR="00C821FF">
        <w:rPr>
          <w:rFonts w:hint="cs"/>
          <w:rtl/>
          <w:lang w:val="fr-CH"/>
        </w:rPr>
        <w:tab/>
      </w:r>
      <w:r>
        <w:rPr>
          <w:rFonts w:hint="cs"/>
          <w:rtl/>
          <w:lang w:val="fr-CH"/>
        </w:rPr>
        <w:t>ويرى صاحبا البلاغين أنهما استنفدا جميع سبل الانتصاف المحلية المتاحة لأغراض الفقرة 2(ب) من المادة 5 من البروتوكول الاختياري الملحق بالعهد.</w:t>
      </w:r>
    </w:p>
    <w:p w:rsidR="0015080A" w:rsidRPr="0007313B" w:rsidRDefault="0015080A" w:rsidP="0015080A">
      <w:pPr>
        <w:pStyle w:val="H23GA"/>
        <w:rPr>
          <w:rFonts w:hint="cs"/>
          <w:rtl/>
          <w:lang w:val="fr-CH"/>
        </w:rPr>
      </w:pPr>
      <w:r w:rsidRPr="0007313B">
        <w:rPr>
          <w:rFonts w:hint="cs"/>
          <w:rtl/>
          <w:lang w:val="fr-CH"/>
        </w:rPr>
        <w:tab/>
      </w:r>
      <w:r w:rsidRPr="0007313B">
        <w:rPr>
          <w:rFonts w:hint="cs"/>
          <w:rtl/>
          <w:lang w:val="fr-CH"/>
        </w:rPr>
        <w:tab/>
        <w:t>المسائل والإجراءات المعروضة على اللجنة</w:t>
      </w:r>
    </w:p>
    <w:p w:rsidR="0015080A" w:rsidRPr="0007313B" w:rsidRDefault="0015080A" w:rsidP="0015080A">
      <w:pPr>
        <w:pStyle w:val="H4GA"/>
        <w:rPr>
          <w:rFonts w:hint="cs"/>
          <w:rtl/>
          <w:lang w:val="fr-CH"/>
        </w:rPr>
      </w:pPr>
      <w:r w:rsidRPr="0007313B">
        <w:rPr>
          <w:rFonts w:hint="cs"/>
          <w:rtl/>
          <w:lang w:val="fr-CH"/>
        </w:rPr>
        <w:tab/>
      </w:r>
      <w:r w:rsidRPr="0007313B">
        <w:rPr>
          <w:rFonts w:hint="cs"/>
          <w:rtl/>
          <w:lang w:val="fr-CH"/>
        </w:rPr>
        <w:tab/>
        <w:t xml:space="preserve">النظر في </w:t>
      </w:r>
      <w:proofErr w:type="spellStart"/>
      <w:r w:rsidRPr="0007313B">
        <w:rPr>
          <w:rFonts w:hint="cs"/>
          <w:rtl/>
          <w:lang w:val="fr-CH"/>
        </w:rPr>
        <w:t>المقبولية</w:t>
      </w:r>
      <w:proofErr w:type="spellEnd"/>
    </w:p>
    <w:p w:rsidR="0015080A" w:rsidRPr="0007313B" w:rsidRDefault="0015080A" w:rsidP="00205885">
      <w:pPr>
        <w:pStyle w:val="SingleTxtGA"/>
        <w:spacing w:line="370" w:lineRule="exact"/>
        <w:rPr>
          <w:rFonts w:hint="cs"/>
          <w:sz w:val="30"/>
          <w:rtl/>
          <w:lang w:val="fr-CH"/>
        </w:rPr>
      </w:pPr>
      <w:r>
        <w:rPr>
          <w:rFonts w:hint="cs"/>
          <w:sz w:val="30"/>
          <w:rtl/>
          <w:lang w:val="fr-CH"/>
        </w:rPr>
        <w:t>6</w:t>
      </w:r>
      <w:r w:rsidRPr="0007313B">
        <w:rPr>
          <w:rFonts w:hint="cs"/>
          <w:sz w:val="30"/>
          <w:rtl/>
          <w:lang w:val="fr-CH"/>
        </w:rPr>
        <w:t>-1</w:t>
      </w:r>
      <w:r w:rsidRPr="0007313B">
        <w:rPr>
          <w:rFonts w:hint="cs"/>
          <w:sz w:val="30"/>
          <w:rtl/>
          <w:lang w:val="fr-CH"/>
        </w:rPr>
        <w:tab/>
        <w:t>قبل النظر في أي ادعاء يرد في بلاغ ما، يجب على اللجنة المعنية بحقوق الإنسان أن</w:t>
      </w:r>
      <w:r w:rsidR="00205885">
        <w:rPr>
          <w:rFonts w:hint="eastAsia"/>
          <w:sz w:val="30"/>
          <w:rtl/>
          <w:lang w:val="fr-CH"/>
        </w:rPr>
        <w:t> </w:t>
      </w:r>
      <w:r w:rsidRPr="0007313B">
        <w:rPr>
          <w:rFonts w:hint="cs"/>
          <w:sz w:val="30"/>
          <w:rtl/>
          <w:lang w:val="fr-CH"/>
        </w:rPr>
        <w:t>تقر</w:t>
      </w:r>
      <w:r>
        <w:rPr>
          <w:rFonts w:hint="cs"/>
          <w:sz w:val="30"/>
          <w:rtl/>
          <w:lang w:val="fr-CH"/>
        </w:rPr>
        <w:t>ّ</w:t>
      </w:r>
      <w:r w:rsidRPr="0007313B">
        <w:rPr>
          <w:rFonts w:hint="cs"/>
          <w:sz w:val="30"/>
          <w:rtl/>
          <w:lang w:val="fr-CH"/>
        </w:rPr>
        <w:t>ر، وفقاً للمادة 93 من نظامها الداخلي، ما إذا كان</w:t>
      </w:r>
      <w:r>
        <w:rPr>
          <w:rFonts w:hint="cs"/>
          <w:sz w:val="30"/>
          <w:rtl/>
          <w:lang w:val="fr-CH"/>
        </w:rPr>
        <w:t xml:space="preserve"> البلاغ مقبولاً </w:t>
      </w:r>
      <w:r w:rsidRPr="0007313B">
        <w:rPr>
          <w:rFonts w:hint="cs"/>
          <w:sz w:val="30"/>
          <w:rtl/>
          <w:lang w:val="fr-CH"/>
        </w:rPr>
        <w:t>أم</w:t>
      </w:r>
      <w:r w:rsidR="00A47B22">
        <w:rPr>
          <w:rFonts w:hint="cs"/>
          <w:sz w:val="30"/>
          <w:rtl/>
          <w:lang w:val="fr-CH"/>
        </w:rPr>
        <w:t xml:space="preserve"> لا </w:t>
      </w:r>
      <w:r w:rsidRPr="0007313B">
        <w:rPr>
          <w:rFonts w:hint="cs"/>
          <w:sz w:val="30"/>
          <w:rtl/>
          <w:lang w:val="fr-CH"/>
        </w:rPr>
        <w:t xml:space="preserve">بموجب البروتوكول الاختياري الملحق بالعهد. </w:t>
      </w:r>
    </w:p>
    <w:p w:rsidR="0015080A" w:rsidRPr="0007313B" w:rsidRDefault="0015080A" w:rsidP="00C821FF">
      <w:pPr>
        <w:pStyle w:val="SingleTxtGA"/>
        <w:spacing w:line="370" w:lineRule="exact"/>
        <w:rPr>
          <w:rFonts w:hint="cs"/>
          <w:sz w:val="30"/>
          <w:rtl/>
          <w:lang w:val="fr-CH"/>
        </w:rPr>
      </w:pPr>
      <w:r>
        <w:rPr>
          <w:rFonts w:hint="cs"/>
          <w:sz w:val="30"/>
          <w:rtl/>
          <w:lang w:val="fr-CH"/>
        </w:rPr>
        <w:t>6</w:t>
      </w:r>
      <w:r w:rsidRPr="0007313B">
        <w:rPr>
          <w:rFonts w:hint="cs"/>
          <w:sz w:val="30"/>
          <w:rtl/>
          <w:lang w:val="fr-CH"/>
        </w:rPr>
        <w:t>-2</w:t>
      </w:r>
      <w:r w:rsidRPr="0007313B">
        <w:rPr>
          <w:rFonts w:hint="cs"/>
          <w:sz w:val="30"/>
          <w:rtl/>
          <w:lang w:val="fr-CH"/>
        </w:rPr>
        <w:tab/>
        <w:t>وقد تحق</w:t>
      </w:r>
      <w:r>
        <w:rPr>
          <w:rFonts w:hint="cs"/>
          <w:sz w:val="30"/>
          <w:rtl/>
          <w:lang w:val="fr-CH"/>
        </w:rPr>
        <w:t>ّ</w:t>
      </w:r>
      <w:r w:rsidRPr="0007313B">
        <w:rPr>
          <w:rFonts w:hint="cs"/>
          <w:sz w:val="30"/>
          <w:rtl/>
          <w:lang w:val="fr-CH"/>
        </w:rPr>
        <w:t>قت اللجنة من أن المسألة ذاتها ليست قيد البحث في إطار أي إجراء آخر من إجراءات التحقيق الدولي أو التسوية الدولية، وفقاً لما تقتضيه الفقرة 2(أ) من المادة 5 من البروتوكول الاختياري.</w:t>
      </w:r>
    </w:p>
    <w:p w:rsidR="0015080A" w:rsidRDefault="0015080A" w:rsidP="00C821FF">
      <w:pPr>
        <w:pStyle w:val="SingleTxtGA"/>
        <w:spacing w:line="370" w:lineRule="exact"/>
        <w:rPr>
          <w:rFonts w:hint="cs"/>
          <w:sz w:val="30"/>
          <w:rtl/>
          <w:lang w:val="fr-CH"/>
        </w:rPr>
      </w:pPr>
      <w:r>
        <w:rPr>
          <w:rFonts w:hint="cs"/>
          <w:sz w:val="30"/>
          <w:rtl/>
          <w:lang w:val="fr-CH"/>
        </w:rPr>
        <w:t>6</w:t>
      </w:r>
      <w:r w:rsidRPr="0007313B">
        <w:rPr>
          <w:rFonts w:hint="cs"/>
          <w:sz w:val="30"/>
          <w:rtl/>
          <w:lang w:val="fr-CH"/>
        </w:rPr>
        <w:t>-3</w:t>
      </w:r>
      <w:r w:rsidRPr="0007313B">
        <w:rPr>
          <w:rFonts w:hint="cs"/>
          <w:sz w:val="30"/>
          <w:rtl/>
          <w:lang w:val="fr-CH"/>
        </w:rPr>
        <w:tab/>
      </w:r>
      <w:r>
        <w:rPr>
          <w:rFonts w:hint="cs"/>
          <w:sz w:val="30"/>
          <w:rtl/>
          <w:lang w:val="fr-CH"/>
        </w:rPr>
        <w:t>وفيما يتعلق باستنفاد سبل الانتصاف المحلية، تحيط اللجنة علم</w:t>
      </w:r>
      <w:r w:rsidR="0064250B">
        <w:rPr>
          <w:rFonts w:hint="cs"/>
          <w:sz w:val="30"/>
          <w:rtl/>
          <w:lang w:val="fr-CH"/>
        </w:rPr>
        <w:t xml:space="preserve">اً </w:t>
      </w:r>
      <w:r>
        <w:rPr>
          <w:rFonts w:hint="cs"/>
          <w:sz w:val="30"/>
          <w:rtl/>
          <w:lang w:val="fr-CH"/>
        </w:rPr>
        <w:t>بحجج الدولة الطرف التي تفيد بأن صاحبي البلاغين لم يطعنا في توقيفهما وملاحقتهما إداري</w:t>
      </w:r>
      <w:r w:rsidR="0064250B">
        <w:rPr>
          <w:rFonts w:hint="cs"/>
          <w:sz w:val="30"/>
          <w:rtl/>
          <w:lang w:val="fr-CH"/>
        </w:rPr>
        <w:t xml:space="preserve">اً </w:t>
      </w:r>
      <w:r>
        <w:rPr>
          <w:rFonts w:hint="cs"/>
          <w:sz w:val="30"/>
          <w:rtl/>
          <w:lang w:val="fr-CH"/>
        </w:rPr>
        <w:t>من قبل وزارة الشؤون الداخلية؛ ولم يطلبا من هيئة الادعاء العام إجراء مراجعة قضائية؛ وبأن صاحب البلاغ الأول لم يطلب إلى رئيس المحكمة العليا إجراء مراجعة قضائية؛ وأن صاحب البلاغ الثاني لم يدفع الرسوم الحكومية اللازمة لطلب مراجعة قضائية من رئيس المحكمة العليا.</w:t>
      </w:r>
      <w:r w:rsidRPr="0007313B">
        <w:rPr>
          <w:rFonts w:hint="cs"/>
          <w:sz w:val="30"/>
          <w:rtl/>
          <w:lang w:val="fr-CH"/>
        </w:rPr>
        <w:t xml:space="preserve"> </w:t>
      </w:r>
    </w:p>
    <w:p w:rsidR="0015080A" w:rsidRDefault="0015080A" w:rsidP="00C821FF">
      <w:pPr>
        <w:pStyle w:val="SingleTxtGA"/>
        <w:spacing w:line="370" w:lineRule="exact"/>
        <w:rPr>
          <w:rFonts w:hint="cs"/>
          <w:sz w:val="30"/>
          <w:rtl/>
          <w:lang w:val="fr-CH"/>
        </w:rPr>
      </w:pPr>
      <w:r>
        <w:rPr>
          <w:rFonts w:hint="cs"/>
          <w:sz w:val="30"/>
          <w:rtl/>
          <w:lang w:val="fr-CH"/>
        </w:rPr>
        <w:t>6-4</w:t>
      </w:r>
      <w:r w:rsidR="00C821FF">
        <w:rPr>
          <w:rFonts w:hint="cs"/>
          <w:sz w:val="30"/>
          <w:rtl/>
          <w:lang w:val="fr-CH"/>
        </w:rPr>
        <w:tab/>
      </w:r>
      <w:r>
        <w:rPr>
          <w:rFonts w:hint="cs"/>
          <w:sz w:val="30"/>
          <w:rtl/>
          <w:lang w:val="fr-CH"/>
        </w:rPr>
        <w:t xml:space="preserve">وتلاحظ اللجنة أن الدولة الطرف لم توضح قط كيف يمكن لشكوى مقدمة إلى إدارة الشؤون الداخلية لإقليم </w:t>
      </w:r>
      <w:proofErr w:type="spellStart"/>
      <w:r>
        <w:rPr>
          <w:rFonts w:hint="cs"/>
          <w:sz w:val="30"/>
          <w:rtl/>
          <w:lang w:val="fr-CH"/>
        </w:rPr>
        <w:t>غوميل</w:t>
      </w:r>
      <w:proofErr w:type="spellEnd"/>
      <w:r>
        <w:rPr>
          <w:rFonts w:hint="cs"/>
          <w:sz w:val="30"/>
          <w:rtl/>
          <w:lang w:val="fr-CH"/>
        </w:rPr>
        <w:t xml:space="preserve"> أو وزارة الشؤون الداخلية أن تشكل سبيل انتصاف فعال</w:t>
      </w:r>
      <w:r w:rsidR="0064250B">
        <w:rPr>
          <w:rFonts w:hint="cs"/>
          <w:sz w:val="30"/>
          <w:rtl/>
          <w:lang w:val="fr-CH"/>
        </w:rPr>
        <w:t xml:space="preserve">اً </w:t>
      </w:r>
      <w:r>
        <w:rPr>
          <w:rFonts w:hint="cs"/>
          <w:sz w:val="30"/>
          <w:rtl/>
          <w:lang w:val="fr-CH"/>
        </w:rPr>
        <w:t xml:space="preserve">في حالتي صاحبي البلاغين لأغراض استنفاد سبل الانتصاف المحلية. وبناء عليه، ترى اللجنة أنه ليس هناك ما يمنع النظر في البلاغين بموجب الفقرة 2(ب) من المادة 5 من البروتوكول الاختياري. </w:t>
      </w:r>
    </w:p>
    <w:p w:rsidR="0015080A" w:rsidRDefault="0015080A" w:rsidP="00205885">
      <w:pPr>
        <w:pStyle w:val="SingleTxtGA"/>
        <w:spacing w:line="360" w:lineRule="exact"/>
        <w:rPr>
          <w:rFonts w:hint="cs"/>
          <w:sz w:val="30"/>
          <w:rtl/>
          <w:lang w:val="fr-CH"/>
        </w:rPr>
      </w:pPr>
      <w:r>
        <w:rPr>
          <w:rFonts w:hint="cs"/>
          <w:sz w:val="30"/>
          <w:rtl/>
          <w:lang w:val="fr-CH"/>
        </w:rPr>
        <w:t>6-5</w:t>
      </w:r>
      <w:r w:rsidR="00C821FF">
        <w:rPr>
          <w:rFonts w:hint="cs"/>
          <w:sz w:val="30"/>
          <w:rtl/>
          <w:lang w:val="fr-CH"/>
        </w:rPr>
        <w:tab/>
      </w:r>
      <w:r>
        <w:rPr>
          <w:rFonts w:hint="cs"/>
          <w:sz w:val="30"/>
          <w:rtl/>
          <w:lang w:val="fr-CH"/>
        </w:rPr>
        <w:t>وتلاحظ اللجنة أيض</w:t>
      </w:r>
      <w:r w:rsidR="0064250B">
        <w:rPr>
          <w:rFonts w:hint="cs"/>
          <w:sz w:val="30"/>
          <w:rtl/>
          <w:lang w:val="fr-CH"/>
        </w:rPr>
        <w:t xml:space="preserve">اً </w:t>
      </w:r>
      <w:r>
        <w:rPr>
          <w:rFonts w:hint="cs"/>
          <w:sz w:val="30"/>
          <w:rtl/>
          <w:lang w:val="fr-CH"/>
        </w:rPr>
        <w:t>ادعاء صاحبي البلاغين أن إجراءات المراجعة القضائية ليست فعالة ولا متاحة. وتحيط علماً باعتراضات الدولة الطرف في هذا السياق، وبخاصة فيما يتعلق بالإحصائيات المقدمة كدليل على أن المراجعة القضائية كانت فعالة في عدد من القضايا الإدارية. غير أن اللجنة تلاحظ أن الدولة الطرف لم تحدّد ما إذا كان إجراء المراجعة القضائية قد نُفّذ بنجاح في حالات متصلة بحرية التعبير أو الحق في التجمع السلمي، ولم تبيّن عدد الحالات التي نُفّذ فيها بنجاح في حال ثبت ذلك. وتذكّر اللجنة باجتهاداتها التي تفيد بأن المراجعة القضائية التي تتيحها الدولة الطرف فيما يتعلق بأحكام أصبحت نافذة فعلاً</w:t>
      </w:r>
      <w:r w:rsidR="00A47B22">
        <w:rPr>
          <w:rFonts w:hint="cs"/>
          <w:sz w:val="30"/>
          <w:rtl/>
          <w:lang w:val="fr-CH"/>
        </w:rPr>
        <w:t xml:space="preserve"> </w:t>
      </w:r>
      <w:r w:rsidR="00205885">
        <w:rPr>
          <w:rFonts w:hint="cs"/>
          <w:sz w:val="30"/>
          <w:rtl/>
          <w:lang w:val="fr-CH"/>
        </w:rPr>
        <w:t xml:space="preserve">                </w:t>
      </w:r>
      <w:r w:rsidR="00A47B22">
        <w:rPr>
          <w:rFonts w:hint="cs"/>
          <w:sz w:val="30"/>
          <w:rtl/>
          <w:lang w:val="fr-CH"/>
        </w:rPr>
        <w:t>لا</w:t>
      </w:r>
      <w:r w:rsidR="00205885">
        <w:rPr>
          <w:rFonts w:hint="cs"/>
          <w:sz w:val="30"/>
          <w:rtl/>
          <w:lang w:val="fr-CH"/>
        </w:rPr>
        <w:t xml:space="preserve"> </w:t>
      </w:r>
      <w:r>
        <w:rPr>
          <w:rFonts w:hint="cs"/>
          <w:sz w:val="30"/>
          <w:rtl/>
          <w:lang w:val="fr-CH"/>
        </w:rPr>
        <w:t>تشكّل سبيل انتصاف يجب استنفاده لأغراض الفقرة 2(ب) من المادة 5 من البروتوكول الاختياري</w:t>
      </w:r>
      <w:r w:rsidR="00B37184">
        <w:rPr>
          <w:vertAlign w:val="superscript"/>
          <w:rtl/>
          <w:lang w:val="fr-CH"/>
        </w:rPr>
        <w:t>(</w:t>
      </w:r>
      <w:r w:rsidR="00B37184">
        <w:rPr>
          <w:rStyle w:val="FootnoteReference"/>
          <w:rtl/>
          <w:lang w:val="fr-CH"/>
        </w:rPr>
        <w:footnoteReference w:id="3"/>
      </w:r>
      <w:r w:rsidR="00B37184">
        <w:rPr>
          <w:vertAlign w:val="superscript"/>
          <w:rtl/>
          <w:lang w:val="fr-CH"/>
        </w:rPr>
        <w:t>)</w:t>
      </w:r>
      <w:r>
        <w:rPr>
          <w:rFonts w:hint="cs"/>
          <w:sz w:val="30"/>
          <w:rtl/>
          <w:lang w:val="fr-CH"/>
        </w:rPr>
        <w:t>. وفي ضوء ما سلف، ترى اللجنة</w:t>
      </w:r>
      <w:r w:rsidRPr="00475998">
        <w:rPr>
          <w:rFonts w:hint="cs"/>
          <w:sz w:val="30"/>
          <w:rtl/>
          <w:lang w:val="fr-CH"/>
        </w:rPr>
        <w:t xml:space="preserve"> </w:t>
      </w:r>
      <w:r>
        <w:rPr>
          <w:rFonts w:hint="cs"/>
          <w:sz w:val="30"/>
          <w:rtl/>
          <w:lang w:val="fr-CH"/>
        </w:rPr>
        <w:t xml:space="preserve">أنه ليس هناك ما يمنع النظر في هذين البلاغين بموجب أحكام الفقرة 2(ب) من المادة 5 من البروتوكول الاختياري. </w:t>
      </w:r>
    </w:p>
    <w:p w:rsidR="0015080A" w:rsidRDefault="0015080A" w:rsidP="00205885">
      <w:pPr>
        <w:pStyle w:val="SingleTxtGA"/>
        <w:spacing w:line="360" w:lineRule="exact"/>
        <w:rPr>
          <w:rFonts w:hint="cs"/>
          <w:sz w:val="30"/>
          <w:rtl/>
          <w:lang w:val="fr-CH"/>
        </w:rPr>
      </w:pPr>
      <w:r>
        <w:rPr>
          <w:rFonts w:hint="cs"/>
          <w:sz w:val="30"/>
          <w:rtl/>
          <w:lang w:val="fr-CH"/>
        </w:rPr>
        <w:t>6-6</w:t>
      </w:r>
      <w:r w:rsidR="00C821FF">
        <w:rPr>
          <w:rFonts w:hint="cs"/>
          <w:sz w:val="30"/>
          <w:rtl/>
          <w:lang w:val="fr-CH"/>
        </w:rPr>
        <w:tab/>
      </w:r>
      <w:r>
        <w:rPr>
          <w:rFonts w:hint="cs"/>
          <w:sz w:val="30"/>
          <w:rtl/>
          <w:lang w:val="fr-CH"/>
        </w:rPr>
        <w:t>وترى اللجنة أن صاحبي البلاغين قدّما ما يكفي من الأدلة لدعم ادعاءاتهما بشأن انتهاك حقوقهما المكفولة في الفقرة 2 من المادة 19 والمادة 21 من العهد. وبناء عليه، تعلن</w:t>
      </w:r>
      <w:r w:rsidR="00205885">
        <w:rPr>
          <w:rFonts w:hint="eastAsia"/>
          <w:sz w:val="30"/>
          <w:rtl/>
          <w:lang w:val="fr-CH"/>
        </w:rPr>
        <w:t> </w:t>
      </w:r>
      <w:proofErr w:type="spellStart"/>
      <w:r>
        <w:rPr>
          <w:rFonts w:hint="cs"/>
          <w:sz w:val="30"/>
          <w:rtl/>
          <w:lang w:val="fr-CH"/>
        </w:rPr>
        <w:t>مقبولية</w:t>
      </w:r>
      <w:proofErr w:type="spellEnd"/>
      <w:r>
        <w:rPr>
          <w:rFonts w:hint="cs"/>
          <w:sz w:val="30"/>
          <w:rtl/>
          <w:lang w:val="fr-CH"/>
        </w:rPr>
        <w:t xml:space="preserve"> البلاغين وتشرع في النظر في الأسس الموضوعية. </w:t>
      </w:r>
    </w:p>
    <w:p w:rsidR="0015080A" w:rsidRPr="002A63C2" w:rsidRDefault="0015080A" w:rsidP="00205885">
      <w:pPr>
        <w:pStyle w:val="H4GA"/>
        <w:rPr>
          <w:rFonts w:hint="cs"/>
          <w:rtl/>
          <w:lang w:val="fr-CH"/>
        </w:rPr>
      </w:pPr>
      <w:r w:rsidRPr="002A63C2">
        <w:rPr>
          <w:rFonts w:hint="cs"/>
          <w:rtl/>
          <w:lang w:val="fr-CH"/>
        </w:rPr>
        <w:tab/>
      </w:r>
      <w:r w:rsidRPr="002A63C2">
        <w:rPr>
          <w:rFonts w:hint="cs"/>
          <w:rtl/>
          <w:lang w:val="fr-CH"/>
        </w:rPr>
        <w:tab/>
        <w:t>النظر في الأسس الموضوعية</w:t>
      </w:r>
    </w:p>
    <w:p w:rsidR="0015080A" w:rsidRPr="00C821FF" w:rsidRDefault="00167948" w:rsidP="00C821FF">
      <w:pPr>
        <w:pStyle w:val="SingleTxtGA"/>
        <w:spacing w:line="360" w:lineRule="exact"/>
        <w:rPr>
          <w:rFonts w:hint="cs"/>
          <w:spacing w:val="-4"/>
          <w:sz w:val="30"/>
          <w:rtl/>
          <w:lang w:val="fr-CH"/>
        </w:rPr>
      </w:pPr>
      <w:r>
        <w:rPr>
          <w:rFonts w:hint="cs"/>
          <w:spacing w:val="-4"/>
          <w:sz w:val="30"/>
          <w:rtl/>
          <w:lang w:val="fr-CH"/>
        </w:rPr>
        <w:t>7</w:t>
      </w:r>
      <w:r w:rsidR="0015080A" w:rsidRPr="00C821FF">
        <w:rPr>
          <w:rFonts w:hint="cs"/>
          <w:spacing w:val="-4"/>
          <w:sz w:val="30"/>
          <w:rtl/>
          <w:lang w:val="fr-CH"/>
        </w:rPr>
        <w:t>-1</w:t>
      </w:r>
      <w:r w:rsidR="0015080A" w:rsidRPr="00C821FF">
        <w:rPr>
          <w:rFonts w:hint="cs"/>
          <w:spacing w:val="-4"/>
          <w:sz w:val="30"/>
          <w:rtl/>
          <w:lang w:val="fr-CH"/>
        </w:rPr>
        <w:tab/>
        <w:t xml:space="preserve">نظرت اللجنة المعنية بحقوق الإنسان في هذين البلاغين في ضوء كل المعلومات التي أتاحها لها الطرفان وفقاً لما هو منصوص عليه في الفقرة 1 من المادة 5 من البروتوكول الاختياري. </w:t>
      </w:r>
    </w:p>
    <w:p w:rsidR="0015080A" w:rsidRPr="0007313B" w:rsidRDefault="0015080A" w:rsidP="00C821FF">
      <w:pPr>
        <w:pStyle w:val="SingleTxtGA"/>
        <w:spacing w:line="360" w:lineRule="exact"/>
        <w:rPr>
          <w:rFonts w:hint="cs"/>
          <w:sz w:val="30"/>
          <w:rtl/>
          <w:lang w:val="fr-CH"/>
        </w:rPr>
      </w:pPr>
      <w:r>
        <w:rPr>
          <w:rFonts w:hint="cs"/>
          <w:sz w:val="30"/>
          <w:rtl/>
          <w:lang w:val="fr-CH"/>
        </w:rPr>
        <w:t>7</w:t>
      </w:r>
      <w:r w:rsidRPr="0007313B">
        <w:rPr>
          <w:rFonts w:hint="cs"/>
          <w:sz w:val="30"/>
          <w:rtl/>
          <w:lang w:val="fr-CH"/>
        </w:rPr>
        <w:t>-2</w:t>
      </w:r>
      <w:r w:rsidRPr="0007313B">
        <w:rPr>
          <w:rFonts w:hint="cs"/>
          <w:sz w:val="30"/>
          <w:rtl/>
          <w:lang w:val="fr-CH"/>
        </w:rPr>
        <w:tab/>
      </w:r>
      <w:r>
        <w:rPr>
          <w:rFonts w:hint="cs"/>
          <w:sz w:val="30"/>
          <w:rtl/>
          <w:lang w:val="fr-CH"/>
        </w:rPr>
        <w:t>وتتمثل المسألة الأولى المعروضة على اللجنة في تحديد ما إذا كان حجز المنشورات والحكم بغرامة مالية على صاحب البلاغ الأول وبالاحتجاز الإداري لمدة خمسة أيام</w:t>
      </w:r>
      <w:r w:rsidRPr="00BB3A61">
        <w:rPr>
          <w:rFonts w:hint="cs"/>
          <w:sz w:val="30"/>
          <w:rtl/>
          <w:lang w:val="fr-CH"/>
        </w:rPr>
        <w:t xml:space="preserve"> </w:t>
      </w:r>
      <w:r>
        <w:rPr>
          <w:rFonts w:hint="cs"/>
          <w:sz w:val="30"/>
          <w:rtl/>
          <w:lang w:val="fr-CH"/>
        </w:rPr>
        <w:t>على صاحب البلاغ الثاني بسبب توزيع منشورات بشأن تظاهرتين عامتين سلميتين مقررتين إحياءً لذكرى الهالكين في حادث تشرنوبيل، هي قرارات تشكل أم لا انتهاك</w:t>
      </w:r>
      <w:r w:rsidR="0064250B">
        <w:rPr>
          <w:rFonts w:hint="cs"/>
          <w:sz w:val="30"/>
          <w:rtl/>
          <w:lang w:val="fr-CH"/>
        </w:rPr>
        <w:t xml:space="preserve">اً </w:t>
      </w:r>
      <w:r>
        <w:rPr>
          <w:rFonts w:hint="cs"/>
          <w:sz w:val="30"/>
          <w:rtl/>
          <w:lang w:val="fr-CH"/>
        </w:rPr>
        <w:t>لحقوق صاحبي البلاغين المكفولة في الفقرة 2 من المادة 19 من العهد</w:t>
      </w:r>
      <w:r w:rsidRPr="0007313B">
        <w:rPr>
          <w:rFonts w:hint="cs"/>
          <w:sz w:val="30"/>
          <w:rtl/>
          <w:lang w:val="fr-CH"/>
        </w:rPr>
        <w:t xml:space="preserve">. </w:t>
      </w:r>
    </w:p>
    <w:p w:rsidR="0015080A" w:rsidRPr="0007313B" w:rsidRDefault="0015080A" w:rsidP="00C821FF">
      <w:pPr>
        <w:pStyle w:val="SingleTxtGA"/>
        <w:spacing w:line="360" w:lineRule="exact"/>
        <w:rPr>
          <w:rFonts w:hint="cs"/>
          <w:sz w:val="30"/>
          <w:rtl/>
          <w:lang w:val="fr-CH"/>
        </w:rPr>
      </w:pPr>
      <w:r>
        <w:rPr>
          <w:rFonts w:hint="cs"/>
          <w:sz w:val="30"/>
          <w:rtl/>
          <w:lang w:val="fr-CH"/>
        </w:rPr>
        <w:t>7</w:t>
      </w:r>
      <w:r w:rsidRPr="0007313B">
        <w:rPr>
          <w:rFonts w:hint="cs"/>
          <w:sz w:val="30"/>
          <w:rtl/>
          <w:lang w:val="fr-CH"/>
        </w:rPr>
        <w:t>-3</w:t>
      </w:r>
      <w:r w:rsidRPr="0007313B">
        <w:rPr>
          <w:rFonts w:hint="cs"/>
          <w:sz w:val="30"/>
          <w:rtl/>
          <w:lang w:val="fr-CH"/>
        </w:rPr>
        <w:tab/>
      </w:r>
      <w:r>
        <w:rPr>
          <w:rFonts w:hint="cs"/>
          <w:sz w:val="30"/>
          <w:rtl/>
          <w:lang w:val="fr-CH"/>
        </w:rPr>
        <w:t>وتذكر اللجنة بأن الفقرة 2 من المادة 19 من العهد تقتضي من الدول الأطراف ضمان الحق في حرية التعبير، بما في ذلك حرية نشر المعلومات. وتشير اللجنة إلى تعليقها العام</w:t>
      </w:r>
      <w:r w:rsidR="00C821FF">
        <w:rPr>
          <w:rFonts w:hint="eastAsia"/>
          <w:sz w:val="30"/>
          <w:rtl/>
          <w:lang w:val="fr-CH"/>
        </w:rPr>
        <w:t> </w:t>
      </w:r>
      <w:r>
        <w:rPr>
          <w:rFonts w:hint="cs"/>
          <w:sz w:val="30"/>
          <w:rtl/>
          <w:lang w:val="fr-CH"/>
        </w:rPr>
        <w:t>رقم 34(2011) بشأن حريتي الرأي والتعبير الذي ينص على أن حرية الرأي وحرية التعبير هما شرطان لا غنى عنهما لتحقيق النمو الكامل للفرد. وهما عنصران أساسيان من عناصر أي مجتمع حر وديمقراطي. ويشكلان حجر الزاوية في كل مجتمع حر وديمقراطي</w:t>
      </w:r>
      <w:r w:rsidR="00B37184">
        <w:rPr>
          <w:vertAlign w:val="superscript"/>
          <w:rtl/>
          <w:lang w:val="fr-CH"/>
        </w:rPr>
        <w:t>(</w:t>
      </w:r>
      <w:r w:rsidR="00B37184">
        <w:rPr>
          <w:rStyle w:val="FootnoteReference"/>
          <w:rtl/>
          <w:lang w:val="fr-CH"/>
        </w:rPr>
        <w:footnoteReference w:id="4"/>
      </w:r>
      <w:r w:rsidR="00B37184">
        <w:rPr>
          <w:vertAlign w:val="superscript"/>
          <w:rtl/>
          <w:lang w:val="fr-CH"/>
        </w:rPr>
        <w:t>)</w:t>
      </w:r>
      <w:r>
        <w:rPr>
          <w:rFonts w:hint="cs"/>
          <w:sz w:val="30"/>
          <w:rtl/>
          <w:lang w:val="fr-CH"/>
        </w:rPr>
        <w:t>. وإن فرض أية قيود على ممارستهما يجب أن يتم وفق</w:t>
      </w:r>
      <w:r w:rsidR="0064250B">
        <w:rPr>
          <w:rFonts w:hint="cs"/>
          <w:sz w:val="30"/>
          <w:rtl/>
          <w:lang w:val="fr-CH"/>
        </w:rPr>
        <w:t xml:space="preserve">اً </w:t>
      </w:r>
      <w:r>
        <w:rPr>
          <w:rFonts w:hint="cs"/>
          <w:sz w:val="30"/>
          <w:rtl/>
          <w:lang w:val="fr-CH"/>
        </w:rPr>
        <w:t>لاختبارات صارمة تتعلق بالضرورة والتناسب</w:t>
      </w:r>
      <w:r w:rsidR="00B37184">
        <w:rPr>
          <w:vertAlign w:val="superscript"/>
          <w:rtl/>
          <w:lang w:val="fr-CH"/>
        </w:rPr>
        <w:t>(</w:t>
      </w:r>
      <w:r w:rsidR="00B37184">
        <w:rPr>
          <w:rStyle w:val="FootnoteReference"/>
          <w:rtl/>
          <w:lang w:val="fr-CH"/>
        </w:rPr>
        <w:footnoteReference w:id="5"/>
      </w:r>
      <w:r w:rsidR="00B37184">
        <w:rPr>
          <w:vertAlign w:val="superscript"/>
          <w:rtl/>
          <w:lang w:val="fr-CH"/>
        </w:rPr>
        <w:t>)</w:t>
      </w:r>
      <w:r>
        <w:rPr>
          <w:rFonts w:hint="cs"/>
          <w:sz w:val="30"/>
          <w:rtl/>
          <w:lang w:val="fr-CH"/>
        </w:rPr>
        <w:t>. ولا يجوز تطبيق القيود إلا للأغراض التي وضعت من أجلها كما يجب أن تتعلق مباشرة بالغرض المحدد الذي تأسست عليه</w:t>
      </w:r>
      <w:r w:rsidR="00B37184">
        <w:rPr>
          <w:vertAlign w:val="superscript"/>
          <w:rtl/>
          <w:lang w:val="fr-CH"/>
        </w:rPr>
        <w:t>(</w:t>
      </w:r>
      <w:r w:rsidR="00B37184">
        <w:rPr>
          <w:rStyle w:val="FootnoteReference"/>
          <w:rtl/>
          <w:lang w:val="fr-CH"/>
        </w:rPr>
        <w:footnoteReference w:id="6"/>
      </w:r>
      <w:r w:rsidR="00B37184">
        <w:rPr>
          <w:vertAlign w:val="superscript"/>
          <w:rtl/>
          <w:lang w:val="fr-CH"/>
        </w:rPr>
        <w:t>)</w:t>
      </w:r>
      <w:r w:rsidR="00B37184">
        <w:rPr>
          <w:rFonts w:hint="cs"/>
          <w:sz w:val="30"/>
          <w:rtl/>
          <w:lang w:val="fr-CH"/>
        </w:rPr>
        <w:t>.</w:t>
      </w:r>
    </w:p>
    <w:p w:rsidR="0015080A" w:rsidRDefault="0015080A" w:rsidP="002643E5">
      <w:pPr>
        <w:pStyle w:val="SingleTxtGA"/>
        <w:rPr>
          <w:rFonts w:hint="cs"/>
          <w:sz w:val="30"/>
          <w:rtl/>
          <w:lang w:val="fr-CH"/>
        </w:rPr>
      </w:pPr>
      <w:r>
        <w:rPr>
          <w:rFonts w:hint="cs"/>
          <w:sz w:val="30"/>
          <w:rtl/>
          <w:lang w:val="fr-CH"/>
        </w:rPr>
        <w:t>7</w:t>
      </w:r>
      <w:r w:rsidRPr="0007313B">
        <w:rPr>
          <w:rFonts w:hint="cs"/>
          <w:sz w:val="30"/>
          <w:rtl/>
          <w:lang w:val="fr-CH"/>
        </w:rPr>
        <w:t>-4</w:t>
      </w:r>
      <w:r w:rsidRPr="0007313B">
        <w:rPr>
          <w:rFonts w:hint="cs"/>
          <w:sz w:val="30"/>
          <w:rtl/>
          <w:lang w:val="fr-CH"/>
        </w:rPr>
        <w:tab/>
      </w:r>
      <w:r>
        <w:rPr>
          <w:rFonts w:hint="cs"/>
          <w:sz w:val="30"/>
          <w:rtl/>
          <w:lang w:val="fr-CH"/>
        </w:rPr>
        <w:t>وتلاحظ اللجنة أن حجز المنشورات والحكم بغرامة مالية على صاحب البلاغ الأول وبالاحتجاز الإداري على صاحب البلاغ الثاني قرارات تقيد ممارستهما لحق نشر المعلومات. لذا يجب أن تنظر اللجنة فيما إذا كانت القيود المفروضة على حقوق صاحبي هذين البلاغين مبررة بموجب المعايير المنصوص عليها في الفقرة 3 من المادة 19 من العهد.</w:t>
      </w:r>
    </w:p>
    <w:p w:rsidR="0015080A" w:rsidRDefault="0015080A" w:rsidP="00F80CCF">
      <w:pPr>
        <w:pStyle w:val="SingleTxtGA"/>
        <w:rPr>
          <w:rFonts w:hint="cs"/>
          <w:sz w:val="30"/>
          <w:rtl/>
          <w:lang w:val="fr-CH"/>
        </w:rPr>
      </w:pPr>
      <w:r>
        <w:rPr>
          <w:rFonts w:hint="cs"/>
          <w:sz w:val="30"/>
          <w:rtl/>
          <w:lang w:val="fr-CH"/>
        </w:rPr>
        <w:t>7-5</w:t>
      </w:r>
      <w:r w:rsidR="00F80CCF">
        <w:rPr>
          <w:rFonts w:hint="cs"/>
          <w:sz w:val="30"/>
          <w:rtl/>
          <w:lang w:val="fr-CH"/>
        </w:rPr>
        <w:tab/>
      </w:r>
      <w:r>
        <w:rPr>
          <w:rFonts w:hint="cs"/>
          <w:sz w:val="30"/>
          <w:rtl/>
          <w:lang w:val="fr-CH"/>
        </w:rPr>
        <w:t>وتذكر اللجنة أن الفقرة 3 من المادة 19 من العهد تنص على أنه يجوز فرض بعض القيود لكن شريطة أن تكون محددة بنص القانون وأن تكون ضرورية: (أ) لاحترام حقوق الآخرين أو سمعتهم؛ أو (ب) لحماية الأمن القومي أو النظام العام أو الصحة العامة أو الآداب العامة. وتشير اللجنة إلى أنه يتعين على الدولة في حال فرضت قيود</w:t>
      </w:r>
      <w:r w:rsidR="0064250B">
        <w:rPr>
          <w:rFonts w:hint="cs"/>
          <w:sz w:val="30"/>
          <w:rtl/>
          <w:lang w:val="fr-CH"/>
        </w:rPr>
        <w:t xml:space="preserve">اً </w:t>
      </w:r>
      <w:r>
        <w:rPr>
          <w:rFonts w:hint="cs"/>
          <w:sz w:val="30"/>
          <w:rtl/>
          <w:lang w:val="fr-CH"/>
        </w:rPr>
        <w:t>على الحقوق المكفولة بالفقرة 2 من المادة 19 من العهد أن تبيّن أن هذا التقييد كانا ضروري</w:t>
      </w:r>
      <w:r w:rsidR="0064250B">
        <w:rPr>
          <w:rFonts w:hint="cs"/>
          <w:sz w:val="30"/>
          <w:rtl/>
          <w:lang w:val="fr-CH"/>
        </w:rPr>
        <w:t xml:space="preserve">اً </w:t>
      </w:r>
      <w:r>
        <w:rPr>
          <w:rFonts w:hint="cs"/>
          <w:sz w:val="30"/>
          <w:rtl/>
          <w:lang w:val="fr-CH"/>
        </w:rPr>
        <w:t>في هذه الحالة، وحتى عندما تعتمد الدول الأطراف، من حيث المبدأ، نظام</w:t>
      </w:r>
      <w:r w:rsidR="0064250B">
        <w:rPr>
          <w:rFonts w:hint="cs"/>
          <w:sz w:val="30"/>
          <w:rtl/>
          <w:lang w:val="fr-CH"/>
        </w:rPr>
        <w:t xml:space="preserve">اً </w:t>
      </w:r>
      <w:r>
        <w:rPr>
          <w:rFonts w:hint="cs"/>
          <w:sz w:val="30"/>
          <w:rtl/>
          <w:lang w:val="fr-CH"/>
        </w:rPr>
        <w:t>يهدف إلى التوفيق بين حرية الفرد في نشر المعلومات والمصلحة العامة المتمثلة في الحفاظ على الأمن العام في منطقة ما، يجب أن يعمل هذا النظام على نحو لا يتعارض مع موضوع المادة 19 من العهد وغرضها.</w:t>
      </w:r>
    </w:p>
    <w:p w:rsidR="0015080A" w:rsidRDefault="0015080A" w:rsidP="00F80CCF">
      <w:pPr>
        <w:pStyle w:val="SingleTxtGA"/>
        <w:rPr>
          <w:rFonts w:hint="cs"/>
          <w:sz w:val="30"/>
          <w:rtl/>
          <w:lang w:val="fr-CH"/>
        </w:rPr>
      </w:pPr>
      <w:r>
        <w:rPr>
          <w:rFonts w:hint="cs"/>
          <w:sz w:val="30"/>
          <w:rtl/>
          <w:lang w:val="fr-CH"/>
        </w:rPr>
        <w:t>7-6</w:t>
      </w:r>
      <w:r w:rsidR="00F80CCF">
        <w:rPr>
          <w:rFonts w:hint="cs"/>
          <w:sz w:val="30"/>
          <w:rtl/>
          <w:lang w:val="fr-CH"/>
        </w:rPr>
        <w:tab/>
      </w:r>
      <w:r>
        <w:rPr>
          <w:rFonts w:hint="cs"/>
          <w:sz w:val="30"/>
          <w:rtl/>
          <w:lang w:val="fr-CH"/>
        </w:rPr>
        <w:t xml:space="preserve">وتلاحظ اللجنة ما ادّعاه صاحبا البلاغين من أن السلطات لم تبرر لأغراض الفقرة 3 من المادة 19 من العهد ضرورة تقييد حقهما في نشر معلومات بشأن تنظيم تجمعات سلمية، وإخضاعهما لإجراءات إدارية على أساس احترام حقوق الآخرين أو سمعتهم، أو حماية الأمن القومي أو النظام العام أو الصحة العامة أو الآداب العامة. </w:t>
      </w:r>
    </w:p>
    <w:p w:rsidR="0015080A" w:rsidRDefault="0015080A" w:rsidP="00F80CCF">
      <w:pPr>
        <w:pStyle w:val="SingleTxtGA"/>
        <w:rPr>
          <w:rFonts w:hint="cs"/>
          <w:sz w:val="32"/>
          <w:szCs w:val="32"/>
          <w:rtl/>
          <w:lang w:val="fr-CH"/>
        </w:rPr>
      </w:pPr>
      <w:r>
        <w:rPr>
          <w:rFonts w:hint="cs"/>
          <w:sz w:val="30"/>
          <w:rtl/>
          <w:lang w:val="fr-CH"/>
        </w:rPr>
        <w:t>7-7</w:t>
      </w:r>
      <w:r w:rsidR="00F80CCF">
        <w:rPr>
          <w:rFonts w:hint="cs"/>
          <w:sz w:val="30"/>
          <w:rtl/>
          <w:lang w:val="fr-CH"/>
        </w:rPr>
        <w:tab/>
      </w:r>
      <w:r>
        <w:rPr>
          <w:rFonts w:hint="cs"/>
          <w:sz w:val="30"/>
          <w:rtl/>
          <w:lang w:val="fr-CH"/>
        </w:rPr>
        <w:t>وتلاحظ اللجنة</w:t>
      </w:r>
      <w:r w:rsidR="00934703">
        <w:rPr>
          <w:rFonts w:hint="cs"/>
          <w:sz w:val="30"/>
          <w:rtl/>
          <w:lang w:val="fr-CH"/>
        </w:rPr>
        <w:t xml:space="preserve"> </w:t>
      </w:r>
      <w:r>
        <w:rPr>
          <w:rFonts w:hint="cs"/>
          <w:sz w:val="30"/>
          <w:rtl/>
          <w:lang w:val="fr-CH"/>
        </w:rPr>
        <w:t xml:space="preserve">التوضيح المقدم من الدولة الطرف ويفيد بأن صاحبي البلاغين خضعا لملاحقة إدارية لأنهما وزّعا منشورات وخرقا من ثم أحكام الجزء 1 من المادة 23-34 من قانون المخالفات الإدارية التي تحكم تنظيم التظاهرات الشعبية أو عقدها. وتلاحظ اللجنة أن صاحبي البلاغين عوقبا لنشرهما معلومات بشأن تجمعات احتفالية مقررة دون ترخيص من السلطات المحلية، كما ينص على ذلك قانون التجمعات الشعبية. وتلاحظ اللجنة أن هذا القانون يحظر نشر أي معلومات بشأن اجتماع مقرر قبل الحصول على ترخيص رسمي من السلطات المحلية المختصة، وأن عدم احترام هذا القانون يشكّل مخالفة إدارية بموجب القانون. </w:t>
      </w:r>
      <w:r w:rsidRPr="00D3369F">
        <w:rPr>
          <w:rFonts w:hint="cs"/>
          <w:sz w:val="30"/>
          <w:rtl/>
          <w:lang w:val="fr-CH"/>
        </w:rPr>
        <w:t>وفي هذا السيا</w:t>
      </w:r>
      <w:r>
        <w:rPr>
          <w:rFonts w:hint="cs"/>
          <w:sz w:val="30"/>
          <w:rtl/>
          <w:lang w:val="fr-CH"/>
        </w:rPr>
        <w:t>ق</w:t>
      </w:r>
      <w:r w:rsidRPr="00D3369F">
        <w:rPr>
          <w:rFonts w:hint="cs"/>
          <w:sz w:val="30"/>
          <w:rtl/>
          <w:lang w:val="fr-CH"/>
        </w:rPr>
        <w:t>، تلاحظ اللجنة أيض</w:t>
      </w:r>
      <w:r w:rsidR="0064250B">
        <w:rPr>
          <w:rFonts w:hint="cs"/>
          <w:sz w:val="30"/>
          <w:rtl/>
          <w:lang w:val="fr-CH"/>
        </w:rPr>
        <w:t xml:space="preserve">اً </w:t>
      </w:r>
      <w:r>
        <w:rPr>
          <w:rFonts w:hint="cs"/>
          <w:sz w:val="30"/>
          <w:rtl/>
          <w:lang w:val="fr-CH"/>
        </w:rPr>
        <w:t>أن التوضيح المقدم من</w:t>
      </w:r>
      <w:r w:rsidRPr="00D3369F">
        <w:rPr>
          <w:rFonts w:hint="cs"/>
          <w:sz w:val="30"/>
          <w:rtl/>
          <w:lang w:val="fr-CH"/>
        </w:rPr>
        <w:t xml:space="preserve"> الدولة الطرف يفيد بأن قانون التجمعات الشعبية لا يضبط تنظيم أو عقد التظاهرات الشعبية والاجتماعات والتجمع</w:t>
      </w:r>
      <w:r>
        <w:rPr>
          <w:rFonts w:hint="cs"/>
          <w:sz w:val="30"/>
          <w:rtl/>
          <w:lang w:val="fr-CH"/>
        </w:rPr>
        <w:t xml:space="preserve">ات والمظاهرات </w:t>
      </w:r>
      <w:proofErr w:type="spellStart"/>
      <w:r>
        <w:rPr>
          <w:rFonts w:hint="cs"/>
          <w:sz w:val="30"/>
          <w:rtl/>
          <w:lang w:val="fr-CH"/>
        </w:rPr>
        <w:t>والاعتصامات</w:t>
      </w:r>
      <w:proofErr w:type="spellEnd"/>
      <w:r>
        <w:rPr>
          <w:rFonts w:hint="cs"/>
          <w:sz w:val="30"/>
          <w:rtl/>
          <w:lang w:val="fr-CH"/>
        </w:rPr>
        <w:t xml:space="preserve"> وغيرها من الأحداث</w:t>
      </w:r>
      <w:r w:rsidRPr="00D3369F">
        <w:rPr>
          <w:rFonts w:hint="cs"/>
          <w:sz w:val="30"/>
          <w:rtl/>
          <w:lang w:val="fr-CH"/>
        </w:rPr>
        <w:t xml:space="preserve"> فحسب، وإنما يتوخى أيض</w:t>
      </w:r>
      <w:r w:rsidR="0064250B">
        <w:rPr>
          <w:rFonts w:hint="cs"/>
          <w:sz w:val="30"/>
          <w:rtl/>
          <w:lang w:val="fr-CH"/>
        </w:rPr>
        <w:t xml:space="preserve">اً </w:t>
      </w:r>
      <w:r w:rsidRPr="00D3369F">
        <w:rPr>
          <w:rFonts w:hint="cs"/>
          <w:sz w:val="30"/>
          <w:rtl/>
          <w:lang w:val="fr-CH"/>
        </w:rPr>
        <w:t>توفير الظروف لإعمال حقوق المواطنين وحرياتهم الدستورية من أجل ضمان السلامة العام</w:t>
      </w:r>
      <w:r>
        <w:rPr>
          <w:rFonts w:hint="cs"/>
          <w:sz w:val="30"/>
          <w:rtl/>
          <w:lang w:val="fr-CH"/>
        </w:rPr>
        <w:t>ة</w:t>
      </w:r>
      <w:r w:rsidRPr="00D3369F">
        <w:rPr>
          <w:rFonts w:hint="cs"/>
          <w:sz w:val="30"/>
          <w:rtl/>
          <w:lang w:val="fr-CH"/>
        </w:rPr>
        <w:t xml:space="preserve"> والنظام العام في الأماكن العامة التي تنظم فيها هذه الأحداث. غير أن اللجنة تلاحظ أن الدولة الطرف لم تبي</w:t>
      </w:r>
      <w:r>
        <w:rPr>
          <w:rFonts w:hint="cs"/>
          <w:sz w:val="30"/>
          <w:rtl/>
          <w:lang w:val="fr-CH"/>
        </w:rPr>
        <w:t>ّ</w:t>
      </w:r>
      <w:r w:rsidRPr="00D3369F">
        <w:rPr>
          <w:rFonts w:hint="cs"/>
          <w:sz w:val="30"/>
          <w:rtl/>
          <w:lang w:val="fr-CH"/>
        </w:rPr>
        <w:t xml:space="preserve">ن </w:t>
      </w:r>
      <w:r>
        <w:rPr>
          <w:rFonts w:hint="cs"/>
          <w:sz w:val="30"/>
          <w:rtl/>
          <w:lang w:val="fr-CH"/>
        </w:rPr>
        <w:t>ما إذا كان</w:t>
      </w:r>
      <w:r w:rsidRPr="00D3369F">
        <w:rPr>
          <w:rFonts w:hint="cs"/>
          <w:sz w:val="30"/>
          <w:rtl/>
          <w:lang w:val="fr-CH"/>
        </w:rPr>
        <w:t xml:space="preserve"> الحكم بغرامة على صاحب البلاغ الأول و</w:t>
      </w:r>
      <w:r>
        <w:rPr>
          <w:rFonts w:hint="cs"/>
          <w:sz w:val="30"/>
          <w:rtl/>
          <w:lang w:val="fr-CH"/>
        </w:rPr>
        <w:t>الحكم بال</w:t>
      </w:r>
      <w:r w:rsidRPr="00D3369F">
        <w:rPr>
          <w:rFonts w:hint="cs"/>
          <w:sz w:val="30"/>
          <w:rtl/>
          <w:lang w:val="fr-CH"/>
        </w:rPr>
        <w:t xml:space="preserve">احتجاز </w:t>
      </w:r>
      <w:r>
        <w:rPr>
          <w:rFonts w:hint="cs"/>
          <w:sz w:val="30"/>
          <w:rtl/>
          <w:lang w:val="fr-CH"/>
        </w:rPr>
        <w:t xml:space="preserve">على </w:t>
      </w:r>
      <w:r w:rsidRPr="00D3369F">
        <w:rPr>
          <w:rFonts w:hint="cs"/>
          <w:sz w:val="30"/>
          <w:rtl/>
          <w:lang w:val="fr-CH"/>
        </w:rPr>
        <w:t xml:space="preserve">صاحب البلاغ الثاني، بصرف النظر </w:t>
      </w:r>
      <w:r>
        <w:rPr>
          <w:rFonts w:hint="cs"/>
          <w:sz w:val="30"/>
          <w:rtl/>
          <w:lang w:val="fr-CH"/>
        </w:rPr>
        <w:t>عن استنادهما</w:t>
      </w:r>
      <w:r w:rsidRPr="00D3369F">
        <w:rPr>
          <w:rFonts w:hint="cs"/>
          <w:sz w:val="30"/>
          <w:rtl/>
          <w:lang w:val="fr-CH"/>
        </w:rPr>
        <w:t xml:space="preserve"> إلى قانون</w:t>
      </w:r>
      <w:r>
        <w:rPr>
          <w:rFonts w:hint="cs"/>
          <w:sz w:val="30"/>
          <w:rtl/>
          <w:lang w:val="fr-CH"/>
        </w:rPr>
        <w:t>،</w:t>
      </w:r>
      <w:r w:rsidRPr="00D3369F">
        <w:rPr>
          <w:rFonts w:hint="cs"/>
          <w:sz w:val="30"/>
          <w:rtl/>
          <w:lang w:val="fr-CH"/>
        </w:rPr>
        <w:t xml:space="preserve"> </w:t>
      </w:r>
      <w:r>
        <w:rPr>
          <w:rFonts w:hint="cs"/>
          <w:sz w:val="30"/>
          <w:rtl/>
          <w:lang w:val="fr-CH"/>
        </w:rPr>
        <w:t>أمر</w:t>
      </w:r>
      <w:r w:rsidR="0064250B">
        <w:rPr>
          <w:rFonts w:hint="cs"/>
          <w:sz w:val="30"/>
          <w:rtl/>
          <w:lang w:val="fr-CH"/>
        </w:rPr>
        <w:t xml:space="preserve">اً </w:t>
      </w:r>
      <w:r>
        <w:rPr>
          <w:rFonts w:hint="cs"/>
          <w:sz w:val="30"/>
          <w:rtl/>
          <w:lang w:val="fr-CH"/>
        </w:rPr>
        <w:t>ضروري</w:t>
      </w:r>
      <w:r w:rsidR="0064250B">
        <w:rPr>
          <w:rFonts w:hint="cs"/>
          <w:sz w:val="30"/>
          <w:rtl/>
          <w:lang w:val="fr-CH"/>
        </w:rPr>
        <w:t xml:space="preserve">اً </w:t>
      </w:r>
      <w:r w:rsidRPr="00D3369F">
        <w:rPr>
          <w:rFonts w:hint="cs"/>
          <w:sz w:val="30"/>
          <w:rtl/>
          <w:lang w:val="fr-CH"/>
        </w:rPr>
        <w:t xml:space="preserve">لأحد </w:t>
      </w:r>
      <w:r>
        <w:rPr>
          <w:rFonts w:hint="cs"/>
          <w:sz w:val="30"/>
          <w:rtl/>
          <w:lang w:val="fr-CH"/>
        </w:rPr>
        <w:t>ال</w:t>
      </w:r>
      <w:r w:rsidRPr="00D3369F">
        <w:rPr>
          <w:rFonts w:hint="cs"/>
          <w:sz w:val="30"/>
          <w:rtl/>
          <w:lang w:val="fr-CH"/>
        </w:rPr>
        <w:t>أغراض</w:t>
      </w:r>
      <w:r>
        <w:rPr>
          <w:rFonts w:hint="cs"/>
          <w:sz w:val="30"/>
          <w:rtl/>
          <w:lang w:val="fr-CH"/>
        </w:rPr>
        <w:t xml:space="preserve"> المشروعة الواردة في</w:t>
      </w:r>
      <w:r w:rsidRPr="00D3369F">
        <w:rPr>
          <w:rFonts w:hint="cs"/>
          <w:sz w:val="30"/>
          <w:rtl/>
          <w:lang w:val="fr-CH"/>
        </w:rPr>
        <w:t xml:space="preserve"> الفقرة 3 من المادة 19 من العهد</w:t>
      </w:r>
      <w:r w:rsidR="00B37184">
        <w:rPr>
          <w:vertAlign w:val="superscript"/>
          <w:rtl/>
          <w:lang w:val="fr-CH"/>
        </w:rPr>
        <w:t>(</w:t>
      </w:r>
      <w:r w:rsidR="00B37184">
        <w:rPr>
          <w:rStyle w:val="FootnoteReference"/>
          <w:rtl/>
          <w:lang w:val="fr-CH"/>
        </w:rPr>
        <w:footnoteReference w:id="7"/>
      </w:r>
      <w:r w:rsidR="00B37184">
        <w:rPr>
          <w:vertAlign w:val="superscript"/>
          <w:rtl/>
          <w:lang w:val="fr-CH"/>
        </w:rPr>
        <w:t>)</w:t>
      </w:r>
      <w:r w:rsidRPr="00D3369F">
        <w:rPr>
          <w:rFonts w:hint="cs"/>
          <w:sz w:val="30"/>
          <w:rtl/>
          <w:lang w:val="fr-CH"/>
        </w:rPr>
        <w:t>.</w:t>
      </w:r>
    </w:p>
    <w:p w:rsidR="0015080A" w:rsidRDefault="0015080A" w:rsidP="00F56F3C">
      <w:pPr>
        <w:pStyle w:val="SingleTxtGA"/>
        <w:rPr>
          <w:rFonts w:hint="cs"/>
          <w:sz w:val="30"/>
          <w:rtl/>
          <w:lang w:val="fr-CH"/>
        </w:rPr>
      </w:pPr>
      <w:r>
        <w:rPr>
          <w:rFonts w:hint="cs"/>
          <w:sz w:val="32"/>
          <w:szCs w:val="32"/>
          <w:rtl/>
          <w:lang w:val="fr-CH"/>
        </w:rPr>
        <w:t>7</w:t>
      </w:r>
      <w:r w:rsidRPr="00623247">
        <w:rPr>
          <w:rFonts w:hint="cs"/>
          <w:sz w:val="30"/>
          <w:rtl/>
          <w:lang w:val="fr-CH"/>
        </w:rPr>
        <w:t>-8</w:t>
      </w:r>
      <w:r w:rsidR="00F56F3C">
        <w:rPr>
          <w:rFonts w:hint="cs"/>
          <w:sz w:val="30"/>
          <w:rtl/>
          <w:lang w:val="fr-CH"/>
        </w:rPr>
        <w:tab/>
      </w:r>
      <w:r w:rsidRPr="00623247">
        <w:rPr>
          <w:rFonts w:hint="cs"/>
          <w:sz w:val="30"/>
          <w:rtl/>
          <w:lang w:val="fr-CH"/>
        </w:rPr>
        <w:t>وتذك</w:t>
      </w:r>
      <w:r>
        <w:rPr>
          <w:rFonts w:hint="cs"/>
          <w:sz w:val="30"/>
          <w:rtl/>
          <w:lang w:val="fr-CH"/>
        </w:rPr>
        <w:t>ّ</w:t>
      </w:r>
      <w:r w:rsidRPr="00623247">
        <w:rPr>
          <w:rFonts w:hint="cs"/>
          <w:sz w:val="30"/>
          <w:rtl/>
          <w:lang w:val="fr-CH"/>
        </w:rPr>
        <w:t xml:space="preserve">ر اللجنة </w:t>
      </w:r>
      <w:r>
        <w:rPr>
          <w:rFonts w:hint="cs"/>
          <w:sz w:val="30"/>
          <w:rtl/>
          <w:lang w:val="fr-CH"/>
        </w:rPr>
        <w:t>ب</w:t>
      </w:r>
      <w:r w:rsidRPr="00623247">
        <w:rPr>
          <w:rFonts w:hint="cs"/>
          <w:sz w:val="30"/>
          <w:rtl/>
          <w:lang w:val="fr-CH"/>
        </w:rPr>
        <w:t>أن القيود يجب ألا تكون مفرطة وأنه يجب احترام مبدأ التناسب لا في القانون الذي ي</w:t>
      </w:r>
      <w:r>
        <w:rPr>
          <w:rFonts w:hint="cs"/>
          <w:sz w:val="30"/>
          <w:rtl/>
          <w:lang w:val="fr-CH"/>
        </w:rPr>
        <w:t>نظم</w:t>
      </w:r>
      <w:r w:rsidRPr="00623247">
        <w:rPr>
          <w:rFonts w:hint="cs"/>
          <w:sz w:val="30"/>
          <w:rtl/>
          <w:lang w:val="fr-CH"/>
        </w:rPr>
        <w:t xml:space="preserve"> القيود فحسب وإنما أيض</w:t>
      </w:r>
      <w:r w:rsidR="0064250B">
        <w:rPr>
          <w:rFonts w:hint="cs"/>
          <w:sz w:val="30"/>
          <w:rtl/>
          <w:lang w:val="fr-CH"/>
        </w:rPr>
        <w:t xml:space="preserve">اً </w:t>
      </w:r>
      <w:r>
        <w:rPr>
          <w:rFonts w:hint="cs"/>
          <w:sz w:val="30"/>
          <w:rtl/>
          <w:lang w:val="fr-CH"/>
        </w:rPr>
        <w:t xml:space="preserve">في سياق تنفيذه </w:t>
      </w:r>
      <w:r w:rsidRPr="00623247">
        <w:rPr>
          <w:rFonts w:hint="cs"/>
          <w:sz w:val="30"/>
          <w:rtl/>
          <w:lang w:val="fr-CH"/>
        </w:rPr>
        <w:t>من قبل السلطات الإدارية والقضائية</w:t>
      </w:r>
      <w:r w:rsidR="00B37184">
        <w:rPr>
          <w:vertAlign w:val="superscript"/>
          <w:rtl/>
          <w:lang w:val="fr-CH"/>
        </w:rPr>
        <w:t>(</w:t>
      </w:r>
      <w:r w:rsidR="00B37184">
        <w:rPr>
          <w:rStyle w:val="FootnoteReference"/>
          <w:rtl/>
          <w:lang w:val="fr-CH"/>
        </w:rPr>
        <w:footnoteReference w:id="8"/>
      </w:r>
      <w:r w:rsidR="00B37184">
        <w:rPr>
          <w:vertAlign w:val="superscript"/>
          <w:rtl/>
          <w:lang w:val="fr-CH"/>
        </w:rPr>
        <w:t>)</w:t>
      </w:r>
      <w:r w:rsidRPr="00623247">
        <w:rPr>
          <w:rFonts w:hint="cs"/>
          <w:sz w:val="30"/>
          <w:rtl/>
          <w:lang w:val="fr-CH"/>
        </w:rPr>
        <w:t>. ولاحظت اللجنة في تعليقها العام رقم 34 أنه عندما تحتج دولة طرف بأساس مشروع لفرض قيود على حرية التعبير، فإن عليها أن تثبت بطريقة محددة وخاصة بكل حالة على حدة الطبيعة المحددة للتهديد، وضرورة الإجراء المعين المتخذ ومدى تناسب</w:t>
      </w:r>
      <w:r>
        <w:rPr>
          <w:rFonts w:hint="cs"/>
          <w:sz w:val="30"/>
          <w:rtl/>
          <w:lang w:val="fr-CH"/>
        </w:rPr>
        <w:t>ه مع التهديد</w:t>
      </w:r>
      <w:r w:rsidRPr="00623247">
        <w:rPr>
          <w:rFonts w:hint="cs"/>
          <w:sz w:val="30"/>
          <w:rtl/>
          <w:lang w:val="fr-CH"/>
        </w:rPr>
        <w:t>، و</w:t>
      </w:r>
      <w:r w:rsidR="00934703">
        <w:rPr>
          <w:rFonts w:hint="cs"/>
          <w:sz w:val="30"/>
          <w:rtl/>
          <w:lang w:val="fr-CH"/>
        </w:rPr>
        <w:t>لا </w:t>
      </w:r>
      <w:proofErr w:type="spellStart"/>
      <w:r w:rsidR="00934703">
        <w:rPr>
          <w:rFonts w:hint="cs"/>
          <w:sz w:val="30"/>
          <w:rtl/>
          <w:lang w:val="fr-CH"/>
        </w:rPr>
        <w:t>سيما</w:t>
      </w:r>
      <w:proofErr w:type="spellEnd"/>
      <w:r w:rsidRPr="00623247">
        <w:rPr>
          <w:rFonts w:hint="cs"/>
          <w:sz w:val="30"/>
          <w:rtl/>
          <w:lang w:val="fr-CH"/>
        </w:rPr>
        <w:t xml:space="preserve"> بإقامة صلة مباشرة وواضحة بين التعبير والتهديد</w:t>
      </w:r>
      <w:r w:rsidR="00B37184">
        <w:rPr>
          <w:vertAlign w:val="superscript"/>
          <w:rtl/>
          <w:lang w:val="fr-CH"/>
        </w:rPr>
        <w:t>(</w:t>
      </w:r>
      <w:r w:rsidR="00B37184">
        <w:rPr>
          <w:rStyle w:val="FootnoteReference"/>
          <w:rtl/>
          <w:lang w:val="fr-CH"/>
        </w:rPr>
        <w:footnoteReference w:id="9"/>
      </w:r>
      <w:r w:rsidR="00B37184">
        <w:rPr>
          <w:vertAlign w:val="superscript"/>
          <w:rtl/>
          <w:lang w:val="fr-CH"/>
        </w:rPr>
        <w:t>)</w:t>
      </w:r>
      <w:r w:rsidRPr="00623247">
        <w:rPr>
          <w:rFonts w:hint="cs"/>
          <w:sz w:val="30"/>
          <w:rtl/>
          <w:lang w:val="fr-CH"/>
        </w:rPr>
        <w:t xml:space="preserve">. ولأن </w:t>
      </w:r>
      <w:r>
        <w:rPr>
          <w:rFonts w:hint="cs"/>
          <w:sz w:val="30"/>
          <w:rtl/>
          <w:lang w:val="fr-CH"/>
        </w:rPr>
        <w:t xml:space="preserve">محكمة </w:t>
      </w:r>
      <w:proofErr w:type="spellStart"/>
      <w:r>
        <w:rPr>
          <w:rFonts w:hint="cs"/>
          <w:sz w:val="30"/>
          <w:rtl/>
          <w:lang w:val="fr-CH"/>
        </w:rPr>
        <w:t>غوميل</w:t>
      </w:r>
      <w:proofErr w:type="spellEnd"/>
      <w:r>
        <w:rPr>
          <w:rFonts w:hint="cs"/>
          <w:sz w:val="30"/>
          <w:rtl/>
          <w:lang w:val="fr-CH"/>
        </w:rPr>
        <w:t xml:space="preserve"> الإقليمية لم تنظر في مسألة ما إذا كان تقييد حق صاحبي البلاغين في نشر المعلومات ضروري</w:t>
      </w:r>
      <w:r w:rsidR="0064250B">
        <w:rPr>
          <w:rFonts w:hint="cs"/>
          <w:sz w:val="30"/>
          <w:rtl/>
          <w:lang w:val="fr-CH"/>
        </w:rPr>
        <w:t xml:space="preserve">اً </w:t>
      </w:r>
      <w:r>
        <w:rPr>
          <w:rFonts w:hint="cs"/>
          <w:sz w:val="30"/>
          <w:rtl/>
          <w:lang w:val="fr-CH"/>
        </w:rPr>
        <w:t>أم لا لأغراض الفقرة 3 من المادة 19 من العهد، ترى اللجنة، في غياب أي معلومات أخرى ذات صلة لتبرير قرارات السلطات، أن الدولة الطرف لم تبين في هذه الحالة أن القيود المفروضة على حقوق صاحبي البلاغين تستجيب للمعايير المنصوص عليها في الفقرة 3 من المادة 19 من العهد. وهكذا تخلص اللجنة إلى أن الدولة الطرف انتهكت حقوق صاحبي البلاغين المكفولة في الفقرة 2 من المادة 19 من العهد.</w:t>
      </w:r>
    </w:p>
    <w:p w:rsidR="0015080A" w:rsidRDefault="0015080A" w:rsidP="00F56F3C">
      <w:pPr>
        <w:pStyle w:val="SingleTxtGA"/>
        <w:rPr>
          <w:rFonts w:hint="cs"/>
          <w:sz w:val="30"/>
          <w:rtl/>
          <w:lang w:val="fr-CH"/>
        </w:rPr>
      </w:pPr>
      <w:r>
        <w:rPr>
          <w:rFonts w:hint="cs"/>
          <w:sz w:val="30"/>
          <w:rtl/>
          <w:lang w:val="fr-CH"/>
        </w:rPr>
        <w:t>7-9</w:t>
      </w:r>
      <w:r w:rsidR="00F56F3C">
        <w:rPr>
          <w:rFonts w:hint="cs"/>
          <w:sz w:val="30"/>
          <w:rtl/>
          <w:lang w:val="fr-CH"/>
        </w:rPr>
        <w:tab/>
      </w:r>
      <w:r>
        <w:rPr>
          <w:rFonts w:hint="cs"/>
          <w:sz w:val="30"/>
          <w:rtl/>
          <w:lang w:val="fr-CH"/>
        </w:rPr>
        <w:t>وفي ضوء هذه النتيجة، تقرر اللجنة عدم النظر على نحو منفصل في ادعاءات صاحبي البلاغين بموجب المادة 21 من العهد.</w:t>
      </w:r>
    </w:p>
    <w:p w:rsidR="0015080A" w:rsidRDefault="0015080A" w:rsidP="00F56F3C">
      <w:pPr>
        <w:pStyle w:val="SingleTxtGA"/>
        <w:rPr>
          <w:rFonts w:hint="cs"/>
          <w:sz w:val="30"/>
          <w:rtl/>
          <w:lang w:val="fr-CH"/>
        </w:rPr>
      </w:pPr>
      <w:r>
        <w:rPr>
          <w:rFonts w:hint="cs"/>
          <w:sz w:val="30"/>
          <w:rtl/>
          <w:lang w:val="fr-CH"/>
        </w:rPr>
        <w:t>8-</w:t>
      </w:r>
      <w:r w:rsidR="00F56F3C">
        <w:rPr>
          <w:rFonts w:hint="cs"/>
          <w:sz w:val="30"/>
          <w:rtl/>
          <w:lang w:val="fr-CH"/>
        </w:rPr>
        <w:tab/>
      </w:r>
      <w:r>
        <w:rPr>
          <w:rFonts w:hint="cs"/>
          <w:sz w:val="30"/>
          <w:rtl/>
          <w:lang w:val="fr-CH"/>
        </w:rPr>
        <w:t>واللجنة المعنية بحقوق الإنسان، إذ تتصرف بموجب الفقرة 4 من المادة 5 من البروتوكول الاختياري الملحق بالعهد الدولي الخاص بالحقوق المدنية والسياسية، ترى أن المعلومات المعروضة عليها تكشف عن انتهاك للفقرة 2 من المادة 19 من العهد.</w:t>
      </w:r>
    </w:p>
    <w:p w:rsidR="0015080A" w:rsidRPr="00623247" w:rsidRDefault="0015080A" w:rsidP="00F56F3C">
      <w:pPr>
        <w:pStyle w:val="SingleTxtGA"/>
        <w:rPr>
          <w:rFonts w:hint="cs"/>
          <w:sz w:val="30"/>
          <w:rtl/>
          <w:lang w:val="fr-CH"/>
        </w:rPr>
      </w:pPr>
      <w:r>
        <w:rPr>
          <w:rFonts w:hint="cs"/>
          <w:sz w:val="30"/>
          <w:rtl/>
          <w:lang w:val="fr-CH"/>
        </w:rPr>
        <w:t>9-</w:t>
      </w:r>
      <w:r w:rsidR="00F56F3C">
        <w:rPr>
          <w:rFonts w:hint="cs"/>
          <w:sz w:val="30"/>
          <w:rtl/>
          <w:lang w:val="fr-CH"/>
        </w:rPr>
        <w:tab/>
      </w:r>
      <w:r>
        <w:rPr>
          <w:rFonts w:hint="cs"/>
          <w:sz w:val="30"/>
          <w:rtl/>
          <w:lang w:val="fr-CH"/>
        </w:rPr>
        <w:t>وعمل</w:t>
      </w:r>
      <w:r w:rsidR="0064250B">
        <w:rPr>
          <w:rFonts w:hint="cs"/>
          <w:sz w:val="30"/>
          <w:rtl/>
          <w:lang w:val="fr-CH"/>
        </w:rPr>
        <w:t xml:space="preserve">اً </w:t>
      </w:r>
      <w:r>
        <w:rPr>
          <w:rFonts w:hint="cs"/>
          <w:sz w:val="30"/>
          <w:rtl/>
          <w:lang w:val="fr-CH"/>
        </w:rPr>
        <w:t>بأحكام الفقرة 3(أ) من المادة 2 من العهد، يتعين على الدولة الطرف أن توفر لصاحبي البلاغين سبيل انتصاف فعال</w:t>
      </w:r>
      <w:r w:rsidR="0064250B">
        <w:rPr>
          <w:rFonts w:hint="cs"/>
          <w:sz w:val="30"/>
          <w:rtl/>
          <w:lang w:val="fr-CH"/>
        </w:rPr>
        <w:t>اً،</w:t>
      </w:r>
      <w:r>
        <w:rPr>
          <w:rFonts w:hint="cs"/>
          <w:sz w:val="30"/>
          <w:rtl/>
          <w:lang w:val="fr-CH"/>
        </w:rPr>
        <w:t xml:space="preserve"> من خلال سداد القيمة الحالية للغرامة وأي تكاليف أخرى تحمّلها صاحبا البلاغين في إطار هذه القضية، ومنحهما تعويضات مناسبة، بما</w:t>
      </w:r>
      <w:r w:rsidR="00F56F3C">
        <w:rPr>
          <w:rFonts w:hint="eastAsia"/>
          <w:sz w:val="30"/>
          <w:rtl/>
          <w:lang w:val="fr-CH"/>
        </w:rPr>
        <w:t> </w:t>
      </w:r>
      <w:r>
        <w:rPr>
          <w:rFonts w:hint="cs"/>
          <w:sz w:val="30"/>
          <w:rtl/>
          <w:lang w:val="fr-CH"/>
        </w:rPr>
        <w:t>في ذلك التعويض عن الاحتجاز لمدة خمسة أيام. والدولة الطرف ملزمة أيضاً بمنع حدوث انتهاكات مماثلة مستقبل</w:t>
      </w:r>
      <w:r w:rsidR="0064250B">
        <w:rPr>
          <w:rFonts w:hint="cs"/>
          <w:sz w:val="30"/>
          <w:rtl/>
          <w:lang w:val="fr-CH"/>
        </w:rPr>
        <w:t>اً.</w:t>
      </w:r>
      <w:r>
        <w:rPr>
          <w:rFonts w:hint="cs"/>
          <w:sz w:val="30"/>
          <w:rtl/>
          <w:lang w:val="fr-CH"/>
        </w:rPr>
        <w:t xml:space="preserve"> ولهذا الغرض يتعين على الدولة الطرف إعادة النظر في تشريعها، و</w:t>
      </w:r>
      <w:r w:rsidR="00934703">
        <w:rPr>
          <w:rFonts w:hint="cs"/>
          <w:sz w:val="30"/>
          <w:rtl/>
          <w:lang w:val="fr-CH"/>
        </w:rPr>
        <w:t>لا </w:t>
      </w:r>
      <w:proofErr w:type="spellStart"/>
      <w:r w:rsidR="00934703">
        <w:rPr>
          <w:rFonts w:hint="cs"/>
          <w:sz w:val="30"/>
          <w:rtl/>
          <w:lang w:val="fr-CH"/>
        </w:rPr>
        <w:t>سيما</w:t>
      </w:r>
      <w:proofErr w:type="spellEnd"/>
      <w:r>
        <w:rPr>
          <w:rFonts w:hint="cs"/>
          <w:sz w:val="30"/>
          <w:rtl/>
          <w:lang w:val="fr-CH"/>
        </w:rPr>
        <w:t xml:space="preserve"> قانون التجمعات الشعبية، وفي تنفيذه لضمان تطابقه مع المادة 19 من العهد. </w:t>
      </w:r>
    </w:p>
    <w:p w:rsidR="0015080A" w:rsidRPr="0007313B" w:rsidRDefault="0015080A" w:rsidP="006D20D3">
      <w:pPr>
        <w:pStyle w:val="SingleTxtGA"/>
        <w:rPr>
          <w:rFonts w:hint="cs"/>
          <w:sz w:val="30"/>
          <w:rtl/>
          <w:lang w:val="fr-CH"/>
        </w:rPr>
      </w:pPr>
      <w:r>
        <w:rPr>
          <w:rFonts w:hint="cs"/>
          <w:sz w:val="30"/>
          <w:rtl/>
          <w:lang w:val="fr-CH"/>
        </w:rPr>
        <w:t>10</w:t>
      </w:r>
      <w:r w:rsidRPr="0007313B">
        <w:rPr>
          <w:rFonts w:hint="cs"/>
          <w:sz w:val="30"/>
          <w:rtl/>
          <w:lang w:val="fr-CH"/>
        </w:rPr>
        <w:t>-</w:t>
      </w:r>
      <w:r w:rsidRPr="0007313B">
        <w:rPr>
          <w:rFonts w:hint="cs"/>
          <w:sz w:val="30"/>
          <w:rtl/>
          <w:lang w:val="fr-CH"/>
        </w:rPr>
        <w:tab/>
        <w:t>وإذ تضع اللجنة في اعتبارها أن الدولة الطرف قد اعترفت</w:t>
      </w:r>
      <w:r>
        <w:rPr>
          <w:rFonts w:hint="cs"/>
          <w:sz w:val="30"/>
          <w:rtl/>
          <w:lang w:val="fr-CH"/>
        </w:rPr>
        <w:t>،</w:t>
      </w:r>
      <w:r w:rsidRPr="0007313B">
        <w:rPr>
          <w:rFonts w:hint="cs"/>
          <w:sz w:val="30"/>
          <w:rtl/>
          <w:lang w:val="fr-CH"/>
        </w:rPr>
        <w:t xml:space="preserve"> لدى انضمامها إلى البروتوكول الاختياري</w:t>
      </w:r>
      <w:r>
        <w:rPr>
          <w:rFonts w:hint="cs"/>
          <w:sz w:val="30"/>
          <w:rtl/>
          <w:lang w:val="fr-CH"/>
        </w:rPr>
        <w:t>،</w:t>
      </w:r>
      <w:r w:rsidRPr="0007313B">
        <w:rPr>
          <w:rFonts w:hint="cs"/>
          <w:sz w:val="30"/>
          <w:rtl/>
          <w:lang w:val="fr-CH"/>
        </w:rPr>
        <w:t xml:space="preserve"> باختصاص اللجنة في تحديد ما إذا كان قد حدث انتهاك للعهد أم</w:t>
      </w:r>
      <w:r>
        <w:rPr>
          <w:rFonts w:hint="eastAsia"/>
          <w:sz w:val="30"/>
          <w:rtl/>
          <w:lang w:val="fr-CH"/>
        </w:rPr>
        <w:t> </w:t>
      </w:r>
      <w:r w:rsidRPr="0007313B">
        <w:rPr>
          <w:rFonts w:hint="cs"/>
          <w:sz w:val="30"/>
          <w:rtl/>
          <w:lang w:val="fr-CH"/>
        </w:rPr>
        <w:t>لا، وأنها تعهدت بمقتضى المادة 2 من العهد بأن تكفل لجميع الأفراد الموجودين في إقليمها</w:t>
      </w:r>
      <w:r w:rsidR="006D20D3">
        <w:rPr>
          <w:rFonts w:hint="eastAsia"/>
          <w:sz w:val="30"/>
          <w:rtl/>
          <w:lang w:val="fr-CH"/>
        </w:rPr>
        <w:t> </w:t>
      </w:r>
      <w:r w:rsidRPr="0007313B">
        <w:rPr>
          <w:rFonts w:hint="cs"/>
          <w:sz w:val="30"/>
          <w:rtl/>
          <w:lang w:val="fr-CH"/>
        </w:rPr>
        <w:t>أو الخاضعين لولايتها الحقوق المعترف بها في العهد وأن تتيح لهم سبل انتصاف فعالة وقابلة للإنفاذ إذا ثبت حدوث انتهاك، تود</w:t>
      </w:r>
      <w:r>
        <w:rPr>
          <w:rFonts w:hint="cs"/>
          <w:sz w:val="30"/>
          <w:rtl/>
          <w:lang w:val="fr-CH"/>
        </w:rPr>
        <w:t>ّ</w:t>
      </w:r>
      <w:r w:rsidRPr="0007313B">
        <w:rPr>
          <w:rFonts w:hint="cs"/>
          <w:sz w:val="30"/>
          <w:rtl/>
          <w:lang w:val="fr-CH"/>
        </w:rPr>
        <w:t xml:space="preserve"> أن تتلقى من الدولة الطرف</w:t>
      </w:r>
      <w:r>
        <w:rPr>
          <w:rFonts w:hint="cs"/>
          <w:sz w:val="30"/>
          <w:rtl/>
          <w:lang w:val="fr-CH"/>
        </w:rPr>
        <w:t>،</w:t>
      </w:r>
      <w:r w:rsidRPr="0007313B">
        <w:rPr>
          <w:rFonts w:hint="cs"/>
          <w:sz w:val="30"/>
          <w:rtl/>
          <w:lang w:val="fr-CH"/>
        </w:rPr>
        <w:t xml:space="preserve"> في غضون 180 يوماً</w:t>
      </w:r>
      <w:r>
        <w:rPr>
          <w:rFonts w:hint="cs"/>
          <w:sz w:val="30"/>
          <w:rtl/>
          <w:lang w:val="fr-CH"/>
        </w:rPr>
        <w:t>،</w:t>
      </w:r>
      <w:r w:rsidRPr="0007313B">
        <w:rPr>
          <w:rFonts w:hint="cs"/>
          <w:sz w:val="30"/>
          <w:rtl/>
          <w:lang w:val="fr-CH"/>
        </w:rPr>
        <w:t xml:space="preserve"> معلومات عن التدابير المتخذة لوضع آراء اللجنة </w:t>
      </w:r>
      <w:r>
        <w:rPr>
          <w:rFonts w:hint="cs"/>
          <w:sz w:val="30"/>
          <w:rtl/>
          <w:lang w:val="fr-CH"/>
        </w:rPr>
        <w:t xml:space="preserve">هذه </w:t>
      </w:r>
      <w:r w:rsidRPr="0007313B">
        <w:rPr>
          <w:rFonts w:hint="cs"/>
          <w:sz w:val="30"/>
          <w:rtl/>
          <w:lang w:val="fr-CH"/>
        </w:rPr>
        <w:t>موضع التنفيذ. ويُطلب من الدولة الطرف أيضاً أن تنشر آراء اللجنة وتعم</w:t>
      </w:r>
      <w:r>
        <w:rPr>
          <w:rFonts w:hint="cs"/>
          <w:sz w:val="30"/>
          <w:rtl/>
          <w:lang w:val="fr-CH"/>
        </w:rPr>
        <w:t>ّ</w:t>
      </w:r>
      <w:r w:rsidRPr="0007313B">
        <w:rPr>
          <w:rFonts w:hint="cs"/>
          <w:sz w:val="30"/>
          <w:rtl/>
          <w:lang w:val="fr-CH"/>
        </w:rPr>
        <w:t xml:space="preserve">مها على نطاق واسع </w:t>
      </w:r>
      <w:r>
        <w:rPr>
          <w:rFonts w:hint="cs"/>
          <w:sz w:val="30"/>
          <w:rtl/>
          <w:lang w:val="fr-CH"/>
        </w:rPr>
        <w:t xml:space="preserve">في الدولة الطرف </w:t>
      </w:r>
      <w:r w:rsidRPr="0007313B">
        <w:rPr>
          <w:rFonts w:hint="cs"/>
          <w:sz w:val="30"/>
          <w:rtl/>
          <w:lang w:val="fr-CH"/>
        </w:rPr>
        <w:t xml:space="preserve">باللغتين </w:t>
      </w:r>
      <w:proofErr w:type="spellStart"/>
      <w:r w:rsidRPr="0007313B">
        <w:rPr>
          <w:rFonts w:hint="cs"/>
          <w:sz w:val="30"/>
          <w:rtl/>
          <w:lang w:val="fr-CH"/>
        </w:rPr>
        <w:t>البيلاروسية</w:t>
      </w:r>
      <w:proofErr w:type="spellEnd"/>
      <w:r w:rsidRPr="0007313B">
        <w:rPr>
          <w:rFonts w:hint="cs"/>
          <w:sz w:val="30"/>
          <w:rtl/>
          <w:lang w:val="fr-CH"/>
        </w:rPr>
        <w:t xml:space="preserve"> والروسية. </w:t>
      </w:r>
    </w:p>
    <w:p w:rsidR="0015080A" w:rsidRPr="0007313B" w:rsidRDefault="0015080A" w:rsidP="002643E5">
      <w:pPr>
        <w:pStyle w:val="SingleTxtGA"/>
        <w:rPr>
          <w:rFonts w:hint="cs"/>
          <w:sz w:val="30"/>
          <w:rtl/>
          <w:lang w:val="fr-CH"/>
        </w:rPr>
      </w:pPr>
      <w:r w:rsidRPr="0007313B">
        <w:rPr>
          <w:rFonts w:hint="cs"/>
          <w:sz w:val="30"/>
          <w:rtl/>
          <w:lang w:val="fr-CH"/>
        </w:rPr>
        <w:t>[اعتُمدت بالإسبانية والإنكليزية والفرنسية، علماً بأن النص الإنكليزي هو النص الأصلي. وستصدر لاحقاً بالروسية والصينية والعربية أيضاً كجزء من تقرير اللجنة السنوي المقدم إلى الجمعية العامة.]</w:t>
      </w:r>
    </w:p>
    <w:p w:rsidR="008B4BC6" w:rsidRPr="002643E5" w:rsidRDefault="002643E5" w:rsidP="002643E5">
      <w:pPr>
        <w:spacing w:before="120"/>
        <w:jc w:val="center"/>
        <w:rPr>
          <w:rFonts w:hint="cs"/>
          <w:u w:val="single"/>
          <w:rtl/>
        </w:rPr>
      </w:pPr>
      <w:r>
        <w:rPr>
          <w:u w:val="single"/>
          <w:rtl/>
        </w:rPr>
        <w:tab/>
      </w:r>
      <w:r>
        <w:rPr>
          <w:u w:val="single"/>
          <w:rtl/>
        </w:rPr>
        <w:tab/>
      </w:r>
      <w:r>
        <w:rPr>
          <w:u w:val="single"/>
          <w:rtl/>
        </w:rPr>
        <w:tab/>
      </w:r>
    </w:p>
    <w:sectPr w:rsidR="008B4BC6" w:rsidRPr="002643E5"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387" w:rsidRPr="00FE6865" w:rsidRDefault="00DF5387" w:rsidP="00FE6865">
      <w:pPr>
        <w:pStyle w:val="Footer"/>
      </w:pPr>
    </w:p>
  </w:endnote>
  <w:endnote w:type="continuationSeparator" w:id="0">
    <w:p w:rsidR="00DF5387" w:rsidRDefault="00DF5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3C" w:rsidRPr="0015080A" w:rsidRDefault="00F56F3C" w:rsidP="0015080A">
    <w:pPr>
      <w:pStyle w:val="Footer"/>
      <w:tabs>
        <w:tab w:val="right" w:pos="9598"/>
      </w:tabs>
    </w:pPr>
    <w:r>
      <w:t>GE.13-49298</w:t>
    </w:r>
    <w:r>
      <w:tab/>
    </w:r>
    <w:r w:rsidRPr="0015080A">
      <w:rPr>
        <w:b/>
        <w:sz w:val="18"/>
      </w:rPr>
      <w:fldChar w:fldCharType="begin"/>
    </w:r>
    <w:r w:rsidRPr="0015080A">
      <w:rPr>
        <w:b/>
        <w:sz w:val="18"/>
      </w:rPr>
      <w:instrText xml:space="preserve"> PAGE  \* MERGEFORMAT </w:instrText>
    </w:r>
    <w:r w:rsidRPr="0015080A">
      <w:rPr>
        <w:b/>
        <w:sz w:val="18"/>
      </w:rPr>
      <w:fldChar w:fldCharType="separate"/>
    </w:r>
    <w:r w:rsidR="00167948">
      <w:rPr>
        <w:b/>
        <w:noProof/>
        <w:sz w:val="18"/>
      </w:rPr>
      <w:t>2</w:t>
    </w:r>
    <w:r w:rsidRPr="0015080A">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3C" w:rsidRPr="0015080A" w:rsidRDefault="00F56F3C" w:rsidP="0015080A">
    <w:pPr>
      <w:pStyle w:val="Footer"/>
      <w:tabs>
        <w:tab w:val="right" w:pos="9598"/>
      </w:tabs>
      <w:rPr>
        <w:b/>
        <w:sz w:val="18"/>
      </w:rPr>
    </w:pPr>
    <w:r w:rsidRPr="0015080A">
      <w:rPr>
        <w:b/>
        <w:sz w:val="18"/>
      </w:rPr>
      <w:fldChar w:fldCharType="begin"/>
    </w:r>
    <w:r w:rsidRPr="0015080A">
      <w:rPr>
        <w:b/>
        <w:sz w:val="18"/>
      </w:rPr>
      <w:instrText xml:space="preserve"> PAGE  \* MERGEFORMAT </w:instrText>
    </w:r>
    <w:r w:rsidRPr="0015080A">
      <w:rPr>
        <w:b/>
        <w:sz w:val="18"/>
      </w:rPr>
      <w:fldChar w:fldCharType="separate"/>
    </w:r>
    <w:r w:rsidR="00167948">
      <w:rPr>
        <w:b/>
        <w:noProof/>
        <w:sz w:val="18"/>
      </w:rPr>
      <w:t>3</w:t>
    </w:r>
    <w:r w:rsidRPr="0015080A">
      <w:rPr>
        <w:b/>
        <w:sz w:val="18"/>
      </w:rPr>
      <w:fldChar w:fldCharType="end"/>
    </w:r>
    <w:r>
      <w:rPr>
        <w:b/>
        <w:sz w:val="18"/>
      </w:rPr>
      <w:tab/>
    </w:r>
    <w:r>
      <w:t>GE.13-49298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3C" w:rsidRDefault="00F56F3C" w:rsidP="0015080A">
    <w:pPr>
      <w:pStyle w:val="Footer"/>
      <w:jc w:val="right"/>
    </w:pPr>
    <w:r>
      <w:rPr>
        <w:sz w:val="20"/>
      </w:rPr>
      <w:t>(A)   GE.13-49298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00AD5C39">
      <w:rPr>
        <w:sz w:val="20"/>
      </w:rPr>
      <w:t xml:space="preserve">    020114    030114</w:t>
    </w:r>
    <w:r w:rsidR="00167948">
      <w:br/>
    </w:r>
    <w:r w:rsidR="00167948" w:rsidRPr="00167948">
      <w:rPr>
        <w:rFonts w:ascii="C39T30Lfz" w:hAnsi="C39T30Lfz"/>
        <w:sz w:val="56"/>
      </w:rPr>
      <w:t></w:t>
    </w:r>
    <w:r w:rsidR="00167948" w:rsidRPr="00167948">
      <w:rPr>
        <w:rFonts w:ascii="C39T30Lfz" w:hAnsi="C39T30Lfz"/>
        <w:sz w:val="56"/>
      </w:rPr>
      <w:t></w:t>
    </w:r>
    <w:r w:rsidR="00167948" w:rsidRPr="00167948">
      <w:rPr>
        <w:rFonts w:ascii="C39T30Lfz" w:hAnsi="C39T30Lfz"/>
        <w:sz w:val="56"/>
      </w:rPr>
      <w:t></w:t>
    </w:r>
    <w:r w:rsidR="00167948" w:rsidRPr="00167948">
      <w:rPr>
        <w:rFonts w:ascii="C39T30Lfz" w:hAnsi="C39T30Lfz"/>
        <w:sz w:val="56"/>
      </w:rPr>
      <w:t></w:t>
    </w:r>
    <w:r w:rsidR="00167948" w:rsidRPr="00167948">
      <w:rPr>
        <w:rFonts w:ascii="C39T30Lfz" w:hAnsi="C39T30Lfz"/>
        <w:sz w:val="56"/>
      </w:rPr>
      <w:t></w:t>
    </w:r>
    <w:r w:rsidR="00167948" w:rsidRPr="00167948">
      <w:rPr>
        <w:rFonts w:ascii="C39T30Lfz" w:hAnsi="C39T30Lfz"/>
        <w:sz w:val="56"/>
      </w:rPr>
      <w:t></w:t>
    </w:r>
    <w:r w:rsidR="00167948" w:rsidRPr="00167948">
      <w:rPr>
        <w:rFonts w:ascii="C39T30Lfz" w:hAnsi="C39T30Lfz"/>
        <w:sz w:val="56"/>
      </w:rPr>
      <w:t></w:t>
    </w:r>
    <w:r w:rsidR="00167948" w:rsidRPr="00167948">
      <w:rPr>
        <w:rFonts w:ascii="C39T30Lfz" w:hAnsi="C39T30Lfz"/>
        <w:sz w:val="56"/>
      </w:rPr>
      <w:t></w:t>
    </w:r>
    <w:r w:rsidR="00167948" w:rsidRPr="00167948">
      <w:rPr>
        <w:rFonts w:ascii="C39T30Lfz" w:hAnsi="C39T30Lfz"/>
        <w:sz w:val="56"/>
      </w:rPr>
      <w:t></w:t>
    </w:r>
    <w:r w:rsidR="00167948">
      <w:rPr>
        <w:noProof/>
        <w:lang w:val="en-US"/>
      </w:rPr>
      <w:pict>
        <v:shape id="_x0000_s2054" type="#_x0000_t75" style="position:absolute;left:0;text-align:left;margin-left:.05pt;margin-top:0;width:50.25pt;height:50.25pt;z-index:3;mso-position-horizontal-relative:text;mso-position-vertical-relative:text" o:allowincell="f">
          <v:imagedata r:id="rId2" o:title="2009&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387" w:rsidRDefault="00DF5387" w:rsidP="007E4686">
      <w:pPr>
        <w:pStyle w:val="Footer"/>
        <w:bidi/>
        <w:spacing w:after="80" w:line="200" w:lineRule="exact"/>
        <w:ind w:left="680"/>
      </w:pPr>
      <w:r>
        <w:rPr>
          <w:rFonts w:hint="cs"/>
          <w:rtl/>
        </w:rPr>
        <w:t>__________</w:t>
      </w:r>
    </w:p>
  </w:footnote>
  <w:footnote w:type="continuationSeparator" w:id="0">
    <w:p w:rsidR="00DF5387" w:rsidRDefault="00DF5387" w:rsidP="007E4686">
      <w:pPr>
        <w:pStyle w:val="Footer"/>
        <w:bidi/>
        <w:spacing w:after="80" w:line="200" w:lineRule="exact"/>
        <w:ind w:left="680"/>
      </w:pPr>
      <w:r>
        <w:rPr>
          <w:rFonts w:hint="cs"/>
          <w:rtl/>
        </w:rPr>
        <w:t>__________</w:t>
      </w:r>
    </w:p>
  </w:footnote>
  <w:footnote w:id="1">
    <w:p w:rsidR="00F56F3C" w:rsidRPr="00186FBA" w:rsidRDefault="00F56F3C" w:rsidP="00617407">
      <w:pPr>
        <w:pStyle w:val="footnoteText0"/>
        <w:rPr>
          <w:rFonts w:hint="cs"/>
          <w:rtl/>
        </w:rPr>
      </w:pPr>
      <w:r w:rsidRPr="00186FBA">
        <w:rPr>
          <w:rtl/>
        </w:rPr>
        <w:tab/>
      </w:r>
      <w:r w:rsidRPr="00186FBA">
        <w:rPr>
          <w:rStyle w:val="FootnoteReference"/>
          <w:szCs w:val="26"/>
          <w:vertAlign w:val="baseline"/>
          <w:rtl/>
        </w:rPr>
        <w:t>*</w:t>
      </w:r>
      <w:r w:rsidRPr="00186FBA">
        <w:rPr>
          <w:rtl/>
        </w:rPr>
        <w:tab/>
      </w:r>
      <w:r w:rsidRPr="00186FBA">
        <w:rPr>
          <w:rFonts w:hint="cs"/>
          <w:rtl/>
        </w:rPr>
        <w:t>شارك أعضاء اللجنة التالية أسماؤهم في دراسة هذا البلاغ: السيد عياض بن عاشور، والسيد لزهاري بوزيد، والسيد أحمد أمين فتح الله، والسيد كورنيليس فلينترمان، والسيد يوجي إواساوا، والسيد فالتر كالين، والسيدة زونكي زانيلي ماجودينا، والسيد جيرالد ل. نومان، والسير نايجل رودلي، والسيد فيكتور مانويل رودريغيس - ريسكيا، والسيد فابيان عمر سالفيولي، والسيدة أنجا سيابرت - فور، والسيد يوفال</w:t>
      </w:r>
      <w:r>
        <w:rPr>
          <w:rFonts w:hint="eastAsia"/>
          <w:rtl/>
        </w:rPr>
        <w:t> </w:t>
      </w:r>
      <w:r w:rsidRPr="00186FBA">
        <w:rPr>
          <w:rFonts w:hint="cs"/>
          <w:rtl/>
        </w:rPr>
        <w:t>شاني، والسيد كونستانتين فاردزيلاشفيلي، والسيدة مارغو واترفال.</w:t>
      </w:r>
    </w:p>
  </w:footnote>
  <w:footnote w:id="2">
    <w:p w:rsidR="00F56F3C" w:rsidRPr="00186FBA" w:rsidRDefault="00F56F3C" w:rsidP="00205885">
      <w:pPr>
        <w:pStyle w:val="FootnoteText"/>
        <w:numPr>
          <w:ilvl w:val="0"/>
          <w:numId w:val="40"/>
        </w:numPr>
        <w:tabs>
          <w:tab w:val="clear" w:pos="1297"/>
        </w:tabs>
        <w:spacing w:after="60" w:line="300" w:lineRule="exact"/>
        <w:ind w:left="1247" w:right="1247"/>
        <w:rPr>
          <w:rFonts w:hint="cs"/>
          <w:sz w:val="18"/>
          <w:szCs w:val="26"/>
        </w:rPr>
      </w:pPr>
      <w:r w:rsidRPr="00186FBA">
        <w:rPr>
          <w:rFonts w:hint="cs"/>
          <w:sz w:val="18"/>
          <w:szCs w:val="26"/>
          <w:rtl/>
        </w:rPr>
        <w:t>تضيف الدولة الطرف أن المادة 9 من هذا القانون تحدد المواقع التي يمنع فيها تنظيم تظاهرات شعبية. وتقع</w:t>
      </w:r>
      <w:r>
        <w:rPr>
          <w:rFonts w:hint="eastAsia"/>
          <w:sz w:val="18"/>
          <w:szCs w:val="26"/>
          <w:rtl/>
        </w:rPr>
        <w:t> </w:t>
      </w:r>
      <w:r w:rsidRPr="00186FBA">
        <w:rPr>
          <w:rFonts w:hint="cs"/>
          <w:sz w:val="18"/>
          <w:szCs w:val="26"/>
          <w:rtl/>
        </w:rPr>
        <w:t>على السلطات المحلية مسؤولية تحديد</w:t>
      </w:r>
      <w:r>
        <w:rPr>
          <w:rFonts w:hint="cs"/>
          <w:sz w:val="18"/>
          <w:szCs w:val="26"/>
          <w:rtl/>
        </w:rPr>
        <w:t xml:space="preserve">اً </w:t>
      </w:r>
      <w:r w:rsidRPr="00186FBA">
        <w:rPr>
          <w:rFonts w:hint="cs"/>
          <w:sz w:val="18"/>
          <w:szCs w:val="26"/>
          <w:rtl/>
        </w:rPr>
        <w:t>المواقع الدائمة التي يمكن فيها تنظيم تظاهرات شعبية والمواقع</w:t>
      </w:r>
      <w:r>
        <w:rPr>
          <w:rFonts w:hint="eastAsia"/>
          <w:sz w:val="18"/>
          <w:szCs w:val="26"/>
          <w:rtl/>
        </w:rPr>
        <w:t> </w:t>
      </w:r>
      <w:r w:rsidRPr="00186FBA">
        <w:rPr>
          <w:rFonts w:hint="cs"/>
          <w:sz w:val="18"/>
          <w:szCs w:val="26"/>
          <w:rtl/>
        </w:rPr>
        <w:t>التي</w:t>
      </w:r>
      <w:r>
        <w:rPr>
          <w:rFonts w:hint="eastAsia"/>
          <w:sz w:val="18"/>
          <w:szCs w:val="26"/>
          <w:rtl/>
        </w:rPr>
        <w:t> </w:t>
      </w:r>
      <w:r w:rsidRPr="00186FBA">
        <w:rPr>
          <w:rFonts w:hint="cs"/>
          <w:sz w:val="18"/>
          <w:szCs w:val="26"/>
          <w:rtl/>
        </w:rPr>
        <w:t>يمنع فيها تنظيم مثل هذه التظاهرات، والإعلان عن ذلك في وسائط الإعلام.</w:t>
      </w:r>
    </w:p>
  </w:footnote>
  <w:footnote w:id="3">
    <w:p w:rsidR="00F56F3C" w:rsidRPr="00186FBA" w:rsidRDefault="00F56F3C" w:rsidP="00B37184">
      <w:pPr>
        <w:pStyle w:val="FootnoteText"/>
        <w:numPr>
          <w:ilvl w:val="0"/>
          <w:numId w:val="40"/>
        </w:numPr>
        <w:tabs>
          <w:tab w:val="clear" w:pos="1297"/>
        </w:tabs>
        <w:spacing w:after="60" w:line="300" w:lineRule="exact"/>
        <w:ind w:left="1247" w:right="1247"/>
        <w:rPr>
          <w:rFonts w:hint="cs"/>
          <w:sz w:val="18"/>
          <w:szCs w:val="26"/>
        </w:rPr>
      </w:pPr>
      <w:r w:rsidRPr="00186FBA">
        <w:rPr>
          <w:rFonts w:hint="cs"/>
          <w:sz w:val="18"/>
          <w:szCs w:val="26"/>
          <w:rtl/>
        </w:rPr>
        <w:t xml:space="preserve">انظر على سبيل المثال البلاغ رقم 1808/2008، </w:t>
      </w:r>
      <w:r w:rsidRPr="00186FBA">
        <w:rPr>
          <w:rFonts w:hint="cs"/>
          <w:i/>
          <w:iCs/>
          <w:sz w:val="18"/>
          <w:szCs w:val="26"/>
          <w:rtl/>
        </w:rPr>
        <w:t>كوفالنكو ضد بيلاروسيا</w:t>
      </w:r>
      <w:r w:rsidRPr="00186FBA">
        <w:rPr>
          <w:rFonts w:hint="cs"/>
          <w:sz w:val="18"/>
          <w:szCs w:val="26"/>
          <w:rtl/>
        </w:rPr>
        <w:t xml:space="preserve">، الآراء المعتمدة في 17 تموز/يوليه 2013، الفقرة 7-3؛ والبلاغ رقم 1785/2008، </w:t>
      </w:r>
      <w:r w:rsidRPr="00186FBA">
        <w:rPr>
          <w:rFonts w:hint="cs"/>
          <w:i/>
          <w:iCs/>
          <w:sz w:val="18"/>
          <w:szCs w:val="26"/>
          <w:rtl/>
        </w:rPr>
        <w:t>أولسكيفيتش ضد بيلاروسيا</w:t>
      </w:r>
      <w:r w:rsidRPr="00186FBA">
        <w:rPr>
          <w:rFonts w:hint="cs"/>
          <w:sz w:val="18"/>
          <w:szCs w:val="26"/>
          <w:rtl/>
        </w:rPr>
        <w:t xml:space="preserve">، الآراء المعتمدة في 18 آذار/مارس 2013، الفقرة 7-3؛ والبلاغ رقم 1784/2008، </w:t>
      </w:r>
      <w:r w:rsidRPr="00186FBA">
        <w:rPr>
          <w:rFonts w:hint="cs"/>
          <w:i/>
          <w:iCs/>
          <w:sz w:val="18"/>
          <w:szCs w:val="26"/>
          <w:rtl/>
        </w:rPr>
        <w:t>شوميلين ضد بيلاروسيا</w:t>
      </w:r>
      <w:r w:rsidRPr="00186FBA">
        <w:rPr>
          <w:rFonts w:hint="cs"/>
          <w:sz w:val="18"/>
          <w:szCs w:val="26"/>
          <w:rtl/>
        </w:rPr>
        <w:t>، الآراء المعتمدة في 23 تموز/يوليه 2012، الفقرة 8-3.</w:t>
      </w:r>
    </w:p>
  </w:footnote>
  <w:footnote w:id="4">
    <w:p w:rsidR="00F56F3C" w:rsidRPr="00186FBA" w:rsidRDefault="00F56F3C" w:rsidP="00F80CCF">
      <w:pPr>
        <w:pStyle w:val="FootnoteText"/>
        <w:numPr>
          <w:ilvl w:val="0"/>
          <w:numId w:val="40"/>
        </w:numPr>
        <w:tabs>
          <w:tab w:val="clear" w:pos="1297"/>
        </w:tabs>
        <w:spacing w:after="60" w:line="300" w:lineRule="exact"/>
        <w:ind w:left="1247" w:right="1247"/>
        <w:rPr>
          <w:rFonts w:hint="cs"/>
          <w:sz w:val="18"/>
          <w:szCs w:val="26"/>
        </w:rPr>
      </w:pPr>
      <w:r w:rsidRPr="00186FBA">
        <w:rPr>
          <w:rFonts w:hint="cs"/>
          <w:sz w:val="18"/>
          <w:szCs w:val="26"/>
          <w:rtl/>
        </w:rPr>
        <w:t>انظر تعليق اللجنة العام رقم 34</w:t>
      </w:r>
      <w:r>
        <w:rPr>
          <w:rFonts w:hint="cs"/>
          <w:sz w:val="18"/>
          <w:szCs w:val="26"/>
          <w:rtl/>
        </w:rPr>
        <w:t>(</w:t>
      </w:r>
      <w:r w:rsidRPr="00186FBA">
        <w:rPr>
          <w:rFonts w:hint="cs"/>
          <w:sz w:val="18"/>
          <w:szCs w:val="26"/>
          <w:rtl/>
        </w:rPr>
        <w:t xml:space="preserve">2011) بشأن حرية الرأي وحرية التعبير، الفقرة 2، </w:t>
      </w:r>
      <w:r w:rsidRPr="00186FBA">
        <w:rPr>
          <w:rFonts w:hint="cs"/>
          <w:i/>
          <w:iCs/>
          <w:sz w:val="18"/>
          <w:szCs w:val="26"/>
          <w:rtl/>
        </w:rPr>
        <w:t>الوثائق الرسمية للجمعية العامة، الدورة السادسة والستون، الملحق رقم 40</w:t>
      </w:r>
      <w:r w:rsidRPr="00186FBA">
        <w:rPr>
          <w:rFonts w:hint="cs"/>
          <w:sz w:val="18"/>
          <w:szCs w:val="26"/>
          <w:rtl/>
        </w:rPr>
        <w:t>، المجلد الأول (</w:t>
      </w:r>
      <w:r w:rsidRPr="00186FBA">
        <w:rPr>
          <w:sz w:val="18"/>
          <w:szCs w:val="26"/>
          <w:lang w:val="fr-CH"/>
        </w:rPr>
        <w:t>A/66/40(Vol.</w:t>
      </w:r>
      <w:r w:rsidR="0060381C">
        <w:rPr>
          <w:sz w:val="18"/>
          <w:szCs w:val="26"/>
          <w:lang w:val="fr-CH"/>
        </w:rPr>
        <w:t> </w:t>
      </w:r>
      <w:r w:rsidRPr="00186FBA">
        <w:rPr>
          <w:sz w:val="18"/>
          <w:szCs w:val="26"/>
          <w:lang w:val="fr-CH"/>
        </w:rPr>
        <w:t>I)</w:t>
      </w:r>
      <w:r w:rsidRPr="00186FBA">
        <w:rPr>
          <w:rFonts w:hint="cs"/>
          <w:sz w:val="18"/>
          <w:szCs w:val="26"/>
          <w:rtl/>
        </w:rPr>
        <w:t>)، المرفق</w:t>
      </w:r>
      <w:r>
        <w:rPr>
          <w:rFonts w:hint="eastAsia"/>
          <w:sz w:val="18"/>
          <w:szCs w:val="26"/>
          <w:rtl/>
        </w:rPr>
        <w:t> </w:t>
      </w:r>
      <w:r w:rsidRPr="00186FBA">
        <w:rPr>
          <w:rFonts w:hint="cs"/>
          <w:sz w:val="18"/>
          <w:szCs w:val="26"/>
          <w:rtl/>
        </w:rPr>
        <w:t>الخامس.</w:t>
      </w:r>
    </w:p>
  </w:footnote>
  <w:footnote w:id="5">
    <w:p w:rsidR="00F56F3C" w:rsidRPr="00186FBA" w:rsidRDefault="00F56F3C" w:rsidP="00B37184">
      <w:pPr>
        <w:pStyle w:val="FootnoteText"/>
        <w:numPr>
          <w:ilvl w:val="0"/>
          <w:numId w:val="40"/>
        </w:numPr>
        <w:tabs>
          <w:tab w:val="clear" w:pos="1297"/>
        </w:tabs>
        <w:spacing w:after="60" w:line="300" w:lineRule="exact"/>
        <w:ind w:left="1247" w:right="1247"/>
        <w:rPr>
          <w:rFonts w:hint="cs"/>
          <w:sz w:val="18"/>
          <w:szCs w:val="26"/>
        </w:rPr>
      </w:pPr>
      <w:r w:rsidRPr="00186FBA">
        <w:rPr>
          <w:rFonts w:hint="cs"/>
          <w:sz w:val="18"/>
          <w:szCs w:val="26"/>
          <w:rtl/>
        </w:rPr>
        <w:t>المرجع نفسه، الفقرة 22.</w:t>
      </w:r>
    </w:p>
  </w:footnote>
  <w:footnote w:id="6">
    <w:p w:rsidR="00F56F3C" w:rsidRPr="00186FBA" w:rsidRDefault="00F56F3C" w:rsidP="00F80CCF">
      <w:pPr>
        <w:pStyle w:val="FootnoteText"/>
        <w:numPr>
          <w:ilvl w:val="0"/>
          <w:numId w:val="40"/>
        </w:numPr>
        <w:tabs>
          <w:tab w:val="clear" w:pos="1297"/>
        </w:tabs>
        <w:spacing w:after="60" w:line="300" w:lineRule="exact"/>
        <w:ind w:left="1247" w:right="1247"/>
        <w:rPr>
          <w:rFonts w:hint="cs"/>
          <w:sz w:val="18"/>
          <w:szCs w:val="26"/>
        </w:rPr>
      </w:pPr>
      <w:r w:rsidRPr="00186FBA">
        <w:rPr>
          <w:rFonts w:hint="cs"/>
          <w:sz w:val="18"/>
          <w:szCs w:val="26"/>
          <w:rtl/>
        </w:rPr>
        <w:t>المرجع نفسه، الفقرة 22. انظر أيضا</w:t>
      </w:r>
      <w:r>
        <w:rPr>
          <w:rFonts w:hint="cs"/>
          <w:sz w:val="18"/>
          <w:szCs w:val="26"/>
          <w:rtl/>
        </w:rPr>
        <w:t>ً</w:t>
      </w:r>
      <w:r w:rsidRPr="00186FBA">
        <w:rPr>
          <w:rFonts w:hint="cs"/>
          <w:sz w:val="18"/>
          <w:szCs w:val="26"/>
          <w:rtl/>
        </w:rPr>
        <w:t xml:space="preserve"> على سبيل المثال البلاغ رقم 1948/2010، </w:t>
      </w:r>
      <w:r w:rsidRPr="00186FBA">
        <w:rPr>
          <w:rFonts w:hint="cs"/>
          <w:i/>
          <w:iCs/>
          <w:sz w:val="18"/>
          <w:szCs w:val="26"/>
          <w:rtl/>
        </w:rPr>
        <w:t>تورشنياك وآخرون ضد</w:t>
      </w:r>
      <w:r>
        <w:rPr>
          <w:rFonts w:hint="eastAsia"/>
          <w:i/>
          <w:iCs/>
          <w:sz w:val="18"/>
          <w:szCs w:val="26"/>
          <w:rtl/>
        </w:rPr>
        <w:t> </w:t>
      </w:r>
      <w:r w:rsidRPr="00186FBA">
        <w:rPr>
          <w:rFonts w:hint="cs"/>
          <w:i/>
          <w:iCs/>
          <w:sz w:val="18"/>
          <w:szCs w:val="26"/>
          <w:rtl/>
        </w:rPr>
        <w:t>بيلاروسيا</w:t>
      </w:r>
      <w:r w:rsidRPr="00186FBA">
        <w:rPr>
          <w:rFonts w:hint="cs"/>
          <w:sz w:val="18"/>
          <w:szCs w:val="26"/>
          <w:rtl/>
        </w:rPr>
        <w:t>، الآراء المعتمدة في 24 تموز/يوليه 2013، الفقرة 7-7.</w:t>
      </w:r>
    </w:p>
  </w:footnote>
  <w:footnote w:id="7">
    <w:p w:rsidR="00F56F3C" w:rsidRPr="00186FBA" w:rsidRDefault="00F56F3C" w:rsidP="00B37184">
      <w:pPr>
        <w:pStyle w:val="FootnoteText"/>
        <w:numPr>
          <w:ilvl w:val="0"/>
          <w:numId w:val="40"/>
        </w:numPr>
        <w:tabs>
          <w:tab w:val="clear" w:pos="1297"/>
        </w:tabs>
        <w:spacing w:after="60" w:line="300" w:lineRule="exact"/>
        <w:ind w:left="1247" w:right="1247"/>
        <w:rPr>
          <w:rFonts w:hint="cs"/>
          <w:sz w:val="18"/>
          <w:szCs w:val="26"/>
        </w:rPr>
      </w:pPr>
      <w:r w:rsidRPr="00186FBA">
        <w:rPr>
          <w:rFonts w:hint="cs"/>
          <w:sz w:val="18"/>
          <w:szCs w:val="26"/>
          <w:rtl/>
        </w:rPr>
        <w:t>انظر مثلا</w:t>
      </w:r>
      <w:r>
        <w:rPr>
          <w:rFonts w:hint="cs"/>
          <w:sz w:val="18"/>
          <w:szCs w:val="26"/>
          <w:rtl/>
        </w:rPr>
        <w:t>ً</w:t>
      </w:r>
      <w:r w:rsidRPr="00186FBA">
        <w:rPr>
          <w:rFonts w:hint="cs"/>
          <w:sz w:val="18"/>
          <w:szCs w:val="26"/>
          <w:rtl/>
        </w:rPr>
        <w:t xml:space="preserve"> البلاغ رقم 1948/2010، </w:t>
      </w:r>
      <w:r w:rsidRPr="00186FBA">
        <w:rPr>
          <w:rFonts w:hint="cs"/>
          <w:i/>
          <w:iCs/>
          <w:sz w:val="18"/>
          <w:szCs w:val="26"/>
          <w:rtl/>
        </w:rPr>
        <w:t>تورشنياك ضد بيلاروسيا</w:t>
      </w:r>
      <w:r w:rsidRPr="00186FBA">
        <w:rPr>
          <w:rFonts w:hint="cs"/>
          <w:sz w:val="18"/>
          <w:szCs w:val="26"/>
          <w:rtl/>
        </w:rPr>
        <w:t>، الآراء المعتمدة في 24 تموز/يوليه 2013، الفقرة 7-8.</w:t>
      </w:r>
    </w:p>
  </w:footnote>
  <w:footnote w:id="8">
    <w:p w:rsidR="00F56F3C" w:rsidRPr="00186FBA" w:rsidRDefault="00F56F3C" w:rsidP="00B37184">
      <w:pPr>
        <w:pStyle w:val="FootnoteText"/>
        <w:numPr>
          <w:ilvl w:val="0"/>
          <w:numId w:val="40"/>
        </w:numPr>
        <w:tabs>
          <w:tab w:val="clear" w:pos="1297"/>
        </w:tabs>
        <w:spacing w:after="60" w:line="300" w:lineRule="exact"/>
        <w:ind w:left="1247" w:right="1247"/>
        <w:rPr>
          <w:rFonts w:hint="cs"/>
          <w:sz w:val="18"/>
          <w:szCs w:val="26"/>
        </w:rPr>
      </w:pPr>
      <w:r w:rsidRPr="00186FBA">
        <w:rPr>
          <w:rFonts w:hint="cs"/>
          <w:sz w:val="18"/>
          <w:szCs w:val="26"/>
          <w:rtl/>
        </w:rPr>
        <w:t>انظ</w:t>
      </w:r>
      <w:r>
        <w:rPr>
          <w:rFonts w:hint="cs"/>
          <w:sz w:val="18"/>
          <w:szCs w:val="26"/>
          <w:rtl/>
        </w:rPr>
        <w:t>ر تعليق اللجنة العام رقم 34</w:t>
      </w:r>
      <w:r w:rsidRPr="00186FBA">
        <w:rPr>
          <w:rFonts w:hint="cs"/>
          <w:sz w:val="18"/>
          <w:szCs w:val="26"/>
          <w:rtl/>
        </w:rPr>
        <w:t>(2011)، الفقرة 34. انظر أيض</w:t>
      </w:r>
      <w:r>
        <w:rPr>
          <w:rFonts w:hint="cs"/>
          <w:sz w:val="18"/>
          <w:szCs w:val="26"/>
          <w:rtl/>
        </w:rPr>
        <w:t xml:space="preserve">اً </w:t>
      </w:r>
      <w:r w:rsidRPr="00186FBA">
        <w:rPr>
          <w:rFonts w:hint="cs"/>
          <w:sz w:val="18"/>
          <w:szCs w:val="26"/>
          <w:rtl/>
        </w:rPr>
        <w:t xml:space="preserve">البلاغ رقم 1128/2002، </w:t>
      </w:r>
      <w:r w:rsidRPr="00186FBA">
        <w:rPr>
          <w:rFonts w:hint="cs"/>
          <w:i/>
          <w:iCs/>
          <w:sz w:val="18"/>
          <w:szCs w:val="26"/>
          <w:rtl/>
        </w:rPr>
        <w:t>ماركيس ضد أنغولا</w:t>
      </w:r>
      <w:r w:rsidRPr="00186FBA">
        <w:rPr>
          <w:rFonts w:hint="cs"/>
          <w:sz w:val="18"/>
          <w:szCs w:val="26"/>
          <w:rtl/>
        </w:rPr>
        <w:t xml:space="preserve">، الآراء المعتمدة في 29 آذار/مارس 2005، الفقرة 6-8؛ والبلاغ رقم 1157/2003، </w:t>
      </w:r>
      <w:r w:rsidRPr="00186FBA">
        <w:rPr>
          <w:rFonts w:hint="cs"/>
          <w:i/>
          <w:iCs/>
          <w:sz w:val="18"/>
          <w:szCs w:val="26"/>
          <w:rtl/>
        </w:rPr>
        <w:t>كوليمان ضد أنغولا</w:t>
      </w:r>
      <w:r w:rsidRPr="00186FBA">
        <w:rPr>
          <w:rFonts w:hint="cs"/>
          <w:sz w:val="18"/>
          <w:szCs w:val="26"/>
          <w:rtl/>
        </w:rPr>
        <w:t>، الآراء المعتمدة في 17 تموز/يوليه 2006، الفقرة 7-3.</w:t>
      </w:r>
    </w:p>
  </w:footnote>
  <w:footnote w:id="9">
    <w:p w:rsidR="00F56F3C" w:rsidRPr="00186FBA" w:rsidRDefault="00F56F3C" w:rsidP="00717FD1">
      <w:pPr>
        <w:pStyle w:val="FootnoteText"/>
        <w:numPr>
          <w:ilvl w:val="0"/>
          <w:numId w:val="40"/>
        </w:numPr>
        <w:tabs>
          <w:tab w:val="clear" w:pos="1297"/>
        </w:tabs>
        <w:spacing w:after="60" w:line="300" w:lineRule="exact"/>
        <w:ind w:left="1247" w:right="1247"/>
        <w:rPr>
          <w:rFonts w:hint="cs"/>
          <w:sz w:val="18"/>
          <w:szCs w:val="26"/>
        </w:rPr>
      </w:pPr>
      <w:r w:rsidRPr="00186FBA">
        <w:rPr>
          <w:rFonts w:hint="cs"/>
          <w:sz w:val="18"/>
          <w:szCs w:val="26"/>
          <w:rtl/>
        </w:rPr>
        <w:t>انظر تعليق اللجنة العام رقم 34(2011)، الفقرة 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3C" w:rsidRPr="0015080A" w:rsidRDefault="00F56F3C" w:rsidP="0015080A">
    <w:pPr>
      <w:pStyle w:val="Header"/>
      <w:jc w:val="right"/>
    </w:pPr>
    <w:r w:rsidRPr="0015080A">
      <w:t>CCPR/C/109/D/1919-1920/2009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3C" w:rsidRPr="0015080A" w:rsidRDefault="00F56F3C" w:rsidP="0015080A">
    <w:pPr>
      <w:pStyle w:val="Header"/>
      <w:jc w:val="left"/>
    </w:pPr>
    <w:r w:rsidRPr="0015080A">
      <w:t>CCPR/C/109/D/1919-1920/2009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3C" w:rsidRDefault="00F56F3C"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F56F3C" w:rsidRPr="008F6743" w:rsidRDefault="00F56F3C"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5521E9A">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19">
    <w:nsid w:val="75B91AAE"/>
    <w:multiLevelType w:val="hybridMultilevel"/>
    <w:tmpl w:val="DA92B88E"/>
    <w:lvl w:ilvl="0" w:tplc="A24E147E">
      <w:start w:val="1"/>
      <w:numFmt w:val="decimal"/>
      <w:lvlRestart w:val="0"/>
      <w:lvlText w:val="(%1)"/>
      <w:lvlJc w:val="right"/>
      <w:pPr>
        <w:tabs>
          <w:tab w:val="num" w:pos="1297"/>
        </w:tabs>
        <w:ind w:left="1297" w:hanging="227"/>
      </w:pPr>
      <w:rPr>
        <w:rFonts w:ascii="Traditional Arabic" w:hAnsi="Traditional Arabic" w:cs="Traditional Arabic" w:hint="default"/>
        <w:position w:val="0"/>
        <w:sz w:val="26"/>
        <w:szCs w:val="26"/>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2"/>
  </w:num>
  <w:num w:numId="35">
    <w:abstractNumId w:val="5"/>
  </w:num>
  <w:num w:numId="36">
    <w:abstractNumId w:val="16"/>
  </w:num>
  <w:num w:numId="37">
    <w:abstractNumId w:val="18"/>
  </w:num>
  <w:num w:numId="38">
    <w:abstractNumId w:val="0"/>
  </w:num>
  <w:num w:numId="39">
    <w:abstractNumId w:val="6"/>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2D78"/>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5080A"/>
    <w:rsid w:val="001602A3"/>
    <w:rsid w:val="00167948"/>
    <w:rsid w:val="00186FBA"/>
    <w:rsid w:val="001A5161"/>
    <w:rsid w:val="001A60BD"/>
    <w:rsid w:val="001C6D53"/>
    <w:rsid w:val="00205885"/>
    <w:rsid w:val="00222168"/>
    <w:rsid w:val="00232277"/>
    <w:rsid w:val="0023736D"/>
    <w:rsid w:val="00257225"/>
    <w:rsid w:val="002643E5"/>
    <w:rsid w:val="002B0529"/>
    <w:rsid w:val="00310160"/>
    <w:rsid w:val="00341A8C"/>
    <w:rsid w:val="003519E6"/>
    <w:rsid w:val="00355F81"/>
    <w:rsid w:val="003B4356"/>
    <w:rsid w:val="003F08A8"/>
    <w:rsid w:val="004250E3"/>
    <w:rsid w:val="0044376D"/>
    <w:rsid w:val="00472A81"/>
    <w:rsid w:val="0048262B"/>
    <w:rsid w:val="004A20A6"/>
    <w:rsid w:val="004B2C92"/>
    <w:rsid w:val="004D6A3A"/>
    <w:rsid w:val="004E68DA"/>
    <w:rsid w:val="004F4AD7"/>
    <w:rsid w:val="00557CD3"/>
    <w:rsid w:val="00571432"/>
    <w:rsid w:val="005732A2"/>
    <w:rsid w:val="005762A5"/>
    <w:rsid w:val="00590BA3"/>
    <w:rsid w:val="005B46D9"/>
    <w:rsid w:val="005B7AE0"/>
    <w:rsid w:val="005E23F5"/>
    <w:rsid w:val="005F146F"/>
    <w:rsid w:val="005F71B6"/>
    <w:rsid w:val="0060381C"/>
    <w:rsid w:val="00617407"/>
    <w:rsid w:val="00632FE1"/>
    <w:rsid w:val="0064250B"/>
    <w:rsid w:val="00644149"/>
    <w:rsid w:val="00654786"/>
    <w:rsid w:val="00660FD4"/>
    <w:rsid w:val="00665BE4"/>
    <w:rsid w:val="006A4425"/>
    <w:rsid w:val="006B00A4"/>
    <w:rsid w:val="006B4669"/>
    <w:rsid w:val="006D20D3"/>
    <w:rsid w:val="006D3CFA"/>
    <w:rsid w:val="006F6BF8"/>
    <w:rsid w:val="00707BDF"/>
    <w:rsid w:val="00710727"/>
    <w:rsid w:val="00715F45"/>
    <w:rsid w:val="00717FD1"/>
    <w:rsid w:val="0072608F"/>
    <w:rsid w:val="00731815"/>
    <w:rsid w:val="00731B84"/>
    <w:rsid w:val="00734AE7"/>
    <w:rsid w:val="0079344E"/>
    <w:rsid w:val="007E197F"/>
    <w:rsid w:val="007E2786"/>
    <w:rsid w:val="007E4686"/>
    <w:rsid w:val="007F68C4"/>
    <w:rsid w:val="008153DE"/>
    <w:rsid w:val="00852A10"/>
    <w:rsid w:val="00862634"/>
    <w:rsid w:val="00866C59"/>
    <w:rsid w:val="00877306"/>
    <w:rsid w:val="00885524"/>
    <w:rsid w:val="008A6242"/>
    <w:rsid w:val="008B4BC6"/>
    <w:rsid w:val="008F6743"/>
    <w:rsid w:val="00901E57"/>
    <w:rsid w:val="009070DF"/>
    <w:rsid w:val="00934703"/>
    <w:rsid w:val="00935F0E"/>
    <w:rsid w:val="0095208F"/>
    <w:rsid w:val="00956752"/>
    <w:rsid w:val="00977B3F"/>
    <w:rsid w:val="009814AE"/>
    <w:rsid w:val="009901D3"/>
    <w:rsid w:val="0099038B"/>
    <w:rsid w:val="00996BBE"/>
    <w:rsid w:val="009B2C03"/>
    <w:rsid w:val="009D17B9"/>
    <w:rsid w:val="009D1DD5"/>
    <w:rsid w:val="009F722C"/>
    <w:rsid w:val="00A26157"/>
    <w:rsid w:val="00A265C3"/>
    <w:rsid w:val="00A43F9A"/>
    <w:rsid w:val="00A47B22"/>
    <w:rsid w:val="00A53F38"/>
    <w:rsid w:val="00A543D4"/>
    <w:rsid w:val="00AD0014"/>
    <w:rsid w:val="00AD23B1"/>
    <w:rsid w:val="00AD4CF2"/>
    <w:rsid w:val="00AD5C39"/>
    <w:rsid w:val="00AF0BBA"/>
    <w:rsid w:val="00B25159"/>
    <w:rsid w:val="00B30468"/>
    <w:rsid w:val="00B37184"/>
    <w:rsid w:val="00B44E31"/>
    <w:rsid w:val="00BA4F7E"/>
    <w:rsid w:val="00BB2C41"/>
    <w:rsid w:val="00BC55C8"/>
    <w:rsid w:val="00BC5C10"/>
    <w:rsid w:val="00BE2964"/>
    <w:rsid w:val="00C21623"/>
    <w:rsid w:val="00C24FBD"/>
    <w:rsid w:val="00C473BA"/>
    <w:rsid w:val="00C611ED"/>
    <w:rsid w:val="00C6490A"/>
    <w:rsid w:val="00C64FE1"/>
    <w:rsid w:val="00C726D2"/>
    <w:rsid w:val="00C74296"/>
    <w:rsid w:val="00C821FF"/>
    <w:rsid w:val="00C8345E"/>
    <w:rsid w:val="00C8761F"/>
    <w:rsid w:val="00CA5F7C"/>
    <w:rsid w:val="00D32D78"/>
    <w:rsid w:val="00D51067"/>
    <w:rsid w:val="00D75657"/>
    <w:rsid w:val="00D960AD"/>
    <w:rsid w:val="00DA0E0E"/>
    <w:rsid w:val="00DB0885"/>
    <w:rsid w:val="00DB0C39"/>
    <w:rsid w:val="00DB7679"/>
    <w:rsid w:val="00DF1702"/>
    <w:rsid w:val="00DF4DD8"/>
    <w:rsid w:val="00DF5387"/>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56F3C"/>
    <w:rsid w:val="00F80CCF"/>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11</Pages>
  <Words>3309</Words>
  <Characters>16547</Characters>
  <Application>Microsoft Office Outlook</Application>
  <DocSecurity>4</DocSecurity>
  <Lines>300</Lines>
  <Paragraphs>101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CCPR/C/109/D/1919-1920/2009</vt:lpstr>
      <vt:lpstr>CCPR/C/109/D/1919-1920/2009</vt:lpstr>
    </vt:vector>
  </TitlesOfParts>
  <Company>CSD</Company>
  <LinksUpToDate>false</LinksUpToDate>
  <CharactersWithSpaces>19755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CCPR/C/109/D/1919-1920/2009</dc:title>
  <dc:subject>Boukadida</dc:subject>
  <dc:creator>Gamal</dc:creator>
  <cp:keywords/>
  <dc:description/>
  <cp:lastModifiedBy>TPS</cp:lastModifiedBy>
  <cp:revision>2</cp:revision>
  <cp:lastPrinted>2014-01-02T16:10:00Z</cp:lastPrinted>
  <dcterms:created xsi:type="dcterms:W3CDTF">2014-01-03T14:35:00Z</dcterms:created>
  <dcterms:modified xsi:type="dcterms:W3CDTF">2014-01-03T14:35:00Z</dcterms:modified>
</cp:coreProperties>
</file>