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14B62" w:rsidP="00F14B62">
            <w:pPr>
              <w:bidi w:val="0"/>
              <w:spacing w:after="20"/>
              <w:jc w:val="left"/>
              <w:rPr>
                <w:szCs w:val="20"/>
              </w:rPr>
            </w:pPr>
            <w:r w:rsidRPr="00F14B62">
              <w:rPr>
                <w:sz w:val="40"/>
                <w:szCs w:val="20"/>
              </w:rPr>
              <w:t>CCPR</w:t>
            </w:r>
            <w:r>
              <w:rPr>
                <w:szCs w:val="20"/>
              </w:rPr>
              <w:t>/C/109/D/1839/2008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14B62" w:rsidRDefault="00F14B62" w:rsidP="00F14B62">
            <w:pPr>
              <w:bidi w:val="0"/>
              <w:spacing w:before="240"/>
              <w:jc w:val="left"/>
            </w:pPr>
            <w:r>
              <w:t>Distr.: General</w:t>
            </w:r>
          </w:p>
          <w:p w:rsidR="00F14B62" w:rsidRDefault="00F14B62" w:rsidP="00F14B62">
            <w:pPr>
              <w:bidi w:val="0"/>
              <w:jc w:val="left"/>
            </w:pPr>
            <w:r>
              <w:t>4 February 2014</w:t>
            </w:r>
          </w:p>
          <w:p w:rsidR="00F14B62" w:rsidRDefault="00F14B62" w:rsidP="00F14B62">
            <w:pPr>
              <w:bidi w:val="0"/>
              <w:jc w:val="left"/>
            </w:pPr>
            <w:r>
              <w:t>Arabic</w:t>
            </w:r>
          </w:p>
          <w:p w:rsidR="00257225" w:rsidRPr="008B4BC6" w:rsidRDefault="00F14B62" w:rsidP="00F14B62">
            <w:pPr>
              <w:bidi w:val="0"/>
              <w:jc w:val="left"/>
            </w:pPr>
            <w:r>
              <w:t>Original: English</w:t>
            </w:r>
          </w:p>
        </w:tc>
      </w:tr>
    </w:tbl>
    <w:p w:rsidR="00F14B62" w:rsidRPr="00F14B62" w:rsidRDefault="00F14B62" w:rsidP="00F14B62">
      <w:pPr>
        <w:spacing w:before="120" w:after="120" w:line="380" w:lineRule="exact"/>
        <w:rPr>
          <w:rFonts w:hint="cs"/>
          <w:b/>
          <w:bCs/>
          <w:sz w:val="26"/>
          <w:szCs w:val="36"/>
          <w:rtl/>
          <w:lang w:bidi="ar-SY"/>
        </w:rPr>
      </w:pPr>
      <w:r w:rsidRPr="00F14B62">
        <w:rPr>
          <w:b/>
          <w:bCs/>
          <w:sz w:val="26"/>
          <w:szCs w:val="36"/>
          <w:rtl/>
        </w:rPr>
        <w:t>اللجنة المعنية بحقوق الإنسان</w:t>
      </w:r>
    </w:p>
    <w:p w:rsidR="00F14B62" w:rsidRDefault="00F14B62" w:rsidP="00F14B62">
      <w:pPr>
        <w:pStyle w:val="HChGA"/>
        <w:rPr>
          <w:rFonts w:hint="cs"/>
          <w:rtl/>
          <w:lang w:bidi="ar-SY"/>
        </w:rPr>
      </w:pPr>
      <w:r>
        <w:rPr>
          <w:rFonts w:hint="cs"/>
          <w:rtl/>
          <w:lang w:bidi="ar-SY"/>
        </w:rPr>
        <w:tab/>
      </w:r>
      <w:r>
        <w:rPr>
          <w:rFonts w:hint="cs"/>
          <w:rtl/>
          <w:lang w:bidi="ar-SY"/>
        </w:rPr>
        <w:tab/>
      </w:r>
      <w:r w:rsidRPr="00517F04">
        <w:rPr>
          <w:rFonts w:hint="cs"/>
          <w:rtl/>
          <w:lang w:bidi="ar-SY"/>
        </w:rPr>
        <w:t xml:space="preserve">البلاغ رقم </w:t>
      </w:r>
      <w:r>
        <w:rPr>
          <w:rFonts w:hint="cs"/>
          <w:rtl/>
          <w:lang w:bidi="ar-SY"/>
        </w:rPr>
        <w:t>1839</w:t>
      </w:r>
      <w:r w:rsidRPr="00517F04">
        <w:rPr>
          <w:rFonts w:hint="cs"/>
          <w:rtl/>
          <w:lang w:bidi="ar-SY"/>
        </w:rPr>
        <w:t>/</w:t>
      </w:r>
      <w:r>
        <w:rPr>
          <w:rFonts w:hint="cs"/>
          <w:rtl/>
          <w:lang w:bidi="ar-SY"/>
        </w:rPr>
        <w:t>2008</w:t>
      </w:r>
    </w:p>
    <w:p w:rsidR="00F14B62" w:rsidRDefault="00F14B62" w:rsidP="00F14B62">
      <w:pPr>
        <w:pStyle w:val="H1GA"/>
        <w:rPr>
          <w:rFonts w:hint="cs"/>
          <w:rtl/>
          <w:lang w:bidi="ar-SY"/>
        </w:rPr>
      </w:pPr>
      <w:r>
        <w:rPr>
          <w:rFonts w:hint="cs"/>
          <w:rtl/>
          <w:lang w:bidi="ar-SY"/>
        </w:rPr>
        <w:tab/>
      </w:r>
      <w:r>
        <w:rPr>
          <w:rFonts w:hint="cs"/>
          <w:rtl/>
          <w:lang w:bidi="ar-SY"/>
        </w:rPr>
        <w:tab/>
        <w:t xml:space="preserve">آراء اعتمدتها اللجنة في دورتها 109 (14 </w:t>
      </w:r>
      <w:r w:rsidRPr="00653E92">
        <w:rPr>
          <w:rFonts w:hint="cs"/>
          <w:rtl/>
          <w:lang w:bidi="ar-SY"/>
        </w:rPr>
        <w:t xml:space="preserve">تشرين الأول/أكتوبر </w:t>
      </w:r>
      <w:r>
        <w:rPr>
          <w:rFonts w:hint="cs"/>
          <w:rtl/>
          <w:lang w:bidi="ar-SY"/>
        </w:rPr>
        <w:t>-</w:t>
      </w:r>
      <w:r w:rsidRPr="00653E92">
        <w:rPr>
          <w:rFonts w:hint="cs"/>
          <w:rtl/>
          <w:lang w:bidi="ar-SY"/>
        </w:rPr>
        <w:t xml:space="preserve"> 1 تشرين الثاني/نوفمبر </w:t>
      </w:r>
      <w:r>
        <w:rPr>
          <w:rFonts w:hint="cs"/>
          <w:rtl/>
          <w:lang w:bidi="ar-SY"/>
        </w:rPr>
        <w:t>2013)</w:t>
      </w:r>
    </w:p>
    <w:p w:rsidR="00F14B62" w:rsidRPr="00B00CB1" w:rsidRDefault="00F14B62" w:rsidP="00B614D4">
      <w:pPr>
        <w:pStyle w:val="SingleTxtGA"/>
        <w:tabs>
          <w:tab w:val="clear" w:pos="4649"/>
          <w:tab w:val="left" w:pos="4958"/>
        </w:tabs>
        <w:ind w:left="4304" w:hanging="3057"/>
        <w:rPr>
          <w:rFonts w:hint="cs"/>
          <w:rtl/>
          <w:lang w:bidi="ar-SY"/>
        </w:rPr>
      </w:pPr>
      <w:r>
        <w:rPr>
          <w:rFonts w:hint="cs"/>
          <w:i/>
          <w:iCs/>
          <w:rtl/>
          <w:lang w:bidi="ar-SY"/>
        </w:rPr>
        <w:tab/>
      </w:r>
      <w:r w:rsidRPr="00200618">
        <w:rPr>
          <w:rFonts w:hint="cs"/>
          <w:i/>
          <w:iCs/>
          <w:rtl/>
          <w:lang w:bidi="ar-SY"/>
        </w:rPr>
        <w:t>المقدم من</w:t>
      </w:r>
      <w:r w:rsidRPr="00FE047F">
        <w:rPr>
          <w:rFonts w:hint="cs"/>
          <w:i/>
          <w:iCs/>
          <w:rtl/>
          <w:lang w:bidi="ar-SY"/>
        </w:rPr>
        <w:t>:</w:t>
      </w:r>
      <w:r>
        <w:rPr>
          <w:rFonts w:hint="cs"/>
          <w:i/>
          <w:iCs/>
          <w:rtl/>
          <w:lang w:bidi="ar-SY"/>
        </w:rPr>
        <w:tab/>
      </w:r>
      <w:r>
        <w:rPr>
          <w:rFonts w:hint="cs"/>
          <w:i/>
          <w:iCs/>
          <w:rtl/>
          <w:lang w:bidi="ar-SY"/>
        </w:rPr>
        <w:tab/>
      </w:r>
      <w:r w:rsidRPr="00200618">
        <w:rPr>
          <w:rFonts w:hint="cs"/>
          <w:i/>
          <w:iCs/>
          <w:rtl/>
          <w:lang w:bidi="ar-SY"/>
        </w:rPr>
        <w:tab/>
      </w:r>
      <w:proofErr w:type="spellStart"/>
      <w:r>
        <w:rPr>
          <w:rFonts w:hint="cs"/>
          <w:rtl/>
          <w:lang w:bidi="ar-SY"/>
        </w:rPr>
        <w:t>ألكساندر</w:t>
      </w:r>
      <w:proofErr w:type="spellEnd"/>
      <w:r>
        <w:rPr>
          <w:rFonts w:hint="cs"/>
          <w:rtl/>
          <w:lang w:bidi="ar-SY"/>
        </w:rPr>
        <w:t xml:space="preserve"> </w:t>
      </w:r>
      <w:proofErr w:type="spellStart"/>
      <w:r>
        <w:rPr>
          <w:rFonts w:hint="cs"/>
          <w:rtl/>
          <w:lang w:bidi="ar-SY"/>
        </w:rPr>
        <w:t>كوماروفسكي</w:t>
      </w:r>
      <w:proofErr w:type="spellEnd"/>
      <w:r>
        <w:rPr>
          <w:rFonts w:hint="cs"/>
          <w:rtl/>
          <w:lang w:bidi="ar-SY"/>
        </w:rPr>
        <w:t xml:space="preserve"> (لا يمثله محامٍ)</w:t>
      </w:r>
    </w:p>
    <w:p w:rsidR="00F14B62" w:rsidRPr="00200618" w:rsidRDefault="00F14B62" w:rsidP="00B614D4">
      <w:pPr>
        <w:pStyle w:val="SingleTxtGA"/>
        <w:tabs>
          <w:tab w:val="clear" w:pos="4649"/>
          <w:tab w:val="left" w:pos="4958"/>
        </w:tabs>
        <w:ind w:left="4304" w:hanging="3057"/>
        <w:rPr>
          <w:rFonts w:hint="cs"/>
          <w:rtl/>
          <w:lang w:bidi="ar-SY"/>
        </w:rPr>
      </w:pPr>
      <w:r>
        <w:rPr>
          <w:rFonts w:hint="cs"/>
          <w:rtl/>
          <w:lang w:bidi="ar-SY"/>
        </w:rPr>
        <w:tab/>
      </w:r>
      <w:r w:rsidR="00B711B4">
        <w:rPr>
          <w:rFonts w:hint="cs"/>
          <w:i/>
          <w:iCs/>
          <w:rtl/>
          <w:lang w:bidi="ar-SY"/>
        </w:rPr>
        <w:t>الشخص المدعى</w:t>
      </w:r>
      <w:r w:rsidRPr="00F14B62">
        <w:rPr>
          <w:rFonts w:hint="cs"/>
          <w:i/>
          <w:iCs/>
          <w:rtl/>
          <w:lang w:bidi="ar-SY"/>
        </w:rPr>
        <w:t xml:space="preserve"> أنه ضحية:</w:t>
      </w:r>
      <w:r>
        <w:rPr>
          <w:rFonts w:hint="cs"/>
          <w:rtl/>
          <w:lang w:bidi="ar-SY"/>
        </w:rPr>
        <w:tab/>
        <w:t xml:space="preserve">صاحب البلاغ </w:t>
      </w:r>
    </w:p>
    <w:p w:rsidR="00F14B62" w:rsidRPr="00200618" w:rsidRDefault="00F14B62" w:rsidP="00B614D4">
      <w:pPr>
        <w:pStyle w:val="SingleTxtGA"/>
        <w:tabs>
          <w:tab w:val="clear" w:pos="4649"/>
          <w:tab w:val="left" w:pos="4958"/>
        </w:tabs>
        <w:ind w:left="4304" w:hanging="3057"/>
        <w:rPr>
          <w:rFonts w:hint="cs"/>
          <w:rtl/>
          <w:lang w:bidi="ar-SY"/>
        </w:rPr>
      </w:pPr>
      <w:r>
        <w:rPr>
          <w:rFonts w:hint="cs"/>
          <w:rtl/>
          <w:lang w:bidi="ar-SY"/>
        </w:rPr>
        <w:tab/>
      </w:r>
      <w:r w:rsidRPr="00F14B62">
        <w:rPr>
          <w:rFonts w:hint="cs"/>
          <w:i/>
          <w:iCs/>
          <w:rtl/>
          <w:lang w:bidi="ar-SY"/>
        </w:rPr>
        <w:t>الدولة الطرف:</w:t>
      </w:r>
      <w:r>
        <w:rPr>
          <w:rFonts w:hint="cs"/>
          <w:rtl/>
          <w:lang w:bidi="ar-SY"/>
        </w:rPr>
        <w:tab/>
      </w:r>
      <w:r>
        <w:rPr>
          <w:rFonts w:hint="cs"/>
          <w:rtl/>
          <w:lang w:bidi="ar-SY"/>
        </w:rPr>
        <w:tab/>
      </w:r>
      <w:r w:rsidRPr="00200618">
        <w:rPr>
          <w:rFonts w:hint="cs"/>
          <w:rtl/>
          <w:lang w:bidi="ar-SY"/>
        </w:rPr>
        <w:tab/>
      </w:r>
      <w:r>
        <w:rPr>
          <w:rFonts w:hint="cs"/>
          <w:rtl/>
          <w:lang w:bidi="ar-SY"/>
        </w:rPr>
        <w:t>بيلاروس</w:t>
      </w:r>
    </w:p>
    <w:p w:rsidR="00F14B62" w:rsidRPr="00F14B62" w:rsidRDefault="00F14B62" w:rsidP="00B614D4">
      <w:pPr>
        <w:pStyle w:val="SingleTxtGA"/>
        <w:tabs>
          <w:tab w:val="clear" w:pos="4649"/>
          <w:tab w:val="left" w:pos="4958"/>
        </w:tabs>
        <w:ind w:left="4304" w:hanging="3057"/>
        <w:rPr>
          <w:rFonts w:hint="cs"/>
          <w:spacing w:val="-4"/>
          <w:rtl/>
          <w:lang w:bidi="ar-SY"/>
        </w:rPr>
      </w:pPr>
      <w:r w:rsidRPr="00F14B62">
        <w:rPr>
          <w:rFonts w:hint="cs"/>
          <w:i/>
          <w:iCs/>
          <w:spacing w:val="-4"/>
          <w:rtl/>
          <w:lang w:bidi="ar-SY"/>
        </w:rPr>
        <w:tab/>
        <w:t>تاريخ تقديم البلاغ:</w:t>
      </w:r>
      <w:r w:rsidRPr="00F14B62">
        <w:rPr>
          <w:rFonts w:hint="cs"/>
          <w:i/>
          <w:iCs/>
          <w:spacing w:val="-4"/>
          <w:rtl/>
          <w:lang w:bidi="ar-SY"/>
        </w:rPr>
        <w:tab/>
      </w:r>
      <w:r w:rsidRPr="00F14B62">
        <w:rPr>
          <w:rFonts w:hint="cs"/>
          <w:spacing w:val="-4"/>
          <w:rtl/>
          <w:lang w:bidi="ar-SY"/>
        </w:rPr>
        <w:tab/>
        <w:t xml:space="preserve">7 آب/أغسطس 2008 </w:t>
      </w:r>
      <w:r w:rsidRPr="00F14B62">
        <w:rPr>
          <w:spacing w:val="-4"/>
          <w:rtl/>
          <w:lang w:bidi="ar-SY"/>
        </w:rPr>
        <w:t>(تاريخ تقديم الرسالة الأولى)</w:t>
      </w:r>
    </w:p>
    <w:p w:rsidR="00F14B62" w:rsidRPr="00453F92" w:rsidRDefault="00F14B62" w:rsidP="00B614D4">
      <w:pPr>
        <w:pStyle w:val="SingleTxtGA"/>
        <w:tabs>
          <w:tab w:val="clear" w:pos="4649"/>
          <w:tab w:val="left" w:pos="4958"/>
        </w:tabs>
        <w:ind w:left="4304" w:hanging="3057"/>
        <w:rPr>
          <w:rFonts w:hint="cs"/>
          <w:rtl/>
          <w:lang w:bidi="ar-SY"/>
        </w:rPr>
      </w:pPr>
      <w:r>
        <w:rPr>
          <w:rFonts w:hint="cs"/>
          <w:i/>
          <w:iCs/>
          <w:rtl/>
          <w:lang w:bidi="ar-SY"/>
        </w:rPr>
        <w:tab/>
        <w:t>الوثائق المرجعية</w:t>
      </w:r>
      <w:r w:rsidRPr="00FE047F">
        <w:rPr>
          <w:rFonts w:hint="cs"/>
          <w:i/>
          <w:iCs/>
          <w:rtl/>
          <w:lang w:bidi="ar-SY"/>
        </w:rPr>
        <w:t>:</w:t>
      </w:r>
      <w:r>
        <w:rPr>
          <w:rFonts w:hint="cs"/>
          <w:i/>
          <w:iCs/>
          <w:rtl/>
          <w:lang w:bidi="ar-SY"/>
        </w:rPr>
        <w:tab/>
      </w:r>
      <w:r>
        <w:rPr>
          <w:rFonts w:hint="cs"/>
          <w:i/>
          <w:iCs/>
          <w:rtl/>
          <w:lang w:bidi="ar-SY"/>
        </w:rPr>
        <w:tab/>
      </w:r>
      <w:r>
        <w:rPr>
          <w:rFonts w:hint="cs"/>
          <w:rtl/>
          <w:lang w:bidi="ar-SY"/>
        </w:rPr>
        <w:tab/>
        <w:t>ق</w:t>
      </w:r>
      <w:r w:rsidRPr="00453F92">
        <w:rPr>
          <w:rtl/>
        </w:rPr>
        <w:t>رار المقرر الخاص بموجب المادة 97 من الن</w:t>
      </w:r>
      <w:r>
        <w:rPr>
          <w:rtl/>
        </w:rPr>
        <w:t>ظام الداخلي، الم</w:t>
      </w:r>
      <w:r>
        <w:rPr>
          <w:rFonts w:hint="cs"/>
          <w:rtl/>
        </w:rPr>
        <w:t>ح</w:t>
      </w:r>
      <w:r w:rsidRPr="00453F92">
        <w:rPr>
          <w:rtl/>
        </w:rPr>
        <w:t xml:space="preserve">ال إلى الدولة الطرف في </w:t>
      </w:r>
      <w:r>
        <w:rPr>
          <w:rFonts w:hint="cs"/>
          <w:rtl/>
        </w:rPr>
        <w:t>10 كانون الأول/ديسمبر 2008 (لم يصدر في شكل وثيقة)</w:t>
      </w:r>
    </w:p>
    <w:p w:rsidR="00F14B62" w:rsidRDefault="00F14B62" w:rsidP="00B614D4">
      <w:pPr>
        <w:pStyle w:val="SingleTxtGA"/>
        <w:tabs>
          <w:tab w:val="clear" w:pos="4649"/>
          <w:tab w:val="left" w:pos="4958"/>
        </w:tabs>
        <w:ind w:left="4304" w:hanging="3057"/>
        <w:rPr>
          <w:rFonts w:hint="cs"/>
          <w:rtl/>
        </w:rPr>
      </w:pPr>
      <w:r>
        <w:rPr>
          <w:rFonts w:hint="cs"/>
          <w:rtl/>
          <w:lang w:bidi="ar-SY"/>
        </w:rPr>
        <w:tab/>
      </w:r>
      <w:r w:rsidRPr="005634A8">
        <w:rPr>
          <w:rFonts w:hint="cs"/>
          <w:i/>
          <w:iCs/>
          <w:rtl/>
          <w:lang w:bidi="ar-SY"/>
        </w:rPr>
        <w:t>تاريخ اعتماد الآراء</w:t>
      </w:r>
      <w:r w:rsidRPr="00FE047F">
        <w:rPr>
          <w:rFonts w:hint="cs"/>
          <w:i/>
          <w:iCs/>
          <w:rtl/>
          <w:lang w:bidi="ar-SY"/>
        </w:rPr>
        <w:t>:</w:t>
      </w:r>
      <w:r>
        <w:rPr>
          <w:rFonts w:hint="cs"/>
          <w:rtl/>
          <w:lang w:bidi="ar-SY"/>
        </w:rPr>
        <w:tab/>
      </w:r>
      <w:r>
        <w:rPr>
          <w:rFonts w:hint="cs"/>
          <w:rtl/>
          <w:lang w:bidi="ar-SY"/>
        </w:rPr>
        <w:tab/>
      </w:r>
      <w:r>
        <w:rPr>
          <w:rFonts w:hint="cs"/>
          <w:rtl/>
        </w:rPr>
        <w:t>25 تشرين الأول/أكتوبر 2013</w:t>
      </w:r>
    </w:p>
    <w:p w:rsidR="00F14B62" w:rsidRPr="00BD1050" w:rsidRDefault="00F14B62" w:rsidP="00B614D4">
      <w:pPr>
        <w:pStyle w:val="SingleTxtGA"/>
        <w:tabs>
          <w:tab w:val="clear" w:pos="4649"/>
          <w:tab w:val="left" w:pos="4958"/>
        </w:tabs>
        <w:ind w:left="4304" w:hanging="3057"/>
        <w:rPr>
          <w:rFonts w:hint="cs"/>
          <w:rtl/>
          <w:lang w:bidi="ar-SY"/>
        </w:rPr>
      </w:pPr>
      <w:r>
        <w:rPr>
          <w:rFonts w:hint="cs"/>
          <w:i/>
          <w:iCs/>
          <w:rtl/>
          <w:lang w:bidi="ar-SY"/>
        </w:rPr>
        <w:tab/>
        <w:t>الموضوع</w:t>
      </w:r>
      <w:r w:rsidRPr="00FE047F">
        <w:rPr>
          <w:rFonts w:hint="cs"/>
          <w:i/>
          <w:iCs/>
          <w:rtl/>
          <w:lang w:bidi="ar-SY"/>
        </w:rPr>
        <w:t>:</w:t>
      </w:r>
      <w:r>
        <w:rPr>
          <w:rFonts w:hint="cs"/>
          <w:i/>
          <w:iCs/>
          <w:rtl/>
          <w:lang w:bidi="ar-SY"/>
        </w:rPr>
        <w:tab/>
      </w:r>
      <w:r>
        <w:rPr>
          <w:rFonts w:hint="cs"/>
          <w:i/>
          <w:iCs/>
          <w:rtl/>
          <w:lang w:bidi="ar-SY"/>
        </w:rPr>
        <w:tab/>
      </w:r>
      <w:r w:rsidRPr="00BD1050">
        <w:rPr>
          <w:rFonts w:hint="cs"/>
          <w:rtl/>
          <w:lang w:bidi="ar-SY"/>
        </w:rPr>
        <w:tab/>
      </w:r>
      <w:r>
        <w:rPr>
          <w:rFonts w:hint="cs"/>
          <w:rtl/>
          <w:lang w:bidi="ar-SY"/>
        </w:rPr>
        <w:t>حرية التعبير؛ التجمع السلمي</w:t>
      </w:r>
    </w:p>
    <w:p w:rsidR="00F14B62" w:rsidRPr="00B614D4" w:rsidRDefault="00F14B62" w:rsidP="00B614D4">
      <w:pPr>
        <w:pStyle w:val="SingleTxtGA"/>
        <w:tabs>
          <w:tab w:val="clear" w:pos="4649"/>
          <w:tab w:val="left" w:pos="4958"/>
        </w:tabs>
        <w:ind w:left="4304" w:hanging="3057"/>
        <w:rPr>
          <w:rFonts w:hint="cs"/>
          <w:i/>
          <w:iCs/>
          <w:spacing w:val="-6"/>
          <w:rtl/>
        </w:rPr>
      </w:pPr>
      <w:r w:rsidRPr="00B614D4">
        <w:rPr>
          <w:rFonts w:hint="cs"/>
          <w:i/>
          <w:iCs/>
          <w:spacing w:val="-6"/>
          <w:rtl/>
          <w:lang w:bidi="ar-SY"/>
        </w:rPr>
        <w:tab/>
        <w:t>المسائل</w:t>
      </w:r>
      <w:r w:rsidRPr="00B614D4">
        <w:rPr>
          <w:rFonts w:hint="cs"/>
          <w:i/>
          <w:iCs/>
          <w:spacing w:val="-6"/>
          <w:rtl/>
        </w:rPr>
        <w:t xml:space="preserve"> الإجرائية</w:t>
      </w:r>
      <w:r w:rsidRPr="00B614D4">
        <w:rPr>
          <w:rFonts w:hint="cs"/>
          <w:i/>
          <w:iCs/>
          <w:spacing w:val="-6"/>
          <w:rtl/>
          <w:lang w:bidi="ar-SY"/>
        </w:rPr>
        <w:t>:</w:t>
      </w:r>
      <w:r w:rsidRPr="00B614D4">
        <w:rPr>
          <w:rFonts w:hint="cs"/>
          <w:i/>
          <w:iCs/>
          <w:spacing w:val="-6"/>
          <w:rtl/>
          <w:lang w:bidi="ar-SY"/>
        </w:rPr>
        <w:tab/>
      </w:r>
      <w:r w:rsidRPr="00B614D4">
        <w:rPr>
          <w:rFonts w:hint="cs"/>
          <w:i/>
          <w:iCs/>
          <w:spacing w:val="-6"/>
          <w:rtl/>
          <w:lang w:bidi="ar-SY"/>
        </w:rPr>
        <w:tab/>
      </w:r>
      <w:r w:rsidRPr="00B614D4">
        <w:rPr>
          <w:rFonts w:hint="cs"/>
          <w:spacing w:val="-6"/>
          <w:rtl/>
          <w:lang w:bidi="ar-SY"/>
        </w:rPr>
        <w:tab/>
      </w:r>
      <w:r w:rsidRPr="00B614D4">
        <w:rPr>
          <w:rFonts w:hint="cs"/>
          <w:spacing w:val="-6"/>
          <w:rtl/>
        </w:rPr>
        <w:t>استنفاد سبل الانتصاف المحلية؛ مستوى إثبات الادعاءات</w:t>
      </w:r>
    </w:p>
    <w:p w:rsidR="00F14B62" w:rsidRPr="00B614D4" w:rsidRDefault="00F14B62" w:rsidP="00B614D4">
      <w:pPr>
        <w:pStyle w:val="SingleTxtGA"/>
        <w:tabs>
          <w:tab w:val="clear" w:pos="4649"/>
          <w:tab w:val="left" w:pos="4958"/>
        </w:tabs>
        <w:ind w:left="4304" w:hanging="3057"/>
        <w:rPr>
          <w:rFonts w:hint="cs"/>
          <w:spacing w:val="-6"/>
          <w:rtl/>
          <w:lang w:bidi="ar-SY"/>
        </w:rPr>
      </w:pPr>
      <w:r w:rsidRPr="00B614D4">
        <w:rPr>
          <w:rFonts w:hint="cs"/>
          <w:i/>
          <w:iCs/>
          <w:spacing w:val="-6"/>
          <w:rtl/>
        </w:rPr>
        <w:tab/>
        <w:t xml:space="preserve">المسائل </w:t>
      </w:r>
      <w:r w:rsidRPr="00B614D4">
        <w:rPr>
          <w:rFonts w:hint="cs"/>
          <w:i/>
          <w:iCs/>
          <w:spacing w:val="-6"/>
          <w:rtl/>
          <w:lang w:bidi="ar-SY"/>
        </w:rPr>
        <w:t>الموضوعية</w:t>
      </w:r>
      <w:r w:rsidRPr="00B614D4">
        <w:rPr>
          <w:rFonts w:hint="cs"/>
          <w:i/>
          <w:iCs/>
          <w:spacing w:val="-6"/>
          <w:rtl/>
        </w:rPr>
        <w:t>:</w:t>
      </w:r>
      <w:r w:rsidRPr="00B614D4">
        <w:rPr>
          <w:rFonts w:hint="cs"/>
          <w:spacing w:val="-6"/>
          <w:rtl/>
        </w:rPr>
        <w:tab/>
      </w:r>
      <w:r w:rsidRPr="00B614D4">
        <w:rPr>
          <w:rFonts w:hint="cs"/>
          <w:spacing w:val="-6"/>
          <w:rtl/>
        </w:rPr>
        <w:tab/>
      </w:r>
      <w:r w:rsidR="00B711B4">
        <w:rPr>
          <w:spacing w:val="-6"/>
          <w:rtl/>
        </w:rPr>
        <w:tab/>
      </w:r>
      <w:r w:rsidRPr="00B614D4">
        <w:rPr>
          <w:rFonts w:hint="cs"/>
          <w:spacing w:val="-6"/>
          <w:rtl/>
        </w:rPr>
        <w:t xml:space="preserve">قيود غير مقبولة </w:t>
      </w:r>
      <w:r w:rsidRPr="00B614D4">
        <w:rPr>
          <w:rFonts w:hint="cs"/>
          <w:spacing w:val="-6"/>
          <w:rtl/>
          <w:lang w:bidi="ar-SY"/>
        </w:rPr>
        <w:t>على حرية التعبير وحرية التجمع السلمي</w:t>
      </w:r>
    </w:p>
    <w:p w:rsidR="00F14B62" w:rsidRDefault="00F14B62" w:rsidP="00B614D4">
      <w:pPr>
        <w:pStyle w:val="SingleTxtGA"/>
        <w:tabs>
          <w:tab w:val="clear" w:pos="4649"/>
          <w:tab w:val="left" w:pos="4958"/>
        </w:tabs>
        <w:ind w:left="4304" w:hanging="3057"/>
        <w:rPr>
          <w:rFonts w:hint="cs"/>
          <w:rtl/>
        </w:rPr>
      </w:pPr>
      <w:r>
        <w:rPr>
          <w:rFonts w:hint="cs"/>
          <w:i/>
          <w:iCs/>
          <w:rtl/>
        </w:rPr>
        <w:tab/>
        <w:t>مواد العهد</w:t>
      </w:r>
      <w:r w:rsidRPr="00FE047F">
        <w:rPr>
          <w:rFonts w:hint="cs"/>
          <w:i/>
          <w:iCs/>
          <w:rtl/>
        </w:rPr>
        <w:t>:</w:t>
      </w:r>
      <w:r>
        <w:rPr>
          <w:rFonts w:hint="cs"/>
          <w:i/>
          <w:iCs/>
          <w:rtl/>
        </w:rPr>
        <w:tab/>
      </w:r>
      <w:r>
        <w:rPr>
          <w:rFonts w:hint="cs"/>
          <w:i/>
          <w:iCs/>
          <w:rtl/>
        </w:rPr>
        <w:tab/>
      </w:r>
      <w:r>
        <w:rPr>
          <w:rFonts w:hint="cs"/>
          <w:i/>
          <w:iCs/>
          <w:rtl/>
        </w:rPr>
        <w:tab/>
      </w:r>
      <w:r>
        <w:rPr>
          <w:rFonts w:hint="cs"/>
          <w:rtl/>
        </w:rPr>
        <w:t>المادة</w:t>
      </w:r>
      <w:r>
        <w:rPr>
          <w:rFonts w:hint="eastAsia"/>
          <w:rtl/>
        </w:rPr>
        <w:t> </w:t>
      </w:r>
      <w:r>
        <w:rPr>
          <w:rFonts w:hint="cs"/>
          <w:rtl/>
        </w:rPr>
        <w:t>19 (الفقرة 2) والمادة 21</w:t>
      </w:r>
    </w:p>
    <w:p w:rsidR="00F14B62" w:rsidRPr="00C832C3" w:rsidRDefault="00F14B62" w:rsidP="00B614D4">
      <w:pPr>
        <w:pStyle w:val="SingleTxtGA"/>
        <w:tabs>
          <w:tab w:val="clear" w:pos="4649"/>
          <w:tab w:val="left" w:pos="4958"/>
        </w:tabs>
        <w:ind w:left="4304" w:hanging="3057"/>
        <w:rPr>
          <w:rFonts w:hint="cs"/>
          <w:rtl/>
        </w:rPr>
      </w:pPr>
      <w:r>
        <w:rPr>
          <w:rFonts w:hint="cs"/>
          <w:i/>
          <w:iCs/>
          <w:rtl/>
        </w:rPr>
        <w:tab/>
      </w:r>
      <w:r w:rsidRPr="00C832C3">
        <w:rPr>
          <w:rFonts w:hint="cs"/>
          <w:i/>
          <w:iCs/>
          <w:rtl/>
        </w:rPr>
        <w:t>مواد</w:t>
      </w:r>
      <w:r>
        <w:rPr>
          <w:rFonts w:hint="cs"/>
          <w:i/>
          <w:iCs/>
          <w:rtl/>
        </w:rPr>
        <w:t xml:space="preserve"> البروتوكول الاختياري</w:t>
      </w:r>
      <w:r w:rsidRPr="00FE047F">
        <w:rPr>
          <w:rFonts w:hint="cs"/>
          <w:i/>
          <w:iCs/>
          <w:rtl/>
        </w:rPr>
        <w:t>:</w:t>
      </w:r>
      <w:r>
        <w:rPr>
          <w:rFonts w:hint="cs"/>
          <w:rtl/>
        </w:rPr>
        <w:tab/>
        <w:t>المادة 2 والمادة 5 (الفقرة 2(ب))</w:t>
      </w:r>
    </w:p>
    <w:p w:rsidR="00F14B62" w:rsidRPr="00200618" w:rsidRDefault="00F14B62" w:rsidP="008B3599">
      <w:pPr>
        <w:pStyle w:val="HChGA"/>
        <w:spacing w:before="120"/>
        <w:rPr>
          <w:rFonts w:hint="cs"/>
          <w:rtl/>
          <w:lang w:bidi="ar-SY"/>
        </w:rPr>
      </w:pPr>
      <w:r w:rsidRPr="00200618">
        <w:rPr>
          <w:rFonts w:hint="cs"/>
          <w:rtl/>
          <w:lang w:bidi="ar-SY"/>
        </w:rPr>
        <w:t>المرفق</w:t>
      </w:r>
    </w:p>
    <w:p w:rsidR="00F14B62" w:rsidRPr="00FE047F" w:rsidRDefault="00F14B62" w:rsidP="00F14B62">
      <w:pPr>
        <w:pStyle w:val="HChGA"/>
        <w:rPr>
          <w:rFonts w:hint="cs"/>
          <w:rtl/>
          <w:lang w:bidi="ar-SY"/>
        </w:rPr>
      </w:pPr>
      <w:r>
        <w:rPr>
          <w:rFonts w:hint="cs"/>
          <w:rtl/>
          <w:lang w:bidi="ar-SY"/>
        </w:rPr>
        <w:tab/>
      </w:r>
      <w:r>
        <w:rPr>
          <w:rFonts w:hint="cs"/>
          <w:rtl/>
          <w:lang w:bidi="ar-SY"/>
        </w:rPr>
        <w:tab/>
      </w:r>
      <w:r w:rsidRPr="00C832C3">
        <w:rPr>
          <w:lang w:bidi="ar-SY"/>
        </w:rPr>
        <w:t> </w:t>
      </w:r>
      <w:r w:rsidRPr="00C832C3">
        <w:rPr>
          <w:rtl/>
          <w:lang/>
        </w:rPr>
        <w:t>آراء اللجنة المعنية بحقوق الإنسان بموجب الفقرة 4 من المادة 5 من البروتوكول الاختياري الملحق بالعهد الدولي </w:t>
      </w:r>
      <w:r w:rsidRPr="00C832C3">
        <w:rPr>
          <w:rtl/>
        </w:rPr>
        <w:t>الخاص بالحقوق المدنية والسياسية</w:t>
      </w:r>
      <w:r w:rsidRPr="00200618">
        <w:rPr>
          <w:rFonts w:hint="cs"/>
          <w:rtl/>
          <w:lang w:bidi="ar-SY"/>
        </w:rPr>
        <w:t xml:space="preserve"> </w:t>
      </w:r>
      <w:r w:rsidRPr="00F14B62">
        <w:rPr>
          <w:rFonts w:hint="cs"/>
          <w:b w:val="0"/>
          <w:bCs w:val="0"/>
          <w:rtl/>
          <w:lang w:bidi="ar-SY"/>
        </w:rPr>
        <w:t>(الدورة 109)</w:t>
      </w:r>
    </w:p>
    <w:p w:rsidR="00F14B62" w:rsidRPr="00200618" w:rsidRDefault="00F14B62" w:rsidP="00F14B62">
      <w:pPr>
        <w:pStyle w:val="SingleTxtGA"/>
        <w:rPr>
          <w:rFonts w:hint="cs"/>
          <w:rtl/>
          <w:lang w:bidi="ar-SY"/>
        </w:rPr>
      </w:pPr>
      <w:r w:rsidRPr="00200618">
        <w:rPr>
          <w:rFonts w:hint="cs"/>
          <w:rtl/>
          <w:lang w:bidi="ar-SY"/>
        </w:rPr>
        <w:t>بشأن</w:t>
      </w:r>
    </w:p>
    <w:p w:rsidR="00F14B62" w:rsidRPr="00200618" w:rsidRDefault="00F14B62" w:rsidP="00F14B62">
      <w:pPr>
        <w:pStyle w:val="H1GA"/>
        <w:rPr>
          <w:rFonts w:hint="cs"/>
          <w:rtl/>
          <w:lang w:bidi="ar-SY"/>
        </w:rPr>
      </w:pPr>
      <w:r>
        <w:rPr>
          <w:rFonts w:hint="cs"/>
          <w:rtl/>
          <w:lang w:bidi="ar-SY"/>
        </w:rPr>
        <w:tab/>
      </w:r>
      <w:r>
        <w:rPr>
          <w:rFonts w:hint="cs"/>
          <w:rtl/>
          <w:lang w:bidi="ar-SY"/>
        </w:rPr>
        <w:tab/>
      </w:r>
      <w:r w:rsidRPr="00200618">
        <w:rPr>
          <w:rFonts w:hint="cs"/>
          <w:rtl/>
          <w:lang w:bidi="ar-SY"/>
        </w:rPr>
        <w:t xml:space="preserve">البلاغ رقم </w:t>
      </w:r>
      <w:r>
        <w:rPr>
          <w:rFonts w:hint="cs"/>
          <w:rtl/>
          <w:lang w:bidi="ar-SY"/>
        </w:rPr>
        <w:t>1839</w:t>
      </w:r>
      <w:r w:rsidRPr="00200618">
        <w:rPr>
          <w:rFonts w:hint="cs"/>
          <w:rtl/>
          <w:lang w:bidi="ar-SY"/>
        </w:rPr>
        <w:t>/</w:t>
      </w:r>
      <w:r>
        <w:rPr>
          <w:rFonts w:hint="cs"/>
          <w:rtl/>
          <w:lang w:bidi="ar-SY"/>
        </w:rPr>
        <w:t>2008</w:t>
      </w:r>
      <w:r w:rsidRPr="001E6466">
        <w:rPr>
          <w:rStyle w:val="FootnoteReference"/>
          <w:b/>
          <w:bCs w:val="0"/>
          <w:sz w:val="20"/>
          <w:vertAlign w:val="baseline"/>
          <w:rtl/>
          <w:lang w:bidi="ar-SY"/>
        </w:rPr>
        <w:footnoteReference w:customMarkFollows="1" w:id="1"/>
        <w:t>*</w:t>
      </w:r>
    </w:p>
    <w:p w:rsidR="00F14B62" w:rsidRPr="00B00CB1" w:rsidRDefault="00F14B62" w:rsidP="00F14B62">
      <w:pPr>
        <w:pStyle w:val="SingleTxtGA"/>
        <w:tabs>
          <w:tab w:val="clear" w:pos="4649"/>
        </w:tabs>
        <w:ind w:left="4360" w:hanging="3113"/>
        <w:rPr>
          <w:rFonts w:hint="cs"/>
          <w:rtl/>
          <w:lang w:bidi="ar-SY"/>
        </w:rPr>
      </w:pPr>
      <w:r>
        <w:rPr>
          <w:rFonts w:hint="cs"/>
          <w:i/>
          <w:iCs/>
          <w:rtl/>
          <w:lang w:bidi="ar-SY"/>
        </w:rPr>
        <w:tab/>
      </w:r>
      <w:r w:rsidRPr="00200618">
        <w:rPr>
          <w:rFonts w:hint="cs"/>
          <w:i/>
          <w:iCs/>
          <w:rtl/>
          <w:lang w:bidi="ar-SY"/>
        </w:rPr>
        <w:t>المقدم من</w:t>
      </w:r>
      <w:r w:rsidRPr="00FE047F">
        <w:rPr>
          <w:rFonts w:hint="cs"/>
          <w:i/>
          <w:iCs/>
          <w:rtl/>
          <w:lang w:bidi="ar-SY"/>
        </w:rPr>
        <w:t>:</w:t>
      </w:r>
      <w:r>
        <w:rPr>
          <w:rFonts w:hint="cs"/>
          <w:i/>
          <w:iCs/>
          <w:rtl/>
          <w:lang w:bidi="ar-SY"/>
        </w:rPr>
        <w:tab/>
      </w:r>
      <w:r>
        <w:rPr>
          <w:rFonts w:hint="cs"/>
          <w:i/>
          <w:iCs/>
          <w:rtl/>
          <w:lang w:bidi="ar-SY"/>
        </w:rPr>
        <w:tab/>
      </w:r>
      <w:r w:rsidRPr="00200618">
        <w:rPr>
          <w:rFonts w:hint="cs"/>
          <w:i/>
          <w:iCs/>
          <w:rtl/>
          <w:lang w:bidi="ar-SY"/>
        </w:rPr>
        <w:tab/>
      </w:r>
      <w:proofErr w:type="spellStart"/>
      <w:r>
        <w:rPr>
          <w:rFonts w:hint="cs"/>
          <w:rtl/>
          <w:lang w:bidi="ar-SY"/>
        </w:rPr>
        <w:t>ألكساندر</w:t>
      </w:r>
      <w:proofErr w:type="spellEnd"/>
      <w:r>
        <w:rPr>
          <w:rFonts w:hint="cs"/>
          <w:rtl/>
          <w:lang w:bidi="ar-SY"/>
        </w:rPr>
        <w:t xml:space="preserve"> </w:t>
      </w:r>
      <w:proofErr w:type="spellStart"/>
      <w:r>
        <w:rPr>
          <w:rFonts w:hint="cs"/>
          <w:rtl/>
          <w:lang w:bidi="ar-SY"/>
        </w:rPr>
        <w:t>كوماروفسكي</w:t>
      </w:r>
      <w:proofErr w:type="spellEnd"/>
      <w:r>
        <w:rPr>
          <w:rFonts w:hint="cs"/>
          <w:rtl/>
          <w:lang w:bidi="ar-SY"/>
        </w:rPr>
        <w:t xml:space="preserve"> (لا يمثله محامٍ)</w:t>
      </w:r>
    </w:p>
    <w:p w:rsidR="00F14B62" w:rsidRPr="00200618" w:rsidRDefault="00F14B62" w:rsidP="00F14B62">
      <w:pPr>
        <w:pStyle w:val="SingleTxtGA"/>
        <w:tabs>
          <w:tab w:val="clear" w:pos="4649"/>
        </w:tabs>
        <w:ind w:left="4360" w:hanging="3113"/>
        <w:rPr>
          <w:rFonts w:hint="cs"/>
          <w:rtl/>
          <w:lang w:bidi="ar-SY"/>
        </w:rPr>
      </w:pPr>
      <w:r>
        <w:rPr>
          <w:rFonts w:hint="cs"/>
          <w:rtl/>
          <w:lang w:bidi="ar-SY"/>
        </w:rPr>
        <w:tab/>
      </w:r>
      <w:r>
        <w:rPr>
          <w:rFonts w:hint="cs"/>
          <w:i/>
          <w:iCs/>
          <w:rtl/>
          <w:lang w:bidi="ar-SY"/>
        </w:rPr>
        <w:t>الشخص المدعى</w:t>
      </w:r>
      <w:r w:rsidRPr="00F14B62">
        <w:rPr>
          <w:rFonts w:hint="cs"/>
          <w:i/>
          <w:iCs/>
          <w:rtl/>
          <w:lang w:bidi="ar-SY"/>
        </w:rPr>
        <w:t xml:space="preserve"> أنه ضحية:</w:t>
      </w:r>
      <w:r>
        <w:rPr>
          <w:rFonts w:hint="cs"/>
          <w:rtl/>
          <w:lang w:bidi="ar-SY"/>
        </w:rPr>
        <w:tab/>
        <w:t xml:space="preserve">صاحب البلاغ </w:t>
      </w:r>
    </w:p>
    <w:p w:rsidR="00F14B62" w:rsidRPr="00200618" w:rsidRDefault="00F14B62" w:rsidP="00F14B62">
      <w:pPr>
        <w:pStyle w:val="SingleTxtGA"/>
        <w:tabs>
          <w:tab w:val="clear" w:pos="4649"/>
        </w:tabs>
        <w:ind w:left="4360" w:hanging="3113"/>
        <w:rPr>
          <w:rFonts w:hint="cs"/>
          <w:rtl/>
          <w:lang w:bidi="ar-SY"/>
        </w:rPr>
      </w:pPr>
      <w:r>
        <w:rPr>
          <w:rFonts w:hint="cs"/>
          <w:rtl/>
          <w:lang w:bidi="ar-SY"/>
        </w:rPr>
        <w:tab/>
      </w:r>
      <w:r w:rsidRPr="00F14B62">
        <w:rPr>
          <w:rFonts w:hint="cs"/>
          <w:i/>
          <w:iCs/>
          <w:rtl/>
          <w:lang w:bidi="ar-SY"/>
        </w:rPr>
        <w:t>الدولة الطرف:</w:t>
      </w:r>
      <w:r w:rsidRPr="00F14B62">
        <w:rPr>
          <w:rFonts w:hint="cs"/>
          <w:i/>
          <w:iCs/>
          <w:rtl/>
          <w:lang w:bidi="ar-SY"/>
        </w:rPr>
        <w:tab/>
      </w:r>
      <w:r>
        <w:rPr>
          <w:rFonts w:hint="cs"/>
          <w:rtl/>
          <w:lang w:bidi="ar-SY"/>
        </w:rPr>
        <w:tab/>
      </w:r>
      <w:r w:rsidRPr="00200618">
        <w:rPr>
          <w:rFonts w:hint="cs"/>
          <w:rtl/>
          <w:lang w:bidi="ar-SY"/>
        </w:rPr>
        <w:tab/>
      </w:r>
      <w:r>
        <w:rPr>
          <w:rFonts w:hint="cs"/>
          <w:rtl/>
          <w:lang w:bidi="ar-SY"/>
        </w:rPr>
        <w:t>بيلاروس</w:t>
      </w:r>
    </w:p>
    <w:p w:rsidR="00F14B62" w:rsidRPr="00F14B62" w:rsidRDefault="00F14B62" w:rsidP="00F14B62">
      <w:pPr>
        <w:pStyle w:val="SingleTxtGA"/>
        <w:tabs>
          <w:tab w:val="clear" w:pos="4649"/>
        </w:tabs>
        <w:ind w:left="4360" w:hanging="3113"/>
        <w:rPr>
          <w:rFonts w:hint="cs"/>
          <w:spacing w:val="-2"/>
          <w:rtl/>
          <w:lang w:bidi="ar-SY"/>
        </w:rPr>
      </w:pPr>
      <w:r w:rsidRPr="00F14B62">
        <w:rPr>
          <w:rFonts w:hint="cs"/>
          <w:i/>
          <w:iCs/>
          <w:spacing w:val="-2"/>
          <w:rtl/>
          <w:lang w:bidi="ar-SY"/>
        </w:rPr>
        <w:tab/>
        <w:t>تاريخ تقديم البلاغ:</w:t>
      </w:r>
      <w:r w:rsidRPr="00F14B62">
        <w:rPr>
          <w:rFonts w:hint="cs"/>
          <w:i/>
          <w:iCs/>
          <w:spacing w:val="-2"/>
          <w:rtl/>
          <w:lang w:bidi="ar-SY"/>
        </w:rPr>
        <w:tab/>
      </w:r>
      <w:r w:rsidRPr="00F14B62">
        <w:rPr>
          <w:rFonts w:hint="cs"/>
          <w:spacing w:val="-2"/>
          <w:rtl/>
          <w:lang w:bidi="ar-SY"/>
        </w:rPr>
        <w:tab/>
        <w:t xml:space="preserve">7 آب/أغسطس 2008 </w:t>
      </w:r>
      <w:r w:rsidRPr="00F14B62">
        <w:rPr>
          <w:spacing w:val="-2"/>
          <w:rtl/>
          <w:lang w:bidi="ar-SY"/>
        </w:rPr>
        <w:t>(تاريخ تقديم الرسالة الأولى)</w:t>
      </w:r>
    </w:p>
    <w:p w:rsidR="00F14B62" w:rsidRPr="00200618" w:rsidRDefault="00F14B62" w:rsidP="00F14B62">
      <w:pPr>
        <w:pStyle w:val="SingleTxtGA"/>
        <w:rPr>
          <w:rFonts w:hint="cs"/>
          <w:sz w:val="30"/>
          <w:szCs w:val="20"/>
          <w:rtl/>
        </w:rPr>
      </w:pPr>
      <w:r>
        <w:rPr>
          <w:rFonts w:hint="cs"/>
          <w:rtl/>
          <w:lang w:bidi="ar-SY"/>
        </w:rPr>
        <w:tab/>
      </w:r>
      <w:r w:rsidRPr="00516078">
        <w:rPr>
          <w:i/>
          <w:iCs/>
          <w:rtl/>
        </w:rPr>
        <w:t>إن اللجنة المعنية بحقوق الإنسان</w:t>
      </w:r>
      <w:r>
        <w:rPr>
          <w:rtl/>
        </w:rPr>
        <w:t>، ال</w:t>
      </w:r>
      <w:r>
        <w:rPr>
          <w:rFonts w:hint="cs"/>
          <w:rtl/>
        </w:rPr>
        <w:t>م</w:t>
      </w:r>
      <w:r w:rsidRPr="00C832C3">
        <w:rPr>
          <w:rtl/>
        </w:rPr>
        <w:t>نشأة بموجب المادة 28 من العهد الدولي الخاص بالحقوق المدنية والسياسية</w:t>
      </w:r>
      <w:r w:rsidRPr="00200618">
        <w:rPr>
          <w:rFonts w:hint="cs"/>
          <w:rtl/>
          <w:lang w:bidi="ar-SY"/>
        </w:rPr>
        <w:t>،</w:t>
      </w:r>
    </w:p>
    <w:p w:rsidR="00F14B62" w:rsidRPr="00200618" w:rsidRDefault="00F14B62" w:rsidP="00F14B62">
      <w:pPr>
        <w:pStyle w:val="SingleTxtGA"/>
        <w:rPr>
          <w:rFonts w:hint="cs"/>
          <w:rtl/>
          <w:lang w:bidi="ar-SY"/>
        </w:rPr>
      </w:pPr>
      <w:r>
        <w:rPr>
          <w:rFonts w:hint="cs"/>
          <w:i/>
          <w:iCs/>
          <w:rtl/>
          <w:lang w:bidi="ar-SY"/>
        </w:rPr>
        <w:tab/>
      </w:r>
      <w:r w:rsidRPr="00200618">
        <w:rPr>
          <w:rFonts w:hint="cs"/>
          <w:i/>
          <w:iCs/>
          <w:rtl/>
          <w:lang w:bidi="ar-SY"/>
        </w:rPr>
        <w:t>وقد اجتمعت</w:t>
      </w:r>
      <w:r w:rsidRPr="00200618">
        <w:rPr>
          <w:rFonts w:hint="cs"/>
          <w:rtl/>
          <w:lang w:bidi="ar-SY"/>
        </w:rPr>
        <w:t xml:space="preserve"> في </w:t>
      </w:r>
      <w:r>
        <w:rPr>
          <w:rFonts w:hint="cs"/>
          <w:rtl/>
        </w:rPr>
        <w:t>25 تشرين الأول/أكتوبر 2013</w:t>
      </w:r>
      <w:r w:rsidRPr="00200618">
        <w:rPr>
          <w:rFonts w:hint="cs"/>
          <w:rtl/>
          <w:lang w:bidi="ar-SY"/>
        </w:rPr>
        <w:t>،</w:t>
      </w:r>
    </w:p>
    <w:p w:rsidR="00F14B62" w:rsidRPr="00200618" w:rsidRDefault="00F14B62" w:rsidP="00F14B62">
      <w:pPr>
        <w:pStyle w:val="SingleTxtGA"/>
        <w:rPr>
          <w:rFonts w:hint="cs"/>
          <w:rtl/>
          <w:lang w:bidi="ar-SY"/>
        </w:rPr>
      </w:pPr>
      <w:r>
        <w:rPr>
          <w:rFonts w:hint="cs"/>
          <w:i/>
          <w:iCs/>
          <w:rtl/>
          <w:lang w:bidi="ar-SY"/>
        </w:rPr>
        <w:tab/>
      </w:r>
      <w:r w:rsidRPr="00200618">
        <w:rPr>
          <w:rFonts w:hint="cs"/>
          <w:i/>
          <w:iCs/>
          <w:rtl/>
          <w:lang w:bidi="ar-SY"/>
        </w:rPr>
        <w:t>وقد فرغت</w:t>
      </w:r>
      <w:r w:rsidRPr="00200618">
        <w:rPr>
          <w:rFonts w:hint="cs"/>
          <w:rtl/>
          <w:lang w:bidi="ar-SY"/>
        </w:rPr>
        <w:t xml:space="preserve"> من النظر في </w:t>
      </w:r>
      <w:r>
        <w:rPr>
          <w:rFonts w:hint="cs"/>
          <w:rtl/>
          <w:lang w:bidi="ar-SY"/>
        </w:rPr>
        <w:t>البلاغ</w:t>
      </w:r>
      <w:r w:rsidRPr="00FF06AE">
        <w:rPr>
          <w:rtl/>
          <w:lang w:bidi="ar-SY"/>
        </w:rPr>
        <w:t xml:space="preserve"> رقم </w:t>
      </w:r>
      <w:r>
        <w:rPr>
          <w:rFonts w:hint="cs"/>
          <w:rtl/>
          <w:lang w:bidi="ar-SY"/>
        </w:rPr>
        <w:t>1839</w:t>
      </w:r>
      <w:r w:rsidRPr="00FF06AE">
        <w:rPr>
          <w:rtl/>
          <w:lang w:bidi="ar-SY"/>
        </w:rPr>
        <w:t>/</w:t>
      </w:r>
      <w:r>
        <w:rPr>
          <w:rFonts w:hint="cs"/>
          <w:rtl/>
          <w:lang w:bidi="ar-SY"/>
        </w:rPr>
        <w:t>2008</w:t>
      </w:r>
      <w:r w:rsidRPr="00FF06AE">
        <w:rPr>
          <w:rtl/>
          <w:lang w:bidi="ar-SY"/>
        </w:rPr>
        <w:t xml:space="preserve">، المقدم </w:t>
      </w:r>
      <w:r>
        <w:rPr>
          <w:rFonts w:hint="cs"/>
          <w:rtl/>
          <w:lang w:bidi="ar-SY"/>
        </w:rPr>
        <w:t xml:space="preserve">إليها من السيد </w:t>
      </w:r>
      <w:proofErr w:type="spellStart"/>
      <w:r>
        <w:rPr>
          <w:rFonts w:hint="cs"/>
          <w:rtl/>
          <w:lang w:bidi="ar-SY"/>
        </w:rPr>
        <w:t>ألكساندر</w:t>
      </w:r>
      <w:proofErr w:type="spellEnd"/>
      <w:r>
        <w:rPr>
          <w:rFonts w:hint="cs"/>
          <w:rtl/>
          <w:lang w:bidi="ar-SY"/>
        </w:rPr>
        <w:t xml:space="preserve"> </w:t>
      </w:r>
      <w:proofErr w:type="spellStart"/>
      <w:r>
        <w:rPr>
          <w:rFonts w:hint="cs"/>
          <w:rtl/>
          <w:lang w:bidi="ar-SY"/>
        </w:rPr>
        <w:t>كوماروفسكي</w:t>
      </w:r>
      <w:proofErr w:type="spellEnd"/>
      <w:r>
        <w:rPr>
          <w:rFonts w:hint="cs"/>
          <w:rtl/>
          <w:lang w:bidi="ar-SY"/>
        </w:rPr>
        <w:t xml:space="preserve"> </w:t>
      </w:r>
      <w:r w:rsidRPr="00FF06AE">
        <w:rPr>
          <w:rtl/>
          <w:lang w:bidi="ar-SY"/>
        </w:rPr>
        <w:t xml:space="preserve">بموجب </w:t>
      </w:r>
      <w:r>
        <w:rPr>
          <w:rFonts w:hint="cs"/>
          <w:rtl/>
          <w:lang w:bidi="ar-SY"/>
        </w:rPr>
        <w:t xml:space="preserve">البروتوكول </w:t>
      </w:r>
      <w:r w:rsidRPr="007B617E">
        <w:rPr>
          <w:rtl/>
        </w:rPr>
        <w:t>الاختياري الملحق بالعهد الدولي الخاص بالحقوق المدنية والسياسية</w:t>
      </w:r>
      <w:r>
        <w:rPr>
          <w:rFonts w:hint="cs"/>
          <w:rtl/>
        </w:rPr>
        <w:t>،</w:t>
      </w:r>
    </w:p>
    <w:p w:rsidR="00F14B62" w:rsidRPr="00200618" w:rsidRDefault="00F14B62" w:rsidP="00F14B62">
      <w:pPr>
        <w:pStyle w:val="SingleTxtGA"/>
        <w:rPr>
          <w:rFonts w:hint="cs"/>
          <w:rtl/>
          <w:lang w:bidi="ar-SY"/>
        </w:rPr>
      </w:pPr>
      <w:r>
        <w:rPr>
          <w:rFonts w:hint="cs"/>
          <w:i/>
          <w:iCs/>
          <w:rtl/>
          <w:lang w:bidi="ar-SY"/>
        </w:rPr>
        <w:tab/>
      </w:r>
      <w:r w:rsidRPr="00200618">
        <w:rPr>
          <w:rFonts w:hint="cs"/>
          <w:i/>
          <w:iCs/>
          <w:rtl/>
          <w:lang w:bidi="ar-SY"/>
        </w:rPr>
        <w:t xml:space="preserve">وقد </w:t>
      </w:r>
      <w:r w:rsidRPr="00F14B62">
        <w:rPr>
          <w:rFonts w:hint="cs"/>
          <w:i/>
          <w:iCs/>
          <w:rtl/>
          <w:lang w:bidi="ar-SY"/>
        </w:rPr>
        <w:t>وضعت في اعتبارها</w:t>
      </w:r>
      <w:r>
        <w:rPr>
          <w:rFonts w:hint="cs"/>
          <w:rtl/>
          <w:lang w:bidi="ar-SY"/>
        </w:rPr>
        <w:t xml:space="preserve"> </w:t>
      </w:r>
      <w:r w:rsidRPr="00200618">
        <w:rPr>
          <w:rFonts w:hint="cs"/>
          <w:rtl/>
          <w:lang w:bidi="ar-SY"/>
        </w:rPr>
        <w:t xml:space="preserve">جميع المعلومات </w:t>
      </w:r>
      <w:r>
        <w:rPr>
          <w:rFonts w:hint="cs"/>
          <w:rtl/>
          <w:lang w:bidi="ar-SY"/>
        </w:rPr>
        <w:t>الخطية التي أتاح</w:t>
      </w:r>
      <w:r w:rsidRPr="00200618">
        <w:rPr>
          <w:rFonts w:hint="cs"/>
          <w:rtl/>
          <w:lang w:bidi="ar-SY"/>
        </w:rPr>
        <w:t>ها لها</w:t>
      </w:r>
      <w:r>
        <w:rPr>
          <w:rFonts w:hint="cs"/>
          <w:rtl/>
          <w:lang w:bidi="ar-SY"/>
        </w:rPr>
        <w:t xml:space="preserve"> صاحب البلاغ</w:t>
      </w:r>
      <w:r w:rsidRPr="00200618">
        <w:rPr>
          <w:rFonts w:hint="cs"/>
          <w:rtl/>
          <w:lang w:bidi="ar-SY"/>
        </w:rPr>
        <w:t xml:space="preserve"> والدولة الطرف،</w:t>
      </w:r>
    </w:p>
    <w:p w:rsidR="00F14B62" w:rsidRPr="000A76F2" w:rsidRDefault="00F14B62" w:rsidP="00F14B62">
      <w:pPr>
        <w:pStyle w:val="SingleTxtGA"/>
        <w:rPr>
          <w:rFonts w:hint="cs"/>
          <w:rtl/>
        </w:rPr>
      </w:pPr>
      <w:r>
        <w:rPr>
          <w:rFonts w:hint="cs"/>
          <w:rtl/>
          <w:lang w:bidi="ar-SY"/>
        </w:rPr>
        <w:tab/>
      </w:r>
      <w:r w:rsidRPr="00516078">
        <w:rPr>
          <w:rFonts w:hint="cs"/>
          <w:i/>
          <w:iCs/>
          <w:rtl/>
          <w:lang w:bidi="ar-SY"/>
        </w:rPr>
        <w:t>تعتمد</w:t>
      </w:r>
      <w:r w:rsidRPr="000A76F2">
        <w:rPr>
          <w:rFonts w:hint="cs"/>
          <w:rtl/>
          <w:lang w:bidi="ar-SY"/>
        </w:rPr>
        <w:t xml:space="preserve"> </w:t>
      </w:r>
      <w:r w:rsidRPr="00394CAD">
        <w:rPr>
          <w:rFonts w:hint="cs"/>
          <w:rtl/>
          <w:lang w:bidi="ar-SY"/>
        </w:rPr>
        <w:t>ما يلي</w:t>
      </w:r>
      <w:r w:rsidRPr="00394CAD">
        <w:rPr>
          <w:rFonts w:hint="cs"/>
          <w:rtl/>
        </w:rPr>
        <w:t>:</w:t>
      </w:r>
    </w:p>
    <w:p w:rsidR="00F14B62" w:rsidRPr="00EA48DF" w:rsidRDefault="00F14B62" w:rsidP="00F14B62">
      <w:pPr>
        <w:pStyle w:val="H1GA"/>
        <w:rPr>
          <w:rFonts w:hint="cs"/>
          <w:rtl/>
        </w:rPr>
      </w:pPr>
      <w:r w:rsidRPr="00EA48DF">
        <w:rPr>
          <w:rFonts w:hint="cs"/>
          <w:rtl/>
        </w:rPr>
        <w:tab/>
      </w:r>
      <w:r w:rsidRPr="00EA48DF">
        <w:rPr>
          <w:rFonts w:hint="cs"/>
          <w:rtl/>
        </w:rPr>
        <w:tab/>
      </w:r>
      <w:r w:rsidRPr="007B617E">
        <w:rPr>
          <w:rtl/>
          <w:lang/>
        </w:rPr>
        <w:t>آراء بموجب الفقرة 4 من المادة 5 من البروتوكول الاختياري</w:t>
      </w:r>
    </w:p>
    <w:p w:rsidR="00F14B62" w:rsidRPr="00A63E48" w:rsidRDefault="00F14B62" w:rsidP="00A63E48">
      <w:pPr>
        <w:pStyle w:val="SingleTxtGA"/>
        <w:rPr>
          <w:spacing w:val="2"/>
          <w:rtl/>
          <w:lang w:val="en-CA"/>
        </w:rPr>
      </w:pPr>
      <w:r w:rsidRPr="00A63E48">
        <w:rPr>
          <w:rFonts w:hint="cs"/>
          <w:spacing w:val="2"/>
          <w:rtl/>
          <w:lang w:val="en-CA"/>
        </w:rPr>
        <w:t>1-</w:t>
      </w:r>
      <w:r w:rsidRPr="00A63E48">
        <w:rPr>
          <w:rFonts w:hint="cs"/>
          <w:spacing w:val="2"/>
          <w:rtl/>
          <w:lang w:val="en-CA"/>
        </w:rPr>
        <w:tab/>
        <w:t xml:space="preserve">صاحب البلاغ هو </w:t>
      </w:r>
      <w:proofErr w:type="spellStart"/>
      <w:r w:rsidRPr="00A63E48">
        <w:rPr>
          <w:rFonts w:hint="cs"/>
          <w:spacing w:val="2"/>
          <w:rtl/>
          <w:lang w:bidi="ar-SY"/>
        </w:rPr>
        <w:t>ألكساندر</w:t>
      </w:r>
      <w:proofErr w:type="spellEnd"/>
      <w:r w:rsidRPr="00A63E48">
        <w:rPr>
          <w:rFonts w:hint="cs"/>
          <w:spacing w:val="2"/>
          <w:rtl/>
          <w:lang w:bidi="ar-SY"/>
        </w:rPr>
        <w:t xml:space="preserve"> </w:t>
      </w:r>
      <w:proofErr w:type="spellStart"/>
      <w:r w:rsidRPr="00A63E48">
        <w:rPr>
          <w:rFonts w:hint="cs"/>
          <w:spacing w:val="2"/>
          <w:rtl/>
          <w:lang w:bidi="ar-SY"/>
        </w:rPr>
        <w:t>كوماروفسكي</w:t>
      </w:r>
      <w:proofErr w:type="spellEnd"/>
      <w:r w:rsidRPr="00A63E48">
        <w:rPr>
          <w:rFonts w:hint="cs"/>
          <w:spacing w:val="2"/>
          <w:rtl/>
          <w:lang w:bidi="ar-SY"/>
        </w:rPr>
        <w:t>، من مواطني بيلاروس ومن مواليد عام</w:t>
      </w:r>
      <w:r w:rsidRPr="00A63E48">
        <w:rPr>
          <w:rFonts w:hint="eastAsia"/>
          <w:spacing w:val="2"/>
          <w:rtl/>
          <w:lang w:bidi="ar-SY"/>
        </w:rPr>
        <w:t> </w:t>
      </w:r>
      <w:r w:rsidRPr="00A63E48">
        <w:rPr>
          <w:rFonts w:hint="cs"/>
          <w:spacing w:val="2"/>
          <w:rtl/>
          <w:lang w:bidi="ar-SY"/>
        </w:rPr>
        <w:t>1942. ويدعي أنه ضحية لانتهاكات بيلاروس لحقوقه بموجب المادة</w:t>
      </w:r>
      <w:r w:rsidRPr="00A63E48">
        <w:rPr>
          <w:rFonts w:hint="eastAsia"/>
          <w:spacing w:val="2"/>
          <w:rtl/>
          <w:lang w:bidi="ar-SY"/>
        </w:rPr>
        <w:t> </w:t>
      </w:r>
      <w:r w:rsidRPr="00A63E48">
        <w:rPr>
          <w:rFonts w:hint="cs"/>
          <w:spacing w:val="2"/>
          <w:rtl/>
          <w:lang w:bidi="ar-SY"/>
        </w:rPr>
        <w:t>19 (الفقرة 2) والمادة</w:t>
      </w:r>
      <w:r w:rsidR="00A63E48" w:rsidRPr="00A63E48">
        <w:rPr>
          <w:rFonts w:hint="eastAsia"/>
          <w:spacing w:val="2"/>
          <w:rtl/>
          <w:lang w:bidi="ar-SY"/>
        </w:rPr>
        <w:t> </w:t>
      </w:r>
      <w:r w:rsidRPr="00A63E48">
        <w:rPr>
          <w:rFonts w:hint="cs"/>
          <w:spacing w:val="2"/>
          <w:rtl/>
          <w:lang w:bidi="ar-SY"/>
        </w:rPr>
        <w:t>21 من العهد الدولي الخاص بالحقوق المدنية والسياسية</w:t>
      </w:r>
      <w:r w:rsidRPr="00A63E48">
        <w:rPr>
          <w:spacing w:val="2"/>
          <w:vertAlign w:val="superscript"/>
          <w:rtl/>
        </w:rPr>
        <w:t>(</w:t>
      </w:r>
      <w:r w:rsidRPr="00A63E48">
        <w:rPr>
          <w:b/>
          <w:spacing w:val="2"/>
          <w:sz w:val="18"/>
          <w:szCs w:val="28"/>
          <w:vertAlign w:val="superscript"/>
          <w:rtl/>
        </w:rPr>
        <w:footnoteReference w:id="2"/>
      </w:r>
      <w:r w:rsidRPr="00A63E48">
        <w:rPr>
          <w:spacing w:val="2"/>
          <w:vertAlign w:val="superscript"/>
          <w:rtl/>
        </w:rPr>
        <w:t>)</w:t>
      </w:r>
      <w:r w:rsidRPr="00A63E48">
        <w:rPr>
          <w:rFonts w:hint="cs"/>
          <w:spacing w:val="2"/>
          <w:rtl/>
          <w:lang w:bidi="ar-SY"/>
        </w:rPr>
        <w:t>. وصاحب البلاغ ليس ممثلاً بمحامٍ.</w:t>
      </w:r>
    </w:p>
    <w:p w:rsidR="00F14B62" w:rsidRPr="00980DFC" w:rsidRDefault="00F14B62" w:rsidP="00A63E48">
      <w:pPr>
        <w:pStyle w:val="H23GA"/>
        <w:rPr>
          <w:rFonts w:hint="cs"/>
          <w:rtl/>
        </w:rPr>
      </w:pPr>
      <w:r>
        <w:rPr>
          <w:rFonts w:hint="cs"/>
          <w:rtl/>
        </w:rPr>
        <w:tab/>
      </w:r>
      <w:r>
        <w:rPr>
          <w:rFonts w:hint="cs"/>
          <w:rtl/>
        </w:rPr>
        <w:tab/>
      </w:r>
      <w:r w:rsidRPr="00980DFC">
        <w:rPr>
          <w:rFonts w:hint="eastAsia"/>
          <w:rtl/>
        </w:rPr>
        <w:t>الوقائع</w:t>
      </w:r>
      <w:r w:rsidRPr="00980DFC">
        <w:rPr>
          <w:rtl/>
        </w:rPr>
        <w:t xml:space="preserve"> كما عرضها </w:t>
      </w:r>
      <w:r>
        <w:rPr>
          <w:rFonts w:hint="cs"/>
          <w:rtl/>
        </w:rPr>
        <w:t>صاحب</w:t>
      </w:r>
      <w:r w:rsidRPr="00980DFC">
        <w:rPr>
          <w:rtl/>
        </w:rPr>
        <w:t xml:space="preserve"> </w:t>
      </w:r>
      <w:r>
        <w:rPr>
          <w:rFonts w:hint="cs"/>
          <w:rtl/>
        </w:rPr>
        <w:t>البلاغ</w:t>
      </w:r>
    </w:p>
    <w:p w:rsidR="00F14B62" w:rsidRDefault="00F14B62" w:rsidP="00A63E48">
      <w:pPr>
        <w:pStyle w:val="SingleTxtGA"/>
        <w:rPr>
          <w:rFonts w:hint="cs"/>
          <w:rtl/>
          <w:lang w:val="en-CA"/>
        </w:rPr>
      </w:pPr>
      <w:r>
        <w:rPr>
          <w:rFonts w:hint="cs"/>
          <w:rtl/>
          <w:lang w:val="en-CA"/>
        </w:rPr>
        <w:t>2-1</w:t>
      </w:r>
      <w:r>
        <w:rPr>
          <w:rFonts w:hint="cs"/>
          <w:rtl/>
          <w:lang w:val="en-CA"/>
        </w:rPr>
        <w:tab/>
      </w:r>
      <w:r w:rsidRPr="007D226C">
        <w:rPr>
          <w:rtl/>
          <w:lang w:val="en-CA"/>
        </w:rPr>
        <w:t xml:space="preserve">في </w:t>
      </w:r>
      <w:r>
        <w:rPr>
          <w:rFonts w:hint="cs"/>
          <w:rtl/>
          <w:lang w:val="en-CA"/>
        </w:rPr>
        <w:t xml:space="preserve">8 شباط/فبراير 2008، طلب صاحب البلاغ مع ثلاثة أفراد آخرين إذناً من اللجنة التنفيذية لبلدية مدينة </w:t>
      </w:r>
      <w:proofErr w:type="spellStart"/>
      <w:r>
        <w:rPr>
          <w:rFonts w:hint="cs"/>
          <w:rtl/>
          <w:lang w:val="en-CA"/>
        </w:rPr>
        <w:t>جودينو</w:t>
      </w:r>
      <w:proofErr w:type="spellEnd"/>
      <w:r>
        <w:rPr>
          <w:rFonts w:hint="cs"/>
          <w:rtl/>
          <w:lang w:val="en-CA"/>
        </w:rPr>
        <w:t xml:space="preserve"> لعقد اجتماع تعقبه مسيرة وحفل موسيقي، وذلك بتاريخ 23 آذار/مارس 2008 بالقرب من مدخل متنزه </w:t>
      </w:r>
      <w:proofErr w:type="spellStart"/>
      <w:r>
        <w:rPr>
          <w:rFonts w:hint="cs"/>
          <w:rtl/>
          <w:lang w:val="en-CA"/>
        </w:rPr>
        <w:t>جودينو</w:t>
      </w:r>
      <w:proofErr w:type="spellEnd"/>
      <w:r>
        <w:rPr>
          <w:rFonts w:hint="cs"/>
          <w:rtl/>
          <w:lang w:val="en-CA"/>
        </w:rPr>
        <w:t xml:space="preserve"> الثقافي، بمناسبة الذكرى التسعين لتأسيس جمهورية بيلاروس الشعبية. وكان من المقرر أن يُعقد الاجتماع والنشاطان من الساعة 00/15 إلى الساعة 00/18.</w:t>
      </w:r>
    </w:p>
    <w:p w:rsidR="00F14B62" w:rsidRDefault="00F14B62" w:rsidP="00914B37">
      <w:pPr>
        <w:pStyle w:val="SingleTxtGA"/>
        <w:rPr>
          <w:rFonts w:hint="cs"/>
          <w:rtl/>
          <w:lang w:val="en-CA"/>
        </w:rPr>
      </w:pPr>
      <w:r>
        <w:rPr>
          <w:rFonts w:hint="cs"/>
          <w:rtl/>
          <w:lang w:val="en-CA"/>
        </w:rPr>
        <w:t>2-2</w:t>
      </w:r>
      <w:r>
        <w:rPr>
          <w:rFonts w:hint="cs"/>
          <w:rtl/>
          <w:lang w:val="en-CA"/>
        </w:rPr>
        <w:tab/>
        <w:t xml:space="preserve">وفي 21 شباط/فبراير 2008، أبلغت اللجنة التنفيذية لبلدية مدينة </w:t>
      </w:r>
      <w:proofErr w:type="spellStart"/>
      <w:r>
        <w:rPr>
          <w:rFonts w:hint="cs"/>
          <w:rtl/>
          <w:lang w:val="en-CA"/>
        </w:rPr>
        <w:t>جودينو</w:t>
      </w:r>
      <w:proofErr w:type="spellEnd"/>
      <w:r>
        <w:rPr>
          <w:rFonts w:hint="cs"/>
          <w:rtl/>
          <w:lang w:val="en-CA"/>
        </w:rPr>
        <w:t xml:space="preserve"> مقدّمي الطلب، بمن فيهم صاحب البلاغ، بأن </w:t>
      </w:r>
      <w:proofErr w:type="spellStart"/>
      <w:r>
        <w:rPr>
          <w:rFonts w:hint="cs"/>
          <w:rtl/>
          <w:lang w:val="en-CA"/>
        </w:rPr>
        <w:t>الماراثون</w:t>
      </w:r>
      <w:proofErr w:type="spellEnd"/>
      <w:r>
        <w:rPr>
          <w:rFonts w:hint="cs"/>
          <w:rtl/>
          <w:lang w:val="en-CA"/>
        </w:rPr>
        <w:t xml:space="preserve"> الخامس والعشرين على مستوى الجمهورية سيُنظم يومَي 22 و23 آذار/مارس </w:t>
      </w:r>
      <w:r w:rsidR="00914B37">
        <w:rPr>
          <w:rFonts w:hint="cs"/>
          <w:rtl/>
          <w:lang w:val="en-CA"/>
        </w:rPr>
        <w:t>2</w:t>
      </w:r>
      <w:r>
        <w:rPr>
          <w:rFonts w:hint="cs"/>
          <w:rtl/>
          <w:lang w:val="en-CA"/>
        </w:rPr>
        <w:t xml:space="preserve">008 في الشوارع الرئيسية في </w:t>
      </w:r>
      <w:proofErr w:type="spellStart"/>
      <w:r>
        <w:rPr>
          <w:rFonts w:hint="cs"/>
          <w:rtl/>
          <w:lang w:val="en-CA"/>
        </w:rPr>
        <w:t>جودينو</w:t>
      </w:r>
      <w:proofErr w:type="spellEnd"/>
      <w:r>
        <w:rPr>
          <w:rFonts w:hint="cs"/>
          <w:rtl/>
          <w:lang w:val="en-CA"/>
        </w:rPr>
        <w:t>. وبما أن صاحب البلاغ لم يتلقّ أي تفسيرات أخرى، فقد استمر في الإعداد للاجتماع السلمي. وفي</w:t>
      </w:r>
      <w:r w:rsidR="00256CA1">
        <w:rPr>
          <w:rFonts w:hint="eastAsia"/>
          <w:rtl/>
          <w:lang w:val="en-CA"/>
        </w:rPr>
        <w:t> </w:t>
      </w:r>
      <w:r>
        <w:rPr>
          <w:rFonts w:hint="cs"/>
          <w:rtl/>
          <w:lang w:val="en-CA"/>
        </w:rPr>
        <w:t xml:space="preserve">17 آذار/مارس 2008، أصدرت اللجنة التنفيذية أمراً رفضت فيه التصريح بعقد الاجتماع، وما يعقبه من مسيرة وحفل موسيقي، بتاريخ 23 آذار/مارس 2008، نظراً لتنظيم </w:t>
      </w:r>
      <w:proofErr w:type="spellStart"/>
      <w:r>
        <w:rPr>
          <w:rFonts w:hint="cs"/>
          <w:rtl/>
          <w:lang w:val="en-CA"/>
        </w:rPr>
        <w:t>الماراثون</w:t>
      </w:r>
      <w:proofErr w:type="spellEnd"/>
      <w:r>
        <w:rPr>
          <w:rFonts w:hint="cs"/>
          <w:rtl/>
          <w:lang w:val="en-CA"/>
        </w:rPr>
        <w:t xml:space="preserve"> الوطني الخامس والعشرين.</w:t>
      </w:r>
    </w:p>
    <w:p w:rsidR="00F14B62" w:rsidRPr="008409B6" w:rsidRDefault="00F14B62" w:rsidP="008409B6">
      <w:pPr>
        <w:pStyle w:val="SingleTxtGA"/>
        <w:rPr>
          <w:rFonts w:hint="cs"/>
          <w:spacing w:val="-4"/>
          <w:rtl/>
          <w:lang w:val="en-CA"/>
        </w:rPr>
      </w:pPr>
      <w:r w:rsidRPr="008409B6">
        <w:rPr>
          <w:rFonts w:hint="cs"/>
          <w:spacing w:val="-4"/>
          <w:rtl/>
          <w:lang w:val="en-CA"/>
        </w:rPr>
        <w:t>2-3</w:t>
      </w:r>
      <w:r w:rsidRPr="008409B6">
        <w:rPr>
          <w:rFonts w:hint="cs"/>
          <w:spacing w:val="-4"/>
          <w:rtl/>
          <w:lang w:val="en-CA"/>
        </w:rPr>
        <w:tab/>
        <w:t xml:space="preserve">وفي 19 آذار/مارس 2008، أبلغ صاحب البلاغ والمنظمون الثلاثة الآخرون اللجنة التنفيذية لبلدية مدينة </w:t>
      </w:r>
      <w:proofErr w:type="spellStart"/>
      <w:r w:rsidRPr="008409B6">
        <w:rPr>
          <w:rFonts w:hint="cs"/>
          <w:spacing w:val="-4"/>
          <w:rtl/>
          <w:lang w:val="en-CA"/>
        </w:rPr>
        <w:t>جودينو</w:t>
      </w:r>
      <w:proofErr w:type="spellEnd"/>
      <w:r w:rsidRPr="008409B6">
        <w:rPr>
          <w:rFonts w:hint="cs"/>
          <w:spacing w:val="-4"/>
          <w:rtl/>
          <w:lang w:val="en-CA"/>
        </w:rPr>
        <w:t xml:space="preserve"> بقرارهم إلغاء الفعاليات المزمَعة، وأعلموها بأنهم يبحثون في</w:t>
      </w:r>
      <w:r w:rsidR="008409B6" w:rsidRPr="008409B6">
        <w:rPr>
          <w:rFonts w:hint="cs"/>
          <w:spacing w:val="-4"/>
          <w:rtl/>
          <w:lang w:val="en-CA"/>
        </w:rPr>
        <w:t xml:space="preserve"> </w:t>
      </w:r>
      <w:r w:rsidRPr="008409B6">
        <w:rPr>
          <w:rFonts w:hint="cs"/>
          <w:spacing w:val="-4"/>
          <w:rtl/>
          <w:lang w:val="en-CA"/>
        </w:rPr>
        <w:t xml:space="preserve">إمكانية تنظيم الفعالية السلمية في موقع أمام مركز </w:t>
      </w:r>
      <w:r w:rsidRPr="008409B6">
        <w:rPr>
          <w:spacing w:val="-4"/>
        </w:rPr>
        <w:t>SITI</w:t>
      </w:r>
      <w:r w:rsidRPr="008409B6">
        <w:rPr>
          <w:rFonts w:hint="cs"/>
          <w:spacing w:val="-4"/>
          <w:rtl/>
          <w:lang w:val="en-CA"/>
        </w:rPr>
        <w:t xml:space="preserve"> التجاري، أو في الأرض التابعة لمتجر </w:t>
      </w:r>
      <w:r w:rsidRPr="008409B6">
        <w:rPr>
          <w:spacing w:val="-4"/>
        </w:rPr>
        <w:t>GRES</w:t>
      </w:r>
      <w:r w:rsidRPr="008409B6">
        <w:rPr>
          <w:rFonts w:hint="cs"/>
          <w:spacing w:val="-4"/>
          <w:rtl/>
          <w:lang w:val="en-CA"/>
        </w:rPr>
        <w:t>، أو</w:t>
      </w:r>
      <w:r w:rsidR="008409B6">
        <w:rPr>
          <w:rFonts w:hint="eastAsia"/>
          <w:spacing w:val="-4"/>
          <w:rtl/>
          <w:lang w:val="en-CA"/>
        </w:rPr>
        <w:t> </w:t>
      </w:r>
      <w:r w:rsidRPr="008409B6">
        <w:rPr>
          <w:rFonts w:hint="cs"/>
          <w:spacing w:val="-4"/>
          <w:rtl/>
          <w:lang w:val="en-CA"/>
        </w:rPr>
        <w:t xml:space="preserve">في الموقع أمام تمثال الوطن الأم - </w:t>
      </w:r>
      <w:proofErr w:type="spellStart"/>
      <w:r w:rsidRPr="008409B6">
        <w:rPr>
          <w:rFonts w:hint="cs"/>
          <w:spacing w:val="-4"/>
          <w:rtl/>
          <w:lang w:val="en-CA"/>
        </w:rPr>
        <w:t>كوبريانوفا</w:t>
      </w:r>
      <w:proofErr w:type="spellEnd"/>
      <w:r w:rsidRPr="008409B6">
        <w:rPr>
          <w:rFonts w:hint="cs"/>
          <w:spacing w:val="-4"/>
          <w:rtl/>
          <w:lang w:val="en-CA"/>
        </w:rPr>
        <w:t>، أو في أي موقع آخر لا</w:t>
      </w:r>
      <w:r w:rsidR="008409B6" w:rsidRPr="008409B6">
        <w:rPr>
          <w:rFonts w:hint="eastAsia"/>
          <w:spacing w:val="-4"/>
          <w:rtl/>
          <w:lang w:val="en-CA"/>
        </w:rPr>
        <w:t> </w:t>
      </w:r>
      <w:r w:rsidRPr="008409B6">
        <w:rPr>
          <w:rFonts w:hint="cs"/>
          <w:spacing w:val="-4"/>
          <w:rtl/>
          <w:lang w:val="en-CA"/>
        </w:rPr>
        <w:t xml:space="preserve">يتداخل مع </w:t>
      </w:r>
      <w:proofErr w:type="spellStart"/>
      <w:r w:rsidRPr="008409B6">
        <w:rPr>
          <w:rFonts w:hint="cs"/>
          <w:spacing w:val="-4"/>
          <w:rtl/>
          <w:lang w:val="en-CA"/>
        </w:rPr>
        <w:t>الماراثون</w:t>
      </w:r>
      <w:proofErr w:type="spellEnd"/>
      <w:r w:rsidRPr="008409B6">
        <w:rPr>
          <w:rFonts w:hint="cs"/>
          <w:spacing w:val="-4"/>
          <w:rtl/>
          <w:lang w:val="en-CA"/>
        </w:rPr>
        <w:t>.</w:t>
      </w:r>
    </w:p>
    <w:p w:rsidR="00F14B62" w:rsidRPr="00D97468" w:rsidRDefault="00F14B62" w:rsidP="00A63E48">
      <w:pPr>
        <w:pStyle w:val="SingleTxtGA"/>
        <w:rPr>
          <w:rFonts w:hint="cs"/>
          <w:rtl/>
          <w:lang w:val="en-CA"/>
        </w:rPr>
      </w:pPr>
      <w:r>
        <w:rPr>
          <w:rFonts w:hint="cs"/>
          <w:rtl/>
          <w:lang w:val="en-CA"/>
        </w:rPr>
        <w:t>2-4</w:t>
      </w:r>
      <w:r>
        <w:rPr>
          <w:rFonts w:hint="cs"/>
          <w:rtl/>
          <w:lang w:val="en-CA"/>
        </w:rPr>
        <w:tab/>
        <w:t xml:space="preserve">وفي 20 آذار/مارس 2008، أبلغت اللجنة التنفيذية لبلدية مدينة </w:t>
      </w:r>
      <w:proofErr w:type="spellStart"/>
      <w:r>
        <w:rPr>
          <w:rFonts w:hint="cs"/>
          <w:rtl/>
          <w:lang w:val="en-CA"/>
        </w:rPr>
        <w:t>جودينو</w:t>
      </w:r>
      <w:proofErr w:type="spellEnd"/>
      <w:r>
        <w:rPr>
          <w:rFonts w:hint="cs"/>
          <w:rtl/>
          <w:lang w:val="en-CA"/>
        </w:rPr>
        <w:t xml:space="preserve"> المنظمين بأنها لن تتمكن من النظر في طلبهم المؤرخ 19 آذار/مارس 2008 لأنه لا يستوفي </w:t>
      </w:r>
      <w:r w:rsidRPr="00A94A5D">
        <w:rPr>
          <w:rFonts w:hint="cs"/>
          <w:rtl/>
          <w:lang w:val="en-CA"/>
        </w:rPr>
        <w:t>الشروط</w:t>
      </w:r>
      <w:r>
        <w:rPr>
          <w:rFonts w:hint="cs"/>
          <w:rtl/>
          <w:lang w:val="en-CA"/>
        </w:rPr>
        <w:t xml:space="preserve"> التي </w:t>
      </w:r>
      <w:r w:rsidRPr="00D97468">
        <w:rPr>
          <w:rFonts w:hint="cs"/>
          <w:rtl/>
          <w:lang w:val="en-CA"/>
        </w:rPr>
        <w:t xml:space="preserve">يقتضيها قانون </w:t>
      </w:r>
      <w:r>
        <w:rPr>
          <w:rFonts w:hint="cs"/>
          <w:rtl/>
          <w:lang w:val="en-CA"/>
        </w:rPr>
        <w:t>التظاهرات العامة</w:t>
      </w:r>
      <w:r w:rsidRPr="00D97468">
        <w:rPr>
          <w:rFonts w:hint="cs"/>
          <w:rtl/>
          <w:lang w:val="en-CA"/>
        </w:rPr>
        <w:t xml:space="preserve">. وأعلِم صاحب البلاغ والمنظمون الآخرون </w:t>
      </w:r>
      <w:r>
        <w:rPr>
          <w:rFonts w:hint="cs"/>
          <w:rtl/>
          <w:lang w:val="en-CA"/>
        </w:rPr>
        <w:t>ب</w:t>
      </w:r>
      <w:r w:rsidRPr="00D97468">
        <w:rPr>
          <w:rFonts w:hint="cs"/>
          <w:rtl/>
          <w:lang w:val="en-CA"/>
        </w:rPr>
        <w:t>أنهم إن عقدوا الاجتماع في 23 آذار/مارس 2008، فسيُعتبر فعالية عامة غير مرخص بها.</w:t>
      </w:r>
    </w:p>
    <w:p w:rsidR="00F14B62" w:rsidRPr="005E08F3" w:rsidRDefault="00F14B62" w:rsidP="005E08F3">
      <w:pPr>
        <w:pStyle w:val="SingleTxtGA"/>
        <w:rPr>
          <w:rFonts w:hint="cs"/>
          <w:spacing w:val="-2"/>
          <w:rtl/>
        </w:rPr>
      </w:pPr>
      <w:r w:rsidRPr="00256CA1">
        <w:rPr>
          <w:rFonts w:hint="cs"/>
          <w:spacing w:val="-6"/>
          <w:rtl/>
          <w:lang w:val="en-CA"/>
        </w:rPr>
        <w:t>2-5</w:t>
      </w:r>
      <w:r w:rsidRPr="00256CA1">
        <w:rPr>
          <w:rFonts w:hint="cs"/>
          <w:spacing w:val="-6"/>
          <w:rtl/>
          <w:lang w:val="en-CA"/>
        </w:rPr>
        <w:tab/>
        <w:t>وقرر صاحب البلاغ والمنظمون الآخرون عدم تنظيم الفعالية في 23 آذار/مارس 2008</w:t>
      </w:r>
      <w:r w:rsidRPr="00256CA1">
        <w:rPr>
          <w:rFonts w:hint="cs"/>
          <w:spacing w:val="-6"/>
          <w:rtl/>
        </w:rPr>
        <w:t>.</w:t>
      </w:r>
      <w:r w:rsidRPr="00D97468">
        <w:rPr>
          <w:rFonts w:hint="cs"/>
          <w:rtl/>
        </w:rPr>
        <w:t xml:space="preserve"> </w:t>
      </w:r>
      <w:r w:rsidRPr="00256CA1">
        <w:rPr>
          <w:rFonts w:hint="cs"/>
          <w:spacing w:val="-4"/>
          <w:rtl/>
        </w:rPr>
        <w:t>ولكن من أجل إبلاغ الأشخاص الذين كانوا يعرفون بمكان تنظيم فعالية 23 آذار/مارس 2008</w:t>
      </w:r>
      <w:r>
        <w:rPr>
          <w:rFonts w:hint="cs"/>
          <w:rtl/>
        </w:rPr>
        <w:t xml:space="preserve"> </w:t>
      </w:r>
      <w:r w:rsidRPr="005E08F3">
        <w:rPr>
          <w:rFonts w:hint="cs"/>
          <w:spacing w:val="-2"/>
          <w:rtl/>
        </w:rPr>
        <w:t xml:space="preserve">بأنها ألغِيت، اتجه صاحب البلاغ والمنظمون الآخرون في 23 آذار/مارس في الساعة 00/15 إلى متنزه </w:t>
      </w:r>
      <w:proofErr w:type="spellStart"/>
      <w:r w:rsidRPr="005E08F3">
        <w:rPr>
          <w:rFonts w:hint="cs"/>
          <w:spacing w:val="-2"/>
          <w:rtl/>
        </w:rPr>
        <w:t>جودينو</w:t>
      </w:r>
      <w:proofErr w:type="spellEnd"/>
      <w:r w:rsidRPr="005E08F3">
        <w:rPr>
          <w:rFonts w:hint="cs"/>
          <w:spacing w:val="-2"/>
          <w:rtl/>
        </w:rPr>
        <w:t xml:space="preserve"> الثقافي، وهناك التقوا مع ما يقرب من 10 أشخاص إلى 15 شخصاً. وبعيد ذلك، وصل المزيد من الناس. فقرر صاحب البلاغ والمجتمعون إحياء ذكرى الأبطال الذين سقطوا في معارك وهم يقاتلون لبلدهم، ووضع الزهور أسفل مسلة الأبطال الخالدين. ووفقاً لصاحب البلاغ، لم يكن إحياء الذكرى ووضع الزهور تظاهرة عامة ذات طابع سياسي أو</w:t>
      </w:r>
      <w:r w:rsidR="005E08F3" w:rsidRPr="005E08F3">
        <w:rPr>
          <w:rFonts w:hint="eastAsia"/>
          <w:spacing w:val="-2"/>
          <w:rtl/>
        </w:rPr>
        <w:t> </w:t>
      </w:r>
      <w:r w:rsidRPr="005E08F3">
        <w:rPr>
          <w:rFonts w:hint="cs"/>
          <w:spacing w:val="-2"/>
          <w:rtl/>
        </w:rPr>
        <w:t>اجتماعي أو اقتصادي، ولم يكن من الضروري الحصول على إذن لتنظيم مثل هذه الأنشطة.</w:t>
      </w:r>
    </w:p>
    <w:p w:rsidR="00F14B62" w:rsidRPr="00256CA1" w:rsidRDefault="00F14B62" w:rsidP="00A63E48">
      <w:pPr>
        <w:pStyle w:val="SingleTxtGA"/>
        <w:rPr>
          <w:rFonts w:hint="cs"/>
          <w:spacing w:val="-2"/>
          <w:rtl/>
        </w:rPr>
      </w:pPr>
      <w:r w:rsidRPr="00256CA1">
        <w:rPr>
          <w:rFonts w:hint="cs"/>
          <w:spacing w:val="-2"/>
          <w:rtl/>
        </w:rPr>
        <w:t>2-6</w:t>
      </w:r>
      <w:r w:rsidRPr="00256CA1">
        <w:rPr>
          <w:rFonts w:hint="cs"/>
          <w:spacing w:val="-2"/>
          <w:rtl/>
        </w:rPr>
        <w:tab/>
        <w:t xml:space="preserve">وسارت مجموعة مؤلفة من زهاء 20 شخصاً ببطء إلى المسلة، وكان بعض الشباب يحملون العلم الوطني التاريخي </w:t>
      </w:r>
      <w:proofErr w:type="spellStart"/>
      <w:r w:rsidRPr="00256CA1">
        <w:rPr>
          <w:rFonts w:hint="cs"/>
          <w:spacing w:val="-2"/>
          <w:rtl/>
        </w:rPr>
        <w:t>لبيلاروس</w:t>
      </w:r>
      <w:proofErr w:type="spellEnd"/>
      <w:r w:rsidRPr="00256CA1">
        <w:rPr>
          <w:rFonts w:hint="cs"/>
          <w:spacing w:val="-2"/>
          <w:rtl/>
        </w:rPr>
        <w:t xml:space="preserve"> وعلم الاتحاد الأوروبي. وعندما رأى بعض أفراد الشرطة الذين كانوا يقفون في الجوار الأعلام، أمروا على الفور بأن تُنزّل. ولم يوجّه أفراد الشرطة أي أوامر لصاحب البلاغ، فوصل مع بقية المجموعة إلى المسلة، ووضعوا الزهور، وأطلقوا البالونات الحمراء والبيضاء في الهواء. واستمرت الأنشطة المذكورة قرابة خمس دقائق.</w:t>
      </w:r>
    </w:p>
    <w:p w:rsidR="00F14B62" w:rsidRPr="005E08F3" w:rsidRDefault="00F14B62" w:rsidP="005E08F3">
      <w:pPr>
        <w:pStyle w:val="SingleTxtGA"/>
        <w:rPr>
          <w:rFonts w:hint="cs"/>
          <w:spacing w:val="-2"/>
          <w:rtl/>
        </w:rPr>
      </w:pPr>
      <w:r w:rsidRPr="005E08F3">
        <w:rPr>
          <w:rFonts w:hint="cs"/>
          <w:spacing w:val="-2"/>
          <w:rtl/>
        </w:rPr>
        <w:t>2-7</w:t>
      </w:r>
      <w:r w:rsidRPr="005E08F3">
        <w:rPr>
          <w:rFonts w:hint="cs"/>
          <w:spacing w:val="-2"/>
          <w:rtl/>
        </w:rPr>
        <w:tab/>
        <w:t>وعندما بدأ الأشخاص بالرحيل، اقترب أفراد الشرطة من صاحب البلاغ واقتادوه إلى مركز الشرطة. وهناك خضع لاستجواب عن الاجتماع، واحتُجز حتى صباح اليوم التالي. وفي</w:t>
      </w:r>
      <w:r w:rsidR="005E08F3" w:rsidRPr="005E08F3">
        <w:rPr>
          <w:rFonts w:hint="eastAsia"/>
          <w:spacing w:val="-2"/>
          <w:rtl/>
        </w:rPr>
        <w:t> </w:t>
      </w:r>
      <w:r w:rsidRPr="005E08F3">
        <w:rPr>
          <w:rFonts w:hint="cs"/>
          <w:spacing w:val="-2"/>
          <w:rtl/>
        </w:rPr>
        <w:t xml:space="preserve">24 آذار/مارس 2008، خلصت محكمة مدينة </w:t>
      </w:r>
      <w:proofErr w:type="spellStart"/>
      <w:r w:rsidRPr="005E08F3">
        <w:rPr>
          <w:rFonts w:hint="cs"/>
          <w:spacing w:val="-2"/>
          <w:rtl/>
        </w:rPr>
        <w:t>جودينو</w:t>
      </w:r>
      <w:proofErr w:type="spellEnd"/>
      <w:r w:rsidRPr="005E08F3">
        <w:rPr>
          <w:rFonts w:hint="cs"/>
          <w:spacing w:val="-2"/>
          <w:rtl/>
        </w:rPr>
        <w:t xml:space="preserve"> التابعة لإقليم مِنْسك إلى أن صاحب البلاغ نظّم تظاهرة عامة غير مرخص بها، وأمرت بوضعه في الاحتجاز الإداري لمدة سبعة أيام. وفي 25 آذار/مارس 2008، استأنف صاحب البلاغ قرار محكمة المدينة أمام محكمة مِنْسك الإقليمية، ولكن في 8 نيسان/أبريل 2008، أيّدت المحكمة الإقليمية قرار المحكمة الأدنى درجة. وفي 16 أيار/مايو 2008، استأنف صاحب البلاغ قرار المحكمة الإقليمية أمام المحكمة العليا، لكن استئنافه رُفض في 28 حزيران/يونيه 2008 باعتباره لا</w:t>
      </w:r>
      <w:r w:rsidR="005E08F3" w:rsidRPr="005E08F3">
        <w:rPr>
          <w:rFonts w:hint="eastAsia"/>
          <w:spacing w:val="-2"/>
          <w:rtl/>
        </w:rPr>
        <w:t> </w:t>
      </w:r>
      <w:r w:rsidRPr="005E08F3">
        <w:rPr>
          <w:rFonts w:hint="cs"/>
          <w:spacing w:val="-2"/>
          <w:rtl/>
        </w:rPr>
        <w:t>أساس له.</w:t>
      </w:r>
    </w:p>
    <w:p w:rsidR="00F14B62" w:rsidRPr="00980DFC" w:rsidRDefault="00F14B62" w:rsidP="00256CA1">
      <w:pPr>
        <w:pStyle w:val="H23GA"/>
        <w:rPr>
          <w:rFonts w:hint="cs"/>
          <w:rtl/>
        </w:rPr>
      </w:pPr>
      <w:r>
        <w:rPr>
          <w:rFonts w:hint="cs"/>
          <w:rtl/>
        </w:rPr>
        <w:tab/>
      </w:r>
      <w:r>
        <w:rPr>
          <w:rFonts w:hint="cs"/>
          <w:rtl/>
        </w:rPr>
        <w:tab/>
        <w:t>الشكوى</w:t>
      </w:r>
    </w:p>
    <w:p w:rsidR="00F14B62" w:rsidRDefault="00F14B62" w:rsidP="00256CA1">
      <w:pPr>
        <w:pStyle w:val="SingleTxtGA"/>
        <w:rPr>
          <w:rFonts w:hint="cs"/>
          <w:rtl/>
          <w:lang w:val="fr-CH"/>
        </w:rPr>
      </w:pPr>
      <w:r>
        <w:rPr>
          <w:rFonts w:hint="cs"/>
          <w:rtl/>
          <w:lang w:val="en-CA"/>
        </w:rPr>
        <w:t>3</w:t>
      </w:r>
      <w:r w:rsidR="00256CA1">
        <w:rPr>
          <w:rFonts w:hint="cs"/>
          <w:rtl/>
          <w:lang w:val="en-CA"/>
        </w:rPr>
        <w:t>-</w:t>
      </w:r>
      <w:r>
        <w:rPr>
          <w:rFonts w:hint="cs"/>
          <w:rtl/>
          <w:lang w:val="en-CA"/>
        </w:rPr>
        <w:tab/>
      </w:r>
      <w:r>
        <w:rPr>
          <w:rFonts w:hint="cs"/>
          <w:rtl/>
          <w:lang w:val="fr-CH"/>
        </w:rPr>
        <w:t xml:space="preserve">يدّعي صاحب البلاغ أن الدولة الطرف انتهكت حقوقه التي تكفلها المادة 19 (الفقرة 2) والمادة 21 من العهد، نظراً لأنه احتُجز وعوقِب لمشاركته في تجمع وتعبيره عن رأيه في 23 آذار/مارس 2008. </w:t>
      </w:r>
    </w:p>
    <w:p w:rsidR="00F14B62" w:rsidRPr="007D203E" w:rsidRDefault="00F14B62" w:rsidP="00256CA1">
      <w:pPr>
        <w:pStyle w:val="H23GA"/>
        <w:rPr>
          <w:rFonts w:hint="cs"/>
          <w:rtl/>
        </w:rPr>
      </w:pPr>
      <w:r>
        <w:rPr>
          <w:rFonts w:hint="cs"/>
          <w:rtl/>
        </w:rPr>
        <w:tab/>
      </w:r>
      <w:r>
        <w:rPr>
          <w:rFonts w:hint="cs"/>
          <w:rtl/>
        </w:rPr>
        <w:tab/>
      </w:r>
      <w:r w:rsidRPr="007D203E">
        <w:rPr>
          <w:rFonts w:hint="cs"/>
          <w:rtl/>
        </w:rPr>
        <w:t>ملاحظات الدولة الطرف بشأن مقبولية البلاغ</w:t>
      </w:r>
    </w:p>
    <w:p w:rsidR="00F14B62" w:rsidRDefault="00F14B62" w:rsidP="008B3599">
      <w:pPr>
        <w:pStyle w:val="SingleTxtGA"/>
        <w:rPr>
          <w:rFonts w:hint="cs"/>
          <w:rtl/>
          <w:lang w:val="en-CA"/>
        </w:rPr>
      </w:pPr>
      <w:r>
        <w:rPr>
          <w:rFonts w:hint="cs"/>
          <w:rtl/>
        </w:rPr>
        <w:t>4-1</w:t>
      </w:r>
      <w:r>
        <w:rPr>
          <w:rFonts w:hint="cs"/>
          <w:rtl/>
        </w:rPr>
        <w:tab/>
        <w:t>في 19 شباط/فبراير 2009، طعنت الدولة الطرف في مقبولية البلاغ محتجَّة بأن صاحب البلاغ لم يستنفد سبل الانتصاف المحلية.</w:t>
      </w:r>
      <w:r>
        <w:rPr>
          <w:rFonts w:hint="cs"/>
          <w:rtl/>
          <w:lang w:val="en-CA"/>
        </w:rPr>
        <w:t xml:space="preserve"> وذكّرت بأن محكمة مدينة </w:t>
      </w:r>
      <w:proofErr w:type="spellStart"/>
      <w:r>
        <w:rPr>
          <w:rFonts w:hint="cs"/>
          <w:rtl/>
          <w:lang w:val="en-CA"/>
        </w:rPr>
        <w:t>جودينو</w:t>
      </w:r>
      <w:proofErr w:type="spellEnd"/>
      <w:r>
        <w:rPr>
          <w:rFonts w:hint="cs"/>
          <w:rtl/>
          <w:lang w:val="en-CA"/>
        </w:rPr>
        <w:t xml:space="preserve"> خلصت في</w:t>
      </w:r>
      <w:r w:rsidR="008B3599">
        <w:rPr>
          <w:rFonts w:hint="eastAsia"/>
          <w:rtl/>
          <w:lang w:val="en-CA"/>
        </w:rPr>
        <w:t> </w:t>
      </w:r>
      <w:r>
        <w:rPr>
          <w:rFonts w:hint="cs"/>
          <w:rtl/>
          <w:lang w:val="en-CA"/>
        </w:rPr>
        <w:t>24 آذار/مارس 2008 إلى أن صاحب البلاغ ارتكب مخالفة إدارية بموجب الفقرة 2 من المادة 23-34 من قانون الإجراءات التنفيذي للمخالفات الإدارية، وفرضت عليه عقوبة بالاحتجاز الإداري سبعة أيام لعد</w:t>
      </w:r>
      <w:r w:rsidR="00256CA1">
        <w:rPr>
          <w:rFonts w:hint="cs"/>
          <w:rtl/>
          <w:lang w:val="en-CA"/>
        </w:rPr>
        <w:t>م</w:t>
      </w:r>
      <w:r>
        <w:rPr>
          <w:rFonts w:hint="cs"/>
          <w:rtl/>
          <w:lang w:val="en-CA"/>
        </w:rPr>
        <w:t xml:space="preserve"> تقيّده بالإجراء الذي حدّده القانون لتنظيم وعقد الاجتماعات والمسيرات. وأيّدت محكمة مِنْسك الإقليمية </w:t>
      </w:r>
      <w:r w:rsidRPr="00081DBF">
        <w:rPr>
          <w:rFonts w:hint="cs"/>
          <w:rtl/>
          <w:lang w:val="en-CA"/>
        </w:rPr>
        <w:t xml:space="preserve">ذلك القرار لدى استئنافه </w:t>
      </w:r>
      <w:r>
        <w:rPr>
          <w:rFonts w:hint="cs"/>
          <w:rtl/>
          <w:lang w:val="en-CA"/>
        </w:rPr>
        <w:t>في 8 نيسان/أبريل 2008. وفي 28 حزيران/يونيه 2008، رفض نائب رئيس المحكمة العليا الاستئناف الثاني الذي قدّمه صاحب البلاغ.</w:t>
      </w:r>
    </w:p>
    <w:p w:rsidR="00F14B62" w:rsidRPr="008D2D7C" w:rsidRDefault="00F14B62" w:rsidP="00256CA1">
      <w:pPr>
        <w:pStyle w:val="SingleTxtGA"/>
        <w:rPr>
          <w:rFonts w:hint="cs"/>
          <w:rtl/>
          <w:lang w:val="en-CA"/>
        </w:rPr>
      </w:pPr>
      <w:r>
        <w:rPr>
          <w:rFonts w:hint="cs"/>
          <w:rtl/>
          <w:lang w:val="en-CA"/>
        </w:rPr>
        <w:t>4-2</w:t>
      </w:r>
      <w:r>
        <w:rPr>
          <w:rFonts w:hint="cs"/>
          <w:rtl/>
          <w:lang w:val="en-CA"/>
        </w:rPr>
        <w:tab/>
        <w:t xml:space="preserve">وتشير الدولة </w:t>
      </w:r>
      <w:r w:rsidRPr="008D2D7C">
        <w:rPr>
          <w:rFonts w:hint="cs"/>
          <w:rtl/>
          <w:lang w:val="en-CA"/>
        </w:rPr>
        <w:t xml:space="preserve">الطرف إلى أن رئيس المحكمة العليا لم ينظر قط في استئناف صاحب البلاغ أمام المحكمة العليا. وتبيّن أنه كان بمقدور صاحب البلاغ، وفقاً لأحكام القانون الإداري، استئناف قرار محكمة مدينة </w:t>
      </w:r>
      <w:proofErr w:type="spellStart"/>
      <w:r w:rsidRPr="008D2D7C">
        <w:rPr>
          <w:rFonts w:hint="cs"/>
          <w:rtl/>
          <w:lang w:val="en-CA"/>
        </w:rPr>
        <w:t>جودينو</w:t>
      </w:r>
      <w:proofErr w:type="spellEnd"/>
      <w:r w:rsidRPr="008D2D7C">
        <w:rPr>
          <w:rFonts w:hint="cs"/>
          <w:rtl/>
          <w:lang w:val="en-CA"/>
        </w:rPr>
        <w:t xml:space="preserve"> أمام رئيس المحكمة العليا، وكان بمقدوره أن يطلب من النائب العام تقديم احتجاج أمام المحكمة العليا بشأن قرار المحكمة الأدنى درجة. وبموجب الفقرتين 3 و4 من المادة 12-11 في قانون الإجراءات التنفيذي للمخالفات الإدارية، يجوز خلال فترة ستة أشهر مراجعة شكوى (احتجاج) بشأن قرار صدر ضمن نطاق إجراءات إدارية ودخل حيز النفاذ، ولا يمكن مراجعة شكوى مقدّمة بعد انقضاء تلك المهلة. ومع أن صاحب البلاغ قدّم شكوى إلى مكتب النائب العام بشأن قرارات المحاكم الوطنية، لم يُنظر في تلك القرارات لتخلّف صاحب البلاغ عن سداد الرسوم المستحقة. ونظراً لانقضاء مهلة الستة أشهر المذكورة آنفاً، يتعذّر مراجعة شكاوى صاحب البلاغ التي يطعن فيها بقرار المحكمة الوطنية تحميله المسؤولية في ارتكاب مخالفة إدارية. وتدفع الدولة الطرف بأن صاحب البلاغ لم يستنفد جميع سبل الانتصاف المحلية المتاحة، وتؤكّد أن تلك السبل كانت ستكون متاحة بسهولة وفعالة.</w:t>
      </w:r>
    </w:p>
    <w:p w:rsidR="00F14B62" w:rsidRPr="008D2D7C" w:rsidRDefault="00F14B62" w:rsidP="006B430B">
      <w:pPr>
        <w:pStyle w:val="SingleTxtGA"/>
        <w:rPr>
          <w:rFonts w:hint="cs"/>
          <w:rtl/>
          <w:lang w:val="en-CA"/>
        </w:rPr>
      </w:pPr>
      <w:r w:rsidRPr="008D2D7C">
        <w:rPr>
          <w:rFonts w:hint="cs"/>
          <w:rtl/>
          <w:lang w:val="en-CA"/>
        </w:rPr>
        <w:t>4-3</w:t>
      </w:r>
      <w:r w:rsidRPr="008D2D7C">
        <w:rPr>
          <w:rFonts w:hint="cs"/>
          <w:rtl/>
          <w:lang w:val="en-CA"/>
        </w:rPr>
        <w:tab/>
        <w:t xml:space="preserve">وتبيّن الدولة الطرف أيضاً أن إجراء الاستئناف </w:t>
      </w:r>
      <w:r w:rsidR="00256CA1">
        <w:rPr>
          <w:rFonts w:hint="cs"/>
          <w:rtl/>
          <w:lang w:val="en-CA"/>
        </w:rPr>
        <w:t>القائم</w:t>
      </w:r>
      <w:r w:rsidRPr="008D2D7C">
        <w:rPr>
          <w:rFonts w:hint="cs"/>
          <w:rtl/>
          <w:lang w:val="en-CA"/>
        </w:rPr>
        <w:t xml:space="preserve"> في إطار </w:t>
      </w:r>
      <w:r w:rsidR="00256CA1">
        <w:rPr>
          <w:rFonts w:hint="cs"/>
          <w:rtl/>
          <w:lang w:val="en-CA"/>
        </w:rPr>
        <w:t xml:space="preserve">إجراءات </w:t>
      </w:r>
      <w:r w:rsidRPr="008D2D7C">
        <w:rPr>
          <w:rFonts w:hint="cs"/>
          <w:rtl/>
          <w:lang w:val="en-CA"/>
        </w:rPr>
        <w:t>المراجعة القضائية</w:t>
      </w:r>
      <w:r w:rsidR="00256CA1">
        <w:rPr>
          <w:rFonts w:hint="cs"/>
          <w:rtl/>
          <w:lang w:val="en-CA"/>
        </w:rPr>
        <w:t xml:space="preserve"> الرقابية</w:t>
      </w:r>
      <w:r w:rsidRPr="008D2D7C">
        <w:rPr>
          <w:rFonts w:hint="cs"/>
          <w:rtl/>
          <w:lang w:val="en-CA"/>
        </w:rPr>
        <w:t>، كما ينص عليه قانون الإجراءات التنفيذي للمخالفات الإدارية، ه</w:t>
      </w:r>
      <w:r w:rsidR="00256CA1">
        <w:rPr>
          <w:rFonts w:hint="cs"/>
          <w:rtl/>
          <w:lang w:val="en-CA"/>
        </w:rPr>
        <w:t>و</w:t>
      </w:r>
      <w:r w:rsidRPr="008D2D7C">
        <w:rPr>
          <w:rFonts w:hint="cs"/>
          <w:rtl/>
          <w:lang w:val="en-CA"/>
        </w:rPr>
        <w:t xml:space="preserve"> سبيل انتصاف فعال. وبموجب المادة 12-1 من القانون، يجوز استئناف حُكم صادر في مخالفة إدارية من قبل أطراف من بينهم الفرد الذي رُفعت ضده الدعوى الإدارية، أو الأطراف المتضررة، أو ممثل</w:t>
      </w:r>
      <w:r w:rsidR="006B430B">
        <w:rPr>
          <w:rFonts w:hint="cs"/>
          <w:rtl/>
          <w:lang w:val="en-CA"/>
        </w:rPr>
        <w:t>و</w:t>
      </w:r>
      <w:r w:rsidRPr="008D2D7C">
        <w:rPr>
          <w:rFonts w:hint="cs"/>
          <w:rtl/>
          <w:lang w:val="en-CA"/>
        </w:rPr>
        <w:t>هم أو محام</w:t>
      </w:r>
      <w:r w:rsidR="006B430B">
        <w:rPr>
          <w:rFonts w:hint="cs"/>
          <w:rtl/>
          <w:lang w:val="en-CA"/>
        </w:rPr>
        <w:t>و</w:t>
      </w:r>
      <w:r w:rsidRPr="008D2D7C">
        <w:rPr>
          <w:rFonts w:hint="cs"/>
          <w:rtl/>
          <w:lang w:val="en-CA"/>
        </w:rPr>
        <w:t xml:space="preserve">هم، في حين يجوز للمدعين العامين تقديم مذكرات اعتراض ضد هذه الأحكام. وتنص المادة 12-4 من القانون على أمور منها جواز تقديم شكوى بشأن حكم صادر في مخالفة إدارية خلال 10 أيام من تاريخ تبليغ الفرد الذي أقيمت ضده القضية الإدارية بالحكم، وخلال 5 أيام إذا كانت القضية الإدارية متعلقة بفرض احتجاز إداري أو إبعاد. وعلاوة على ذلك، تنص المادتان 12-5 و12-6 من القانون </w:t>
      </w:r>
      <w:r w:rsidR="006B430B">
        <w:rPr>
          <w:rFonts w:hint="cs"/>
          <w:rtl/>
          <w:lang w:val="en-CA"/>
        </w:rPr>
        <w:t xml:space="preserve">على </w:t>
      </w:r>
      <w:r w:rsidRPr="008D2D7C">
        <w:rPr>
          <w:rFonts w:hint="cs"/>
          <w:rtl/>
          <w:lang w:val="en-CA"/>
        </w:rPr>
        <w:t>أنه في حال لم يتمكن الأشخاص الخاضعون للمادة 12-1 من القانون من الوفاء بالمهلة المذكورة آنفاً لأسباب مبررة، فإن بإمكانهم الطلب من المحكمة تحديد مهلة جديدة. وعندما توافق محكمة على طلب كهذا، يوقَف تنفيذ الأحكام.</w:t>
      </w:r>
    </w:p>
    <w:p w:rsidR="00F14B62" w:rsidRPr="008D2D7C" w:rsidRDefault="00F14B62" w:rsidP="006B430B">
      <w:pPr>
        <w:pStyle w:val="SingleTxtGA"/>
        <w:rPr>
          <w:rFonts w:hint="cs"/>
          <w:rtl/>
          <w:lang w:val="en-CA"/>
        </w:rPr>
      </w:pPr>
      <w:r w:rsidRPr="008D2D7C">
        <w:rPr>
          <w:rFonts w:hint="cs"/>
          <w:rtl/>
          <w:lang w:val="en-CA"/>
        </w:rPr>
        <w:t>4-4</w:t>
      </w:r>
      <w:r w:rsidRPr="008D2D7C">
        <w:rPr>
          <w:rFonts w:hint="cs"/>
          <w:rtl/>
          <w:lang w:val="en-CA"/>
        </w:rPr>
        <w:tab/>
        <w:t xml:space="preserve">وتشير الدولة الطرف إلى أن 739 2 شكوى قُدّمت من قبل أفراد إلى مكتب النائب </w:t>
      </w:r>
      <w:r w:rsidR="006B430B">
        <w:rPr>
          <w:rFonts w:hint="cs"/>
          <w:rtl/>
          <w:lang w:val="en-CA"/>
        </w:rPr>
        <w:t xml:space="preserve">العام </w:t>
      </w:r>
      <w:r w:rsidRPr="008D2D7C">
        <w:rPr>
          <w:rFonts w:hint="cs"/>
          <w:rtl/>
          <w:lang w:val="en-CA"/>
        </w:rPr>
        <w:t xml:space="preserve">في عام 2008 تطعن بقرارات حمّلتهم المسؤولية في ارتكاب مخالفات إدارية، </w:t>
      </w:r>
      <w:r w:rsidR="006B430B">
        <w:rPr>
          <w:rFonts w:hint="cs"/>
          <w:rtl/>
          <w:lang w:val="en-CA"/>
        </w:rPr>
        <w:t xml:space="preserve">تم تأييد </w:t>
      </w:r>
      <w:r w:rsidRPr="008D2D7C">
        <w:rPr>
          <w:rFonts w:hint="cs"/>
          <w:rtl/>
          <w:lang w:val="en-CA"/>
        </w:rPr>
        <w:t>422 منها. وخلال العام نفسه، قدّم مكتب النائب العام 105 مذكرات اعتراض إلى المحكمة العليا تتعلق بقضايا إدارية، وأيّدت المحكمة 101 منها.</w:t>
      </w:r>
    </w:p>
    <w:p w:rsidR="00F14B62" w:rsidRPr="008D2D7C" w:rsidRDefault="00F14B62" w:rsidP="006B430B">
      <w:pPr>
        <w:pStyle w:val="H23GA"/>
        <w:rPr>
          <w:rFonts w:hint="cs"/>
          <w:rtl/>
        </w:rPr>
      </w:pPr>
      <w:r w:rsidRPr="008D2D7C">
        <w:rPr>
          <w:rFonts w:hint="cs"/>
          <w:rtl/>
        </w:rPr>
        <w:tab/>
      </w:r>
      <w:r w:rsidRPr="008D2D7C">
        <w:rPr>
          <w:rFonts w:hint="cs"/>
          <w:rtl/>
        </w:rPr>
        <w:tab/>
        <w:t>تعليقات صاحب البلاغ على ملاحظات الدولة الطرف</w:t>
      </w:r>
    </w:p>
    <w:p w:rsidR="00F14B62" w:rsidRPr="008D2D7C" w:rsidRDefault="00F14B62" w:rsidP="008C63B4">
      <w:pPr>
        <w:pStyle w:val="SingleTxtGA"/>
        <w:rPr>
          <w:rFonts w:hint="cs"/>
          <w:rtl/>
          <w:lang w:val="en-CA"/>
        </w:rPr>
      </w:pPr>
      <w:r w:rsidRPr="008D2D7C">
        <w:rPr>
          <w:rFonts w:hint="cs"/>
          <w:rtl/>
          <w:lang w:val="en-CA"/>
        </w:rPr>
        <w:t>5</w:t>
      </w:r>
      <w:r w:rsidR="006B430B">
        <w:rPr>
          <w:rFonts w:hint="cs"/>
          <w:rtl/>
          <w:lang w:val="en-CA"/>
        </w:rPr>
        <w:t>-</w:t>
      </w:r>
      <w:r w:rsidRPr="008D2D7C">
        <w:rPr>
          <w:rFonts w:hint="cs"/>
          <w:rtl/>
          <w:lang w:val="en-CA"/>
        </w:rPr>
        <w:tab/>
        <w:t xml:space="preserve">في 6 أيار/مايو 2009، أكّد صاحب البلاغ أن سبل الانتصاف التي ذكرتها الدولة الطرف لم تكن فعالة، وبالتالي فإنه لم يكن مضطراً لاستنفادها. وأشار أيضاً إلى أنه قدّم بالفعل شكوى للمحكمة العليا في إطار </w:t>
      </w:r>
      <w:r w:rsidR="00901BEF">
        <w:rPr>
          <w:rFonts w:hint="cs"/>
          <w:rtl/>
          <w:lang w:val="en-CA"/>
        </w:rPr>
        <w:t xml:space="preserve">إجراءات </w:t>
      </w:r>
      <w:r w:rsidRPr="008D2D7C">
        <w:rPr>
          <w:rFonts w:hint="cs"/>
          <w:rtl/>
          <w:lang w:val="en-CA"/>
        </w:rPr>
        <w:t>المراجعة القضائية</w:t>
      </w:r>
      <w:r w:rsidR="00901BEF">
        <w:rPr>
          <w:rFonts w:hint="cs"/>
          <w:rtl/>
          <w:lang w:val="en-CA"/>
        </w:rPr>
        <w:t xml:space="preserve"> الرقابية</w:t>
      </w:r>
      <w:r w:rsidRPr="008D2D7C">
        <w:rPr>
          <w:rFonts w:hint="cs"/>
          <w:rtl/>
          <w:lang w:val="en-CA"/>
        </w:rPr>
        <w:t xml:space="preserve">، لكنها رُفضت. ويذكر صاحب البلاغ كذلك أن النظر في قضية </w:t>
      </w:r>
      <w:r w:rsidR="00901BEF">
        <w:rPr>
          <w:rFonts w:hint="cs"/>
          <w:rtl/>
          <w:lang w:val="en-CA"/>
        </w:rPr>
        <w:t xml:space="preserve">ما في إطار إجراءات </w:t>
      </w:r>
      <w:r w:rsidRPr="008D2D7C">
        <w:rPr>
          <w:rFonts w:hint="cs"/>
          <w:rtl/>
          <w:lang w:val="en-CA"/>
        </w:rPr>
        <w:t xml:space="preserve">المراجعة القضائية </w:t>
      </w:r>
      <w:r w:rsidR="00901BEF">
        <w:rPr>
          <w:rFonts w:hint="cs"/>
          <w:rtl/>
          <w:lang w:val="en-CA"/>
        </w:rPr>
        <w:t xml:space="preserve">الرقابية </w:t>
      </w:r>
      <w:r w:rsidRPr="008D2D7C">
        <w:rPr>
          <w:rFonts w:hint="cs"/>
          <w:rtl/>
          <w:lang w:val="en-CA"/>
        </w:rPr>
        <w:t xml:space="preserve">متروك لتقدير رئيس المحكمة العليا، الذي يقرر الشروع في </w:t>
      </w:r>
      <w:r w:rsidR="00901BEF">
        <w:rPr>
          <w:rFonts w:hint="cs"/>
          <w:rtl/>
          <w:lang w:val="en-CA"/>
        </w:rPr>
        <w:t xml:space="preserve">تلك الإجراءات </w:t>
      </w:r>
      <w:r w:rsidRPr="008D2D7C">
        <w:rPr>
          <w:rFonts w:hint="cs"/>
          <w:rtl/>
          <w:lang w:val="en-CA"/>
        </w:rPr>
        <w:t xml:space="preserve">من عدمه. ومن الواضح أن النظر في شكوى في إطار </w:t>
      </w:r>
      <w:r w:rsidR="00901BEF">
        <w:rPr>
          <w:rFonts w:hint="cs"/>
          <w:rtl/>
          <w:lang w:val="en-CA"/>
        </w:rPr>
        <w:t xml:space="preserve">إجراءات </w:t>
      </w:r>
      <w:r w:rsidRPr="008D2D7C">
        <w:rPr>
          <w:rFonts w:hint="cs"/>
          <w:rtl/>
          <w:lang w:val="en-CA"/>
        </w:rPr>
        <w:t xml:space="preserve">المراجعة القضائية </w:t>
      </w:r>
      <w:r w:rsidR="00901BEF">
        <w:rPr>
          <w:rFonts w:hint="cs"/>
          <w:rtl/>
          <w:lang w:val="en-CA"/>
        </w:rPr>
        <w:t xml:space="preserve">الرقابية </w:t>
      </w:r>
      <w:r w:rsidRPr="008D2D7C">
        <w:rPr>
          <w:rFonts w:hint="cs"/>
          <w:rtl/>
          <w:lang w:val="en-CA"/>
        </w:rPr>
        <w:t xml:space="preserve">ليس مكفولاً بالقانون، وهو ليس إلزامياً ويتطلب إمكانات مالية، وبالتالي لا يمكن اعتباره شرطاً مسبقاً لتقديم شكوى أمام إجراء دولي لتقديم الشكاوى. وبالإضافة إلى ذلك، لا يُضمن للشخص الذي يقدّم شكوى في إطار </w:t>
      </w:r>
      <w:r w:rsidR="00901BEF">
        <w:rPr>
          <w:rFonts w:hint="cs"/>
          <w:rtl/>
          <w:lang w:val="en-CA"/>
        </w:rPr>
        <w:t xml:space="preserve">إجراءات </w:t>
      </w:r>
      <w:r w:rsidRPr="008D2D7C">
        <w:rPr>
          <w:rFonts w:hint="cs"/>
          <w:rtl/>
          <w:lang w:val="en-CA"/>
        </w:rPr>
        <w:t xml:space="preserve">المراجعة القضائية </w:t>
      </w:r>
      <w:r w:rsidR="00901BEF">
        <w:rPr>
          <w:rFonts w:hint="cs"/>
          <w:rtl/>
          <w:lang w:val="en-CA"/>
        </w:rPr>
        <w:t xml:space="preserve">الرقابية </w:t>
      </w:r>
      <w:r w:rsidRPr="008D2D7C">
        <w:rPr>
          <w:rFonts w:hint="cs"/>
          <w:rtl/>
          <w:lang w:val="en-CA"/>
        </w:rPr>
        <w:t xml:space="preserve">المشاركة الكاملة في تلك </w:t>
      </w:r>
      <w:r w:rsidR="00901BEF">
        <w:rPr>
          <w:rFonts w:hint="cs"/>
          <w:rtl/>
          <w:lang w:val="en-CA"/>
        </w:rPr>
        <w:t>الإجراءات</w:t>
      </w:r>
      <w:r w:rsidRPr="008D2D7C">
        <w:rPr>
          <w:rFonts w:hint="cs"/>
          <w:rtl/>
          <w:lang w:val="en-CA"/>
        </w:rPr>
        <w:t xml:space="preserve">، وهو ما يتناقض مع مبادئ الشفافية وتكافؤ وسائل </w:t>
      </w:r>
      <w:r w:rsidR="00901BEF">
        <w:rPr>
          <w:rFonts w:hint="cs"/>
          <w:rtl/>
          <w:lang w:val="en-CA"/>
        </w:rPr>
        <w:t xml:space="preserve">الدفاع </w:t>
      </w:r>
      <w:r w:rsidRPr="008D2D7C">
        <w:rPr>
          <w:rFonts w:hint="cs"/>
          <w:rtl/>
          <w:lang w:val="en-CA"/>
        </w:rPr>
        <w:t>والعلانية. وفيما يتعلق بالبيانات الإحصائية التي قدّمتها الدولة الطرف، يشير صاحب البلاغ إلى وجود عدم وضوح بشأن عدد القضايا الإدارية المتعلقة بانتهاكات لحقوق مكفولة بموجب العهد</w:t>
      </w:r>
      <w:r w:rsidR="00901BEF">
        <w:rPr>
          <w:rFonts w:hint="cs"/>
          <w:rtl/>
          <w:lang w:val="en-CA"/>
        </w:rPr>
        <w:t>،</w:t>
      </w:r>
      <w:r w:rsidRPr="008D2D7C">
        <w:rPr>
          <w:rFonts w:hint="cs"/>
          <w:rtl/>
          <w:lang w:val="en-CA"/>
        </w:rPr>
        <w:t xml:space="preserve"> التي طُعن فيها أو خضعت للمراجعة في إطار </w:t>
      </w:r>
      <w:r w:rsidR="008C63B4">
        <w:rPr>
          <w:rFonts w:hint="cs"/>
          <w:rtl/>
          <w:lang w:val="en-CA"/>
        </w:rPr>
        <w:t>إجراءات ال</w:t>
      </w:r>
      <w:r w:rsidRPr="008D2D7C">
        <w:rPr>
          <w:rFonts w:hint="cs"/>
          <w:rtl/>
          <w:lang w:val="en-CA"/>
        </w:rPr>
        <w:t xml:space="preserve">مراجعة </w:t>
      </w:r>
      <w:r w:rsidR="008C63B4">
        <w:rPr>
          <w:rFonts w:hint="cs"/>
          <w:rtl/>
          <w:lang w:val="en-CA"/>
        </w:rPr>
        <w:t>ال</w:t>
      </w:r>
      <w:r w:rsidRPr="008D2D7C">
        <w:rPr>
          <w:rFonts w:hint="cs"/>
          <w:rtl/>
          <w:lang w:val="en-CA"/>
        </w:rPr>
        <w:t>قضائية</w:t>
      </w:r>
      <w:r w:rsidR="008C63B4">
        <w:rPr>
          <w:rFonts w:hint="cs"/>
          <w:rtl/>
          <w:lang w:val="en-CA"/>
        </w:rPr>
        <w:t xml:space="preserve"> الرقابية</w:t>
      </w:r>
      <w:r w:rsidRPr="008D2D7C">
        <w:rPr>
          <w:rFonts w:hint="cs"/>
          <w:rtl/>
          <w:lang w:val="en-CA"/>
        </w:rPr>
        <w:t>. ويشير صاحب البلاغ أيضاً إلى أن الدولة الطرف تتجاهل آراء اللجنة عندما تُعتمد في قضايا ضد الدولة الطرف.</w:t>
      </w:r>
    </w:p>
    <w:p w:rsidR="00F14B62" w:rsidRDefault="00F14B62" w:rsidP="008C63B4">
      <w:pPr>
        <w:pStyle w:val="H23GA"/>
        <w:rPr>
          <w:rFonts w:hint="cs"/>
          <w:rtl/>
          <w:lang w:val="fr-CH"/>
        </w:rPr>
      </w:pPr>
      <w:r>
        <w:rPr>
          <w:rFonts w:hint="cs"/>
          <w:rtl/>
          <w:lang w:val="fr-CH"/>
        </w:rPr>
        <w:tab/>
      </w:r>
      <w:r>
        <w:rPr>
          <w:rFonts w:hint="cs"/>
          <w:rtl/>
          <w:lang w:val="fr-CH"/>
        </w:rPr>
        <w:tab/>
        <w:t>ملاحظات الدولة الطرف بشأن الأسس الموضوعية</w:t>
      </w:r>
    </w:p>
    <w:p w:rsidR="00F14B62" w:rsidRDefault="00F14B62" w:rsidP="00FB47EF">
      <w:pPr>
        <w:pStyle w:val="SingleTxtGA"/>
        <w:rPr>
          <w:rFonts w:hint="cs"/>
          <w:rtl/>
          <w:lang w:val="en-CA"/>
        </w:rPr>
      </w:pPr>
      <w:r>
        <w:rPr>
          <w:rFonts w:hint="cs"/>
          <w:rtl/>
          <w:lang w:val="en-CA"/>
        </w:rPr>
        <w:t>6-1</w:t>
      </w:r>
      <w:r>
        <w:rPr>
          <w:rFonts w:hint="cs"/>
          <w:rtl/>
          <w:lang w:val="en-CA"/>
        </w:rPr>
        <w:tab/>
        <w:t xml:space="preserve">في 26 أيار/مايو 2009، قدمت الدولة الطرف ملاحظاتها بشأن الأسس الموضوعية. وتشير الدولة الطرف إلى أن المادة </w:t>
      </w:r>
      <w:r w:rsidRPr="0010263C">
        <w:rPr>
          <w:rFonts w:hint="cs"/>
          <w:rtl/>
          <w:lang w:val="en-CA"/>
        </w:rPr>
        <w:t>35 من الدستور</w:t>
      </w:r>
      <w:r>
        <w:rPr>
          <w:rFonts w:hint="cs"/>
          <w:rtl/>
          <w:lang w:val="en-CA"/>
        </w:rPr>
        <w:t xml:space="preserve"> تكفل حرية تنظيم التجمعات والاجتماعات والمسيرات والمظاهرات والاعتصامات التي لا تُخل بالنظام العام ولا تنتهك حقوق المواطنين الآخرين. والإجراء المطلوب لتنظيم هذه الفعاليات محدد بنص القانون. وتهدف أحكام قانون التظاهرات العامة إلى تهيئة الظروف التي تكفل تمتع المواطنين بالحقوق والحريات الدستورية، وحماية السلامة العامة والنظام العام خلال تنظيم هذه الفعاليات في </w:t>
      </w:r>
      <w:r w:rsidRPr="0010263C">
        <w:rPr>
          <w:rFonts w:hint="cs"/>
          <w:rtl/>
          <w:lang w:val="en-CA"/>
        </w:rPr>
        <w:t>الشوارع والساحات العامة والأماكن</w:t>
      </w:r>
      <w:r>
        <w:rPr>
          <w:rFonts w:hint="cs"/>
          <w:rtl/>
          <w:lang w:val="en-CA"/>
        </w:rPr>
        <w:t xml:space="preserve"> العامة الأخرى. وتذكّر الدولة الطرف بأن محكمة مدينة </w:t>
      </w:r>
      <w:proofErr w:type="spellStart"/>
      <w:r>
        <w:rPr>
          <w:rFonts w:hint="cs"/>
          <w:rtl/>
          <w:lang w:val="en-CA"/>
        </w:rPr>
        <w:t>جودينو</w:t>
      </w:r>
      <w:proofErr w:type="spellEnd"/>
      <w:r>
        <w:rPr>
          <w:rFonts w:hint="cs"/>
          <w:rtl/>
          <w:lang w:val="en-CA"/>
        </w:rPr>
        <w:t xml:space="preserve"> في 24 آذار/مارس 2008، وجدت صاحب البلاغ </w:t>
      </w:r>
      <w:r w:rsidR="00FB47EF">
        <w:rPr>
          <w:rFonts w:hint="cs"/>
          <w:rtl/>
          <w:lang w:val="en-CA"/>
        </w:rPr>
        <w:t xml:space="preserve">مداناً </w:t>
      </w:r>
      <w:r>
        <w:rPr>
          <w:rFonts w:hint="cs"/>
          <w:rtl/>
          <w:lang w:val="en-CA"/>
        </w:rPr>
        <w:t xml:space="preserve">وفق القانون بارتكاب مخالفة إدارية بموجب الفقرة 2 من المادة 23-34 من قانون الإجراءات التنفيذي للمخالفات الإدارية (وهي خرق إجراء تنظيم وعقد </w:t>
      </w:r>
      <w:r w:rsidRPr="00503F33">
        <w:rPr>
          <w:rFonts w:hint="cs"/>
          <w:rtl/>
          <w:lang w:val="en-CA"/>
        </w:rPr>
        <w:t>فعالية عامة</w:t>
      </w:r>
      <w:r>
        <w:rPr>
          <w:rFonts w:hint="cs"/>
          <w:rtl/>
          <w:lang w:val="en-CA"/>
        </w:rPr>
        <w:t xml:space="preserve"> ومسيرة)، وفرضت عليه عقوبة بالاحتجاز الإداري سبعة أيام. ولاحقاً، أيّدت </w:t>
      </w:r>
      <w:r w:rsidRPr="00DE1BE0">
        <w:rPr>
          <w:rFonts w:hint="cs"/>
          <w:rtl/>
          <w:lang w:val="en-CA"/>
        </w:rPr>
        <w:t>محكمة مِنْسك الإقليمية</w:t>
      </w:r>
      <w:r>
        <w:rPr>
          <w:rFonts w:hint="cs"/>
          <w:rtl/>
          <w:lang w:val="en-CA"/>
        </w:rPr>
        <w:t xml:space="preserve"> هذا القرار، ورفضت المحكمة العليا استئناف صاحب البلاغ في 28 حزيران/يونيه 2008. ولم يكن صاحب البلاغ يحمل ترخيصاً لتنظيم تلك التظاهرة العامة في 23 آذار/مارس 2008، وكان على علم بأنه غير مسموح له تنظيمها.</w:t>
      </w:r>
    </w:p>
    <w:p w:rsidR="00F14B62" w:rsidRPr="00B614D4" w:rsidRDefault="00F14B62" w:rsidP="00F7041F">
      <w:pPr>
        <w:pStyle w:val="SingleTxtGA"/>
        <w:rPr>
          <w:rFonts w:hint="cs"/>
          <w:rtl/>
        </w:rPr>
      </w:pPr>
      <w:r>
        <w:rPr>
          <w:rFonts w:hint="cs"/>
          <w:rtl/>
          <w:lang w:val="en-CA"/>
        </w:rPr>
        <w:t>6-2</w:t>
      </w:r>
      <w:r>
        <w:rPr>
          <w:rFonts w:hint="cs"/>
          <w:rtl/>
          <w:lang w:val="en-CA"/>
        </w:rPr>
        <w:tab/>
        <w:t xml:space="preserve">وتضيف الدولة الطرف أن الفقرة 2 من المادة 19 في العهد تكفل الحق </w:t>
      </w:r>
      <w:r w:rsidR="00FB47EF">
        <w:rPr>
          <w:rFonts w:hint="cs"/>
          <w:rtl/>
          <w:lang w:val="en-CA"/>
        </w:rPr>
        <w:t xml:space="preserve">في </w:t>
      </w:r>
      <w:r>
        <w:rPr>
          <w:rFonts w:hint="cs"/>
          <w:rtl/>
          <w:lang w:val="en-CA"/>
        </w:rPr>
        <w:t xml:space="preserve">حرية التعبير لجميع الأفراد، وأن هذا الحق </w:t>
      </w:r>
      <w:r w:rsidRPr="005970EC">
        <w:rPr>
          <w:rtl/>
          <w:lang w:val="en-CA"/>
        </w:rPr>
        <w:t xml:space="preserve">يشمل </w:t>
      </w:r>
      <w:r>
        <w:rPr>
          <w:rtl/>
          <w:lang w:val="en-CA"/>
        </w:rPr>
        <w:t>حري</w:t>
      </w:r>
      <w:r>
        <w:rPr>
          <w:rFonts w:hint="cs"/>
          <w:rtl/>
          <w:lang w:val="en-CA"/>
        </w:rPr>
        <w:t>تهم</w:t>
      </w:r>
      <w:r w:rsidRPr="005970EC">
        <w:rPr>
          <w:rtl/>
          <w:lang w:val="en-CA"/>
        </w:rPr>
        <w:t xml:space="preserve"> في التماس مختلف ضروب المعلومات والأفكار وتلقيها ونقلها إلى آخرين دونما اعتبار للحدود، سواء على شكل مكتوب أو</w:t>
      </w:r>
      <w:r w:rsidR="00FB47EF">
        <w:rPr>
          <w:rFonts w:hint="cs"/>
          <w:rtl/>
          <w:lang w:val="en-CA"/>
        </w:rPr>
        <w:t> </w:t>
      </w:r>
      <w:r w:rsidRPr="005970EC">
        <w:rPr>
          <w:rtl/>
          <w:lang w:val="en-CA"/>
        </w:rPr>
        <w:t>مطبوع أو في قا</w:t>
      </w:r>
      <w:r>
        <w:rPr>
          <w:rtl/>
          <w:lang w:val="en-CA"/>
        </w:rPr>
        <w:t>لب فني أو بأية وسيلة أخرى يختار</w:t>
      </w:r>
      <w:r>
        <w:rPr>
          <w:rFonts w:hint="cs"/>
          <w:rtl/>
          <w:lang w:val="en-CA"/>
        </w:rPr>
        <w:t xml:space="preserve">ونها. لكن الفقرة 3 من المادة 19 في العهد تفرض </w:t>
      </w:r>
      <w:r w:rsidRPr="00FA28A6">
        <w:rPr>
          <w:rtl/>
          <w:lang w:val="en-CA"/>
        </w:rPr>
        <w:t>و</w:t>
      </w:r>
      <w:r>
        <w:rPr>
          <w:rtl/>
          <w:lang w:val="en-CA"/>
        </w:rPr>
        <w:t>اجبات ومس</w:t>
      </w:r>
      <w:r>
        <w:rPr>
          <w:rFonts w:hint="cs"/>
          <w:rtl/>
          <w:lang w:val="en-CA"/>
        </w:rPr>
        <w:t>ؤو</w:t>
      </w:r>
      <w:r w:rsidRPr="00FA28A6">
        <w:rPr>
          <w:rtl/>
          <w:lang w:val="en-CA"/>
        </w:rPr>
        <w:t>ليات خاصة</w:t>
      </w:r>
      <w:r>
        <w:rPr>
          <w:rFonts w:hint="cs"/>
          <w:rtl/>
          <w:lang w:val="en-CA"/>
        </w:rPr>
        <w:t xml:space="preserve"> على أصحاب الحقوق، و</w:t>
      </w:r>
      <w:r>
        <w:rPr>
          <w:rtl/>
          <w:lang w:val="en-CA"/>
        </w:rPr>
        <w:t>على ذلك يجوز إخضاع</w:t>
      </w:r>
      <w:r>
        <w:rPr>
          <w:rFonts w:hint="cs"/>
          <w:rtl/>
          <w:lang w:val="en-CA"/>
        </w:rPr>
        <w:t xml:space="preserve"> الحق بحرية التعبير </w:t>
      </w:r>
      <w:r w:rsidRPr="00FA28A6">
        <w:rPr>
          <w:rtl/>
          <w:lang w:val="en-CA"/>
        </w:rPr>
        <w:t>لبعض القيود</w:t>
      </w:r>
      <w:r>
        <w:rPr>
          <w:rFonts w:hint="cs"/>
          <w:rtl/>
          <w:lang w:val="en-CA"/>
        </w:rPr>
        <w:t>،</w:t>
      </w:r>
      <w:r w:rsidRPr="00FA28A6">
        <w:rPr>
          <w:rtl/>
          <w:lang w:val="en-CA"/>
        </w:rPr>
        <w:t xml:space="preserve"> ولكن شريطة أن تكون محددة بنص القانون وأن تكون ضرورية</w:t>
      </w:r>
      <w:r>
        <w:rPr>
          <w:rFonts w:hint="cs"/>
          <w:rtl/>
          <w:lang w:val="en-CA"/>
        </w:rPr>
        <w:t xml:space="preserve">: (أ) </w:t>
      </w:r>
      <w:r w:rsidRPr="00FA28A6">
        <w:rPr>
          <w:rtl/>
          <w:lang w:val="en-CA"/>
        </w:rPr>
        <w:t>لاحترام حقوق الآخرين أو سمعتهم</w:t>
      </w:r>
      <w:r w:rsidR="00F7041F">
        <w:rPr>
          <w:rFonts w:hint="cs"/>
          <w:rtl/>
          <w:lang w:val="en-CA"/>
        </w:rPr>
        <w:t>؛</w:t>
      </w:r>
      <w:r>
        <w:rPr>
          <w:rFonts w:hint="cs"/>
          <w:rtl/>
          <w:lang w:val="en-CA"/>
        </w:rPr>
        <w:t xml:space="preserve"> و(ب) </w:t>
      </w:r>
      <w:r w:rsidRPr="00FA28A6">
        <w:rPr>
          <w:rtl/>
          <w:lang w:val="en-CA"/>
        </w:rPr>
        <w:t>لحماية الأمن القومي أو النظام العام أو الصحة العامة أو الآداب العامة</w:t>
      </w:r>
      <w:r w:rsidR="00F7041F">
        <w:rPr>
          <w:rFonts w:hint="cs"/>
          <w:rtl/>
          <w:lang w:val="en-CA"/>
        </w:rPr>
        <w:t>.</w:t>
      </w:r>
      <w:r>
        <w:rPr>
          <w:rFonts w:hint="cs"/>
          <w:rtl/>
          <w:lang w:val="en-CA"/>
        </w:rPr>
        <w:t xml:space="preserve"> وتعترف المادة 21 في العهد </w:t>
      </w:r>
      <w:r w:rsidRPr="000835D8">
        <w:rPr>
          <w:rFonts w:hint="cs"/>
          <w:rtl/>
          <w:lang w:val="en-CA"/>
        </w:rPr>
        <w:t>ب</w:t>
      </w:r>
      <w:r w:rsidRPr="000835D8">
        <w:rPr>
          <w:rtl/>
          <w:lang w:val="en-CA"/>
        </w:rPr>
        <w:t>الحق في التجمع السلمي. ولا يجوز أن يوضع من القيود على ممارسة هذا الحق إلا تلك التي تفرض طبقا</w:t>
      </w:r>
      <w:r w:rsidR="00F7041F">
        <w:rPr>
          <w:rFonts w:hint="cs"/>
          <w:rtl/>
          <w:lang w:val="en-CA"/>
        </w:rPr>
        <w:t>ً</w:t>
      </w:r>
      <w:r w:rsidRPr="000835D8">
        <w:rPr>
          <w:rtl/>
          <w:lang w:val="en-CA"/>
        </w:rPr>
        <w:t xml:space="preserve"> للقانون وتشكل تدابير ضرورية، في مجتمع ديمقراطي، لصيانة الأمن القومي أو السلامة العامة أو</w:t>
      </w:r>
      <w:r w:rsidR="00FB47EF">
        <w:rPr>
          <w:rFonts w:hint="cs"/>
          <w:rtl/>
          <w:lang w:val="en-CA"/>
        </w:rPr>
        <w:t> </w:t>
      </w:r>
      <w:r w:rsidRPr="000835D8">
        <w:rPr>
          <w:rtl/>
          <w:lang w:val="en-CA"/>
        </w:rPr>
        <w:t>النظام العام أو حماية الصحة العامة أو الآداب العامة أو حماية حقوق الآخرين وحرياتهم</w:t>
      </w:r>
      <w:r w:rsidR="00B614D4">
        <w:rPr>
          <w:rFonts w:hint="cs"/>
          <w:rtl/>
          <w:lang w:val="en-CA"/>
        </w:rPr>
        <w:t>.</w:t>
      </w:r>
    </w:p>
    <w:p w:rsidR="00F14B62" w:rsidRDefault="00F14B62" w:rsidP="005E08F3">
      <w:pPr>
        <w:pStyle w:val="SingleTxtGA"/>
        <w:rPr>
          <w:rFonts w:hint="cs"/>
          <w:rtl/>
        </w:rPr>
      </w:pPr>
      <w:r>
        <w:rPr>
          <w:rFonts w:hint="cs"/>
          <w:rtl/>
          <w:lang w:val="en-CA"/>
        </w:rPr>
        <w:t>6-3</w:t>
      </w:r>
      <w:r>
        <w:rPr>
          <w:rFonts w:hint="cs"/>
          <w:rtl/>
          <w:lang w:val="en-CA"/>
        </w:rPr>
        <w:tab/>
        <w:t>وتبيّن الدولة الطرف أنها، كطرف في العهد، أدرجت أحكام المادتين 19 و21 في نظامها القانوني المحلي. وامتثالاً للمادة 23 في الدستور، لا يجوز وضع قيود على حقوق وحريات الأفراد إلاّ في حالات يحدّدها القانون، وبما يصون ا</w:t>
      </w:r>
      <w:r w:rsidRPr="000835D8">
        <w:rPr>
          <w:rtl/>
          <w:lang w:val="en-CA"/>
        </w:rPr>
        <w:t>لأمن القومي أو النظام العام</w:t>
      </w:r>
      <w:r>
        <w:rPr>
          <w:rFonts w:hint="cs"/>
          <w:rtl/>
          <w:lang w:val="en-CA"/>
        </w:rPr>
        <w:t>،</w:t>
      </w:r>
      <w:r w:rsidRPr="000835D8">
        <w:rPr>
          <w:rtl/>
          <w:lang w:val="en-CA"/>
        </w:rPr>
        <w:t xml:space="preserve"> أو</w:t>
      </w:r>
      <w:r w:rsidR="005E08F3">
        <w:rPr>
          <w:rFonts w:hint="cs"/>
          <w:rtl/>
          <w:lang w:val="en-CA"/>
        </w:rPr>
        <w:t> </w:t>
      </w:r>
      <w:r>
        <w:rPr>
          <w:rFonts w:hint="cs"/>
          <w:rtl/>
          <w:lang w:val="en-CA"/>
        </w:rPr>
        <w:t xml:space="preserve">يحمي </w:t>
      </w:r>
      <w:r w:rsidRPr="000835D8">
        <w:rPr>
          <w:rtl/>
          <w:lang w:val="en-CA"/>
        </w:rPr>
        <w:t>الصحة العامة أو الآداب العامة</w:t>
      </w:r>
      <w:r>
        <w:rPr>
          <w:rFonts w:hint="cs"/>
          <w:rtl/>
          <w:lang w:val="en-CA"/>
        </w:rPr>
        <w:t>،</w:t>
      </w:r>
      <w:r w:rsidRPr="000835D8">
        <w:rPr>
          <w:rtl/>
          <w:lang w:val="en-CA"/>
        </w:rPr>
        <w:t xml:space="preserve"> أو حقوق الآخرين وحرياتهم</w:t>
      </w:r>
      <w:r>
        <w:rPr>
          <w:rFonts w:hint="cs"/>
          <w:rtl/>
          <w:lang w:val="en-CA"/>
        </w:rPr>
        <w:t>. وعند تحليل المادة</w:t>
      </w:r>
      <w:r w:rsidR="005E08F3">
        <w:rPr>
          <w:rFonts w:hint="eastAsia"/>
          <w:rtl/>
          <w:lang w:val="en-CA"/>
        </w:rPr>
        <w:t> </w:t>
      </w:r>
      <w:r>
        <w:rPr>
          <w:rFonts w:hint="cs"/>
          <w:rtl/>
          <w:lang w:val="en-CA"/>
        </w:rPr>
        <w:t xml:space="preserve">35 في الدستور، التي تكفل حرية تنظيم الفعاليات العامة، يتبيّن بوضوح أن الدستور ينشئ الإطار </w:t>
      </w:r>
      <w:r w:rsidRPr="00FB47EF">
        <w:rPr>
          <w:rFonts w:hint="cs"/>
          <w:spacing w:val="-2"/>
          <w:rtl/>
          <w:lang w:val="en-CA"/>
        </w:rPr>
        <w:t xml:space="preserve">القانوني لتنظيم هذه الفعاليات. فتنظيم وعقد التجمعات والاجتماعات والمسيرات </w:t>
      </w:r>
      <w:r w:rsidRPr="005E08F3">
        <w:rPr>
          <w:rFonts w:hint="cs"/>
          <w:spacing w:val="-6"/>
          <w:rtl/>
          <w:lang w:val="en-CA"/>
        </w:rPr>
        <w:t>والتظاهرات والاعتصامات خاضعان لقانون التظاهرات العامة الصادر في 7 آب/أغسطس 2003،</w:t>
      </w:r>
      <w:r>
        <w:rPr>
          <w:rFonts w:hint="cs"/>
          <w:rtl/>
          <w:lang w:val="en-CA"/>
        </w:rPr>
        <w:t xml:space="preserve"> الذي يشترط الحصول على تصريح مسبق لتنظيم هذه الفعاليات. </w:t>
      </w:r>
      <w:r>
        <w:rPr>
          <w:rFonts w:hint="cs"/>
          <w:rtl/>
        </w:rPr>
        <w:t xml:space="preserve">ولا يجوز إخضاع حرية التعبير، المكفولة بموجب الدستور، لقيود إلاّ </w:t>
      </w:r>
      <w:r>
        <w:rPr>
          <w:rFonts w:hint="cs"/>
          <w:rtl/>
          <w:lang/>
        </w:rPr>
        <w:t xml:space="preserve">في الحالات التي يحددها القانون لصيانة </w:t>
      </w:r>
      <w:r>
        <w:rPr>
          <w:rFonts w:hint="cs"/>
          <w:rtl/>
        </w:rPr>
        <w:t xml:space="preserve">الأمن القومي أو النظام العام، أو لحماية الصحة العامة أو الآداب العامة، أو حقوق الآخرين وحرياتهم. وبالتالي، فإن القيود المنصوص عليها في القانون </w:t>
      </w:r>
      <w:proofErr w:type="spellStart"/>
      <w:r>
        <w:rPr>
          <w:rFonts w:hint="cs"/>
          <w:rtl/>
        </w:rPr>
        <w:t>البيلاروسي</w:t>
      </w:r>
      <w:proofErr w:type="spellEnd"/>
      <w:r>
        <w:rPr>
          <w:rFonts w:hint="cs"/>
          <w:rtl/>
        </w:rPr>
        <w:t xml:space="preserve"> ممتثلة للالتزامات الدولية المترتبة على الدولة الطرف، وتهدف إلى حماية الأمن القومي والنظام العام، وهذا يتعلق خصوصاً بأحكام المادة 23-34 من قانون الإجراءات التنفيذي للمخالفات</w:t>
      </w:r>
      <w:r w:rsidR="00FB47EF">
        <w:rPr>
          <w:rFonts w:hint="cs"/>
          <w:rtl/>
        </w:rPr>
        <w:t xml:space="preserve"> الإدارية</w:t>
      </w:r>
      <w:r>
        <w:rPr>
          <w:rFonts w:hint="cs"/>
          <w:rtl/>
        </w:rPr>
        <w:t>، والمادة</w:t>
      </w:r>
      <w:r w:rsidR="005E08F3">
        <w:rPr>
          <w:rFonts w:hint="eastAsia"/>
          <w:rtl/>
        </w:rPr>
        <w:t> </w:t>
      </w:r>
      <w:r>
        <w:rPr>
          <w:rFonts w:hint="cs"/>
          <w:rtl/>
        </w:rPr>
        <w:t>8 من قانون التظاهرات العامة.</w:t>
      </w:r>
    </w:p>
    <w:p w:rsidR="00F14B62" w:rsidRDefault="00F14B62" w:rsidP="00FB47EF">
      <w:pPr>
        <w:pStyle w:val="H23GA"/>
        <w:rPr>
          <w:rFonts w:hint="cs"/>
          <w:rtl/>
          <w:lang w:val="fr-CH"/>
        </w:rPr>
      </w:pPr>
      <w:r>
        <w:rPr>
          <w:rFonts w:hint="cs"/>
          <w:rtl/>
          <w:lang w:val="fr-CH"/>
        </w:rPr>
        <w:tab/>
      </w:r>
      <w:r>
        <w:rPr>
          <w:rFonts w:hint="cs"/>
          <w:rtl/>
          <w:lang w:val="fr-CH"/>
        </w:rPr>
        <w:tab/>
        <w:t>تعليقات صاحب البلاغ على ملاحظات الدولة الطرف</w:t>
      </w:r>
    </w:p>
    <w:p w:rsidR="00F14B62" w:rsidRDefault="00F14B62" w:rsidP="00FB47EF">
      <w:pPr>
        <w:pStyle w:val="SingleTxtGA"/>
        <w:rPr>
          <w:rFonts w:hint="cs"/>
          <w:rtl/>
        </w:rPr>
      </w:pPr>
      <w:r>
        <w:rPr>
          <w:rFonts w:hint="cs"/>
          <w:rtl/>
        </w:rPr>
        <w:t>7-1</w:t>
      </w:r>
      <w:r>
        <w:rPr>
          <w:rFonts w:hint="cs"/>
          <w:rtl/>
        </w:rPr>
        <w:tab/>
        <w:t>قدّم صاحب البلاغ تعليقاته على ملاحظات الدولة الطرف بتاريخ 21 آذار/</w:t>
      </w:r>
      <w:r w:rsidR="00FB47EF">
        <w:rPr>
          <w:rFonts w:hint="cs"/>
          <w:rtl/>
        </w:rPr>
        <w:t xml:space="preserve"> </w:t>
      </w:r>
      <w:r>
        <w:rPr>
          <w:rFonts w:hint="cs"/>
          <w:rtl/>
        </w:rPr>
        <w:t>مارس</w:t>
      </w:r>
      <w:r w:rsidR="00FB47EF">
        <w:rPr>
          <w:rFonts w:hint="eastAsia"/>
          <w:rtl/>
        </w:rPr>
        <w:t> </w:t>
      </w:r>
      <w:r>
        <w:rPr>
          <w:rFonts w:hint="cs"/>
          <w:rtl/>
        </w:rPr>
        <w:t>2010. وأكّد أنه في ظل ا</w:t>
      </w:r>
      <w:r w:rsidR="003A7E93">
        <w:rPr>
          <w:rFonts w:hint="cs"/>
          <w:rtl/>
        </w:rPr>
        <w:t xml:space="preserve">لمادة 35 من دستور جمهورية </w:t>
      </w:r>
      <w:proofErr w:type="spellStart"/>
      <w:r w:rsidR="003A7E93">
        <w:rPr>
          <w:rFonts w:hint="cs"/>
          <w:rtl/>
        </w:rPr>
        <w:t>بيلارو</w:t>
      </w:r>
      <w:r>
        <w:rPr>
          <w:rFonts w:hint="cs"/>
          <w:rtl/>
        </w:rPr>
        <w:t>س</w:t>
      </w:r>
      <w:proofErr w:type="spellEnd"/>
      <w:r>
        <w:rPr>
          <w:rFonts w:hint="cs"/>
          <w:rtl/>
        </w:rPr>
        <w:t xml:space="preserve">، والالتزامات المترتبة على الدولة الطرف </w:t>
      </w:r>
      <w:r w:rsidRPr="002F3540">
        <w:rPr>
          <w:rFonts w:hint="cs"/>
          <w:rtl/>
        </w:rPr>
        <w:t xml:space="preserve">بموجب صكوك منها العهد، لا يجوز لها التدخل بصورة تعسفية في الحق </w:t>
      </w:r>
      <w:r>
        <w:rPr>
          <w:rFonts w:hint="cs"/>
          <w:rtl/>
        </w:rPr>
        <w:t>ب</w:t>
      </w:r>
      <w:r w:rsidRPr="002F3540">
        <w:rPr>
          <w:rFonts w:hint="cs"/>
          <w:rtl/>
        </w:rPr>
        <w:t>التجمع السلمي.</w:t>
      </w:r>
    </w:p>
    <w:p w:rsidR="00F14B62" w:rsidRPr="005E08F3" w:rsidRDefault="00F14B62" w:rsidP="005E08F3">
      <w:pPr>
        <w:pStyle w:val="SingleTxtGA"/>
        <w:rPr>
          <w:rFonts w:hint="cs"/>
          <w:spacing w:val="2"/>
          <w:rtl/>
        </w:rPr>
      </w:pPr>
      <w:r w:rsidRPr="005E08F3">
        <w:rPr>
          <w:rFonts w:hint="cs"/>
          <w:spacing w:val="2"/>
          <w:rtl/>
        </w:rPr>
        <w:t>7-2</w:t>
      </w:r>
      <w:r w:rsidRPr="005E08F3">
        <w:rPr>
          <w:rFonts w:hint="cs"/>
          <w:spacing w:val="2"/>
          <w:rtl/>
        </w:rPr>
        <w:tab/>
        <w:t>ويشير صاحب البلاغ إلى أنه عوضاً عن ضمان الحقوق التي يكفلها العهد، وُقّعت عليه هو والمنظمون الآخرون عقوبات من الدولة الطرف في شكل احتجاز إداري مدته سبعة أيام. وفي هذا الصدد، يشير إلى أن السلطات الوطنية لم تقدّم أي تبرير عندما رفضت</w:t>
      </w:r>
      <w:r w:rsidR="005E08F3">
        <w:rPr>
          <w:rFonts w:hint="eastAsia"/>
          <w:spacing w:val="2"/>
          <w:rtl/>
        </w:rPr>
        <w:t> </w:t>
      </w:r>
      <w:r w:rsidRPr="005E08F3">
        <w:rPr>
          <w:rFonts w:hint="cs"/>
          <w:spacing w:val="2"/>
          <w:rtl/>
        </w:rPr>
        <w:t>الطلب الذي قدّموه. وبالإضافة إلى ذلك، يبيّن صاحب البلاغ أنه والمنظمين الآخرين قرروا ألاّ</w:t>
      </w:r>
      <w:r w:rsidR="005E08F3" w:rsidRPr="005E08F3">
        <w:rPr>
          <w:rFonts w:hint="eastAsia"/>
          <w:spacing w:val="2"/>
          <w:rtl/>
        </w:rPr>
        <w:t> </w:t>
      </w:r>
      <w:r w:rsidRPr="005E08F3">
        <w:rPr>
          <w:rFonts w:hint="cs"/>
          <w:spacing w:val="2"/>
          <w:rtl/>
        </w:rPr>
        <w:t>يعقدوا الفعاليات، ولم يعقدوها، نظراً لرفض منح الإذن بعقدها في 23 آذار/مارس 2008.</w:t>
      </w:r>
    </w:p>
    <w:p w:rsidR="00F14B62" w:rsidRDefault="00F14B62" w:rsidP="00FB47EF">
      <w:pPr>
        <w:pStyle w:val="SingleTxtGA"/>
        <w:rPr>
          <w:rFonts w:hint="cs"/>
          <w:rtl/>
        </w:rPr>
      </w:pPr>
      <w:r>
        <w:rPr>
          <w:rFonts w:hint="cs"/>
          <w:rtl/>
        </w:rPr>
        <w:t>7-3</w:t>
      </w:r>
      <w:r>
        <w:rPr>
          <w:rFonts w:hint="cs"/>
          <w:rtl/>
        </w:rPr>
        <w:tab/>
        <w:t>وفيما يتعلق بالاجتماع السلمي الذي جرى في 23 آذار/مارس 2008 بالقرب من متنزه الثقافة، يشير صاحب البلاغ إلى أنه كان مجرد اجتماع لمجموعة من الأشخاص الذين يلتقون في الآراء أرادوا إحياء ذكرى الأبطال الذين قاتلوا من أجل بلدهم</w:t>
      </w:r>
      <w:r w:rsidRPr="002E4527">
        <w:rPr>
          <w:rFonts w:hint="cs"/>
          <w:rtl/>
        </w:rPr>
        <w:t>، ووضع ال</w:t>
      </w:r>
      <w:r>
        <w:rPr>
          <w:rFonts w:hint="cs"/>
          <w:rtl/>
        </w:rPr>
        <w:t>زهور</w:t>
      </w:r>
      <w:r w:rsidRPr="002E4527">
        <w:rPr>
          <w:rFonts w:hint="cs"/>
          <w:rtl/>
        </w:rPr>
        <w:t xml:space="preserve"> عند قاعدة نصب تذكاري. وهذه الأنشطة، أي الاجتماع بأشخاص يلتق</w:t>
      </w:r>
      <w:r>
        <w:rPr>
          <w:rFonts w:hint="cs"/>
          <w:rtl/>
        </w:rPr>
        <w:t>ي معهم في الآراء ووضع الزهور، لا تتطلب الحصول على إذن من السلطات.</w:t>
      </w:r>
    </w:p>
    <w:p w:rsidR="00F14B62" w:rsidRDefault="00F14B62" w:rsidP="005E08F3">
      <w:pPr>
        <w:pStyle w:val="SingleTxtGA"/>
        <w:rPr>
          <w:rFonts w:hint="cs"/>
          <w:rtl/>
        </w:rPr>
      </w:pPr>
      <w:r>
        <w:rPr>
          <w:rFonts w:hint="cs"/>
          <w:rtl/>
        </w:rPr>
        <w:t>7-4</w:t>
      </w:r>
      <w:r>
        <w:rPr>
          <w:rFonts w:hint="cs"/>
          <w:rtl/>
        </w:rPr>
        <w:tab/>
        <w:t>ويشير صاحب البلاغ أيضاً إلى أن على سلطات الدولة أن تطبق قانون التظاهرات العامة بطريقة تيسّر التمتع بحقَّي حرية التعبير والتجمع السلمي. ويرى أن على السلطات ألاّ</w:t>
      </w:r>
      <w:r w:rsidR="005E08F3">
        <w:rPr>
          <w:rFonts w:hint="eastAsia"/>
          <w:rtl/>
        </w:rPr>
        <w:t> </w:t>
      </w:r>
      <w:r>
        <w:rPr>
          <w:rFonts w:hint="cs"/>
          <w:rtl/>
        </w:rPr>
        <w:t xml:space="preserve">تعقّد إجراءات التمتع بهذين الحقين، بل أن تسهّلها لتضمن قدرة الناس على التمتع بالحقوق في الممارسة العملية. وفي هذا الشأن، يبيّن صاحب البلاغ أن نظام الحصول على إذن لتنظيم وعقد تظاهرات عامة في واقع الأمر يجعل عقدها متعذراً، ويتيح لسلطات الدولة تفسيرات فضفاضة للمعايير التي تمكّنها من رفض التصريح بالتجمع السلمي. ويذكر صاحب البلاغ أيضاً أن الأنشطة التي ينظمها المجتمع المدني والمعارضة في الدولة الطرف، وفي </w:t>
      </w:r>
      <w:proofErr w:type="spellStart"/>
      <w:r>
        <w:rPr>
          <w:rFonts w:hint="cs"/>
          <w:rtl/>
        </w:rPr>
        <w:t>جودينو</w:t>
      </w:r>
      <w:proofErr w:type="spellEnd"/>
      <w:r>
        <w:rPr>
          <w:rFonts w:hint="cs"/>
          <w:rtl/>
        </w:rPr>
        <w:t xml:space="preserve"> تحديداً، محظورة باستمرار، وبصورة غير مشروعة. وفي العادة، لا تقدّم سلطات الدولة أي تبرير لرفض السماح بعقد هذه الأنشطة، أو تبرر الرفض بوجود أوجه قصور شكلية. ويعتبر صاحب البلاغ أن النظام القائم للحصول على إذن لتنظيم تظاهرات عامة، في جوهره، خاضع للسيطرة مركزياً، ويستند إلى اعتبارات إيديولوجية.</w:t>
      </w:r>
    </w:p>
    <w:p w:rsidR="00F14B62" w:rsidRDefault="00F14B62" w:rsidP="00FB47EF">
      <w:pPr>
        <w:pStyle w:val="SingleTxtGA"/>
        <w:rPr>
          <w:rFonts w:hint="cs"/>
          <w:rtl/>
        </w:rPr>
      </w:pPr>
      <w:r>
        <w:rPr>
          <w:rFonts w:hint="cs"/>
          <w:rtl/>
        </w:rPr>
        <w:t>7-5</w:t>
      </w:r>
      <w:r>
        <w:rPr>
          <w:rFonts w:hint="cs"/>
          <w:rtl/>
        </w:rPr>
        <w:tab/>
        <w:t xml:space="preserve">ويشير صاحب البلاغ إلى أن العقوبة التي أنزِلت به في شكل احتجاز إداري لسبعة أيام تشكّل معاملة مهينة وقمعية وتمييزية، وأنها لم تكن ضرورية، كونها تشكّل قيوداً تتيح التدخل في حق التجمع السلمي وحق حرية التعبير. وبحسب قوله، لم يشكّل أي من الأفراد الذين حملوا البالونات ووضعوا الزهور عند قاعدة المسلة في 23 آذار/مارس 2008، وهو يوم فخر وطني وتاريخ تأسيس جمهورية بيلاروس الشعبية، ووُجد لاحقاً أنهم مذنبون بارتكاب مخالفة إدارية، خطراً على </w:t>
      </w:r>
      <w:r>
        <w:rPr>
          <w:rFonts w:hint="cs"/>
          <w:rtl/>
          <w:lang w:val="en-CA"/>
        </w:rPr>
        <w:t>ا</w:t>
      </w:r>
      <w:r w:rsidRPr="000835D8">
        <w:rPr>
          <w:rtl/>
          <w:lang w:val="en-CA"/>
        </w:rPr>
        <w:t>لأمن القومي أو النظام العام</w:t>
      </w:r>
      <w:r>
        <w:rPr>
          <w:rFonts w:hint="cs"/>
          <w:rtl/>
          <w:lang w:val="en-CA"/>
        </w:rPr>
        <w:t>،</w:t>
      </w:r>
      <w:r w:rsidRPr="000835D8">
        <w:rPr>
          <w:rtl/>
          <w:lang w:val="en-CA"/>
        </w:rPr>
        <w:t xml:space="preserve"> أو </w:t>
      </w:r>
      <w:r>
        <w:rPr>
          <w:rFonts w:hint="cs"/>
          <w:rtl/>
          <w:lang w:val="en-CA"/>
        </w:rPr>
        <w:t xml:space="preserve">على </w:t>
      </w:r>
      <w:r w:rsidRPr="000835D8">
        <w:rPr>
          <w:rtl/>
          <w:lang w:val="en-CA"/>
        </w:rPr>
        <w:t>حقوق الآخرين وحرياتهم</w:t>
      </w:r>
      <w:r>
        <w:rPr>
          <w:rFonts w:hint="cs"/>
          <w:rtl/>
          <w:lang w:val="en-CA"/>
        </w:rPr>
        <w:t xml:space="preserve">، </w:t>
      </w:r>
      <w:r w:rsidRPr="000835D8">
        <w:rPr>
          <w:rtl/>
          <w:lang w:val="en-CA"/>
        </w:rPr>
        <w:t xml:space="preserve">أو </w:t>
      </w:r>
      <w:r>
        <w:rPr>
          <w:rFonts w:hint="cs"/>
          <w:rtl/>
          <w:lang w:val="en-CA"/>
        </w:rPr>
        <w:t xml:space="preserve">على </w:t>
      </w:r>
      <w:r w:rsidRPr="000835D8">
        <w:rPr>
          <w:rtl/>
          <w:lang w:val="en-CA"/>
        </w:rPr>
        <w:t>الصحة العامة أو الآداب العامة</w:t>
      </w:r>
      <w:r>
        <w:rPr>
          <w:rFonts w:hint="cs"/>
          <w:rtl/>
          <w:lang w:val="en-CA"/>
        </w:rPr>
        <w:t xml:space="preserve">. </w:t>
      </w:r>
      <w:r>
        <w:rPr>
          <w:rFonts w:hint="cs"/>
          <w:rtl/>
        </w:rPr>
        <w:t xml:space="preserve">ويشير صاحب البلاغ أيضاً إلى أن الدولة الطرف، في ملاحظاتها بشأن المقبولية، تفسر أحكام العهد والبروتوكول </w:t>
      </w:r>
      <w:r w:rsidR="00FB47EF">
        <w:rPr>
          <w:rFonts w:hint="cs"/>
          <w:rtl/>
        </w:rPr>
        <w:t xml:space="preserve">الاختياري </w:t>
      </w:r>
      <w:r>
        <w:rPr>
          <w:rFonts w:hint="cs"/>
          <w:rtl/>
        </w:rPr>
        <w:t>المحلق به تعسفياً، متجاهلة التعليق العام رقم 33 للجنة المعنية بحقوق الإنسان.</w:t>
      </w:r>
    </w:p>
    <w:p w:rsidR="00F14B62" w:rsidRPr="005E08F3" w:rsidRDefault="00F14B62" w:rsidP="00FB47EF">
      <w:pPr>
        <w:pStyle w:val="SingleTxtGA"/>
        <w:rPr>
          <w:rFonts w:hint="cs"/>
          <w:spacing w:val="2"/>
          <w:rtl/>
        </w:rPr>
      </w:pPr>
      <w:r w:rsidRPr="005E08F3">
        <w:rPr>
          <w:rFonts w:hint="cs"/>
          <w:spacing w:val="2"/>
          <w:rtl/>
        </w:rPr>
        <w:t>7-6</w:t>
      </w:r>
      <w:r w:rsidRPr="005E08F3">
        <w:rPr>
          <w:rFonts w:hint="cs"/>
          <w:spacing w:val="2"/>
          <w:rtl/>
        </w:rPr>
        <w:tab/>
        <w:t xml:space="preserve">ويشدد صاحب البلاغ على عدم جواز فرض قيود على الحق في تنظيم فعالية عامة سلمية في بلد ديمقراطي بصورة تعسفية، ولكن فقط وفق أسس محددة وواضحة، وعند وجود دواعٍ جدية لهذه القيود. وعندما يصبح بلد طرفاً في العهد والبروتوكول </w:t>
      </w:r>
      <w:r w:rsidR="00FB47EF" w:rsidRPr="005E08F3">
        <w:rPr>
          <w:rFonts w:hint="cs"/>
          <w:spacing w:val="2"/>
          <w:rtl/>
        </w:rPr>
        <w:t xml:space="preserve">الاختياري </w:t>
      </w:r>
      <w:r w:rsidRPr="005E08F3">
        <w:rPr>
          <w:rFonts w:hint="cs"/>
          <w:spacing w:val="2"/>
          <w:rtl/>
        </w:rPr>
        <w:t xml:space="preserve">الملحق به، عليه أن يحترم الالتزامات المترتبة عليه بموجبهما ليس من ناحية نظرية فقط، بل أيضاً في الممارسة العملية. وبالتالي، لا يجوز تقييد الحقوق التي يكفلها العهد بالاستناد إلى أسس شكلية فقط. ولا يجوز تقييدها سوى في حال وجود نص قانوني يتيح ذلك التقييد، وكان ذلك ضرورياً لخدمة </w:t>
      </w:r>
      <w:r w:rsidRPr="005E08F3">
        <w:rPr>
          <w:rFonts w:hint="cs"/>
          <w:spacing w:val="2"/>
          <w:rtl/>
          <w:lang w:val="en-CA"/>
        </w:rPr>
        <w:t>ا</w:t>
      </w:r>
      <w:r w:rsidRPr="005E08F3">
        <w:rPr>
          <w:spacing w:val="2"/>
          <w:rtl/>
          <w:lang w:val="en-CA"/>
        </w:rPr>
        <w:t xml:space="preserve">لأمن القومي </w:t>
      </w:r>
      <w:r w:rsidRPr="005E08F3">
        <w:rPr>
          <w:rFonts w:hint="cs"/>
          <w:spacing w:val="2"/>
          <w:rtl/>
          <w:lang w:val="en-CA"/>
        </w:rPr>
        <w:t xml:space="preserve">أو السلامة العامة </w:t>
      </w:r>
      <w:r w:rsidRPr="005E08F3">
        <w:rPr>
          <w:spacing w:val="2"/>
          <w:rtl/>
          <w:lang w:val="en-CA"/>
        </w:rPr>
        <w:t>أو النظام العام</w:t>
      </w:r>
      <w:r w:rsidRPr="005E08F3">
        <w:rPr>
          <w:rFonts w:hint="cs"/>
          <w:spacing w:val="2"/>
          <w:rtl/>
          <w:lang w:val="en-CA"/>
        </w:rPr>
        <w:t>،</w:t>
      </w:r>
      <w:r w:rsidRPr="005E08F3">
        <w:rPr>
          <w:spacing w:val="2"/>
          <w:rtl/>
          <w:lang w:val="en-CA"/>
        </w:rPr>
        <w:t xml:space="preserve"> أو </w:t>
      </w:r>
      <w:r w:rsidRPr="005E08F3">
        <w:rPr>
          <w:rFonts w:hint="cs"/>
          <w:spacing w:val="2"/>
          <w:rtl/>
          <w:lang w:val="en-CA"/>
        </w:rPr>
        <w:t xml:space="preserve">حماية </w:t>
      </w:r>
      <w:r w:rsidRPr="005E08F3">
        <w:rPr>
          <w:spacing w:val="2"/>
          <w:rtl/>
          <w:lang w:val="en-CA"/>
        </w:rPr>
        <w:t>الصحة العامة أو الآداب العامة</w:t>
      </w:r>
      <w:r w:rsidRPr="005E08F3">
        <w:rPr>
          <w:rFonts w:hint="cs"/>
          <w:spacing w:val="2"/>
          <w:rtl/>
        </w:rPr>
        <w:t xml:space="preserve">، أو حماية </w:t>
      </w:r>
      <w:r w:rsidRPr="005E08F3">
        <w:rPr>
          <w:spacing w:val="2"/>
          <w:rtl/>
          <w:lang w:val="en-CA"/>
        </w:rPr>
        <w:t>حقوق الآخرين وحرياتهم</w:t>
      </w:r>
      <w:r w:rsidRPr="005E08F3">
        <w:rPr>
          <w:rFonts w:hint="cs"/>
          <w:spacing w:val="2"/>
          <w:rtl/>
        </w:rPr>
        <w:t>، وكان ذلك ضرورياً في مجتمع ديمقراطي. وفي هذا الصدد، يشير صاحب البلاغ إلى أن سلطات الدولة قصّرت في النظر في موضوع الطلبات التي تقدّم بها ممثلو المجتمع المدني، وبدلاً من ذلك، رفضتها على أسس شكلية. ويشير كذلك إلى أنه في غياب قوانين وطنية تنص على تقييد يُذكر تحديداً أنه يشكّل "</w:t>
      </w:r>
      <w:r w:rsidRPr="005E08F3">
        <w:rPr>
          <w:spacing w:val="2"/>
          <w:rtl/>
        </w:rPr>
        <w:t>تدابير ضرورية، في مجتمع ديمقراطي</w:t>
      </w:r>
      <w:r w:rsidRPr="005E08F3">
        <w:rPr>
          <w:rFonts w:hint="cs"/>
          <w:spacing w:val="2"/>
          <w:rtl/>
        </w:rPr>
        <w:t xml:space="preserve">"، فإن بالإمكان فرض تقييد تعسفي في الدولة الطرف على أي اعتصام أو قرار بإحياء ذكرى الأبطال الذين سقطوا في معارك وهم يقاتلون من أجل بلدهم، وبوضع زهور عند نصب تذكاري، </w:t>
      </w:r>
      <w:r w:rsidR="00FB47EF" w:rsidRPr="005E08F3">
        <w:rPr>
          <w:rFonts w:hint="cs"/>
          <w:spacing w:val="2"/>
          <w:rtl/>
        </w:rPr>
        <w:t>ل</w:t>
      </w:r>
      <w:r w:rsidRPr="005E08F3">
        <w:rPr>
          <w:rFonts w:hint="cs"/>
          <w:spacing w:val="2"/>
          <w:rtl/>
        </w:rPr>
        <w:t>مصلحة "الأمن القومي والنظام العام".</w:t>
      </w:r>
    </w:p>
    <w:p w:rsidR="00F14B62" w:rsidRDefault="00F14B62" w:rsidP="00FB47EF">
      <w:pPr>
        <w:pStyle w:val="SingleTxtGA"/>
        <w:rPr>
          <w:rFonts w:hint="cs"/>
          <w:rtl/>
        </w:rPr>
      </w:pPr>
      <w:r>
        <w:rPr>
          <w:rFonts w:hint="cs"/>
          <w:rtl/>
        </w:rPr>
        <w:t>7-7</w:t>
      </w:r>
      <w:r>
        <w:rPr>
          <w:rFonts w:hint="cs"/>
          <w:rtl/>
        </w:rPr>
        <w:tab/>
        <w:t>وختاماً، يشير صاحب البلاغ إلى أن تفسير الدولة الطرف للالتزامات المترتبة عليها بموجب العهد والبروتوكول الاختياري الملحق به، كما جاء في ملاحظاتها بشأن مقبول</w:t>
      </w:r>
      <w:r w:rsidR="00FB47EF">
        <w:rPr>
          <w:rFonts w:hint="cs"/>
          <w:rtl/>
        </w:rPr>
        <w:t>ي</w:t>
      </w:r>
      <w:r>
        <w:rPr>
          <w:rFonts w:hint="cs"/>
          <w:rtl/>
        </w:rPr>
        <w:t>ة هذا البلاغ، يؤدي في جوهر الأمر إلى انتهاك للحقوق الواردة في العهد والبروتوكول الاختياري.</w:t>
      </w:r>
    </w:p>
    <w:p w:rsidR="00F14B62" w:rsidRPr="0007313B" w:rsidRDefault="00F14B62" w:rsidP="00FB47EF">
      <w:pPr>
        <w:pStyle w:val="H23GA"/>
        <w:rPr>
          <w:rFonts w:hint="cs"/>
          <w:rtl/>
          <w:lang w:val="fr-CH"/>
        </w:rPr>
      </w:pPr>
      <w:r w:rsidRPr="0007313B">
        <w:rPr>
          <w:rFonts w:hint="cs"/>
          <w:rtl/>
          <w:lang w:val="fr-CH"/>
        </w:rPr>
        <w:tab/>
      </w:r>
      <w:r w:rsidRPr="0007313B">
        <w:rPr>
          <w:rFonts w:hint="cs"/>
          <w:rtl/>
          <w:lang w:val="fr-CH"/>
        </w:rPr>
        <w:tab/>
        <w:t>المسائل والإجراءات المعروضة على اللجنة</w:t>
      </w:r>
    </w:p>
    <w:p w:rsidR="00F14B62" w:rsidRPr="0007313B" w:rsidRDefault="00F14B62" w:rsidP="00FB47EF">
      <w:pPr>
        <w:pStyle w:val="H4GA"/>
        <w:rPr>
          <w:rFonts w:hint="cs"/>
          <w:rtl/>
          <w:lang w:val="fr-CH"/>
        </w:rPr>
      </w:pPr>
      <w:r w:rsidRPr="0007313B">
        <w:rPr>
          <w:rFonts w:hint="cs"/>
          <w:rtl/>
          <w:lang w:val="fr-CH"/>
        </w:rPr>
        <w:tab/>
      </w:r>
      <w:r w:rsidRPr="0007313B">
        <w:rPr>
          <w:rFonts w:hint="cs"/>
          <w:rtl/>
          <w:lang w:val="fr-CH"/>
        </w:rPr>
        <w:tab/>
        <w:t>النظر في المقبولية</w:t>
      </w:r>
    </w:p>
    <w:p w:rsidR="00F14B62" w:rsidRPr="0007313B" w:rsidRDefault="00F14B62" w:rsidP="00FB47EF">
      <w:pPr>
        <w:pStyle w:val="SingleTxtGA"/>
        <w:rPr>
          <w:rFonts w:hint="cs"/>
          <w:rtl/>
          <w:lang w:val="fr-CH"/>
        </w:rPr>
      </w:pPr>
      <w:r>
        <w:rPr>
          <w:rFonts w:hint="cs"/>
          <w:rtl/>
          <w:lang w:val="fr-CH"/>
        </w:rPr>
        <w:t>8-1</w:t>
      </w:r>
      <w:r w:rsidRPr="0007313B">
        <w:rPr>
          <w:rFonts w:hint="cs"/>
          <w:rtl/>
          <w:lang w:val="fr-CH"/>
        </w:rPr>
        <w:tab/>
        <w:t>قبل النظر في أي ادعاء يرد في بلاغ ما، على اللجنة المعنية بحقوق الإنسان أن</w:t>
      </w:r>
      <w:r>
        <w:rPr>
          <w:rFonts w:hint="eastAsia"/>
          <w:rtl/>
          <w:lang w:val="fr-CH"/>
        </w:rPr>
        <w:t> </w:t>
      </w:r>
      <w:r w:rsidRPr="0007313B">
        <w:rPr>
          <w:rFonts w:hint="cs"/>
          <w:rtl/>
          <w:lang w:val="fr-CH"/>
        </w:rPr>
        <w:t>تقر</w:t>
      </w:r>
      <w:r>
        <w:rPr>
          <w:rFonts w:hint="cs"/>
          <w:rtl/>
          <w:lang w:val="fr-CH"/>
        </w:rPr>
        <w:t>ّ</w:t>
      </w:r>
      <w:r w:rsidRPr="0007313B">
        <w:rPr>
          <w:rFonts w:hint="cs"/>
          <w:rtl/>
          <w:lang w:val="fr-CH"/>
        </w:rPr>
        <w:t>ر، وفقاً للمادة 93 من نظامها الداخلي، ما إذا كان</w:t>
      </w:r>
      <w:r>
        <w:rPr>
          <w:rFonts w:hint="cs"/>
          <w:rtl/>
          <w:lang w:val="fr-CH"/>
        </w:rPr>
        <w:t xml:space="preserve"> البلاغ مقبولاً </w:t>
      </w:r>
      <w:r w:rsidRPr="0007313B">
        <w:rPr>
          <w:rFonts w:hint="cs"/>
          <w:rtl/>
          <w:lang w:val="fr-CH"/>
        </w:rPr>
        <w:t>أم</w:t>
      </w:r>
      <w:r>
        <w:rPr>
          <w:rFonts w:hint="cs"/>
          <w:rtl/>
          <w:lang w:val="fr-CH"/>
        </w:rPr>
        <w:t xml:space="preserve"> لا </w:t>
      </w:r>
      <w:r w:rsidRPr="0007313B">
        <w:rPr>
          <w:rFonts w:hint="cs"/>
          <w:rtl/>
          <w:lang w:val="fr-CH"/>
        </w:rPr>
        <w:t xml:space="preserve">بموجب البروتوكول الاختياري الملحق بالعهد. </w:t>
      </w:r>
    </w:p>
    <w:p w:rsidR="00F14B62" w:rsidRPr="0007313B" w:rsidRDefault="00F14B62" w:rsidP="00FB47EF">
      <w:pPr>
        <w:pStyle w:val="SingleTxtGA"/>
        <w:rPr>
          <w:rFonts w:hint="cs"/>
          <w:rtl/>
          <w:lang w:val="fr-CH"/>
        </w:rPr>
      </w:pPr>
      <w:r>
        <w:rPr>
          <w:rFonts w:hint="cs"/>
          <w:rtl/>
        </w:rPr>
        <w:t>8-2</w:t>
      </w:r>
      <w:r>
        <w:rPr>
          <w:rFonts w:hint="cs"/>
          <w:rtl/>
        </w:rPr>
        <w:tab/>
      </w:r>
      <w:r w:rsidRPr="0007313B">
        <w:rPr>
          <w:rFonts w:hint="cs"/>
          <w:rtl/>
          <w:lang w:val="fr-CH"/>
        </w:rPr>
        <w:t>وقد تحق</w:t>
      </w:r>
      <w:r>
        <w:rPr>
          <w:rFonts w:hint="cs"/>
          <w:rtl/>
          <w:lang w:val="fr-CH"/>
        </w:rPr>
        <w:t>ّ</w:t>
      </w:r>
      <w:r w:rsidRPr="0007313B">
        <w:rPr>
          <w:rFonts w:hint="cs"/>
          <w:rtl/>
          <w:lang w:val="fr-CH"/>
        </w:rPr>
        <w:t>قت اللجنة من أن المسألة ذاتها ليست قيد البحث في إطار أي إجراء آخر من إجراءات التحقيق الدولي أو التسوية الدولية، وفقاً لما تقتضيه الفقرة 2(أ) من المادة 5 من البروتوكول الاختياري.</w:t>
      </w:r>
    </w:p>
    <w:p w:rsidR="00F14B62" w:rsidRPr="007D226C" w:rsidRDefault="00F14B62" w:rsidP="008409B6">
      <w:pPr>
        <w:pStyle w:val="SingleTxtGA"/>
        <w:rPr>
          <w:rFonts w:hint="cs"/>
          <w:rtl/>
          <w:lang w:val="en-CA"/>
        </w:rPr>
      </w:pPr>
      <w:r>
        <w:rPr>
          <w:rFonts w:hint="cs"/>
          <w:rtl/>
        </w:rPr>
        <w:t>8-3</w:t>
      </w:r>
      <w:r>
        <w:rPr>
          <w:rFonts w:hint="cs"/>
          <w:rtl/>
        </w:rPr>
        <w:tab/>
      </w:r>
      <w:r w:rsidRPr="00645E84">
        <w:rPr>
          <w:rtl/>
        </w:rPr>
        <w:t>و</w:t>
      </w:r>
      <w:r>
        <w:rPr>
          <w:rFonts w:hint="cs"/>
          <w:rtl/>
        </w:rPr>
        <w:t>تحيط اللجنة علماً بالحجة التي ساقتها الدولة الطرف ومفادها أن صاحب البلاغ لم</w:t>
      </w:r>
      <w:r w:rsidR="008409B6">
        <w:rPr>
          <w:rFonts w:hint="eastAsia"/>
          <w:rtl/>
        </w:rPr>
        <w:t> </w:t>
      </w:r>
      <w:r>
        <w:rPr>
          <w:rFonts w:hint="cs"/>
          <w:rtl/>
        </w:rPr>
        <w:t xml:space="preserve">يستنفد سبل </w:t>
      </w:r>
      <w:r w:rsidRPr="002E4527">
        <w:rPr>
          <w:rFonts w:hint="cs"/>
          <w:rtl/>
        </w:rPr>
        <w:t>الانتصاف المحلية، كونه لم</w:t>
      </w:r>
      <w:r w:rsidRPr="002E4527">
        <w:rPr>
          <w:rFonts w:hint="eastAsia"/>
          <w:rtl/>
        </w:rPr>
        <w:t> </w:t>
      </w:r>
      <w:r w:rsidRPr="002E4527">
        <w:rPr>
          <w:rFonts w:hint="cs"/>
          <w:rtl/>
        </w:rPr>
        <w:t xml:space="preserve">يقدم </w:t>
      </w:r>
      <w:r>
        <w:rPr>
          <w:rFonts w:hint="cs"/>
          <w:rtl/>
        </w:rPr>
        <w:t xml:space="preserve">طلباً </w:t>
      </w:r>
      <w:r w:rsidR="003A7E93">
        <w:rPr>
          <w:rFonts w:hint="cs"/>
          <w:rtl/>
        </w:rPr>
        <w:t xml:space="preserve">إلى رئيس المحكمة العليا </w:t>
      </w:r>
      <w:proofErr w:type="spellStart"/>
      <w:r w:rsidR="003A7E93">
        <w:rPr>
          <w:rFonts w:hint="cs"/>
          <w:rtl/>
        </w:rPr>
        <w:t>لبيلارو</w:t>
      </w:r>
      <w:r w:rsidRPr="002E4527">
        <w:rPr>
          <w:rFonts w:hint="cs"/>
          <w:rtl/>
        </w:rPr>
        <w:t>س</w:t>
      </w:r>
      <w:proofErr w:type="spellEnd"/>
      <w:r w:rsidRPr="002E4527">
        <w:rPr>
          <w:rFonts w:hint="cs"/>
          <w:rtl/>
        </w:rPr>
        <w:t xml:space="preserve"> أو إلى مكتب النائب العام</w:t>
      </w:r>
      <w:r>
        <w:rPr>
          <w:rFonts w:hint="cs"/>
          <w:rtl/>
        </w:rPr>
        <w:t xml:space="preserve"> </w:t>
      </w:r>
      <w:r w:rsidR="00FB47EF">
        <w:rPr>
          <w:rFonts w:hint="cs"/>
          <w:rtl/>
        </w:rPr>
        <w:t xml:space="preserve">للقيام بإجراءات </w:t>
      </w:r>
      <w:r>
        <w:rPr>
          <w:rFonts w:hint="cs"/>
          <w:rtl/>
        </w:rPr>
        <w:t>ال</w:t>
      </w:r>
      <w:r w:rsidRPr="002E4527">
        <w:rPr>
          <w:rFonts w:hint="cs"/>
          <w:rtl/>
        </w:rPr>
        <w:t xml:space="preserve">مراجعة </w:t>
      </w:r>
      <w:r>
        <w:rPr>
          <w:rFonts w:hint="cs"/>
          <w:rtl/>
        </w:rPr>
        <w:t>ال</w:t>
      </w:r>
      <w:r w:rsidRPr="002E4527">
        <w:rPr>
          <w:rFonts w:hint="cs"/>
          <w:rtl/>
        </w:rPr>
        <w:t>قضائية</w:t>
      </w:r>
      <w:r w:rsidR="00FB47EF">
        <w:rPr>
          <w:rFonts w:hint="cs"/>
          <w:rtl/>
        </w:rPr>
        <w:t xml:space="preserve"> الرقابية</w:t>
      </w:r>
      <w:r w:rsidRPr="002E4527">
        <w:rPr>
          <w:rFonts w:hint="cs"/>
          <w:rtl/>
        </w:rPr>
        <w:t xml:space="preserve">. لكن </w:t>
      </w:r>
      <w:r w:rsidRPr="002E4527">
        <w:rPr>
          <w:rtl/>
          <w:lang w:val="en-CA"/>
        </w:rPr>
        <w:t xml:space="preserve">اللجنة </w:t>
      </w:r>
      <w:r w:rsidRPr="002E4527">
        <w:rPr>
          <w:rFonts w:hint="cs"/>
          <w:rtl/>
          <w:lang w:val="en-CA"/>
        </w:rPr>
        <w:t>تلاحظ</w:t>
      </w:r>
      <w:r w:rsidRPr="002E4527">
        <w:rPr>
          <w:rtl/>
          <w:lang w:val="en-CA"/>
        </w:rPr>
        <w:t xml:space="preserve"> أن</w:t>
      </w:r>
      <w:r w:rsidRPr="002E4527">
        <w:rPr>
          <w:rFonts w:hint="cs"/>
          <w:rtl/>
          <w:lang w:val="en-CA"/>
        </w:rPr>
        <w:t>ه وفقاً للمادة الموجودة في ملفاتها، يبدو أن صاحب البلاغ قدّم شكوى أمام</w:t>
      </w:r>
      <w:r>
        <w:rPr>
          <w:rFonts w:hint="cs"/>
          <w:rtl/>
          <w:lang w:val="en-CA"/>
        </w:rPr>
        <w:t xml:space="preserve"> المحكمة العليا </w:t>
      </w:r>
      <w:r w:rsidR="00FB47EF">
        <w:rPr>
          <w:rFonts w:hint="cs"/>
          <w:rtl/>
        </w:rPr>
        <w:t xml:space="preserve">في إطار إجراءات </w:t>
      </w:r>
      <w:r>
        <w:rPr>
          <w:rFonts w:hint="cs"/>
          <w:rtl/>
        </w:rPr>
        <w:t>المراجعة القضائية</w:t>
      </w:r>
      <w:r w:rsidR="00FB47EF">
        <w:rPr>
          <w:rFonts w:hint="cs"/>
          <w:rtl/>
        </w:rPr>
        <w:t xml:space="preserve"> الرقابية</w:t>
      </w:r>
      <w:r>
        <w:rPr>
          <w:rFonts w:hint="cs"/>
          <w:rtl/>
        </w:rPr>
        <w:t xml:space="preserve">، إلاّ أن استئنافه رُفض في 28 حزيران/يونيه 2008 باعتباره لا أساس له. </w:t>
      </w:r>
      <w:r>
        <w:rPr>
          <w:rFonts w:hint="cs"/>
          <w:rtl/>
          <w:lang w:val="en-CA"/>
        </w:rPr>
        <w:t xml:space="preserve">وتشير اللجنة أيضاً إلى أن </w:t>
      </w:r>
      <w:r w:rsidRPr="007D226C">
        <w:rPr>
          <w:rtl/>
          <w:lang w:val="en-CA"/>
        </w:rPr>
        <w:t xml:space="preserve">الدولة الطرف لم تحدد ما إذا كان الإجراء </w:t>
      </w:r>
      <w:r>
        <w:rPr>
          <w:rFonts w:hint="cs"/>
          <w:rtl/>
          <w:lang w:val="en-CA"/>
        </w:rPr>
        <w:t xml:space="preserve">المحال إلى مكتب النائب العام في إطار </w:t>
      </w:r>
      <w:r w:rsidR="00FB47EF">
        <w:rPr>
          <w:rFonts w:hint="cs"/>
          <w:rtl/>
          <w:lang w:val="en-CA"/>
        </w:rPr>
        <w:t xml:space="preserve">إجراءات </w:t>
      </w:r>
      <w:r>
        <w:rPr>
          <w:rFonts w:hint="cs"/>
          <w:rtl/>
          <w:lang w:val="en-CA"/>
        </w:rPr>
        <w:t xml:space="preserve">المراجعة القضائية </w:t>
      </w:r>
      <w:r w:rsidR="00FB47EF">
        <w:rPr>
          <w:rFonts w:hint="cs"/>
          <w:rtl/>
          <w:lang w:val="en-CA"/>
        </w:rPr>
        <w:t xml:space="preserve">الرقابية </w:t>
      </w:r>
      <w:r w:rsidRPr="007D226C">
        <w:rPr>
          <w:rtl/>
          <w:lang w:val="en-CA"/>
        </w:rPr>
        <w:t>قد ط</w:t>
      </w:r>
      <w:r>
        <w:rPr>
          <w:rFonts w:hint="cs"/>
          <w:rtl/>
          <w:lang w:val="en-CA"/>
        </w:rPr>
        <w:t>ُ</w:t>
      </w:r>
      <w:r w:rsidRPr="007D226C">
        <w:rPr>
          <w:rtl/>
          <w:lang w:val="en-CA"/>
        </w:rPr>
        <w:t>ب</w:t>
      </w:r>
      <w:r>
        <w:rPr>
          <w:rFonts w:hint="cs"/>
          <w:rtl/>
          <w:lang w:val="en-CA"/>
        </w:rPr>
        <w:t>ّ</w:t>
      </w:r>
      <w:r w:rsidRPr="007D226C">
        <w:rPr>
          <w:rtl/>
          <w:lang w:val="en-CA"/>
        </w:rPr>
        <w:t xml:space="preserve">ق بنجاح في قضايا متعلقة بحرية التعبير وحق التجمع السلمي، كما أنها لم تحدد عدد هذه </w:t>
      </w:r>
      <w:r>
        <w:rPr>
          <w:rFonts w:hint="cs"/>
          <w:rtl/>
          <w:lang w:val="en-CA"/>
        </w:rPr>
        <w:t>القضايا</w:t>
      </w:r>
      <w:r w:rsidRPr="007D226C">
        <w:rPr>
          <w:rtl/>
          <w:lang w:val="en-CA"/>
        </w:rPr>
        <w:t xml:space="preserve">. </w:t>
      </w:r>
      <w:r>
        <w:rPr>
          <w:rFonts w:hint="cs"/>
          <w:rtl/>
          <w:lang w:val="en-CA"/>
        </w:rPr>
        <w:t>و</w:t>
      </w:r>
      <w:r w:rsidR="00733432">
        <w:rPr>
          <w:rFonts w:hint="cs"/>
          <w:rtl/>
          <w:lang w:val="en-CA"/>
        </w:rPr>
        <w:t xml:space="preserve">تذكّر </w:t>
      </w:r>
      <w:r w:rsidRPr="007D226C">
        <w:rPr>
          <w:rtl/>
          <w:lang w:val="en-CA"/>
        </w:rPr>
        <w:t>اللجن</w:t>
      </w:r>
      <w:r>
        <w:rPr>
          <w:rFonts w:hint="cs"/>
          <w:rtl/>
          <w:lang w:val="en-CA"/>
        </w:rPr>
        <w:t>ة</w:t>
      </w:r>
      <w:r w:rsidRPr="007D226C">
        <w:rPr>
          <w:rtl/>
          <w:lang w:val="en-CA"/>
        </w:rPr>
        <w:t xml:space="preserve"> </w:t>
      </w:r>
      <w:r w:rsidR="00733432">
        <w:rPr>
          <w:rFonts w:hint="cs"/>
          <w:rtl/>
          <w:lang w:val="en-CA"/>
        </w:rPr>
        <w:t>ب</w:t>
      </w:r>
      <w:r>
        <w:rPr>
          <w:rFonts w:hint="cs"/>
          <w:rtl/>
          <w:lang w:val="en-CA"/>
        </w:rPr>
        <w:t>اجتهاداتها</w:t>
      </w:r>
      <w:r w:rsidRPr="007D226C">
        <w:rPr>
          <w:rtl/>
          <w:lang w:val="en-CA"/>
        </w:rPr>
        <w:t xml:space="preserve"> القضائي</w:t>
      </w:r>
      <w:r>
        <w:rPr>
          <w:rFonts w:hint="cs"/>
          <w:rtl/>
          <w:lang w:val="en-CA"/>
        </w:rPr>
        <w:t>ة</w:t>
      </w:r>
      <w:r w:rsidRPr="007D226C">
        <w:rPr>
          <w:rtl/>
          <w:lang w:val="en-CA"/>
        </w:rPr>
        <w:t xml:space="preserve"> </w:t>
      </w:r>
      <w:r>
        <w:rPr>
          <w:rFonts w:hint="cs"/>
          <w:rtl/>
          <w:lang w:val="en-CA"/>
        </w:rPr>
        <w:t xml:space="preserve">التي </w:t>
      </w:r>
      <w:r w:rsidR="00733432">
        <w:rPr>
          <w:rFonts w:hint="cs"/>
          <w:rtl/>
          <w:lang w:val="en-CA"/>
        </w:rPr>
        <w:t xml:space="preserve">تفيد بأن إجراءات </w:t>
      </w:r>
      <w:r>
        <w:rPr>
          <w:rFonts w:hint="cs"/>
          <w:rtl/>
          <w:lang w:val="en-CA"/>
        </w:rPr>
        <w:t xml:space="preserve">المراجعة القضائية </w:t>
      </w:r>
      <w:r w:rsidR="00733432">
        <w:rPr>
          <w:rFonts w:hint="cs"/>
          <w:rtl/>
          <w:lang w:val="en-CA"/>
        </w:rPr>
        <w:t xml:space="preserve">الرقابية </w:t>
      </w:r>
      <w:r>
        <w:rPr>
          <w:rFonts w:hint="cs"/>
          <w:rtl/>
          <w:lang w:val="en-CA"/>
        </w:rPr>
        <w:t xml:space="preserve">في الدولة الطرف، </w:t>
      </w:r>
      <w:r w:rsidR="00733432">
        <w:rPr>
          <w:rFonts w:hint="cs"/>
          <w:rtl/>
          <w:lang w:val="en-CA"/>
        </w:rPr>
        <w:t>التي ت</w:t>
      </w:r>
      <w:r>
        <w:rPr>
          <w:rFonts w:hint="cs"/>
          <w:rtl/>
          <w:lang w:val="en-CA"/>
        </w:rPr>
        <w:t>تيح مراجعة ما دخل حيز النفاذ من قرارات المحاكم</w:t>
      </w:r>
      <w:r w:rsidRPr="007D226C">
        <w:rPr>
          <w:rtl/>
          <w:lang w:val="en-CA"/>
        </w:rPr>
        <w:t>،</w:t>
      </w:r>
      <w:r>
        <w:rPr>
          <w:rtl/>
          <w:lang w:val="en-CA"/>
        </w:rPr>
        <w:t xml:space="preserve"> لا </w:t>
      </w:r>
      <w:r>
        <w:rPr>
          <w:rFonts w:hint="cs"/>
          <w:rtl/>
          <w:lang w:val="en-CA"/>
        </w:rPr>
        <w:t xml:space="preserve">تشكّل سبيل انتصاف </w:t>
      </w:r>
      <w:r w:rsidRPr="007D226C">
        <w:rPr>
          <w:rtl/>
          <w:lang w:val="en-CA"/>
        </w:rPr>
        <w:t xml:space="preserve">ينبغي استنفاده </w:t>
      </w:r>
      <w:r>
        <w:rPr>
          <w:rFonts w:hint="cs"/>
          <w:rtl/>
          <w:lang w:val="en-CA"/>
        </w:rPr>
        <w:t xml:space="preserve">لأغراض الفقرة </w:t>
      </w:r>
      <w:r>
        <w:rPr>
          <w:rtl/>
          <w:lang w:val="en-CA"/>
        </w:rPr>
        <w:t>2</w:t>
      </w:r>
      <w:r w:rsidRPr="007D226C">
        <w:rPr>
          <w:rtl/>
          <w:lang w:val="en-CA"/>
        </w:rPr>
        <w:t xml:space="preserve">(ب) </w:t>
      </w:r>
      <w:r>
        <w:rPr>
          <w:rFonts w:hint="cs"/>
          <w:rtl/>
          <w:lang w:val="en-CA"/>
        </w:rPr>
        <w:t xml:space="preserve">من </w:t>
      </w:r>
      <w:r w:rsidRPr="007D226C">
        <w:rPr>
          <w:rtl/>
          <w:lang w:val="en-CA"/>
        </w:rPr>
        <w:t>المادة 5 من البروتوكول الاختياري</w:t>
      </w:r>
      <w:r w:rsidR="00733432" w:rsidRPr="00733432">
        <w:rPr>
          <w:rFonts w:hint="cs"/>
          <w:vertAlign w:val="superscript"/>
          <w:rtl/>
          <w:lang w:val="en-CA"/>
        </w:rPr>
        <w:t>(</w:t>
      </w:r>
      <w:r w:rsidRPr="00733432">
        <w:rPr>
          <w:rStyle w:val="FootnoteReference"/>
          <w:rtl/>
          <w:lang w:val="en-CA"/>
        </w:rPr>
        <w:footnoteReference w:id="3"/>
      </w:r>
      <w:r w:rsidR="00733432" w:rsidRPr="00733432">
        <w:rPr>
          <w:rFonts w:hint="cs"/>
          <w:vertAlign w:val="superscript"/>
          <w:rtl/>
          <w:lang w:val="en-CA"/>
        </w:rPr>
        <w:t>)</w:t>
      </w:r>
      <w:r w:rsidR="00733432">
        <w:rPr>
          <w:rFonts w:hint="cs"/>
          <w:rtl/>
          <w:lang w:val="en-CA"/>
        </w:rPr>
        <w:t>.</w:t>
      </w:r>
      <w:r w:rsidRPr="007D226C">
        <w:rPr>
          <w:rtl/>
          <w:lang w:val="en-CA"/>
        </w:rPr>
        <w:t xml:space="preserve"> وفي هذه الظروف، ترى اللجنة أن </w:t>
      </w:r>
      <w:r>
        <w:rPr>
          <w:rtl/>
          <w:lang w:val="en-CA"/>
        </w:rPr>
        <w:t>الفقرة 2</w:t>
      </w:r>
      <w:r w:rsidRPr="007D226C">
        <w:rPr>
          <w:rtl/>
          <w:lang w:val="en-CA"/>
        </w:rPr>
        <w:t>(ب)</w:t>
      </w:r>
      <w:r>
        <w:rPr>
          <w:rFonts w:hint="cs"/>
          <w:rtl/>
          <w:lang w:val="en-CA"/>
        </w:rPr>
        <w:t xml:space="preserve"> من</w:t>
      </w:r>
      <w:r w:rsidRPr="007D226C">
        <w:rPr>
          <w:rtl/>
          <w:lang w:val="en-CA"/>
        </w:rPr>
        <w:t xml:space="preserve"> المادة 5 من البروتوكول الاختياري</w:t>
      </w:r>
      <w:r>
        <w:rPr>
          <w:rtl/>
          <w:lang w:val="en-CA"/>
        </w:rPr>
        <w:t xml:space="preserve"> لا </w:t>
      </w:r>
      <w:r w:rsidRPr="007D226C">
        <w:rPr>
          <w:rtl/>
          <w:lang w:val="en-CA"/>
        </w:rPr>
        <w:t xml:space="preserve">تحول </w:t>
      </w:r>
      <w:r>
        <w:rPr>
          <w:rFonts w:hint="cs"/>
          <w:rtl/>
          <w:lang w:val="en-CA"/>
        </w:rPr>
        <w:t>دون</w:t>
      </w:r>
      <w:r w:rsidRPr="007D226C">
        <w:rPr>
          <w:rtl/>
          <w:lang w:val="en-CA"/>
        </w:rPr>
        <w:t xml:space="preserve"> </w:t>
      </w:r>
      <w:r>
        <w:rPr>
          <w:rFonts w:hint="cs"/>
          <w:rtl/>
          <w:lang w:val="en-CA"/>
        </w:rPr>
        <w:t xml:space="preserve">النظر في </w:t>
      </w:r>
      <w:r w:rsidRPr="007D226C">
        <w:rPr>
          <w:rtl/>
          <w:lang w:val="en-CA"/>
        </w:rPr>
        <w:t>هذا البلاغ.</w:t>
      </w:r>
    </w:p>
    <w:p w:rsidR="00F14B62" w:rsidRDefault="00F14B62" w:rsidP="00A16719">
      <w:pPr>
        <w:pStyle w:val="SingleTxtGA"/>
        <w:rPr>
          <w:rFonts w:hint="cs"/>
          <w:rtl/>
          <w:lang w:val="fr-CH"/>
        </w:rPr>
      </w:pPr>
      <w:r>
        <w:rPr>
          <w:rFonts w:hint="cs"/>
          <w:rtl/>
          <w:lang w:val="fr-CH"/>
        </w:rPr>
        <w:t>8-4</w:t>
      </w:r>
      <w:r>
        <w:rPr>
          <w:rFonts w:hint="cs"/>
          <w:rtl/>
          <w:lang w:val="fr-CH"/>
        </w:rPr>
        <w:tab/>
        <w:t>وبالتالي، ترى اللجنة أن صاحب البلاغ قدّم ما يكفي من الأدلة، لأغراض المقبولية، ليدعم ادعاءاته في إطار المادة 19 (الفقرة 2) والمادة 21 من العهد. وبناءً عليه، تعلن</w:t>
      </w:r>
      <w:r>
        <w:rPr>
          <w:rFonts w:hint="eastAsia"/>
          <w:rtl/>
          <w:lang w:val="fr-CH"/>
        </w:rPr>
        <w:t> </w:t>
      </w:r>
      <w:r>
        <w:rPr>
          <w:rFonts w:hint="cs"/>
          <w:rtl/>
          <w:lang w:val="fr-CH"/>
        </w:rPr>
        <w:t xml:space="preserve">مقبولية البلاغ وتشرع في النظر في الأسس الموضوعية. </w:t>
      </w:r>
    </w:p>
    <w:p w:rsidR="00F14B62" w:rsidRPr="002A63C2" w:rsidRDefault="00F14B62" w:rsidP="00A16719">
      <w:pPr>
        <w:pStyle w:val="H4GA"/>
        <w:rPr>
          <w:rFonts w:hint="cs"/>
          <w:rtl/>
          <w:lang w:val="fr-CH"/>
        </w:rPr>
      </w:pPr>
      <w:r w:rsidRPr="002A63C2">
        <w:rPr>
          <w:rFonts w:hint="cs"/>
          <w:rtl/>
          <w:lang w:val="fr-CH"/>
        </w:rPr>
        <w:tab/>
      </w:r>
      <w:r w:rsidRPr="002A63C2">
        <w:rPr>
          <w:rFonts w:hint="cs"/>
          <w:rtl/>
          <w:lang w:val="fr-CH"/>
        </w:rPr>
        <w:tab/>
        <w:t>النظر في الأسس الموضوعية</w:t>
      </w:r>
    </w:p>
    <w:p w:rsidR="00F14B62" w:rsidRPr="00424540" w:rsidRDefault="00F14B62" w:rsidP="00A16719">
      <w:pPr>
        <w:pStyle w:val="SingleTxtGA"/>
        <w:rPr>
          <w:rFonts w:hint="cs"/>
          <w:spacing w:val="-4"/>
          <w:rtl/>
          <w:lang w:val="fr-CH"/>
        </w:rPr>
      </w:pPr>
      <w:r w:rsidRPr="00424540">
        <w:rPr>
          <w:rFonts w:hint="cs"/>
          <w:spacing w:val="-4"/>
          <w:rtl/>
          <w:lang w:val="fr-CH"/>
        </w:rPr>
        <w:t>9-1</w:t>
      </w:r>
      <w:r w:rsidRPr="00424540">
        <w:rPr>
          <w:rFonts w:hint="cs"/>
          <w:spacing w:val="-4"/>
          <w:rtl/>
          <w:lang w:val="fr-CH"/>
        </w:rPr>
        <w:tab/>
        <w:t>نظرت اللجنة المعنية بحقوق الإنسان في هذا البلاغ في ضوء كل المعلومات التي أتاحها لها الطرفان وفقاً لما هو منصوص عليه في الفقرة 1 من المادة 5 من البروتوكول الاختياري.</w:t>
      </w:r>
    </w:p>
    <w:p w:rsidR="00F14B62" w:rsidRPr="00C821FF" w:rsidRDefault="00F14B62" w:rsidP="00A16719">
      <w:pPr>
        <w:pStyle w:val="SingleTxtGA"/>
        <w:rPr>
          <w:rFonts w:hint="cs"/>
          <w:spacing w:val="-4"/>
          <w:sz w:val="30"/>
          <w:rtl/>
          <w:lang w:val="fr-CH"/>
        </w:rPr>
      </w:pPr>
      <w:r>
        <w:rPr>
          <w:rFonts w:hint="cs"/>
          <w:spacing w:val="-4"/>
          <w:sz w:val="30"/>
          <w:rtl/>
          <w:lang w:val="fr-CH"/>
        </w:rPr>
        <w:t>9-2</w:t>
      </w:r>
      <w:r>
        <w:rPr>
          <w:rFonts w:hint="cs"/>
          <w:spacing w:val="-4"/>
          <w:sz w:val="30"/>
          <w:rtl/>
          <w:lang w:val="fr-CH"/>
        </w:rPr>
        <w:tab/>
      </w:r>
      <w:r>
        <w:rPr>
          <w:rFonts w:hint="cs"/>
          <w:rtl/>
        </w:rPr>
        <w:t xml:space="preserve">وتحيط اللجنة علماً بادعاء صاحب البلاغ بأنه احتُجز لمجرد المشاركة في تجمع صغير في 23 آذار/مارس 2008 في متنزه </w:t>
      </w:r>
      <w:proofErr w:type="spellStart"/>
      <w:r>
        <w:rPr>
          <w:rFonts w:hint="cs"/>
          <w:rtl/>
        </w:rPr>
        <w:t>جودينو</w:t>
      </w:r>
      <w:proofErr w:type="spellEnd"/>
      <w:r>
        <w:rPr>
          <w:rFonts w:hint="cs"/>
          <w:rtl/>
        </w:rPr>
        <w:t xml:space="preserve"> للثقافة أثناء إحياء ذكرى أبطال وطنيين، وأن عقوبة فُرضت عليه لاحقاً بالاحتجاز الإداري </w:t>
      </w:r>
      <w:r w:rsidR="008E69B1">
        <w:rPr>
          <w:rFonts w:hint="cs"/>
          <w:rtl/>
        </w:rPr>
        <w:t>ل</w:t>
      </w:r>
      <w:r>
        <w:rPr>
          <w:rFonts w:hint="cs"/>
          <w:rtl/>
        </w:rPr>
        <w:t xml:space="preserve">مدة سبعة أيام لخرقه المزعوم لقانون التظاهرات العامة، وفي ذلك انتهاك لحقوقه </w:t>
      </w:r>
      <w:r w:rsidRPr="001A446B">
        <w:rPr>
          <w:rFonts w:hint="cs"/>
          <w:rtl/>
        </w:rPr>
        <w:t xml:space="preserve">بموجب الفقرة 2 من المادة </w:t>
      </w:r>
      <w:r>
        <w:rPr>
          <w:rFonts w:hint="cs"/>
          <w:rtl/>
        </w:rPr>
        <w:t xml:space="preserve">19 </w:t>
      </w:r>
      <w:r w:rsidRPr="001A446B">
        <w:rPr>
          <w:rFonts w:hint="cs"/>
          <w:rtl/>
        </w:rPr>
        <w:t xml:space="preserve">من </w:t>
      </w:r>
      <w:r>
        <w:rPr>
          <w:rFonts w:hint="cs"/>
          <w:rtl/>
        </w:rPr>
        <w:t>العهد</w:t>
      </w:r>
      <w:r w:rsidRPr="001A446B">
        <w:rPr>
          <w:rFonts w:hint="cs"/>
          <w:rtl/>
        </w:rPr>
        <w:t>. وتحيط اللجنة علماً أيضاً بحج</w:t>
      </w:r>
      <w:r>
        <w:rPr>
          <w:rFonts w:hint="cs"/>
          <w:rtl/>
        </w:rPr>
        <w:t xml:space="preserve">ة الدولة الطرف </w:t>
      </w:r>
      <w:r w:rsidRPr="002E4527">
        <w:rPr>
          <w:rFonts w:hint="cs"/>
          <w:rtl/>
        </w:rPr>
        <w:t>بأن عقوبة إدارية وُقّعت على صاحب</w:t>
      </w:r>
      <w:r w:rsidRPr="001A446B">
        <w:rPr>
          <w:rFonts w:hint="cs"/>
          <w:rtl/>
        </w:rPr>
        <w:t xml:space="preserve"> البلاغ</w:t>
      </w:r>
      <w:r>
        <w:rPr>
          <w:rFonts w:hint="cs"/>
          <w:rtl/>
        </w:rPr>
        <w:t xml:space="preserve"> بما يتفق مع </w:t>
      </w:r>
      <w:r w:rsidRPr="001A446B">
        <w:rPr>
          <w:rFonts w:hint="cs"/>
          <w:rtl/>
        </w:rPr>
        <w:t>متطلب</w:t>
      </w:r>
      <w:r>
        <w:rPr>
          <w:rFonts w:hint="cs"/>
          <w:rtl/>
        </w:rPr>
        <w:t>ات التشريع الوطني بسبب انتهاكه</w:t>
      </w:r>
      <w:r w:rsidRPr="001A446B">
        <w:rPr>
          <w:rFonts w:hint="cs"/>
          <w:rtl/>
        </w:rPr>
        <w:t xml:space="preserve"> للإجراءات المتعلقة بتنظيم </w:t>
      </w:r>
      <w:r>
        <w:rPr>
          <w:rFonts w:hint="cs"/>
          <w:rtl/>
        </w:rPr>
        <w:t>وعقد تظاهرة عامة</w:t>
      </w:r>
      <w:r w:rsidRPr="001A446B">
        <w:rPr>
          <w:rFonts w:hint="cs"/>
          <w:rtl/>
        </w:rPr>
        <w:t xml:space="preserve">. </w:t>
      </w:r>
      <w:r>
        <w:rPr>
          <w:rFonts w:hint="cs"/>
          <w:rtl/>
          <w:lang/>
        </w:rPr>
        <w:t xml:space="preserve">وفي هذه القضية، ينبغي للجنة أن تنظر فيما إذا كانت القيود المفروضة على حق صاحب البلاغ </w:t>
      </w:r>
      <w:r w:rsidR="00A16719">
        <w:rPr>
          <w:rFonts w:hint="cs"/>
          <w:rtl/>
          <w:lang/>
        </w:rPr>
        <w:t xml:space="preserve">في </w:t>
      </w:r>
      <w:r>
        <w:rPr>
          <w:rFonts w:hint="cs"/>
          <w:rtl/>
          <w:lang/>
        </w:rPr>
        <w:t>حرية التعبير مبرّرة بموجب أي معيار من المعايير الواردة في الفقرة 3 من المادة 19.</w:t>
      </w:r>
    </w:p>
    <w:p w:rsidR="00F14B62" w:rsidRPr="00424540" w:rsidRDefault="00F14B62" w:rsidP="002B361A">
      <w:pPr>
        <w:pStyle w:val="SingleTxtGA"/>
        <w:spacing w:line="360" w:lineRule="exact"/>
        <w:rPr>
          <w:rFonts w:hint="cs"/>
          <w:spacing w:val="-4"/>
          <w:rtl/>
        </w:rPr>
      </w:pPr>
      <w:r w:rsidRPr="00424540">
        <w:rPr>
          <w:rFonts w:hint="cs"/>
          <w:spacing w:val="-4"/>
          <w:rtl/>
        </w:rPr>
        <w:t>9-3</w:t>
      </w:r>
      <w:r w:rsidRPr="00424540">
        <w:rPr>
          <w:rFonts w:hint="cs"/>
          <w:spacing w:val="-4"/>
          <w:rtl/>
        </w:rPr>
        <w:tab/>
        <w:t xml:space="preserve">وتلاحظ اللجنة بأن الفقرة 3 من المادة 19 في العهد تنص على </w:t>
      </w:r>
      <w:r w:rsidRPr="00424540">
        <w:rPr>
          <w:spacing w:val="-4"/>
          <w:rtl/>
        </w:rPr>
        <w:t>جو</w:t>
      </w:r>
      <w:r w:rsidRPr="00424540">
        <w:rPr>
          <w:rFonts w:hint="cs"/>
          <w:spacing w:val="-4"/>
          <w:rtl/>
        </w:rPr>
        <w:t>ا</w:t>
      </w:r>
      <w:r w:rsidRPr="00424540">
        <w:rPr>
          <w:spacing w:val="-4"/>
          <w:rtl/>
        </w:rPr>
        <w:t xml:space="preserve">ز </w:t>
      </w:r>
      <w:r w:rsidRPr="00424540">
        <w:rPr>
          <w:rFonts w:hint="cs"/>
          <w:spacing w:val="-4"/>
          <w:rtl/>
        </w:rPr>
        <w:t xml:space="preserve">فرض </w:t>
      </w:r>
      <w:r w:rsidRPr="00424540">
        <w:rPr>
          <w:spacing w:val="-4"/>
          <w:rtl/>
        </w:rPr>
        <w:t>بعض القيود</w:t>
      </w:r>
      <w:r w:rsidRPr="00424540">
        <w:rPr>
          <w:rFonts w:hint="cs"/>
          <w:spacing w:val="-4"/>
          <w:rtl/>
        </w:rPr>
        <w:t>،</w:t>
      </w:r>
      <w:r w:rsidRPr="00424540">
        <w:rPr>
          <w:spacing w:val="-4"/>
          <w:rtl/>
        </w:rPr>
        <w:t xml:space="preserve"> ولكن شريطة أن تكون محددة بنص القانون وأن تكون ضرورية</w:t>
      </w:r>
      <w:r w:rsidRPr="00424540">
        <w:rPr>
          <w:rFonts w:hint="cs"/>
          <w:spacing w:val="-4"/>
          <w:rtl/>
        </w:rPr>
        <w:t xml:space="preserve">: (أ) </w:t>
      </w:r>
      <w:r w:rsidRPr="00424540">
        <w:rPr>
          <w:spacing w:val="-4"/>
          <w:rtl/>
        </w:rPr>
        <w:t>لاحترام حقوق الآخرين أو سمعتهم</w:t>
      </w:r>
      <w:r w:rsidR="008E69B1">
        <w:rPr>
          <w:rFonts w:hint="cs"/>
          <w:spacing w:val="-4"/>
          <w:rtl/>
        </w:rPr>
        <w:t>؛</w:t>
      </w:r>
      <w:r w:rsidRPr="00424540">
        <w:rPr>
          <w:rFonts w:hint="cs"/>
          <w:spacing w:val="-4"/>
          <w:rtl/>
        </w:rPr>
        <w:t xml:space="preserve"> و(ب) </w:t>
      </w:r>
      <w:r w:rsidRPr="00424540">
        <w:rPr>
          <w:spacing w:val="-4"/>
          <w:rtl/>
        </w:rPr>
        <w:t>لحماية الأمن القومي أو النظام العام أو الصحة العامة أو الآداب العامة</w:t>
      </w:r>
      <w:r w:rsidR="008E69B1">
        <w:rPr>
          <w:rFonts w:hint="cs"/>
          <w:spacing w:val="-4"/>
          <w:rtl/>
        </w:rPr>
        <w:t>.</w:t>
      </w:r>
      <w:r w:rsidRPr="00424540">
        <w:rPr>
          <w:rFonts w:hint="cs"/>
          <w:spacing w:val="-4"/>
          <w:rtl/>
        </w:rPr>
        <w:t xml:space="preserve"> وتذكّر بأن </w:t>
      </w:r>
      <w:r w:rsidRPr="00424540">
        <w:rPr>
          <w:spacing w:val="-4"/>
          <w:rtl/>
        </w:rPr>
        <w:t xml:space="preserve">حرية </w:t>
      </w:r>
      <w:r w:rsidRPr="00424540">
        <w:rPr>
          <w:rFonts w:hint="cs"/>
          <w:spacing w:val="-4"/>
          <w:rtl/>
        </w:rPr>
        <w:t>الرأي</w:t>
      </w:r>
      <w:r w:rsidRPr="00424540">
        <w:rPr>
          <w:spacing w:val="-4"/>
          <w:rtl/>
        </w:rPr>
        <w:t xml:space="preserve"> </w:t>
      </w:r>
      <w:r w:rsidRPr="00424540">
        <w:rPr>
          <w:rFonts w:hint="cs"/>
          <w:spacing w:val="-4"/>
          <w:rtl/>
        </w:rPr>
        <w:t xml:space="preserve">وحرية </w:t>
      </w:r>
      <w:r w:rsidRPr="00424540">
        <w:rPr>
          <w:spacing w:val="-4"/>
          <w:rtl/>
        </w:rPr>
        <w:t xml:space="preserve">التعبير </w:t>
      </w:r>
      <w:r w:rsidRPr="00424540">
        <w:rPr>
          <w:rFonts w:hint="cs"/>
          <w:spacing w:val="-4"/>
          <w:rtl/>
        </w:rPr>
        <w:t>شرطان لا غنى عنهما لتحقيق النمو الكامل للفرد، وبأن هات</w:t>
      </w:r>
      <w:r w:rsidR="00A16719" w:rsidRPr="00424540">
        <w:rPr>
          <w:rFonts w:hint="cs"/>
          <w:spacing w:val="-4"/>
          <w:rtl/>
        </w:rPr>
        <w:t xml:space="preserve">ين </w:t>
      </w:r>
      <w:proofErr w:type="spellStart"/>
      <w:r w:rsidR="00A16719" w:rsidRPr="00424540">
        <w:rPr>
          <w:rFonts w:hint="cs"/>
          <w:spacing w:val="-4"/>
          <w:rtl/>
        </w:rPr>
        <w:t>الحريتي</w:t>
      </w:r>
      <w:r w:rsidRPr="00424540">
        <w:rPr>
          <w:rFonts w:hint="cs"/>
          <w:spacing w:val="-4"/>
          <w:rtl/>
        </w:rPr>
        <w:t>ن</w:t>
      </w:r>
      <w:proofErr w:type="spellEnd"/>
      <w:r w:rsidRPr="00424540">
        <w:rPr>
          <w:rFonts w:hint="cs"/>
          <w:spacing w:val="-4"/>
          <w:rtl/>
        </w:rPr>
        <w:t xml:space="preserve"> عنصران أساسيان من عناصر أي مجتمع، وتشكلان </w:t>
      </w:r>
      <w:r w:rsidRPr="00424540">
        <w:rPr>
          <w:spacing w:val="-4"/>
          <w:rtl/>
        </w:rPr>
        <w:t>حجر الزاوية لكل مجتمع تسوده الحرية والديمقراطية</w:t>
      </w:r>
      <w:r w:rsidR="00A16719" w:rsidRPr="00424540">
        <w:rPr>
          <w:rFonts w:hint="cs"/>
          <w:spacing w:val="-4"/>
          <w:vertAlign w:val="superscript"/>
          <w:rtl/>
        </w:rPr>
        <w:t>(</w:t>
      </w:r>
      <w:r w:rsidRPr="00424540">
        <w:rPr>
          <w:rStyle w:val="FootnoteReference"/>
          <w:spacing w:val="-4"/>
          <w:rtl/>
        </w:rPr>
        <w:footnoteReference w:id="4"/>
      </w:r>
      <w:r w:rsidR="00A16719" w:rsidRPr="00424540">
        <w:rPr>
          <w:rFonts w:hint="cs"/>
          <w:spacing w:val="-4"/>
          <w:vertAlign w:val="superscript"/>
          <w:rtl/>
        </w:rPr>
        <w:t>)</w:t>
      </w:r>
      <w:r w:rsidR="00A16719" w:rsidRPr="00424540">
        <w:rPr>
          <w:rFonts w:hint="cs"/>
          <w:spacing w:val="-4"/>
          <w:rtl/>
        </w:rPr>
        <w:t>.</w:t>
      </w:r>
      <w:r w:rsidRPr="00424540">
        <w:rPr>
          <w:rFonts w:hint="cs"/>
          <w:spacing w:val="-4"/>
          <w:rtl/>
        </w:rPr>
        <w:t xml:space="preserve"> وينبغي لأي </w:t>
      </w:r>
      <w:r w:rsidRPr="00424540">
        <w:rPr>
          <w:rFonts w:hint="cs"/>
          <w:spacing w:val="-4"/>
          <w:rtl/>
          <w:lang w:val="fr-CH"/>
        </w:rPr>
        <w:t xml:space="preserve">قيود تُفرض على ممارسة هاتين </w:t>
      </w:r>
      <w:proofErr w:type="spellStart"/>
      <w:r w:rsidRPr="00424540">
        <w:rPr>
          <w:rFonts w:hint="cs"/>
          <w:spacing w:val="-4"/>
          <w:rtl/>
          <w:lang w:val="fr-CH"/>
        </w:rPr>
        <w:t>الحريتين</w:t>
      </w:r>
      <w:proofErr w:type="spellEnd"/>
      <w:r w:rsidRPr="00424540">
        <w:rPr>
          <w:rFonts w:hint="cs"/>
          <w:spacing w:val="-4"/>
          <w:rtl/>
          <w:lang w:val="fr-CH"/>
        </w:rPr>
        <w:t xml:space="preserve"> أن تكون متلائمة مع اختبارات صارمة تتعلق بالضرورة والتناسب، "ولا يجوز تطبيق القيود إلا للأغراض التي وضعت من أجلها كما يجب أن تتعلق مباشرة بالغرض المحدد الذي تأسست عليه</w:t>
      </w:r>
      <w:r w:rsidRPr="00424540">
        <w:rPr>
          <w:rFonts w:hint="cs"/>
          <w:spacing w:val="-4"/>
          <w:rtl/>
        </w:rPr>
        <w:t>"</w:t>
      </w:r>
      <w:r w:rsidR="00A16719" w:rsidRPr="00424540">
        <w:rPr>
          <w:rFonts w:hint="cs"/>
          <w:spacing w:val="-4"/>
          <w:vertAlign w:val="superscript"/>
          <w:rtl/>
        </w:rPr>
        <w:t>(</w:t>
      </w:r>
      <w:r w:rsidRPr="00424540">
        <w:rPr>
          <w:rStyle w:val="FootnoteReference"/>
          <w:spacing w:val="-4"/>
          <w:rtl/>
        </w:rPr>
        <w:footnoteReference w:id="5"/>
      </w:r>
      <w:r w:rsidR="00A16719" w:rsidRPr="00424540">
        <w:rPr>
          <w:rFonts w:hint="cs"/>
          <w:spacing w:val="-4"/>
          <w:vertAlign w:val="superscript"/>
          <w:rtl/>
        </w:rPr>
        <w:t>)</w:t>
      </w:r>
      <w:r w:rsidR="00A16719" w:rsidRPr="00424540">
        <w:rPr>
          <w:rFonts w:hint="cs"/>
          <w:spacing w:val="-4"/>
          <w:rtl/>
        </w:rPr>
        <w:t>.</w:t>
      </w:r>
    </w:p>
    <w:p w:rsidR="00F14B62" w:rsidRPr="0040284D" w:rsidRDefault="00F14B62" w:rsidP="00424540">
      <w:pPr>
        <w:pStyle w:val="SingleTxtGA"/>
        <w:rPr>
          <w:rFonts w:hint="cs"/>
          <w:rtl/>
          <w:lang w:val="fr-CH"/>
        </w:rPr>
      </w:pPr>
      <w:r w:rsidRPr="0040284D">
        <w:rPr>
          <w:rFonts w:hint="cs"/>
          <w:rtl/>
          <w:lang w:val="fr-CH"/>
        </w:rPr>
        <w:t>9-4</w:t>
      </w:r>
      <w:r w:rsidRPr="0040284D">
        <w:rPr>
          <w:rFonts w:hint="cs"/>
          <w:rtl/>
          <w:lang w:val="fr-CH"/>
        </w:rPr>
        <w:tab/>
        <w:t>وت</w:t>
      </w:r>
      <w:r>
        <w:rPr>
          <w:rFonts w:hint="cs"/>
          <w:rtl/>
          <w:lang w:val="fr-CH"/>
        </w:rPr>
        <w:t xml:space="preserve">حيط </w:t>
      </w:r>
      <w:r w:rsidRPr="0040284D">
        <w:rPr>
          <w:rFonts w:hint="cs"/>
          <w:rtl/>
          <w:lang w:val="fr-CH"/>
        </w:rPr>
        <w:t xml:space="preserve">اللجنة </w:t>
      </w:r>
      <w:r>
        <w:rPr>
          <w:rFonts w:hint="cs"/>
          <w:rtl/>
          <w:lang w:val="fr-CH"/>
        </w:rPr>
        <w:t>علماً ب</w:t>
      </w:r>
      <w:r w:rsidRPr="0040284D">
        <w:rPr>
          <w:rFonts w:hint="cs"/>
          <w:rtl/>
          <w:lang w:val="fr-CH"/>
        </w:rPr>
        <w:t xml:space="preserve">أن صاحب البلاغ شارك في تجمع صغير أمام نصب تذكاري. واعتُقل صاحب البلاغ في هذا السياق. وتَقرّر أنه مذنب لتنظيم </w:t>
      </w:r>
      <w:r>
        <w:rPr>
          <w:rFonts w:hint="cs"/>
          <w:rtl/>
          <w:lang w:val="fr-CH"/>
        </w:rPr>
        <w:t xml:space="preserve">تظاهرة عامة </w:t>
      </w:r>
      <w:r w:rsidRPr="0040284D">
        <w:rPr>
          <w:rFonts w:hint="cs"/>
          <w:rtl/>
          <w:lang w:val="fr-CH"/>
        </w:rPr>
        <w:t xml:space="preserve">غير مرخص بها، وحُكم عليه بالاحتجاز الإداري </w:t>
      </w:r>
      <w:r w:rsidR="00D81774">
        <w:rPr>
          <w:rFonts w:hint="cs"/>
          <w:rtl/>
          <w:lang w:val="fr-CH"/>
        </w:rPr>
        <w:t>ل</w:t>
      </w:r>
      <w:r w:rsidRPr="0040284D">
        <w:rPr>
          <w:rFonts w:hint="cs"/>
          <w:rtl/>
          <w:lang w:val="fr-CH"/>
        </w:rPr>
        <w:t>مدة سبعة أيام. وفي هذا الصدد، تحيط اللجنة علماً بما</w:t>
      </w:r>
      <w:r w:rsidR="00424540">
        <w:rPr>
          <w:rFonts w:hint="eastAsia"/>
          <w:rtl/>
          <w:lang w:val="fr-CH"/>
        </w:rPr>
        <w:t> </w:t>
      </w:r>
      <w:r w:rsidRPr="0040284D">
        <w:rPr>
          <w:rFonts w:hint="cs"/>
          <w:rtl/>
          <w:lang w:val="fr-CH"/>
        </w:rPr>
        <w:t xml:space="preserve">قدمته الدولة الطرف من شرح مفاده أن </w:t>
      </w:r>
      <w:r>
        <w:rPr>
          <w:rFonts w:hint="cs"/>
          <w:rtl/>
          <w:lang w:val="fr-CH"/>
        </w:rPr>
        <w:t>قانون التظاهرات العامة</w:t>
      </w:r>
      <w:r w:rsidRPr="0040284D">
        <w:rPr>
          <w:rFonts w:hint="cs"/>
          <w:rtl/>
          <w:lang w:val="fr-CH"/>
        </w:rPr>
        <w:t xml:space="preserve"> يهدف إلى تهيئة الظروف التي تكفل تمتع المواطنين بالحقوق والحريات الدستورية، وحماية السلامة العامة والنظام العام خلال تنظيم هذه الفعاليات في </w:t>
      </w:r>
      <w:r w:rsidRPr="002E4527">
        <w:rPr>
          <w:rFonts w:hint="cs"/>
          <w:rtl/>
          <w:lang w:val="fr-CH"/>
        </w:rPr>
        <w:t>الشوارع والساحات العامة والأماكن العامة ال</w:t>
      </w:r>
      <w:r w:rsidRPr="0040284D">
        <w:rPr>
          <w:rFonts w:hint="cs"/>
          <w:rtl/>
          <w:lang w:val="fr-CH"/>
        </w:rPr>
        <w:t xml:space="preserve">أخرى، وأن عقوبة إدارية </w:t>
      </w:r>
      <w:r>
        <w:rPr>
          <w:rFonts w:hint="cs"/>
          <w:rtl/>
          <w:lang w:val="fr-CH"/>
        </w:rPr>
        <w:t xml:space="preserve">وُقّعت على </w:t>
      </w:r>
      <w:r w:rsidRPr="0040284D">
        <w:rPr>
          <w:rFonts w:hint="cs"/>
          <w:rtl/>
          <w:lang w:val="fr-CH"/>
        </w:rPr>
        <w:t xml:space="preserve">صاحب البلاغ لخرقه إجراءً ينص عليه القانون سابق الذكر. </w:t>
      </w:r>
      <w:r>
        <w:rPr>
          <w:rFonts w:hint="cs"/>
          <w:rtl/>
          <w:lang w:val="fr-CH"/>
        </w:rPr>
        <w:t>و</w:t>
      </w:r>
      <w:r w:rsidRPr="0040284D">
        <w:rPr>
          <w:rFonts w:hint="cs"/>
          <w:rtl/>
          <w:lang w:val="fr-CH"/>
        </w:rPr>
        <w:t xml:space="preserve">لكن اللجنة تلاحظ أن الدولة الطرف لا تحتج بأن الفعالية التي عُقدت في 23 آذار/مارس 2008 كانت تتضارب مع </w:t>
      </w:r>
      <w:proofErr w:type="spellStart"/>
      <w:r w:rsidRPr="0040284D">
        <w:rPr>
          <w:rFonts w:hint="cs"/>
          <w:rtl/>
          <w:lang w:val="fr-CH"/>
        </w:rPr>
        <w:t>الماراثون</w:t>
      </w:r>
      <w:proofErr w:type="spellEnd"/>
      <w:r w:rsidRPr="0040284D">
        <w:rPr>
          <w:rFonts w:hint="cs"/>
          <w:rtl/>
          <w:lang w:val="fr-CH"/>
        </w:rPr>
        <w:t xml:space="preserve"> الخامس والعشرين على مستوى الجمهورية، وأن</w:t>
      </w:r>
      <w:r>
        <w:rPr>
          <w:rFonts w:hint="cs"/>
          <w:rtl/>
          <w:lang w:val="fr-CH"/>
        </w:rPr>
        <w:t>ه</w:t>
      </w:r>
      <w:r w:rsidRPr="0040284D">
        <w:rPr>
          <w:rFonts w:hint="cs"/>
          <w:rtl/>
          <w:lang w:val="fr-CH"/>
        </w:rPr>
        <w:t xml:space="preserve"> لا يوجد في ملف القضية ما يفيد بذلك. وفي هذا الصدد، تلاحظ اللجنة أن الدولة الطرف لم تقدّم أدلة كافية تبيّن ضرورة احتجاز صاحب البلاغ ومعاقبته على أفعاله </w:t>
      </w:r>
      <w:r w:rsidR="00D81774">
        <w:rPr>
          <w:rFonts w:hint="cs"/>
          <w:rtl/>
          <w:lang w:val="fr-CH"/>
        </w:rPr>
        <w:t>المحددة في 23 آذار/ مارس</w:t>
      </w:r>
      <w:r w:rsidR="00D81774">
        <w:rPr>
          <w:rFonts w:hint="eastAsia"/>
          <w:rtl/>
          <w:lang w:val="fr-CH"/>
        </w:rPr>
        <w:t> </w:t>
      </w:r>
      <w:r w:rsidR="00D81774">
        <w:rPr>
          <w:rFonts w:hint="cs"/>
          <w:rtl/>
          <w:lang w:val="fr-CH"/>
        </w:rPr>
        <w:t>2008</w:t>
      </w:r>
      <w:r w:rsidR="00D81774" w:rsidRPr="00D81774">
        <w:rPr>
          <w:rFonts w:hint="cs"/>
          <w:vertAlign w:val="superscript"/>
          <w:rtl/>
          <w:lang w:val="fr-CH"/>
        </w:rPr>
        <w:t>(</w:t>
      </w:r>
      <w:r w:rsidRPr="00D81774">
        <w:rPr>
          <w:b/>
          <w:vertAlign w:val="superscript"/>
          <w:rtl/>
          <w:lang w:val="fr-CH"/>
        </w:rPr>
        <w:footnoteReference w:id="6"/>
      </w:r>
      <w:r w:rsidR="00D81774" w:rsidRPr="00D81774">
        <w:rPr>
          <w:rFonts w:hint="cs"/>
          <w:vertAlign w:val="superscript"/>
          <w:rtl/>
          <w:lang w:val="fr-CH"/>
        </w:rPr>
        <w:t>)</w:t>
      </w:r>
      <w:r w:rsidR="00D81774">
        <w:rPr>
          <w:rFonts w:hint="cs"/>
          <w:rtl/>
          <w:lang w:val="fr-CH"/>
        </w:rPr>
        <w:t>،</w:t>
      </w:r>
      <w:r w:rsidRPr="0040284D">
        <w:rPr>
          <w:rFonts w:hint="cs"/>
          <w:rtl/>
          <w:lang w:val="fr-CH"/>
        </w:rPr>
        <w:t xml:space="preserve"> في إطار الفقرة 3 من المادة 19 من العهد، وتبرّر فرض اعتقال إداري لمدة سبعة أيام عليه. وفي هذا السياق، تذكّر اللجنة بأن الدولة الطرف مسؤولة عن إثبات أن فرض قيود على حق صاحب </w:t>
      </w:r>
      <w:r>
        <w:rPr>
          <w:rFonts w:hint="cs"/>
          <w:rtl/>
          <w:lang w:val="fr-CH"/>
        </w:rPr>
        <w:t>البلاغ بموجب المادة 19</w:t>
      </w:r>
      <w:r w:rsidR="00D81774" w:rsidRPr="00D81774">
        <w:rPr>
          <w:rFonts w:hint="cs"/>
          <w:rtl/>
          <w:lang w:val="fr-CH"/>
        </w:rPr>
        <w:t xml:space="preserve"> </w:t>
      </w:r>
      <w:r w:rsidR="00D81774" w:rsidRPr="0040284D">
        <w:rPr>
          <w:rFonts w:hint="cs"/>
          <w:rtl/>
          <w:lang w:val="fr-CH"/>
        </w:rPr>
        <w:t>ضروري</w:t>
      </w:r>
      <w:r w:rsidRPr="0040284D">
        <w:rPr>
          <w:rFonts w:hint="cs"/>
          <w:rtl/>
          <w:lang w:val="fr-CH"/>
        </w:rPr>
        <w:t>، وأنه حتى إذا اعتمدت الدولة الطرف نظاماً الغرض منه إيجاد توازن بين حرية الفرد في نشر المعلومات والمصلحة العامة المتمثلة في الحفاظ على النظام العام في منطقة بعينها، فإن هذا النظام يجب أ</w:t>
      </w:r>
      <w:r w:rsidR="008409B6">
        <w:rPr>
          <w:rFonts w:hint="cs"/>
          <w:rtl/>
          <w:lang w:val="fr-CH"/>
        </w:rPr>
        <w:t>لا</w:t>
      </w:r>
      <w:r w:rsidRPr="0040284D">
        <w:rPr>
          <w:rFonts w:hint="cs"/>
          <w:rtl/>
          <w:lang w:val="fr-CH"/>
        </w:rPr>
        <w:t xml:space="preserve"> يُستخدم بطريقة </w:t>
      </w:r>
      <w:r>
        <w:rPr>
          <w:rFonts w:hint="cs"/>
          <w:rtl/>
          <w:lang w:val="fr-CH"/>
        </w:rPr>
        <w:t xml:space="preserve">تتعارض </w:t>
      </w:r>
      <w:r w:rsidRPr="0040284D">
        <w:rPr>
          <w:rFonts w:hint="cs"/>
          <w:rtl/>
          <w:lang w:val="fr-CH"/>
        </w:rPr>
        <w:t>مع المادة</w:t>
      </w:r>
      <w:r w:rsidR="008409B6">
        <w:rPr>
          <w:rFonts w:hint="cs"/>
          <w:rtl/>
          <w:lang w:val="fr-CH"/>
        </w:rPr>
        <w:t xml:space="preserve"> 19 من العهد. وهكذا تخلص اللجنة، في ظروف هذه القضية، إلى وقوع انتهاك ل</w:t>
      </w:r>
      <w:r w:rsidRPr="0040284D">
        <w:rPr>
          <w:rFonts w:hint="cs"/>
          <w:rtl/>
          <w:lang w:val="fr-CH"/>
        </w:rPr>
        <w:t>حقوق صاحب البلاغ المكفولة في الفقرة 2 من المادة 19 من العهد.</w:t>
      </w:r>
    </w:p>
    <w:p w:rsidR="00F14B62" w:rsidRPr="008409B6" w:rsidRDefault="00F14B62" w:rsidP="008409B6">
      <w:pPr>
        <w:pStyle w:val="SingleTxtGA"/>
        <w:rPr>
          <w:rFonts w:hint="cs"/>
          <w:rtl/>
          <w:lang w:val="fr-CH"/>
        </w:rPr>
      </w:pPr>
      <w:r>
        <w:rPr>
          <w:rFonts w:hint="cs"/>
          <w:rtl/>
          <w:lang w:val="fr-CH"/>
        </w:rPr>
        <w:t>9-5</w:t>
      </w:r>
      <w:r>
        <w:rPr>
          <w:rFonts w:hint="cs"/>
          <w:rtl/>
          <w:lang w:val="fr-CH"/>
        </w:rPr>
        <w:tab/>
        <w:t>وفي ضوء هذه النتيجة، تقرر اللجنة عدم النظر على نحو منفصل في ادعاءات صاحب البلاغ في إطار المادة 21 من العهد</w:t>
      </w:r>
      <w:r w:rsidR="008409B6" w:rsidRPr="008409B6">
        <w:rPr>
          <w:rFonts w:hint="cs"/>
          <w:vertAlign w:val="superscript"/>
          <w:rtl/>
          <w:lang w:val="fr-CH"/>
        </w:rPr>
        <w:t>(</w:t>
      </w:r>
      <w:r w:rsidRPr="008409B6">
        <w:rPr>
          <w:rStyle w:val="FootnoteReference"/>
          <w:rtl/>
          <w:lang w:val="fr-CH"/>
        </w:rPr>
        <w:footnoteReference w:id="7"/>
      </w:r>
      <w:r w:rsidR="008409B6" w:rsidRPr="008409B6">
        <w:rPr>
          <w:rFonts w:hint="cs"/>
          <w:vertAlign w:val="superscript"/>
          <w:rtl/>
          <w:lang w:val="fr-CH"/>
        </w:rPr>
        <w:t>)</w:t>
      </w:r>
      <w:r w:rsidR="008409B6">
        <w:rPr>
          <w:rFonts w:hint="cs"/>
          <w:rtl/>
          <w:lang w:val="fr-CH"/>
        </w:rPr>
        <w:t>.</w:t>
      </w:r>
    </w:p>
    <w:p w:rsidR="00F14B62" w:rsidRDefault="00F14B62" w:rsidP="008409B6">
      <w:pPr>
        <w:pStyle w:val="SingleTxtGA"/>
        <w:rPr>
          <w:rFonts w:hint="cs"/>
          <w:rtl/>
          <w:lang w:val="fr-CH"/>
        </w:rPr>
      </w:pPr>
      <w:r>
        <w:rPr>
          <w:rFonts w:hint="cs"/>
          <w:rtl/>
          <w:lang w:val="fr-CH"/>
        </w:rPr>
        <w:t>10</w:t>
      </w:r>
      <w:r w:rsidR="008409B6">
        <w:rPr>
          <w:rFonts w:hint="cs"/>
          <w:rtl/>
          <w:lang w:val="fr-CH"/>
        </w:rPr>
        <w:t>-</w:t>
      </w:r>
      <w:r>
        <w:rPr>
          <w:rFonts w:hint="cs"/>
          <w:rtl/>
          <w:lang w:val="fr-CH"/>
        </w:rPr>
        <w:tab/>
        <w:t>واللجنة المعنية بحقوق الإنسان، إذ تتصرف بموجب الفقرة 4 من المادة 5 من البروتوكول الاختياري الملحق بالعهد الدولي الخاص بالحقوق المدنية والسياسية، ترى أن الدولة الطرف انتهكت حقوق صاحب البلاغ بموجب الفقرة 2 من المادة 19 من العهد الدولي الخاص بالحقوق المدنية والسياسية.</w:t>
      </w:r>
    </w:p>
    <w:p w:rsidR="00F14B62" w:rsidRDefault="00F14B62" w:rsidP="008409B6">
      <w:pPr>
        <w:pStyle w:val="SingleTxtGA"/>
        <w:rPr>
          <w:rFonts w:hint="cs"/>
          <w:rtl/>
          <w:lang w:val="fr-CH"/>
        </w:rPr>
      </w:pPr>
      <w:r>
        <w:rPr>
          <w:rFonts w:hint="cs"/>
          <w:rtl/>
          <w:lang w:val="fr-CH"/>
        </w:rPr>
        <w:t>11</w:t>
      </w:r>
      <w:r w:rsidR="008409B6">
        <w:rPr>
          <w:rFonts w:hint="cs"/>
          <w:rtl/>
          <w:lang w:val="fr-CH"/>
        </w:rPr>
        <w:t>-</w:t>
      </w:r>
      <w:r>
        <w:rPr>
          <w:rFonts w:hint="cs"/>
          <w:rtl/>
          <w:lang w:val="fr-CH"/>
        </w:rPr>
        <w:tab/>
        <w:t>وعملاً بأحكام الفقرة 3(أ) من المادة 2 من العهد، يتعين على الدولة الطرف أن توفر لصاحب البلاغ سبيل انتصاف فعالاً، بما في ذلك سداد أي أتعاب قانونية تحمّلها صاحب البلاغ، بالإضافة إلى منحه تعويضات مناسبة. والدولة الطرف ملزمة أيضاً باتخاذ خطوات لمنع حدوث انتهاكات مماثلة مستقبلاً.</w:t>
      </w:r>
    </w:p>
    <w:p w:rsidR="00F14B62" w:rsidRDefault="00F14B62" w:rsidP="00FA4ED7">
      <w:pPr>
        <w:pStyle w:val="SingleTxtGA"/>
        <w:rPr>
          <w:rFonts w:hint="cs"/>
          <w:rtl/>
          <w:lang w:val="fr-CH"/>
        </w:rPr>
      </w:pPr>
      <w:r>
        <w:rPr>
          <w:rFonts w:hint="cs"/>
          <w:rtl/>
          <w:lang w:val="fr-CH"/>
        </w:rPr>
        <w:t>12-</w:t>
      </w:r>
      <w:r>
        <w:rPr>
          <w:rFonts w:hint="cs"/>
          <w:rtl/>
          <w:lang w:val="fr-CH"/>
        </w:rPr>
        <w:tab/>
      </w:r>
      <w:r w:rsidRPr="0007313B">
        <w:rPr>
          <w:rFonts w:hint="cs"/>
          <w:rtl/>
          <w:lang w:val="fr-CH"/>
        </w:rPr>
        <w:t>وإذ تضع اللجنة في اعتبارها أن الدولة الطرف اعترفت</w:t>
      </w:r>
      <w:r>
        <w:rPr>
          <w:rFonts w:hint="cs"/>
          <w:rtl/>
          <w:lang w:val="fr-CH"/>
        </w:rPr>
        <w:t>،</w:t>
      </w:r>
      <w:r w:rsidRPr="0007313B">
        <w:rPr>
          <w:rFonts w:hint="cs"/>
          <w:rtl/>
          <w:lang w:val="fr-CH"/>
        </w:rPr>
        <w:t xml:space="preserve"> لدى انضمامها إلى البروتوكول الاختياري</w:t>
      </w:r>
      <w:r>
        <w:rPr>
          <w:rFonts w:hint="cs"/>
          <w:rtl/>
          <w:lang w:val="fr-CH"/>
        </w:rPr>
        <w:t>،</w:t>
      </w:r>
      <w:r w:rsidRPr="0007313B">
        <w:rPr>
          <w:rFonts w:hint="cs"/>
          <w:rtl/>
          <w:lang w:val="fr-CH"/>
        </w:rPr>
        <w:t xml:space="preserve"> باختصاص اللجنة في تحديد ما إذا كان قد حدث انتهاك للعهد أم</w:t>
      </w:r>
      <w:r>
        <w:rPr>
          <w:rFonts w:hint="eastAsia"/>
          <w:rtl/>
          <w:lang w:val="fr-CH"/>
        </w:rPr>
        <w:t> </w:t>
      </w:r>
      <w:r w:rsidRPr="0007313B">
        <w:rPr>
          <w:rFonts w:hint="cs"/>
          <w:rtl/>
          <w:lang w:val="fr-CH"/>
        </w:rPr>
        <w:t>لا، وأنها تعهدت بمقتضى المادة 2 من العهد بأن تكفل لجميع الأفراد الموجودين في إقليمها</w:t>
      </w:r>
      <w:r>
        <w:rPr>
          <w:rFonts w:hint="eastAsia"/>
          <w:rtl/>
          <w:lang w:val="fr-CH"/>
        </w:rPr>
        <w:t> </w:t>
      </w:r>
      <w:r w:rsidRPr="0007313B">
        <w:rPr>
          <w:rFonts w:hint="cs"/>
          <w:rtl/>
          <w:lang w:val="fr-CH"/>
        </w:rPr>
        <w:t>أو الخاضعين لولايتها الحقوق المعترف بها في العهد</w:t>
      </w:r>
      <w:r>
        <w:rPr>
          <w:rFonts w:hint="cs"/>
          <w:rtl/>
          <w:lang w:val="fr-CH"/>
        </w:rPr>
        <w:t>،</w:t>
      </w:r>
      <w:r w:rsidRPr="0007313B">
        <w:rPr>
          <w:rFonts w:hint="cs"/>
          <w:rtl/>
          <w:lang w:val="fr-CH"/>
        </w:rPr>
        <w:t xml:space="preserve"> و</w:t>
      </w:r>
      <w:r>
        <w:rPr>
          <w:rFonts w:hint="cs"/>
          <w:rtl/>
          <w:lang w:val="fr-CH"/>
        </w:rPr>
        <w:t>ب</w:t>
      </w:r>
      <w:r w:rsidRPr="0007313B">
        <w:rPr>
          <w:rFonts w:hint="cs"/>
          <w:rtl/>
          <w:lang w:val="fr-CH"/>
        </w:rPr>
        <w:t>أن تتيح لهم سبل انتصاف فعالة وقابلة للإنفاذ إذا ثبت حدوث انتهاك، تود</w:t>
      </w:r>
      <w:r>
        <w:rPr>
          <w:rFonts w:hint="cs"/>
          <w:rtl/>
          <w:lang w:val="fr-CH"/>
        </w:rPr>
        <w:t>ّ</w:t>
      </w:r>
      <w:r w:rsidRPr="0007313B">
        <w:rPr>
          <w:rFonts w:hint="cs"/>
          <w:rtl/>
          <w:lang w:val="fr-CH"/>
        </w:rPr>
        <w:t xml:space="preserve"> </w:t>
      </w:r>
      <w:r>
        <w:rPr>
          <w:rFonts w:hint="cs"/>
          <w:rtl/>
          <w:lang w:val="fr-CH"/>
        </w:rPr>
        <w:t xml:space="preserve">اللجنة </w:t>
      </w:r>
      <w:r w:rsidRPr="0007313B">
        <w:rPr>
          <w:rFonts w:hint="cs"/>
          <w:rtl/>
          <w:lang w:val="fr-CH"/>
        </w:rPr>
        <w:t>أن تتلقى من الدولة الطرف</w:t>
      </w:r>
      <w:r>
        <w:rPr>
          <w:rFonts w:hint="cs"/>
          <w:rtl/>
          <w:lang w:val="fr-CH"/>
        </w:rPr>
        <w:t>،</w:t>
      </w:r>
      <w:r w:rsidRPr="0007313B">
        <w:rPr>
          <w:rFonts w:hint="cs"/>
          <w:rtl/>
          <w:lang w:val="fr-CH"/>
        </w:rPr>
        <w:t xml:space="preserve"> في غضون</w:t>
      </w:r>
      <w:r w:rsidR="00FA4ED7">
        <w:rPr>
          <w:rFonts w:hint="eastAsia"/>
          <w:rtl/>
          <w:lang w:val="fr-CH"/>
        </w:rPr>
        <w:t> </w:t>
      </w:r>
      <w:r w:rsidRPr="0007313B">
        <w:rPr>
          <w:rFonts w:hint="cs"/>
          <w:rtl/>
          <w:lang w:val="fr-CH"/>
        </w:rPr>
        <w:t>180 يوماً</w:t>
      </w:r>
      <w:r>
        <w:rPr>
          <w:rFonts w:hint="cs"/>
          <w:rtl/>
          <w:lang w:val="fr-CH"/>
        </w:rPr>
        <w:t>،</w:t>
      </w:r>
      <w:r w:rsidRPr="0007313B">
        <w:rPr>
          <w:rFonts w:hint="cs"/>
          <w:rtl/>
          <w:lang w:val="fr-CH"/>
        </w:rPr>
        <w:t xml:space="preserve"> معلومات عن التدابير المتخذة لوضع آراء اللجنة موضع التنفيذ. ويُطلب من الدولة الطرف أيضاً أن تنشر </w:t>
      </w:r>
      <w:r w:rsidR="008409B6">
        <w:rPr>
          <w:rFonts w:hint="cs"/>
          <w:rtl/>
          <w:lang w:val="fr-CH"/>
        </w:rPr>
        <w:t>هذه ال</w:t>
      </w:r>
      <w:r w:rsidRPr="0007313B">
        <w:rPr>
          <w:rFonts w:hint="cs"/>
          <w:rtl/>
          <w:lang w:val="fr-CH"/>
        </w:rPr>
        <w:t>آراء وتعم</w:t>
      </w:r>
      <w:r>
        <w:rPr>
          <w:rFonts w:hint="cs"/>
          <w:rtl/>
          <w:lang w:val="fr-CH"/>
        </w:rPr>
        <w:t>ّ</w:t>
      </w:r>
      <w:r w:rsidRPr="0007313B">
        <w:rPr>
          <w:rFonts w:hint="cs"/>
          <w:rtl/>
          <w:lang w:val="fr-CH"/>
        </w:rPr>
        <w:t xml:space="preserve">مها على نطاق واسع </w:t>
      </w:r>
      <w:r>
        <w:rPr>
          <w:rFonts w:hint="cs"/>
          <w:rtl/>
          <w:lang w:val="fr-CH"/>
        </w:rPr>
        <w:t xml:space="preserve">في الدولة الطرف </w:t>
      </w:r>
      <w:r w:rsidRPr="0007313B">
        <w:rPr>
          <w:rFonts w:hint="cs"/>
          <w:rtl/>
          <w:lang w:val="fr-CH"/>
        </w:rPr>
        <w:t>باللغتين البيلاروسية والروسية.</w:t>
      </w:r>
    </w:p>
    <w:p w:rsidR="00F14B62" w:rsidRPr="00926E3A" w:rsidRDefault="00F14B62" w:rsidP="008409B6">
      <w:pPr>
        <w:pStyle w:val="SingleTxtGA"/>
        <w:rPr>
          <w:rFonts w:hint="cs"/>
          <w:sz w:val="30"/>
          <w:rtl/>
          <w:lang w:val="fr-CH"/>
        </w:rPr>
      </w:pPr>
      <w:r w:rsidRPr="0007313B">
        <w:rPr>
          <w:rFonts w:hint="cs"/>
          <w:rtl/>
          <w:lang w:val="fr-CH"/>
        </w:rPr>
        <w:t>[اعتُمدت بالإسبانية والإنكليزية والفرنسية، علماً بأن النص الإنكليزي هو النص الأصلي. وستصدر لاحقاً بالروسية والصينية والعربية أيضاً كجزء من تقرير اللجنة السنوي المقدم إلى الجمعية العامة.]</w:t>
      </w:r>
    </w:p>
    <w:p w:rsidR="00F14B62" w:rsidRPr="00334913" w:rsidRDefault="00F14B62" w:rsidP="00F14B62">
      <w:pPr>
        <w:spacing w:before="120" w:line="480" w:lineRule="auto"/>
        <w:jc w:val="center"/>
        <w:rPr>
          <w:rFonts w:hint="cs"/>
          <w:u w:val="single"/>
          <w:rtl/>
          <w:lang w:val="en-CA"/>
        </w:rPr>
      </w:pPr>
      <w:r>
        <w:rPr>
          <w:u w:val="single"/>
          <w:rtl/>
          <w:lang w:val="en-CA"/>
        </w:rPr>
        <w:tab/>
      </w:r>
      <w:r>
        <w:rPr>
          <w:u w:val="single"/>
          <w:rtl/>
          <w:lang w:val="en-CA"/>
        </w:rPr>
        <w:tab/>
      </w:r>
      <w:r>
        <w:rPr>
          <w:u w:val="single"/>
          <w:rtl/>
          <w:lang w:val="en-CA"/>
        </w:rPr>
        <w:tab/>
      </w:r>
    </w:p>
    <w:sectPr w:rsidR="00F14B62" w:rsidRPr="0033491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37" w:rsidRPr="00FE6865" w:rsidRDefault="00F91537" w:rsidP="00FE6865">
      <w:pPr>
        <w:pStyle w:val="Footer"/>
      </w:pPr>
    </w:p>
  </w:endnote>
  <w:endnote w:type="continuationSeparator" w:id="0">
    <w:p w:rsidR="00F91537" w:rsidRDefault="00F91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EF" w:rsidRPr="00F14B62" w:rsidRDefault="00FB47EF" w:rsidP="00F14B62">
    <w:pPr>
      <w:pStyle w:val="Footer"/>
      <w:tabs>
        <w:tab w:val="right" w:pos="9598"/>
      </w:tabs>
    </w:pPr>
    <w:r>
      <w:t>GE.14-40602</w:t>
    </w:r>
    <w:r>
      <w:tab/>
    </w:r>
    <w:r w:rsidRPr="00F14B62">
      <w:rPr>
        <w:b/>
        <w:sz w:val="18"/>
      </w:rPr>
      <w:fldChar w:fldCharType="begin"/>
    </w:r>
    <w:r w:rsidRPr="00F14B62">
      <w:rPr>
        <w:b/>
        <w:sz w:val="18"/>
      </w:rPr>
      <w:instrText xml:space="preserve"> PAGE  \* MERGEFORMAT </w:instrText>
    </w:r>
    <w:r w:rsidRPr="00F14B62">
      <w:rPr>
        <w:b/>
        <w:sz w:val="18"/>
      </w:rPr>
      <w:fldChar w:fldCharType="separate"/>
    </w:r>
    <w:r w:rsidR="003A7E93">
      <w:rPr>
        <w:b/>
        <w:noProof/>
        <w:sz w:val="18"/>
      </w:rPr>
      <w:t>2</w:t>
    </w:r>
    <w:r w:rsidRPr="00F14B6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EF" w:rsidRPr="00F14B62" w:rsidRDefault="00FB47EF" w:rsidP="00F14B62">
    <w:pPr>
      <w:pStyle w:val="Footer"/>
      <w:tabs>
        <w:tab w:val="right" w:pos="9598"/>
      </w:tabs>
      <w:rPr>
        <w:b/>
        <w:sz w:val="18"/>
      </w:rPr>
    </w:pPr>
    <w:r w:rsidRPr="00F14B62">
      <w:rPr>
        <w:b/>
        <w:sz w:val="18"/>
      </w:rPr>
      <w:fldChar w:fldCharType="begin"/>
    </w:r>
    <w:r w:rsidRPr="00F14B62">
      <w:rPr>
        <w:b/>
        <w:sz w:val="18"/>
      </w:rPr>
      <w:instrText xml:space="preserve"> PAGE  \* MERGEFORMAT </w:instrText>
    </w:r>
    <w:r w:rsidRPr="00F14B62">
      <w:rPr>
        <w:b/>
        <w:sz w:val="18"/>
      </w:rPr>
      <w:fldChar w:fldCharType="separate"/>
    </w:r>
    <w:r w:rsidR="003A7E93">
      <w:rPr>
        <w:b/>
        <w:noProof/>
        <w:sz w:val="18"/>
      </w:rPr>
      <w:t>11</w:t>
    </w:r>
    <w:r w:rsidRPr="00F14B62">
      <w:rPr>
        <w:b/>
        <w:sz w:val="18"/>
      </w:rPr>
      <w:fldChar w:fldCharType="end"/>
    </w:r>
    <w:r>
      <w:rPr>
        <w:b/>
        <w:sz w:val="18"/>
      </w:rPr>
      <w:tab/>
    </w:r>
    <w:r>
      <w:t>GE.14-40602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EF" w:rsidRDefault="00FB47EF" w:rsidP="00F14B62">
    <w:pPr>
      <w:pStyle w:val="Footer"/>
      <w:jc w:val="right"/>
      <w:rPr>
        <w:rFonts w:hint="cs"/>
      </w:rPr>
    </w:pPr>
    <w:r>
      <w:rPr>
        <w:sz w:val="20"/>
      </w:rPr>
      <w:t>(A)   GE.14-40602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250214    270214</w:t>
    </w:r>
    <w:r w:rsidR="003A7E93">
      <w:br/>
    </w:r>
    <w:r w:rsidR="003A7E93" w:rsidRPr="003A7E93">
      <w:rPr>
        <w:rFonts w:ascii="C39T30Lfz" w:hAnsi="C39T30Lfz"/>
        <w:sz w:val="56"/>
      </w:rPr>
      <w:t></w:t>
    </w:r>
    <w:r w:rsidR="003A7E93" w:rsidRPr="003A7E93">
      <w:rPr>
        <w:rFonts w:ascii="C39T30Lfz" w:hAnsi="C39T30Lfz"/>
        <w:sz w:val="56"/>
      </w:rPr>
      <w:t></w:t>
    </w:r>
    <w:r w:rsidR="003A7E93" w:rsidRPr="003A7E93">
      <w:rPr>
        <w:rFonts w:ascii="C39T30Lfz" w:hAnsi="C39T30Lfz"/>
        <w:sz w:val="56"/>
      </w:rPr>
      <w:t></w:t>
    </w:r>
    <w:r w:rsidR="003A7E93" w:rsidRPr="003A7E93">
      <w:rPr>
        <w:rFonts w:ascii="C39T30Lfz" w:hAnsi="C39T30Lfz"/>
        <w:sz w:val="56"/>
      </w:rPr>
      <w:t></w:t>
    </w:r>
    <w:r w:rsidR="003A7E93" w:rsidRPr="003A7E93">
      <w:rPr>
        <w:rFonts w:ascii="C39T30Lfz" w:hAnsi="C39T30Lfz"/>
        <w:sz w:val="56"/>
      </w:rPr>
      <w:t></w:t>
    </w:r>
    <w:r w:rsidR="003A7E93" w:rsidRPr="003A7E93">
      <w:rPr>
        <w:rFonts w:ascii="C39T30Lfz" w:hAnsi="C39T30Lfz"/>
        <w:sz w:val="56"/>
      </w:rPr>
      <w:t></w:t>
    </w:r>
    <w:r w:rsidR="003A7E93" w:rsidRPr="003A7E93">
      <w:rPr>
        <w:rFonts w:ascii="C39T30Lfz" w:hAnsi="C39T30Lfz"/>
        <w:sz w:val="56"/>
      </w:rPr>
      <w:t></w:t>
    </w:r>
    <w:r w:rsidR="003A7E93" w:rsidRPr="003A7E93">
      <w:rPr>
        <w:rFonts w:ascii="C39T30Lfz" w:hAnsi="C39T30Lfz"/>
        <w:sz w:val="56"/>
      </w:rPr>
      <w:t></w:t>
    </w:r>
    <w:r w:rsidR="003A7E93" w:rsidRPr="003A7E93">
      <w:rPr>
        <w:rFonts w:ascii="C39T30Lfz" w:hAnsi="C39T30Lfz"/>
        <w:sz w:val="56"/>
      </w:rPr>
      <w:t></w:t>
    </w:r>
    <w:r w:rsidR="003A7E93">
      <w:rPr>
        <w:noProof/>
        <w:lang w:val="en-US"/>
      </w:rPr>
      <w:pict>
        <v:shape id="_x0000_s2054" type="#_x0000_t75" style="position:absolute;left:0;text-align:left;margin-left:.05pt;margin-top:0;width:50.25pt;height:50.25pt;z-index:3;mso-position-horizontal-relative:text;mso-position-vertical-relative:text" o:allowincell="f">
          <v:imagedata r:id="rId2" o:title="2008&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37" w:rsidRDefault="00F91537" w:rsidP="007E4686">
      <w:pPr>
        <w:pStyle w:val="Footer"/>
        <w:bidi/>
        <w:spacing w:after="80" w:line="200" w:lineRule="exact"/>
        <w:ind w:left="680"/>
      </w:pPr>
      <w:r>
        <w:rPr>
          <w:rFonts w:hint="cs"/>
          <w:rtl/>
        </w:rPr>
        <w:t>__________</w:t>
      </w:r>
    </w:p>
  </w:footnote>
  <w:footnote w:type="continuationSeparator" w:id="0">
    <w:p w:rsidR="00F91537" w:rsidRDefault="00F91537" w:rsidP="007E4686">
      <w:pPr>
        <w:pStyle w:val="Footer"/>
        <w:bidi/>
        <w:spacing w:after="80" w:line="200" w:lineRule="exact"/>
        <w:ind w:left="680"/>
      </w:pPr>
      <w:r>
        <w:rPr>
          <w:rFonts w:hint="cs"/>
          <w:rtl/>
        </w:rPr>
        <w:t>__________</w:t>
      </w:r>
    </w:p>
  </w:footnote>
  <w:footnote w:id="1">
    <w:p w:rsidR="00FB47EF" w:rsidRPr="001E6466" w:rsidRDefault="00FB47EF" w:rsidP="00F14B62">
      <w:pPr>
        <w:pStyle w:val="footnoteText0"/>
        <w:rPr>
          <w:rFonts w:hint="cs"/>
          <w:rtl/>
        </w:rPr>
      </w:pPr>
      <w:r>
        <w:rPr>
          <w:rtl/>
        </w:rPr>
        <w:tab/>
      </w:r>
      <w:r w:rsidRPr="001E6466">
        <w:rPr>
          <w:rStyle w:val="FootnoteReference"/>
          <w:sz w:val="20"/>
          <w:vertAlign w:val="baseline"/>
          <w:rtl/>
        </w:rPr>
        <w:t>*</w:t>
      </w:r>
      <w:r>
        <w:rPr>
          <w:rtl/>
        </w:rPr>
        <w:tab/>
      </w:r>
      <w:r w:rsidRPr="001E6466">
        <w:rPr>
          <w:rtl/>
        </w:rPr>
        <w:t xml:space="preserve">شارك </w:t>
      </w:r>
      <w:r>
        <w:rPr>
          <w:rFonts w:hint="cs"/>
          <w:rtl/>
        </w:rPr>
        <w:t>في دراسة هذا البلاغ أعضاء اللجنة التالية أسماؤهم</w:t>
      </w:r>
      <w:r w:rsidRPr="001E6466">
        <w:rPr>
          <w:rtl/>
        </w:rPr>
        <w:t xml:space="preserve">: </w:t>
      </w:r>
      <w:r w:rsidRPr="000C1BE3">
        <w:rPr>
          <w:rtl/>
        </w:rPr>
        <w:t xml:space="preserve">السيد </w:t>
      </w:r>
      <w:bookmarkStart w:id="0" w:name="hit1"/>
      <w:bookmarkEnd w:id="0"/>
      <w:r w:rsidRPr="000C1BE3">
        <w:rPr>
          <w:rFonts w:hint="cs"/>
          <w:rtl/>
        </w:rPr>
        <w:t>عياض بن عاشور</w:t>
      </w:r>
      <w:bookmarkStart w:id="1" w:name="hit2"/>
      <w:bookmarkStart w:id="2" w:name="hit_last"/>
      <w:bookmarkEnd w:id="1"/>
      <w:bookmarkEnd w:id="2"/>
      <w:r w:rsidRPr="000C1BE3">
        <w:rPr>
          <w:rFonts w:hint="cs"/>
          <w:rtl/>
        </w:rPr>
        <w:t xml:space="preserve">، </w:t>
      </w:r>
      <w:r w:rsidRPr="000C1BE3">
        <w:rPr>
          <w:rtl/>
        </w:rPr>
        <w:t>السيد لزهاري بوزيد</w:t>
      </w:r>
      <w:r w:rsidRPr="000C1BE3">
        <w:rPr>
          <w:rFonts w:hint="cs"/>
          <w:rtl/>
        </w:rPr>
        <w:t xml:space="preserve">، </w:t>
      </w:r>
      <w:r w:rsidRPr="000C1BE3">
        <w:rPr>
          <w:rtl/>
        </w:rPr>
        <w:t>السيد أحمد أمين فتح الله</w:t>
      </w:r>
      <w:r w:rsidRPr="000C1BE3">
        <w:rPr>
          <w:rFonts w:hint="cs"/>
          <w:rtl/>
        </w:rPr>
        <w:t xml:space="preserve">، </w:t>
      </w:r>
      <w:r w:rsidRPr="000C1BE3">
        <w:rPr>
          <w:rtl/>
        </w:rPr>
        <w:t>السيد كورنيليس فلينترمان</w:t>
      </w:r>
      <w:r w:rsidRPr="000C1BE3">
        <w:rPr>
          <w:rFonts w:hint="cs"/>
          <w:rtl/>
        </w:rPr>
        <w:t xml:space="preserve">، السيد </w:t>
      </w:r>
      <w:r w:rsidRPr="000C1BE3">
        <w:rPr>
          <w:rtl/>
        </w:rPr>
        <w:t>يوجي إواساوا</w:t>
      </w:r>
      <w:r w:rsidRPr="000C1BE3">
        <w:rPr>
          <w:rFonts w:hint="cs"/>
          <w:rtl/>
        </w:rPr>
        <w:t xml:space="preserve">، </w:t>
      </w:r>
      <w:r w:rsidRPr="000C1BE3">
        <w:rPr>
          <w:rtl/>
        </w:rPr>
        <w:t>السيد فالتر كالين</w:t>
      </w:r>
      <w:r w:rsidRPr="000C1BE3">
        <w:rPr>
          <w:rFonts w:hint="cs"/>
          <w:rtl/>
        </w:rPr>
        <w:t xml:space="preserve">، </w:t>
      </w:r>
      <w:r w:rsidRPr="000C1BE3">
        <w:rPr>
          <w:rtl/>
        </w:rPr>
        <w:t>السيدة زونكي زانيلي ما</w:t>
      </w:r>
      <w:r>
        <w:rPr>
          <w:rtl/>
        </w:rPr>
        <w:t>جودين</w:t>
      </w:r>
      <w:r>
        <w:rPr>
          <w:rFonts w:hint="cs"/>
          <w:rtl/>
        </w:rPr>
        <w:t>ا</w:t>
      </w:r>
      <w:r w:rsidRPr="000C1BE3">
        <w:rPr>
          <w:rFonts w:hint="cs"/>
          <w:rtl/>
        </w:rPr>
        <w:t xml:space="preserve">، </w:t>
      </w:r>
      <w:r w:rsidRPr="000C1BE3">
        <w:rPr>
          <w:rtl/>
        </w:rPr>
        <w:t>السيد خيشو بَرساد ماتادين</w:t>
      </w:r>
      <w:r w:rsidRPr="000C1BE3">
        <w:rPr>
          <w:rFonts w:hint="cs"/>
          <w:rtl/>
        </w:rPr>
        <w:t xml:space="preserve">، </w:t>
      </w:r>
      <w:r w:rsidRPr="000C1BE3">
        <w:rPr>
          <w:rtl/>
        </w:rPr>
        <w:t>السيد جيرالد ل. نومان</w:t>
      </w:r>
      <w:r w:rsidRPr="000C1BE3">
        <w:rPr>
          <w:rFonts w:hint="cs"/>
          <w:rtl/>
        </w:rPr>
        <w:t xml:space="preserve">، </w:t>
      </w:r>
      <w:r w:rsidRPr="000C1BE3">
        <w:rPr>
          <w:rtl/>
        </w:rPr>
        <w:t>السير نايجل رودلي</w:t>
      </w:r>
      <w:r w:rsidRPr="000C1BE3">
        <w:rPr>
          <w:rFonts w:hint="cs"/>
          <w:rtl/>
        </w:rPr>
        <w:t xml:space="preserve">، </w:t>
      </w:r>
      <w:r>
        <w:rPr>
          <w:rFonts w:hint="cs"/>
          <w:rtl/>
        </w:rPr>
        <w:t xml:space="preserve">السيد </w:t>
      </w:r>
      <w:r w:rsidRPr="000C1BE3">
        <w:rPr>
          <w:rtl/>
        </w:rPr>
        <w:t>بكتور مانويل رودريغيس ريسيا</w:t>
      </w:r>
      <w:r w:rsidRPr="000C1BE3">
        <w:rPr>
          <w:rFonts w:hint="cs"/>
          <w:rtl/>
        </w:rPr>
        <w:t xml:space="preserve">، </w:t>
      </w:r>
      <w:r w:rsidRPr="000C1BE3">
        <w:rPr>
          <w:rtl/>
        </w:rPr>
        <w:t>السيد فابيان عمر سالفيولي</w:t>
      </w:r>
      <w:r w:rsidRPr="000C1BE3">
        <w:rPr>
          <w:rFonts w:hint="cs"/>
          <w:rtl/>
        </w:rPr>
        <w:t xml:space="preserve">، </w:t>
      </w:r>
      <w:r w:rsidRPr="000C1BE3">
        <w:rPr>
          <w:rtl/>
        </w:rPr>
        <w:t>السيدة أنيا زايبرت</w:t>
      </w:r>
      <w:r>
        <w:rPr>
          <w:rFonts w:hint="cs"/>
          <w:rtl/>
        </w:rPr>
        <w:t xml:space="preserve"> </w:t>
      </w:r>
      <w:r w:rsidRPr="000C1BE3">
        <w:rPr>
          <w:rtl/>
        </w:rPr>
        <w:t>-</w:t>
      </w:r>
      <w:r>
        <w:rPr>
          <w:rFonts w:hint="cs"/>
          <w:rtl/>
        </w:rPr>
        <w:t xml:space="preserve"> </w:t>
      </w:r>
      <w:r w:rsidRPr="000C1BE3">
        <w:rPr>
          <w:rtl/>
        </w:rPr>
        <w:t>فور</w:t>
      </w:r>
      <w:r w:rsidRPr="000C1BE3">
        <w:rPr>
          <w:rFonts w:hint="cs"/>
          <w:rtl/>
        </w:rPr>
        <w:t xml:space="preserve">، </w:t>
      </w:r>
      <w:r w:rsidRPr="000C1BE3">
        <w:rPr>
          <w:rtl/>
        </w:rPr>
        <w:t>السيد يوفال شاني</w:t>
      </w:r>
      <w:r w:rsidRPr="000C1BE3">
        <w:rPr>
          <w:rFonts w:hint="cs"/>
          <w:rtl/>
        </w:rPr>
        <w:t xml:space="preserve">، </w:t>
      </w:r>
      <w:r w:rsidRPr="000C1BE3">
        <w:rPr>
          <w:rtl/>
        </w:rPr>
        <w:t>السيد كونستونتين فاردزيلاشفيلي</w:t>
      </w:r>
      <w:r w:rsidRPr="000C1BE3">
        <w:rPr>
          <w:rFonts w:hint="cs"/>
          <w:rtl/>
        </w:rPr>
        <w:t xml:space="preserve">، </w:t>
      </w:r>
      <w:r w:rsidRPr="000C1BE3">
        <w:rPr>
          <w:rtl/>
        </w:rPr>
        <w:t>السيدة مارغو واترفال</w:t>
      </w:r>
      <w:r w:rsidRPr="001E6466">
        <w:rPr>
          <w:rtl/>
        </w:rPr>
        <w:t>.</w:t>
      </w:r>
    </w:p>
  </w:footnote>
  <w:footnote w:id="2">
    <w:p w:rsidR="00FB47EF" w:rsidRPr="008409B6" w:rsidRDefault="00FB47EF" w:rsidP="008409B6">
      <w:pPr>
        <w:pStyle w:val="FootnoteText"/>
        <w:numPr>
          <w:ilvl w:val="0"/>
          <w:numId w:val="40"/>
        </w:numPr>
        <w:tabs>
          <w:tab w:val="clear" w:pos="1293"/>
          <w:tab w:val="num" w:pos="1267"/>
        </w:tabs>
        <w:spacing w:after="60" w:line="300" w:lineRule="exact"/>
        <w:ind w:left="1248" w:right="1247"/>
        <w:rPr>
          <w:rFonts w:hint="cs"/>
          <w:sz w:val="18"/>
          <w:szCs w:val="26"/>
        </w:rPr>
      </w:pPr>
      <w:r w:rsidRPr="008409B6">
        <w:rPr>
          <w:rFonts w:hint="cs"/>
          <w:sz w:val="18"/>
          <w:szCs w:val="26"/>
          <w:rtl/>
          <w:lang w:bidi="ar-SY"/>
        </w:rPr>
        <w:t xml:space="preserve">دخل البروتوكول الاختياري حيز النفاذ بالنسبة إلى </w:t>
      </w:r>
      <w:r w:rsidR="008409B6" w:rsidRPr="008409B6">
        <w:rPr>
          <w:rFonts w:hint="cs"/>
          <w:sz w:val="18"/>
          <w:szCs w:val="26"/>
          <w:rtl/>
          <w:lang w:bidi="ar-SY"/>
        </w:rPr>
        <w:t>الدولة الطرف في 30 كانون الأول/</w:t>
      </w:r>
      <w:r w:rsidRPr="008409B6">
        <w:rPr>
          <w:rFonts w:hint="cs"/>
          <w:sz w:val="18"/>
          <w:szCs w:val="26"/>
          <w:rtl/>
          <w:lang w:bidi="ar-SY"/>
        </w:rPr>
        <w:t>ديسمبر</w:t>
      </w:r>
      <w:r w:rsidRPr="008409B6">
        <w:rPr>
          <w:rFonts w:hint="eastAsia"/>
          <w:sz w:val="18"/>
          <w:szCs w:val="26"/>
          <w:rtl/>
          <w:lang w:bidi="ar-SY"/>
        </w:rPr>
        <w:t> </w:t>
      </w:r>
      <w:r w:rsidRPr="008409B6">
        <w:rPr>
          <w:rFonts w:hint="cs"/>
          <w:sz w:val="18"/>
          <w:szCs w:val="26"/>
          <w:rtl/>
          <w:lang w:bidi="ar-SY"/>
        </w:rPr>
        <w:t>1992.</w:t>
      </w:r>
    </w:p>
  </w:footnote>
  <w:footnote w:id="3">
    <w:p w:rsidR="00FB47EF" w:rsidRPr="008409B6" w:rsidRDefault="00FB47EF" w:rsidP="005E08F3">
      <w:pPr>
        <w:pStyle w:val="FootnoteText"/>
        <w:numPr>
          <w:ilvl w:val="0"/>
          <w:numId w:val="40"/>
        </w:numPr>
        <w:tabs>
          <w:tab w:val="clear" w:pos="1293"/>
          <w:tab w:val="num" w:pos="1267"/>
        </w:tabs>
        <w:spacing w:after="60" w:line="300" w:lineRule="exact"/>
        <w:ind w:left="1248" w:right="1247"/>
        <w:rPr>
          <w:rFonts w:hint="cs"/>
          <w:sz w:val="18"/>
          <w:szCs w:val="26"/>
        </w:rPr>
      </w:pPr>
      <w:r w:rsidRPr="00424540">
        <w:rPr>
          <w:spacing w:val="-5"/>
          <w:sz w:val="18"/>
          <w:szCs w:val="26"/>
          <w:rtl/>
        </w:rPr>
        <w:t>انظر، مثلا</w:t>
      </w:r>
      <w:r w:rsidRPr="00424540">
        <w:rPr>
          <w:rFonts w:hint="cs"/>
          <w:spacing w:val="-5"/>
          <w:sz w:val="18"/>
          <w:szCs w:val="26"/>
          <w:rtl/>
        </w:rPr>
        <w:t>ً</w:t>
      </w:r>
      <w:r w:rsidRPr="00424540">
        <w:rPr>
          <w:spacing w:val="-5"/>
          <w:sz w:val="18"/>
          <w:szCs w:val="26"/>
          <w:rtl/>
        </w:rPr>
        <w:t xml:space="preserve">، البلاغ رقم 1785/2008، </w:t>
      </w:r>
      <w:r w:rsidRPr="00424540">
        <w:rPr>
          <w:i/>
          <w:iCs/>
          <w:spacing w:val="-5"/>
          <w:sz w:val="18"/>
          <w:szCs w:val="26"/>
          <w:rtl/>
        </w:rPr>
        <w:t>أولي</w:t>
      </w:r>
      <w:r w:rsidRPr="00424540">
        <w:rPr>
          <w:rFonts w:hint="cs"/>
          <w:i/>
          <w:iCs/>
          <w:spacing w:val="-5"/>
          <w:sz w:val="18"/>
          <w:szCs w:val="26"/>
          <w:rtl/>
        </w:rPr>
        <w:t>ت</w:t>
      </w:r>
      <w:r w:rsidRPr="00424540">
        <w:rPr>
          <w:i/>
          <w:iCs/>
          <w:spacing w:val="-5"/>
          <w:sz w:val="18"/>
          <w:szCs w:val="26"/>
          <w:rtl/>
        </w:rPr>
        <w:t>شكف</w:t>
      </w:r>
      <w:r w:rsidRPr="00424540">
        <w:rPr>
          <w:rFonts w:hint="cs"/>
          <w:i/>
          <w:iCs/>
          <w:spacing w:val="-5"/>
          <w:sz w:val="18"/>
          <w:szCs w:val="26"/>
          <w:rtl/>
        </w:rPr>
        <w:t>ي</w:t>
      </w:r>
      <w:r w:rsidRPr="00424540">
        <w:rPr>
          <w:i/>
          <w:iCs/>
          <w:spacing w:val="-5"/>
          <w:sz w:val="18"/>
          <w:szCs w:val="26"/>
          <w:rtl/>
        </w:rPr>
        <w:t>تش ضد بيلاروس</w:t>
      </w:r>
      <w:r w:rsidRPr="00424540">
        <w:rPr>
          <w:spacing w:val="-5"/>
          <w:sz w:val="18"/>
          <w:szCs w:val="26"/>
          <w:rtl/>
        </w:rPr>
        <w:t>، الآراء المعتمدة في 18 آذار/مارس</w:t>
      </w:r>
      <w:r w:rsidR="005E08F3" w:rsidRPr="00424540">
        <w:rPr>
          <w:rFonts w:hint="cs"/>
          <w:spacing w:val="-5"/>
          <w:sz w:val="18"/>
          <w:szCs w:val="26"/>
          <w:rtl/>
        </w:rPr>
        <w:t xml:space="preserve"> </w:t>
      </w:r>
      <w:r w:rsidRPr="00424540">
        <w:rPr>
          <w:spacing w:val="-5"/>
          <w:sz w:val="18"/>
          <w:szCs w:val="26"/>
          <w:rtl/>
        </w:rPr>
        <w:t>2013،</w:t>
      </w:r>
      <w:r w:rsidRPr="008409B6">
        <w:rPr>
          <w:sz w:val="18"/>
          <w:szCs w:val="26"/>
          <w:rtl/>
        </w:rPr>
        <w:t xml:space="preserve"> </w:t>
      </w:r>
      <w:r w:rsidRPr="00424540">
        <w:rPr>
          <w:spacing w:val="-5"/>
          <w:sz w:val="18"/>
          <w:szCs w:val="26"/>
          <w:rtl/>
        </w:rPr>
        <w:t xml:space="preserve">الفقرة </w:t>
      </w:r>
      <w:r w:rsidRPr="00424540">
        <w:rPr>
          <w:rFonts w:hint="cs"/>
          <w:spacing w:val="-5"/>
          <w:sz w:val="18"/>
          <w:szCs w:val="26"/>
          <w:rtl/>
        </w:rPr>
        <w:t>7-3</w:t>
      </w:r>
      <w:r w:rsidRPr="00424540">
        <w:rPr>
          <w:spacing w:val="-5"/>
          <w:sz w:val="18"/>
          <w:szCs w:val="26"/>
          <w:rtl/>
        </w:rPr>
        <w:t>؛ و</w:t>
      </w:r>
      <w:r w:rsidRPr="00424540">
        <w:rPr>
          <w:rFonts w:hint="cs"/>
          <w:spacing w:val="-5"/>
          <w:sz w:val="18"/>
          <w:szCs w:val="26"/>
          <w:rtl/>
        </w:rPr>
        <w:t xml:space="preserve">البلاغ </w:t>
      </w:r>
      <w:r w:rsidRPr="00424540">
        <w:rPr>
          <w:spacing w:val="-5"/>
          <w:sz w:val="18"/>
          <w:szCs w:val="26"/>
          <w:rtl/>
        </w:rPr>
        <w:t xml:space="preserve">رقم 1784/2008، </w:t>
      </w:r>
      <w:r w:rsidRPr="00424540">
        <w:rPr>
          <w:i/>
          <w:iCs/>
          <w:spacing w:val="-5"/>
          <w:sz w:val="18"/>
          <w:szCs w:val="26"/>
          <w:rtl/>
        </w:rPr>
        <w:t>شوميلين ضد بيلاروس</w:t>
      </w:r>
      <w:r w:rsidRPr="00424540">
        <w:rPr>
          <w:spacing w:val="-5"/>
          <w:sz w:val="18"/>
          <w:szCs w:val="26"/>
          <w:rtl/>
        </w:rPr>
        <w:t>، الآراء المعتمدة في 23 تموز/يولي</w:t>
      </w:r>
      <w:r w:rsidRPr="00424540">
        <w:rPr>
          <w:rFonts w:hint="cs"/>
          <w:spacing w:val="-5"/>
          <w:sz w:val="18"/>
          <w:szCs w:val="26"/>
          <w:rtl/>
        </w:rPr>
        <w:t>ه</w:t>
      </w:r>
      <w:r w:rsidRPr="00424540">
        <w:rPr>
          <w:spacing w:val="-5"/>
          <w:sz w:val="18"/>
          <w:szCs w:val="26"/>
          <w:rtl/>
        </w:rPr>
        <w:t xml:space="preserve"> 2012،</w:t>
      </w:r>
      <w:r w:rsidRPr="008409B6">
        <w:rPr>
          <w:sz w:val="18"/>
          <w:szCs w:val="26"/>
          <w:rtl/>
        </w:rPr>
        <w:t xml:space="preserve"> الفقرة </w:t>
      </w:r>
      <w:r w:rsidRPr="008409B6">
        <w:rPr>
          <w:rFonts w:hint="cs"/>
          <w:sz w:val="18"/>
          <w:szCs w:val="26"/>
          <w:rtl/>
        </w:rPr>
        <w:t>8-3</w:t>
      </w:r>
      <w:r w:rsidRPr="008409B6">
        <w:rPr>
          <w:sz w:val="18"/>
          <w:szCs w:val="26"/>
          <w:rtl/>
        </w:rPr>
        <w:t>؛ و</w:t>
      </w:r>
      <w:r w:rsidRPr="008409B6">
        <w:rPr>
          <w:rFonts w:hint="cs"/>
          <w:sz w:val="18"/>
          <w:szCs w:val="26"/>
          <w:rtl/>
        </w:rPr>
        <w:t xml:space="preserve">البلاغ </w:t>
      </w:r>
      <w:r w:rsidRPr="008409B6">
        <w:rPr>
          <w:sz w:val="18"/>
          <w:szCs w:val="26"/>
          <w:rtl/>
        </w:rPr>
        <w:t>رقم 181</w:t>
      </w:r>
      <w:r w:rsidRPr="008409B6">
        <w:rPr>
          <w:rFonts w:hint="cs"/>
          <w:sz w:val="18"/>
          <w:szCs w:val="26"/>
          <w:rtl/>
        </w:rPr>
        <w:t>4</w:t>
      </w:r>
      <w:r w:rsidRPr="008409B6">
        <w:rPr>
          <w:sz w:val="18"/>
          <w:szCs w:val="26"/>
          <w:rtl/>
        </w:rPr>
        <w:t>/2008</w:t>
      </w:r>
      <w:r w:rsidRPr="008409B6">
        <w:rPr>
          <w:rFonts w:hint="cs"/>
          <w:sz w:val="18"/>
          <w:szCs w:val="26"/>
          <w:rtl/>
        </w:rPr>
        <w:t>،</w:t>
      </w:r>
      <w:r w:rsidRPr="008409B6">
        <w:rPr>
          <w:sz w:val="18"/>
          <w:szCs w:val="26"/>
          <w:rtl/>
        </w:rPr>
        <w:t xml:space="preserve"> </w:t>
      </w:r>
      <w:r w:rsidRPr="008409B6">
        <w:rPr>
          <w:i/>
          <w:iCs/>
          <w:sz w:val="18"/>
          <w:szCs w:val="26"/>
          <w:rtl/>
        </w:rPr>
        <w:t>ب. ل. ضد بيلاروس</w:t>
      </w:r>
      <w:r w:rsidRPr="008409B6">
        <w:rPr>
          <w:sz w:val="18"/>
          <w:szCs w:val="26"/>
          <w:rtl/>
        </w:rPr>
        <w:t>، قرار عدم المقبولية المعتمد في</w:t>
      </w:r>
      <w:r w:rsidRPr="008409B6">
        <w:rPr>
          <w:rFonts w:hint="cs"/>
          <w:sz w:val="18"/>
          <w:szCs w:val="26"/>
          <w:rtl/>
        </w:rPr>
        <w:t> </w:t>
      </w:r>
      <w:r w:rsidRPr="008409B6">
        <w:rPr>
          <w:sz w:val="18"/>
          <w:szCs w:val="26"/>
          <w:rtl/>
        </w:rPr>
        <w:t>26 تموز/يولي</w:t>
      </w:r>
      <w:r w:rsidRPr="008409B6">
        <w:rPr>
          <w:rFonts w:hint="cs"/>
          <w:sz w:val="18"/>
          <w:szCs w:val="26"/>
          <w:rtl/>
        </w:rPr>
        <w:t>ه</w:t>
      </w:r>
      <w:r w:rsidRPr="008409B6">
        <w:rPr>
          <w:sz w:val="18"/>
          <w:szCs w:val="26"/>
          <w:rtl/>
        </w:rPr>
        <w:t xml:space="preserve"> 2011، الفقرة </w:t>
      </w:r>
      <w:r w:rsidRPr="008409B6">
        <w:rPr>
          <w:rFonts w:hint="cs"/>
          <w:sz w:val="18"/>
          <w:szCs w:val="26"/>
          <w:rtl/>
        </w:rPr>
        <w:t>6-2</w:t>
      </w:r>
      <w:r w:rsidRPr="008409B6">
        <w:rPr>
          <w:sz w:val="18"/>
          <w:szCs w:val="26"/>
          <w:rtl/>
        </w:rPr>
        <w:t>.</w:t>
      </w:r>
    </w:p>
  </w:footnote>
  <w:footnote w:id="4">
    <w:p w:rsidR="00FB47EF" w:rsidRPr="00424540" w:rsidRDefault="00FB47EF" w:rsidP="00424540">
      <w:pPr>
        <w:pStyle w:val="FootnoteText"/>
        <w:numPr>
          <w:ilvl w:val="0"/>
          <w:numId w:val="40"/>
        </w:numPr>
        <w:tabs>
          <w:tab w:val="clear" w:pos="1293"/>
          <w:tab w:val="num" w:pos="1267"/>
        </w:tabs>
        <w:spacing w:after="60" w:line="300" w:lineRule="exact"/>
        <w:ind w:left="1248" w:right="1247"/>
        <w:rPr>
          <w:rFonts w:hint="cs"/>
          <w:spacing w:val="-2"/>
          <w:sz w:val="18"/>
          <w:szCs w:val="26"/>
          <w:rtl/>
        </w:rPr>
      </w:pPr>
      <w:r w:rsidRPr="00424540">
        <w:rPr>
          <w:rFonts w:hint="cs"/>
          <w:spacing w:val="-2"/>
          <w:sz w:val="18"/>
          <w:szCs w:val="26"/>
          <w:rtl/>
        </w:rPr>
        <w:t xml:space="preserve">انظر تعليق اللجنة العام رقم 34(2011) بشأن حرية الرأي وحرية التعبير، الفقرة 2، </w:t>
      </w:r>
      <w:r w:rsidRPr="00424540">
        <w:rPr>
          <w:rFonts w:hint="cs"/>
          <w:i/>
          <w:iCs/>
          <w:spacing w:val="-2"/>
          <w:sz w:val="18"/>
          <w:szCs w:val="26"/>
          <w:rtl/>
        </w:rPr>
        <w:t>الوثائق الرسمية للجمعية العامة، الدورة السادسة والستون، الملحق رقم 40</w:t>
      </w:r>
      <w:r w:rsidRPr="00424540">
        <w:rPr>
          <w:rFonts w:hint="cs"/>
          <w:spacing w:val="-2"/>
          <w:sz w:val="18"/>
          <w:szCs w:val="26"/>
          <w:rtl/>
        </w:rPr>
        <w:t>، المجلد الأول (</w:t>
      </w:r>
      <w:r w:rsidRPr="00424540">
        <w:rPr>
          <w:spacing w:val="-2"/>
          <w:sz w:val="18"/>
          <w:szCs w:val="26"/>
          <w:lang w:val="fr-CH"/>
        </w:rPr>
        <w:t>A/66/40(Vol. I)</w:t>
      </w:r>
      <w:r w:rsidRPr="00424540">
        <w:rPr>
          <w:rFonts w:hint="cs"/>
          <w:spacing w:val="-2"/>
          <w:sz w:val="18"/>
          <w:szCs w:val="26"/>
          <w:rtl/>
        </w:rPr>
        <w:t>)، المرفق</w:t>
      </w:r>
      <w:r w:rsidR="00424540" w:rsidRPr="00424540">
        <w:rPr>
          <w:rFonts w:hint="cs"/>
          <w:spacing w:val="-2"/>
          <w:sz w:val="18"/>
          <w:szCs w:val="26"/>
          <w:rtl/>
        </w:rPr>
        <w:t xml:space="preserve"> </w:t>
      </w:r>
      <w:r w:rsidRPr="00424540">
        <w:rPr>
          <w:rFonts w:hint="cs"/>
          <w:spacing w:val="-2"/>
          <w:sz w:val="18"/>
          <w:szCs w:val="26"/>
          <w:rtl/>
        </w:rPr>
        <w:t>الخامس.</w:t>
      </w:r>
    </w:p>
  </w:footnote>
  <w:footnote w:id="5">
    <w:p w:rsidR="00FB47EF" w:rsidRPr="008409B6" w:rsidRDefault="00FB47EF" w:rsidP="008409B6">
      <w:pPr>
        <w:pStyle w:val="FootnoteText"/>
        <w:numPr>
          <w:ilvl w:val="0"/>
          <w:numId w:val="40"/>
        </w:numPr>
        <w:tabs>
          <w:tab w:val="clear" w:pos="1293"/>
          <w:tab w:val="num" w:pos="1267"/>
        </w:tabs>
        <w:spacing w:after="60" w:line="300" w:lineRule="exact"/>
        <w:ind w:left="1248" w:right="1247"/>
        <w:rPr>
          <w:rFonts w:hint="cs"/>
          <w:sz w:val="18"/>
          <w:szCs w:val="26"/>
        </w:rPr>
      </w:pPr>
      <w:r w:rsidRPr="008409B6">
        <w:rPr>
          <w:rFonts w:hint="cs"/>
          <w:sz w:val="18"/>
          <w:szCs w:val="26"/>
          <w:rtl/>
        </w:rPr>
        <w:t>المرجع السابق، الفقرة 22.</w:t>
      </w:r>
    </w:p>
  </w:footnote>
  <w:footnote w:id="6">
    <w:p w:rsidR="00FB47EF" w:rsidRPr="008409B6" w:rsidRDefault="00FB47EF" w:rsidP="008409B6">
      <w:pPr>
        <w:pStyle w:val="FootnoteText"/>
        <w:numPr>
          <w:ilvl w:val="0"/>
          <w:numId w:val="40"/>
        </w:numPr>
        <w:tabs>
          <w:tab w:val="clear" w:pos="1293"/>
          <w:tab w:val="num" w:pos="1267"/>
        </w:tabs>
        <w:spacing w:after="60" w:line="300" w:lineRule="exact"/>
        <w:ind w:left="1248" w:right="1247"/>
        <w:rPr>
          <w:rFonts w:hint="cs"/>
          <w:sz w:val="18"/>
          <w:szCs w:val="26"/>
          <w:rtl/>
        </w:rPr>
      </w:pPr>
      <w:r w:rsidRPr="008409B6">
        <w:rPr>
          <w:sz w:val="18"/>
          <w:szCs w:val="26"/>
          <w:rtl/>
        </w:rPr>
        <w:t>انظر</w:t>
      </w:r>
      <w:r w:rsidRPr="008409B6">
        <w:rPr>
          <w:rFonts w:hint="cs"/>
          <w:sz w:val="18"/>
          <w:szCs w:val="26"/>
          <w:rtl/>
        </w:rPr>
        <w:t xml:space="preserve"> الفقرات 2-1 و2-5 و2-6 أعلاه.</w:t>
      </w:r>
    </w:p>
  </w:footnote>
  <w:footnote w:id="7">
    <w:p w:rsidR="00FB47EF" w:rsidRPr="008409B6" w:rsidRDefault="00FB47EF" w:rsidP="008409B6">
      <w:pPr>
        <w:pStyle w:val="FootnoteText"/>
        <w:numPr>
          <w:ilvl w:val="0"/>
          <w:numId w:val="40"/>
        </w:numPr>
        <w:tabs>
          <w:tab w:val="clear" w:pos="1293"/>
          <w:tab w:val="num" w:pos="1267"/>
        </w:tabs>
        <w:spacing w:after="60" w:line="300" w:lineRule="exact"/>
        <w:ind w:left="1248" w:right="1247"/>
        <w:rPr>
          <w:rFonts w:hint="cs"/>
          <w:sz w:val="18"/>
          <w:szCs w:val="26"/>
          <w:rtl/>
        </w:rPr>
      </w:pPr>
      <w:r w:rsidRPr="008409B6">
        <w:rPr>
          <w:sz w:val="18"/>
          <w:szCs w:val="26"/>
          <w:rtl/>
        </w:rPr>
        <w:t>انظر، مثلا</w:t>
      </w:r>
      <w:r w:rsidRPr="008409B6">
        <w:rPr>
          <w:rFonts w:hint="cs"/>
          <w:sz w:val="18"/>
          <w:szCs w:val="26"/>
          <w:rtl/>
        </w:rPr>
        <w:t>ً</w:t>
      </w:r>
      <w:r w:rsidRPr="008409B6">
        <w:rPr>
          <w:sz w:val="18"/>
          <w:szCs w:val="26"/>
          <w:rtl/>
        </w:rPr>
        <w:t>، البلاغ رقم 1</w:t>
      </w:r>
      <w:r w:rsidRPr="008409B6">
        <w:rPr>
          <w:rFonts w:hint="cs"/>
          <w:sz w:val="18"/>
          <w:szCs w:val="26"/>
          <w:rtl/>
        </w:rPr>
        <w:t>830</w:t>
      </w:r>
      <w:r w:rsidRPr="008409B6">
        <w:rPr>
          <w:sz w:val="18"/>
          <w:szCs w:val="26"/>
          <w:rtl/>
        </w:rPr>
        <w:t xml:space="preserve">/2008، </w:t>
      </w:r>
      <w:r w:rsidRPr="008409B6">
        <w:rPr>
          <w:rFonts w:hint="cs"/>
          <w:i/>
          <w:iCs/>
          <w:sz w:val="18"/>
          <w:szCs w:val="26"/>
          <w:rtl/>
        </w:rPr>
        <w:t xml:space="preserve">بيفونوس </w:t>
      </w:r>
      <w:r w:rsidRPr="008409B6">
        <w:rPr>
          <w:i/>
          <w:iCs/>
          <w:sz w:val="18"/>
          <w:szCs w:val="26"/>
          <w:rtl/>
        </w:rPr>
        <w:t>ضد بيلاروس</w:t>
      </w:r>
      <w:r w:rsidRPr="008409B6">
        <w:rPr>
          <w:sz w:val="18"/>
          <w:szCs w:val="26"/>
          <w:rtl/>
        </w:rPr>
        <w:t xml:space="preserve">، الآراء المعتمدة في </w:t>
      </w:r>
      <w:r w:rsidRPr="008409B6">
        <w:rPr>
          <w:rFonts w:hint="cs"/>
          <w:sz w:val="18"/>
          <w:szCs w:val="26"/>
          <w:rtl/>
        </w:rPr>
        <w:t>29 تشرين الأول/</w:t>
      </w:r>
      <w:r w:rsidR="00424540">
        <w:rPr>
          <w:rFonts w:hint="cs"/>
          <w:sz w:val="18"/>
          <w:szCs w:val="26"/>
          <w:rtl/>
        </w:rPr>
        <w:t xml:space="preserve"> </w:t>
      </w:r>
      <w:r w:rsidRPr="008409B6">
        <w:rPr>
          <w:rFonts w:hint="cs"/>
          <w:sz w:val="18"/>
          <w:szCs w:val="26"/>
          <w:rtl/>
        </w:rPr>
        <w:t>أكتوبر 2012</w:t>
      </w:r>
      <w:r w:rsidRPr="008409B6">
        <w:rPr>
          <w:sz w:val="18"/>
          <w:szCs w:val="26"/>
          <w:rtl/>
        </w:rPr>
        <w:t xml:space="preserve">، الفقرة </w:t>
      </w:r>
      <w:r w:rsidRPr="008409B6">
        <w:rPr>
          <w:rFonts w:hint="cs"/>
          <w:sz w:val="18"/>
          <w:szCs w:val="26"/>
          <w:rtl/>
        </w:rPr>
        <w:t>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EF" w:rsidRPr="00F14B62" w:rsidRDefault="00FB47EF" w:rsidP="00F14B62">
    <w:pPr>
      <w:pStyle w:val="Header"/>
      <w:jc w:val="right"/>
    </w:pPr>
    <w:r w:rsidRPr="00F14B62">
      <w:t>CCPR/C/109/D/1839/2008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EF" w:rsidRPr="00F14B62" w:rsidRDefault="00FB47EF" w:rsidP="00F14B62">
    <w:pPr>
      <w:pStyle w:val="Header"/>
      <w:jc w:val="left"/>
    </w:pPr>
    <w:r w:rsidRPr="00F14B62">
      <w:t>CCPR/C/109/D/1839/2008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EF" w:rsidRDefault="00FB47E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FB47EF" w:rsidRPr="008F6743" w:rsidRDefault="00FB47EF"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A9B494E"/>
    <w:multiLevelType w:val="hybridMultilevel"/>
    <w:tmpl w:val="49941F50"/>
    <w:lvl w:ilvl="0" w:tplc="C73AB73E">
      <w:start w:val="1"/>
      <w:numFmt w:val="decimal"/>
      <w:lvlRestart w:val="0"/>
      <w:lvlText w:val="(%1)"/>
      <w:lvlJc w:val="right"/>
      <w:pPr>
        <w:tabs>
          <w:tab w:val="num" w:pos="1293"/>
        </w:tabs>
        <w:ind w:left="1293" w:hanging="227"/>
      </w:pPr>
      <w:rPr>
        <w:rFonts w:ascii="Traditional Arabic" w:hAnsi="Traditional Arabic" w:cs="Traditional Arabic" w:hint="default"/>
        <w:b w:val="0"/>
        <w:bCs w:val="0"/>
        <w:sz w:val="26"/>
        <w:szCs w:val="26"/>
      </w:rPr>
    </w:lvl>
    <w:lvl w:ilvl="1" w:tplc="808E47C6">
      <w:start w:val="1"/>
      <w:numFmt w:val="decimal"/>
      <w:lvlRestart w:val="0"/>
      <w:lvlText w:val="(%2)"/>
      <w:lvlJc w:val="right"/>
      <w:pPr>
        <w:tabs>
          <w:tab w:val="num" w:pos="1353"/>
        </w:tabs>
        <w:ind w:left="1353" w:hanging="227"/>
      </w:pPr>
      <w:rPr>
        <w:rFonts w:ascii="Traditional Arabic" w:hAnsi="Traditional Arabic" w:cs="Traditional Arabic" w:hint="default"/>
        <w:b w:val="0"/>
        <w:bCs w:val="0"/>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1"/>
  </w:num>
  <w:num w:numId="8">
    <w:abstractNumId w:val="9"/>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52F4"/>
    <w:rsid w:val="00040E25"/>
    <w:rsid w:val="00042149"/>
    <w:rsid w:val="000648EA"/>
    <w:rsid w:val="000957C8"/>
    <w:rsid w:val="00097049"/>
    <w:rsid w:val="000A04D5"/>
    <w:rsid w:val="000B267D"/>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6CA1"/>
    <w:rsid w:val="00257225"/>
    <w:rsid w:val="002B361A"/>
    <w:rsid w:val="00310160"/>
    <w:rsid w:val="00341A8C"/>
    <w:rsid w:val="003519E6"/>
    <w:rsid w:val="00355F81"/>
    <w:rsid w:val="00394954"/>
    <w:rsid w:val="003A7E93"/>
    <w:rsid w:val="003B4356"/>
    <w:rsid w:val="003F08A8"/>
    <w:rsid w:val="00424540"/>
    <w:rsid w:val="004250E3"/>
    <w:rsid w:val="0044376D"/>
    <w:rsid w:val="00472A81"/>
    <w:rsid w:val="004A20A6"/>
    <w:rsid w:val="004B2C92"/>
    <w:rsid w:val="004D6A3A"/>
    <w:rsid w:val="004F4AD7"/>
    <w:rsid w:val="00557CD3"/>
    <w:rsid w:val="00571432"/>
    <w:rsid w:val="005732A2"/>
    <w:rsid w:val="005762A5"/>
    <w:rsid w:val="00590BA3"/>
    <w:rsid w:val="005B46D9"/>
    <w:rsid w:val="005B7AE0"/>
    <w:rsid w:val="005E08F3"/>
    <w:rsid w:val="005E23F5"/>
    <w:rsid w:val="005F146F"/>
    <w:rsid w:val="005F71B6"/>
    <w:rsid w:val="00654786"/>
    <w:rsid w:val="00660FD4"/>
    <w:rsid w:val="00665BE4"/>
    <w:rsid w:val="006A4425"/>
    <w:rsid w:val="006B00A4"/>
    <w:rsid w:val="006B430B"/>
    <w:rsid w:val="006B4669"/>
    <w:rsid w:val="006D3CFA"/>
    <w:rsid w:val="006F6BF8"/>
    <w:rsid w:val="00707BDF"/>
    <w:rsid w:val="00710727"/>
    <w:rsid w:val="00715F45"/>
    <w:rsid w:val="0072608F"/>
    <w:rsid w:val="00731815"/>
    <w:rsid w:val="00731B84"/>
    <w:rsid w:val="00733432"/>
    <w:rsid w:val="00734AE7"/>
    <w:rsid w:val="00761E49"/>
    <w:rsid w:val="007852F4"/>
    <w:rsid w:val="0079344E"/>
    <w:rsid w:val="007E197F"/>
    <w:rsid w:val="007E2786"/>
    <w:rsid w:val="007E4686"/>
    <w:rsid w:val="007F68C4"/>
    <w:rsid w:val="008153DE"/>
    <w:rsid w:val="008409B6"/>
    <w:rsid w:val="00852A10"/>
    <w:rsid w:val="00862634"/>
    <w:rsid w:val="00866C59"/>
    <w:rsid w:val="00877306"/>
    <w:rsid w:val="00885524"/>
    <w:rsid w:val="008A6242"/>
    <w:rsid w:val="008B3599"/>
    <w:rsid w:val="008B4BC6"/>
    <w:rsid w:val="008C63B4"/>
    <w:rsid w:val="008E69B1"/>
    <w:rsid w:val="008F6743"/>
    <w:rsid w:val="00901BEF"/>
    <w:rsid w:val="00901E57"/>
    <w:rsid w:val="009070DF"/>
    <w:rsid w:val="00914B37"/>
    <w:rsid w:val="00935F0E"/>
    <w:rsid w:val="0095208F"/>
    <w:rsid w:val="00977B3F"/>
    <w:rsid w:val="009814AE"/>
    <w:rsid w:val="009901D3"/>
    <w:rsid w:val="0099038B"/>
    <w:rsid w:val="00996BBE"/>
    <w:rsid w:val="009A425E"/>
    <w:rsid w:val="009B2C03"/>
    <w:rsid w:val="009D17B9"/>
    <w:rsid w:val="009D1DD5"/>
    <w:rsid w:val="009F722C"/>
    <w:rsid w:val="00A16719"/>
    <w:rsid w:val="00A26157"/>
    <w:rsid w:val="00A265C3"/>
    <w:rsid w:val="00A43F9A"/>
    <w:rsid w:val="00A53F38"/>
    <w:rsid w:val="00A543D4"/>
    <w:rsid w:val="00A63E48"/>
    <w:rsid w:val="00AD0014"/>
    <w:rsid w:val="00AD4CF2"/>
    <w:rsid w:val="00AF0BBA"/>
    <w:rsid w:val="00B14DD3"/>
    <w:rsid w:val="00B25159"/>
    <w:rsid w:val="00B30468"/>
    <w:rsid w:val="00B44E31"/>
    <w:rsid w:val="00B614D4"/>
    <w:rsid w:val="00B711B4"/>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81774"/>
    <w:rsid w:val="00D960AD"/>
    <w:rsid w:val="00DA0E0E"/>
    <w:rsid w:val="00DB0885"/>
    <w:rsid w:val="00DB0C39"/>
    <w:rsid w:val="00DB7679"/>
    <w:rsid w:val="00DF1702"/>
    <w:rsid w:val="00DF4DD8"/>
    <w:rsid w:val="00DF668E"/>
    <w:rsid w:val="00E04826"/>
    <w:rsid w:val="00E14D2B"/>
    <w:rsid w:val="00E20DBA"/>
    <w:rsid w:val="00E402AF"/>
    <w:rsid w:val="00E6524A"/>
    <w:rsid w:val="00E660D6"/>
    <w:rsid w:val="00E771AB"/>
    <w:rsid w:val="00EA796F"/>
    <w:rsid w:val="00EB077B"/>
    <w:rsid w:val="00EC50B9"/>
    <w:rsid w:val="00ED26A0"/>
    <w:rsid w:val="00F14B62"/>
    <w:rsid w:val="00F1727A"/>
    <w:rsid w:val="00F34764"/>
    <w:rsid w:val="00F54E3C"/>
    <w:rsid w:val="00F7041F"/>
    <w:rsid w:val="00F874BD"/>
    <w:rsid w:val="00F91537"/>
    <w:rsid w:val="00FA4ED7"/>
    <w:rsid w:val="00FB1D0B"/>
    <w:rsid w:val="00FB47E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A63E48"/>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 Char Char Char Char,Footnote Text Char Char Char Char,Footnote reference,FA Fu,Footnote Text Char Char Char,Footnote Text_a"/>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ftref"/>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_a Char"/>
    <w:link w:val="FootnoteText"/>
    <w:rsid w:val="00F14B62"/>
    <w:rPr>
      <w:rFonts w:cs="Traditional Arabic"/>
      <w:lang w:val="en-US"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12</Pages>
  <Words>3389</Words>
  <Characters>19322</Characters>
  <Application>Microsoft Office Outlook</Application>
  <DocSecurity>4</DocSecurity>
  <Lines>161</Lines>
  <Paragraphs>45</Paragraphs>
  <ScaleCrop>false</ScaleCrop>
  <HeadingPairs>
    <vt:vector size="2" baseType="variant">
      <vt:variant>
        <vt:lpstr>العنوان</vt:lpstr>
      </vt:variant>
      <vt:variant>
        <vt:i4>1</vt:i4>
      </vt:variant>
    </vt:vector>
  </HeadingPairs>
  <TitlesOfParts>
    <vt:vector size="1" baseType="lpstr">
      <vt:lpstr>CCPR/C/109/D/1839/2008</vt:lpstr>
    </vt:vector>
  </TitlesOfParts>
  <Company>CSD</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CCPR/C/109/D/1839/2008</dc:title>
  <dc:subject>MUHSEN/EMARA</dc:subject>
  <dc:creator>Bahnassawy</dc:creator>
  <cp:keywords/>
  <dc:description/>
  <cp:lastModifiedBy>TPS</cp:lastModifiedBy>
  <cp:revision>2</cp:revision>
  <cp:lastPrinted>2014-02-27T08:43:00Z</cp:lastPrinted>
  <dcterms:created xsi:type="dcterms:W3CDTF">2014-02-27T13:47:00Z</dcterms:created>
  <dcterms:modified xsi:type="dcterms:W3CDTF">2014-02-27T13:47:00Z</dcterms:modified>
</cp:coreProperties>
</file>