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:rsidTr="009867A8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FE4684" w:rsidRDefault="006B3E27" w:rsidP="009867A8">
            <w:pPr>
              <w:jc w:val="center"/>
              <w:rPr>
                <w:rFonts w:hint="cs"/>
                <w:sz w:val="56"/>
                <w:szCs w:val="56"/>
                <w:rtl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9867A8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</w:t>
            </w:r>
            <w:r w:rsidR="00EB56B7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517BC9">
              <w:rPr>
                <w:rFonts w:hint="cs"/>
                <w:sz w:val="40"/>
                <w:szCs w:val="40"/>
                <w:rtl/>
              </w:rPr>
              <w:t>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CB6622" w:rsidRDefault="00FE4684" w:rsidP="006D5AFA">
            <w:pPr>
              <w:bidi w:val="0"/>
              <w:spacing w:after="20"/>
              <w:jc w:val="left"/>
              <w:rPr>
                <w:szCs w:val="20"/>
              </w:rPr>
            </w:pPr>
            <w:r w:rsidRPr="00FE4684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/C/125/D/2556/2015</w:t>
            </w:r>
          </w:p>
        </w:tc>
      </w:tr>
      <w:tr w:rsidR="006B3E27" w:rsidRPr="00ED7442" w:rsidTr="009867A8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9867A8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29DE4E62" wp14:editId="5071CDE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ED7442" w:rsidP="009867A8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العهد</w:t>
            </w:r>
            <w:r w:rsidR="00EB56B7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الدولي</w:t>
            </w:r>
            <w:r w:rsidR="00EB56B7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الخاص</w:t>
            </w:r>
            <w:r w:rsidR="00EB56B7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بالحقوق</w:t>
            </w:r>
            <w:r w:rsidR="00EB56B7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المدنية</w:t>
            </w:r>
            <w:r w:rsidR="00EB56B7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6D5AFA" w:rsidP="006D5AFA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EB56B7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:rsidR="006D5AFA" w:rsidRDefault="006D5AFA" w:rsidP="006D5AFA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EB56B7">
              <w:rPr>
                <w:szCs w:val="20"/>
              </w:rPr>
              <w:t xml:space="preserve"> </w:t>
            </w:r>
            <w:r>
              <w:rPr>
                <w:szCs w:val="20"/>
              </w:rPr>
              <w:t>June</w:t>
            </w:r>
            <w:r w:rsidR="00EB56B7">
              <w:rPr>
                <w:szCs w:val="20"/>
              </w:rPr>
              <w:t xml:space="preserve"> </w:t>
            </w:r>
            <w:r>
              <w:rPr>
                <w:szCs w:val="20"/>
              </w:rPr>
              <w:t>2019</w:t>
            </w:r>
          </w:p>
          <w:p w:rsidR="006D5AFA" w:rsidRDefault="006D5AFA" w:rsidP="006D5AFA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6D5AFA" w:rsidRPr="00CB6622" w:rsidRDefault="006D5AFA" w:rsidP="006D5AFA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EB56B7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p w:rsidR="006D5AFA" w:rsidRPr="006D5AFA" w:rsidRDefault="006D5AFA" w:rsidP="006D5AFA">
      <w:pPr>
        <w:spacing w:before="120" w:line="380" w:lineRule="exact"/>
        <w:rPr>
          <w:bCs/>
          <w:sz w:val="36"/>
          <w:szCs w:val="36"/>
          <w:rtl/>
        </w:rPr>
      </w:pPr>
      <w:r w:rsidRPr="006D5AFA">
        <w:rPr>
          <w:rFonts w:hint="cs"/>
          <w:bCs/>
          <w:sz w:val="36"/>
          <w:szCs w:val="36"/>
          <w:rtl/>
        </w:rPr>
        <w:t>اللجنة</w:t>
      </w:r>
      <w:r w:rsidR="00EB56B7">
        <w:rPr>
          <w:rFonts w:hint="cs"/>
          <w:bCs/>
          <w:sz w:val="36"/>
          <w:szCs w:val="36"/>
          <w:rtl/>
        </w:rPr>
        <w:t xml:space="preserve"> </w:t>
      </w:r>
      <w:r w:rsidRPr="006D5AFA">
        <w:rPr>
          <w:rFonts w:hint="cs"/>
          <w:bCs/>
          <w:sz w:val="36"/>
          <w:szCs w:val="36"/>
          <w:rtl/>
        </w:rPr>
        <w:t>المعنية</w:t>
      </w:r>
      <w:r w:rsidR="00EB56B7">
        <w:rPr>
          <w:rFonts w:hint="cs"/>
          <w:bCs/>
          <w:sz w:val="36"/>
          <w:szCs w:val="36"/>
          <w:rtl/>
        </w:rPr>
        <w:t xml:space="preserve"> </w:t>
      </w:r>
      <w:r w:rsidRPr="006D5AFA">
        <w:rPr>
          <w:rFonts w:hint="cs"/>
          <w:bCs/>
          <w:sz w:val="36"/>
          <w:szCs w:val="36"/>
          <w:rtl/>
        </w:rPr>
        <w:t>بحقوق</w:t>
      </w:r>
      <w:r w:rsidR="00EB56B7">
        <w:rPr>
          <w:rFonts w:hint="cs"/>
          <w:bCs/>
          <w:sz w:val="36"/>
          <w:szCs w:val="36"/>
          <w:rtl/>
        </w:rPr>
        <w:t xml:space="preserve"> </w:t>
      </w:r>
      <w:r w:rsidRPr="006D5AFA">
        <w:rPr>
          <w:rFonts w:hint="cs"/>
          <w:bCs/>
          <w:sz w:val="36"/>
          <w:szCs w:val="36"/>
          <w:rtl/>
        </w:rPr>
        <w:t>الإنسان</w:t>
      </w:r>
    </w:p>
    <w:p w:rsidR="006D5AFA" w:rsidRPr="006D5AFA" w:rsidRDefault="006D5AFA" w:rsidP="006D5AFA">
      <w:pPr>
        <w:pStyle w:val="HChGA"/>
        <w:rPr>
          <w:sz w:val="20"/>
          <w:szCs w:val="30"/>
          <w:rtl/>
          <w:lang w:bidi="ar-DZ"/>
        </w:rPr>
      </w:pPr>
      <w:r w:rsidRPr="00C316B7">
        <w:rPr>
          <w:rFonts w:hint="cs"/>
          <w:szCs w:val="30"/>
          <w:rtl/>
        </w:rPr>
        <w:tab/>
      </w:r>
      <w:r w:rsidRPr="00C316B7">
        <w:rPr>
          <w:rFonts w:hint="cs"/>
          <w:szCs w:val="30"/>
          <w:rtl/>
        </w:rPr>
        <w:tab/>
      </w:r>
      <w:r w:rsidRPr="001739D3">
        <w:rPr>
          <w:rFonts w:hint="cs"/>
          <w:rtl/>
        </w:rPr>
        <w:t>الآراء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اعتمدتها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بموجب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الفقرة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4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المادة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5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البروتوكول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الاختياري،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بشأن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رقم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2556/2015</w:t>
      </w:r>
      <w:r w:rsidRPr="001739D3">
        <w:rPr>
          <w:rFonts w:cs="Times New Roman"/>
        </w:rPr>
        <w:t>‬</w:t>
      </w:r>
      <w:r w:rsidRPr="006D5AFA">
        <w:rPr>
          <w:rStyle w:val="FootnoteReference"/>
          <w:sz w:val="20"/>
          <w:vertAlign w:val="baseline"/>
          <w:rtl/>
          <w:lang w:bidi="ar-DZ"/>
        </w:rPr>
        <w:footnoteReference w:customMarkFollows="1" w:id="1"/>
        <w:t>*</w:t>
      </w:r>
      <w:r w:rsidR="00EB56B7">
        <w:rPr>
          <w:rFonts w:hint="cs"/>
          <w:sz w:val="20"/>
          <w:szCs w:val="30"/>
          <w:rtl/>
          <w:lang w:bidi="ar-DZ"/>
        </w:rPr>
        <w:t xml:space="preserve"> </w:t>
      </w:r>
      <w:r w:rsidRPr="006D5AFA">
        <w:rPr>
          <w:rStyle w:val="FootnoteReference"/>
          <w:sz w:val="20"/>
          <w:vertAlign w:val="baseline"/>
          <w:rtl/>
          <w:lang w:bidi="ar-DZ"/>
        </w:rPr>
        <w:footnoteReference w:customMarkFollows="1" w:id="2"/>
        <w:t>**</w:t>
      </w:r>
      <w:r w:rsidR="00EB56B7">
        <w:rPr>
          <w:rFonts w:hint="cs"/>
          <w:sz w:val="20"/>
          <w:szCs w:val="30"/>
          <w:rtl/>
          <w:lang w:bidi="ar-DZ"/>
        </w:rPr>
        <w:t xml:space="preserve"> </w:t>
      </w:r>
      <w:r w:rsidRPr="006D5AFA">
        <w:rPr>
          <w:rStyle w:val="FootnoteReference"/>
          <w:sz w:val="20"/>
          <w:vertAlign w:val="baseline"/>
          <w:rtl/>
          <w:lang w:bidi="ar-DZ"/>
        </w:rPr>
        <w:footnoteReference w:customMarkFollows="1" w:id="3"/>
        <w:t>***</w:t>
      </w:r>
    </w:p>
    <w:p w:rsidR="006D5AFA" w:rsidRPr="00C316B7" w:rsidRDefault="006D5AFA" w:rsidP="006D5AFA">
      <w:pPr>
        <w:pStyle w:val="SingleTxtG"/>
        <w:tabs>
          <w:tab w:val="left" w:pos="4820"/>
        </w:tabs>
        <w:bidi/>
        <w:spacing w:line="380" w:lineRule="exact"/>
        <w:ind w:left="4823" w:hanging="2782"/>
        <w:jc w:val="lowKashida"/>
        <w:rPr>
          <w:rFonts w:cs="Traditional Arabic"/>
          <w:szCs w:val="30"/>
          <w:rtl/>
        </w:rPr>
      </w:pPr>
      <w:r w:rsidRPr="00714818">
        <w:rPr>
          <w:rFonts w:cs="Traditional Arabic" w:hint="cs"/>
          <w:iCs/>
          <w:szCs w:val="30"/>
          <w:rtl/>
        </w:rPr>
        <w:t>المقدم</w:t>
      </w:r>
      <w:r w:rsidR="00EB56B7">
        <w:rPr>
          <w:rFonts w:cs="Traditional Arabic" w:hint="cs"/>
          <w:iCs/>
          <w:szCs w:val="30"/>
          <w:rtl/>
        </w:rPr>
        <w:t xml:space="preserve"> </w:t>
      </w:r>
      <w:r w:rsidRPr="00714818">
        <w:rPr>
          <w:rFonts w:cs="Traditional Arabic" w:hint="cs"/>
          <w:iCs/>
          <w:szCs w:val="30"/>
          <w:rtl/>
        </w:rPr>
        <w:t>من</w:t>
      </w:r>
      <w:r w:rsidRPr="00EA5A80">
        <w:rPr>
          <w:rFonts w:cs="Traditional Arabic" w:hint="cs"/>
          <w:iCs/>
          <w:szCs w:val="30"/>
          <w:rtl/>
        </w:rPr>
        <w:t>:</w:t>
      </w:r>
      <w:r w:rsidRPr="00C316B7">
        <w:rPr>
          <w:rFonts w:cs="Traditional Arabic" w:hint="cs"/>
          <w:i/>
          <w:szCs w:val="30"/>
          <w:rtl/>
        </w:rPr>
        <w:tab/>
      </w:r>
      <w:proofErr w:type="spellStart"/>
      <w:r w:rsidRPr="00C316B7">
        <w:rPr>
          <w:rFonts w:cs="Traditional Arabic" w:hint="cs"/>
          <w:szCs w:val="30"/>
          <w:rtl/>
        </w:rPr>
        <w:t>فولماتي</w:t>
      </w:r>
      <w:proofErr w:type="spellEnd"/>
      <w:r w:rsidR="00EB56B7">
        <w:rPr>
          <w:rFonts w:cs="Traditional Arabic" w:hint="cs"/>
          <w:szCs w:val="30"/>
          <w:rtl/>
        </w:rPr>
        <w:t xml:space="preserve"> </w:t>
      </w:r>
      <w:proofErr w:type="spellStart"/>
      <w:r w:rsidRPr="00C316B7">
        <w:rPr>
          <w:rFonts w:cs="Traditional Arabic" w:hint="cs"/>
          <w:szCs w:val="30"/>
          <w:rtl/>
        </w:rPr>
        <w:t>نيايا</w:t>
      </w:r>
      <w:proofErr w:type="spellEnd"/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(تمثلها</w:t>
      </w:r>
      <w:r w:rsidR="00EB56B7">
        <w:rPr>
          <w:rFonts w:cs="Traditional Arabic" w:hint="cs"/>
          <w:szCs w:val="30"/>
          <w:rtl/>
        </w:rPr>
        <w:t xml:space="preserve"> </w:t>
      </w:r>
      <w:r w:rsidRPr="00CB135B">
        <w:rPr>
          <w:rFonts w:cs="Traditional Arabic"/>
          <w:szCs w:val="30"/>
          <w:rtl/>
        </w:rPr>
        <w:t>الرابطة</w:t>
      </w:r>
      <w:r w:rsidR="00EB56B7">
        <w:rPr>
          <w:rFonts w:cs="Traditional Arabic"/>
          <w:szCs w:val="30"/>
          <w:rtl/>
        </w:rPr>
        <w:t xml:space="preserve"> </w:t>
      </w:r>
      <w:r w:rsidRPr="00CB135B">
        <w:rPr>
          <w:rFonts w:cs="Traditional Arabic"/>
          <w:szCs w:val="30"/>
          <w:rtl/>
        </w:rPr>
        <w:t>السويسرية</w:t>
      </w:r>
      <w:r w:rsidR="00EB56B7">
        <w:rPr>
          <w:rFonts w:cs="Traditional Arabic"/>
          <w:szCs w:val="30"/>
          <w:rtl/>
        </w:rPr>
        <w:t xml:space="preserve"> </w:t>
      </w:r>
      <w:r w:rsidRPr="00CB135B">
        <w:rPr>
          <w:rFonts w:cs="Traditional Arabic"/>
          <w:szCs w:val="30"/>
          <w:rtl/>
        </w:rPr>
        <w:t>لمكافحة</w:t>
      </w:r>
      <w:r w:rsidR="00EB56B7">
        <w:rPr>
          <w:rFonts w:cs="Traditional Arabic"/>
          <w:szCs w:val="30"/>
          <w:rtl/>
        </w:rPr>
        <w:t xml:space="preserve"> </w:t>
      </w:r>
      <w:r w:rsidRPr="00CB135B">
        <w:rPr>
          <w:rFonts w:cs="Traditional Arabic"/>
          <w:szCs w:val="30"/>
          <w:rtl/>
        </w:rPr>
        <w:t>الإفلات</w:t>
      </w:r>
      <w:r w:rsidR="00EB56B7">
        <w:rPr>
          <w:rFonts w:cs="Traditional Arabic"/>
          <w:szCs w:val="30"/>
          <w:rtl/>
        </w:rPr>
        <w:t xml:space="preserve"> </w:t>
      </w:r>
      <w:r w:rsidRPr="00CB135B">
        <w:rPr>
          <w:rFonts w:cs="Traditional Arabic"/>
          <w:szCs w:val="30"/>
          <w:rtl/>
        </w:rPr>
        <w:t>من</w:t>
      </w:r>
      <w:r w:rsidR="00EB56B7">
        <w:rPr>
          <w:rFonts w:cs="Traditional Arabic"/>
          <w:szCs w:val="30"/>
          <w:rtl/>
        </w:rPr>
        <w:t xml:space="preserve"> </w:t>
      </w:r>
      <w:r w:rsidRPr="00CB135B">
        <w:rPr>
          <w:rFonts w:cs="Traditional Arabic"/>
          <w:szCs w:val="30"/>
          <w:rtl/>
        </w:rPr>
        <w:t>العقاب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الدولية)</w:t>
      </w:r>
    </w:p>
    <w:p w:rsidR="006D5AFA" w:rsidRPr="00C316B7" w:rsidRDefault="006D5AFA" w:rsidP="006D5AFA">
      <w:pPr>
        <w:pStyle w:val="SingleTxtG"/>
        <w:tabs>
          <w:tab w:val="left" w:pos="4820"/>
        </w:tabs>
        <w:bidi/>
        <w:spacing w:line="380" w:lineRule="exact"/>
        <w:ind w:left="4823" w:hanging="2782"/>
        <w:jc w:val="lowKashida"/>
        <w:rPr>
          <w:rFonts w:cs="Traditional Arabic"/>
          <w:szCs w:val="30"/>
          <w:rtl/>
        </w:rPr>
      </w:pPr>
      <w:r w:rsidRPr="00EA5A80">
        <w:rPr>
          <w:rFonts w:cs="Traditional Arabic" w:hint="cs"/>
          <w:iCs/>
          <w:szCs w:val="30"/>
          <w:rtl/>
        </w:rPr>
        <w:t>الشخص</w:t>
      </w:r>
      <w:r w:rsidR="00EB56B7">
        <w:rPr>
          <w:rFonts w:cs="Traditional Arabic" w:hint="cs"/>
          <w:iCs/>
          <w:szCs w:val="30"/>
          <w:rtl/>
        </w:rPr>
        <w:t xml:space="preserve"> </w:t>
      </w:r>
      <w:r w:rsidRPr="00EA5A80">
        <w:rPr>
          <w:rFonts w:cs="Traditional Arabic" w:hint="cs"/>
          <w:iCs/>
          <w:szCs w:val="30"/>
          <w:rtl/>
        </w:rPr>
        <w:t>المدعى</w:t>
      </w:r>
      <w:r w:rsidR="00EB56B7">
        <w:rPr>
          <w:rFonts w:cs="Traditional Arabic" w:hint="cs"/>
          <w:iCs/>
          <w:szCs w:val="30"/>
          <w:rtl/>
        </w:rPr>
        <w:t xml:space="preserve"> </w:t>
      </w:r>
      <w:r w:rsidRPr="00EA5A80">
        <w:rPr>
          <w:rFonts w:cs="Traditional Arabic" w:hint="cs"/>
          <w:iCs/>
          <w:szCs w:val="30"/>
          <w:rtl/>
        </w:rPr>
        <w:t>أنه</w:t>
      </w:r>
      <w:r w:rsidR="00EB56B7">
        <w:rPr>
          <w:rFonts w:cs="Traditional Arabic" w:hint="cs"/>
          <w:iCs/>
          <w:szCs w:val="30"/>
          <w:rtl/>
        </w:rPr>
        <w:t xml:space="preserve"> </w:t>
      </w:r>
      <w:r w:rsidRPr="00EA5A80">
        <w:rPr>
          <w:rFonts w:cs="Traditional Arabic" w:hint="cs"/>
          <w:iCs/>
          <w:szCs w:val="30"/>
          <w:rtl/>
        </w:rPr>
        <w:t>ضحية:</w:t>
      </w:r>
      <w:r w:rsidRPr="00EA5A80">
        <w:rPr>
          <w:rFonts w:cs="Traditional Arabic"/>
          <w:iCs/>
          <w:szCs w:val="30"/>
        </w:rPr>
        <w:t>‬</w:t>
      </w:r>
      <w:r w:rsidRPr="00C316B7">
        <w:rPr>
          <w:rFonts w:cs="Traditional Arabic" w:hint="cs"/>
          <w:i/>
          <w:szCs w:val="30"/>
          <w:rtl/>
        </w:rPr>
        <w:tab/>
      </w:r>
      <w:r w:rsidRPr="00C316B7">
        <w:rPr>
          <w:rFonts w:cs="Traditional Arabic" w:hint="cs"/>
          <w:szCs w:val="30"/>
          <w:rtl/>
        </w:rPr>
        <w:t>صاحبة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البلاغ</w:t>
      </w:r>
      <w:r>
        <w:t>‬</w:t>
      </w:r>
    </w:p>
    <w:p w:rsidR="006D5AFA" w:rsidRPr="00C316B7" w:rsidRDefault="006D5AFA" w:rsidP="006D5AFA">
      <w:pPr>
        <w:pStyle w:val="SingleTxtG"/>
        <w:tabs>
          <w:tab w:val="left" w:pos="4820"/>
        </w:tabs>
        <w:bidi/>
        <w:spacing w:line="380" w:lineRule="exact"/>
        <w:ind w:left="4823" w:hanging="2782"/>
        <w:jc w:val="lowKashida"/>
        <w:rPr>
          <w:rFonts w:cs="Traditional Arabic"/>
          <w:szCs w:val="30"/>
          <w:rtl/>
        </w:rPr>
      </w:pPr>
      <w:r w:rsidRPr="00714818">
        <w:rPr>
          <w:rFonts w:cs="Traditional Arabic" w:hint="cs"/>
          <w:iCs/>
          <w:szCs w:val="30"/>
          <w:rtl/>
        </w:rPr>
        <w:t>الدولة</w:t>
      </w:r>
      <w:r w:rsidR="00EB56B7">
        <w:rPr>
          <w:rFonts w:cs="Traditional Arabic" w:hint="cs"/>
          <w:iCs/>
          <w:szCs w:val="30"/>
          <w:rtl/>
        </w:rPr>
        <w:t xml:space="preserve"> </w:t>
      </w:r>
      <w:r w:rsidRPr="00714818">
        <w:rPr>
          <w:rFonts w:cs="Traditional Arabic" w:hint="cs"/>
          <w:iCs/>
          <w:szCs w:val="30"/>
          <w:rtl/>
        </w:rPr>
        <w:t>الطرف</w:t>
      </w:r>
      <w:r w:rsidRPr="00EA5A80">
        <w:rPr>
          <w:rFonts w:cs="Traditional Arabic" w:hint="cs"/>
          <w:iCs/>
          <w:szCs w:val="30"/>
          <w:rtl/>
        </w:rPr>
        <w:t>:</w:t>
      </w:r>
      <w:r w:rsidRPr="00EA5A80">
        <w:rPr>
          <w:rFonts w:cs="Traditional Arabic"/>
          <w:iCs/>
          <w:szCs w:val="30"/>
        </w:rPr>
        <w:t>‬</w:t>
      </w:r>
      <w:r w:rsidRPr="00C316B7">
        <w:rPr>
          <w:rFonts w:cs="Traditional Arabic" w:hint="cs"/>
          <w:i/>
          <w:szCs w:val="30"/>
          <w:rtl/>
        </w:rPr>
        <w:tab/>
      </w:r>
      <w:r w:rsidRPr="00C316B7">
        <w:rPr>
          <w:rFonts w:cs="Traditional Arabic" w:hint="cs"/>
          <w:szCs w:val="30"/>
          <w:rtl/>
        </w:rPr>
        <w:t>نيبال</w:t>
      </w:r>
      <w:r>
        <w:t>‬</w:t>
      </w:r>
    </w:p>
    <w:p w:rsidR="006D5AFA" w:rsidRPr="00C316B7" w:rsidRDefault="006D5AFA" w:rsidP="006D5AFA">
      <w:pPr>
        <w:pStyle w:val="SingleTxtG"/>
        <w:tabs>
          <w:tab w:val="left" w:pos="4820"/>
        </w:tabs>
        <w:bidi/>
        <w:spacing w:line="380" w:lineRule="exact"/>
        <w:ind w:left="4823" w:hanging="2782"/>
        <w:jc w:val="lowKashida"/>
        <w:rPr>
          <w:rFonts w:cs="Traditional Arabic"/>
          <w:szCs w:val="30"/>
          <w:rtl/>
        </w:rPr>
      </w:pPr>
      <w:r w:rsidRPr="00714818">
        <w:rPr>
          <w:rFonts w:cs="Traditional Arabic" w:hint="cs"/>
          <w:iCs/>
          <w:szCs w:val="30"/>
          <w:rtl/>
        </w:rPr>
        <w:t>تاريخ</w:t>
      </w:r>
      <w:r w:rsidR="00EB56B7">
        <w:rPr>
          <w:rFonts w:cs="Traditional Arabic" w:hint="cs"/>
          <w:iCs/>
          <w:szCs w:val="30"/>
          <w:rtl/>
        </w:rPr>
        <w:t xml:space="preserve"> </w:t>
      </w:r>
      <w:r w:rsidRPr="00714818">
        <w:rPr>
          <w:rFonts w:cs="Traditional Arabic" w:hint="cs"/>
          <w:iCs/>
          <w:szCs w:val="30"/>
          <w:rtl/>
        </w:rPr>
        <w:t>تقديم</w:t>
      </w:r>
      <w:r w:rsidR="00EB56B7">
        <w:rPr>
          <w:rFonts w:cs="Traditional Arabic" w:hint="cs"/>
          <w:iCs/>
          <w:szCs w:val="30"/>
          <w:rtl/>
        </w:rPr>
        <w:t xml:space="preserve"> </w:t>
      </w:r>
      <w:r w:rsidRPr="00714818">
        <w:rPr>
          <w:rFonts w:cs="Traditional Arabic" w:hint="cs"/>
          <w:iCs/>
          <w:szCs w:val="30"/>
          <w:rtl/>
        </w:rPr>
        <w:t>البلاغ</w:t>
      </w:r>
      <w:r w:rsidRPr="00EA5A80">
        <w:rPr>
          <w:rFonts w:cs="Traditional Arabic" w:hint="cs"/>
          <w:iCs/>
          <w:szCs w:val="30"/>
          <w:rtl/>
        </w:rPr>
        <w:t>:</w:t>
      </w:r>
      <w:r w:rsidRPr="00EA5A80">
        <w:rPr>
          <w:rFonts w:cs="Traditional Arabic"/>
          <w:iCs/>
          <w:szCs w:val="30"/>
        </w:rPr>
        <w:t>‬</w:t>
      </w:r>
      <w:r w:rsidRPr="00C316B7">
        <w:rPr>
          <w:rFonts w:cs="Traditional Arabic" w:hint="cs"/>
          <w:i/>
          <w:szCs w:val="30"/>
          <w:rtl/>
        </w:rPr>
        <w:tab/>
      </w:r>
      <w:r w:rsidRPr="00C316B7">
        <w:rPr>
          <w:rFonts w:cs="Traditional Arabic" w:hint="cs"/>
          <w:szCs w:val="30"/>
          <w:rtl/>
        </w:rPr>
        <w:t>20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حزيران/</w:t>
      </w:r>
      <w:proofErr w:type="gramStart"/>
      <w:r w:rsidRPr="00C316B7">
        <w:rPr>
          <w:rFonts w:cs="Traditional Arabic" w:hint="cs"/>
          <w:szCs w:val="30"/>
          <w:rtl/>
        </w:rPr>
        <w:t>يونيه</w:t>
      </w:r>
      <w:proofErr w:type="gramEnd"/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2014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(تاريخ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الرسالة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الأولى)</w:t>
      </w:r>
      <w:r>
        <w:t>‬</w:t>
      </w:r>
    </w:p>
    <w:p w:rsidR="006D5AFA" w:rsidRPr="006D5AFA" w:rsidRDefault="006D5AFA" w:rsidP="006D5AFA">
      <w:pPr>
        <w:pStyle w:val="SingleTxtG"/>
        <w:tabs>
          <w:tab w:val="left" w:pos="4820"/>
        </w:tabs>
        <w:bidi/>
        <w:spacing w:line="380" w:lineRule="exact"/>
        <w:ind w:left="4823" w:hanging="2782"/>
        <w:jc w:val="lowKashida"/>
        <w:rPr>
          <w:rFonts w:cs="Traditional Arabic"/>
          <w:spacing w:val="-6"/>
          <w:szCs w:val="30"/>
          <w:rtl/>
        </w:rPr>
      </w:pPr>
      <w:r w:rsidRPr="00714818">
        <w:rPr>
          <w:rFonts w:cs="Traditional Arabic" w:hint="cs"/>
          <w:iCs/>
          <w:szCs w:val="30"/>
          <w:rtl/>
        </w:rPr>
        <w:t>الوثائق</w:t>
      </w:r>
      <w:r w:rsidR="00EB56B7">
        <w:rPr>
          <w:rFonts w:cs="Traditional Arabic" w:hint="cs"/>
          <w:iCs/>
          <w:szCs w:val="30"/>
          <w:rtl/>
        </w:rPr>
        <w:t xml:space="preserve"> </w:t>
      </w:r>
      <w:r w:rsidRPr="00714818">
        <w:rPr>
          <w:rFonts w:cs="Traditional Arabic" w:hint="cs"/>
          <w:iCs/>
          <w:szCs w:val="30"/>
          <w:rtl/>
        </w:rPr>
        <w:t>المرجعية</w:t>
      </w:r>
      <w:r w:rsidRPr="00EA5A80">
        <w:rPr>
          <w:rFonts w:cs="Traditional Arabic" w:hint="cs"/>
          <w:iCs/>
          <w:szCs w:val="30"/>
          <w:rtl/>
        </w:rPr>
        <w:t>:</w:t>
      </w:r>
      <w:r w:rsidRPr="00EA5A80">
        <w:rPr>
          <w:rFonts w:cs="Traditional Arabic"/>
          <w:iCs/>
          <w:szCs w:val="30"/>
        </w:rPr>
        <w:t>‬</w:t>
      </w:r>
      <w:r w:rsidRPr="00C316B7">
        <w:rPr>
          <w:rFonts w:cs="Traditional Arabic" w:hint="cs"/>
          <w:i/>
          <w:szCs w:val="30"/>
          <w:rtl/>
        </w:rPr>
        <w:tab/>
      </w:r>
      <w:r w:rsidRPr="006D5AFA">
        <w:rPr>
          <w:rFonts w:cs="Traditional Arabic" w:hint="cs"/>
          <w:spacing w:val="-6"/>
          <w:szCs w:val="30"/>
          <w:rtl/>
        </w:rPr>
        <w:t>القرار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المتخذ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بموجب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المادة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97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من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النظام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الداخلي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للجنة،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المحال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إلى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الدولة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الطرف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في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27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كانون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الثاني/يناير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2015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(لم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يصدر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في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شكل</w:t>
      </w:r>
      <w:r w:rsidR="00EB56B7">
        <w:rPr>
          <w:rFonts w:cs="Traditional Arabic" w:hint="cs"/>
          <w:spacing w:val="-6"/>
          <w:szCs w:val="30"/>
          <w:rtl/>
        </w:rPr>
        <w:t xml:space="preserve"> </w:t>
      </w:r>
      <w:r w:rsidRPr="006D5AFA">
        <w:rPr>
          <w:rFonts w:cs="Traditional Arabic" w:hint="cs"/>
          <w:spacing w:val="-6"/>
          <w:szCs w:val="30"/>
          <w:rtl/>
        </w:rPr>
        <w:t>وثيقة)</w:t>
      </w:r>
      <w:r w:rsidRPr="006D5AFA">
        <w:rPr>
          <w:spacing w:val="-6"/>
        </w:rPr>
        <w:t>‬</w:t>
      </w:r>
    </w:p>
    <w:p w:rsidR="006D5AFA" w:rsidRPr="00C316B7" w:rsidRDefault="006D5AFA" w:rsidP="006D5AFA">
      <w:pPr>
        <w:pStyle w:val="SingleTxtG"/>
        <w:tabs>
          <w:tab w:val="left" w:pos="4820"/>
        </w:tabs>
        <w:bidi/>
        <w:spacing w:line="380" w:lineRule="exact"/>
        <w:ind w:left="4823" w:hanging="2782"/>
        <w:jc w:val="lowKashida"/>
        <w:rPr>
          <w:rFonts w:cs="Traditional Arabic"/>
          <w:szCs w:val="30"/>
          <w:rtl/>
        </w:rPr>
      </w:pPr>
      <w:r w:rsidRPr="00714818">
        <w:rPr>
          <w:rFonts w:cs="Traditional Arabic" w:hint="cs"/>
          <w:iCs/>
          <w:szCs w:val="30"/>
          <w:rtl/>
        </w:rPr>
        <w:t>تاريخ</w:t>
      </w:r>
      <w:r w:rsidR="00EB56B7">
        <w:rPr>
          <w:rFonts w:cs="Traditional Arabic" w:hint="cs"/>
          <w:iCs/>
          <w:szCs w:val="30"/>
          <w:rtl/>
        </w:rPr>
        <w:t xml:space="preserve"> </w:t>
      </w:r>
      <w:r w:rsidRPr="00714818">
        <w:rPr>
          <w:rFonts w:cs="Traditional Arabic" w:hint="cs"/>
          <w:iCs/>
          <w:szCs w:val="30"/>
          <w:rtl/>
        </w:rPr>
        <w:t>اعتماد</w:t>
      </w:r>
      <w:r w:rsidR="00EB56B7">
        <w:rPr>
          <w:rFonts w:cs="Traditional Arabic" w:hint="cs"/>
          <w:iCs/>
          <w:szCs w:val="30"/>
          <w:rtl/>
        </w:rPr>
        <w:t xml:space="preserve"> </w:t>
      </w:r>
      <w:r w:rsidR="00535B25">
        <w:rPr>
          <w:rFonts w:cs="Traditional Arabic" w:hint="cs"/>
          <w:iCs/>
          <w:szCs w:val="30"/>
          <w:rtl/>
        </w:rPr>
        <w:t>الآراء</w:t>
      </w:r>
      <w:r w:rsidRPr="00EA5A80">
        <w:rPr>
          <w:rFonts w:cs="Traditional Arabic" w:hint="cs"/>
          <w:iCs/>
          <w:szCs w:val="30"/>
          <w:rtl/>
        </w:rPr>
        <w:t>:</w:t>
      </w:r>
      <w:r w:rsidRPr="00EA5A80">
        <w:rPr>
          <w:rFonts w:cs="Traditional Arabic"/>
          <w:iCs/>
          <w:szCs w:val="30"/>
        </w:rPr>
        <w:t>‬</w:t>
      </w:r>
      <w:r w:rsidRPr="00C316B7">
        <w:rPr>
          <w:rFonts w:cs="Traditional Arabic" w:hint="cs"/>
          <w:i/>
          <w:szCs w:val="30"/>
          <w:rtl/>
        </w:rPr>
        <w:tab/>
      </w:r>
      <w:r w:rsidRPr="00C316B7">
        <w:rPr>
          <w:rFonts w:cs="Traditional Arabic" w:hint="cs"/>
          <w:szCs w:val="30"/>
          <w:rtl/>
        </w:rPr>
        <w:t>18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آذار/مارس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2019</w:t>
      </w:r>
      <w:r>
        <w:t>‬</w:t>
      </w:r>
    </w:p>
    <w:p w:rsidR="006D5AFA" w:rsidRPr="00EA5A80" w:rsidRDefault="006D5AFA" w:rsidP="006D5AFA">
      <w:pPr>
        <w:pStyle w:val="SingleTxtG"/>
        <w:tabs>
          <w:tab w:val="left" w:pos="4820"/>
        </w:tabs>
        <w:bidi/>
        <w:spacing w:line="380" w:lineRule="exact"/>
        <w:ind w:left="4823" w:hanging="2782"/>
        <w:jc w:val="lowKashida"/>
        <w:rPr>
          <w:rFonts w:cs="Traditional Arabic"/>
          <w:i/>
          <w:szCs w:val="30"/>
          <w:rtl/>
        </w:rPr>
      </w:pPr>
      <w:r w:rsidRPr="00714818">
        <w:rPr>
          <w:rFonts w:cs="Traditional Arabic" w:hint="cs"/>
          <w:iCs/>
          <w:szCs w:val="30"/>
          <w:rtl/>
        </w:rPr>
        <w:t>الموضوع</w:t>
      </w:r>
      <w:r w:rsidRPr="00EA5A80">
        <w:rPr>
          <w:rFonts w:cs="Traditional Arabic" w:hint="cs"/>
          <w:iCs/>
          <w:szCs w:val="30"/>
          <w:rtl/>
        </w:rPr>
        <w:t>:</w:t>
      </w:r>
      <w:r w:rsidRPr="00EA5A80">
        <w:rPr>
          <w:rFonts w:cs="Traditional Arabic"/>
          <w:iCs/>
          <w:szCs w:val="30"/>
        </w:rPr>
        <w:t>‬</w:t>
      </w:r>
      <w:r w:rsidRPr="00C316B7">
        <w:rPr>
          <w:rFonts w:cs="Traditional Arabic" w:hint="cs"/>
          <w:i/>
          <w:szCs w:val="30"/>
          <w:rtl/>
        </w:rPr>
        <w:tab/>
      </w:r>
      <w:r w:rsidRPr="00C316B7">
        <w:rPr>
          <w:rFonts w:cs="Traditional Arabic" w:hint="cs"/>
          <w:szCs w:val="30"/>
          <w:rtl/>
        </w:rPr>
        <w:t>الاعتقال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التعسفي؛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التعذيب؛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إجبار</w:t>
      </w:r>
      <w:r w:rsidR="00EB56B7">
        <w:rPr>
          <w:rFonts w:cs="Traditional Arabic" w:hint="cs"/>
          <w:szCs w:val="30"/>
          <w:rtl/>
        </w:rPr>
        <w:t xml:space="preserve"> </w:t>
      </w:r>
      <w:r>
        <w:rPr>
          <w:rFonts w:cs="Traditional Arabic" w:hint="cs"/>
          <w:szCs w:val="30"/>
          <w:rtl/>
        </w:rPr>
        <w:t>ضباط</w:t>
      </w:r>
      <w:r w:rsidR="00EB56B7">
        <w:rPr>
          <w:rFonts w:cs="Traditional Arabic" w:hint="cs"/>
          <w:szCs w:val="30"/>
          <w:rtl/>
        </w:rPr>
        <w:t xml:space="preserve"> </w:t>
      </w:r>
      <w:r>
        <w:rPr>
          <w:rFonts w:cs="Traditional Arabic" w:hint="cs"/>
          <w:szCs w:val="30"/>
          <w:rtl/>
        </w:rPr>
        <w:t>الجيش</w:t>
      </w:r>
      <w:r w:rsidR="00EB56B7">
        <w:rPr>
          <w:rFonts w:cs="Traditional Arabic" w:hint="cs"/>
          <w:szCs w:val="30"/>
          <w:rtl/>
        </w:rPr>
        <w:t xml:space="preserve"> </w:t>
      </w:r>
      <w:r>
        <w:rPr>
          <w:rFonts w:cs="Traditional Arabic" w:hint="cs"/>
          <w:szCs w:val="30"/>
          <w:rtl/>
        </w:rPr>
        <w:t>والشرطة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طفلة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على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العمل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القسري</w:t>
      </w:r>
      <w:r w:rsidR="00EB56B7">
        <w:rPr>
          <w:rFonts w:cs="Traditional Arabic" w:hint="cs"/>
          <w:szCs w:val="30"/>
          <w:rtl/>
        </w:rPr>
        <w:t xml:space="preserve"> </w:t>
      </w:r>
      <w:r w:rsidRPr="00EA5A80">
        <w:rPr>
          <w:rFonts w:cs="Traditional Arabic" w:hint="cs"/>
          <w:i/>
          <w:szCs w:val="30"/>
          <w:rtl/>
        </w:rPr>
        <w:t>للاشتباه</w:t>
      </w:r>
      <w:r w:rsidR="00EB56B7">
        <w:rPr>
          <w:rFonts w:cs="Traditional Arabic" w:hint="cs"/>
          <w:i/>
          <w:szCs w:val="30"/>
          <w:rtl/>
        </w:rPr>
        <w:t xml:space="preserve"> </w:t>
      </w:r>
      <w:r w:rsidRPr="00EA5A80">
        <w:rPr>
          <w:rFonts w:cs="Traditional Arabic" w:hint="cs"/>
          <w:i/>
          <w:szCs w:val="30"/>
          <w:rtl/>
        </w:rPr>
        <w:t>في</w:t>
      </w:r>
      <w:r w:rsidR="00EB56B7">
        <w:rPr>
          <w:rFonts w:cs="Traditional Arabic" w:hint="cs"/>
          <w:i/>
          <w:szCs w:val="30"/>
          <w:rtl/>
        </w:rPr>
        <w:t xml:space="preserve"> </w:t>
      </w:r>
      <w:r w:rsidRPr="00EA5A80">
        <w:rPr>
          <w:rFonts w:cs="Traditional Arabic" w:hint="cs"/>
          <w:i/>
          <w:szCs w:val="30"/>
          <w:rtl/>
        </w:rPr>
        <w:t>دعمها</w:t>
      </w:r>
      <w:r w:rsidR="00EB56B7">
        <w:rPr>
          <w:rFonts w:cs="Traditional Arabic" w:hint="cs"/>
          <w:i/>
          <w:szCs w:val="30"/>
          <w:rtl/>
        </w:rPr>
        <w:t xml:space="preserve"> </w:t>
      </w:r>
      <w:proofErr w:type="spellStart"/>
      <w:r w:rsidRPr="00EA5A80">
        <w:rPr>
          <w:rFonts w:cs="Traditional Arabic" w:hint="cs"/>
          <w:i/>
          <w:szCs w:val="30"/>
          <w:rtl/>
        </w:rPr>
        <w:t>الماويين</w:t>
      </w:r>
      <w:proofErr w:type="spellEnd"/>
      <w:r w:rsidRPr="00EA5A80">
        <w:rPr>
          <w:rFonts w:cs="Traditional Arabic"/>
          <w:i/>
          <w:szCs w:val="30"/>
        </w:rPr>
        <w:t>‬</w:t>
      </w:r>
    </w:p>
    <w:p w:rsidR="006D5AFA" w:rsidRPr="00C316B7" w:rsidRDefault="006D5AFA" w:rsidP="006D5AFA">
      <w:pPr>
        <w:pStyle w:val="SingleTxtG"/>
        <w:tabs>
          <w:tab w:val="left" w:pos="4820"/>
        </w:tabs>
        <w:bidi/>
        <w:spacing w:line="380" w:lineRule="exact"/>
        <w:ind w:left="4823" w:hanging="2782"/>
        <w:jc w:val="lowKashida"/>
        <w:rPr>
          <w:rFonts w:cs="Traditional Arabic"/>
          <w:szCs w:val="30"/>
          <w:rtl/>
        </w:rPr>
      </w:pPr>
      <w:r w:rsidRPr="00EA5A80">
        <w:rPr>
          <w:rFonts w:cs="Traditional Arabic" w:hint="cs"/>
          <w:iCs/>
          <w:szCs w:val="30"/>
          <w:rtl/>
        </w:rPr>
        <w:t>المسائل</w:t>
      </w:r>
      <w:r w:rsidR="00EB56B7">
        <w:rPr>
          <w:rFonts w:cs="Traditional Arabic" w:hint="cs"/>
          <w:iCs/>
          <w:szCs w:val="30"/>
          <w:rtl/>
        </w:rPr>
        <w:t xml:space="preserve"> </w:t>
      </w:r>
      <w:r w:rsidRPr="00EA5A80">
        <w:rPr>
          <w:rFonts w:cs="Traditional Arabic" w:hint="cs"/>
          <w:iCs/>
          <w:szCs w:val="30"/>
          <w:rtl/>
        </w:rPr>
        <w:t>الإجرائية:</w:t>
      </w:r>
      <w:r w:rsidRPr="00EA5A80">
        <w:rPr>
          <w:rFonts w:cs="Traditional Arabic"/>
          <w:iCs/>
          <w:szCs w:val="30"/>
        </w:rPr>
        <w:t>‬</w:t>
      </w:r>
      <w:r w:rsidRPr="00C316B7">
        <w:rPr>
          <w:rFonts w:cs="Traditional Arabic" w:hint="cs"/>
          <w:i/>
          <w:iCs/>
          <w:szCs w:val="30"/>
          <w:rtl/>
        </w:rPr>
        <w:tab/>
      </w:r>
      <w:r w:rsidRPr="00C316B7">
        <w:rPr>
          <w:rFonts w:cs="Traditional Arabic" w:hint="cs"/>
          <w:szCs w:val="30"/>
          <w:rtl/>
        </w:rPr>
        <w:t>استنفاد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سبل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الانتصاف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المحلية</w:t>
      </w:r>
      <w:r>
        <w:t>‬</w:t>
      </w:r>
    </w:p>
    <w:p w:rsidR="006D5AFA" w:rsidRPr="00C316B7" w:rsidRDefault="006D5AFA" w:rsidP="006D5AFA">
      <w:pPr>
        <w:pStyle w:val="SingleTxtG"/>
        <w:tabs>
          <w:tab w:val="left" w:pos="4820"/>
        </w:tabs>
        <w:bidi/>
        <w:spacing w:line="380" w:lineRule="exact"/>
        <w:ind w:left="4823" w:hanging="2782"/>
        <w:jc w:val="lowKashida"/>
        <w:rPr>
          <w:rFonts w:cs="Traditional Arabic"/>
          <w:szCs w:val="30"/>
          <w:rtl/>
        </w:rPr>
      </w:pPr>
      <w:r w:rsidRPr="00C316B7">
        <w:rPr>
          <w:rFonts w:cs="Traditional Arabic" w:hint="cs"/>
          <w:i/>
          <w:iCs/>
          <w:szCs w:val="30"/>
          <w:rtl/>
        </w:rPr>
        <w:lastRenderedPageBreak/>
        <w:t>المسائل</w:t>
      </w:r>
      <w:r w:rsidR="00EB56B7">
        <w:rPr>
          <w:rFonts w:cs="Traditional Arabic" w:hint="cs"/>
          <w:i/>
          <w:iCs/>
          <w:szCs w:val="30"/>
          <w:rtl/>
        </w:rPr>
        <w:t xml:space="preserve"> </w:t>
      </w:r>
      <w:r w:rsidRPr="00C316B7">
        <w:rPr>
          <w:rFonts w:cs="Traditional Arabic" w:hint="cs"/>
          <w:i/>
          <w:iCs/>
          <w:szCs w:val="30"/>
          <w:rtl/>
        </w:rPr>
        <w:t>الموضوعية:</w:t>
      </w:r>
      <w:r w:rsidRPr="00C316B7">
        <w:rPr>
          <w:rFonts w:cs="Traditional Arabic"/>
          <w:szCs w:val="30"/>
        </w:rPr>
        <w:t>‬</w:t>
      </w:r>
      <w:r w:rsidRPr="00C316B7">
        <w:rPr>
          <w:rFonts w:cs="Traditional Arabic" w:hint="cs"/>
          <w:i/>
          <w:iCs/>
          <w:szCs w:val="30"/>
          <w:rtl/>
        </w:rPr>
        <w:tab/>
      </w:r>
      <w:r w:rsidRPr="00C316B7">
        <w:rPr>
          <w:rFonts w:cs="Traditional Arabic" w:hint="cs"/>
          <w:szCs w:val="30"/>
          <w:rtl/>
        </w:rPr>
        <w:t>حظر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التعذيب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والمعاملة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القاسية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أو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اللاإنسانية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أو</w:t>
      </w:r>
      <w:r w:rsidR="0095367D">
        <w:rPr>
          <w:rFonts w:cs="Traditional Arabic" w:hint="cs"/>
          <w:szCs w:val="30"/>
          <w:rtl/>
        </w:rPr>
        <w:t> </w:t>
      </w:r>
      <w:r w:rsidRPr="00C316B7">
        <w:rPr>
          <w:rFonts w:cs="Traditional Arabic" w:hint="cs"/>
          <w:szCs w:val="30"/>
          <w:rtl/>
        </w:rPr>
        <w:t>المهينة؛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حظر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العمل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القسري؛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حق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الفرد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في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الحرية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وفى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الأمان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على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شخصه؛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احترام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الكرامة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المتأصلة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في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الإنسان؛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عدم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التمييز؛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الاعتراف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بالشخصية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القانونية؛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الحق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في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عدم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التعرض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للتدخل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التعسفي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أو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غير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القانوني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في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خصوصية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الفرد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والحياة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الأسرية؛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الحق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في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الحماية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الخاصة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بالطفل؛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الحق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في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الانتصاف</w:t>
      </w:r>
      <w:r w:rsidR="00EB56B7">
        <w:rPr>
          <w:rFonts w:cs="Traditional Arabic" w:hint="cs"/>
          <w:szCs w:val="30"/>
          <w:rtl/>
        </w:rPr>
        <w:t xml:space="preserve"> </w:t>
      </w:r>
      <w:r w:rsidRPr="00C316B7">
        <w:rPr>
          <w:rFonts w:cs="Traditional Arabic" w:hint="cs"/>
          <w:szCs w:val="30"/>
          <w:rtl/>
        </w:rPr>
        <w:t>الفعال</w:t>
      </w:r>
      <w:r>
        <w:t>‬</w:t>
      </w:r>
    </w:p>
    <w:p w:rsidR="006D5AFA" w:rsidRPr="00F43C7D" w:rsidRDefault="006D5AFA" w:rsidP="006D5AFA">
      <w:pPr>
        <w:pStyle w:val="SingleTxtG"/>
        <w:tabs>
          <w:tab w:val="left" w:pos="4820"/>
        </w:tabs>
        <w:bidi/>
        <w:spacing w:line="380" w:lineRule="exact"/>
        <w:ind w:left="4823" w:hanging="2782"/>
        <w:jc w:val="lowKashida"/>
        <w:rPr>
          <w:rFonts w:cs="Traditional Arabic"/>
          <w:spacing w:val="-8"/>
          <w:szCs w:val="30"/>
          <w:rtl/>
        </w:rPr>
      </w:pPr>
      <w:r w:rsidRPr="00EA5A80">
        <w:rPr>
          <w:rFonts w:cs="Traditional Arabic" w:hint="cs"/>
          <w:iCs/>
          <w:szCs w:val="30"/>
          <w:rtl/>
        </w:rPr>
        <w:t>مواد</w:t>
      </w:r>
      <w:r w:rsidR="00EB56B7">
        <w:rPr>
          <w:rFonts w:cs="Traditional Arabic" w:hint="cs"/>
          <w:iCs/>
          <w:szCs w:val="30"/>
          <w:rtl/>
        </w:rPr>
        <w:t xml:space="preserve"> </w:t>
      </w:r>
      <w:r w:rsidRPr="00EA5A80">
        <w:rPr>
          <w:rFonts w:cs="Traditional Arabic" w:hint="cs"/>
          <w:iCs/>
          <w:szCs w:val="30"/>
          <w:rtl/>
        </w:rPr>
        <w:t>العهد:</w:t>
      </w:r>
      <w:r w:rsidRPr="00EA5A80">
        <w:rPr>
          <w:rFonts w:cs="Traditional Arabic"/>
          <w:iCs/>
          <w:szCs w:val="30"/>
        </w:rPr>
        <w:t>‬</w:t>
      </w:r>
      <w:r w:rsidRPr="00C316B7">
        <w:rPr>
          <w:rFonts w:cs="Traditional Arabic" w:hint="cs"/>
          <w:i/>
          <w:iCs/>
          <w:szCs w:val="30"/>
          <w:rtl/>
        </w:rPr>
        <w:tab/>
      </w:r>
      <w:r w:rsidRPr="00F43C7D">
        <w:rPr>
          <w:rFonts w:cs="Traditional Arabic" w:hint="cs"/>
          <w:spacing w:val="-8"/>
          <w:szCs w:val="30"/>
          <w:rtl/>
        </w:rPr>
        <w:t>2</w:t>
      </w:r>
      <w:r w:rsidR="00EB56B7">
        <w:rPr>
          <w:rFonts w:cs="Traditional Arabic" w:hint="cs"/>
          <w:spacing w:val="-8"/>
          <w:szCs w:val="30"/>
          <w:rtl/>
        </w:rPr>
        <w:t xml:space="preserve"> </w:t>
      </w:r>
      <w:r w:rsidR="00D10415" w:rsidRPr="00F43C7D">
        <w:rPr>
          <w:rFonts w:cs="Traditional Arabic" w:hint="cs"/>
          <w:spacing w:val="-8"/>
          <w:szCs w:val="30"/>
          <w:rtl/>
        </w:rPr>
        <w:t>و</w:t>
      </w:r>
      <w:r w:rsidRPr="00F43C7D">
        <w:rPr>
          <w:rFonts w:cs="Traditional Arabic" w:hint="cs"/>
          <w:spacing w:val="-8"/>
          <w:szCs w:val="30"/>
          <w:rtl/>
        </w:rPr>
        <w:t>3</w:t>
      </w:r>
      <w:r w:rsidR="00EB56B7">
        <w:rPr>
          <w:rFonts w:cs="Traditional Arabic" w:hint="cs"/>
          <w:spacing w:val="-8"/>
          <w:szCs w:val="30"/>
          <w:rtl/>
        </w:rPr>
        <w:t xml:space="preserve"> </w:t>
      </w:r>
      <w:r w:rsidR="00D10415" w:rsidRPr="00F43C7D">
        <w:rPr>
          <w:rFonts w:cs="Traditional Arabic" w:hint="cs"/>
          <w:spacing w:val="-8"/>
          <w:szCs w:val="30"/>
          <w:rtl/>
        </w:rPr>
        <w:t>و</w:t>
      </w:r>
      <w:r w:rsidRPr="00F43C7D">
        <w:rPr>
          <w:rFonts w:cs="Traditional Arabic" w:hint="cs"/>
          <w:spacing w:val="-8"/>
          <w:szCs w:val="30"/>
          <w:rtl/>
        </w:rPr>
        <w:t>7</w:t>
      </w:r>
      <w:r w:rsidR="00EB56B7">
        <w:rPr>
          <w:rFonts w:cs="Traditional Arabic" w:hint="cs"/>
          <w:spacing w:val="-8"/>
          <w:szCs w:val="30"/>
          <w:rtl/>
        </w:rPr>
        <w:t xml:space="preserve"> </w:t>
      </w:r>
      <w:r w:rsidR="00D10415" w:rsidRPr="00F43C7D">
        <w:rPr>
          <w:rFonts w:cs="Traditional Arabic" w:hint="cs"/>
          <w:spacing w:val="-8"/>
          <w:szCs w:val="30"/>
          <w:rtl/>
        </w:rPr>
        <w:t>و</w:t>
      </w:r>
      <w:r w:rsidRPr="00F43C7D">
        <w:rPr>
          <w:rFonts w:cs="Traditional Arabic" w:hint="cs"/>
          <w:spacing w:val="-8"/>
          <w:szCs w:val="30"/>
          <w:rtl/>
        </w:rPr>
        <w:t>8(3)(أ)</w:t>
      </w:r>
      <w:r w:rsidR="00EB56B7">
        <w:rPr>
          <w:rFonts w:cs="Traditional Arabic" w:hint="cs"/>
          <w:spacing w:val="-8"/>
          <w:szCs w:val="30"/>
          <w:rtl/>
        </w:rPr>
        <w:t xml:space="preserve"> </w:t>
      </w:r>
      <w:r w:rsidR="00D10415" w:rsidRPr="00F43C7D">
        <w:rPr>
          <w:rFonts w:cs="Traditional Arabic" w:hint="cs"/>
          <w:spacing w:val="-8"/>
          <w:szCs w:val="30"/>
          <w:rtl/>
        </w:rPr>
        <w:t>و</w:t>
      </w:r>
      <w:r w:rsidRPr="00F43C7D">
        <w:rPr>
          <w:rFonts w:cs="Traditional Arabic" w:hint="cs"/>
          <w:spacing w:val="-8"/>
          <w:szCs w:val="30"/>
          <w:rtl/>
        </w:rPr>
        <w:t>9</w:t>
      </w:r>
      <w:r w:rsidR="00EB56B7">
        <w:rPr>
          <w:rFonts w:cs="Traditional Arabic" w:hint="cs"/>
          <w:spacing w:val="-8"/>
          <w:szCs w:val="30"/>
          <w:rtl/>
        </w:rPr>
        <w:t xml:space="preserve"> </w:t>
      </w:r>
      <w:r w:rsidR="00D10415" w:rsidRPr="00F43C7D">
        <w:rPr>
          <w:rFonts w:cs="Traditional Arabic" w:hint="cs"/>
          <w:spacing w:val="-8"/>
          <w:szCs w:val="30"/>
          <w:rtl/>
        </w:rPr>
        <w:t>و</w:t>
      </w:r>
      <w:r w:rsidRPr="00F43C7D">
        <w:rPr>
          <w:rFonts w:cs="Traditional Arabic" w:hint="cs"/>
          <w:spacing w:val="-8"/>
          <w:szCs w:val="30"/>
          <w:rtl/>
        </w:rPr>
        <w:t>10(1)</w:t>
      </w:r>
      <w:r w:rsidR="00EB56B7">
        <w:rPr>
          <w:rFonts w:cs="Traditional Arabic" w:hint="cs"/>
          <w:spacing w:val="-8"/>
          <w:szCs w:val="30"/>
          <w:rtl/>
        </w:rPr>
        <w:t xml:space="preserve"> </w:t>
      </w:r>
      <w:r w:rsidR="00D10415" w:rsidRPr="00F43C7D">
        <w:rPr>
          <w:rFonts w:cs="Traditional Arabic" w:hint="cs"/>
          <w:spacing w:val="-8"/>
          <w:szCs w:val="30"/>
          <w:rtl/>
        </w:rPr>
        <w:t>و</w:t>
      </w:r>
      <w:r w:rsidRPr="00F43C7D">
        <w:rPr>
          <w:rFonts w:cs="Traditional Arabic" w:hint="cs"/>
          <w:spacing w:val="-8"/>
          <w:szCs w:val="30"/>
          <w:rtl/>
        </w:rPr>
        <w:t>17</w:t>
      </w:r>
      <w:r w:rsidR="00EB56B7">
        <w:rPr>
          <w:rFonts w:cs="Traditional Arabic" w:hint="cs"/>
          <w:spacing w:val="-8"/>
          <w:szCs w:val="30"/>
          <w:rtl/>
        </w:rPr>
        <w:t xml:space="preserve"> </w:t>
      </w:r>
      <w:r w:rsidRPr="00F43C7D">
        <w:rPr>
          <w:rFonts w:cs="Traditional Arabic" w:hint="cs"/>
          <w:spacing w:val="-8"/>
          <w:szCs w:val="30"/>
          <w:rtl/>
        </w:rPr>
        <w:t>و23(1)</w:t>
      </w:r>
      <w:r w:rsidR="00EB56B7">
        <w:rPr>
          <w:rFonts w:cs="Traditional Arabic" w:hint="cs"/>
          <w:spacing w:val="-8"/>
          <w:szCs w:val="30"/>
          <w:rtl/>
        </w:rPr>
        <w:t xml:space="preserve"> </w:t>
      </w:r>
      <w:r w:rsidR="00D10415" w:rsidRPr="00F43C7D">
        <w:rPr>
          <w:rFonts w:cs="Traditional Arabic" w:hint="cs"/>
          <w:spacing w:val="-8"/>
          <w:szCs w:val="30"/>
          <w:rtl/>
        </w:rPr>
        <w:t>و</w:t>
      </w:r>
      <w:r w:rsidRPr="00F43C7D">
        <w:rPr>
          <w:rFonts w:cs="Traditional Arabic" w:hint="cs"/>
          <w:spacing w:val="-8"/>
          <w:szCs w:val="30"/>
          <w:rtl/>
        </w:rPr>
        <w:t>24(1)</w:t>
      </w:r>
      <w:r w:rsidR="00EB56B7">
        <w:rPr>
          <w:rFonts w:cs="Traditional Arabic" w:hint="cs"/>
          <w:spacing w:val="-8"/>
          <w:szCs w:val="30"/>
          <w:rtl/>
        </w:rPr>
        <w:t xml:space="preserve"> </w:t>
      </w:r>
      <w:r w:rsidR="00D10415" w:rsidRPr="00F43C7D">
        <w:rPr>
          <w:rFonts w:cs="Traditional Arabic" w:hint="cs"/>
          <w:spacing w:val="-8"/>
          <w:szCs w:val="30"/>
          <w:rtl/>
        </w:rPr>
        <w:t>و</w:t>
      </w:r>
      <w:r w:rsidRPr="00F43C7D">
        <w:rPr>
          <w:rFonts w:cs="Traditional Arabic" w:hint="cs"/>
          <w:spacing w:val="-8"/>
          <w:szCs w:val="30"/>
          <w:rtl/>
        </w:rPr>
        <w:t>26</w:t>
      </w:r>
      <w:r w:rsidRPr="00F43C7D">
        <w:rPr>
          <w:spacing w:val="-8"/>
        </w:rPr>
        <w:t>‬</w:t>
      </w:r>
    </w:p>
    <w:p w:rsidR="006D5AFA" w:rsidRPr="00C316B7" w:rsidRDefault="006D5AFA" w:rsidP="006D5AFA">
      <w:pPr>
        <w:pStyle w:val="SingleTxtG"/>
        <w:tabs>
          <w:tab w:val="left" w:pos="4820"/>
        </w:tabs>
        <w:bidi/>
        <w:spacing w:line="380" w:lineRule="exact"/>
        <w:ind w:left="5443" w:hanging="3402"/>
        <w:jc w:val="lowKashida"/>
        <w:rPr>
          <w:rFonts w:cs="Traditional Arabic"/>
          <w:szCs w:val="30"/>
          <w:rtl/>
        </w:rPr>
      </w:pPr>
      <w:r w:rsidRPr="00C316B7">
        <w:rPr>
          <w:rFonts w:cs="Traditional Arabic" w:hint="cs"/>
          <w:i/>
          <w:iCs/>
          <w:szCs w:val="30"/>
          <w:rtl/>
        </w:rPr>
        <w:t>مواد</w:t>
      </w:r>
      <w:r w:rsidR="00EB56B7">
        <w:rPr>
          <w:rFonts w:cs="Traditional Arabic" w:hint="cs"/>
          <w:i/>
          <w:iCs/>
          <w:szCs w:val="30"/>
          <w:rtl/>
        </w:rPr>
        <w:t xml:space="preserve"> </w:t>
      </w:r>
      <w:r w:rsidRPr="00C316B7">
        <w:rPr>
          <w:rFonts w:cs="Traditional Arabic" w:hint="cs"/>
          <w:i/>
          <w:iCs/>
          <w:szCs w:val="30"/>
          <w:rtl/>
        </w:rPr>
        <w:t>البروتوكول</w:t>
      </w:r>
      <w:r w:rsidR="00EB56B7">
        <w:rPr>
          <w:rFonts w:cs="Traditional Arabic" w:hint="cs"/>
          <w:i/>
          <w:iCs/>
          <w:szCs w:val="30"/>
          <w:rtl/>
        </w:rPr>
        <w:t xml:space="preserve"> </w:t>
      </w:r>
      <w:r w:rsidRPr="00C316B7">
        <w:rPr>
          <w:rFonts w:cs="Traditional Arabic" w:hint="cs"/>
          <w:i/>
          <w:iCs/>
          <w:szCs w:val="30"/>
          <w:rtl/>
        </w:rPr>
        <w:t>الاختياري:</w:t>
      </w:r>
      <w:r w:rsidRPr="00C316B7">
        <w:rPr>
          <w:rFonts w:cs="Traditional Arabic"/>
          <w:szCs w:val="30"/>
        </w:rPr>
        <w:t>‬</w:t>
      </w:r>
      <w:r w:rsidRPr="00C316B7">
        <w:rPr>
          <w:rFonts w:cs="Traditional Arabic" w:hint="cs"/>
          <w:i/>
          <w:iCs/>
          <w:szCs w:val="30"/>
          <w:rtl/>
        </w:rPr>
        <w:tab/>
      </w:r>
      <w:r w:rsidRPr="00C316B7">
        <w:rPr>
          <w:rFonts w:cs="Traditional Arabic" w:hint="cs"/>
          <w:szCs w:val="30"/>
          <w:rtl/>
        </w:rPr>
        <w:t>5(2)(ب)</w:t>
      </w:r>
      <w:r>
        <w:t>‬</w:t>
      </w:r>
    </w:p>
    <w:p w:rsidR="006D5AFA" w:rsidRPr="009435F0" w:rsidRDefault="006D5AFA" w:rsidP="006D5AFA">
      <w:pPr>
        <w:pStyle w:val="SingleTxtGA"/>
        <w:spacing w:before="240"/>
        <w:rPr>
          <w:spacing w:val="-4"/>
          <w:rtl/>
        </w:rPr>
      </w:pPr>
      <w:r w:rsidRPr="00C316B7">
        <w:rPr>
          <w:rFonts w:hint="cs"/>
          <w:rtl/>
        </w:rPr>
        <w:t>1-1</w:t>
      </w:r>
      <w:r>
        <w:rPr>
          <w:rtl/>
        </w:rPr>
        <w:tab/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هي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فولماتي</w:t>
      </w:r>
      <w:proofErr w:type="spellEnd"/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نيايا</w:t>
      </w:r>
      <w:proofErr w:type="spellEnd"/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4"/>
      </w:r>
      <w:r w:rsidR="00D10415">
        <w:rPr>
          <w:rStyle w:val="FootnoteReference"/>
          <w:rtl/>
        </w:rPr>
        <w:t>)</w:t>
      </w:r>
      <w:r w:rsidR="00D10415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وهي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مواطنة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نيبال،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مولودة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1987،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وتنتمي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مجتمع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ثارو</w:t>
      </w:r>
      <w:proofErr w:type="spell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للسكان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الأصليين.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وهي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تدعي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انتهكت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حقوقها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المنصوص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عليها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المواد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3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7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8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3)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أ)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9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10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17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23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24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26</w:t>
      </w:r>
      <w:r w:rsidR="00EB56B7">
        <w:rPr>
          <w:rFonts w:hint="cs"/>
          <w:rtl/>
        </w:rPr>
        <w:t xml:space="preserve"> </w:t>
      </w:r>
      <w:r w:rsidRPr="009435F0">
        <w:rPr>
          <w:rFonts w:hint="cs"/>
          <w:spacing w:val="-4"/>
          <w:rtl/>
        </w:rPr>
        <w:t>من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العهد.</w:t>
      </w:r>
      <w:r w:rsidRPr="009435F0">
        <w:rPr>
          <w:spacing w:val="-4"/>
          <w:rtl/>
        </w:rPr>
        <w:t>‬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ودخل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البروتوكول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الاختياري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حيز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التنفيذ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بالنسبة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للدولة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في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14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آب/أغسطس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1991.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1-2</w:t>
      </w:r>
      <w:r w:rsidR="009435F0">
        <w:rPr>
          <w:rtl/>
        </w:rPr>
        <w:tab/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27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الثاني/يناير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2015،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قررت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عملاً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97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نظامها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الداخلي،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خلال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مقررها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الخاص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المعني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بالبلاغات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الجديدة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والتدابير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المؤقتة،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مقبولية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أسسه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الموضوعية.</w:t>
      </w:r>
    </w:p>
    <w:p w:rsidR="006D5AFA" w:rsidRPr="001739D3" w:rsidRDefault="006D5AFA" w:rsidP="006D5AFA">
      <w:pPr>
        <w:pStyle w:val="H23GA"/>
        <w:rPr>
          <w:rtl/>
        </w:rPr>
      </w:pPr>
      <w:r w:rsidRPr="00C316B7">
        <w:rPr>
          <w:rFonts w:hint="cs"/>
          <w:rtl/>
        </w:rPr>
        <w:tab/>
      </w:r>
      <w:r w:rsidRPr="00C316B7">
        <w:rPr>
          <w:rFonts w:hint="cs"/>
          <w:rtl/>
        </w:rPr>
        <w:tab/>
      </w:r>
      <w:r w:rsidRPr="001739D3">
        <w:rPr>
          <w:rFonts w:hint="cs"/>
          <w:rtl/>
        </w:rPr>
        <w:t>الوقائع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كما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قدمتها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1739D3">
        <w:rPr>
          <w:rFonts w:hint="cs"/>
          <w:rtl/>
        </w:rPr>
        <w:t>البلاغ</w:t>
      </w:r>
      <w:r w:rsidRPr="001739D3">
        <w:t>‬</w:t>
      </w:r>
      <w:r w:rsidR="00EB56B7">
        <w:rPr>
          <w:rFonts w:hint="cs"/>
        </w:rPr>
        <w:t xml:space="preserve"> </w:t>
      </w:r>
      <w:r>
        <w:t>‬</w:t>
      </w:r>
    </w:p>
    <w:p w:rsidR="006D5AFA" w:rsidRPr="00C316B7" w:rsidRDefault="006D5AFA" w:rsidP="006D5AFA">
      <w:pPr>
        <w:pStyle w:val="SingleTxtGA"/>
        <w:rPr>
          <w:rtl/>
        </w:rPr>
      </w:pPr>
      <w:r>
        <w:rPr>
          <w:rFonts w:hint="cs"/>
          <w:rtl/>
        </w:rPr>
        <w:t>2-1</w:t>
      </w:r>
      <w:r>
        <w:rPr>
          <w:rtl/>
        </w:rPr>
        <w:tab/>
      </w:r>
      <w:r w:rsidRPr="00C316B7">
        <w:rPr>
          <w:rFonts w:hint="cs"/>
          <w:rtl/>
        </w:rPr>
        <w:t>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قراءة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وقائع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سياق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النزاع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المسلح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الذي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عقد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الزمن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نيبال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1996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2006).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2-2</w:t>
      </w:r>
      <w:r>
        <w:rPr>
          <w:rtl/>
        </w:rPr>
        <w:tab/>
      </w:r>
      <w:r w:rsidRPr="00C316B7">
        <w:rPr>
          <w:rFonts w:hint="cs"/>
          <w:rtl/>
        </w:rPr>
        <w:t>وُلدت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مقاطعة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كايلالي</w:t>
      </w:r>
      <w:proofErr w:type="spell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أقصى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غرب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نيبال.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نيسان/</w:t>
      </w:r>
      <w:r w:rsidR="00EB56B7">
        <w:rPr>
          <w:rFonts w:hint="cs"/>
          <w:rtl/>
        </w:rPr>
        <w:t xml:space="preserve">      </w:t>
      </w:r>
      <w:r w:rsidRPr="00C316B7">
        <w:rPr>
          <w:rFonts w:hint="cs"/>
          <w:rtl/>
        </w:rPr>
        <w:t>أبريل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2002،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عندما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عمر</w:t>
      </w:r>
      <w:r>
        <w:rPr>
          <w:rFonts w:hint="cs"/>
          <w:rtl/>
        </w:rPr>
        <w:t>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14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عاما</w:t>
      </w:r>
      <w:r w:rsidR="00D10415">
        <w:rPr>
          <w:rFonts w:hint="cs"/>
          <w:rtl/>
        </w:rPr>
        <w:t>ً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5"/>
      </w:r>
      <w:r w:rsidR="00D10415">
        <w:rPr>
          <w:rStyle w:val="FootnoteReference"/>
          <w:rtl/>
        </w:rPr>
        <w:t>)</w:t>
      </w:r>
      <w:r w:rsidR="00D10415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دخل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300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أفراد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الجيش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الملكي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وقوات</w:t>
      </w:r>
      <w:r w:rsidR="00EB56B7">
        <w:rPr>
          <w:rFonts w:hint="cs"/>
          <w:rtl/>
        </w:rPr>
        <w:t xml:space="preserve"> </w:t>
      </w:r>
      <w:r w:rsidRPr="00D10415">
        <w:rPr>
          <w:rFonts w:ascii="Traditional Arabic" w:hAnsi="Traditional Arabic"/>
          <w:sz w:val="30"/>
          <w:rtl/>
        </w:rPr>
        <w:t>الشرطة</w:t>
      </w:r>
      <w:r w:rsidR="00EB56B7">
        <w:rPr>
          <w:rFonts w:ascii="Traditional Arabic" w:hAnsi="Traditional Arabic"/>
          <w:sz w:val="30"/>
          <w:rtl/>
        </w:rPr>
        <w:t xml:space="preserve"> </w:t>
      </w:r>
      <w:r w:rsidRPr="00D10415">
        <w:rPr>
          <w:rFonts w:ascii="Traditional Arabic" w:hAnsi="Traditional Arabic"/>
          <w:sz w:val="30"/>
          <w:rtl/>
        </w:rPr>
        <w:t>المسلحة</w:t>
      </w:r>
      <w:r w:rsidR="00D10415" w:rsidRPr="00D10415">
        <w:rPr>
          <w:rStyle w:val="FootnoteReference"/>
          <w:rFonts w:ascii="Traditional Arabic" w:hAnsi="Traditional Arabic"/>
          <w:sz w:val="30"/>
          <w:szCs w:val="30"/>
          <w:rtl/>
        </w:rPr>
        <w:t>(</w:t>
      </w:r>
      <w:r w:rsidR="00D10415" w:rsidRPr="00D10415">
        <w:rPr>
          <w:rStyle w:val="FootnoteReference"/>
          <w:rFonts w:ascii="Traditional Arabic" w:hAnsi="Traditional Arabic"/>
          <w:sz w:val="30"/>
          <w:szCs w:val="30"/>
          <w:rtl/>
        </w:rPr>
        <w:footnoteReference w:id="6"/>
      </w:r>
      <w:r w:rsidR="00D10415" w:rsidRPr="00D10415">
        <w:rPr>
          <w:rStyle w:val="FootnoteReference"/>
          <w:rFonts w:ascii="Traditional Arabic" w:hAnsi="Traditional Arabic"/>
          <w:sz w:val="30"/>
          <w:szCs w:val="30"/>
          <w:rtl/>
        </w:rPr>
        <w:t>)</w:t>
      </w:r>
      <w:r w:rsidR="00EB56B7">
        <w:rPr>
          <w:rFonts w:ascii="Traditional Arabic" w:hAnsi="Traditional Arabic"/>
          <w:sz w:val="30"/>
          <w:rtl/>
        </w:rPr>
        <w:t xml:space="preserve"> </w:t>
      </w:r>
      <w:r w:rsidRPr="00D10415">
        <w:rPr>
          <w:rFonts w:ascii="Traditional Arabic" w:hAnsi="Traditional Arabic"/>
          <w:sz w:val="30"/>
          <w:rtl/>
        </w:rPr>
        <w:t>قر</w:t>
      </w:r>
      <w:r w:rsidRPr="00C316B7">
        <w:rPr>
          <w:rFonts w:hint="cs"/>
          <w:rtl/>
        </w:rPr>
        <w:t>يتها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بذريعة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C316B7">
        <w:rPr>
          <w:rFonts w:hint="cs"/>
          <w:rtl/>
        </w:rPr>
        <w:t>لبحث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الماويين</w:t>
      </w:r>
      <w:proofErr w:type="spellEnd"/>
      <w:r w:rsidRPr="00C316B7">
        <w:rPr>
          <w:rFonts w:hint="cs"/>
          <w:rtl/>
        </w:rPr>
        <w:t>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اعتقد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الجنود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خطأ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شقيقتها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الأكبر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سنا</w:t>
      </w:r>
      <w:r>
        <w:rPr>
          <w:rFonts w:hint="cs"/>
          <w:rtl/>
        </w:rPr>
        <w:t>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-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السيدة</w:t>
      </w:r>
      <w:r w:rsidR="00EB56B7">
        <w:rPr>
          <w:rFonts w:hint="cs"/>
          <w:rtl/>
        </w:rPr>
        <w:t xml:space="preserve"> </w:t>
      </w:r>
      <w:proofErr w:type="spellStart"/>
      <w:proofErr w:type="gramStart"/>
      <w:r w:rsidRPr="00C316B7">
        <w:rPr>
          <w:rFonts w:hint="cs"/>
          <w:rtl/>
        </w:rPr>
        <w:t>كانتيماتي</w:t>
      </w:r>
      <w:proofErr w:type="spellEnd"/>
      <w:r w:rsidRPr="006D5AFA">
        <w:rPr>
          <w:rFonts w:hint="cs"/>
          <w:vertAlign w:val="superscript"/>
          <w:rtl/>
        </w:rPr>
        <w:t>(</w:t>
      </w:r>
      <w:proofErr w:type="gramEnd"/>
      <w:r w:rsidR="00D10415" w:rsidRPr="006D5AFA">
        <w:rPr>
          <w:rStyle w:val="FootnoteReference"/>
          <w:rtl/>
        </w:rPr>
        <w:footnoteReference w:id="7"/>
      </w:r>
      <w:r w:rsidRPr="006D5AFA">
        <w:rPr>
          <w:rFonts w:hint="cs"/>
          <w:vertAlign w:val="superscript"/>
          <w:rtl/>
        </w:rPr>
        <w:t>)</w:t>
      </w:r>
      <w:r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انضمت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الحزب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الماوي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عام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قبل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فاعتقلوها،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ثم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سح</w:t>
      </w:r>
      <w:r>
        <w:rPr>
          <w:rFonts w:hint="cs"/>
          <w:rtl/>
        </w:rPr>
        <w:t>ب</w:t>
      </w:r>
      <w:r w:rsidRPr="00C316B7">
        <w:rPr>
          <w:rFonts w:hint="cs"/>
          <w:rtl/>
        </w:rPr>
        <w:t>وها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إحدى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الشاحنات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معصوبة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العينين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ومقيدة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اليدين،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واقتيدت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كتيبة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باكيماليكا</w:t>
      </w:r>
      <w:proofErr w:type="spell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التابعة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</w:t>
      </w:r>
      <w:r>
        <w:rPr>
          <w:rFonts w:hint="cs"/>
          <w:rtl/>
        </w:rPr>
        <w:t>قوات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الشرطة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المسلحة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بانبيهدا</w:t>
      </w:r>
      <w:proofErr w:type="spell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بمقاطعة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كايلالي</w:t>
      </w:r>
      <w:proofErr w:type="spellEnd"/>
      <w:r w:rsidRPr="00C316B7">
        <w:rPr>
          <w:rFonts w:hint="cs"/>
          <w:rtl/>
        </w:rPr>
        <w:t>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واعتدت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مجموعة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ستة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سبعة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جنود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جنسي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وهم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متن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الشاحنة،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lastRenderedPageBreak/>
        <w:t>بحيث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لمسوا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أجزاء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مختلفة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جسمها،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صدرها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وفخذيها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وِردفها.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اليوم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نفسه،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اعتقلت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صديقتها،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السيدة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جونكيري</w:t>
      </w:r>
      <w:proofErr w:type="spellEnd"/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8"/>
      </w:r>
      <w:r w:rsidR="00D10415">
        <w:rPr>
          <w:rStyle w:val="FootnoteReference"/>
          <w:rtl/>
        </w:rPr>
        <w:t>)</w:t>
      </w:r>
      <w:r w:rsidR="00D10415">
        <w:rPr>
          <w:rFonts w:hint="cs"/>
          <w:rtl/>
        </w:rPr>
        <w:t>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2-3</w:t>
      </w:r>
      <w:r w:rsidR="00D10415">
        <w:rPr>
          <w:rtl/>
        </w:rPr>
        <w:tab/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لاحق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اليوم،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نُقلت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المحتجزات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C316B7">
        <w:rPr>
          <w:rFonts w:hint="cs"/>
          <w:rtl/>
        </w:rPr>
        <w:t>المحتجزين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ثكنات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الجيش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تيغاري</w:t>
      </w:r>
      <w:proofErr w:type="spellEnd"/>
      <w:r w:rsidRPr="00C316B7">
        <w:rPr>
          <w:rFonts w:hint="cs"/>
          <w:rtl/>
        </w:rPr>
        <w:t>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وضعت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رهن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</w:t>
      </w:r>
      <w:r>
        <w:rPr>
          <w:rFonts w:hint="cs"/>
          <w:rtl/>
        </w:rPr>
        <w:t>احتجاز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منع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الاتصال</w:t>
      </w:r>
      <w:r w:rsidRPr="00C316B7">
        <w:rPr>
          <w:rFonts w:hint="cs"/>
          <w:rtl/>
        </w:rPr>
        <w:t>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وخلال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الأيام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التسعة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الأولى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احتجازها،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أودعت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بهو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كبير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يضم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80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90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معتقل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آخر،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نساءً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ورجالاً،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ظروف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صحية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سيئة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للغاية.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يُتح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النزر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القليل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الطعام.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وطلب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الجيش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جنوده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إحضار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المعتقلين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مكتبه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واحداً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الآخر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لاستجوابهم.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واستمر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الإجراء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بانتظام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لمدة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أربعة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</w:t>
      </w:r>
      <w:r w:rsidRPr="00C316B7">
        <w:rPr>
          <w:rFonts w:hint="cs"/>
          <w:rtl/>
        </w:rPr>
        <w:t>يام،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حيث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اقتيدت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البهو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لحضور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المقابلات.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جر</w:t>
      </w:r>
      <w:r>
        <w:rPr>
          <w:rFonts w:hint="cs"/>
          <w:rtl/>
        </w:rPr>
        <w:t>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استجوابها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مرتين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ثلاث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مرات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اليوم،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وكان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المساء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عموما</w:t>
      </w:r>
      <w:r w:rsidR="00F43C7D">
        <w:rPr>
          <w:rFonts w:hint="cs"/>
          <w:rtl/>
        </w:rPr>
        <w:t>ً</w:t>
      </w:r>
      <w:r>
        <w:rPr>
          <w:rFonts w:hint="cs"/>
          <w:rtl/>
        </w:rPr>
        <w:t>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وظلت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معصوبة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العينين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معظم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الوقت.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>
        <w:rPr>
          <w:rtl/>
        </w:rPr>
        <w:t>‬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2-4</w:t>
      </w:r>
      <w:r w:rsidR="00D10415">
        <w:rPr>
          <w:rtl/>
        </w:rPr>
        <w:tab/>
      </w:r>
      <w:r w:rsidRPr="00C316B7">
        <w:rPr>
          <w:rFonts w:hint="cs"/>
          <w:rtl/>
        </w:rPr>
        <w:t>وخلال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فترة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احتجازها،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تعرضت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وخضعت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لأشكال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أخرى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العري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القسري،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وإدخال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أجسام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فرجها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الاعتداءات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الجنسية.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وتعرضت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للضرب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والركل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واللطم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وعصب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العينين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وتقييد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اليدين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لفترات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طويلة</w:t>
      </w:r>
      <w:r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وللتهديدات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والإهانة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والكلام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البذيء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وانتزاع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الاعترافات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بالإكراه.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وبعد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اغتصاب</w:t>
      </w:r>
      <w:r>
        <w:rPr>
          <w:rFonts w:hint="cs"/>
          <w:rtl/>
        </w:rPr>
        <w:t>ها،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تعد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قادرة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التبول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ونزفت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بغزارة.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واستمر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نزيفها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أسبوعا</w:t>
      </w:r>
      <w:r>
        <w:rPr>
          <w:rFonts w:hint="cs"/>
          <w:rtl/>
        </w:rPr>
        <w:t>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تتلق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خلاله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مساعدة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طبية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علاج.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تعرضت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للتهديد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بالقتل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قبل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ضابط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الجيش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برتبة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رائد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كان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قد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اغتصبها</w:t>
      </w:r>
      <w:r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أبلغت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أحدا</w:t>
      </w:r>
      <w:r>
        <w:rPr>
          <w:rFonts w:hint="cs"/>
          <w:rtl/>
        </w:rPr>
        <w:t>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</w:t>
      </w:r>
      <w:r>
        <w:rPr>
          <w:rFonts w:hint="cs"/>
          <w:rtl/>
        </w:rPr>
        <w:t>ما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وقع</w:t>
      </w:r>
      <w:r w:rsidRPr="00C316B7">
        <w:rPr>
          <w:rFonts w:hint="cs"/>
          <w:rtl/>
        </w:rPr>
        <w:t>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2-5</w:t>
      </w:r>
      <w:r w:rsidR="00D10415">
        <w:rPr>
          <w:rtl/>
        </w:rPr>
        <w:tab/>
      </w:r>
      <w:r w:rsidRPr="00C316B7">
        <w:rPr>
          <w:rFonts w:hint="cs"/>
          <w:rtl/>
        </w:rPr>
        <w:t>وظلت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رهن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الاحتجاز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ثكنات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الجيش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تيغاري</w:t>
      </w:r>
      <w:proofErr w:type="spell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11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نيسان/أبريل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2002.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ونُقلت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برفقة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السيدة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جونكيري</w:t>
      </w:r>
      <w:proofErr w:type="spell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كتيبة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باكيماليكا</w:t>
      </w:r>
      <w:proofErr w:type="spell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التابعة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لقوات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المسلحة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بانبيهدا</w:t>
      </w:r>
      <w:proofErr w:type="spellEnd"/>
      <w:r w:rsidRPr="00C316B7">
        <w:rPr>
          <w:rFonts w:hint="cs"/>
          <w:rtl/>
        </w:rPr>
        <w:t>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واحت</w:t>
      </w:r>
      <w:r>
        <w:rPr>
          <w:rFonts w:hint="cs"/>
          <w:rtl/>
        </w:rPr>
        <w:t>ُ</w:t>
      </w:r>
      <w:r w:rsidRPr="00C316B7">
        <w:rPr>
          <w:rFonts w:hint="cs"/>
          <w:rtl/>
        </w:rPr>
        <w:t>جزتا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غرفة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مظلمة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صغيرة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جداً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ليس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نوافذ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eastAsia"/>
          <w:rtl/>
        </w:rPr>
        <w:t xml:space="preserve"> </w:t>
      </w:r>
      <w:r w:rsidRPr="00C316B7">
        <w:rPr>
          <w:rFonts w:hint="cs"/>
          <w:rtl/>
        </w:rPr>
        <w:t>أفرشة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بطانيات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</w:t>
      </w:r>
      <w:r>
        <w:rPr>
          <w:rFonts w:hint="cs"/>
          <w:rtl/>
        </w:rPr>
        <w:t>َ</w:t>
      </w:r>
      <w:r w:rsidRPr="00C316B7">
        <w:rPr>
          <w:rFonts w:hint="cs"/>
          <w:rtl/>
        </w:rPr>
        <w:t>س</w:t>
      </w:r>
      <w:r>
        <w:rPr>
          <w:rFonts w:hint="cs"/>
          <w:rtl/>
        </w:rPr>
        <w:t>ِ</w:t>
      </w:r>
      <w:r w:rsidRPr="00C316B7">
        <w:rPr>
          <w:rFonts w:hint="cs"/>
          <w:rtl/>
        </w:rPr>
        <w:t>رة.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وخلال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الفترة،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اغتُصبت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أخرى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وأُخضعت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لأشكال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أخرى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دأب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رئيس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الشرطة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استدعائها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لاستجوابها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خلال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النهار؛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وبعد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ثلاثة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أربعة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بإزالة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عصابة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عينيها.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وعلاوة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تعرضت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المعتقلات،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فيهن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البلاغ،</w:t>
      </w:r>
      <w:r w:rsidR="00EB56B7">
        <w:rPr>
          <w:rFonts w:hint="cs"/>
          <w:rtl/>
        </w:rPr>
        <w:t xml:space="preserve"> </w:t>
      </w:r>
      <w:proofErr w:type="spellStart"/>
      <w:r w:rsidR="004F7060">
        <w:rPr>
          <w:rFonts w:hint="cs"/>
          <w:rtl/>
        </w:rPr>
        <w:t>ل</w:t>
      </w:r>
      <w:r>
        <w:rPr>
          <w:rFonts w:hint="cs"/>
          <w:rtl/>
        </w:rPr>
        <w:t>ل</w:t>
      </w:r>
      <w:proofErr w:type="spellEnd"/>
      <w:r>
        <w:rPr>
          <w:rFonts w:hint="cs"/>
          <w:rtl/>
          <w:lang w:bidi="ar-DZ"/>
        </w:rPr>
        <w:t>إساءة</w:t>
      </w:r>
      <w:r w:rsidR="00EB56B7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اللفظية</w:t>
      </w:r>
      <w:r w:rsidR="00EB56B7">
        <w:rPr>
          <w:rFonts w:hint="cs"/>
          <w:rtl/>
          <w:lang w:bidi="ar-DZ"/>
        </w:rPr>
        <w:t xml:space="preserve"> </w:t>
      </w:r>
      <w:r w:rsidRPr="00C316B7">
        <w:rPr>
          <w:rFonts w:hint="cs"/>
          <w:rtl/>
        </w:rPr>
        <w:t>وأُجبرن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العمل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الثكنات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بحمل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الطوب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والرمل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خلط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الإسمنت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لبناء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أحد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المعابد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وسقي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الحديقة.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2-6</w:t>
      </w:r>
      <w:r w:rsidR="00D10415">
        <w:rPr>
          <w:rtl/>
        </w:rPr>
        <w:tab/>
      </w:r>
      <w:r w:rsidRPr="00C316B7">
        <w:rPr>
          <w:rFonts w:hint="cs"/>
          <w:rtl/>
        </w:rPr>
        <w:t>وبعد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مرور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أكثر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شهر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ونصف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احتجازها،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ذهب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هيرا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باهادور</w:t>
      </w:r>
      <w:proofErr w:type="spellEnd"/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9"/>
      </w:r>
      <w:r w:rsidR="00D10415">
        <w:rPr>
          <w:rStyle w:val="FootnoteReference"/>
          <w:rtl/>
        </w:rPr>
        <w:t>)</w:t>
      </w:r>
      <w:r w:rsidR="00F43C7D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ثكنات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المسلحة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حيث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عثر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أخير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البحث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العديد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أماكن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الاحتجاز.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واضطر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إيداع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مبلغ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000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50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روبية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نيبالية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(حوال</w:t>
      </w:r>
      <w:r>
        <w:rPr>
          <w:rFonts w:hint="cs"/>
          <w:rtl/>
        </w:rPr>
        <w:t>ي</w:t>
      </w:r>
      <w:r w:rsidR="000B3743">
        <w:rPr>
          <w:rFonts w:hint="cs"/>
          <w:rtl/>
        </w:rPr>
        <w:t> </w:t>
      </w:r>
      <w:r w:rsidRPr="00C316B7">
        <w:rPr>
          <w:rFonts w:hint="cs"/>
          <w:rtl/>
        </w:rPr>
        <w:t>500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يورو)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للإفراج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عنها.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13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14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حزيران/</w:t>
      </w:r>
      <w:proofErr w:type="gramStart"/>
      <w:r w:rsidRPr="00C316B7">
        <w:rPr>
          <w:rFonts w:hint="cs"/>
          <w:rtl/>
        </w:rPr>
        <w:t>يونيه</w:t>
      </w:r>
      <w:proofErr w:type="gram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2002،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أُطلق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سراح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والسيدة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جونكيري</w:t>
      </w:r>
      <w:proofErr w:type="spellEnd"/>
      <w:r w:rsidRPr="00C316B7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لكن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</w:t>
      </w:r>
      <w:r>
        <w:rPr>
          <w:rFonts w:hint="cs"/>
          <w:rtl/>
        </w:rPr>
        <w:t>ُ</w:t>
      </w:r>
      <w:r w:rsidRPr="00C316B7">
        <w:rPr>
          <w:rFonts w:hint="cs"/>
          <w:rtl/>
        </w:rPr>
        <w:t>لب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إليهما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معلومات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مواعيد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معينة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أنشطة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الماويين</w:t>
      </w:r>
      <w:proofErr w:type="spellEnd"/>
      <w:r w:rsidRPr="00C316B7">
        <w:rPr>
          <w:rFonts w:hint="cs"/>
          <w:rtl/>
        </w:rPr>
        <w:t>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قدمتا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المعلومات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دوري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تسعة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أشهر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تقريب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حتى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آذار/مارس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2003.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وعمد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ضباط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الشرطة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المسؤولو</w:t>
      </w:r>
      <w:r w:rsidRPr="00C316B7">
        <w:rPr>
          <w:rFonts w:hint="cs"/>
          <w:rtl/>
        </w:rPr>
        <w:t>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تسجيل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المعلومات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الأحيان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إساءة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معاملتهم</w:t>
      </w:r>
      <w:r>
        <w:rPr>
          <w:rFonts w:hint="cs"/>
          <w:rtl/>
        </w:rPr>
        <w:t>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بلمس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جسديهما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واستخدام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كلام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بذيء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معهما</w:t>
      </w:r>
      <w:r w:rsidRPr="00C316B7">
        <w:rPr>
          <w:rFonts w:hint="cs"/>
          <w:rtl/>
        </w:rPr>
        <w:t>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وتوقف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الضرب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lastRenderedPageBreak/>
        <w:t>الأوقات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لكن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</w:t>
      </w:r>
      <w:r>
        <w:rPr>
          <w:rFonts w:hint="cs"/>
          <w:rtl/>
        </w:rPr>
        <w:t>ُ</w:t>
      </w:r>
      <w:r w:rsidRPr="00C316B7">
        <w:rPr>
          <w:rFonts w:hint="cs"/>
          <w:rtl/>
        </w:rPr>
        <w:t>لب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إليهما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أحياناً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سقي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الحديقة.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وهددت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بقتلهما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تخلفتا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الأيام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توفير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المعلومات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المطلوبة.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وبعد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التواريخ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الأولية،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حُددت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مواعيد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التقارير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كل</w:t>
      </w:r>
      <w:r w:rsidR="000B3743">
        <w:rPr>
          <w:rFonts w:hint="cs"/>
          <w:rtl/>
        </w:rPr>
        <w:t> </w:t>
      </w:r>
      <w:r w:rsidRPr="00C316B7">
        <w:rPr>
          <w:rFonts w:hint="cs"/>
          <w:rtl/>
        </w:rPr>
        <w:t>7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أيام،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ثم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15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يوم</w:t>
      </w:r>
      <w:r w:rsidR="00BB4EF6">
        <w:rPr>
          <w:rFonts w:hint="cs"/>
          <w:rtl/>
        </w:rPr>
        <w:t>اً،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تاريخ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محدد،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يعد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يُطلب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وصديقتها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معلومات.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</w:p>
    <w:p w:rsidR="006D5AFA" w:rsidRPr="009435F0" w:rsidRDefault="006D5AFA" w:rsidP="006D5AFA">
      <w:pPr>
        <w:pStyle w:val="SingleTxtGA"/>
        <w:rPr>
          <w:spacing w:val="-4"/>
          <w:rtl/>
        </w:rPr>
      </w:pPr>
      <w:r w:rsidRPr="00C316B7">
        <w:rPr>
          <w:rFonts w:hint="cs"/>
          <w:rtl/>
        </w:rPr>
        <w:t>2-7</w:t>
      </w:r>
      <w:r w:rsidR="00D10415">
        <w:rPr>
          <w:rtl/>
        </w:rPr>
        <w:tab/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حزيران/يونيه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2002،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عادت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قريتها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واكتشفت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أصبحت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منبوذة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اجتماعيا</w:t>
      </w:r>
      <w:r w:rsidR="00F43C7D">
        <w:rPr>
          <w:rFonts w:hint="cs"/>
          <w:rtl/>
        </w:rPr>
        <w:t>ً</w:t>
      </w:r>
      <w:r w:rsidRPr="00C316B7">
        <w:rPr>
          <w:rFonts w:hint="cs"/>
          <w:rtl/>
        </w:rPr>
        <w:t>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وبالنظر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القرويين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يدركون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سلوك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تجاه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النساء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المحتجزات،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فقد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ظنوا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اغتُصبت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أصبحت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جراء</w:t>
      </w:r>
      <w:r w:rsidR="00EB56B7">
        <w:rPr>
          <w:rFonts w:hint="cs"/>
          <w:rtl/>
        </w:rPr>
        <w:t xml:space="preserve"> </w:t>
      </w:r>
      <w:proofErr w:type="gramStart"/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”</w:t>
      </w:r>
      <w:r w:rsidRPr="00C316B7">
        <w:rPr>
          <w:rFonts w:hint="cs"/>
          <w:rtl/>
        </w:rPr>
        <w:t>مدنسة</w:t>
      </w:r>
      <w:proofErr w:type="gramEnd"/>
      <w:r w:rsidR="00D10415">
        <w:rPr>
          <w:rFonts w:hint="cs"/>
          <w:rtl/>
        </w:rPr>
        <w:t>“</w:t>
      </w:r>
      <w:r w:rsidRPr="00C316B7">
        <w:rPr>
          <w:rFonts w:hint="cs"/>
          <w:rtl/>
        </w:rPr>
        <w:t>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وأصبحت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صديقاتها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القرية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يتجنبنها.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تتمكن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مغادرة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منزلها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شهر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بسبب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شعورها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</w:t>
      </w:r>
      <w:r>
        <w:rPr>
          <w:rFonts w:hint="cs"/>
          <w:rtl/>
        </w:rPr>
        <w:t>الذل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C316B7">
        <w:rPr>
          <w:rFonts w:hint="cs"/>
          <w:rtl/>
        </w:rPr>
        <w:t>العار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وتوقفت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9435F0">
        <w:rPr>
          <w:rFonts w:hint="cs"/>
          <w:spacing w:val="-4"/>
          <w:rtl/>
        </w:rPr>
        <w:t>الذهاب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إلى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المدرسة.</w:t>
      </w:r>
      <w:r w:rsidRPr="009435F0">
        <w:rPr>
          <w:spacing w:val="-4"/>
          <w:rtl/>
        </w:rPr>
        <w:t>‬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ولهذا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السبب،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انقطعت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عن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التعليم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الرسمي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لمدة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سنتين.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وعادت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إلى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المدرسة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في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عام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2004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حيث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كانت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في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الكثير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من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الأحيان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محل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سخرية</w:t>
      </w:r>
      <w:r w:rsidR="00EB56B7">
        <w:rPr>
          <w:rFonts w:hint="cs"/>
          <w:spacing w:val="-4"/>
          <w:rtl/>
        </w:rPr>
        <w:t xml:space="preserve"> </w:t>
      </w:r>
      <w:proofErr w:type="gramStart"/>
      <w:r w:rsidRPr="009435F0">
        <w:rPr>
          <w:rFonts w:hint="cs"/>
          <w:spacing w:val="-4"/>
          <w:rtl/>
        </w:rPr>
        <w:t>بوصفها</w:t>
      </w:r>
      <w:r w:rsidR="00EB56B7">
        <w:rPr>
          <w:rFonts w:hint="cs"/>
          <w:spacing w:val="-4"/>
          <w:rtl/>
        </w:rPr>
        <w:t xml:space="preserve"> </w:t>
      </w:r>
      <w:r w:rsidR="00D10415" w:rsidRPr="009435F0">
        <w:rPr>
          <w:rFonts w:hint="cs"/>
          <w:spacing w:val="-4"/>
          <w:rtl/>
        </w:rPr>
        <w:t>”</w:t>
      </w:r>
      <w:r w:rsidRPr="009435F0">
        <w:rPr>
          <w:rFonts w:hint="cs"/>
          <w:spacing w:val="-4"/>
          <w:rtl/>
        </w:rPr>
        <w:t>فتاة</w:t>
      </w:r>
      <w:proofErr w:type="gramEnd"/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مدنسة</w:t>
      </w:r>
      <w:r w:rsidR="00D10415" w:rsidRPr="009435F0">
        <w:rPr>
          <w:rFonts w:hint="cs"/>
          <w:spacing w:val="-4"/>
          <w:rtl/>
        </w:rPr>
        <w:t>“</w:t>
      </w:r>
      <w:r w:rsidRPr="009435F0">
        <w:rPr>
          <w:rFonts w:hint="cs"/>
          <w:spacing w:val="-4"/>
          <w:rtl/>
        </w:rPr>
        <w:t>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2-8</w:t>
      </w:r>
      <w:r w:rsidR="00D10415">
        <w:rPr>
          <w:rtl/>
        </w:rPr>
        <w:tab/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شباط/فبراير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2009،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تزوجت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وبعد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أسبوع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زواجها،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زوجها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باغتصابها.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وعندما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سألها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أخبرته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بالحقيقة.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فقرر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زوجها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وأقاربه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نبذها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جراء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وشعرت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بذل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شديد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واضطرت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العودة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منزل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والدتها</w:t>
      </w:r>
      <w:r w:rsidRPr="00C316B7">
        <w:rPr>
          <w:rFonts w:hint="cs"/>
          <w:rtl/>
        </w:rPr>
        <w:t>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ظلت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هناك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سنتين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تصالح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زوجها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آخر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المطاف.</w:t>
      </w:r>
      <w:r>
        <w:rPr>
          <w:rtl/>
        </w:rPr>
        <w:t>‬</w:t>
      </w:r>
    </w:p>
    <w:p w:rsidR="006D5AFA" w:rsidRPr="00D10415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2-9</w:t>
      </w:r>
      <w:r w:rsidR="00D10415">
        <w:rPr>
          <w:rtl/>
        </w:rPr>
        <w:tab/>
      </w:r>
      <w:r w:rsidRPr="00C316B7">
        <w:rPr>
          <w:rFonts w:hint="cs"/>
          <w:rtl/>
        </w:rPr>
        <w:t>وترتب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C316B7">
        <w:rPr>
          <w:rFonts w:hint="cs"/>
          <w:rtl/>
        </w:rPr>
        <w:t>صدمة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الناجمة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C316B7">
        <w:rPr>
          <w:rFonts w:hint="cs"/>
          <w:rtl/>
        </w:rPr>
        <w:t>ع</w:t>
      </w:r>
      <w:r>
        <w:rPr>
          <w:rFonts w:hint="cs"/>
          <w:rtl/>
        </w:rPr>
        <w:t>نف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الجنسي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والتعذيب،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وما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تلا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وصم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ونبذ،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آثارٌ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نفسية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شديدة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نفس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فهي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تعاني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الاكتراب</w:t>
      </w:r>
      <w:proofErr w:type="spell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التالي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للصدمة،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استمرار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شعورها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بالقلق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تنتابها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الكوابيس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والأفكار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الانتحارية.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وتعاني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أيضا</w:t>
      </w:r>
      <w:r>
        <w:rPr>
          <w:rFonts w:hint="cs"/>
          <w:rtl/>
        </w:rPr>
        <w:t>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أمراض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جسدية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خطيرة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مختلفة،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آلام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صدرها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ومشاكل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عمودها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الفقري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وأضلعها.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فحصها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أحد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الأطباء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كاتماندو</w:t>
      </w:r>
      <w:proofErr w:type="spell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آذار/مارس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2013،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ونصحها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بالخضوع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للعلاج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وتناول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الأدوية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طويلة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لتفادي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إلحاق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مزيد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الضرر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بعمودها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الفقري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معرضة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للشلل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10"/>
      </w:r>
      <w:r w:rsidR="00D10415">
        <w:rPr>
          <w:rStyle w:val="FootnoteReference"/>
          <w:rtl/>
        </w:rPr>
        <w:t>)</w:t>
      </w:r>
      <w:r w:rsidR="00D10415">
        <w:rPr>
          <w:rFonts w:hint="cs"/>
          <w:rtl/>
        </w:rPr>
        <w:t>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وقد</w:t>
      </w:r>
      <w:r w:rsidR="0095367D">
        <w:rPr>
          <w:rFonts w:hint="eastAsia"/>
          <w:rtl/>
        </w:rPr>
        <w:t> </w:t>
      </w:r>
      <w:r w:rsidRPr="00C316B7">
        <w:rPr>
          <w:rFonts w:hint="cs"/>
          <w:rtl/>
        </w:rPr>
        <w:t>اكتشف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الطبيب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الشرعي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الذي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فحصها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24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آذار/مارس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2014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ندوبا</w:t>
      </w:r>
      <w:r>
        <w:rPr>
          <w:rFonts w:hint="cs"/>
          <w:rtl/>
        </w:rPr>
        <w:t>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جسدها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وتشوه</w:t>
      </w:r>
      <w:r w:rsidRPr="00C316B7">
        <w:rPr>
          <w:rFonts w:hint="cs"/>
          <w:rtl/>
        </w:rPr>
        <w:t>ا</w:t>
      </w:r>
      <w:r>
        <w:rPr>
          <w:rFonts w:hint="cs"/>
          <w:rtl/>
        </w:rPr>
        <w:t>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ظفرها</w:t>
      </w:r>
      <w:r w:rsidR="00EB56B7">
        <w:rPr>
          <w:rFonts w:hint="cs"/>
          <w:rtl/>
        </w:rPr>
        <w:t xml:space="preserve"> </w:t>
      </w:r>
      <w:proofErr w:type="gramStart"/>
      <w:r w:rsidRPr="00C316B7">
        <w:rPr>
          <w:rFonts w:hint="cs"/>
          <w:rtl/>
        </w:rPr>
        <w:t>اعتُبرا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”</w:t>
      </w:r>
      <w:r w:rsidRPr="00C316B7">
        <w:rPr>
          <w:rFonts w:hint="cs"/>
          <w:rtl/>
        </w:rPr>
        <w:t>متسقين</w:t>
      </w:r>
      <w:proofErr w:type="gram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الرواية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قدم</w:t>
      </w:r>
      <w:r>
        <w:rPr>
          <w:rFonts w:hint="cs"/>
          <w:rtl/>
        </w:rPr>
        <w:t>ت</w:t>
      </w:r>
      <w:r w:rsidRPr="00C316B7">
        <w:rPr>
          <w:rFonts w:hint="cs"/>
          <w:rtl/>
        </w:rPr>
        <w:t>ها</w:t>
      </w:r>
      <w:r w:rsidR="00D10415">
        <w:rPr>
          <w:rFonts w:hint="cs"/>
          <w:rtl/>
        </w:rPr>
        <w:t>“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11"/>
      </w:r>
      <w:r w:rsidR="00D10415">
        <w:rPr>
          <w:rStyle w:val="FootnoteReference"/>
          <w:rtl/>
        </w:rPr>
        <w:t>)</w:t>
      </w:r>
      <w:r w:rsidR="00D10415">
        <w:rPr>
          <w:rStyle w:val="FootnoteReference"/>
          <w:rFonts w:hint="cs"/>
          <w:vertAlign w:val="baseline"/>
          <w:rtl/>
        </w:rPr>
        <w:t>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2-10</w:t>
      </w:r>
      <w:r w:rsidR="00D10415">
        <w:rPr>
          <w:rtl/>
        </w:rPr>
        <w:tab/>
      </w:r>
      <w:r w:rsidRPr="00C316B7">
        <w:rPr>
          <w:rFonts w:hint="cs"/>
          <w:rtl/>
        </w:rPr>
        <w:t>وبالرغم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مرور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سنوات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عديدة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تعرض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والتعذيب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والعمل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القسري،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تشتك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قط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بشأن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الجرائم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سلطة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طبيب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حتى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أسرتها.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وبالنظر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الوصمة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الاجتماعية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المرتبطة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المجتمع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داخل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مجتمع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الأصليين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الذي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تنتمي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إليه،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فقد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كان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</w:t>
      </w:r>
      <w:r w:rsidRPr="00C316B7">
        <w:rPr>
          <w:rFonts w:hint="cs"/>
          <w:rtl/>
        </w:rPr>
        <w:t>ستحيل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تلتمس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دعم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المجتمع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سيفضي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مزيد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الأذى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عوض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الانتصاف.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وعلاوة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حينها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فتاة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عمرها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14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عام</w:t>
      </w:r>
      <w:r w:rsidR="00BB4EF6">
        <w:rPr>
          <w:rFonts w:hint="cs"/>
          <w:rtl/>
        </w:rPr>
        <w:t>اً،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تكن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لتعلم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شيء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العدالة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كيفية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الوصول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إليها.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فقد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اللازم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يمثلها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والداها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بالإجراءات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القانونية،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لكنها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تشعر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بالخجل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الشديد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ولم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تطلب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دعمهما.</w:t>
      </w:r>
    </w:p>
    <w:p w:rsidR="006D5AFA" w:rsidRPr="00D10415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lastRenderedPageBreak/>
        <w:t>2</w:t>
      </w:r>
      <w:r w:rsidRPr="0095367D">
        <w:rPr>
          <w:rFonts w:hint="cs"/>
          <w:spacing w:val="-4"/>
          <w:rtl/>
        </w:rPr>
        <w:t>-11</w:t>
      </w:r>
      <w:r w:rsidR="009435F0" w:rsidRPr="0095367D">
        <w:rPr>
          <w:spacing w:val="-4"/>
          <w:rtl/>
        </w:rPr>
        <w:tab/>
      </w:r>
      <w:r w:rsidRPr="0095367D">
        <w:rPr>
          <w:rFonts w:hint="cs"/>
          <w:spacing w:val="-4"/>
          <w:rtl/>
        </w:rPr>
        <w:t>وفي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عام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2011،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علمت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صاحبة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البلاغ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بأن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بإمكانها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تقديم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طلب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إلى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مكتب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شؤون</w:t>
      </w:r>
      <w:r w:rsidR="00EB56B7" w:rsidRPr="0095367D">
        <w:rPr>
          <w:rFonts w:hint="eastAsia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إدارة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المقاطعات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للحصول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على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الجبر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المؤقت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بوصفها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ضحية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نزاع.</w:t>
      </w:r>
      <w:r w:rsidRPr="0095367D">
        <w:rPr>
          <w:spacing w:val="-4"/>
          <w:rtl/>
        </w:rPr>
        <w:t>‬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وفي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كانون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الثاني/يناير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2011،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قدمت</w:t>
      </w:r>
      <w:r w:rsidR="0095367D">
        <w:rPr>
          <w:rFonts w:hint="eastAsia"/>
          <w:rtl/>
        </w:rPr>
        <w:t> </w:t>
      </w:r>
      <w:r w:rsidRPr="00C316B7">
        <w:rPr>
          <w:rFonts w:hint="cs"/>
          <w:rtl/>
        </w:rPr>
        <w:t>شكوى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احتجازها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التعسفي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وسوء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معاملتها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رئيس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المقاطعة،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لكنها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eastAsia"/>
          <w:rtl/>
        </w:rPr>
        <w:t xml:space="preserve"> </w:t>
      </w:r>
      <w:r w:rsidRPr="00C316B7">
        <w:rPr>
          <w:rFonts w:hint="cs"/>
          <w:rtl/>
        </w:rPr>
        <w:t>تتلق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جبر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مؤقت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حتى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الآن.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والواقع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الجبر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المؤقت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يستبعد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نطاقه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ضحايا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غيره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أشكال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</w:t>
      </w:r>
      <w:r w:rsidRPr="00C316B7">
        <w:rPr>
          <w:rtl/>
        </w:rPr>
        <w:t>‬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12"/>
      </w:r>
      <w:r w:rsidR="00D10415">
        <w:rPr>
          <w:rStyle w:val="FootnoteReference"/>
          <w:rtl/>
        </w:rPr>
        <w:t>)</w:t>
      </w:r>
      <w:r w:rsidR="00D10415">
        <w:rPr>
          <w:rStyle w:val="FootnoteReference"/>
          <w:rFonts w:hint="cs"/>
          <w:vertAlign w:val="baseline"/>
          <w:rtl/>
        </w:rPr>
        <w:t>.</w:t>
      </w:r>
    </w:p>
    <w:p w:rsidR="006D5AFA" w:rsidRPr="00C316B7" w:rsidRDefault="006D5AFA" w:rsidP="002B0931">
      <w:pPr>
        <w:pStyle w:val="SingleTxtGA"/>
        <w:rPr>
          <w:rtl/>
        </w:rPr>
      </w:pPr>
      <w:r w:rsidRPr="00C316B7">
        <w:rPr>
          <w:rFonts w:hint="cs"/>
          <w:rtl/>
        </w:rPr>
        <w:t>2-12</w:t>
      </w:r>
      <w:r w:rsidR="009435F0">
        <w:rPr>
          <w:rtl/>
        </w:rPr>
        <w:tab/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17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شباط/فبراير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2014،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أحد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المحامين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شكوى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(محضر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التمهيدي)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باسم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ورفض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نائب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رئيس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مكتب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مقاطعة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كايلالي</w:t>
      </w:r>
      <w:proofErr w:type="spell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تحرير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محضر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التمهيدي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(المحضر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التمهيدي)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بدعوى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استيفاء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شرط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فترة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المحددة</w:t>
      </w:r>
      <w:r w:rsidR="00EB56B7">
        <w:rPr>
          <w:rFonts w:hint="cs"/>
          <w:rtl/>
        </w:rPr>
        <w:t xml:space="preserve"> </w:t>
      </w:r>
      <w:r w:rsidR="002B0931">
        <w:rPr>
          <w:rFonts w:hint="cs"/>
          <w:rtl/>
        </w:rPr>
        <w:t>بـ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35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يوما</w:t>
      </w:r>
      <w:r w:rsidR="00EB56B7">
        <w:rPr>
          <w:rFonts w:hint="cs"/>
          <w:rtl/>
        </w:rPr>
        <w:t xml:space="preserve">ً </w:t>
      </w:r>
      <w:r>
        <w:rPr>
          <w:rFonts w:hint="cs"/>
          <w:rtl/>
        </w:rPr>
        <w:t>للإبلاغ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جريمة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الاغتصاب</w:t>
      </w:r>
      <w:r w:rsidRPr="00C316B7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عملا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11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قانون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العقوبات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وحاول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المحامي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أيضا</w:t>
      </w:r>
      <w:r>
        <w:rPr>
          <w:rFonts w:hint="cs"/>
          <w:rtl/>
        </w:rPr>
        <w:t>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طلب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بالتعويض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محكمة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مقاطعة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كايلالي</w:t>
      </w:r>
      <w:proofErr w:type="spell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عملا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بقانون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التعويض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التعذيب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لعام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1996،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لكن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رفضت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تسجيل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الطلب.</w:t>
      </w:r>
      <w:r>
        <w:rPr>
          <w:rtl/>
        </w:rPr>
        <w:t>‬</w:t>
      </w:r>
      <w:r w:rsidR="00EB56B7">
        <w:rPr>
          <w:rFonts w:hint="cs"/>
          <w:rtl/>
        </w:rPr>
        <w:t xml:space="preserve"> </w:t>
      </w:r>
    </w:p>
    <w:p w:rsidR="006D5AFA" w:rsidRPr="00C316B7" w:rsidRDefault="006D5AFA" w:rsidP="006D5AFA">
      <w:pPr>
        <w:pStyle w:val="SingleTxtGA"/>
        <w:rPr>
          <w:rtl/>
        </w:rPr>
      </w:pPr>
      <w:r>
        <w:rPr>
          <w:rFonts w:hint="cs"/>
          <w:rtl/>
        </w:rPr>
        <w:t>2-13</w:t>
      </w:r>
      <w:r w:rsidR="009435F0">
        <w:rPr>
          <w:rtl/>
        </w:rPr>
        <w:tab/>
      </w:r>
      <w:r w:rsidRPr="00C316B7">
        <w:rPr>
          <w:rFonts w:hint="cs"/>
          <w:rtl/>
        </w:rPr>
        <w:t>وتلاحظ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5)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قانون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الدعاوى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الحكومية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(1992)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تُ</w:t>
      </w:r>
      <w:r w:rsidRPr="00C316B7">
        <w:rPr>
          <w:rFonts w:hint="cs"/>
          <w:rtl/>
        </w:rPr>
        <w:t>جيز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لأصحاب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الشكاوى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تسجيل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محضر</w:t>
      </w:r>
      <w:r>
        <w:rPr>
          <w:rFonts w:hint="cs"/>
          <w:rtl/>
        </w:rPr>
        <w:t>هم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التمهيدي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لدى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رئيس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المقاطعة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مركز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درجة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مركز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الذي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رفض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تحرير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المحضر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البداية.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ووفقاً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طلبت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29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آذار/مارس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2014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مساعد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رئيس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المقاطعة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دانغادهي</w:t>
      </w:r>
      <w:proofErr w:type="spellEnd"/>
      <w:r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المقر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الرئيس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لمقاطعة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كايلالي</w:t>
      </w:r>
      <w:proofErr w:type="spellEnd"/>
      <w:r w:rsidRPr="00C316B7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</w:t>
      </w:r>
      <w:r>
        <w:rPr>
          <w:rFonts w:hint="cs"/>
          <w:rtl/>
        </w:rPr>
        <w:t>سجيل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المحضر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التمهيدي،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لكنه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رفض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بدعوى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يمكن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تسجيل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القضايا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الصلة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بالنزاع،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وأنه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ينبغي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الانتظار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تُنشأ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آليات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العدالة</w:t>
      </w:r>
      <w:r w:rsidR="0095367D">
        <w:rPr>
          <w:rFonts w:hint="cs"/>
          <w:rtl/>
        </w:rPr>
        <w:t> </w:t>
      </w:r>
      <w:r w:rsidRPr="00C316B7">
        <w:rPr>
          <w:rFonts w:hint="cs"/>
          <w:rtl/>
        </w:rPr>
        <w:t>الانتقالية.</w:t>
      </w:r>
    </w:p>
    <w:p w:rsidR="006D5AFA" w:rsidRPr="00C316B7" w:rsidRDefault="006D5AFA" w:rsidP="006D5AFA">
      <w:pPr>
        <w:pStyle w:val="SingleTxtGA"/>
        <w:rPr>
          <w:rtl/>
          <w:lang w:bidi="ar-DZ"/>
        </w:rPr>
      </w:pPr>
      <w:r w:rsidRPr="00C316B7">
        <w:rPr>
          <w:rFonts w:hint="cs"/>
          <w:rtl/>
        </w:rPr>
        <w:t>2-14</w:t>
      </w:r>
      <w:r w:rsidR="009435F0">
        <w:rPr>
          <w:rtl/>
        </w:rPr>
        <w:tab/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11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نيسان/أبريل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2014،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قدمت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أمراً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بالامتثال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العليا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نيبال،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تسجيله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التاريخ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نفسه،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طلبت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تطبيق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حكم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المحدد</w:t>
      </w:r>
      <w:r w:rsidR="00EB56B7">
        <w:rPr>
          <w:rFonts w:hint="cs"/>
          <w:rtl/>
        </w:rPr>
        <w:t xml:space="preserve"> </w:t>
      </w:r>
      <w:r w:rsidR="002B0931">
        <w:rPr>
          <w:rFonts w:hint="cs"/>
          <w:rtl/>
        </w:rPr>
        <w:t>بـ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35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يوما</w:t>
      </w:r>
      <w:r w:rsidR="00523A6B">
        <w:rPr>
          <w:rFonts w:hint="cs"/>
          <w:rtl/>
        </w:rPr>
        <w:t>ً</w:t>
      </w:r>
      <w:r w:rsidRPr="00C316B7">
        <w:rPr>
          <w:rFonts w:hint="cs"/>
          <w:rtl/>
        </w:rPr>
        <w:t>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العليا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قط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طلبات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تطبيق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حكم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المحدد</w:t>
      </w:r>
      <w:r w:rsidR="00EB56B7">
        <w:rPr>
          <w:rFonts w:hint="cs"/>
          <w:rtl/>
        </w:rPr>
        <w:t xml:space="preserve"> </w:t>
      </w:r>
      <w:r w:rsidR="002B0931">
        <w:rPr>
          <w:rFonts w:hint="cs"/>
          <w:rtl/>
        </w:rPr>
        <w:t>بـ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35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يوماً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قضايا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فردية؛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وبناء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تكون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ثمة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حظوظ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لنجاح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طلبها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هذا.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</w:t>
      </w:r>
      <w:r>
        <w:rPr>
          <w:rFonts w:hint="cs"/>
          <w:rtl/>
        </w:rPr>
        <w:t>شير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الاستثناء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الوحيد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قضية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بعينها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بالنزاع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أبرزت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العليا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الحاجة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إلغاء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أحكام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التقادم،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وذكرت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الأحكام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حاجزٌ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الانتصاف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والتعويض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الفعالين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للضحايا،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وأمرت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الحكومة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بتعديل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التشريعات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الصلة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لإلغاء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فترة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المحددة</w:t>
      </w:r>
      <w:r w:rsidR="00EB56B7">
        <w:rPr>
          <w:rFonts w:hint="cs"/>
          <w:rtl/>
        </w:rPr>
        <w:t xml:space="preserve"> </w:t>
      </w:r>
      <w:r w:rsidR="002B0931">
        <w:rPr>
          <w:rFonts w:hint="cs"/>
          <w:rtl/>
        </w:rPr>
        <w:t>بـ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35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يوم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فيما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يتعلق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بالاغتصاب.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ومع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يُنفذ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الأمر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منذ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عام</w:t>
      </w:r>
      <w:r w:rsidR="0095367D">
        <w:rPr>
          <w:rFonts w:hint="cs"/>
          <w:rtl/>
        </w:rPr>
        <w:t> </w:t>
      </w:r>
      <w:r w:rsidRPr="00C316B7">
        <w:rPr>
          <w:rFonts w:hint="cs"/>
          <w:rtl/>
        </w:rPr>
        <w:t>2008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13"/>
      </w:r>
      <w:r w:rsidR="00D10415">
        <w:rPr>
          <w:rStyle w:val="FootnoteReference"/>
          <w:rtl/>
        </w:rPr>
        <w:t>)</w:t>
      </w:r>
      <w:r>
        <w:rPr>
          <w:rtl/>
        </w:rPr>
        <w:t>‬</w:t>
      </w:r>
      <w:r w:rsidR="00D10415">
        <w:rPr>
          <w:rFonts w:hint="cs"/>
          <w:rtl/>
        </w:rPr>
        <w:t>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2-15</w:t>
      </w:r>
      <w:r w:rsidR="009435F0">
        <w:rPr>
          <w:rtl/>
        </w:rPr>
        <w:tab/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17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نيسان/أبريل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2014،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أصدرت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العليا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استبيان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وزارة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الداخلية،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رئاسة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C316B7">
        <w:rPr>
          <w:rFonts w:hint="cs"/>
          <w:rtl/>
        </w:rPr>
        <w:t>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ناكسال</w:t>
      </w:r>
      <w:proofErr w:type="spellEnd"/>
      <w:r w:rsidRPr="00C316B7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ومركز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المقاطعة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كايلالي</w:t>
      </w:r>
      <w:proofErr w:type="spell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ومكتب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إدارة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شؤون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المقاطعات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كايلالي</w:t>
      </w:r>
      <w:proofErr w:type="spell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ردودها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غضون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15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(بحلول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أيار/مايو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2014).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95367D">
        <w:rPr>
          <w:rFonts w:hint="cs"/>
          <w:spacing w:val="-4"/>
          <w:rtl/>
        </w:rPr>
        <w:lastRenderedPageBreak/>
        <w:t>ولم</w:t>
      </w:r>
      <w:r w:rsidR="0095367D" w:rsidRPr="0095367D">
        <w:rPr>
          <w:rFonts w:hint="cs"/>
          <w:spacing w:val="-4"/>
          <w:rtl/>
        </w:rPr>
        <w:t> </w:t>
      </w:r>
      <w:r w:rsidRPr="0095367D">
        <w:rPr>
          <w:rFonts w:hint="cs"/>
          <w:spacing w:val="-4"/>
          <w:rtl/>
        </w:rPr>
        <w:t>تحترم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أي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من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هذه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الدوائر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الموعد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النهائي،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فحددت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المحكمة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العليا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تاريخ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2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حزيران/</w:t>
      </w:r>
      <w:proofErr w:type="gramStart"/>
      <w:r w:rsidRPr="0095367D">
        <w:rPr>
          <w:rFonts w:hint="cs"/>
          <w:spacing w:val="-4"/>
          <w:rtl/>
        </w:rPr>
        <w:t>يونيه</w:t>
      </w:r>
      <w:proofErr w:type="gramEnd"/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2014</w:t>
      </w:r>
      <w:r w:rsidR="00EB56B7" w:rsidRPr="0095367D">
        <w:rPr>
          <w:rFonts w:hint="cs"/>
          <w:spacing w:val="-4"/>
          <w:rtl/>
        </w:rPr>
        <w:t xml:space="preserve"> </w:t>
      </w:r>
      <w:r w:rsidRPr="0095367D">
        <w:rPr>
          <w:rFonts w:hint="cs"/>
          <w:spacing w:val="-4"/>
          <w:rtl/>
        </w:rPr>
        <w:t>موعداً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نهائياً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آخر.</w:t>
      </w:r>
      <w:r>
        <w:rPr>
          <w:rtl/>
        </w:rPr>
        <w:t>‬</w:t>
      </w:r>
    </w:p>
    <w:p w:rsidR="006D5AFA" w:rsidRPr="002667CD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2-16</w:t>
      </w:r>
      <w:r w:rsidR="009435F0">
        <w:rPr>
          <w:rtl/>
        </w:rPr>
        <w:tab/>
      </w:r>
      <w:r w:rsidRPr="00C316B7">
        <w:rPr>
          <w:rFonts w:hint="cs"/>
          <w:rtl/>
        </w:rPr>
        <w:t>وقدم</w:t>
      </w:r>
      <w:r>
        <w:rPr>
          <w:rFonts w:hint="cs"/>
          <w:rtl/>
        </w:rPr>
        <w:t>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رئاسة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C316B7">
        <w:rPr>
          <w:rFonts w:hint="cs"/>
          <w:rtl/>
        </w:rPr>
        <w:t>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ووزارة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الداخلية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مذكرتين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تعقيب</w:t>
      </w:r>
      <w:r w:rsidR="00D7426A">
        <w:rPr>
          <w:rFonts w:hint="cs"/>
          <w:rtl/>
        </w:rPr>
        <w:t>ي</w:t>
      </w:r>
      <w:r w:rsidRPr="00C316B7">
        <w:rPr>
          <w:rFonts w:hint="cs"/>
          <w:rtl/>
        </w:rPr>
        <w:t>تين</w:t>
      </w:r>
      <w:proofErr w:type="spell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5</w:t>
      </w:r>
      <w:r w:rsidR="00EB56B7">
        <w:rPr>
          <w:rFonts w:hint="cs"/>
          <w:rtl/>
        </w:rPr>
        <w:t xml:space="preserve"> </w:t>
      </w:r>
      <w:proofErr w:type="spellStart"/>
      <w:r w:rsidR="00D10415">
        <w:rPr>
          <w:rFonts w:hint="cs"/>
          <w:rtl/>
        </w:rPr>
        <w:t>و</w:t>
      </w:r>
      <w:r>
        <w:rPr>
          <w:rFonts w:hint="cs"/>
          <w:rtl/>
        </w:rPr>
        <w:t>19</w:t>
      </w:r>
      <w:proofErr w:type="spellEnd"/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أيار/</w:t>
      </w:r>
      <w:r w:rsidR="00EB56B7">
        <w:rPr>
          <w:rFonts w:hint="cs"/>
          <w:rtl/>
        </w:rPr>
        <w:t xml:space="preserve">    </w:t>
      </w:r>
      <w:r>
        <w:rPr>
          <w:rFonts w:hint="cs"/>
          <w:rtl/>
        </w:rPr>
        <w:t>مايو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2014،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التوالي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للطعن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مقبولية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الطلبات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أساس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حكم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المحدد</w:t>
      </w:r>
      <w:r w:rsidR="00EB56B7">
        <w:rPr>
          <w:rFonts w:hint="cs"/>
          <w:rtl/>
        </w:rPr>
        <w:t xml:space="preserve"> </w:t>
      </w:r>
      <w:r w:rsidR="002B0931">
        <w:rPr>
          <w:rFonts w:hint="cs"/>
          <w:rtl/>
        </w:rPr>
        <w:t>بـ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35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يوماً،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يستبعد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تحقيقات</w:t>
      </w:r>
      <w:r w:rsidR="00D10415">
        <w:rPr>
          <w:rStyle w:val="FootnoteReference"/>
          <w:sz w:val="30"/>
          <w:rtl/>
        </w:rPr>
        <w:t>(</w:t>
      </w:r>
      <w:r w:rsidR="00D10415" w:rsidRPr="002667CD">
        <w:rPr>
          <w:rStyle w:val="FootnoteReference"/>
          <w:sz w:val="30"/>
          <w:rtl/>
        </w:rPr>
        <w:footnoteReference w:id="14"/>
      </w:r>
      <w:r w:rsidR="00D10415">
        <w:rPr>
          <w:rStyle w:val="FootnoteReference"/>
          <w:sz w:val="30"/>
          <w:rtl/>
        </w:rPr>
        <w:t>)</w:t>
      </w:r>
      <w:r w:rsidR="00D10415">
        <w:rPr>
          <w:rFonts w:hint="cs"/>
          <w:rtl/>
        </w:rPr>
        <w:t>.</w:t>
      </w:r>
      <w:r w:rsidR="00EB56B7">
        <w:rPr>
          <w:rtl/>
        </w:rPr>
        <w:t xml:space="preserve"> </w:t>
      </w:r>
      <w:r w:rsidRPr="002667CD">
        <w:rPr>
          <w:sz w:val="30"/>
          <w:rtl/>
        </w:rPr>
        <w:t>و</w:t>
      </w:r>
      <w:r w:rsidRPr="002667CD">
        <w:rPr>
          <w:rFonts w:hint="cs"/>
          <w:sz w:val="30"/>
          <w:rtl/>
        </w:rPr>
        <w:t>في</w:t>
      </w:r>
      <w:r w:rsidR="00EB56B7">
        <w:rPr>
          <w:rFonts w:hint="cs"/>
          <w:sz w:val="30"/>
          <w:rtl/>
        </w:rPr>
        <w:t xml:space="preserve"> </w:t>
      </w:r>
      <w:r w:rsidRPr="002667CD">
        <w:rPr>
          <w:sz w:val="30"/>
          <w:rtl/>
        </w:rPr>
        <w:t>حزيران/</w:t>
      </w:r>
      <w:proofErr w:type="gramStart"/>
      <w:r w:rsidRPr="002667CD">
        <w:rPr>
          <w:sz w:val="30"/>
          <w:rtl/>
        </w:rPr>
        <w:t>يونيه</w:t>
      </w:r>
      <w:proofErr w:type="gramEnd"/>
      <w:r w:rsidR="00EB56B7">
        <w:rPr>
          <w:sz w:val="30"/>
          <w:rtl/>
        </w:rPr>
        <w:t xml:space="preserve"> </w:t>
      </w:r>
      <w:r w:rsidRPr="002667CD">
        <w:rPr>
          <w:rFonts w:hint="cs"/>
          <w:sz w:val="30"/>
          <w:rtl/>
        </w:rPr>
        <w:t>2014</w:t>
      </w:r>
      <w:r w:rsidRPr="002667CD">
        <w:rPr>
          <w:sz w:val="30"/>
          <w:rtl/>
        </w:rPr>
        <w:t>،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قدم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مكتب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شرطة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المقاطعة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في</w:t>
      </w:r>
      <w:r w:rsidR="00EB56B7">
        <w:rPr>
          <w:sz w:val="30"/>
          <w:rtl/>
        </w:rPr>
        <w:t xml:space="preserve"> </w:t>
      </w:r>
      <w:proofErr w:type="spellStart"/>
      <w:r w:rsidRPr="002667CD">
        <w:rPr>
          <w:sz w:val="30"/>
          <w:rtl/>
        </w:rPr>
        <w:t>كايلالي</w:t>
      </w:r>
      <w:proofErr w:type="spellEnd"/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ومكتب</w:t>
      </w:r>
      <w:r w:rsidR="00EB56B7">
        <w:rPr>
          <w:sz w:val="30"/>
          <w:rtl/>
        </w:rPr>
        <w:t xml:space="preserve"> </w:t>
      </w:r>
      <w:r w:rsidRPr="002667CD">
        <w:rPr>
          <w:rFonts w:hint="cs"/>
          <w:sz w:val="30"/>
          <w:rtl/>
        </w:rPr>
        <w:t>إ</w:t>
      </w:r>
      <w:r w:rsidRPr="002667CD">
        <w:rPr>
          <w:sz w:val="30"/>
          <w:rtl/>
        </w:rPr>
        <w:t>دارة</w:t>
      </w:r>
      <w:r w:rsidR="00EB56B7">
        <w:rPr>
          <w:sz w:val="30"/>
          <w:rtl/>
        </w:rPr>
        <w:t xml:space="preserve"> </w:t>
      </w:r>
      <w:r w:rsidRPr="002667CD">
        <w:rPr>
          <w:rFonts w:hint="cs"/>
          <w:sz w:val="30"/>
          <w:rtl/>
        </w:rPr>
        <w:t>شؤون</w:t>
      </w:r>
      <w:r w:rsidR="00EB56B7">
        <w:rPr>
          <w:rFonts w:hint="cs"/>
          <w:sz w:val="30"/>
          <w:rtl/>
        </w:rPr>
        <w:t xml:space="preserve"> </w:t>
      </w:r>
      <w:r w:rsidRPr="002667CD">
        <w:rPr>
          <w:sz w:val="30"/>
          <w:rtl/>
        </w:rPr>
        <w:t>المقاطعات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في</w:t>
      </w:r>
      <w:r w:rsidR="00EB56B7">
        <w:rPr>
          <w:sz w:val="30"/>
          <w:rtl/>
        </w:rPr>
        <w:t xml:space="preserve"> </w:t>
      </w:r>
      <w:proofErr w:type="spellStart"/>
      <w:r w:rsidRPr="002667CD">
        <w:rPr>
          <w:sz w:val="30"/>
          <w:rtl/>
        </w:rPr>
        <w:t>كايلالي</w:t>
      </w:r>
      <w:proofErr w:type="spellEnd"/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ردود</w:t>
      </w:r>
      <w:r w:rsidR="00BB4EF6">
        <w:rPr>
          <w:sz w:val="30"/>
          <w:rtl/>
        </w:rPr>
        <w:t>اً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مماثلة</w:t>
      </w:r>
      <w:r w:rsidRPr="002667CD">
        <w:rPr>
          <w:rFonts w:hint="cs"/>
          <w:sz w:val="30"/>
          <w:rtl/>
        </w:rPr>
        <w:t>.</w:t>
      </w:r>
      <w:r w:rsidR="00EB56B7">
        <w:rPr>
          <w:rFonts w:hint="cs"/>
          <w:sz w:val="30"/>
          <w:rtl/>
        </w:rPr>
        <w:t xml:space="preserve"> </w:t>
      </w:r>
      <w:r w:rsidRPr="002667CD">
        <w:rPr>
          <w:sz w:val="30"/>
          <w:rtl/>
        </w:rPr>
        <w:t>ولا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تزال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القضية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معلقة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في</w:t>
      </w:r>
      <w:r w:rsidR="00EB56B7">
        <w:rPr>
          <w:rFonts w:hint="cs"/>
          <w:sz w:val="30"/>
          <w:rtl/>
        </w:rPr>
        <w:t xml:space="preserve"> </w:t>
      </w:r>
      <w:r>
        <w:rPr>
          <w:rFonts w:hint="cs"/>
          <w:sz w:val="30"/>
          <w:rtl/>
        </w:rPr>
        <w:t>حين</w:t>
      </w:r>
      <w:r w:rsidR="00EB56B7">
        <w:rPr>
          <w:sz w:val="30"/>
          <w:rtl/>
        </w:rPr>
        <w:t xml:space="preserve"> </w:t>
      </w:r>
      <w:r>
        <w:rPr>
          <w:rFonts w:hint="cs"/>
          <w:sz w:val="30"/>
          <w:rtl/>
        </w:rPr>
        <w:t>بلغت</w:t>
      </w:r>
      <w:r w:rsidR="00EB56B7">
        <w:rPr>
          <w:rFonts w:hint="cs"/>
          <w:sz w:val="30"/>
          <w:rtl/>
        </w:rPr>
        <w:t xml:space="preserve"> </w:t>
      </w:r>
      <w:r w:rsidRPr="002667CD">
        <w:rPr>
          <w:sz w:val="30"/>
          <w:rtl/>
        </w:rPr>
        <w:t>الحالة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الصحية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العامة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لصاحبة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البلاغ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مرحلة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حرجة</w:t>
      </w:r>
      <w:r w:rsidR="00EB56B7">
        <w:rPr>
          <w:sz w:val="30"/>
          <w:rtl/>
        </w:rPr>
        <w:t xml:space="preserve"> </w:t>
      </w:r>
      <w:r w:rsidRPr="002667CD">
        <w:rPr>
          <w:sz w:val="30"/>
          <w:rtl/>
        </w:rPr>
        <w:t>وتتطلب</w:t>
      </w:r>
      <w:r w:rsidR="00EB56B7">
        <w:rPr>
          <w:sz w:val="30"/>
          <w:rtl/>
        </w:rPr>
        <w:t xml:space="preserve"> </w:t>
      </w:r>
      <w:r>
        <w:rPr>
          <w:rFonts w:hint="cs"/>
          <w:sz w:val="30"/>
          <w:rtl/>
        </w:rPr>
        <w:t>تدخلاً</w:t>
      </w:r>
      <w:r w:rsidR="00EB56B7">
        <w:rPr>
          <w:rFonts w:hint="cs"/>
          <w:sz w:val="30"/>
          <w:rtl/>
        </w:rPr>
        <w:t xml:space="preserve"> </w:t>
      </w:r>
      <w:r>
        <w:rPr>
          <w:rFonts w:hint="cs"/>
          <w:sz w:val="30"/>
          <w:rtl/>
        </w:rPr>
        <w:t>طبياً</w:t>
      </w:r>
      <w:r w:rsidR="00EB56B7">
        <w:rPr>
          <w:rFonts w:hint="cs"/>
          <w:sz w:val="30"/>
          <w:rtl/>
        </w:rPr>
        <w:t xml:space="preserve"> </w:t>
      </w:r>
      <w:r>
        <w:rPr>
          <w:rFonts w:hint="cs"/>
          <w:sz w:val="30"/>
          <w:rtl/>
        </w:rPr>
        <w:t>عاجلاً</w:t>
      </w:r>
      <w:r w:rsidRPr="002667CD">
        <w:rPr>
          <w:sz w:val="30"/>
          <w:rtl/>
        </w:rPr>
        <w:t>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2-17</w:t>
      </w:r>
      <w:r w:rsidR="00D7426A">
        <w:rPr>
          <w:rtl/>
        </w:rPr>
        <w:tab/>
      </w:r>
      <w:r w:rsidRPr="00C316B7">
        <w:rPr>
          <w:rFonts w:hint="cs"/>
          <w:rtl/>
        </w:rPr>
        <w:t>وتدعي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حاولت،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جدوى،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تسجيل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المحضر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التمهيدي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شكوى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</w:t>
      </w:r>
      <w:r>
        <w:rPr>
          <w:rFonts w:hint="cs"/>
          <w:rtl/>
        </w:rPr>
        <w:t>لحصول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تعويض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عملا</w:t>
      </w:r>
      <w:r>
        <w:rPr>
          <w:rFonts w:hint="cs"/>
          <w:rtl/>
        </w:rPr>
        <w:t>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بقانون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التعويض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التعذيب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لعام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1996.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وتدعي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أيض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أنه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</w:t>
      </w:r>
      <w:r>
        <w:rPr>
          <w:rFonts w:hint="cs"/>
          <w:rtl/>
        </w:rPr>
        <w:t>ُ</w:t>
      </w:r>
      <w:r w:rsidRPr="00C316B7">
        <w:rPr>
          <w:rFonts w:hint="cs"/>
          <w:rtl/>
        </w:rPr>
        <w:t>تح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انتصاف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فعالة،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وتستشهد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الصدد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</w:t>
      </w:r>
      <w:r>
        <w:rPr>
          <w:rFonts w:hint="cs"/>
          <w:rtl/>
        </w:rPr>
        <w:t>الاجتهادات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السابقة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للجنة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ن</w:t>
      </w:r>
      <w:r w:rsidRPr="00C316B7">
        <w:rPr>
          <w:rFonts w:hint="cs"/>
          <w:rtl/>
        </w:rPr>
        <w:t>ص</w:t>
      </w:r>
      <w:r>
        <w:rPr>
          <w:rFonts w:hint="cs"/>
          <w:rtl/>
        </w:rPr>
        <w:t>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استنفاد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الانتصاف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يكون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شرطاً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اتضح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الانتصاف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قضية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فعالة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ومتاحة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بحكم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الواقع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لصاحب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البلاغ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15"/>
      </w:r>
      <w:r w:rsidR="00D10415">
        <w:rPr>
          <w:rStyle w:val="FootnoteReference"/>
          <w:rtl/>
        </w:rPr>
        <w:t>)</w:t>
      </w:r>
      <w:r w:rsidR="00D10415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وأن</w:t>
      </w:r>
      <w:r>
        <w:rPr>
          <w:rFonts w:hint="cs"/>
          <w:rtl/>
        </w:rPr>
        <w:t>ه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حاجة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لاستنفاد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الانتصاف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المحلية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إذا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يكن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لصاحب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</w:t>
      </w:r>
      <w:r w:rsidRPr="00C316B7">
        <w:rPr>
          <w:rFonts w:hint="cs"/>
          <w:rtl/>
        </w:rPr>
        <w:t>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احتمال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بالنجاح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16"/>
      </w:r>
      <w:r w:rsidR="00D10415">
        <w:rPr>
          <w:rStyle w:val="FootnoteReference"/>
          <w:rtl/>
        </w:rPr>
        <w:t>)</w:t>
      </w:r>
      <w:r>
        <w:rPr>
          <w:rtl/>
        </w:rPr>
        <w:t>‬</w:t>
      </w:r>
      <w:r w:rsidR="00D10415">
        <w:rPr>
          <w:rFonts w:hint="cs"/>
          <w:rtl/>
        </w:rPr>
        <w:t>.</w:t>
      </w:r>
    </w:p>
    <w:p w:rsidR="006D5AFA" w:rsidRPr="00D7426A" w:rsidRDefault="006D5AFA" w:rsidP="006D5AFA">
      <w:pPr>
        <w:pStyle w:val="SingleTxtGA"/>
        <w:rPr>
          <w:spacing w:val="-2"/>
          <w:rtl/>
        </w:rPr>
      </w:pPr>
      <w:r w:rsidRPr="00D7426A">
        <w:rPr>
          <w:rFonts w:hint="cs"/>
          <w:spacing w:val="-2"/>
          <w:rtl/>
        </w:rPr>
        <w:t>2-18</w:t>
      </w:r>
      <w:r w:rsidR="009435F0" w:rsidRPr="00D7426A">
        <w:rPr>
          <w:spacing w:val="-2"/>
          <w:rtl/>
        </w:rPr>
        <w:tab/>
      </w:r>
      <w:r w:rsidRPr="00D7426A">
        <w:rPr>
          <w:rFonts w:hint="cs"/>
          <w:spacing w:val="-2"/>
          <w:rtl/>
        </w:rPr>
        <w:t>وتشير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صاحبة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البلاغ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كذلك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إلى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إحدى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القضايا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ضد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نيبال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رأت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فيها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اللجنة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أن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إيداع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المحاضر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التمهيدية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لدى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الشرطة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نادراً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ما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يفضي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إلى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إجراء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أي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تحقيق،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وأعلنت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بناء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على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ذلك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قبول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Fonts w:hint="cs"/>
          <w:spacing w:val="-2"/>
          <w:rtl/>
        </w:rPr>
        <w:t>القضية</w:t>
      </w:r>
      <w:r w:rsidR="00D10415" w:rsidRPr="00D7426A">
        <w:rPr>
          <w:rStyle w:val="FootnoteReference"/>
          <w:spacing w:val="-2"/>
          <w:rtl/>
        </w:rPr>
        <w:t>(</w:t>
      </w:r>
      <w:r w:rsidR="00D10415" w:rsidRPr="00D7426A">
        <w:rPr>
          <w:rStyle w:val="FootnoteReference"/>
          <w:spacing w:val="-2"/>
          <w:rtl/>
        </w:rPr>
        <w:footnoteReference w:id="17"/>
      </w:r>
      <w:r w:rsidR="00D10415" w:rsidRPr="00D7426A">
        <w:rPr>
          <w:rStyle w:val="FootnoteReference"/>
          <w:spacing w:val="-2"/>
          <w:rtl/>
        </w:rPr>
        <w:t>)</w:t>
      </w:r>
      <w:r w:rsidR="00D10415" w:rsidRPr="00D7426A">
        <w:rPr>
          <w:rFonts w:hint="cs"/>
          <w:spacing w:val="-2"/>
          <w:rtl/>
        </w:rPr>
        <w:t>.</w:t>
      </w:r>
      <w:r w:rsidR="00EB56B7" w:rsidRPr="00D7426A">
        <w:rPr>
          <w:rFonts w:hint="cs"/>
          <w:spacing w:val="-2"/>
          <w:rtl/>
        </w:rPr>
        <w:t xml:space="preserve"> </w:t>
      </w:r>
      <w:r w:rsidRPr="00D7426A">
        <w:rPr>
          <w:rStyle w:val="systrantokenword"/>
          <w:rFonts w:ascii="Traditional Arabic" w:hAnsi="Traditional Arabic"/>
          <w:spacing w:val="-2"/>
          <w:sz w:val="30"/>
          <w:rtl/>
        </w:rPr>
        <w:t>وتضيف</w:t>
      </w:r>
      <w:r w:rsidR="00EB56B7" w:rsidRPr="00D7426A">
        <w:rPr>
          <w:rStyle w:val="systranseg"/>
          <w:rFonts w:ascii="Traditional Arabic" w:eastAsiaTheme="majorEastAsia" w:hAnsi="Traditional Arabic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/>
          <w:spacing w:val="-2"/>
          <w:sz w:val="30"/>
          <w:rtl/>
        </w:rPr>
        <w:t>صاحبة</w:t>
      </w:r>
      <w:r w:rsidR="00EB56B7" w:rsidRPr="00D7426A">
        <w:rPr>
          <w:rStyle w:val="systranseg"/>
          <w:rFonts w:ascii="Traditional Arabic" w:eastAsiaTheme="majorEastAsia" w:hAnsi="Traditional Arabic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/>
          <w:spacing w:val="-2"/>
          <w:sz w:val="30"/>
          <w:rtl/>
        </w:rPr>
        <w:t>البلاغ</w:t>
      </w:r>
      <w:r w:rsidR="00EB56B7" w:rsidRPr="00D7426A">
        <w:rPr>
          <w:rStyle w:val="systranseg"/>
          <w:rFonts w:ascii="Traditional Arabic" w:eastAsiaTheme="majorEastAsia" w:hAnsi="Traditional Arabic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 w:hint="cs"/>
          <w:spacing w:val="-2"/>
          <w:sz w:val="30"/>
          <w:rtl/>
        </w:rPr>
        <w:t>أ</w:t>
      </w:r>
      <w:r w:rsidRPr="00D7426A">
        <w:rPr>
          <w:rStyle w:val="systrantokenword"/>
          <w:rFonts w:ascii="Traditional Arabic" w:hAnsi="Traditional Arabic"/>
          <w:spacing w:val="-2"/>
          <w:sz w:val="30"/>
          <w:rtl/>
        </w:rPr>
        <w:t>ن</w:t>
      </w:r>
      <w:r w:rsidR="00EB56B7" w:rsidRPr="00D7426A">
        <w:rPr>
          <w:rStyle w:val="systranseg"/>
          <w:rFonts w:ascii="Traditional Arabic" w:eastAsiaTheme="majorEastAsia" w:hAnsi="Traditional Arabic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/>
          <w:spacing w:val="-2"/>
          <w:sz w:val="30"/>
          <w:rtl/>
        </w:rPr>
        <w:t>اللجنة</w:t>
      </w:r>
      <w:r w:rsidR="00EB56B7" w:rsidRPr="00D7426A">
        <w:rPr>
          <w:rStyle w:val="systranseg"/>
          <w:rFonts w:ascii="Traditional Arabic" w:eastAsiaTheme="majorEastAsia" w:hAnsi="Traditional Arabic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 w:hint="cs"/>
          <w:spacing w:val="-2"/>
          <w:sz w:val="30"/>
          <w:rtl/>
        </w:rPr>
        <w:t>أ</w:t>
      </w:r>
      <w:r w:rsidRPr="00D7426A">
        <w:rPr>
          <w:rStyle w:val="systrantokenword"/>
          <w:rFonts w:ascii="Traditional Arabic" w:hAnsi="Traditional Arabic"/>
          <w:spacing w:val="-2"/>
          <w:sz w:val="30"/>
          <w:rtl/>
        </w:rPr>
        <w:t>شارت</w:t>
      </w:r>
      <w:r w:rsidR="00EB56B7" w:rsidRPr="00D7426A">
        <w:rPr>
          <w:rStyle w:val="systranseg"/>
          <w:rFonts w:ascii="Traditional Arabic" w:eastAsiaTheme="majorEastAsia" w:hAnsi="Traditional Arabic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/>
          <w:spacing w:val="-2"/>
          <w:sz w:val="30"/>
          <w:rtl/>
        </w:rPr>
        <w:t>صراحة</w:t>
      </w:r>
      <w:r w:rsidR="00EB56B7" w:rsidRPr="00D7426A">
        <w:rPr>
          <w:rStyle w:val="systranseg"/>
          <w:rFonts w:ascii="Traditional Arabic" w:eastAsiaTheme="majorEastAsia" w:hAnsi="Traditional Arabic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/>
          <w:spacing w:val="-2"/>
          <w:sz w:val="30"/>
          <w:rtl/>
        </w:rPr>
        <w:t>في</w:t>
      </w:r>
      <w:r w:rsidR="00EB56B7" w:rsidRPr="00D7426A">
        <w:rPr>
          <w:rStyle w:val="systranseg"/>
          <w:rFonts w:ascii="Traditional Arabic" w:eastAsiaTheme="majorEastAsia" w:hAnsi="Traditional Arabic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 w:hint="cs"/>
          <w:spacing w:val="-2"/>
          <w:sz w:val="30"/>
          <w:rtl/>
        </w:rPr>
        <w:t>قضايا</w:t>
      </w:r>
      <w:r w:rsidR="00EB56B7" w:rsidRPr="00D7426A">
        <w:rPr>
          <w:rStyle w:val="systranseg"/>
          <w:rFonts w:ascii="Traditional Arabic" w:eastAsiaTheme="majorEastAsia" w:hAnsi="Traditional Arabic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 w:hint="cs"/>
          <w:spacing w:val="-2"/>
          <w:sz w:val="30"/>
          <w:rtl/>
        </w:rPr>
        <w:t>أ</w:t>
      </w:r>
      <w:r w:rsidRPr="00D7426A">
        <w:rPr>
          <w:rStyle w:val="systrantokenword"/>
          <w:rFonts w:ascii="Traditional Arabic" w:hAnsi="Traditional Arabic"/>
          <w:spacing w:val="-2"/>
          <w:sz w:val="30"/>
          <w:rtl/>
        </w:rPr>
        <w:t>خرى</w:t>
      </w:r>
      <w:r w:rsidR="00EB56B7" w:rsidRPr="00D7426A">
        <w:rPr>
          <w:rStyle w:val="systranseg"/>
          <w:rFonts w:ascii="Traditional Arabic" w:eastAsiaTheme="majorEastAsia" w:hAnsi="Traditional Arabic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 w:hint="cs"/>
          <w:spacing w:val="-2"/>
          <w:sz w:val="30"/>
          <w:rtl/>
        </w:rPr>
        <w:t>إ</w:t>
      </w:r>
      <w:r w:rsidRPr="00D7426A">
        <w:rPr>
          <w:rStyle w:val="systrantokenword"/>
          <w:rFonts w:ascii="Traditional Arabic" w:hAnsi="Traditional Arabic"/>
          <w:spacing w:val="-2"/>
          <w:sz w:val="30"/>
          <w:rtl/>
        </w:rPr>
        <w:t>لى</w:t>
      </w:r>
      <w:r w:rsidR="00EB56B7" w:rsidRPr="00D7426A">
        <w:rPr>
          <w:rStyle w:val="systranseg"/>
          <w:rFonts w:ascii="Traditional Arabic" w:eastAsiaTheme="majorEastAsia" w:hAnsi="Traditional Arabic" w:hint="cs"/>
          <w:spacing w:val="-2"/>
          <w:sz w:val="30"/>
          <w:rtl/>
        </w:rPr>
        <w:t xml:space="preserve"> </w:t>
      </w:r>
      <w:r w:rsidRPr="00D7426A">
        <w:rPr>
          <w:rStyle w:val="systranseg"/>
          <w:rFonts w:ascii="Traditional Arabic" w:eastAsiaTheme="majorEastAsia" w:hAnsi="Traditional Arabic" w:hint="cs"/>
          <w:spacing w:val="-2"/>
          <w:sz w:val="30"/>
          <w:rtl/>
        </w:rPr>
        <w:t>أن</w:t>
      </w:r>
      <w:r w:rsidR="00EB56B7" w:rsidRPr="00D7426A">
        <w:rPr>
          <w:rStyle w:val="systranseg"/>
          <w:rFonts w:ascii="Traditional Arabic" w:eastAsiaTheme="majorEastAsia" w:hAnsi="Traditional Arabic" w:hint="cs"/>
          <w:spacing w:val="-2"/>
          <w:sz w:val="30"/>
          <w:rtl/>
        </w:rPr>
        <w:t xml:space="preserve"> </w:t>
      </w:r>
      <w:r w:rsidRPr="00D7426A">
        <w:rPr>
          <w:rStyle w:val="systranseg"/>
          <w:rFonts w:ascii="Traditional Arabic" w:eastAsiaTheme="majorEastAsia" w:hAnsi="Traditional Arabic" w:hint="cs"/>
          <w:spacing w:val="-2"/>
          <w:sz w:val="30"/>
          <w:rtl/>
        </w:rPr>
        <w:t>حكم</w:t>
      </w:r>
      <w:r w:rsidR="00EB56B7" w:rsidRPr="00D7426A">
        <w:rPr>
          <w:rStyle w:val="systranseg"/>
          <w:rFonts w:ascii="Traditional Arabic" w:eastAsiaTheme="majorEastAsia" w:hAnsi="Traditional Arabic" w:hint="cs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/>
          <w:spacing w:val="-2"/>
          <w:sz w:val="30"/>
          <w:rtl/>
        </w:rPr>
        <w:t>التقادم</w:t>
      </w:r>
      <w:r w:rsidR="00EB56B7" w:rsidRPr="00D7426A">
        <w:rPr>
          <w:rStyle w:val="systranseg"/>
          <w:rFonts w:ascii="Traditional Arabic" w:eastAsiaTheme="majorEastAsia" w:hAnsi="Traditional Arabic"/>
          <w:spacing w:val="-2"/>
          <w:sz w:val="30"/>
          <w:rtl/>
        </w:rPr>
        <w:t xml:space="preserve"> </w:t>
      </w:r>
      <w:r w:rsidRPr="00D7426A">
        <w:rPr>
          <w:rStyle w:val="systranseg"/>
          <w:rFonts w:ascii="Traditional Arabic" w:eastAsiaTheme="majorEastAsia" w:hAnsi="Traditional Arabic" w:hint="cs"/>
          <w:spacing w:val="-2"/>
          <w:sz w:val="30"/>
          <w:rtl/>
        </w:rPr>
        <w:t>المحدد</w:t>
      </w:r>
      <w:r w:rsidR="00EB56B7" w:rsidRPr="00D7426A">
        <w:rPr>
          <w:rStyle w:val="systranseg"/>
          <w:rFonts w:ascii="Traditional Arabic" w:eastAsiaTheme="majorEastAsia" w:hAnsi="Traditional Arabic" w:hint="cs"/>
          <w:spacing w:val="-2"/>
          <w:sz w:val="30"/>
          <w:rtl/>
        </w:rPr>
        <w:t xml:space="preserve"> </w:t>
      </w:r>
      <w:r w:rsidR="002B0931" w:rsidRPr="00D7426A">
        <w:rPr>
          <w:rStyle w:val="systranseg"/>
          <w:rFonts w:ascii="Traditional Arabic" w:eastAsiaTheme="majorEastAsia" w:hAnsi="Traditional Arabic" w:hint="cs"/>
          <w:spacing w:val="-2"/>
          <w:sz w:val="30"/>
          <w:rtl/>
        </w:rPr>
        <w:t>بـ</w:t>
      </w:r>
      <w:r w:rsidR="00EB56B7" w:rsidRPr="00D7426A">
        <w:rPr>
          <w:rStyle w:val="systranseg"/>
          <w:rFonts w:ascii="Traditional Arabic" w:eastAsiaTheme="majorEastAsia" w:hAnsi="Traditional Arabic" w:hint="cs"/>
          <w:spacing w:val="-2"/>
          <w:sz w:val="30"/>
          <w:rtl/>
        </w:rPr>
        <w:t xml:space="preserve"> </w:t>
      </w:r>
      <w:r w:rsidRPr="00D7426A">
        <w:rPr>
          <w:rStyle w:val="systranseg"/>
          <w:rFonts w:ascii="Traditional Arabic" w:eastAsiaTheme="majorEastAsia" w:hAnsi="Traditional Arabic" w:hint="cs"/>
          <w:spacing w:val="-2"/>
          <w:sz w:val="30"/>
          <w:rtl/>
        </w:rPr>
        <w:t>35</w:t>
      </w:r>
      <w:r w:rsidR="00EB56B7" w:rsidRPr="00D7426A">
        <w:rPr>
          <w:rStyle w:val="systranseg"/>
          <w:rFonts w:ascii="Traditional Arabic" w:eastAsiaTheme="majorEastAsia" w:hAnsi="Traditional Arabic" w:hint="cs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/>
          <w:spacing w:val="-2"/>
          <w:sz w:val="30"/>
          <w:rtl/>
        </w:rPr>
        <w:t>يوما</w:t>
      </w:r>
      <w:r w:rsidRPr="00D7426A">
        <w:rPr>
          <w:rStyle w:val="systrantokenword"/>
          <w:rFonts w:ascii="Traditional Arabic" w:hAnsi="Traditional Arabic" w:hint="cs"/>
          <w:spacing w:val="-2"/>
          <w:sz w:val="30"/>
          <w:rtl/>
        </w:rPr>
        <w:t>ً</w:t>
      </w:r>
      <w:r w:rsidR="00EB56B7" w:rsidRPr="00D7426A">
        <w:rPr>
          <w:rStyle w:val="systranseg"/>
          <w:rFonts w:ascii="Traditional Arabic" w:eastAsiaTheme="majorEastAsia" w:hAnsi="Traditional Arabic"/>
          <w:spacing w:val="-2"/>
          <w:sz w:val="30"/>
          <w:rtl/>
        </w:rPr>
        <w:t xml:space="preserve"> </w:t>
      </w:r>
      <w:r w:rsidRPr="00D7426A">
        <w:rPr>
          <w:rStyle w:val="systranseg"/>
          <w:rFonts w:ascii="Traditional Arabic" w:eastAsiaTheme="majorEastAsia" w:hAnsi="Traditional Arabic" w:hint="cs"/>
          <w:spacing w:val="-2"/>
          <w:sz w:val="30"/>
          <w:rtl/>
        </w:rPr>
        <w:t>صارم</w:t>
      </w:r>
      <w:r w:rsidR="00D10415" w:rsidRPr="00D7426A">
        <w:rPr>
          <w:rStyle w:val="FootnoteReference"/>
          <w:spacing w:val="-2"/>
          <w:rtl/>
        </w:rPr>
        <w:t>(</w:t>
      </w:r>
      <w:r w:rsidR="00D10415" w:rsidRPr="00D7426A">
        <w:rPr>
          <w:rStyle w:val="FootnoteReference"/>
          <w:spacing w:val="-2"/>
          <w:rtl/>
        </w:rPr>
        <w:footnoteReference w:id="18"/>
      </w:r>
      <w:r w:rsidR="00D10415" w:rsidRPr="00D7426A">
        <w:rPr>
          <w:rStyle w:val="FootnoteReference"/>
          <w:spacing w:val="-2"/>
          <w:rtl/>
        </w:rPr>
        <w:t>)</w:t>
      </w:r>
      <w:r w:rsidR="00EB56B7" w:rsidRPr="00D7426A">
        <w:rPr>
          <w:rStyle w:val="systranseg"/>
          <w:rFonts w:ascii="Traditional Arabic" w:eastAsiaTheme="majorEastAsia" w:hAnsi="Traditional Arabic" w:hint="cs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/>
          <w:spacing w:val="-2"/>
          <w:sz w:val="30"/>
          <w:rtl/>
        </w:rPr>
        <w:t>و</w:t>
      </w:r>
      <w:r w:rsidRPr="00D7426A">
        <w:rPr>
          <w:rStyle w:val="systrantokenword"/>
          <w:rFonts w:ascii="Traditional Arabic" w:hAnsi="Traditional Arabic" w:hint="cs"/>
          <w:spacing w:val="-2"/>
          <w:sz w:val="30"/>
          <w:rtl/>
        </w:rPr>
        <w:t>يخالف</w:t>
      </w:r>
      <w:r w:rsidR="00EB56B7" w:rsidRPr="00D7426A">
        <w:rPr>
          <w:rStyle w:val="systrantokenword"/>
          <w:rFonts w:ascii="Traditional Arabic" w:hAnsi="Traditional Arabic" w:hint="cs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 w:hint="cs"/>
          <w:spacing w:val="-2"/>
          <w:sz w:val="30"/>
          <w:rtl/>
        </w:rPr>
        <w:t>بشكل</w:t>
      </w:r>
      <w:r w:rsidR="00EB56B7" w:rsidRPr="00D7426A">
        <w:rPr>
          <w:rStyle w:val="systrantokenword"/>
          <w:rFonts w:ascii="Traditional Arabic" w:hAnsi="Traditional Arabic" w:hint="cs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 w:hint="cs"/>
          <w:spacing w:val="-2"/>
          <w:sz w:val="30"/>
          <w:rtl/>
        </w:rPr>
        <w:t>صارخ</w:t>
      </w:r>
      <w:r w:rsidR="00EB56B7" w:rsidRPr="00D7426A">
        <w:rPr>
          <w:rStyle w:val="systrantokenword"/>
          <w:rFonts w:ascii="Traditional Arabic" w:hAnsi="Traditional Arabic" w:hint="cs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 w:hint="cs"/>
          <w:spacing w:val="-2"/>
          <w:sz w:val="30"/>
          <w:rtl/>
        </w:rPr>
        <w:t>مراعاة</w:t>
      </w:r>
      <w:r w:rsidR="00EB56B7" w:rsidRPr="00D7426A">
        <w:rPr>
          <w:rStyle w:val="systrantokenword"/>
          <w:rFonts w:ascii="Traditional Arabic" w:hAnsi="Traditional Arabic" w:hint="cs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/>
          <w:spacing w:val="-2"/>
          <w:sz w:val="30"/>
          <w:rtl/>
        </w:rPr>
        <w:t>خطورة</w:t>
      </w:r>
      <w:r w:rsidR="00EB56B7" w:rsidRPr="00D7426A">
        <w:rPr>
          <w:rStyle w:val="systranseg"/>
          <w:rFonts w:ascii="Traditional Arabic" w:eastAsiaTheme="majorEastAsia" w:hAnsi="Traditional Arabic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/>
          <w:spacing w:val="-2"/>
          <w:sz w:val="30"/>
          <w:rtl/>
        </w:rPr>
        <w:t>جريمة</w:t>
      </w:r>
      <w:r w:rsidR="00EB56B7" w:rsidRPr="00D7426A">
        <w:rPr>
          <w:rStyle w:val="systranseg"/>
          <w:rFonts w:ascii="Traditional Arabic" w:eastAsiaTheme="majorEastAsia" w:hAnsi="Traditional Arabic"/>
          <w:spacing w:val="-2"/>
          <w:sz w:val="30"/>
          <w:rtl/>
        </w:rPr>
        <w:t xml:space="preserve"> </w:t>
      </w:r>
      <w:r w:rsidRPr="00D7426A">
        <w:rPr>
          <w:rStyle w:val="systrantokenword"/>
          <w:rFonts w:ascii="Traditional Arabic" w:hAnsi="Traditional Arabic"/>
          <w:spacing w:val="-2"/>
          <w:sz w:val="30"/>
          <w:rtl/>
        </w:rPr>
        <w:t>التعذي</w:t>
      </w:r>
      <w:r w:rsidRPr="00D7426A">
        <w:rPr>
          <w:rStyle w:val="systrantokenword"/>
          <w:rFonts w:ascii="Traditional Arabic" w:hAnsi="Traditional Arabic" w:hint="cs"/>
          <w:spacing w:val="-2"/>
          <w:sz w:val="30"/>
          <w:rtl/>
        </w:rPr>
        <w:t>ب</w:t>
      </w:r>
      <w:r w:rsidR="00D10415" w:rsidRPr="00D7426A">
        <w:rPr>
          <w:rStyle w:val="FootnoteReference"/>
          <w:spacing w:val="-2"/>
          <w:rtl/>
        </w:rPr>
        <w:t>(</w:t>
      </w:r>
      <w:r w:rsidR="00D10415" w:rsidRPr="00D7426A">
        <w:rPr>
          <w:rStyle w:val="FootnoteReference"/>
          <w:spacing w:val="-2"/>
          <w:rtl/>
        </w:rPr>
        <w:footnoteReference w:id="19"/>
      </w:r>
      <w:r w:rsidR="00D10415" w:rsidRPr="00D7426A">
        <w:rPr>
          <w:rStyle w:val="FootnoteReference"/>
          <w:spacing w:val="-2"/>
          <w:rtl/>
        </w:rPr>
        <w:t>)</w:t>
      </w:r>
      <w:r w:rsidRPr="00D7426A">
        <w:rPr>
          <w:spacing w:val="-2"/>
          <w:rtl/>
        </w:rPr>
        <w:t>‬</w:t>
      </w:r>
      <w:r w:rsidR="00D10415" w:rsidRPr="00D7426A">
        <w:rPr>
          <w:rFonts w:hint="cs"/>
          <w:spacing w:val="-2"/>
          <w:rtl/>
        </w:rPr>
        <w:t>.</w:t>
      </w:r>
    </w:p>
    <w:p w:rsidR="006D5AFA" w:rsidRPr="000C22EC" w:rsidRDefault="006D5AFA" w:rsidP="006D5AFA">
      <w:pPr>
        <w:pStyle w:val="H23GA"/>
        <w:rPr>
          <w:rtl/>
        </w:rPr>
      </w:pPr>
      <w:r w:rsidRPr="00C316B7">
        <w:rPr>
          <w:rFonts w:hint="cs"/>
          <w:rtl/>
        </w:rPr>
        <w:tab/>
      </w:r>
      <w:r w:rsidRPr="00C316B7">
        <w:rPr>
          <w:rFonts w:hint="cs"/>
          <w:rtl/>
        </w:rPr>
        <w:tab/>
      </w:r>
      <w:r w:rsidRPr="000C22EC">
        <w:rPr>
          <w:rFonts w:hint="cs"/>
          <w:rtl/>
        </w:rPr>
        <w:t>الشكوى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3-1</w:t>
      </w:r>
      <w:r w:rsidR="009435F0">
        <w:rPr>
          <w:rtl/>
        </w:rPr>
        <w:tab/>
      </w:r>
      <w:r w:rsidRPr="00C316B7">
        <w:rPr>
          <w:rFonts w:hint="cs"/>
          <w:rtl/>
        </w:rPr>
        <w:t>تدعي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انتهكت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المواد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7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8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3)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أ)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10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مقروءة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لوحدها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وبالاقتران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المواد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1)-(3)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3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24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26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أُخضعت</w:t>
      </w:r>
      <w:bookmarkStart w:id="0" w:name="_Hlk531535004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والاعتداء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والتعذيب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وسوء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المعاملة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وظروف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احتجاز</w:t>
      </w:r>
      <w:bookmarkEnd w:id="0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إنسانية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والعمل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القسري،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تتح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سبيل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انتصاف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فعال،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تفتح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تحقيقا</w:t>
      </w:r>
      <w:r>
        <w:rPr>
          <w:rFonts w:hint="cs"/>
          <w:rtl/>
        </w:rPr>
        <w:t>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مباشرا</w:t>
      </w:r>
      <w:r>
        <w:rPr>
          <w:rFonts w:hint="cs"/>
          <w:rtl/>
        </w:rPr>
        <w:t>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وسريعا</w:t>
      </w:r>
      <w:r>
        <w:rPr>
          <w:rFonts w:hint="cs"/>
          <w:rtl/>
        </w:rPr>
        <w:t>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وفعالا</w:t>
      </w:r>
      <w:r>
        <w:rPr>
          <w:rFonts w:hint="cs"/>
          <w:rtl/>
        </w:rPr>
        <w:t>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ومستقلا</w:t>
      </w:r>
      <w:r>
        <w:rPr>
          <w:rFonts w:hint="cs"/>
          <w:rtl/>
        </w:rPr>
        <w:t>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ونزيها</w:t>
      </w:r>
      <w:r>
        <w:rPr>
          <w:rFonts w:hint="cs"/>
          <w:rtl/>
        </w:rPr>
        <w:t>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وشاملا</w:t>
      </w:r>
      <w:r>
        <w:rPr>
          <w:rFonts w:hint="cs"/>
          <w:rtl/>
        </w:rPr>
        <w:t>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ادعاءاتها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تحاكم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وتعاقب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المسؤولين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ذلك.</w:t>
      </w:r>
      <w:r w:rsidRPr="00C316B7"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وتدفع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الانتهاكات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تفاقمت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كانت،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الأحداث،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فتاة</w:t>
      </w:r>
      <w:r w:rsidR="00EB56B7">
        <w:rPr>
          <w:rFonts w:hint="eastAsia"/>
          <w:rtl/>
        </w:rPr>
        <w:t xml:space="preserve"> </w:t>
      </w:r>
      <w:r w:rsidRPr="00C316B7">
        <w:rPr>
          <w:rFonts w:hint="cs"/>
          <w:rtl/>
        </w:rPr>
        <w:t>شابة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الأصليين،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ومن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المنطلق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حماية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خاصة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lastRenderedPageBreak/>
        <w:t>وتضيف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والاعتداء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اللذين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عانتهما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جزءاً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ممارسة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منهجية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إبان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النزاع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نيبال.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وعلاوة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تدعي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نيبال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تعتمد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تدابير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تشريعية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فعالة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لإعمال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الحقوق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المنصوص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تُزل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العقبات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الكامنة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الإطار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القانوني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القائم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تترتب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آثار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متناسبة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المرأة.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ووفقاً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للقانون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النيبالي،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لا</w:t>
      </w:r>
      <w:r w:rsidR="00EB56B7">
        <w:rPr>
          <w:rFonts w:hint="eastAsia"/>
          <w:rtl/>
        </w:rPr>
        <w:t xml:space="preserve"> </w:t>
      </w:r>
      <w:r>
        <w:rPr>
          <w:rFonts w:hint="cs"/>
          <w:rtl/>
        </w:rPr>
        <w:t>تُقبل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شكوى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تُ</w:t>
      </w:r>
      <w:r w:rsidRPr="00C316B7">
        <w:rPr>
          <w:rFonts w:hint="cs"/>
          <w:rtl/>
        </w:rPr>
        <w:t>قدم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غضون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35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يوما</w:t>
      </w:r>
      <w:r w:rsidR="00EB56B7">
        <w:rPr>
          <w:rFonts w:hint="cs"/>
          <w:rtl/>
        </w:rPr>
        <w:t xml:space="preserve">ً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ارتكاب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حدوث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20"/>
      </w:r>
      <w:r w:rsidR="00D10415">
        <w:rPr>
          <w:rStyle w:val="FootnoteReference"/>
          <w:rtl/>
        </w:rPr>
        <w:t>)</w:t>
      </w:r>
      <w:r w:rsidR="00D10415">
        <w:rPr>
          <w:rFonts w:hint="cs"/>
          <w:rtl/>
        </w:rPr>
        <w:t>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وقد</w:t>
      </w:r>
      <w:r w:rsidR="00EB56B7">
        <w:rPr>
          <w:rFonts w:hint="cs"/>
          <w:rtl/>
        </w:rPr>
        <w:t xml:space="preserve"> </w:t>
      </w:r>
      <w:r w:rsidR="00D7426A">
        <w:rPr>
          <w:rFonts w:hint="cs"/>
          <w:rtl/>
        </w:rPr>
        <w:t>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المستحيل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مادي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شكواها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حينها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رهن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الاحتجاز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التعسفي.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وتدعي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ضحية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التمييز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أساس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انتمائها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الجنساني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والعرقي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بسبب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موقف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السلطات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منها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21"/>
      </w:r>
      <w:r w:rsidR="00D10415">
        <w:rPr>
          <w:rStyle w:val="FootnoteReference"/>
          <w:rtl/>
        </w:rPr>
        <w:t>)</w:t>
      </w:r>
      <w:r>
        <w:rPr>
          <w:rtl/>
        </w:rPr>
        <w:t>‬</w:t>
      </w:r>
      <w:r w:rsidR="00D10415">
        <w:rPr>
          <w:rFonts w:hint="cs"/>
          <w:rtl/>
        </w:rPr>
        <w:t>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3-2</w:t>
      </w:r>
      <w:r w:rsidR="00D10415">
        <w:rPr>
          <w:rtl/>
        </w:rPr>
        <w:tab/>
      </w:r>
      <w:r w:rsidRPr="00C316B7">
        <w:rPr>
          <w:rFonts w:hint="cs"/>
          <w:rtl/>
        </w:rPr>
        <w:t>وتدعي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ضحية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انتهاك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9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1-3)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مقروءة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لوحدها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وبالاقتران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3)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و24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أُخضعت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للاعتقال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والاحتجاز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التعسفيين،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تُبل</w:t>
      </w:r>
      <w:r>
        <w:rPr>
          <w:rFonts w:hint="cs"/>
          <w:rtl/>
        </w:rPr>
        <w:t>َّ</w:t>
      </w:r>
      <w:r w:rsidRPr="00C316B7">
        <w:rPr>
          <w:rFonts w:hint="cs"/>
          <w:rtl/>
        </w:rPr>
        <w:t>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اعتقالها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بأسباب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بالتهم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الموجهة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فوراً.</w:t>
      </w:r>
      <w:r w:rsidRPr="00C316B7">
        <w:rPr>
          <w:rtl/>
        </w:rPr>
        <w:t>‬</w:t>
      </w:r>
      <w:bookmarkStart w:id="1" w:name="_Hlk532215621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تفتح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السلطات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تحقيق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فعال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ادعاءات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حدوث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الانتهاكات،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تحدد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هوية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المسؤولين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تحاكمهم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تعاقبهم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توفر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الحماية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الخاصة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الواجبة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لها</w:t>
      </w:r>
      <w:r w:rsidR="00714525">
        <w:rPr>
          <w:rFonts w:hint="eastAsia"/>
          <w:rtl/>
        </w:rPr>
        <w:t> </w:t>
      </w:r>
      <w:r>
        <w:rPr>
          <w:rFonts w:hint="cs"/>
          <w:rtl/>
        </w:rPr>
        <w:t>كونها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طفلة</w:t>
      </w:r>
      <w:r w:rsidRPr="00C316B7">
        <w:rPr>
          <w:rFonts w:hint="cs"/>
          <w:rtl/>
        </w:rPr>
        <w:t>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bookmarkEnd w:id="1"/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3-3</w:t>
      </w:r>
      <w:bookmarkStart w:id="2" w:name="_Hlk532219677"/>
      <w:r w:rsidR="00D7426A">
        <w:rPr>
          <w:rtl/>
        </w:rPr>
        <w:tab/>
      </w:r>
      <w:r>
        <w:rPr>
          <w:rFonts w:hint="cs"/>
          <w:rtl/>
        </w:rPr>
        <w:t>و</w:t>
      </w:r>
      <w:r w:rsidRPr="00C316B7">
        <w:rPr>
          <w:rFonts w:hint="cs"/>
          <w:rtl/>
        </w:rPr>
        <w:t>تدعي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الأخير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انتهاك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17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23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مقروءتين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لوحدهما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وبالاقتران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المواد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(3)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24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26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بسبب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التدخل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التعسفي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خصوصيتها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وحريتها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ك</w:t>
      </w:r>
      <w:r w:rsidRPr="00C316B7">
        <w:rPr>
          <w:rFonts w:hint="cs"/>
          <w:rtl/>
        </w:rPr>
        <w:t>امرأةً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22"/>
      </w:r>
      <w:r w:rsidR="00D10415">
        <w:rPr>
          <w:rStyle w:val="FootnoteReference"/>
          <w:rtl/>
        </w:rPr>
        <w:t>)</w:t>
      </w:r>
      <w:r w:rsidR="009435F0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</w:t>
      </w:r>
      <w:r>
        <w:rPr>
          <w:rFonts w:hint="cs"/>
          <w:rtl/>
        </w:rPr>
        <w:t>قويض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حياتها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الأسرية،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والنيل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وجه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شرفها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وسمعتها.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وعلاوة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تتخذ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السلطات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تدابير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لحماية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أسرة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جعل</w:t>
      </w:r>
      <w:r>
        <w:rPr>
          <w:rFonts w:hint="cs"/>
          <w:rtl/>
        </w:rPr>
        <w:t>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تعاني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الوصم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والتهميش.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وتدعي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ضحية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التمييز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ثلاثة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مستويات: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كونها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طفلة،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وامرأة،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تنتمي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لجماعة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الأصليين.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</w:p>
    <w:bookmarkEnd w:id="2"/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3-4</w:t>
      </w:r>
      <w:r w:rsidR="00D10415">
        <w:rPr>
          <w:rtl/>
        </w:rPr>
        <w:tab/>
      </w:r>
      <w:r w:rsidRPr="00C316B7">
        <w:rPr>
          <w:rFonts w:hint="cs"/>
          <w:rtl/>
        </w:rPr>
        <w:t>وفيما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بالجبر،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تطلب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دعوة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اتخاذ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التدابير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المحددة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التالية:</w:t>
      </w:r>
      <w:r w:rsidRPr="00C316B7"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(أ)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إجراء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تحقيقات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سريعة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وفعالة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الجرائم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تدعي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وقعت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مرتكبيها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العدالة؛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(ب)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اعتذار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رسمي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احتفال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خاص،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واعتراف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بمسؤوليتها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الدولية؛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(ج)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تعويض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فوري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ومنصف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وكاف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الأضرار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والمعنوية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تعرضت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لها</w:t>
      </w:r>
      <w:r w:rsidRPr="00C316B7">
        <w:rPr>
          <w:rFonts w:hint="cs"/>
          <w:rtl/>
        </w:rPr>
        <w:t>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(د)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توفير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الرعاية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الطبية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والنفسية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المجانية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البلاغ.</w:t>
      </w:r>
      <w:r w:rsidRPr="00C316B7"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وتطلب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دعوة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تنفيذ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التدابير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العامة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التالية: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(أ)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تجريم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التعذيب؛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(ب)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تكييف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تعريف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اشكال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وفق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للمعاي</w:t>
      </w:r>
      <w:r>
        <w:rPr>
          <w:rFonts w:hint="cs"/>
          <w:rtl/>
        </w:rPr>
        <w:t>ير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الدولية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وتدوين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كجريمة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الإنسانية؛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(ج)</w:t>
      </w:r>
      <w:r w:rsidR="00714525">
        <w:rPr>
          <w:rFonts w:hint="cs"/>
          <w:rtl/>
        </w:rPr>
        <w:t> </w:t>
      </w:r>
      <w:r w:rsidRPr="00C316B7">
        <w:rPr>
          <w:rFonts w:hint="cs"/>
          <w:rtl/>
        </w:rPr>
        <w:t>تعديل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حكم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بجريمة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المحدد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بـ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35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يوماً،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وجعله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يتماشى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والقانون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لحقوق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الإنسان؛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(د)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تعديل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القانون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بحيث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يصبح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اللازم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إشهار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الاعتقال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الاعتقال،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أسبابه؛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</w:t>
      </w:r>
      <w:r w:rsidR="009435F0">
        <w:rPr>
          <w:rFonts w:hint="cs"/>
          <w:rtl/>
        </w:rPr>
        <w:t>ه</w:t>
      </w:r>
      <w:r w:rsidRPr="00C316B7">
        <w:rPr>
          <w:rFonts w:hint="cs"/>
          <w:rtl/>
        </w:rPr>
        <w:t>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ضمان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توفير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جميع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الضمانات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القانونية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الأساسية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للمحتجز</w:t>
      </w:r>
      <w:r>
        <w:rPr>
          <w:rFonts w:hint="cs"/>
          <w:rtl/>
        </w:rPr>
        <w:t>ات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والمحتجز</w:t>
      </w:r>
      <w:r w:rsidRPr="00C316B7">
        <w:rPr>
          <w:rFonts w:hint="cs"/>
          <w:rtl/>
        </w:rPr>
        <w:t>ين؛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(و)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ضمان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تكون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التحقيقات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وتحليلات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الشرعي،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lastRenderedPageBreak/>
        <w:t>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أشكال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متوافقة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المعايير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وعلى</w:t>
      </w:r>
      <w:r w:rsidR="00714525">
        <w:rPr>
          <w:rFonts w:hint="eastAsia"/>
          <w:rtl/>
        </w:rPr>
        <w:t> </w:t>
      </w:r>
      <w:r w:rsidRPr="00C316B7">
        <w:rPr>
          <w:rFonts w:hint="cs"/>
          <w:rtl/>
        </w:rPr>
        <w:t>الأخص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دليل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التقصي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والتوثيق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الفعالين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للتعذيب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ضروب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المعاملة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العقوبة</w:t>
      </w:r>
      <w:r w:rsidR="00EB56B7">
        <w:rPr>
          <w:rFonts w:hint="cs"/>
          <w:rtl/>
        </w:rPr>
        <w:t xml:space="preserve"> </w:t>
      </w:r>
      <w:r w:rsidRPr="00714525">
        <w:rPr>
          <w:rFonts w:hint="cs"/>
          <w:spacing w:val="-4"/>
          <w:rtl/>
        </w:rPr>
        <w:t>القاسية</w:t>
      </w:r>
      <w:r w:rsidR="00EB56B7" w:rsidRPr="00714525">
        <w:rPr>
          <w:rFonts w:hint="cs"/>
          <w:spacing w:val="-4"/>
          <w:rtl/>
        </w:rPr>
        <w:t xml:space="preserve"> </w:t>
      </w:r>
      <w:r w:rsidRPr="00714525">
        <w:rPr>
          <w:rFonts w:hint="cs"/>
          <w:spacing w:val="-4"/>
          <w:rtl/>
        </w:rPr>
        <w:t>أو</w:t>
      </w:r>
      <w:r w:rsidR="00EB56B7" w:rsidRPr="00714525">
        <w:rPr>
          <w:rFonts w:hint="cs"/>
          <w:spacing w:val="-4"/>
          <w:rtl/>
        </w:rPr>
        <w:t xml:space="preserve"> </w:t>
      </w:r>
      <w:r w:rsidRPr="00714525">
        <w:rPr>
          <w:rFonts w:hint="cs"/>
          <w:spacing w:val="-4"/>
          <w:rtl/>
        </w:rPr>
        <w:t>اللاإنسانية</w:t>
      </w:r>
      <w:r w:rsidR="00EB56B7" w:rsidRPr="00714525">
        <w:rPr>
          <w:rFonts w:hint="cs"/>
          <w:spacing w:val="-4"/>
          <w:rtl/>
        </w:rPr>
        <w:t xml:space="preserve"> </w:t>
      </w:r>
      <w:r w:rsidRPr="00714525">
        <w:rPr>
          <w:rFonts w:hint="cs"/>
          <w:spacing w:val="-4"/>
          <w:rtl/>
        </w:rPr>
        <w:t>أو</w:t>
      </w:r>
      <w:r w:rsidR="00EB56B7" w:rsidRPr="00714525">
        <w:rPr>
          <w:rFonts w:hint="cs"/>
          <w:spacing w:val="-4"/>
          <w:rtl/>
        </w:rPr>
        <w:t xml:space="preserve"> </w:t>
      </w:r>
      <w:r w:rsidRPr="00714525">
        <w:rPr>
          <w:rFonts w:hint="cs"/>
          <w:spacing w:val="-4"/>
          <w:rtl/>
        </w:rPr>
        <w:t>المهينة</w:t>
      </w:r>
      <w:r w:rsidR="00EB56B7" w:rsidRPr="00714525">
        <w:rPr>
          <w:rFonts w:hint="cs"/>
          <w:spacing w:val="-4"/>
          <w:rtl/>
        </w:rPr>
        <w:t xml:space="preserve"> </w:t>
      </w:r>
      <w:r w:rsidRPr="00714525">
        <w:rPr>
          <w:rFonts w:hint="cs"/>
          <w:spacing w:val="-4"/>
          <w:rtl/>
        </w:rPr>
        <w:t>(بروتوكول</w:t>
      </w:r>
      <w:r w:rsidR="00EB56B7" w:rsidRPr="00714525">
        <w:rPr>
          <w:rFonts w:hint="cs"/>
          <w:spacing w:val="-4"/>
          <w:rtl/>
        </w:rPr>
        <w:t xml:space="preserve"> </w:t>
      </w:r>
      <w:r w:rsidRPr="00714525">
        <w:rPr>
          <w:rFonts w:hint="cs"/>
          <w:spacing w:val="-4"/>
          <w:rtl/>
        </w:rPr>
        <w:t>اسطنبول)،</w:t>
      </w:r>
      <w:r w:rsidR="00EB56B7" w:rsidRPr="00714525">
        <w:rPr>
          <w:rFonts w:hint="cs"/>
          <w:spacing w:val="-4"/>
          <w:rtl/>
        </w:rPr>
        <w:t xml:space="preserve"> </w:t>
      </w:r>
      <w:r w:rsidRPr="00714525">
        <w:rPr>
          <w:rFonts w:hint="cs"/>
          <w:spacing w:val="-4"/>
          <w:rtl/>
        </w:rPr>
        <w:t>والمبادئ</w:t>
      </w:r>
      <w:r w:rsidR="00EB56B7" w:rsidRPr="00714525">
        <w:rPr>
          <w:rFonts w:hint="cs"/>
          <w:spacing w:val="-4"/>
          <w:rtl/>
        </w:rPr>
        <w:t xml:space="preserve"> </w:t>
      </w:r>
      <w:r w:rsidRPr="00714525">
        <w:rPr>
          <w:rFonts w:hint="cs"/>
          <w:spacing w:val="-4"/>
          <w:rtl/>
        </w:rPr>
        <w:t>التوجيهية</w:t>
      </w:r>
      <w:r w:rsidR="00EB56B7" w:rsidRPr="00714525">
        <w:rPr>
          <w:rFonts w:hint="cs"/>
          <w:spacing w:val="-4"/>
          <w:rtl/>
        </w:rPr>
        <w:t xml:space="preserve"> </w:t>
      </w:r>
      <w:r w:rsidRPr="00714525">
        <w:rPr>
          <w:rFonts w:hint="cs"/>
          <w:spacing w:val="-4"/>
          <w:rtl/>
        </w:rPr>
        <w:t>للرعاية</w:t>
      </w:r>
      <w:r w:rsidR="00EB56B7" w:rsidRPr="00714525">
        <w:rPr>
          <w:rFonts w:hint="cs"/>
          <w:spacing w:val="-4"/>
          <w:rtl/>
        </w:rPr>
        <w:t xml:space="preserve"> </w:t>
      </w:r>
      <w:r w:rsidRPr="00714525">
        <w:rPr>
          <w:rFonts w:hint="cs"/>
          <w:spacing w:val="-4"/>
          <w:rtl/>
        </w:rPr>
        <w:t>الطبية</w:t>
      </w:r>
      <w:r w:rsidR="00EB56B7" w:rsidRPr="00714525">
        <w:rPr>
          <w:rFonts w:hint="cs"/>
          <w:spacing w:val="-4"/>
          <w:rtl/>
        </w:rPr>
        <w:t xml:space="preserve"> </w:t>
      </w:r>
      <w:r w:rsidRPr="00714525">
        <w:rPr>
          <w:rFonts w:hint="cs"/>
          <w:spacing w:val="-4"/>
          <w:rtl/>
        </w:rPr>
        <w:t>-</w:t>
      </w:r>
      <w:r w:rsidR="00EB56B7" w:rsidRPr="00714525">
        <w:rPr>
          <w:rFonts w:hint="cs"/>
          <w:spacing w:val="-4"/>
          <w:rtl/>
        </w:rPr>
        <w:t xml:space="preserve"> </w:t>
      </w:r>
      <w:r w:rsidRPr="00714525">
        <w:rPr>
          <w:rFonts w:hint="cs"/>
          <w:spacing w:val="-4"/>
          <w:rtl/>
        </w:rPr>
        <w:t>القانونية</w:t>
      </w:r>
      <w:r w:rsidR="00EB56B7" w:rsidRPr="00714525">
        <w:rPr>
          <w:rFonts w:hint="cs"/>
          <w:spacing w:val="-4"/>
          <w:rtl/>
        </w:rPr>
        <w:t xml:space="preserve"> </w:t>
      </w:r>
      <w:r w:rsidRPr="00714525">
        <w:rPr>
          <w:rFonts w:hint="cs"/>
          <w:spacing w:val="-4"/>
          <w:rtl/>
        </w:rPr>
        <w:t>لضحايا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الصادرة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منظمة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الصحة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العالمية؛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(ز)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وضع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برامج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بناء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القدرات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والتعليم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والتدريب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إجراء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التحقيقات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النحو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الواجب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حالات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الاعتداء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المرأة،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وبروتوكول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اسطنبول،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والقانون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لحقوق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الإنسان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والقانون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الإنساني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</w:t>
      </w:r>
      <w:r>
        <w:rPr>
          <w:rFonts w:hint="cs"/>
          <w:rtl/>
        </w:rPr>
        <w:t>فائدة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C316B7">
        <w:rPr>
          <w:rFonts w:hint="cs"/>
          <w:rtl/>
        </w:rPr>
        <w:t>لموظفين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القضائيين،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وأفراد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الجيش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وجميع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الأشخاص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الذين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يتعاملون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الأشخاص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المسلوبة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حريتهم.</w:t>
      </w:r>
    </w:p>
    <w:p w:rsidR="006D5AFA" w:rsidRPr="000C22EC" w:rsidRDefault="006D5AFA" w:rsidP="00D10415">
      <w:pPr>
        <w:pStyle w:val="H23GA"/>
        <w:rPr>
          <w:rtl/>
        </w:rPr>
      </w:pPr>
      <w:r w:rsidRPr="00C316B7">
        <w:rPr>
          <w:rFonts w:hint="cs"/>
          <w:rtl/>
        </w:rPr>
        <w:tab/>
      </w:r>
      <w:r w:rsidRPr="000C22EC">
        <w:rPr>
          <w:rFonts w:hint="cs"/>
          <w:rtl/>
        </w:rPr>
        <w:tab/>
        <w:t>ملاحظات</w:t>
      </w:r>
      <w:r w:rsidR="00EB56B7">
        <w:rPr>
          <w:rFonts w:hint="cs"/>
          <w:rtl/>
        </w:rPr>
        <w:t xml:space="preserve"> </w:t>
      </w:r>
      <w:r w:rsidRPr="000C22EC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0C22EC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0C22EC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0C22EC">
        <w:rPr>
          <w:rFonts w:hint="cs"/>
          <w:rtl/>
        </w:rPr>
        <w:t>مقبولية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وأسسه</w:t>
      </w:r>
      <w:r w:rsidR="00EB56B7">
        <w:rPr>
          <w:rFonts w:hint="cs"/>
          <w:rtl/>
        </w:rPr>
        <w:t xml:space="preserve"> </w:t>
      </w:r>
      <w:r w:rsidRPr="000C22EC">
        <w:rPr>
          <w:rFonts w:hint="cs"/>
          <w:rtl/>
        </w:rPr>
        <w:t>الموضوعية</w:t>
      </w:r>
      <w:r w:rsidR="00EB56B7">
        <w:rPr>
          <w:rFonts w:hint="cs"/>
          <w:rtl/>
        </w:rPr>
        <w:t xml:space="preserve"> </w:t>
      </w:r>
    </w:p>
    <w:p w:rsidR="006D5AFA" w:rsidRPr="00D7426A" w:rsidRDefault="006D5AFA" w:rsidP="006D5AFA">
      <w:pPr>
        <w:pStyle w:val="SingleTxtGA"/>
        <w:rPr>
          <w:spacing w:val="-4"/>
          <w:rtl/>
        </w:rPr>
      </w:pPr>
      <w:r w:rsidRPr="00D7426A">
        <w:rPr>
          <w:rFonts w:hint="cs"/>
          <w:spacing w:val="-4"/>
          <w:rtl/>
        </w:rPr>
        <w:t>4-1</w:t>
      </w:r>
      <w:r w:rsidR="00D10415" w:rsidRPr="00D7426A">
        <w:rPr>
          <w:spacing w:val="-4"/>
          <w:rtl/>
        </w:rPr>
        <w:tab/>
      </w:r>
      <w:r w:rsidRPr="00D7426A">
        <w:rPr>
          <w:rFonts w:hint="cs"/>
          <w:spacing w:val="-4"/>
          <w:rtl/>
        </w:rPr>
        <w:t>تحتج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الدولة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الطرف،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في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ملاحظاتها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المؤرخة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4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أيلول/سبتمبر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2015،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بأن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صاحبة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البلاغ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لم</w:t>
      </w:r>
      <w:r w:rsidR="00D7426A">
        <w:rPr>
          <w:rFonts w:hint="eastAsia"/>
          <w:spacing w:val="-4"/>
          <w:rtl/>
        </w:rPr>
        <w:t> </w:t>
      </w:r>
      <w:r w:rsidRPr="00D7426A">
        <w:rPr>
          <w:rFonts w:hint="cs"/>
          <w:spacing w:val="-4"/>
          <w:rtl/>
        </w:rPr>
        <w:t>تستنفد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سبل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الانتصاف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المحلية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التي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يتيحها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نظام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العدالة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الجنائية،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وآلية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العدالة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الانتقالية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على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السواء،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وهما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الوسيلة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المناسبة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لتقصي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الحقائق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فيما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يتعلق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بالجرائم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المرتكبة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أثناء</w:t>
      </w:r>
      <w:r w:rsidR="00EB56B7" w:rsidRPr="00D7426A">
        <w:rPr>
          <w:rFonts w:hint="cs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النزاع</w:t>
      </w:r>
      <w:r w:rsidR="00EB56B7" w:rsidRPr="00D7426A">
        <w:rPr>
          <w:rFonts w:hint="eastAsia"/>
          <w:spacing w:val="-4"/>
          <w:rtl/>
        </w:rPr>
        <w:t xml:space="preserve"> </w:t>
      </w:r>
      <w:r w:rsidRPr="00D7426A">
        <w:rPr>
          <w:rFonts w:hint="cs"/>
          <w:spacing w:val="-4"/>
          <w:rtl/>
        </w:rPr>
        <w:t>المسلح.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4-2</w:t>
      </w:r>
      <w:r w:rsidR="00D10415">
        <w:rPr>
          <w:rtl/>
        </w:rPr>
        <w:tab/>
      </w:r>
      <w:r w:rsidRPr="00C316B7">
        <w:rPr>
          <w:rFonts w:hint="cs"/>
          <w:rtl/>
        </w:rPr>
        <w:t>وفيما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بالنظام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العادي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للعدالة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الجنائية،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الامتثال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الذي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قدمته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يزال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قيد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C316B7">
        <w:rPr>
          <w:rFonts w:hint="cs"/>
          <w:rtl/>
        </w:rPr>
        <w:t>نظر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أمام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العليا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وأن</w:t>
      </w:r>
      <w:r>
        <w:rPr>
          <w:rFonts w:hint="cs"/>
          <w:rtl/>
        </w:rPr>
        <w:t>ه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وفقاً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C316B7">
        <w:rPr>
          <w:rFonts w:hint="cs"/>
          <w:rtl/>
        </w:rPr>
        <w:t>لمادة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107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الدستور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النيبالي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المؤقت،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يجوز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للمحكمة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العليا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إصدار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مناسب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لتوفير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العدالة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الكاملة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لمقدمي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الامتثال.</w:t>
      </w:r>
      <w:r w:rsidRPr="00C316B7"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وتضيف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التشريعات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المحلية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يمكن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توفر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قواعد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محددة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بشأن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حكم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المحاضر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التمهيدية</w:t>
      </w:r>
      <w:r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استناداً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طبيعة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القضية.</w:t>
      </w:r>
      <w:r w:rsidRPr="00C316B7">
        <w:t>‬</w:t>
      </w:r>
      <w:r w:rsidR="00EB56B7">
        <w:rPr>
          <w:rFonts w:hint="cs"/>
          <w:rtl/>
        </w:rPr>
        <w:t xml:space="preserve"> 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4-3</w:t>
      </w:r>
      <w:r w:rsidR="00D10415">
        <w:rPr>
          <w:rtl/>
        </w:rPr>
        <w:tab/>
      </w:r>
      <w:r w:rsidRPr="00C316B7">
        <w:rPr>
          <w:rFonts w:hint="cs"/>
          <w:rtl/>
        </w:rPr>
        <w:t>وفيما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بنظام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العدالة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الانتقالية،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يزال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بإمكان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شكوى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تقصي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الحقائق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والمصالحة.</w:t>
      </w:r>
      <w:r w:rsidRPr="00C316B7"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مخولة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بالتحقيق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القضايا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المرتبطة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بالنزاع،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وتوصي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</w:t>
      </w:r>
      <w:r>
        <w:rPr>
          <w:rFonts w:hint="cs"/>
          <w:rtl/>
        </w:rPr>
        <w:t>لاحق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الحكومة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الجناة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المزعومين،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وتتيح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الجبر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للضحايا.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نظام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العدالة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العادي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لتقصي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الحقائق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ومحاكمة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الجناة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توفير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الجبر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إعادة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تأهيل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الضحايا.</w:t>
      </w:r>
      <w:r w:rsidRPr="00C316B7"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إجراء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تقصي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الحقائق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يوجد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صلب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آليات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العدالة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الانتقالية.</w:t>
      </w:r>
      <w:r w:rsidRPr="00C316B7"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وتدعي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ينبغي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الاتصا</w:t>
      </w:r>
      <w:r>
        <w:rPr>
          <w:rFonts w:hint="cs"/>
          <w:rtl/>
        </w:rPr>
        <w:t>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باللجنة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لتسجيل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انتهاك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حقوقها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C316B7">
        <w:rPr>
          <w:rFonts w:hint="cs"/>
          <w:rtl/>
        </w:rPr>
        <w:t>تصبح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مؤهلة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للجبر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ورد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الخدمات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والاستحقاقات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المتاحة.</w:t>
      </w:r>
      <w:r w:rsidRPr="00C316B7">
        <w:t>‬</w:t>
      </w:r>
      <w:r w:rsidR="00EB56B7">
        <w:rPr>
          <w:rFonts w:hint="cs"/>
        </w:rPr>
        <w:t xml:space="preserve"> </w:t>
      </w:r>
      <w:r>
        <w:t>‬</w:t>
      </w:r>
      <w:r>
        <w:t>‬</w:t>
      </w:r>
      <w:r>
        <w:t>‬</w:t>
      </w:r>
    </w:p>
    <w:p w:rsidR="006D5AFA" w:rsidRPr="00C316B7" w:rsidRDefault="006D5AFA" w:rsidP="006D5AFA">
      <w:pPr>
        <w:pStyle w:val="SingleTxtGA"/>
        <w:rPr>
          <w:rtl/>
        </w:rPr>
      </w:pPr>
      <w:r w:rsidRPr="005076E1">
        <w:rPr>
          <w:rFonts w:ascii="Traditional Arabic" w:hAnsi="Traditional Arabic"/>
          <w:sz w:val="30"/>
          <w:rtl/>
        </w:rPr>
        <w:t>4-4</w:t>
      </w:r>
      <w:r w:rsidR="00D10415">
        <w:rPr>
          <w:rtl/>
        </w:rPr>
        <w:tab/>
      </w:r>
      <w:r w:rsidRPr="00C316B7">
        <w:rPr>
          <w:rFonts w:hint="cs"/>
          <w:rtl/>
        </w:rPr>
        <w:t>وتلاحظ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الجرائم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الصلة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المرأة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والتعذيب،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جرائم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بموجب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القانون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المحلي.</w:t>
      </w:r>
      <w:r w:rsidRPr="00C316B7"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وبناء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تدعي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الحكومة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ملتزمة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بإجراء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تحقيقات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فورية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ونزيهة،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مرتكبي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العدالة.</w:t>
      </w:r>
      <w:r w:rsidR="00EB56B7">
        <w:rPr>
          <w:rFonts w:hint="cs"/>
          <w:rtl/>
        </w:rPr>
        <w:t xml:space="preserve"> </w:t>
      </w:r>
      <w:r w:rsidRPr="00C316B7">
        <w:t>‬</w:t>
      </w:r>
      <w:r w:rsidRPr="00C316B7">
        <w:rPr>
          <w:rFonts w:hint="cs"/>
          <w:rtl/>
        </w:rPr>
        <w:t>وتبلغ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المعنية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البرلمان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التشريعي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وافقت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مشروع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قانون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لتعديل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حكم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المحدد</w:t>
      </w:r>
      <w:r w:rsidR="00EB56B7">
        <w:rPr>
          <w:rFonts w:hint="cs"/>
          <w:rtl/>
        </w:rPr>
        <w:t xml:space="preserve"> </w:t>
      </w:r>
      <w:r w:rsidR="002B0931">
        <w:rPr>
          <w:rFonts w:hint="cs"/>
          <w:rtl/>
        </w:rPr>
        <w:t>بـ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35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بتمديده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6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أشهر،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أجل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تعزيز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إمكانية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الوصول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العدالة.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تبلغ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البرلمان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مشروع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قانون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جديد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يجرم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بالكامل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جميع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أشكال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التعذيب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وسوء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المعاملة،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عمل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باتفاقية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مناهضة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التعذيب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ضروب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المعاملة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العقوبة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القاسية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اللاإنسانية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المهينة.</w:t>
      </w:r>
      <w:r w:rsidR="00EB56B7">
        <w:rPr>
          <w:rFonts w:hint="cs"/>
          <w:rtl/>
        </w:rPr>
        <w:t xml:space="preserve"> 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4-5</w:t>
      </w:r>
      <w:r w:rsidR="00D10415">
        <w:rPr>
          <w:rtl/>
        </w:rPr>
        <w:tab/>
      </w:r>
      <w:r w:rsidRPr="00C316B7">
        <w:rPr>
          <w:rFonts w:hint="cs"/>
          <w:rtl/>
        </w:rPr>
        <w:t>وتضيف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أخير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الجيش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المسلحة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ليس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سجل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اعتقال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الإفراج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لاحق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تدعي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البلاغ.</w:t>
      </w:r>
    </w:p>
    <w:p w:rsidR="006D5AFA" w:rsidRPr="004F7060" w:rsidRDefault="006D5AFA" w:rsidP="006D5AFA">
      <w:pPr>
        <w:pStyle w:val="H23GA"/>
        <w:rPr>
          <w:rFonts w:ascii="Times New Roman Bold" w:hAnsi="Times New Roman Bold"/>
          <w:spacing w:val="-4"/>
          <w:rtl/>
        </w:rPr>
      </w:pPr>
      <w:r w:rsidRPr="004F7060">
        <w:rPr>
          <w:rFonts w:ascii="Times New Roman Bold" w:hAnsi="Times New Roman Bold" w:hint="cs"/>
          <w:spacing w:val="-4"/>
          <w:rtl/>
        </w:rPr>
        <w:lastRenderedPageBreak/>
        <w:tab/>
      </w:r>
      <w:r w:rsidRPr="004F7060">
        <w:rPr>
          <w:rFonts w:ascii="Times New Roman Bold" w:hAnsi="Times New Roman Bold" w:hint="cs"/>
          <w:spacing w:val="-4"/>
          <w:rtl/>
        </w:rPr>
        <w:tab/>
        <w:t>تعليقات</w:t>
      </w:r>
      <w:r w:rsidR="00EB56B7">
        <w:rPr>
          <w:rFonts w:ascii="Times New Roman Bold" w:hAnsi="Times New Roman Bold" w:hint="cs"/>
          <w:spacing w:val="-4"/>
          <w:rtl/>
        </w:rPr>
        <w:t xml:space="preserve"> </w:t>
      </w:r>
      <w:r w:rsidRPr="004F7060">
        <w:rPr>
          <w:rFonts w:ascii="Times New Roman Bold" w:hAnsi="Times New Roman Bold" w:hint="cs"/>
          <w:spacing w:val="-4"/>
          <w:rtl/>
        </w:rPr>
        <w:t>صاحبة</w:t>
      </w:r>
      <w:r w:rsidR="00EB56B7">
        <w:rPr>
          <w:rFonts w:ascii="Times New Roman Bold" w:hAnsi="Times New Roman Bold" w:hint="cs"/>
          <w:spacing w:val="-4"/>
          <w:rtl/>
        </w:rPr>
        <w:t xml:space="preserve"> </w:t>
      </w:r>
      <w:r w:rsidRPr="004F7060">
        <w:rPr>
          <w:rFonts w:ascii="Times New Roman Bold" w:hAnsi="Times New Roman Bold" w:hint="cs"/>
          <w:spacing w:val="-4"/>
          <w:rtl/>
        </w:rPr>
        <w:t>البلاغ</w:t>
      </w:r>
      <w:r w:rsidR="00EB56B7">
        <w:rPr>
          <w:rFonts w:ascii="Times New Roman Bold" w:hAnsi="Times New Roman Bold" w:hint="cs"/>
          <w:spacing w:val="-4"/>
          <w:rtl/>
        </w:rPr>
        <w:t xml:space="preserve"> </w:t>
      </w:r>
      <w:r w:rsidRPr="004F7060">
        <w:rPr>
          <w:rFonts w:ascii="Times New Roman Bold" w:hAnsi="Times New Roman Bold" w:hint="cs"/>
          <w:spacing w:val="-4"/>
          <w:rtl/>
        </w:rPr>
        <w:t>على</w:t>
      </w:r>
      <w:r w:rsidR="00EB56B7">
        <w:rPr>
          <w:rFonts w:ascii="Times New Roman Bold" w:hAnsi="Times New Roman Bold" w:hint="cs"/>
          <w:spacing w:val="-4"/>
          <w:rtl/>
        </w:rPr>
        <w:t xml:space="preserve"> </w:t>
      </w:r>
      <w:r w:rsidRPr="004F7060">
        <w:rPr>
          <w:rFonts w:ascii="Times New Roman Bold" w:hAnsi="Times New Roman Bold" w:hint="cs"/>
          <w:spacing w:val="-4"/>
          <w:rtl/>
        </w:rPr>
        <w:t>ملاحظات</w:t>
      </w:r>
      <w:r w:rsidR="00EB56B7">
        <w:rPr>
          <w:rFonts w:ascii="Times New Roman Bold" w:hAnsi="Times New Roman Bold" w:hint="cs"/>
          <w:spacing w:val="-4"/>
          <w:rtl/>
        </w:rPr>
        <w:t xml:space="preserve"> </w:t>
      </w:r>
      <w:r w:rsidRPr="004F7060">
        <w:rPr>
          <w:rFonts w:ascii="Times New Roman Bold" w:hAnsi="Times New Roman Bold" w:hint="cs"/>
          <w:spacing w:val="-4"/>
          <w:rtl/>
        </w:rPr>
        <w:t>الدولة</w:t>
      </w:r>
      <w:r w:rsidR="00EB56B7">
        <w:rPr>
          <w:rFonts w:ascii="Times New Roman Bold" w:hAnsi="Times New Roman Bold" w:hint="cs"/>
          <w:spacing w:val="-4"/>
          <w:rtl/>
        </w:rPr>
        <w:t xml:space="preserve"> </w:t>
      </w:r>
      <w:r w:rsidRPr="004F7060">
        <w:rPr>
          <w:rFonts w:ascii="Times New Roman Bold" w:hAnsi="Times New Roman Bold" w:hint="cs"/>
          <w:spacing w:val="-4"/>
          <w:rtl/>
        </w:rPr>
        <w:t>الطرف</w:t>
      </w:r>
      <w:r w:rsidR="00EB56B7">
        <w:rPr>
          <w:rFonts w:ascii="Times New Roman Bold" w:hAnsi="Times New Roman Bold" w:hint="cs"/>
          <w:spacing w:val="-4"/>
          <w:rtl/>
        </w:rPr>
        <w:t xml:space="preserve"> </w:t>
      </w:r>
      <w:r w:rsidRPr="004F7060">
        <w:rPr>
          <w:rFonts w:ascii="Times New Roman Bold" w:hAnsi="Times New Roman Bold" w:hint="cs"/>
          <w:spacing w:val="-4"/>
          <w:rtl/>
        </w:rPr>
        <w:t>على</w:t>
      </w:r>
      <w:r w:rsidR="00EB56B7">
        <w:rPr>
          <w:rFonts w:ascii="Times New Roman Bold" w:hAnsi="Times New Roman Bold" w:hint="cs"/>
          <w:spacing w:val="-4"/>
          <w:rtl/>
        </w:rPr>
        <w:t xml:space="preserve"> </w:t>
      </w:r>
      <w:r w:rsidRPr="004F7060">
        <w:rPr>
          <w:rFonts w:ascii="Times New Roman Bold" w:hAnsi="Times New Roman Bold" w:hint="cs"/>
          <w:spacing w:val="-4"/>
          <w:rtl/>
        </w:rPr>
        <w:t>مقبولية</w:t>
      </w:r>
      <w:r w:rsidR="00EB56B7">
        <w:rPr>
          <w:rFonts w:ascii="Times New Roman Bold" w:hAnsi="Times New Roman Bold" w:hint="cs"/>
          <w:spacing w:val="-4"/>
          <w:rtl/>
        </w:rPr>
        <w:t xml:space="preserve"> </w:t>
      </w:r>
      <w:r w:rsidRPr="004F7060">
        <w:rPr>
          <w:rFonts w:ascii="Times New Roman Bold" w:hAnsi="Times New Roman Bold" w:hint="cs"/>
          <w:spacing w:val="-4"/>
          <w:rtl/>
        </w:rPr>
        <w:t>البلاغ</w:t>
      </w:r>
      <w:r w:rsidR="00EB56B7">
        <w:rPr>
          <w:rFonts w:ascii="Times New Roman Bold" w:hAnsi="Times New Roman Bold" w:hint="cs"/>
          <w:spacing w:val="-4"/>
          <w:rtl/>
        </w:rPr>
        <w:t xml:space="preserve"> </w:t>
      </w:r>
      <w:r w:rsidRPr="004F7060">
        <w:rPr>
          <w:rFonts w:ascii="Times New Roman Bold" w:hAnsi="Times New Roman Bold" w:hint="cs"/>
          <w:spacing w:val="-4"/>
          <w:rtl/>
        </w:rPr>
        <w:t>وأسسه</w:t>
      </w:r>
      <w:r w:rsidR="00EB56B7">
        <w:rPr>
          <w:rFonts w:ascii="Times New Roman Bold" w:hAnsi="Times New Roman Bold" w:hint="cs"/>
          <w:spacing w:val="-4"/>
          <w:rtl/>
        </w:rPr>
        <w:t xml:space="preserve"> </w:t>
      </w:r>
      <w:r w:rsidRPr="004F7060">
        <w:rPr>
          <w:rFonts w:ascii="Times New Roman Bold" w:hAnsi="Times New Roman Bold" w:hint="cs"/>
          <w:spacing w:val="-4"/>
          <w:rtl/>
        </w:rPr>
        <w:t>الموضوعية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5-1</w:t>
      </w:r>
      <w:r w:rsidR="00D10415">
        <w:rPr>
          <w:rtl/>
        </w:rPr>
        <w:tab/>
      </w:r>
      <w:r w:rsidRPr="00C316B7">
        <w:rPr>
          <w:rFonts w:hint="cs"/>
          <w:rtl/>
        </w:rPr>
        <w:t>تكرر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تعليقات</w:t>
      </w:r>
      <w:r>
        <w:rPr>
          <w:rFonts w:hint="cs"/>
          <w:rtl/>
        </w:rPr>
        <w:t>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المؤ</w:t>
      </w:r>
      <w:r>
        <w:rPr>
          <w:rFonts w:hint="cs"/>
          <w:rtl/>
        </w:rPr>
        <w:t>رخة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16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تشرين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الثاني/نوفمبر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2015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ادعاءاتها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بشأن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مقبولية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وأسسه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الموضوعية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وتدابير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الجبر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المطلوبة.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5-2</w:t>
      </w:r>
      <w:r w:rsidR="00D10415">
        <w:rPr>
          <w:rtl/>
        </w:rPr>
        <w:tab/>
      </w:r>
      <w:r w:rsidRPr="00C316B7">
        <w:rPr>
          <w:rFonts w:hint="cs"/>
          <w:rtl/>
        </w:rPr>
        <w:t>وتلاحظ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الرغم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العليا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تزال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الامتثال،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فإن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المحتمل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تترتب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نتيجة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جدوى،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تعتبر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وسيلة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انتصاف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فعال</w:t>
      </w:r>
      <w:r>
        <w:rPr>
          <w:rFonts w:hint="cs"/>
          <w:rtl/>
        </w:rPr>
        <w:t>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قضيتها،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وأن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الإجراء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المعروض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العليا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كان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بطيئاً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ومتعثراً</w:t>
      </w:r>
      <w:r w:rsidR="00714525">
        <w:rPr>
          <w:rFonts w:hint="cs"/>
          <w:rtl/>
        </w:rPr>
        <w:t> </w:t>
      </w:r>
      <w:r w:rsidRPr="00C316B7">
        <w:rPr>
          <w:rFonts w:hint="cs"/>
          <w:rtl/>
        </w:rPr>
        <w:t>بسبب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التأخيرات،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وإلغاء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جلسات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الاستماع،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وانعدام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الردود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الجهات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</w:t>
      </w:r>
      <w:r>
        <w:rPr>
          <w:rFonts w:hint="cs"/>
          <w:rtl/>
        </w:rPr>
        <w:t>ـُ</w:t>
      </w:r>
      <w:r w:rsidRPr="00C316B7">
        <w:rPr>
          <w:rFonts w:hint="cs"/>
          <w:rtl/>
        </w:rPr>
        <w:t>دعى</w:t>
      </w:r>
      <w:r w:rsidR="00714525">
        <w:rPr>
          <w:rFonts w:hint="cs"/>
          <w:rtl/>
        </w:rPr>
        <w:t> </w:t>
      </w:r>
      <w:r w:rsidRPr="00C316B7">
        <w:rPr>
          <w:rFonts w:hint="cs"/>
          <w:rtl/>
        </w:rPr>
        <w:t>عليها</w:t>
      </w:r>
      <w:r w:rsidRPr="00C316B7">
        <w:rPr>
          <w:rtl/>
        </w:rPr>
        <w:t>‬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23"/>
      </w:r>
      <w:r w:rsidR="00D10415">
        <w:rPr>
          <w:rStyle w:val="FootnoteReference"/>
          <w:rtl/>
        </w:rPr>
        <w:t>)</w:t>
      </w:r>
      <w:r>
        <w:rPr>
          <w:rtl/>
        </w:rPr>
        <w:t>‬</w:t>
      </w:r>
      <w:r w:rsidR="00D10415">
        <w:rPr>
          <w:rFonts w:hint="cs"/>
          <w:rtl/>
        </w:rPr>
        <w:t>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5-3</w:t>
      </w:r>
      <w:r w:rsidR="00D10415">
        <w:rPr>
          <w:rtl/>
        </w:rPr>
        <w:tab/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ترى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تشير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التشريعات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المحلية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يمكن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تضع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أحكام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محددة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</w:t>
      </w:r>
      <w:r>
        <w:rPr>
          <w:rFonts w:hint="cs"/>
          <w:rtl/>
        </w:rPr>
        <w:t>شأن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قانون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</w:t>
      </w:r>
      <w:r>
        <w:rPr>
          <w:rFonts w:hint="cs"/>
          <w:rtl/>
        </w:rPr>
        <w:t>تسمح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C316B7">
        <w:rPr>
          <w:rFonts w:hint="cs"/>
          <w:rtl/>
        </w:rPr>
        <w:t>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المحضر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التمهيدي</w:t>
      </w:r>
      <w:r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لكنها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تدعي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تمتثل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C316B7">
        <w:rPr>
          <w:rFonts w:hint="cs"/>
          <w:rtl/>
        </w:rPr>
        <w:t>فترة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المحددة</w:t>
      </w:r>
      <w:r w:rsidR="00EB56B7">
        <w:rPr>
          <w:rFonts w:hint="cs"/>
          <w:rtl/>
        </w:rPr>
        <w:t xml:space="preserve"> </w:t>
      </w:r>
      <w:r w:rsidR="002B0931">
        <w:rPr>
          <w:rFonts w:hint="cs"/>
          <w:rtl/>
        </w:rPr>
        <w:t>بـ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35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شكواها.</w:t>
      </w:r>
      <w:r w:rsidRPr="00C316B7"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وتشير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الوقت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نفسه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أحد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التعديلات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الذي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ير</w:t>
      </w:r>
      <w:r w:rsidRPr="00C316B7">
        <w:rPr>
          <w:rFonts w:hint="cs"/>
          <w:rtl/>
        </w:rPr>
        <w:t>مي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تمديد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فترة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35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يوماً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6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أشهر.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وبناء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تدعي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نيبال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بالطابع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التقييدي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المفرط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الذي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يتسم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به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حكم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المحدد</w:t>
      </w:r>
      <w:r w:rsidR="00EB56B7">
        <w:rPr>
          <w:rFonts w:hint="cs"/>
          <w:rtl/>
        </w:rPr>
        <w:t xml:space="preserve"> </w:t>
      </w:r>
      <w:r w:rsidR="002B0931">
        <w:rPr>
          <w:rFonts w:hint="cs"/>
          <w:rtl/>
        </w:rPr>
        <w:t>بـ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35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يوم</w:t>
      </w:r>
      <w:r w:rsidR="00BB4EF6">
        <w:rPr>
          <w:rFonts w:hint="cs"/>
          <w:rtl/>
        </w:rPr>
        <w:t>اً،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تحاول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تعديله.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التعديل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يصبح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قانون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بعد.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وبناء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فهو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ينطبق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بعد،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وحتى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انطبق،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فلن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يشمل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قضيتها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اغتُصبت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2002.</w:t>
      </w:r>
      <w:r>
        <w:rPr>
          <w:rtl/>
        </w:rPr>
        <w:t>‬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5-4</w:t>
      </w:r>
      <w:r w:rsidR="00D10415">
        <w:rPr>
          <w:rtl/>
        </w:rPr>
        <w:tab/>
      </w:r>
      <w:r w:rsidRPr="00C316B7">
        <w:rPr>
          <w:rFonts w:hint="cs"/>
          <w:rtl/>
        </w:rPr>
        <w:t>وتدعي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تسجيل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قضيتها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تقصي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الحقائق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والمصالحة،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وهي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هيئة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قضائية،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يمكن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اعتباره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وسيلة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انتصاف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فعالة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استنفادها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بلاغها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24"/>
      </w:r>
      <w:r w:rsidR="00D10415">
        <w:rPr>
          <w:rStyle w:val="FootnoteReference"/>
          <w:rtl/>
        </w:rPr>
        <w:t>)</w:t>
      </w:r>
      <w:r w:rsidR="00D10415">
        <w:rPr>
          <w:rFonts w:hint="cs"/>
          <w:rtl/>
        </w:rPr>
        <w:t>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5-5</w:t>
      </w:r>
      <w:r w:rsidR="00D10415">
        <w:rPr>
          <w:rtl/>
        </w:rPr>
        <w:tab/>
      </w:r>
      <w:r w:rsidRPr="00C316B7">
        <w:rPr>
          <w:rFonts w:hint="cs"/>
          <w:rtl/>
        </w:rPr>
        <w:t>وتدعي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مجرد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تسجيل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السلطات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واقعة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سلب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حريتها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تعسف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(الاعتقال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والاحتجاز)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</w:t>
      </w:r>
      <w:r>
        <w:rPr>
          <w:rFonts w:hint="cs"/>
          <w:rtl/>
        </w:rPr>
        <w:t>شكل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ذاته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انتهاك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C316B7">
        <w:rPr>
          <w:rFonts w:hint="cs"/>
          <w:rtl/>
        </w:rPr>
        <w:t>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9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تسجيل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الاعتقال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هو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أحد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الضمانات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القانونية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توفيرها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للمحتجزين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وفق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9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714525">
        <w:rPr>
          <w:rFonts w:hint="eastAsia"/>
          <w:rtl/>
        </w:rPr>
        <w:t> </w:t>
      </w:r>
      <w:r w:rsidRPr="00C316B7">
        <w:rPr>
          <w:rFonts w:hint="cs"/>
          <w:rtl/>
        </w:rPr>
        <w:t>العهد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25"/>
      </w:r>
      <w:r w:rsidR="00D10415">
        <w:rPr>
          <w:rStyle w:val="FootnoteReference"/>
          <w:rtl/>
        </w:rPr>
        <w:t>)</w:t>
      </w:r>
      <w:r w:rsidR="00D10415">
        <w:rPr>
          <w:rFonts w:hint="cs"/>
          <w:rtl/>
        </w:rPr>
        <w:t>.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C316B7">
        <w:rPr>
          <w:rFonts w:hint="cs"/>
          <w:rtl/>
        </w:rPr>
        <w:t>تضيف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عبء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الإثبات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يقع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اغتُصبت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وهي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رهن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الاحتجاز،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ادعاء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يكفي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للقول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سلب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الحرية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eastAsia"/>
          <w:rtl/>
        </w:rPr>
        <w:t xml:space="preserve"> </w:t>
      </w:r>
      <w:r w:rsidRPr="00C316B7">
        <w:rPr>
          <w:rFonts w:hint="cs"/>
          <w:rtl/>
        </w:rPr>
        <w:t>يُسجل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رسمياً</w:t>
      </w:r>
      <w:r w:rsidRPr="00C316B7">
        <w:rPr>
          <w:rtl/>
        </w:rPr>
        <w:t>‬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26"/>
      </w:r>
      <w:r w:rsidR="00D10415">
        <w:rPr>
          <w:rStyle w:val="FootnoteReference"/>
          <w:rtl/>
        </w:rPr>
        <w:t>)</w:t>
      </w:r>
      <w:r w:rsidR="00D10415">
        <w:rPr>
          <w:rFonts w:hint="cs"/>
          <w:rtl/>
        </w:rPr>
        <w:t>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وبناء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تدعي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714525">
        <w:rPr>
          <w:rFonts w:hint="eastAsia"/>
          <w:rtl/>
        </w:rPr>
        <w:t> </w:t>
      </w:r>
      <w:r w:rsidRPr="00C316B7">
        <w:rPr>
          <w:rFonts w:hint="cs"/>
          <w:rtl/>
        </w:rPr>
        <w:t>دليل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للطعن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ادعاءات</w:t>
      </w:r>
      <w:r>
        <w:rPr>
          <w:rFonts w:hint="cs"/>
          <w:rtl/>
        </w:rPr>
        <w:t>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</w:t>
      </w:r>
      <w:r>
        <w:rPr>
          <w:rFonts w:hint="cs"/>
          <w:rtl/>
        </w:rPr>
        <w:t>السلب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التعسفي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لحريتها،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C316B7">
        <w:rPr>
          <w:rFonts w:hint="cs"/>
          <w:rtl/>
        </w:rPr>
        <w:t>اغتصاب</w:t>
      </w:r>
      <w:r>
        <w:rPr>
          <w:rFonts w:hint="cs"/>
          <w:rtl/>
        </w:rPr>
        <w:t>ها</w:t>
      </w:r>
      <w:r w:rsidRPr="00C316B7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والأشكال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الأخرى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سوء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</w:t>
      </w:r>
      <w:r>
        <w:rPr>
          <w:rFonts w:hint="cs"/>
          <w:rtl/>
        </w:rPr>
        <w:t>معاملة،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والعنف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الجنسي،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والعمل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القسري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لاحقاً</w:t>
      </w:r>
      <w:r w:rsidRPr="00C316B7">
        <w:rPr>
          <w:rFonts w:hint="cs"/>
          <w:rtl/>
        </w:rPr>
        <w:t>.</w:t>
      </w:r>
    </w:p>
    <w:p w:rsidR="006D5AFA" w:rsidRPr="000C22EC" w:rsidRDefault="006D5AFA" w:rsidP="006D5AFA">
      <w:pPr>
        <w:pStyle w:val="H23GA"/>
        <w:rPr>
          <w:rtl/>
        </w:rPr>
      </w:pPr>
      <w:r w:rsidRPr="00C316B7">
        <w:rPr>
          <w:rFonts w:hint="cs"/>
          <w:rtl/>
        </w:rPr>
        <w:lastRenderedPageBreak/>
        <w:tab/>
      </w:r>
      <w:r w:rsidRPr="00C316B7">
        <w:rPr>
          <w:rFonts w:hint="cs"/>
          <w:rtl/>
        </w:rPr>
        <w:tab/>
      </w:r>
      <w:r w:rsidRPr="000C22EC">
        <w:rPr>
          <w:rFonts w:hint="cs"/>
          <w:rtl/>
        </w:rPr>
        <w:t>المسائل</w:t>
      </w:r>
      <w:r w:rsidR="00EB56B7">
        <w:rPr>
          <w:rFonts w:hint="cs"/>
          <w:rtl/>
        </w:rPr>
        <w:t xml:space="preserve"> </w:t>
      </w:r>
      <w:r w:rsidRPr="000C22EC">
        <w:rPr>
          <w:rFonts w:hint="cs"/>
          <w:rtl/>
        </w:rPr>
        <w:t>والإجراءات</w:t>
      </w:r>
      <w:r w:rsidR="00EB56B7">
        <w:rPr>
          <w:rFonts w:hint="cs"/>
          <w:rtl/>
        </w:rPr>
        <w:t xml:space="preserve"> </w:t>
      </w:r>
      <w:r w:rsidRPr="000C22EC">
        <w:rPr>
          <w:rFonts w:hint="cs"/>
          <w:rtl/>
        </w:rPr>
        <w:t>المعروضة</w:t>
      </w:r>
      <w:r w:rsidR="00EB56B7">
        <w:rPr>
          <w:rFonts w:hint="cs"/>
          <w:rtl/>
        </w:rPr>
        <w:t xml:space="preserve"> </w:t>
      </w:r>
      <w:r w:rsidRPr="000C22EC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0C22EC">
        <w:rPr>
          <w:rFonts w:hint="cs"/>
          <w:rtl/>
        </w:rPr>
        <w:t>اللجنة</w:t>
      </w:r>
    </w:p>
    <w:p w:rsidR="006D5AFA" w:rsidRPr="000C22EC" w:rsidRDefault="006D5AFA" w:rsidP="006D5AFA">
      <w:pPr>
        <w:pStyle w:val="H4GA"/>
        <w:rPr>
          <w:rtl/>
        </w:rPr>
      </w:pPr>
      <w:r w:rsidRPr="00C316B7">
        <w:rPr>
          <w:rFonts w:hint="cs"/>
          <w:rtl/>
        </w:rPr>
        <w:tab/>
      </w:r>
      <w:r w:rsidRPr="000C22EC">
        <w:rPr>
          <w:rFonts w:hint="cs"/>
          <w:rtl/>
        </w:rPr>
        <w:tab/>
        <w:t>النظر</w:t>
      </w:r>
      <w:r w:rsidR="00EB56B7">
        <w:rPr>
          <w:rFonts w:hint="cs"/>
          <w:rtl/>
        </w:rPr>
        <w:t xml:space="preserve"> </w:t>
      </w:r>
      <w:r w:rsidRPr="000C22EC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0C22EC">
        <w:rPr>
          <w:rFonts w:hint="cs"/>
          <w:rtl/>
        </w:rPr>
        <w:t>المقبولية</w:t>
      </w:r>
    </w:p>
    <w:p w:rsidR="006D5AFA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6-1</w:t>
      </w:r>
      <w:r w:rsidR="00D10415">
        <w:rPr>
          <w:rtl/>
        </w:rPr>
        <w:tab/>
      </w:r>
      <w:r w:rsidRPr="00C316B7">
        <w:rPr>
          <w:rFonts w:hint="cs"/>
          <w:rtl/>
        </w:rPr>
        <w:t>قبل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ادعاءات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ترد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ما،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تقرر،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بموجب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المادة</w:t>
      </w:r>
      <w:r w:rsidR="00714525">
        <w:rPr>
          <w:rFonts w:hint="cs"/>
          <w:rtl/>
        </w:rPr>
        <w:t> </w:t>
      </w:r>
      <w:r w:rsidRPr="00C316B7">
        <w:rPr>
          <w:rFonts w:hint="cs"/>
          <w:rtl/>
        </w:rPr>
        <w:t>93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نظامها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الداخلي،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مقبولاً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بموجب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البروتوكول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الاختياري.</w:t>
      </w:r>
      <w:r w:rsidRPr="00C316B7">
        <w:rPr>
          <w:rtl/>
        </w:rPr>
        <w:t>‬</w:t>
      </w:r>
    </w:p>
    <w:p w:rsidR="006D5AFA" w:rsidRPr="00C316B7" w:rsidRDefault="006D5AFA" w:rsidP="006D5AFA">
      <w:pPr>
        <w:pStyle w:val="SingleTxtGA"/>
        <w:rPr>
          <w:rtl/>
        </w:rPr>
      </w:pPr>
      <w:r>
        <w:rPr>
          <w:rFonts w:hint="cs"/>
          <w:rtl/>
        </w:rPr>
        <w:t>6-2</w:t>
      </w:r>
      <w:r w:rsidR="00D10415">
        <w:rPr>
          <w:rtl/>
        </w:rPr>
        <w:tab/>
      </w:r>
      <w:r>
        <w:rPr>
          <w:rFonts w:hint="cs"/>
          <w:rtl/>
        </w:rPr>
        <w:t>و</w:t>
      </w:r>
      <w:r w:rsidRPr="00C316B7">
        <w:rPr>
          <w:rFonts w:hint="cs"/>
          <w:rtl/>
        </w:rPr>
        <w:t>قد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تيقنت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وفقاً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تقتضيه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5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2)(أ)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البروتوكول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الاختياري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المسألة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نفسها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</w:t>
      </w:r>
      <w:r>
        <w:rPr>
          <w:rFonts w:hint="cs"/>
          <w:rtl/>
        </w:rPr>
        <w:t>ُ</w:t>
      </w:r>
      <w:r w:rsidRPr="00C316B7">
        <w:rPr>
          <w:rFonts w:hint="cs"/>
          <w:rtl/>
        </w:rPr>
        <w:t>بحث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يجري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بحثها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إطار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إجراء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آخر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إجراءات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التحقيق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714525">
        <w:rPr>
          <w:rFonts w:hint="cs"/>
          <w:rtl/>
        </w:rPr>
        <w:t> </w:t>
      </w:r>
      <w:r w:rsidRPr="00C316B7">
        <w:rPr>
          <w:rFonts w:hint="cs"/>
          <w:rtl/>
        </w:rPr>
        <w:t>التسوية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الدولية</w:t>
      </w:r>
      <w:r w:rsidR="00D10415">
        <w:rPr>
          <w:rFonts w:hint="cs"/>
          <w:rtl/>
        </w:rPr>
        <w:t>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6-3</w:t>
      </w:r>
      <w:r w:rsidR="00D10415">
        <w:rPr>
          <w:rtl/>
        </w:rPr>
        <w:tab/>
      </w:r>
      <w:r w:rsidRPr="00C316B7">
        <w:rPr>
          <w:rFonts w:hint="cs"/>
          <w:rtl/>
        </w:rPr>
        <w:t>وتحيط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بادعاء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الانتصاف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تُستنفد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الامتثال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الذي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قدمته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يزال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قيد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C316B7">
        <w:rPr>
          <w:rFonts w:hint="cs"/>
          <w:rtl/>
        </w:rPr>
        <w:t>نظر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أمام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العليا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جهة،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وأنه</w:t>
      </w:r>
      <w:r w:rsidR="00714525">
        <w:rPr>
          <w:rFonts w:hint="eastAsia"/>
          <w:rtl/>
        </w:rPr>
        <w:t> 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تزال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أمامها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إمكانية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شكوى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تقصي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الحقائق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والمصالحة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جهة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أخرى.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6-4</w:t>
      </w:r>
      <w:r w:rsidR="00D10415">
        <w:rPr>
          <w:rtl/>
        </w:rPr>
        <w:tab/>
      </w:r>
      <w:r w:rsidRPr="00C316B7">
        <w:rPr>
          <w:rFonts w:hint="cs"/>
          <w:rtl/>
        </w:rPr>
        <w:t>ومع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البلاغ: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(أ)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سجلت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لدى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مكتب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المقاطعة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محضرين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تمهيديين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جريمة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الأعمال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اللاإنسانية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والمهينة،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لكن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المحضران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رُفضا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أساس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حكم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المحدد</w:t>
      </w:r>
      <w:r w:rsidR="00EB56B7">
        <w:rPr>
          <w:rFonts w:hint="cs"/>
          <w:rtl/>
        </w:rPr>
        <w:t xml:space="preserve"> </w:t>
      </w:r>
      <w:r w:rsidR="002B0931">
        <w:rPr>
          <w:rFonts w:hint="cs"/>
          <w:rtl/>
        </w:rPr>
        <w:t>بـ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35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يتعلق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بجريمة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الاغتصاب</w:t>
      </w:r>
      <w:r w:rsidRPr="00C316B7">
        <w:rPr>
          <w:rFonts w:hint="cs"/>
          <w:rtl/>
        </w:rPr>
        <w:t>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(ب)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قدمت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طلباً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بالتعويض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عمل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بقانون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التعويض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التعذيب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لعام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1996،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لكن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طلبها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رُفض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أيضا؛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(ج)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قدمت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العليا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الامتثال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وطلبت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تطبيق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حكم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المحدد</w:t>
      </w:r>
      <w:r w:rsidR="00EB56B7">
        <w:rPr>
          <w:rFonts w:hint="cs"/>
          <w:rtl/>
        </w:rPr>
        <w:t xml:space="preserve"> </w:t>
      </w:r>
      <w:r w:rsidR="002B0931">
        <w:rPr>
          <w:rFonts w:hint="cs"/>
          <w:rtl/>
        </w:rPr>
        <w:t>بـ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35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يوم</w:t>
      </w:r>
      <w:r w:rsidR="00BB4EF6">
        <w:rPr>
          <w:rFonts w:hint="cs"/>
          <w:rtl/>
        </w:rPr>
        <w:t>اً،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الطلبات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الفردية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الصلة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بالنزاع،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وهو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يزال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المحكمة.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ادعاءات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</w:t>
      </w:r>
      <w:r>
        <w:rPr>
          <w:rFonts w:hint="cs"/>
          <w:rtl/>
        </w:rPr>
        <w:t>حبة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غير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المطعون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تتمكن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المحضر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التمهيدي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غضون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فترة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35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المحددة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قانوناً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الوقت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تزال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رهن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الاحتجاز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التعسفي،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تتح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مساعدة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قانونية.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واحتجت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</w:t>
      </w:r>
      <w:r>
        <w:rPr>
          <w:rFonts w:hint="cs"/>
          <w:rtl/>
        </w:rPr>
        <w:t>ُ</w:t>
      </w:r>
      <w:r w:rsidRPr="00C316B7">
        <w:rPr>
          <w:rFonts w:hint="cs"/>
          <w:rtl/>
        </w:rPr>
        <w:t>نعت،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حتى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الإفراج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عنها،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التماس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الدعم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مجتمعها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وأسرتها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بسبب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الوصم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الاجتماعي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الذي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يُلصق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بضحايا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الإجراءات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العليا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بأمر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الامتثال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الذي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قدمته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نيسان/أبريل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2014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أمده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مبرر،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خطورة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الجرائم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المزعومة.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ورد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بيان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</w:t>
      </w:r>
      <w:r>
        <w:rPr>
          <w:rFonts w:hint="cs"/>
          <w:rtl/>
        </w:rPr>
        <w:t>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أنه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غير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المحتمل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</w:t>
      </w:r>
      <w:r w:rsidRPr="00C316B7">
        <w:rPr>
          <w:rFonts w:hint="cs"/>
          <w:rtl/>
        </w:rPr>
        <w:t>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تكون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الإجراءات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انتصافاً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اجتهادات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العليا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منذ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طويل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بشأن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المسألة.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وبناء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وبالنظر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القيود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القانونية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والعملية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المفروضة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شكاوى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والإجراءات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المطولة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714525">
        <w:rPr>
          <w:rFonts w:hint="cs"/>
          <w:rtl/>
        </w:rPr>
        <w:t> </w:t>
      </w:r>
      <w:r w:rsidRPr="00C316B7">
        <w:rPr>
          <w:rFonts w:hint="cs"/>
          <w:rtl/>
        </w:rPr>
        <w:t>مبرر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العليا،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وعدم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احتمال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التوصل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نتيجة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إيجابية،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الانتصاف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نظام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العدالة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الجنائية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فعالة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تكن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متاحة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السواء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27"/>
      </w:r>
      <w:r w:rsidR="00D10415">
        <w:rPr>
          <w:rStyle w:val="FootnoteReference"/>
          <w:rtl/>
        </w:rPr>
        <w:t>)</w:t>
      </w:r>
      <w:r w:rsidR="00D10415">
        <w:rPr>
          <w:rFonts w:hint="cs"/>
          <w:rtl/>
        </w:rPr>
        <w:t>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6-5</w:t>
      </w:r>
      <w:r w:rsidR="00BB4EF6">
        <w:rPr>
          <w:rtl/>
        </w:rPr>
        <w:tab/>
      </w:r>
      <w:r w:rsidRPr="00C316B7">
        <w:rPr>
          <w:rFonts w:hint="cs"/>
          <w:rtl/>
        </w:rPr>
        <w:t>وفيما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بنظام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العدالة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الانتقالية،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حجة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تسجيل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قضيتها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لدى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تقصي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الحقائق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والمصالحة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ليس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وسيلة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انتصاف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فعالة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الطابع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القضائي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للجنة.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السياق،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تذكر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باجتهادها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السابق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الضروري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استنفاد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الهيئات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القضائية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للوفاء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بمقتضيات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5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2)(ب)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البروتوكول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lastRenderedPageBreak/>
        <w:t>الاختياري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28"/>
      </w:r>
      <w:r w:rsidR="00D10415">
        <w:rPr>
          <w:rStyle w:val="FootnoteReference"/>
          <w:rtl/>
        </w:rPr>
        <w:t>)</w:t>
      </w:r>
      <w:r w:rsidR="00D10415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استخدام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آليات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العدالة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الانتقالية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يمكن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يغني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المحاكمة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الجنائية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للانتهاكات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الجسيمة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لحقوق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الإنسان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29"/>
      </w:r>
      <w:r w:rsidR="00D10415">
        <w:rPr>
          <w:rStyle w:val="FootnoteReference"/>
          <w:rtl/>
        </w:rPr>
        <w:t>)</w:t>
      </w:r>
      <w:r w:rsidR="00D10415">
        <w:rPr>
          <w:rFonts w:hint="cs"/>
          <w:rtl/>
        </w:rPr>
        <w:t>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وبناء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اللجوء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تقصي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الحقائق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والمصالحة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يشكل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وسيلة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انتصاف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فعالة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6-6</w:t>
      </w:r>
      <w:r w:rsidR="00D10415">
        <w:rPr>
          <w:rtl/>
        </w:rPr>
        <w:tab/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ضوء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تقدم،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تخلص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5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2)(ب)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البروتوكول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الاختياري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714525">
        <w:rPr>
          <w:rFonts w:hint="cs"/>
          <w:rtl/>
        </w:rPr>
        <w:t> </w:t>
      </w:r>
      <w:r w:rsidRPr="00C316B7">
        <w:rPr>
          <w:rFonts w:hint="cs"/>
          <w:rtl/>
        </w:rPr>
        <w:t>تمنعها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6-7</w:t>
      </w:r>
      <w:r w:rsidR="00D10415">
        <w:rPr>
          <w:rtl/>
        </w:rPr>
        <w:tab/>
      </w:r>
      <w:r w:rsidRPr="00C316B7">
        <w:rPr>
          <w:rFonts w:hint="cs"/>
          <w:rtl/>
        </w:rPr>
        <w:t>ومع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استيفاء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جميع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معايير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المقبولية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الأخرى،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تعلن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مقبولية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وتشرع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أسسه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الموضوعية.</w:t>
      </w:r>
    </w:p>
    <w:p w:rsidR="006D5AFA" w:rsidRPr="00AA0EBC" w:rsidRDefault="006D5AFA" w:rsidP="006D5AFA">
      <w:pPr>
        <w:pStyle w:val="H4GA"/>
        <w:rPr>
          <w:rtl/>
        </w:rPr>
      </w:pPr>
      <w:r w:rsidRPr="00C316B7">
        <w:rPr>
          <w:rFonts w:hint="cs"/>
          <w:rtl/>
        </w:rPr>
        <w:tab/>
      </w:r>
      <w:r w:rsidRPr="000C22EC">
        <w:rPr>
          <w:rFonts w:hint="cs"/>
          <w:b/>
          <w:bCs/>
          <w:rtl/>
        </w:rPr>
        <w:tab/>
      </w:r>
      <w:r w:rsidRPr="00AA0EBC">
        <w:rPr>
          <w:rFonts w:hint="cs"/>
          <w:rtl/>
        </w:rPr>
        <w:t>النظر</w:t>
      </w:r>
      <w:r w:rsidR="00EB56B7">
        <w:rPr>
          <w:rFonts w:hint="cs"/>
          <w:rtl/>
        </w:rPr>
        <w:t xml:space="preserve"> </w:t>
      </w:r>
      <w:r w:rsidRPr="00AA0EBC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AA0EBC">
        <w:rPr>
          <w:rFonts w:hint="cs"/>
          <w:rtl/>
        </w:rPr>
        <w:t>الأسس</w:t>
      </w:r>
      <w:r w:rsidR="00EB56B7">
        <w:rPr>
          <w:rFonts w:hint="cs"/>
          <w:rtl/>
        </w:rPr>
        <w:t xml:space="preserve"> </w:t>
      </w:r>
      <w:r w:rsidRPr="00AA0EBC">
        <w:rPr>
          <w:rFonts w:hint="cs"/>
          <w:rtl/>
        </w:rPr>
        <w:t>الموضوعية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7-1</w:t>
      </w:r>
      <w:r w:rsidR="00BB4EF6">
        <w:rPr>
          <w:rtl/>
        </w:rPr>
        <w:tab/>
      </w:r>
      <w:r w:rsidRPr="00C316B7">
        <w:rPr>
          <w:rFonts w:hint="cs"/>
          <w:rtl/>
        </w:rPr>
        <w:t>نظرت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ضوء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جميع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المعلومات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أتاحها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الطرفان،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النحو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المنصوص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عليه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5(1)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البروتوكول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الاختياري.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7-2</w:t>
      </w:r>
      <w:r w:rsidR="00BB4EF6">
        <w:rPr>
          <w:rtl/>
        </w:rPr>
        <w:tab/>
      </w:r>
      <w:r w:rsidRPr="00C316B7">
        <w:rPr>
          <w:rFonts w:hint="cs"/>
          <w:rtl/>
        </w:rPr>
        <w:t>وتحيط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بادعاءات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غير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المطعون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أفراد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الجيش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الملكي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المسلحة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أخضعوها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منذ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نيسان/أبريل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2002،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ولفترة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تزيد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شهر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ونصف،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أشكال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والتعذيب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بغية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انتزاع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معلومات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دعمها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المزعوم</w:t>
      </w:r>
      <w:r w:rsidR="00EB56B7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</w:t>
      </w:r>
      <w:r w:rsidRPr="00C316B7">
        <w:rPr>
          <w:rFonts w:hint="cs"/>
          <w:rtl/>
        </w:rPr>
        <w:t>لماويين</w:t>
      </w:r>
      <w:proofErr w:type="spellEnd"/>
      <w:r w:rsidRPr="00C316B7">
        <w:rPr>
          <w:rFonts w:hint="cs"/>
          <w:rtl/>
        </w:rPr>
        <w:t>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أفعال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ارتكبها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الجيش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الملكي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المسلحة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تنتمي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مجتمع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الأصليين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وكانت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فتاة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عمرها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14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عام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وقوع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الأحداث،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ممارسات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انتهكت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حقوق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المنصوص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عليها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7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24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العهد.</w:t>
      </w:r>
      <w:r>
        <w:rPr>
          <w:rtl/>
        </w:rPr>
        <w:t>‬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7-3</w:t>
      </w:r>
      <w:r w:rsidR="00BB4EF6">
        <w:rPr>
          <w:rtl/>
        </w:rPr>
        <w:tab/>
      </w:r>
      <w:r w:rsidRPr="00C316B7">
        <w:rPr>
          <w:rFonts w:hint="cs"/>
          <w:rtl/>
        </w:rPr>
        <w:t>وتلاحظ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حجة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غير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المطعون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أعمال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bookmarkStart w:id="3" w:name="_Hlk531893048"/>
      <w:r w:rsidRPr="00C316B7">
        <w:rPr>
          <w:rFonts w:hint="cs"/>
          <w:rtl/>
        </w:rPr>
        <w:t>الجنسي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تعرضت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تأثير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تمييزي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عليها،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يتضح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الطريقة</w:t>
      </w:r>
      <w:r w:rsidR="00EB56B7">
        <w:rPr>
          <w:rFonts w:hint="cs"/>
          <w:rtl/>
        </w:rPr>
        <w:t xml:space="preserve"> </w:t>
      </w:r>
      <w:bookmarkEnd w:id="3"/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عوملت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بها؛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تعميم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استخدام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الفتيات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والنساء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أثناء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النزاع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ينطوي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عليه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عواقب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تمييزية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خطيرة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المجتمع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الفتيات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والنساء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ضحايا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وتُذكر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المرأة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معرضة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للخطر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بشكل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خاص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أوقات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النزاع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المسلح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الداخلي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الدولي،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ينطبق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الفتيات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السواء.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ويجب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اتخاذ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جميع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التدابير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لحماية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الفتيات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والنساء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والاختطاف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أشكال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الجنساني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30"/>
      </w:r>
      <w:r w:rsidR="00D10415">
        <w:rPr>
          <w:rStyle w:val="FootnoteReference"/>
          <w:rtl/>
        </w:rPr>
        <w:t>)</w:t>
      </w:r>
      <w:r w:rsidRPr="00C316B7">
        <w:rPr>
          <w:rtl/>
        </w:rPr>
        <w:t>‬</w:t>
      </w:r>
      <w:r w:rsidR="009435F0">
        <w:rPr>
          <w:rFonts w:hint="cs"/>
          <w:rtl/>
        </w:rPr>
        <w:t>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ضوء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السياق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المحيط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أشكال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(انظر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الفقرات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2-2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2-5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أعلاه)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31"/>
      </w:r>
      <w:r w:rsidR="00D10415">
        <w:rPr>
          <w:rStyle w:val="FootnoteReference"/>
          <w:rtl/>
        </w:rPr>
        <w:t>)</w:t>
      </w:r>
      <w:r w:rsidR="009435F0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فضل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إرساء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عموم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مبدأ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المساءلة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عدم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فتح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تحقيق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الجرائم،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انتهكت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التعرض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للتمييز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الجنساني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المنصوص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عليه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bookmarkStart w:id="5" w:name="_Hlk532218630"/>
      <w:r w:rsidRPr="00C316B7">
        <w:rPr>
          <w:rFonts w:hint="cs"/>
          <w:rtl/>
        </w:rPr>
        <w:t>المادتين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3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مقروءتين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لوحدهما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وبالاقتران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المواد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7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24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26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العهد.</w:t>
      </w:r>
    </w:p>
    <w:bookmarkEnd w:id="5"/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lastRenderedPageBreak/>
        <w:t>7-4</w:t>
      </w:r>
      <w:r w:rsidR="009435F0">
        <w:rPr>
          <w:rtl/>
        </w:rPr>
        <w:tab/>
      </w:r>
      <w:r w:rsidRPr="00C316B7">
        <w:rPr>
          <w:rFonts w:hint="cs"/>
          <w:rtl/>
        </w:rPr>
        <w:t>وتحيط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بادعاءات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ضباط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المسلحة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أجبروها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وهي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رهن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الاحتجاز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العم</w:t>
      </w:r>
      <w:r>
        <w:rPr>
          <w:rFonts w:hint="cs"/>
          <w:rtl/>
        </w:rPr>
        <w:t>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الثكنات،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وحمل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الطوب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والرمل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خلط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</w:t>
      </w:r>
      <w:r>
        <w:rPr>
          <w:rFonts w:hint="cs"/>
          <w:rtl/>
        </w:rPr>
        <w:t>لإسمنت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لبناء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معبد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وسقي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الحديقة،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وعمدوا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الإساءة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إليها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لفظياً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أيضا.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تعترض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الادعاءات.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وبناء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وبالنظر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بيان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حقيقة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العمل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القسري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عاملا</w:t>
      </w:r>
      <w:r>
        <w:rPr>
          <w:rFonts w:hint="cs"/>
          <w:rtl/>
        </w:rPr>
        <w:t>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عوامل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المعاملة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القاسية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للمعتقلات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والمعتقلين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أثناء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النزاع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الداخلي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نيبال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32"/>
      </w:r>
      <w:r w:rsidR="00D10415">
        <w:rPr>
          <w:rStyle w:val="FootnoteReference"/>
          <w:rtl/>
        </w:rPr>
        <w:t>)</w:t>
      </w:r>
      <w:r w:rsidR="00D10415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إيلاء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الاعتبار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الواجب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لادعاءات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الصدد.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7-5</w:t>
      </w:r>
      <w:r w:rsidR="009435F0">
        <w:rPr>
          <w:rtl/>
        </w:rPr>
        <w:tab/>
      </w:r>
      <w:r w:rsidRPr="00C316B7">
        <w:rPr>
          <w:rFonts w:hint="cs"/>
          <w:rtl/>
        </w:rPr>
        <w:t>وارتأت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لكي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يكون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العمل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طوعيا</w:t>
      </w:r>
      <w:r>
        <w:rPr>
          <w:rFonts w:hint="cs"/>
          <w:rtl/>
        </w:rPr>
        <w:t>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قسري،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يكون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تدبيراً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استثنائياً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الأقل</w:t>
      </w:r>
      <w:r w:rsidRPr="00C316B7">
        <w:rPr>
          <w:rFonts w:hint="cs"/>
          <w:rtl/>
        </w:rPr>
        <w:t>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يكون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لغرض</w:t>
      </w:r>
      <w:r w:rsidR="00EB56B7">
        <w:rPr>
          <w:rFonts w:hint="cs"/>
          <w:rtl/>
        </w:rPr>
        <w:t xml:space="preserve"> </w:t>
      </w:r>
      <w:r w:rsidRPr="00D7426A">
        <w:rPr>
          <w:rFonts w:hint="cs"/>
          <w:rtl/>
        </w:rPr>
        <w:t>العقاب</w:t>
      </w:r>
      <w:r w:rsidR="00EB56B7" w:rsidRPr="00D7426A">
        <w:rPr>
          <w:rFonts w:hint="cs"/>
          <w:rtl/>
        </w:rPr>
        <w:t xml:space="preserve"> </w:t>
      </w:r>
      <w:r w:rsidRPr="00D7426A">
        <w:rPr>
          <w:rFonts w:hint="cs"/>
          <w:rtl/>
        </w:rPr>
        <w:t>أو</w:t>
      </w:r>
      <w:r w:rsidR="00EB56B7" w:rsidRPr="00D7426A">
        <w:rPr>
          <w:rFonts w:hint="cs"/>
          <w:rtl/>
        </w:rPr>
        <w:t xml:space="preserve"> </w:t>
      </w:r>
      <w:r w:rsidRPr="00D7426A">
        <w:rPr>
          <w:rFonts w:hint="cs"/>
          <w:rtl/>
        </w:rPr>
        <w:t>من</w:t>
      </w:r>
      <w:r w:rsidR="00EB56B7" w:rsidRPr="00D7426A">
        <w:rPr>
          <w:rFonts w:hint="cs"/>
          <w:rtl/>
        </w:rPr>
        <w:t xml:space="preserve"> </w:t>
      </w:r>
      <w:r w:rsidRPr="00D7426A">
        <w:rPr>
          <w:rFonts w:hint="cs"/>
          <w:rtl/>
        </w:rPr>
        <w:t>عواقبه؛</w:t>
      </w:r>
      <w:r w:rsidR="00EB56B7" w:rsidRPr="00D7426A">
        <w:rPr>
          <w:rFonts w:hint="cs"/>
          <w:rtl/>
        </w:rPr>
        <w:t xml:space="preserve"> </w:t>
      </w:r>
      <w:r w:rsidRPr="00D7426A">
        <w:rPr>
          <w:rFonts w:hint="cs"/>
          <w:rtl/>
        </w:rPr>
        <w:t>ويجب</w:t>
      </w:r>
      <w:r w:rsidR="00EB56B7" w:rsidRPr="00D7426A">
        <w:rPr>
          <w:rFonts w:hint="cs"/>
          <w:rtl/>
        </w:rPr>
        <w:t xml:space="preserve"> </w:t>
      </w:r>
      <w:r w:rsidRPr="00D7426A">
        <w:rPr>
          <w:rFonts w:hint="cs"/>
          <w:rtl/>
        </w:rPr>
        <w:t>أن</w:t>
      </w:r>
      <w:r w:rsidR="00EB56B7" w:rsidRPr="00D7426A">
        <w:rPr>
          <w:rFonts w:hint="cs"/>
          <w:rtl/>
        </w:rPr>
        <w:t xml:space="preserve"> </w:t>
      </w:r>
      <w:r w:rsidR="00D7426A" w:rsidRPr="00D7426A">
        <w:rPr>
          <w:rFonts w:hint="cs"/>
          <w:rtl/>
        </w:rPr>
        <w:t>ينص عليه</w:t>
      </w:r>
      <w:r w:rsidR="00EB56B7" w:rsidRPr="00D7426A">
        <w:rPr>
          <w:rFonts w:hint="cs"/>
          <w:rtl/>
        </w:rPr>
        <w:t xml:space="preserve"> </w:t>
      </w:r>
      <w:r w:rsidRPr="00D7426A">
        <w:rPr>
          <w:rFonts w:hint="cs"/>
          <w:rtl/>
        </w:rPr>
        <w:t>القانون</w:t>
      </w:r>
      <w:r w:rsidR="00EB56B7" w:rsidRPr="00D7426A">
        <w:rPr>
          <w:rFonts w:hint="cs"/>
          <w:rtl/>
        </w:rPr>
        <w:t xml:space="preserve"> </w:t>
      </w:r>
      <w:r w:rsidRPr="00D7426A">
        <w:rPr>
          <w:rFonts w:hint="cs"/>
          <w:rtl/>
        </w:rPr>
        <w:t>خدمة</w:t>
      </w:r>
      <w:r w:rsidR="00EB56B7" w:rsidRPr="00D7426A">
        <w:rPr>
          <w:rFonts w:hint="cs"/>
          <w:rtl/>
        </w:rPr>
        <w:t xml:space="preserve"> </w:t>
      </w:r>
      <w:r w:rsidRPr="00D7426A">
        <w:rPr>
          <w:rFonts w:hint="cs"/>
          <w:rtl/>
        </w:rPr>
        <w:t>لغرض</w:t>
      </w:r>
      <w:r w:rsidR="00EB56B7" w:rsidRPr="00D7426A">
        <w:rPr>
          <w:rFonts w:hint="cs"/>
          <w:rtl/>
        </w:rPr>
        <w:t xml:space="preserve"> </w:t>
      </w:r>
      <w:r w:rsidRPr="00D7426A">
        <w:rPr>
          <w:rFonts w:hint="cs"/>
          <w:rtl/>
        </w:rPr>
        <w:t>مشروع</w:t>
      </w:r>
      <w:r w:rsidR="00EB56B7" w:rsidRPr="00D7426A">
        <w:rPr>
          <w:rFonts w:hint="cs"/>
          <w:rtl/>
        </w:rPr>
        <w:t xml:space="preserve"> </w:t>
      </w:r>
      <w:r w:rsidRPr="00D7426A">
        <w:rPr>
          <w:rFonts w:hint="cs"/>
          <w:rtl/>
        </w:rPr>
        <w:t>بموجب</w:t>
      </w:r>
      <w:r w:rsidR="00EB56B7" w:rsidRPr="00D7426A">
        <w:rPr>
          <w:rFonts w:hint="cs"/>
          <w:rtl/>
        </w:rPr>
        <w:t xml:space="preserve"> </w:t>
      </w:r>
      <w:r w:rsidRPr="00D7426A">
        <w:rPr>
          <w:rFonts w:hint="cs"/>
          <w:rtl/>
        </w:rPr>
        <w:t>العهد</w:t>
      </w:r>
      <w:r w:rsidR="00D10415" w:rsidRPr="00D7426A">
        <w:rPr>
          <w:rStyle w:val="FootnoteReference"/>
          <w:rtl/>
        </w:rPr>
        <w:t>(</w:t>
      </w:r>
      <w:r w:rsidR="00D10415" w:rsidRPr="00D7426A">
        <w:rPr>
          <w:rStyle w:val="FootnoteReference"/>
          <w:rtl/>
        </w:rPr>
        <w:footnoteReference w:id="33"/>
      </w:r>
      <w:r w:rsidR="00D10415" w:rsidRPr="00D7426A">
        <w:rPr>
          <w:rStyle w:val="FootnoteReference"/>
          <w:rtl/>
        </w:rPr>
        <w:t>)</w:t>
      </w:r>
      <w:r w:rsidR="00BB4EF6" w:rsidRPr="00D7426A">
        <w:rPr>
          <w:rFonts w:hint="cs"/>
          <w:rtl/>
        </w:rPr>
        <w:t>.</w:t>
      </w:r>
      <w:r w:rsidR="00EB56B7" w:rsidRPr="00D7426A">
        <w:rPr>
          <w:rFonts w:hint="cs"/>
          <w:rtl/>
        </w:rPr>
        <w:t xml:space="preserve"> </w:t>
      </w:r>
      <w:r w:rsidRPr="00D7426A">
        <w:rPr>
          <w:sz w:val="30"/>
          <w:rtl/>
        </w:rPr>
        <w:t>وفي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ضوء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هذه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الاعتبارات،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ترى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اللجنة</w:t>
      </w:r>
      <w:r w:rsidR="00EB56B7" w:rsidRPr="00D7426A">
        <w:rPr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أ</w:t>
      </w:r>
      <w:r w:rsidRPr="00D7426A">
        <w:rPr>
          <w:sz w:val="30"/>
          <w:rtl/>
        </w:rPr>
        <w:t>ن</w:t>
      </w:r>
      <w:r w:rsidR="00EB56B7" w:rsidRPr="00D7426A">
        <w:rPr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إجبار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sz w:val="30"/>
          <w:rtl/>
        </w:rPr>
        <w:t>صاحبة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البلاغ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على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العمل</w:t>
      </w:r>
      <w:r w:rsidRPr="00D7426A">
        <w:rPr>
          <w:rFonts w:hint="cs"/>
          <w:sz w:val="30"/>
          <w:rtl/>
        </w:rPr>
        <w:t>،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في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سياق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ممارسة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السلطة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عليها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وهي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sz w:val="30"/>
          <w:rtl/>
        </w:rPr>
        <w:t>طفل</w:t>
      </w:r>
      <w:r w:rsidRPr="00D7426A">
        <w:rPr>
          <w:rFonts w:hint="cs"/>
          <w:sz w:val="30"/>
          <w:rtl/>
        </w:rPr>
        <w:t>ة</w:t>
      </w:r>
      <w:r w:rsidR="00EB56B7" w:rsidRPr="00D7426A">
        <w:rPr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رهن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الاحتجاز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التعسفي،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ينطوي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على</w:t>
      </w:r>
      <w:r w:rsidR="00EB56B7" w:rsidRPr="00D7426A">
        <w:rPr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إهانة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و</w:t>
      </w:r>
      <w:r w:rsidRPr="00D7426A">
        <w:rPr>
          <w:sz w:val="30"/>
          <w:rtl/>
        </w:rPr>
        <w:t>تمييز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في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هذا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السياق</w:t>
      </w:r>
      <w:r w:rsidR="00EB56B7" w:rsidRPr="00D7426A">
        <w:rPr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بالذات</w:t>
      </w:r>
      <w:r w:rsidRPr="00D7426A">
        <w:rPr>
          <w:sz w:val="30"/>
          <w:rtl/>
        </w:rPr>
        <w:t>،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ويندرج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ضمن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نطاق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المحظورات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المنصوص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عليها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في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المادة</w:t>
      </w:r>
      <w:r w:rsidR="00EB56B7" w:rsidRPr="00D7426A">
        <w:rPr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8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من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العهد،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ويُشكل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بناء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على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ذلك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sz w:val="30"/>
          <w:rtl/>
        </w:rPr>
        <w:t>انتهاك</w:t>
      </w:r>
      <w:r w:rsidR="00BB4EF6" w:rsidRPr="00D7426A">
        <w:rPr>
          <w:sz w:val="30"/>
          <w:rtl/>
        </w:rPr>
        <w:t>اً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للمادة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8(3)،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مقروءة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لوحدها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sz w:val="30"/>
          <w:rtl/>
        </w:rPr>
        <w:t>وبالاقتران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مع</w:t>
      </w:r>
      <w:r w:rsidR="00EB56B7" w:rsidRPr="00D7426A">
        <w:rPr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الفقرتين</w:t>
      </w:r>
      <w:r w:rsidR="00EB56B7" w:rsidRPr="00D7426A">
        <w:rPr>
          <w:rFonts w:hint="cs"/>
          <w:sz w:val="30"/>
          <w:rtl/>
        </w:rPr>
        <w:t xml:space="preserve"> </w:t>
      </w:r>
      <w:r w:rsidRPr="00D7426A">
        <w:rPr>
          <w:rFonts w:hint="cs"/>
          <w:sz w:val="30"/>
          <w:rtl/>
        </w:rPr>
        <w:t>7</w:t>
      </w:r>
      <w:r w:rsidR="00EB56B7" w:rsidRPr="00D7426A">
        <w:rPr>
          <w:rFonts w:hint="cs"/>
          <w:sz w:val="30"/>
          <w:rtl/>
        </w:rPr>
        <w:t xml:space="preserve"> </w:t>
      </w:r>
      <w:r w:rsidR="00D10415" w:rsidRPr="00D7426A">
        <w:rPr>
          <w:rFonts w:hint="cs"/>
          <w:sz w:val="30"/>
          <w:rtl/>
        </w:rPr>
        <w:t>و</w:t>
      </w:r>
      <w:r w:rsidRPr="00D7426A">
        <w:rPr>
          <w:rFonts w:hint="cs"/>
          <w:sz w:val="30"/>
          <w:rtl/>
        </w:rPr>
        <w:t>24(1)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من</w:t>
      </w:r>
      <w:r w:rsidR="00EB56B7" w:rsidRPr="00D7426A">
        <w:rPr>
          <w:sz w:val="30"/>
          <w:rtl/>
        </w:rPr>
        <w:t xml:space="preserve"> </w:t>
      </w:r>
      <w:r w:rsidRPr="00D7426A">
        <w:rPr>
          <w:sz w:val="30"/>
          <w:rtl/>
        </w:rPr>
        <w:t>العهد</w:t>
      </w:r>
      <w:r w:rsidRPr="00D7426A">
        <w:rPr>
          <w:rFonts w:hint="cs"/>
          <w:sz w:val="30"/>
          <w:rtl/>
        </w:rPr>
        <w:t>.</w:t>
      </w:r>
      <w:r w:rsidRPr="00D7426A">
        <w:rPr>
          <w:sz w:val="30"/>
          <w:rtl/>
        </w:rPr>
        <w:t>‬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7-6</w:t>
      </w:r>
      <w:r w:rsidR="009435F0">
        <w:rPr>
          <w:rtl/>
        </w:rPr>
        <w:tab/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ضوء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تقدم،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تقرر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بصورة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منفصلة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ادعاءات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بموجب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10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العهد.</w:t>
      </w:r>
    </w:p>
    <w:p w:rsidR="006D5AFA" w:rsidRPr="009435F0" w:rsidRDefault="006D5AFA" w:rsidP="006D5AFA">
      <w:pPr>
        <w:pStyle w:val="SingleTxtGA"/>
        <w:rPr>
          <w:spacing w:val="-4"/>
          <w:rtl/>
        </w:rPr>
      </w:pPr>
      <w:r w:rsidRPr="00C316B7">
        <w:rPr>
          <w:rFonts w:hint="cs"/>
          <w:rtl/>
        </w:rPr>
        <w:t>7-7</w:t>
      </w:r>
      <w:r w:rsidR="009435F0">
        <w:rPr>
          <w:rtl/>
        </w:rPr>
        <w:tab/>
      </w:r>
      <w:r w:rsidRPr="00C316B7">
        <w:rPr>
          <w:rFonts w:hint="cs"/>
          <w:rtl/>
        </w:rPr>
        <w:t>وتحيط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بادعاءات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بموجب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9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بأن</w:t>
      </w:r>
      <w:r>
        <w:rPr>
          <w:rFonts w:hint="cs"/>
          <w:rtl/>
        </w:rPr>
        <w:t>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اعتقلت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بواسطة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قوة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كبيرة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العسكري</w:t>
      </w:r>
      <w:r w:rsidR="00D7426A">
        <w:rPr>
          <w:rFonts w:hint="cs"/>
          <w:rtl/>
        </w:rPr>
        <w:t>ي</w:t>
      </w:r>
      <w:r w:rsidRPr="00C316B7">
        <w:rPr>
          <w:rFonts w:hint="cs"/>
          <w:rtl/>
        </w:rPr>
        <w:t>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قضائي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ودون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تُبل</w:t>
      </w:r>
      <w:r>
        <w:rPr>
          <w:rFonts w:hint="cs"/>
          <w:rtl/>
        </w:rPr>
        <w:t>َّ</w:t>
      </w:r>
      <w:r w:rsidRPr="00C316B7">
        <w:rPr>
          <w:rFonts w:hint="cs"/>
          <w:rtl/>
        </w:rPr>
        <w:t>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التهم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الموجهة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إليها،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احتُجزت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ثكنات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لقوات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والقوات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العسكرية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لأكثر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شهر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ونصف،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تحصل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تعويض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الاحتجاز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الرغم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</w:t>
      </w:r>
      <w:r>
        <w:rPr>
          <w:rFonts w:hint="cs"/>
          <w:rtl/>
        </w:rPr>
        <w:t>سبل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العديدة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طرقتها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الصدد.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وتشير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وجود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سجلات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احتجاز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تُجر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التحقيقات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اللازمة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ادعاءات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قدمت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قضية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لها</w:t>
      </w:r>
      <w:r w:rsidR="00EB56B7">
        <w:rPr>
          <w:rFonts w:hint="eastAsia"/>
          <w:rtl/>
        </w:rPr>
        <w:t> </w:t>
      </w:r>
      <w:r w:rsidRPr="00C316B7">
        <w:rPr>
          <w:rFonts w:hint="cs"/>
          <w:rtl/>
        </w:rPr>
        <w:t>مصداقية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باحتجازها،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مطالبة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ضحايا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الاعتقال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والاحتجاز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التعسفيين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وغير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القانونين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سجلات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الأمرين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يتساوى</w:t>
      </w:r>
      <w:r w:rsidR="00EB56B7">
        <w:rPr>
          <w:rFonts w:hint="cs"/>
          <w:rtl/>
        </w:rPr>
        <w:t xml:space="preserve"> </w:t>
      </w:r>
      <w:r w:rsidRPr="007735C3">
        <w:rPr>
          <w:rFonts w:hint="cs"/>
          <w:i/>
          <w:iCs/>
          <w:rtl/>
        </w:rPr>
        <w:t>وإثبات</w:t>
      </w:r>
      <w:r w:rsidR="00EB56B7">
        <w:rPr>
          <w:rFonts w:hint="cs"/>
          <w:i/>
          <w:iCs/>
          <w:rtl/>
        </w:rPr>
        <w:t xml:space="preserve"> </w:t>
      </w:r>
      <w:r w:rsidRPr="007735C3">
        <w:rPr>
          <w:rFonts w:hint="cs"/>
          <w:i/>
          <w:iCs/>
          <w:rtl/>
        </w:rPr>
        <w:t>المستحيل</w:t>
      </w:r>
      <w:r w:rsidR="00D10415">
        <w:rPr>
          <w:rStyle w:val="FootnoteReference"/>
          <w:sz w:val="30"/>
          <w:rtl/>
        </w:rPr>
        <w:t>(</w:t>
      </w:r>
      <w:r w:rsidR="00D10415" w:rsidRPr="00AA0EBC">
        <w:rPr>
          <w:rStyle w:val="FootnoteReference"/>
          <w:sz w:val="30"/>
          <w:rtl/>
        </w:rPr>
        <w:footnoteReference w:id="34"/>
      </w:r>
      <w:r w:rsidR="00D10415">
        <w:rPr>
          <w:rStyle w:val="FootnoteReference"/>
          <w:sz w:val="30"/>
          <w:rtl/>
        </w:rPr>
        <w:t>)</w:t>
      </w:r>
      <w:r w:rsidR="00D10415">
        <w:rPr>
          <w:rFonts w:hint="cs"/>
          <w:rtl/>
        </w:rPr>
        <w:t>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عبء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الإثبات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للطعن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قرائن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يقع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بوضوح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بناء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9435F0">
        <w:rPr>
          <w:rFonts w:hint="cs"/>
          <w:spacing w:val="-4"/>
          <w:rtl/>
        </w:rPr>
        <w:t>ذلك،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ترى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اللجنة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أن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اعتقال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واحتجاز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أفراد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الجيش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الملكي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النيبالي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وقوات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الشرطة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المسلحة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صاحبةَ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البلاغ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في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سياق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النزاع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الداخلي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يشكل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انتهاكاً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لحقوقها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المنصوص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عليها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في</w:t>
      </w:r>
      <w:r w:rsidR="00EB56B7">
        <w:rPr>
          <w:rFonts w:hint="cs"/>
          <w:spacing w:val="-4"/>
          <w:rtl/>
        </w:rPr>
        <w:t xml:space="preserve"> </w:t>
      </w:r>
      <w:bookmarkStart w:id="6" w:name="_Hlk532219446"/>
      <w:r w:rsidRPr="009435F0">
        <w:rPr>
          <w:rFonts w:hint="cs"/>
          <w:spacing w:val="-4"/>
          <w:rtl/>
        </w:rPr>
        <w:t>المادة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9</w:t>
      </w:r>
      <w:r w:rsidR="00EB56B7">
        <w:rPr>
          <w:rFonts w:hint="cs"/>
          <w:spacing w:val="-4"/>
          <w:rtl/>
        </w:rPr>
        <w:t xml:space="preserve"> </w:t>
      </w:r>
      <w:bookmarkEnd w:id="6"/>
      <w:r w:rsidRPr="009435F0">
        <w:rPr>
          <w:rFonts w:hint="cs"/>
          <w:spacing w:val="-4"/>
          <w:rtl/>
        </w:rPr>
        <w:t>من</w:t>
      </w:r>
      <w:r w:rsidR="00EB56B7">
        <w:rPr>
          <w:rFonts w:hint="cs"/>
          <w:spacing w:val="-4"/>
          <w:rtl/>
        </w:rPr>
        <w:t xml:space="preserve"> </w:t>
      </w:r>
      <w:r w:rsidRPr="009435F0">
        <w:rPr>
          <w:rFonts w:hint="cs"/>
          <w:spacing w:val="-4"/>
          <w:rtl/>
        </w:rPr>
        <w:t>العهد.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7-8</w:t>
      </w:r>
      <w:r w:rsidR="00D10415">
        <w:rPr>
          <w:rtl/>
        </w:rPr>
        <w:tab/>
      </w:r>
      <w:r w:rsidRPr="00C316B7">
        <w:rPr>
          <w:rFonts w:hint="cs"/>
          <w:rtl/>
        </w:rPr>
        <w:t>وفيما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بشكوى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المتعلقة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17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يشكل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تدخلاً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تعسفياً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خصوصيتها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وحريتها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أُ</w:t>
      </w:r>
      <w:r>
        <w:rPr>
          <w:rFonts w:hint="cs"/>
          <w:rtl/>
        </w:rPr>
        <w:t>جبرت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الجماع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إرادتها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وهي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فتاة؛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ناهيك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اغتُصبت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وتحمَّلت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الوصم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والتهميش،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ولم</w:t>
      </w:r>
      <w:r w:rsidR="00EB56B7">
        <w:rPr>
          <w:rFonts w:hint="cs"/>
          <w:rtl/>
        </w:rPr>
        <w:t> </w:t>
      </w:r>
      <w:r w:rsidRPr="00C316B7">
        <w:rPr>
          <w:rFonts w:hint="cs"/>
          <w:rtl/>
        </w:rPr>
        <w:t>تتخذ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الصدد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تدابير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لحمايتها.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وعلاوة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الوصم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الذي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عانت</w:t>
      </w:r>
      <w:r>
        <w:rPr>
          <w:rFonts w:hint="cs"/>
          <w:rtl/>
        </w:rPr>
        <w:t>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المجتمع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أسرتها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وزوجها،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وتهميشها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وإذلالها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lastRenderedPageBreak/>
        <w:t>وهي</w:t>
      </w:r>
      <w:r w:rsidR="00EB56B7">
        <w:rPr>
          <w:rFonts w:hint="eastAsia"/>
          <w:rtl/>
        </w:rPr>
        <w:t> </w:t>
      </w:r>
      <w:r w:rsidRPr="00C316B7">
        <w:rPr>
          <w:rFonts w:hint="cs"/>
          <w:rtl/>
        </w:rPr>
        <w:t>ضحية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35"/>
      </w:r>
      <w:r w:rsidR="00D10415">
        <w:rPr>
          <w:rStyle w:val="FootnoteReference"/>
          <w:rtl/>
        </w:rPr>
        <w:t>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أمور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تسببت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تقويض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حياتها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الأسرية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وتصدع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زواجها</w:t>
      </w:r>
      <w:r w:rsidRPr="00C316B7">
        <w:rPr>
          <w:rFonts w:hint="cs"/>
          <w:rtl/>
        </w:rPr>
        <w:t>.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ضوء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ما</w:t>
      </w:r>
      <w:r w:rsidR="00EB56B7">
        <w:rPr>
          <w:rFonts w:hint="eastAsia"/>
          <w:rtl/>
        </w:rPr>
        <w:t xml:space="preserve"> </w:t>
      </w:r>
      <w:r>
        <w:rPr>
          <w:rFonts w:hint="cs"/>
          <w:rtl/>
        </w:rPr>
        <w:t>يرد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أعلاه</w:t>
      </w:r>
      <w:r w:rsidRPr="00C316B7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تخلص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انتهاك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17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23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7-9</w:t>
      </w:r>
      <w:r w:rsidR="00D10415">
        <w:rPr>
          <w:rtl/>
        </w:rPr>
        <w:tab/>
      </w:r>
      <w:r w:rsidRPr="00C316B7">
        <w:rPr>
          <w:rFonts w:hint="cs"/>
          <w:rtl/>
        </w:rPr>
        <w:t>وتلاحظ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ادعاءات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إجراء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تحقيق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الانتهاكات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تعرضت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وهي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رهن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الاعتقال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والاحتجاز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الرغم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العديدة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طرقتها.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ادعاءات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السلطات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بشأن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رفضها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تسجيل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شكاوى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إنما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تستند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حكم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المحدد</w:t>
      </w:r>
      <w:r w:rsidR="00EB56B7">
        <w:rPr>
          <w:rFonts w:hint="cs"/>
          <w:rtl/>
        </w:rPr>
        <w:t xml:space="preserve"> </w:t>
      </w:r>
      <w:r w:rsidR="002B0931">
        <w:rPr>
          <w:rFonts w:hint="cs"/>
          <w:rtl/>
        </w:rPr>
        <w:t>بـ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35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الذي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ينطبق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جريمة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التشريع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المحلي.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وتُذكر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C316B7">
        <w:rPr>
          <w:rFonts w:hint="cs"/>
          <w:rtl/>
        </w:rPr>
        <w:t>اجتهاداتها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السابقة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نصت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الفترة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القانونية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القصيرة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المعقولة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شكاوى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تتعارض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بشكل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صارخ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خطورة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الجريمة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وطبيعتها،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تؤثر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تأثيراً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سلبياً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متناسب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الفتيات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والنساء</w:t>
      </w:r>
      <w:r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علماً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أنهن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الغالب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ضحايا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الاغتصاب</w:t>
      </w:r>
      <w:r w:rsidRPr="00C316B7">
        <w:rPr>
          <w:rtl/>
        </w:rPr>
        <w:t>‬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36"/>
      </w:r>
      <w:r w:rsidR="00D10415">
        <w:rPr>
          <w:rStyle w:val="FootnoteReference"/>
          <w:rtl/>
        </w:rPr>
        <w:t>)</w:t>
      </w:r>
      <w:r w:rsidR="000E74B9">
        <w:rPr>
          <w:rFonts w:hint="cs"/>
          <w:rtl/>
        </w:rPr>
        <w:t>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القضية،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وبالنظر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الصدمة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تعرضت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والعار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والوصم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الاجتماعي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اللذين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يتعرض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لهما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ضحايا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مجتمعها</w:t>
      </w:r>
      <w:r w:rsidRPr="00C316B7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وعدم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وجود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إمكانية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الحصول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معلومات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القانونية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المتاحة،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فقد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مضت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تسع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سنوات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تحاول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التماس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العدالة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</w:t>
      </w:r>
      <w:r w:rsidRPr="00C316B7">
        <w:rPr>
          <w:rFonts w:hint="cs"/>
          <w:rtl/>
        </w:rPr>
        <w:t>ل</w:t>
      </w:r>
      <w:r>
        <w:rPr>
          <w:rFonts w:hint="cs"/>
          <w:rtl/>
        </w:rPr>
        <w:t>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C316B7">
        <w:rPr>
          <w:rFonts w:hint="cs"/>
          <w:rtl/>
        </w:rPr>
        <w:t>لانتهاكات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تعرضت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(انظر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الفقرتين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2-9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2-10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أعلاه).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وتحيط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التزمت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بتعزيز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إمكانية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وصول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ضحاي</w:t>
      </w:r>
      <w:r w:rsidR="00BB4EF6">
        <w:rPr>
          <w:rFonts w:hint="cs"/>
          <w:rtl/>
        </w:rPr>
        <w:t>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العدالة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(انظر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الفقرة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4-4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أعلاه)،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وتحيط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بالتعديلات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أُدخلت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قانون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العقوبات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عام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2018،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وسَّع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نطاق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حكم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الذي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ينظم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شكاوى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جريمة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الجرائم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المحدد</w:t>
      </w:r>
      <w:r w:rsidR="00EB56B7">
        <w:rPr>
          <w:rFonts w:hint="cs"/>
          <w:rtl/>
        </w:rPr>
        <w:t xml:space="preserve"> </w:t>
      </w:r>
      <w:r w:rsidR="002B0931">
        <w:rPr>
          <w:rFonts w:hint="cs"/>
          <w:rtl/>
        </w:rPr>
        <w:t>بـ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35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وأتاح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تمديده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واحدة</w:t>
      </w:r>
      <w:r w:rsidRPr="00C316B7">
        <w:rPr>
          <w:rtl/>
        </w:rPr>
        <w:t>‬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37"/>
      </w:r>
      <w:r w:rsidR="00D10415">
        <w:rPr>
          <w:rStyle w:val="FootnoteReference"/>
          <w:rtl/>
        </w:rPr>
        <w:t>)</w:t>
      </w:r>
      <w:r w:rsidR="00D10415">
        <w:rPr>
          <w:rFonts w:hint="cs"/>
          <w:rtl/>
        </w:rPr>
        <w:t>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وتلاحظ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قانون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الجديد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يتناسب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وخطورة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الجرائم.</w:t>
      </w:r>
    </w:p>
    <w:p w:rsidR="006D5AFA" w:rsidRPr="002A37B6" w:rsidRDefault="006D5AFA" w:rsidP="006D5AFA">
      <w:pPr>
        <w:pStyle w:val="SingleTxtGA"/>
        <w:rPr>
          <w:rtl/>
          <w:lang w:val="fr-CH"/>
        </w:rPr>
      </w:pPr>
      <w:r w:rsidRPr="00226B01">
        <w:rPr>
          <w:rtl/>
        </w:rPr>
        <w:t>7-10</w:t>
      </w:r>
      <w:r w:rsidR="00D10415">
        <w:rPr>
          <w:rtl/>
        </w:rPr>
        <w:tab/>
      </w:r>
      <w:r w:rsidRPr="00226B01">
        <w:rPr>
          <w:rtl/>
        </w:rPr>
        <w:t>وفي</w:t>
      </w:r>
      <w:r w:rsidR="00EB56B7">
        <w:rPr>
          <w:rtl/>
        </w:rPr>
        <w:t xml:space="preserve"> </w:t>
      </w:r>
      <w:r w:rsidRPr="00226B01">
        <w:rPr>
          <w:rtl/>
        </w:rPr>
        <w:t>ضوء</w:t>
      </w:r>
      <w:r w:rsidR="00EB56B7">
        <w:rPr>
          <w:rtl/>
        </w:rPr>
        <w:t xml:space="preserve"> </w:t>
      </w:r>
      <w:r w:rsidRPr="00226B01">
        <w:rPr>
          <w:rtl/>
        </w:rPr>
        <w:t>ما</w:t>
      </w:r>
      <w:r w:rsidR="00EB56B7">
        <w:rPr>
          <w:rtl/>
        </w:rPr>
        <w:t xml:space="preserve"> </w:t>
      </w:r>
      <w:r w:rsidRPr="00226B01">
        <w:rPr>
          <w:rtl/>
        </w:rPr>
        <w:t>تقدم،</w:t>
      </w:r>
      <w:r w:rsidR="00EB56B7">
        <w:rPr>
          <w:rtl/>
        </w:rPr>
        <w:t xml:space="preserve"> </w:t>
      </w:r>
      <w:r w:rsidRPr="00226B01">
        <w:rPr>
          <w:rtl/>
        </w:rPr>
        <w:t>تخلص</w:t>
      </w:r>
      <w:r w:rsidR="00EB56B7">
        <w:rPr>
          <w:rtl/>
        </w:rPr>
        <w:t xml:space="preserve"> </w:t>
      </w:r>
      <w:r w:rsidRPr="00226B01">
        <w:rPr>
          <w:rtl/>
        </w:rPr>
        <w:t>اللجنة</w:t>
      </w:r>
      <w:r w:rsidR="00EB56B7">
        <w:rPr>
          <w:rtl/>
        </w:rPr>
        <w:t xml:space="preserve"> </w:t>
      </w:r>
      <w:r w:rsidRPr="00226B01">
        <w:rPr>
          <w:rtl/>
        </w:rPr>
        <w:t>إلى</w:t>
      </w:r>
      <w:r w:rsidR="00EB56B7">
        <w:rPr>
          <w:rtl/>
        </w:rPr>
        <w:t xml:space="preserve"> </w:t>
      </w:r>
      <w:r w:rsidRPr="00226B01">
        <w:rPr>
          <w:rtl/>
        </w:rPr>
        <w:t>أن</w:t>
      </w:r>
      <w:r w:rsidR="00EB56B7">
        <w:rPr>
          <w:rtl/>
        </w:rPr>
        <w:t xml:space="preserve"> </w:t>
      </w:r>
      <w:r w:rsidRPr="00226B01">
        <w:rPr>
          <w:rtl/>
        </w:rPr>
        <w:t>قانون</w:t>
      </w:r>
      <w:r w:rsidR="00EB56B7">
        <w:rPr>
          <w:rtl/>
        </w:rPr>
        <w:t xml:space="preserve"> </w:t>
      </w:r>
      <w:r w:rsidRPr="00226B01">
        <w:rPr>
          <w:rtl/>
        </w:rPr>
        <w:t>التقادم</w:t>
      </w:r>
      <w:r w:rsidR="00EB56B7">
        <w:rPr>
          <w:rtl/>
        </w:rPr>
        <w:t xml:space="preserve"> </w:t>
      </w:r>
      <w:r w:rsidRPr="00226B01">
        <w:rPr>
          <w:rtl/>
        </w:rPr>
        <w:t>المنظم</w:t>
      </w:r>
      <w:r w:rsidR="00EB56B7">
        <w:rPr>
          <w:rtl/>
        </w:rPr>
        <w:t xml:space="preserve"> </w:t>
      </w:r>
      <w:r w:rsidRPr="00226B01">
        <w:rPr>
          <w:rtl/>
        </w:rPr>
        <w:t>لجريمة</w:t>
      </w:r>
      <w:r w:rsidR="00EB56B7">
        <w:rPr>
          <w:rtl/>
        </w:rPr>
        <w:t xml:space="preserve"> </w:t>
      </w:r>
      <w:r w:rsidRPr="00226B01">
        <w:rPr>
          <w:rtl/>
        </w:rPr>
        <w:t>الاغتصاب</w:t>
      </w:r>
      <w:r w:rsidR="00EB56B7">
        <w:rPr>
          <w:rtl/>
        </w:rPr>
        <w:t xml:space="preserve"> </w:t>
      </w:r>
      <w:r w:rsidRPr="00226B01">
        <w:rPr>
          <w:rtl/>
        </w:rPr>
        <w:t>بموجب</w:t>
      </w:r>
      <w:r w:rsidR="00EB56B7">
        <w:rPr>
          <w:rtl/>
        </w:rPr>
        <w:t xml:space="preserve"> </w:t>
      </w:r>
      <w:r w:rsidRPr="00226B01">
        <w:rPr>
          <w:rtl/>
        </w:rPr>
        <w:t>القانون</w:t>
      </w:r>
      <w:r w:rsidR="00EB56B7">
        <w:rPr>
          <w:rtl/>
        </w:rPr>
        <w:t xml:space="preserve"> </w:t>
      </w:r>
      <w:r w:rsidRPr="00226B01">
        <w:rPr>
          <w:rtl/>
        </w:rPr>
        <w:t>النيبالي</w:t>
      </w:r>
      <w:r w:rsidR="00EB56B7">
        <w:rPr>
          <w:rtl/>
        </w:rPr>
        <w:t xml:space="preserve"> </w:t>
      </w:r>
      <w:r w:rsidRPr="00226B01">
        <w:rPr>
          <w:rtl/>
        </w:rPr>
        <w:t>الساري</w:t>
      </w:r>
      <w:r w:rsidR="00EB56B7">
        <w:rPr>
          <w:rtl/>
        </w:rPr>
        <w:t xml:space="preserve"> </w:t>
      </w:r>
      <w:r w:rsidRPr="00226B01">
        <w:rPr>
          <w:rtl/>
        </w:rPr>
        <w:t>وقت</w:t>
      </w:r>
      <w:r w:rsidR="00EB56B7">
        <w:rPr>
          <w:rtl/>
        </w:rPr>
        <w:t xml:space="preserve"> </w:t>
      </w:r>
      <w:r w:rsidRPr="00226B01">
        <w:rPr>
          <w:rtl/>
        </w:rPr>
        <w:t>وقوع</w:t>
      </w:r>
      <w:r w:rsidR="00EB56B7">
        <w:rPr>
          <w:rtl/>
        </w:rPr>
        <w:t xml:space="preserve"> </w:t>
      </w:r>
      <w:r w:rsidRPr="00226B01">
        <w:rPr>
          <w:rtl/>
        </w:rPr>
        <w:t>الأحداث</w:t>
      </w:r>
      <w:r w:rsidR="00EB56B7">
        <w:rPr>
          <w:rtl/>
        </w:rPr>
        <w:t xml:space="preserve"> </w:t>
      </w:r>
      <w:r w:rsidRPr="00226B01">
        <w:rPr>
          <w:rtl/>
        </w:rPr>
        <w:t>حال</w:t>
      </w:r>
      <w:r w:rsidR="00EB56B7">
        <w:rPr>
          <w:rtl/>
        </w:rPr>
        <w:t xml:space="preserve"> </w:t>
      </w:r>
      <w:r w:rsidRPr="00226B01">
        <w:rPr>
          <w:rtl/>
        </w:rPr>
        <w:t>دون</w:t>
      </w:r>
      <w:r w:rsidR="00EB56B7">
        <w:rPr>
          <w:rtl/>
        </w:rPr>
        <w:t xml:space="preserve"> </w:t>
      </w:r>
      <w:r w:rsidRPr="00226B01">
        <w:rPr>
          <w:rtl/>
        </w:rPr>
        <w:t>وصول</w:t>
      </w:r>
      <w:r w:rsidR="00EB56B7">
        <w:rPr>
          <w:rtl/>
        </w:rPr>
        <w:t xml:space="preserve"> </w:t>
      </w:r>
      <w:r w:rsidRPr="00226B01">
        <w:rPr>
          <w:rtl/>
        </w:rPr>
        <w:t>صاحبة</w:t>
      </w:r>
      <w:r w:rsidR="00EB56B7">
        <w:rPr>
          <w:rtl/>
        </w:rPr>
        <w:t xml:space="preserve"> </w:t>
      </w:r>
      <w:r w:rsidRPr="00226B01">
        <w:rPr>
          <w:rtl/>
        </w:rPr>
        <w:t>البلاغ</w:t>
      </w:r>
      <w:r w:rsidR="00EB56B7">
        <w:rPr>
          <w:rtl/>
        </w:rPr>
        <w:t xml:space="preserve"> </w:t>
      </w:r>
      <w:r w:rsidRPr="00226B01">
        <w:rPr>
          <w:rtl/>
        </w:rPr>
        <w:t>إلى</w:t>
      </w:r>
      <w:r w:rsidR="00EB56B7">
        <w:rPr>
          <w:rtl/>
        </w:rPr>
        <w:t xml:space="preserve"> </w:t>
      </w:r>
      <w:r w:rsidRPr="00226B01">
        <w:rPr>
          <w:rtl/>
        </w:rPr>
        <w:t>العدالة،</w:t>
      </w:r>
      <w:r w:rsidR="00EB56B7">
        <w:rPr>
          <w:rtl/>
        </w:rPr>
        <w:t xml:space="preserve"> </w:t>
      </w:r>
      <w:r w:rsidRPr="00226B01">
        <w:rPr>
          <w:rtl/>
        </w:rPr>
        <w:t>ما</w:t>
      </w:r>
      <w:r w:rsidR="000476FA">
        <w:rPr>
          <w:rFonts w:hint="eastAsia"/>
          <w:rtl/>
        </w:rPr>
        <w:t> </w:t>
      </w:r>
      <w:r w:rsidRPr="00226B01">
        <w:rPr>
          <w:rtl/>
        </w:rPr>
        <w:t>انتهك</w:t>
      </w:r>
      <w:r w:rsidR="00EB56B7">
        <w:rPr>
          <w:rtl/>
        </w:rPr>
        <w:t xml:space="preserve"> </w:t>
      </w:r>
      <w:r w:rsidRPr="00226B01">
        <w:rPr>
          <w:rtl/>
        </w:rPr>
        <w:t>حقوقها</w:t>
      </w:r>
      <w:r w:rsidR="00EB56B7">
        <w:rPr>
          <w:rtl/>
        </w:rPr>
        <w:t xml:space="preserve"> </w:t>
      </w:r>
      <w:r w:rsidRPr="00226B01">
        <w:rPr>
          <w:rtl/>
        </w:rPr>
        <w:t>المنصوص</w:t>
      </w:r>
      <w:r w:rsidR="00EB56B7">
        <w:rPr>
          <w:rtl/>
        </w:rPr>
        <w:t xml:space="preserve"> </w:t>
      </w:r>
      <w:r w:rsidRPr="00226B01">
        <w:rPr>
          <w:rtl/>
        </w:rPr>
        <w:t>عليها</w:t>
      </w:r>
      <w:r w:rsidR="00EB56B7">
        <w:rPr>
          <w:rtl/>
        </w:rPr>
        <w:t xml:space="preserve"> </w:t>
      </w:r>
      <w:r w:rsidRPr="00226B01">
        <w:rPr>
          <w:rtl/>
        </w:rPr>
        <w:t>في</w:t>
      </w:r>
      <w:r w:rsidR="00EB56B7">
        <w:rPr>
          <w:rtl/>
        </w:rPr>
        <w:t xml:space="preserve"> </w:t>
      </w:r>
      <w:r w:rsidRPr="00226B01">
        <w:rPr>
          <w:rtl/>
        </w:rPr>
        <w:t>المادة</w:t>
      </w:r>
      <w:r w:rsidR="00EB56B7">
        <w:rPr>
          <w:rtl/>
        </w:rPr>
        <w:t xml:space="preserve"> </w:t>
      </w:r>
      <w:r w:rsidRPr="00226B01">
        <w:rPr>
          <w:rtl/>
        </w:rPr>
        <w:t>2</w:t>
      </w:r>
      <w:r w:rsidR="007A1201">
        <w:rPr>
          <w:rtl/>
        </w:rPr>
        <w:t>(</w:t>
      </w:r>
      <w:r w:rsidRPr="00226B01">
        <w:rPr>
          <w:rtl/>
        </w:rPr>
        <w:t>3)،</w:t>
      </w:r>
      <w:r w:rsidR="00EB56B7">
        <w:rPr>
          <w:rtl/>
        </w:rPr>
        <w:t xml:space="preserve"> </w:t>
      </w:r>
      <w:r w:rsidRPr="00226B01">
        <w:rPr>
          <w:rtl/>
        </w:rPr>
        <w:t>مقروءة</w:t>
      </w:r>
      <w:r w:rsidR="00EB56B7">
        <w:rPr>
          <w:rtl/>
        </w:rPr>
        <w:t xml:space="preserve"> </w:t>
      </w:r>
      <w:r>
        <w:rPr>
          <w:rFonts w:hint="cs"/>
          <w:rtl/>
        </w:rPr>
        <w:t>بمفردها</w:t>
      </w:r>
      <w:r w:rsidR="00EB56B7">
        <w:rPr>
          <w:rtl/>
        </w:rPr>
        <w:t xml:space="preserve"> </w:t>
      </w:r>
      <w:r w:rsidRPr="00226B01">
        <w:rPr>
          <w:rtl/>
        </w:rPr>
        <w:t>وبالاقتران</w:t>
      </w:r>
      <w:r w:rsidR="00EB56B7">
        <w:rPr>
          <w:rtl/>
        </w:rPr>
        <w:t xml:space="preserve"> </w:t>
      </w:r>
      <w:r w:rsidRPr="00226B01">
        <w:rPr>
          <w:rtl/>
        </w:rPr>
        <w:t>مع</w:t>
      </w:r>
      <w:r w:rsidR="00EB56B7">
        <w:rPr>
          <w:rtl/>
        </w:rPr>
        <w:t xml:space="preserve"> </w:t>
      </w:r>
      <w:r w:rsidRPr="00226B01">
        <w:rPr>
          <w:rtl/>
        </w:rPr>
        <w:t>المواد</w:t>
      </w:r>
      <w:r w:rsidR="00EB56B7">
        <w:rPr>
          <w:rtl/>
        </w:rPr>
        <w:t xml:space="preserve"> </w:t>
      </w:r>
      <w:r w:rsidRPr="00226B01">
        <w:rPr>
          <w:rtl/>
        </w:rPr>
        <w:t>3</w:t>
      </w:r>
      <w:r w:rsidR="00EB56B7">
        <w:rPr>
          <w:rtl/>
        </w:rPr>
        <w:t xml:space="preserve"> </w:t>
      </w:r>
      <w:r w:rsidR="00D10415">
        <w:rPr>
          <w:rtl/>
        </w:rPr>
        <w:t>و</w:t>
      </w:r>
      <w:r w:rsidRPr="00226B01">
        <w:rPr>
          <w:rtl/>
        </w:rPr>
        <w:t>7</w:t>
      </w:r>
      <w:r w:rsidR="00EB56B7">
        <w:rPr>
          <w:rtl/>
        </w:rPr>
        <w:t xml:space="preserve"> </w:t>
      </w:r>
      <w:r w:rsidR="00D10415">
        <w:rPr>
          <w:rtl/>
        </w:rPr>
        <w:t>و</w:t>
      </w:r>
      <w:r w:rsidRPr="00226B01">
        <w:rPr>
          <w:rtl/>
        </w:rPr>
        <w:t>9</w:t>
      </w:r>
      <w:r w:rsidR="00EB56B7">
        <w:rPr>
          <w:rtl/>
        </w:rPr>
        <w:t xml:space="preserve"> </w:t>
      </w:r>
      <w:r w:rsidR="00D10415">
        <w:rPr>
          <w:rtl/>
        </w:rPr>
        <w:t>و</w:t>
      </w:r>
      <w:r w:rsidRPr="00226B01">
        <w:rPr>
          <w:rtl/>
        </w:rPr>
        <w:t>24</w:t>
      </w:r>
      <w:r w:rsidR="00EB56B7">
        <w:rPr>
          <w:rtl/>
        </w:rPr>
        <w:t xml:space="preserve"> </w:t>
      </w:r>
      <w:r w:rsidR="00D10415">
        <w:rPr>
          <w:rtl/>
        </w:rPr>
        <w:t>و</w:t>
      </w:r>
      <w:r w:rsidRPr="00226B01">
        <w:rPr>
          <w:rtl/>
        </w:rPr>
        <w:t>26</w:t>
      </w:r>
      <w:r w:rsidR="00EB56B7">
        <w:rPr>
          <w:rtl/>
        </w:rPr>
        <w:t xml:space="preserve"> </w:t>
      </w:r>
      <w:r w:rsidRPr="00226B01">
        <w:rPr>
          <w:rtl/>
        </w:rPr>
        <w:t>من</w:t>
      </w:r>
      <w:r w:rsidR="00EB56B7">
        <w:rPr>
          <w:rtl/>
        </w:rPr>
        <w:t xml:space="preserve"> </w:t>
      </w:r>
      <w:r w:rsidRPr="00226B01">
        <w:rPr>
          <w:rtl/>
        </w:rPr>
        <w:t>العهد.</w:t>
      </w:r>
    </w:p>
    <w:p w:rsidR="006D5AFA" w:rsidRPr="00C316B7" w:rsidRDefault="006D5AFA" w:rsidP="006D5AFA">
      <w:pPr>
        <w:pStyle w:val="SingleTxtGA"/>
        <w:rPr>
          <w:rtl/>
          <w:lang w:bidi="ar-DZ"/>
        </w:rPr>
      </w:pPr>
      <w:r w:rsidRPr="00C316B7">
        <w:rPr>
          <w:rFonts w:hint="cs"/>
          <w:rtl/>
        </w:rPr>
        <w:t>8</w:t>
      </w:r>
      <w:r w:rsidR="00D10415">
        <w:rPr>
          <w:rFonts w:hint="cs"/>
          <w:rtl/>
        </w:rPr>
        <w:t>-</w:t>
      </w:r>
      <w:r w:rsidR="00D10415">
        <w:rPr>
          <w:rFonts w:hint="cs"/>
          <w:rtl/>
        </w:rPr>
        <w:tab/>
      </w:r>
      <w:r>
        <w:rPr>
          <w:rFonts w:hint="cs"/>
          <w:rtl/>
        </w:rPr>
        <w:t>و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226B01">
        <w:rPr>
          <w:rtl/>
        </w:rPr>
        <w:t>إذ</w:t>
      </w:r>
      <w:r w:rsidR="00EB56B7">
        <w:rPr>
          <w:rtl/>
        </w:rPr>
        <w:t xml:space="preserve"> </w:t>
      </w:r>
      <w:r w:rsidRPr="00226B01">
        <w:rPr>
          <w:rtl/>
        </w:rPr>
        <w:t>تتصرف</w:t>
      </w:r>
      <w:r w:rsidR="00EB56B7">
        <w:rPr>
          <w:rtl/>
        </w:rPr>
        <w:t xml:space="preserve"> </w:t>
      </w:r>
      <w:r w:rsidRPr="00226B01">
        <w:rPr>
          <w:rtl/>
        </w:rPr>
        <w:t>وفقاً</w:t>
      </w:r>
      <w:r w:rsidR="00EB56B7">
        <w:rPr>
          <w:rtl/>
        </w:rPr>
        <w:t xml:space="preserve"> </w:t>
      </w:r>
      <w:r w:rsidRPr="00226B01">
        <w:rPr>
          <w:rtl/>
        </w:rPr>
        <w:t>للفقرة</w:t>
      </w:r>
      <w:r w:rsidR="00EB56B7">
        <w:rPr>
          <w:rtl/>
        </w:rPr>
        <w:t xml:space="preserve"> </w:t>
      </w:r>
      <w:r w:rsidRPr="00226B01">
        <w:rPr>
          <w:rtl/>
        </w:rPr>
        <w:t>(4)</w:t>
      </w:r>
      <w:r w:rsidR="00EB56B7">
        <w:rPr>
          <w:rtl/>
        </w:rPr>
        <w:t xml:space="preserve"> </w:t>
      </w:r>
      <w:r w:rsidRPr="00226B01">
        <w:rPr>
          <w:rtl/>
        </w:rPr>
        <w:t>من</w:t>
      </w:r>
      <w:r w:rsidR="00EB56B7">
        <w:rPr>
          <w:rtl/>
        </w:rPr>
        <w:t xml:space="preserve"> </w:t>
      </w:r>
      <w:r w:rsidRPr="00226B01">
        <w:rPr>
          <w:rtl/>
        </w:rPr>
        <w:t>المادة</w:t>
      </w:r>
      <w:r w:rsidR="00EB56B7">
        <w:rPr>
          <w:rtl/>
        </w:rPr>
        <w:t xml:space="preserve"> </w:t>
      </w:r>
      <w:r w:rsidRPr="00226B01">
        <w:rPr>
          <w:rtl/>
        </w:rPr>
        <w:t>5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البروتوكول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الاختياري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</w:t>
      </w:r>
      <w:r>
        <w:rPr>
          <w:rFonts w:hint="cs"/>
          <w:rtl/>
        </w:rPr>
        <w:t>رى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الوقائع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المعروضة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عليها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</w:t>
      </w:r>
      <w:r w:rsidRPr="00C316B7">
        <w:rPr>
          <w:rFonts w:hint="cs"/>
          <w:rtl/>
        </w:rPr>
        <w:t>كشف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انتهاك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</w:t>
      </w:r>
      <w:r>
        <w:rPr>
          <w:rFonts w:hint="cs"/>
          <w:rtl/>
        </w:rPr>
        <w:t>تين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7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>
        <w:rPr>
          <w:rFonts w:hint="cs"/>
          <w:rtl/>
        </w:rPr>
        <w:t>24</w:t>
      </w:r>
      <w:r w:rsidR="007A1201">
        <w:rPr>
          <w:rFonts w:hint="cs"/>
          <w:rtl/>
        </w:rPr>
        <w:t>(</w:t>
      </w:r>
      <w:r>
        <w:rPr>
          <w:rFonts w:hint="cs"/>
          <w:rtl/>
        </w:rPr>
        <w:t>1)،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والمادتين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3،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مقروءتين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بمفردهما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وبالاقتران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المواد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7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24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26؛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8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3)،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مقروءة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بمفردها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وبالاقتران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7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24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9،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مقروءة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بمفردها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وبالاقتران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3)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24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والمادتين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17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23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3)،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مقروءة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لوحدها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وبالاقتران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المواد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7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9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24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26.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lastRenderedPageBreak/>
        <w:t>9-</w:t>
      </w:r>
      <w:r w:rsidR="00BB4EF6">
        <w:rPr>
          <w:rtl/>
        </w:rPr>
        <w:tab/>
      </w:r>
      <w:r w:rsidRPr="00C316B7">
        <w:rPr>
          <w:rFonts w:hint="cs"/>
          <w:rtl/>
        </w:rPr>
        <w:t>وعمل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3)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أ)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توفير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سبيل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انتصاف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فعال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وهذا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الأمر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يقتضي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دفع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تعويضات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كاملة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للأفراد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الذين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انتُهكت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حقوقهم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المنصوص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العهد.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فقاً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ملزمة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جملة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أمور: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(أ)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إجراء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تحقيق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شامل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وفعال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الوقائع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المحيطة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باعتقال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واحتجاز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السيدة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نيايا</w:t>
      </w:r>
      <w:proofErr w:type="spell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المعاملة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تعرضت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أثناء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الاحتجاز؛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(ب)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ملاحقة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المسؤولين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الانتهاكات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المرتكبة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ومحاكمتهم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ومعاقبتهم؛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(ج)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معلومات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مفصلة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نتائج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التحقيق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(د)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ضمان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توفير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إعادة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التأهيل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النفسي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الضروري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والكافي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والعلاج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الطبي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بالمجان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</w:t>
      </w:r>
      <w:r w:rsidR="00EB56B7">
        <w:rPr>
          <w:rFonts w:hint="cs"/>
          <w:rtl/>
        </w:rPr>
        <w:t>ه</w:t>
      </w:r>
      <w:r w:rsidRPr="00C316B7">
        <w:rPr>
          <w:rFonts w:hint="cs"/>
          <w:rtl/>
        </w:rPr>
        <w:t>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توفير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الجبر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الفعال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والتعويض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المناسب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وتدابير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الترضية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المناسبة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عانت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انتهاكات،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اعتذار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رسمي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إليها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احتفال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خاص.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ويجب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اتخاذ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خطوات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لمنع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حدوث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انتهاكات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مماثلة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المستقبل.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وينبغي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تكفل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تشريعات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بوجه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خاص: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(أ)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تجريم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التعذيب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وتوفير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العقوبات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وسبل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الانتصاف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الملائمة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تتناسب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وخطورة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الجريمة؛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(ب)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تكييف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تعريف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أشكال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وفقاً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للمعايير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الدولية؛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(ج)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ضمان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حالات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أشكال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والتعذيب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تفضي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إجراء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تحقيق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سريع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ونزيه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وفعال؛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(د)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السماح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بالمحاكمة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الجنائية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للمسؤولين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الجرائم؛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</w:t>
      </w:r>
      <w:r w:rsidR="00EB56B7">
        <w:rPr>
          <w:rFonts w:hint="cs"/>
          <w:rtl/>
        </w:rPr>
        <w:t>ه</w:t>
      </w:r>
      <w:r w:rsidRPr="00C316B7">
        <w:rPr>
          <w:rFonts w:hint="cs"/>
          <w:rtl/>
        </w:rPr>
        <w:t>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إزالة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العقبات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تعوق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تقديم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الشكاوى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والوصول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الفعلي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العدالة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والتعويض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لضحايا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أشكال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النساء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والفتيات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سياق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النزاع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المسلح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نيبال،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باعتبارها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أشكال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التعذيب،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C316B7">
        <w:rPr>
          <w:rFonts w:hint="cs"/>
          <w:rtl/>
        </w:rPr>
        <w:t>تمديد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التقادم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لفترة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طويلة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يتناسب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وخطورة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الجرائم</w:t>
      </w:r>
      <w:r w:rsidR="00D10415">
        <w:rPr>
          <w:rStyle w:val="FootnoteReference"/>
          <w:rtl/>
        </w:rPr>
        <w:t>(</w:t>
      </w:r>
      <w:r w:rsidR="00D10415" w:rsidRPr="00C316B7">
        <w:rPr>
          <w:rStyle w:val="FootnoteReference"/>
          <w:rtl/>
        </w:rPr>
        <w:footnoteReference w:id="38"/>
      </w:r>
      <w:r w:rsidR="00D10415">
        <w:rPr>
          <w:rStyle w:val="FootnoteReference"/>
          <w:rtl/>
        </w:rPr>
        <w:t>)</w:t>
      </w:r>
      <w:r w:rsidR="00D10415">
        <w:rPr>
          <w:rFonts w:hint="cs"/>
          <w:rtl/>
        </w:rPr>
        <w:t>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10</w:t>
      </w:r>
      <w:r w:rsidR="00D10415">
        <w:rPr>
          <w:rFonts w:hint="cs"/>
          <w:rtl/>
        </w:rPr>
        <w:t>-</w:t>
      </w:r>
      <w:r w:rsidR="00D10415">
        <w:rPr>
          <w:rFonts w:hint="cs"/>
          <w:rtl/>
        </w:rPr>
        <w:tab/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إذ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تضع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اعتبارها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عندما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أصبحت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طرف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البروتوكول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الاختياري،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اعترفت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باختصاص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تقرير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قد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وقع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انتهاك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للعهد،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تعهدت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عمل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تكفل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تمتع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جميع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الأفراد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الموجودين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داخل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إقليمها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الخاضعين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لولايتها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C316B7">
        <w:rPr>
          <w:rFonts w:hint="cs"/>
          <w:rtl/>
        </w:rPr>
        <w:t>الحقوق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المعترف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بإتاحة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سبيل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انتصاف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فعال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وقابل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للإنفاذ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عندما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يثبت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حدوث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انتهاك</w:t>
      </w:r>
      <w:r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تود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تتلقى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غضون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180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يوماً،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معلومات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التدابير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اتخذتها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لوضع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آراء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موضع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التنفيذ.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ويُطلب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نشر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الآراء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وتعميمها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نطاق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واسع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باللغات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الرسمية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الطرف.</w:t>
      </w:r>
    </w:p>
    <w:p w:rsidR="006D5AFA" w:rsidRPr="003970B0" w:rsidRDefault="006D5AFA" w:rsidP="00D10415">
      <w:pPr>
        <w:pStyle w:val="HChGA"/>
        <w:spacing w:before="120"/>
        <w:rPr>
          <w:rtl/>
        </w:rPr>
      </w:pPr>
      <w:r w:rsidRPr="00C316B7">
        <w:rPr>
          <w:rFonts w:hint="cs"/>
          <w:rtl/>
        </w:rPr>
        <w:br w:type="page"/>
      </w:r>
      <w:r w:rsidRPr="003970B0">
        <w:rPr>
          <w:rFonts w:hint="cs"/>
          <w:rtl/>
        </w:rPr>
        <w:lastRenderedPageBreak/>
        <w:t>المرفق</w:t>
      </w:r>
    </w:p>
    <w:p w:rsidR="006D5AFA" w:rsidRPr="003970B0" w:rsidRDefault="006D5AFA" w:rsidP="00D10415">
      <w:pPr>
        <w:pStyle w:val="HChGA"/>
        <w:rPr>
          <w:rtl/>
        </w:rPr>
      </w:pPr>
      <w:r w:rsidRPr="00C316B7">
        <w:rPr>
          <w:rFonts w:hint="cs"/>
          <w:rtl/>
        </w:rPr>
        <w:tab/>
      </w:r>
      <w:r w:rsidRPr="00C316B7">
        <w:rPr>
          <w:rFonts w:hint="cs"/>
          <w:rtl/>
        </w:rPr>
        <w:tab/>
      </w:r>
      <w:r w:rsidRPr="003970B0">
        <w:rPr>
          <w:rFonts w:hint="cs"/>
          <w:rtl/>
        </w:rPr>
        <w:t>رأي</w:t>
      </w:r>
      <w:r w:rsidR="00EB56B7">
        <w:rPr>
          <w:rFonts w:hint="cs"/>
          <w:rtl/>
        </w:rPr>
        <w:t xml:space="preserve"> </w:t>
      </w:r>
      <w:r w:rsidRPr="003970B0">
        <w:rPr>
          <w:rFonts w:hint="cs"/>
          <w:rtl/>
        </w:rPr>
        <w:t>فردي</w:t>
      </w:r>
      <w:r w:rsidR="00EB56B7">
        <w:rPr>
          <w:rFonts w:hint="cs"/>
          <w:rtl/>
        </w:rPr>
        <w:t xml:space="preserve"> </w:t>
      </w:r>
      <w:r w:rsidRPr="003970B0">
        <w:rPr>
          <w:rFonts w:hint="cs"/>
          <w:rtl/>
        </w:rPr>
        <w:t>لعضو</w:t>
      </w:r>
      <w:r w:rsidR="00EB56B7">
        <w:rPr>
          <w:rFonts w:hint="cs"/>
          <w:rtl/>
        </w:rPr>
        <w:t xml:space="preserve"> </w:t>
      </w:r>
      <w:r w:rsidRPr="003970B0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3970B0">
        <w:rPr>
          <w:rFonts w:hint="cs"/>
          <w:rtl/>
        </w:rPr>
        <w:t>خوسيه</w:t>
      </w:r>
      <w:r w:rsidR="00EB56B7">
        <w:rPr>
          <w:rFonts w:hint="cs"/>
          <w:rtl/>
        </w:rPr>
        <w:t xml:space="preserve"> </w:t>
      </w:r>
      <w:r w:rsidRPr="003970B0">
        <w:rPr>
          <w:rFonts w:hint="cs"/>
          <w:rtl/>
        </w:rPr>
        <w:t>مانويل</w:t>
      </w:r>
      <w:r w:rsidR="00EB56B7">
        <w:rPr>
          <w:rFonts w:hint="cs"/>
          <w:rtl/>
        </w:rPr>
        <w:t xml:space="preserve"> </w:t>
      </w:r>
      <w:proofErr w:type="spellStart"/>
      <w:r w:rsidRPr="003970B0">
        <w:rPr>
          <w:rFonts w:hint="cs"/>
          <w:rtl/>
        </w:rPr>
        <w:t>سانتون</w:t>
      </w:r>
      <w:proofErr w:type="spellEnd"/>
      <w:r w:rsidR="00EB56B7">
        <w:rPr>
          <w:rFonts w:hint="cs"/>
          <w:rtl/>
        </w:rPr>
        <w:t xml:space="preserve"> </w:t>
      </w:r>
      <w:proofErr w:type="spellStart"/>
      <w:r w:rsidRPr="003970B0">
        <w:rPr>
          <w:rFonts w:hint="cs"/>
          <w:rtl/>
        </w:rPr>
        <w:t>باييس</w:t>
      </w:r>
      <w:proofErr w:type="spellEnd"/>
      <w:r w:rsidR="00EB56B7">
        <w:rPr>
          <w:rFonts w:hint="cs"/>
          <w:rtl/>
        </w:rPr>
        <w:t xml:space="preserve"> </w:t>
      </w:r>
      <w:r w:rsidRPr="003970B0">
        <w:rPr>
          <w:rFonts w:hint="cs"/>
          <w:rtl/>
        </w:rPr>
        <w:t>(مؤيد</w:t>
      </w:r>
      <w:r w:rsidR="00EB56B7">
        <w:rPr>
          <w:rFonts w:hint="cs"/>
          <w:rtl/>
        </w:rPr>
        <w:t xml:space="preserve"> </w:t>
      </w:r>
      <w:r w:rsidRPr="003970B0">
        <w:rPr>
          <w:rFonts w:hint="cs"/>
          <w:rtl/>
        </w:rPr>
        <w:t>جزئيا</w:t>
      </w:r>
      <w:r w:rsidR="00D10415">
        <w:rPr>
          <w:rFonts w:hint="cs"/>
          <w:rtl/>
        </w:rPr>
        <w:t>ً</w:t>
      </w:r>
      <w:r w:rsidRPr="003970B0">
        <w:rPr>
          <w:rFonts w:hint="cs"/>
          <w:rtl/>
        </w:rPr>
        <w:t>)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1-</w:t>
      </w:r>
      <w:r w:rsidRPr="00C316B7">
        <w:rPr>
          <w:rFonts w:hint="cs"/>
          <w:rtl/>
        </w:rPr>
        <w:tab/>
        <w:t>أوافق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الرأي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تمام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انتهكت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مواد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أنني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أختلف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خلصت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إليه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نيبال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مسؤولة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تقويض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حياة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أسرة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وتصدع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زواجها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(انظر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الفقرتين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7-8،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8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الآراء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الواردة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أعلاه).</w:t>
      </w:r>
    </w:p>
    <w:p w:rsidR="006D5AFA" w:rsidRPr="00D10415" w:rsidRDefault="006D5AFA" w:rsidP="006D5AFA">
      <w:pPr>
        <w:pStyle w:val="SingleTxtGA"/>
        <w:rPr>
          <w:spacing w:val="4"/>
          <w:rtl/>
        </w:rPr>
      </w:pPr>
      <w:r w:rsidRPr="00C316B7">
        <w:rPr>
          <w:rFonts w:hint="cs"/>
          <w:rtl/>
        </w:rPr>
        <w:t>2-</w:t>
      </w:r>
      <w:r w:rsidR="004F7060">
        <w:rPr>
          <w:rtl/>
        </w:rPr>
        <w:tab/>
      </w:r>
      <w:r w:rsidRPr="00C316B7">
        <w:rPr>
          <w:rFonts w:hint="cs"/>
          <w:rtl/>
        </w:rPr>
        <w:t>وُلدت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مقاطعة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كايلالي</w:t>
      </w:r>
      <w:proofErr w:type="spell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أقصى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غرب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نيبال.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نيسان/</w:t>
      </w:r>
      <w:r w:rsidR="00EB56B7">
        <w:rPr>
          <w:rFonts w:hint="cs"/>
          <w:rtl/>
        </w:rPr>
        <w:t xml:space="preserve">       </w:t>
      </w:r>
      <w:r w:rsidRPr="00C316B7">
        <w:rPr>
          <w:rFonts w:hint="cs"/>
          <w:rtl/>
        </w:rPr>
        <w:t>أبريل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2002،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عندما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عمرها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14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عام</w:t>
      </w:r>
      <w:r w:rsidR="00BB4EF6">
        <w:rPr>
          <w:rFonts w:hint="cs"/>
          <w:rtl/>
        </w:rPr>
        <w:t>اً،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دخل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أفراد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الجيش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الملكي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الشرطة</w:t>
      </w:r>
      <w:r w:rsidR="00EB56B7">
        <w:rPr>
          <w:rFonts w:hint="cs"/>
          <w:rtl/>
        </w:rPr>
        <w:t xml:space="preserve"> </w:t>
      </w:r>
      <w:r w:rsidRPr="00D10415">
        <w:rPr>
          <w:rFonts w:hint="cs"/>
          <w:spacing w:val="4"/>
          <w:rtl/>
        </w:rPr>
        <w:t>المسلحة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قريتها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واعتقلوها.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وسُحبت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إلى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إحدى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الشاحنات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حيث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اعتدت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مجموعة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من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الجنود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عليها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جنسياً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إذ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لمسوا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أماكن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من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جسمها،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بما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في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ذلك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صدرها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وفخذيها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وأردافها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(الفقر</w:t>
      </w:r>
      <w:r w:rsidR="00EB56B7">
        <w:rPr>
          <w:rFonts w:hint="eastAsia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2-2).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وفي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وقت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لاحق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من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ذلك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اليوم،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نُقلت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صاحبة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البلاغ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إلى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ثكنات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الجيش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في</w:t>
      </w:r>
      <w:r w:rsidR="00EB56B7">
        <w:rPr>
          <w:rFonts w:hint="cs"/>
          <w:spacing w:val="4"/>
          <w:rtl/>
        </w:rPr>
        <w:t xml:space="preserve"> </w:t>
      </w:r>
      <w:proofErr w:type="spellStart"/>
      <w:r w:rsidRPr="00D10415">
        <w:rPr>
          <w:rFonts w:hint="cs"/>
          <w:spacing w:val="4"/>
          <w:rtl/>
        </w:rPr>
        <w:t>تيغاري</w:t>
      </w:r>
      <w:proofErr w:type="spellEnd"/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(الفقرة</w:t>
      </w:r>
      <w:r w:rsidR="00EB56B7">
        <w:rPr>
          <w:rFonts w:hint="cs"/>
          <w:spacing w:val="4"/>
          <w:rtl/>
        </w:rPr>
        <w:t xml:space="preserve"> </w:t>
      </w:r>
      <w:r w:rsidRPr="00D10415">
        <w:rPr>
          <w:rFonts w:hint="cs"/>
          <w:spacing w:val="4"/>
          <w:rtl/>
        </w:rPr>
        <w:t>2-3).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3</w:t>
      </w:r>
      <w:r w:rsidR="00D10415">
        <w:rPr>
          <w:rFonts w:hint="cs"/>
          <w:rtl/>
        </w:rPr>
        <w:t>-</w:t>
      </w:r>
      <w:r w:rsidR="00D10415">
        <w:rPr>
          <w:rFonts w:hint="cs"/>
          <w:rtl/>
        </w:rPr>
        <w:tab/>
      </w:r>
      <w:r w:rsidRPr="00C316B7">
        <w:rPr>
          <w:rFonts w:hint="cs"/>
          <w:rtl/>
        </w:rPr>
        <w:t>وخلال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احتجازها،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اغتُصبت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أخرى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وأُخضعت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لأشكال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أخرى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وبعد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اغتصابها،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تعد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قادرة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التبول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ونزفت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بغزارة.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تتلق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مساعدة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طبية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714525">
        <w:rPr>
          <w:rFonts w:hint="cs"/>
          <w:rtl/>
        </w:rPr>
        <w:t> </w:t>
      </w:r>
      <w:r w:rsidRPr="00C316B7">
        <w:rPr>
          <w:rFonts w:hint="cs"/>
          <w:rtl/>
        </w:rPr>
        <w:t>علاج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(الفقرة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2-4).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4</w:t>
      </w:r>
      <w:r w:rsidR="00D10415">
        <w:rPr>
          <w:rFonts w:hint="cs"/>
          <w:rtl/>
        </w:rPr>
        <w:t>-</w:t>
      </w:r>
      <w:r w:rsidR="00D10415">
        <w:rPr>
          <w:rFonts w:hint="cs"/>
          <w:rtl/>
        </w:rPr>
        <w:tab/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حزيران/</w:t>
      </w:r>
      <w:proofErr w:type="gramStart"/>
      <w:r w:rsidRPr="00C316B7">
        <w:rPr>
          <w:rFonts w:hint="cs"/>
          <w:rtl/>
        </w:rPr>
        <w:t>يونيه</w:t>
      </w:r>
      <w:proofErr w:type="gram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2002،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عادت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قريتها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واكتشفت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أصبحت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منبوذة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اجتماعي</w:t>
      </w:r>
      <w:r w:rsidR="00BB4EF6">
        <w:rPr>
          <w:rFonts w:hint="cs"/>
          <w:rtl/>
        </w:rPr>
        <w:t>اً.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وبالنظر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القرويين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كانوا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بسلوك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تجاه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النساء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المحتجزات،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فقد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ظنوا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اغتُصبت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أصبحت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جراء</w:t>
      </w:r>
      <w:r w:rsidR="00EB56B7">
        <w:rPr>
          <w:rFonts w:hint="cs"/>
          <w:rtl/>
        </w:rPr>
        <w:t xml:space="preserve"> </w:t>
      </w:r>
      <w:proofErr w:type="gramStart"/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”</w:t>
      </w:r>
      <w:r w:rsidRPr="00C316B7">
        <w:rPr>
          <w:rFonts w:hint="cs"/>
          <w:rtl/>
        </w:rPr>
        <w:t>مدنسة</w:t>
      </w:r>
      <w:proofErr w:type="gramEnd"/>
      <w:r w:rsidR="00D10415">
        <w:rPr>
          <w:rFonts w:hint="cs"/>
          <w:rtl/>
        </w:rPr>
        <w:t>“</w:t>
      </w:r>
      <w:r w:rsidRPr="00C316B7">
        <w:rPr>
          <w:rFonts w:hint="cs"/>
          <w:rtl/>
        </w:rPr>
        <w:t>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وأصبحت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صديقاتها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القرية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C316B7">
        <w:rPr>
          <w:rFonts w:hint="cs"/>
          <w:rtl/>
        </w:rPr>
        <w:t>تجنبنها.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تتمكن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مغادرة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منزلها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شهر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بسبب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شعورها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</w:t>
      </w:r>
      <w:r>
        <w:rPr>
          <w:rFonts w:hint="cs"/>
          <w:rtl/>
        </w:rPr>
        <w:t>الذل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والعار</w:t>
      </w:r>
      <w:r w:rsidRPr="00C316B7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فانقطعت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</w:t>
      </w:r>
      <w:r>
        <w:rPr>
          <w:rFonts w:hint="cs"/>
          <w:rtl/>
        </w:rPr>
        <w:t>لمدرسة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(الفقرة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2</w:t>
      </w:r>
      <w:r w:rsidRPr="00C316B7">
        <w:rPr>
          <w:rFonts w:hint="cs"/>
          <w:rtl/>
        </w:rPr>
        <w:t>-7).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5</w:t>
      </w:r>
      <w:r w:rsidR="00D10415">
        <w:rPr>
          <w:rFonts w:hint="cs"/>
          <w:rtl/>
        </w:rPr>
        <w:t>-</w:t>
      </w:r>
      <w:r w:rsidR="00D10415">
        <w:rPr>
          <w:rFonts w:hint="cs"/>
          <w:rtl/>
        </w:rPr>
        <w:tab/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شباط/فبراير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2009،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تزوجت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البلاغ.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وبعد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</w:t>
      </w:r>
      <w:r w:rsidRPr="00C316B7">
        <w:rPr>
          <w:rFonts w:hint="cs"/>
          <w:rtl/>
        </w:rPr>
        <w:t>سبوع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زواجها،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سمع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زوجها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تعرضت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للاغتصاب.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وعندم</w:t>
      </w:r>
      <w:r>
        <w:rPr>
          <w:rFonts w:hint="cs"/>
          <w:rtl/>
        </w:rPr>
        <w:t>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سألها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أبلغته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بالحقيقة،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فنبذها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زوجها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وأقاربه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جراء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وشعرت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بذل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شديد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واضطرت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العودة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منزل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والدتها.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وظلت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هناك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سنتين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قبل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يتصالح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زوجها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آخر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المطاف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(الفقرة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2-8)</w:t>
      </w:r>
      <w:r w:rsidR="00D10415">
        <w:rPr>
          <w:rFonts w:hint="cs"/>
          <w:rtl/>
        </w:rPr>
        <w:t>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6</w:t>
      </w:r>
      <w:r w:rsidR="00D10415">
        <w:rPr>
          <w:rFonts w:hint="cs"/>
          <w:rtl/>
        </w:rPr>
        <w:t>-</w:t>
      </w:r>
      <w:r w:rsidR="00D10415">
        <w:rPr>
          <w:rFonts w:hint="cs"/>
          <w:rtl/>
        </w:rPr>
        <w:tab/>
      </w:r>
      <w:r w:rsidRPr="00C316B7">
        <w:rPr>
          <w:rFonts w:hint="cs"/>
          <w:rtl/>
        </w:rPr>
        <w:t>و</w:t>
      </w:r>
      <w:r>
        <w:rPr>
          <w:rFonts w:hint="cs"/>
          <w:rtl/>
        </w:rPr>
        <w:t>قد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ترتب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</w:t>
      </w:r>
      <w:r w:rsidRPr="00C316B7">
        <w:rPr>
          <w:rFonts w:hint="cs"/>
          <w:rtl/>
        </w:rPr>
        <w:t>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عانت</w:t>
      </w:r>
      <w:r>
        <w:rPr>
          <w:rFonts w:hint="cs"/>
          <w:rtl/>
        </w:rPr>
        <w:t>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صدمة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وعن</w:t>
      </w:r>
      <w:r>
        <w:rPr>
          <w:rFonts w:hint="cs"/>
          <w:rtl/>
        </w:rPr>
        <w:t>ف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جنسي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وتعذيب،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وما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تلا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وصم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C316B7">
        <w:rPr>
          <w:rFonts w:hint="cs"/>
          <w:rtl/>
        </w:rPr>
        <w:t>نبذ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رواسب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نفسية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شديدة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نفس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البلاغ.</w:t>
      </w:r>
      <w:r w:rsidRPr="00C316B7">
        <w:rPr>
          <w:rtl/>
        </w:rPr>
        <w:t>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فهي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تعاني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proofErr w:type="spellStart"/>
      <w:r w:rsidRPr="00C316B7">
        <w:rPr>
          <w:rFonts w:hint="cs"/>
          <w:rtl/>
        </w:rPr>
        <w:t>الاكتراب</w:t>
      </w:r>
      <w:proofErr w:type="spellEnd"/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التالي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للصدمة،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استمرار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شعورها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بالقلق</w:t>
      </w:r>
      <w:r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وتنتابها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الكوابيس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والأفكار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الانتحارية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(الفقرة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2-9).</w:t>
      </w:r>
    </w:p>
    <w:p w:rsidR="006D5AFA" w:rsidRPr="00C316B7" w:rsidRDefault="006D5AFA" w:rsidP="006D5AFA">
      <w:pPr>
        <w:pStyle w:val="SingleTxtGA"/>
        <w:rPr>
          <w:rtl/>
        </w:rPr>
      </w:pPr>
      <w:r>
        <w:rPr>
          <w:rFonts w:hint="cs"/>
          <w:rtl/>
        </w:rPr>
        <w:t>7</w:t>
      </w:r>
      <w:r w:rsidR="00D10415">
        <w:rPr>
          <w:rFonts w:hint="cs"/>
          <w:rtl/>
        </w:rPr>
        <w:t>-</w:t>
      </w:r>
      <w:r w:rsidR="00D10415">
        <w:rPr>
          <w:rFonts w:hint="cs"/>
          <w:rtl/>
        </w:rPr>
        <w:tab/>
      </w:r>
      <w:r w:rsidRPr="00C316B7">
        <w:rPr>
          <w:rFonts w:hint="cs"/>
          <w:rtl/>
        </w:rPr>
        <w:t>وعلى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الرغم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مرور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سنوات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اغتصاب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تقدم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شكوى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لدى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سلطة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طبيب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حتى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أسرتها.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وبالنظر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الوصمة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الاجتماعية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المرتبطة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المجتمع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داخل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مجتمع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الأصليين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الذي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تنتمي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إليه،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فقد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استحال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التماس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دعم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المجتمع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سيسبب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</w:t>
      </w:r>
      <w:r>
        <w:rPr>
          <w:rFonts w:hint="cs"/>
          <w:rtl/>
        </w:rPr>
        <w:t>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المزيد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الأذى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عوض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الانتصاف؛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وكانت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تشعر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بالحرج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الشديد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طلب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الدعم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والديها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(الفقرة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2-10).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lastRenderedPageBreak/>
        <w:t>8</w:t>
      </w:r>
      <w:r w:rsidR="00D10415">
        <w:rPr>
          <w:rFonts w:hint="cs"/>
          <w:rtl/>
        </w:rPr>
        <w:t>-</w:t>
      </w:r>
      <w:r w:rsidR="00D10415">
        <w:rPr>
          <w:rFonts w:hint="cs"/>
          <w:rtl/>
        </w:rPr>
        <w:tab/>
      </w:r>
      <w:r w:rsidRPr="00C316B7">
        <w:rPr>
          <w:rFonts w:hint="cs"/>
          <w:rtl/>
        </w:rPr>
        <w:t>وتدعي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انتهاكاً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للمادتين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17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23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بسبب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التدخل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التعسفي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خصوصيته</w:t>
      </w:r>
      <w:r>
        <w:rPr>
          <w:rFonts w:hint="cs"/>
          <w:rtl/>
        </w:rPr>
        <w:t>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وحريتها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الجنسية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كامرأةً،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وتقويض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حياتها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الأسرية،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والنيل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غير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وجه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شرفها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وسمعتها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(الفقرة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3-3).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9</w:t>
      </w:r>
      <w:r w:rsidR="00D10415">
        <w:rPr>
          <w:rFonts w:hint="cs"/>
          <w:rtl/>
        </w:rPr>
        <w:t>-</w:t>
      </w:r>
      <w:r w:rsidR="00D10415">
        <w:rPr>
          <w:rFonts w:hint="cs"/>
          <w:rtl/>
        </w:rPr>
        <w:tab/>
      </w:r>
      <w:r w:rsidRPr="00C316B7">
        <w:rPr>
          <w:rFonts w:hint="cs"/>
          <w:rtl/>
        </w:rPr>
        <w:t>وفي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الصدد،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ينبغي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إيلاء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الاعتبار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الواجب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لادعاءات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غير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المطعون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أفراد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الجيش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الملكي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النيبالي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وقوات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الشرطة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المسلحة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اغتصبوها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ومارسوا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مع</w:t>
      </w:r>
      <w:r w:rsidRPr="00C316B7">
        <w:rPr>
          <w:rFonts w:hint="cs"/>
          <w:rtl/>
        </w:rPr>
        <w:t>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أشكال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مختلفة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ابتداء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نيسان/أبريل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2002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ولفترة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تزيد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شهر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ونصف</w:t>
      </w:r>
      <w:r w:rsidR="004F7060">
        <w:rPr>
          <w:rFonts w:hint="cs"/>
          <w:rtl/>
        </w:rPr>
        <w:t>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وبناء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أوافق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الرأي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الجرائم،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ارتكبت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وهي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فتاة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السكان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الأصليين،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وكان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عمرها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14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عام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حينها،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انتهكت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حقوقها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المنصوص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7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24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(الفقرة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7-2).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10</w:t>
      </w:r>
      <w:r w:rsidR="00D10415">
        <w:rPr>
          <w:rFonts w:hint="cs"/>
          <w:rtl/>
        </w:rPr>
        <w:t>-</w:t>
      </w:r>
      <w:r w:rsidR="00D10415">
        <w:rPr>
          <w:rFonts w:hint="cs"/>
          <w:rtl/>
        </w:rPr>
        <w:tab/>
      </w:r>
      <w:r w:rsidRPr="00C316B7">
        <w:rPr>
          <w:rFonts w:hint="cs"/>
          <w:rtl/>
        </w:rPr>
        <w:t>وفيما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بشكوى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بموجب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17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أوافق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الرأي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أيض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اغتصابها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يُشكل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تدخل</w:t>
      </w:r>
      <w:r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تعسفي</w:t>
      </w:r>
      <w:r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خصوصيتها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وحريتها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ك</w:t>
      </w:r>
      <w:r w:rsidRPr="00C316B7">
        <w:rPr>
          <w:rFonts w:hint="cs"/>
          <w:rtl/>
        </w:rPr>
        <w:t>فتاةً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بسبب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</w:t>
      </w:r>
      <w:r>
        <w:rPr>
          <w:rFonts w:hint="cs"/>
          <w:rtl/>
        </w:rPr>
        <w:t>جبارها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علاقة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جنسية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ضد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إرادتها</w:t>
      </w:r>
      <w:r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9D1CF3">
        <w:rPr>
          <w:rtl/>
        </w:rPr>
        <w:t>لا</w:t>
      </w:r>
      <w:r w:rsidR="00EB56B7">
        <w:rPr>
          <w:rtl/>
        </w:rPr>
        <w:t xml:space="preserve"> </w:t>
      </w:r>
      <w:r w:rsidRPr="009D1CF3">
        <w:rPr>
          <w:rtl/>
        </w:rPr>
        <w:t>سيما</w:t>
      </w:r>
      <w:r w:rsidR="00EB56B7">
        <w:rPr>
          <w:rtl/>
        </w:rPr>
        <w:t xml:space="preserve"> </w:t>
      </w:r>
      <w:r>
        <w:rPr>
          <w:rFonts w:hint="cs"/>
          <w:rtl/>
        </w:rPr>
        <w:t>و</w:t>
      </w:r>
      <w:r w:rsidRPr="009D1CF3">
        <w:rPr>
          <w:rtl/>
        </w:rPr>
        <w:t>أنه</w:t>
      </w:r>
      <w:r>
        <w:rPr>
          <w:rFonts w:hint="cs"/>
          <w:rtl/>
        </w:rPr>
        <w:t>ا</w:t>
      </w:r>
      <w:r w:rsidR="00EB56B7">
        <w:rPr>
          <w:rtl/>
        </w:rPr>
        <w:t xml:space="preserve"> </w:t>
      </w:r>
      <w:r>
        <w:rPr>
          <w:rtl/>
        </w:rPr>
        <w:t>عان</w:t>
      </w:r>
      <w:r>
        <w:rPr>
          <w:rFonts w:hint="cs"/>
          <w:rtl/>
        </w:rPr>
        <w:t>ت</w:t>
      </w:r>
      <w:r w:rsidR="00EB56B7">
        <w:rPr>
          <w:rtl/>
        </w:rPr>
        <w:t xml:space="preserve"> </w:t>
      </w:r>
      <w:r w:rsidRPr="009D1CF3">
        <w:rPr>
          <w:rtl/>
        </w:rPr>
        <w:t>الوصم</w:t>
      </w:r>
      <w:r w:rsidR="00EB56B7">
        <w:rPr>
          <w:rtl/>
        </w:rPr>
        <w:t xml:space="preserve"> </w:t>
      </w:r>
      <w:r w:rsidRPr="009D1CF3">
        <w:rPr>
          <w:rtl/>
        </w:rPr>
        <w:t>والعار</w:t>
      </w:r>
      <w:r w:rsidR="00EB56B7">
        <w:rPr>
          <w:rtl/>
        </w:rPr>
        <w:t xml:space="preserve"> </w:t>
      </w:r>
      <w:r w:rsidRPr="009D1CF3">
        <w:rPr>
          <w:rtl/>
        </w:rPr>
        <w:t>و</w:t>
      </w:r>
      <w:r>
        <w:rPr>
          <w:rFonts w:hint="cs"/>
          <w:rtl/>
        </w:rPr>
        <w:t>ال</w:t>
      </w:r>
      <w:r w:rsidRPr="009D1CF3">
        <w:rPr>
          <w:rtl/>
        </w:rPr>
        <w:t>تهميش</w:t>
      </w:r>
      <w:r w:rsidR="00EB56B7">
        <w:rPr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9D1CF3">
        <w:rPr>
          <w:rtl/>
        </w:rPr>
        <w:t>مجتمعه</w:t>
      </w:r>
      <w:r>
        <w:rPr>
          <w:rFonts w:hint="cs"/>
          <w:rtl/>
        </w:rPr>
        <w:t>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أعقاب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اغتصابها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(الفقرة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7-8).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11</w:t>
      </w:r>
      <w:r w:rsidR="00D10415">
        <w:rPr>
          <w:rFonts w:hint="cs"/>
          <w:rtl/>
        </w:rPr>
        <w:t>-</w:t>
      </w:r>
      <w:r w:rsidR="00D10415">
        <w:rPr>
          <w:rFonts w:hint="cs"/>
          <w:rtl/>
        </w:rPr>
        <w:tab/>
      </w:r>
      <w:r w:rsidRPr="00C316B7">
        <w:rPr>
          <w:rFonts w:hint="cs"/>
          <w:rtl/>
        </w:rPr>
        <w:t>وعلى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خلاف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اللجنة،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كيف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يمكن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مساءلة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</w:t>
      </w:r>
      <w:r>
        <w:rPr>
          <w:rFonts w:hint="cs"/>
          <w:rtl/>
        </w:rPr>
        <w:t>قويض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المزعوم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لحياة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أسرة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أو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تصدع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زواجها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بعد.</w:t>
      </w:r>
    </w:p>
    <w:p w:rsidR="006D5AFA" w:rsidRPr="00C316B7" w:rsidRDefault="006D5AFA" w:rsidP="006D5AFA">
      <w:pPr>
        <w:pStyle w:val="SingleTxtGA"/>
        <w:rPr>
          <w:rtl/>
        </w:rPr>
      </w:pPr>
      <w:r>
        <w:rPr>
          <w:rFonts w:hint="cs"/>
          <w:rtl/>
        </w:rPr>
        <w:t>12</w:t>
      </w:r>
      <w:r w:rsidR="00D10415">
        <w:rPr>
          <w:rFonts w:hint="cs"/>
          <w:rtl/>
        </w:rPr>
        <w:t>-</w:t>
      </w:r>
      <w:r w:rsidR="00D10415">
        <w:rPr>
          <w:rFonts w:hint="cs"/>
          <w:rtl/>
        </w:rPr>
        <w:tab/>
      </w:r>
      <w:r>
        <w:rPr>
          <w:rFonts w:hint="cs"/>
          <w:rtl/>
        </w:rPr>
        <w:t>ف</w:t>
      </w:r>
      <w:r w:rsidRPr="00C316B7">
        <w:rPr>
          <w:rFonts w:hint="cs"/>
          <w:rtl/>
        </w:rPr>
        <w:t>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بحياتها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الأسرية،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تعترف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نفسها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تشتك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أسرتها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تعرضت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للاغتصاب،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وأنها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كانت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تشعر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بالخجل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الشديد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طلب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دعم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والديها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(الفقرة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7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الرأي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المذكور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أعلاه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والفقرة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2-10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الآراء).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وعلاوة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رحبت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أسرتها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الأحداث،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ووفرت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الرعاية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والمأوى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وتفهمت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وضعها.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وبناء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لم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تواجه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أسرة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أي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تقويض</w:t>
      </w:r>
      <w:r w:rsidRPr="00C316B7">
        <w:rPr>
          <w:rFonts w:hint="cs"/>
          <w:rtl/>
        </w:rPr>
        <w:t>.</w:t>
      </w:r>
    </w:p>
    <w:p w:rsidR="006D5AFA" w:rsidRPr="00C316B7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13-</w:t>
      </w:r>
      <w:r w:rsidR="00D10415">
        <w:rPr>
          <w:rtl/>
        </w:rPr>
        <w:tab/>
      </w:r>
      <w:r w:rsidRPr="00C316B7">
        <w:rPr>
          <w:rFonts w:hint="cs"/>
          <w:rtl/>
        </w:rPr>
        <w:t>وفيما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يتعلق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بزواج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فقد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تزوجت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مرور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سبع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سنوات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الأحداث،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والعلاقة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السببية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الجرائم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والتصدع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المبكر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لزواجها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تتداخل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عناصر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عديدة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أخرى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(نظرة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الزوج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وأصهارها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إليها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ك</w:t>
      </w:r>
      <w:r w:rsidRPr="00C316B7">
        <w:rPr>
          <w:rFonts w:hint="cs"/>
          <w:rtl/>
        </w:rPr>
        <w:t>ضحية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العنف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الجنسي،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وتصورات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مجتمعها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المسألة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ذاتها،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والتعصب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والتحيز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الاجتماعي،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وغيرهما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المسائل).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وبناء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ذلك،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أرى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كيف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يمكن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تحميل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الطرف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مسؤولية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تصدع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زواج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الزوجين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تصالحا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مع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بعضهما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البعض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بعد.</w:t>
      </w:r>
    </w:p>
    <w:p w:rsidR="006D5AFA" w:rsidRPr="00616192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14</w:t>
      </w:r>
      <w:r w:rsidR="00D10415">
        <w:rPr>
          <w:rFonts w:hint="cs"/>
          <w:rtl/>
        </w:rPr>
        <w:t>-</w:t>
      </w:r>
      <w:r w:rsidR="00D10415">
        <w:rPr>
          <w:rFonts w:hint="cs"/>
          <w:rtl/>
        </w:rPr>
        <w:tab/>
      </w:r>
      <w:r w:rsidRPr="00C316B7">
        <w:rPr>
          <w:rFonts w:hint="cs"/>
          <w:rtl/>
        </w:rPr>
        <w:t>واللجنة،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باستنتاجها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حقوق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صاحبة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انتُهكت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بموجب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المادتين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17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23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للأسباب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المذكورة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أعلاه،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إنما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تفتح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سبيلاً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يجعل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مسؤولية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الدول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بلا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حدود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تقريب</w:t>
      </w:r>
      <w:r w:rsidR="00BB4EF6">
        <w:rPr>
          <w:rFonts w:hint="cs"/>
          <w:rtl/>
        </w:rPr>
        <w:t>اً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حيث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عدد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السنوات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التي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ينبغي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أخذها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bookmarkStart w:id="7" w:name="_GoBack"/>
      <w:bookmarkEnd w:id="7"/>
      <w:r w:rsidRPr="00C316B7">
        <w:rPr>
          <w:rFonts w:hint="cs"/>
          <w:rtl/>
        </w:rPr>
        <w:t>الاعتبار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بعد</w:t>
      </w:r>
      <w:r w:rsidR="00EB56B7">
        <w:rPr>
          <w:rFonts w:hint="cs"/>
          <w:rtl/>
        </w:rPr>
        <w:t xml:space="preserve"> </w:t>
      </w:r>
      <w:r>
        <w:rPr>
          <w:rFonts w:hint="cs"/>
          <w:rtl/>
        </w:rPr>
        <w:t>حدوث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الوقائع</w:t>
      </w:r>
      <w:r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ومدى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نطاق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المسؤولية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على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السواء.</w:t>
      </w:r>
    </w:p>
    <w:p w:rsidR="006D5AFA" w:rsidRDefault="006D5AFA" w:rsidP="006D5AFA">
      <w:pPr>
        <w:pStyle w:val="SingleTxtGA"/>
        <w:rPr>
          <w:rtl/>
        </w:rPr>
      </w:pPr>
      <w:r w:rsidRPr="00C316B7">
        <w:rPr>
          <w:rFonts w:hint="cs"/>
          <w:rtl/>
        </w:rPr>
        <w:t>15</w:t>
      </w:r>
      <w:r w:rsidR="00D10415" w:rsidRPr="000E74B9">
        <w:rPr>
          <w:rFonts w:hint="cs"/>
          <w:spacing w:val="-4"/>
          <w:rtl/>
        </w:rPr>
        <w:t>-</w:t>
      </w:r>
      <w:r w:rsidR="00D10415" w:rsidRPr="000E74B9">
        <w:rPr>
          <w:rFonts w:hint="cs"/>
          <w:spacing w:val="-4"/>
          <w:rtl/>
        </w:rPr>
        <w:tab/>
      </w:r>
      <w:r w:rsidRPr="000E74B9">
        <w:rPr>
          <w:rFonts w:hint="cs"/>
          <w:spacing w:val="-4"/>
          <w:rtl/>
        </w:rPr>
        <w:t>وبناء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على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ذلك،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أخلص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إلى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أن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نيبال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ليست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مسؤولة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في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هذه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القضية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عن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تقويض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حياة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أسرة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صاحبة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البلاغ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وتصدع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زواجها،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وأنها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لم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تنتهك،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بناء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على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هذين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الأساسين،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المادتين</w:t>
      </w:r>
      <w:r w:rsidR="00EB56B7">
        <w:rPr>
          <w:rFonts w:hint="cs"/>
          <w:spacing w:val="-4"/>
          <w:rtl/>
        </w:rPr>
        <w:t xml:space="preserve"> </w:t>
      </w:r>
      <w:r w:rsidRPr="000E74B9">
        <w:rPr>
          <w:rFonts w:hint="cs"/>
          <w:spacing w:val="-4"/>
          <w:rtl/>
        </w:rPr>
        <w:t>17</w:t>
      </w:r>
      <w:r w:rsidR="00EB56B7">
        <w:rPr>
          <w:rFonts w:hint="cs"/>
          <w:rtl/>
        </w:rPr>
        <w:t xml:space="preserve"> </w:t>
      </w:r>
      <w:r w:rsidR="00D10415">
        <w:rPr>
          <w:rFonts w:hint="cs"/>
          <w:rtl/>
        </w:rPr>
        <w:t>و</w:t>
      </w:r>
      <w:r w:rsidRPr="00C316B7">
        <w:rPr>
          <w:rFonts w:hint="cs"/>
          <w:rtl/>
        </w:rPr>
        <w:t>23</w:t>
      </w:r>
      <w:r w:rsidR="007A1201">
        <w:rPr>
          <w:rFonts w:hint="cs"/>
          <w:rtl/>
        </w:rPr>
        <w:t>(</w:t>
      </w:r>
      <w:r w:rsidRPr="00C316B7">
        <w:rPr>
          <w:rFonts w:hint="cs"/>
          <w:rtl/>
        </w:rPr>
        <w:t>1)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من</w:t>
      </w:r>
      <w:r w:rsidR="00EB56B7">
        <w:rPr>
          <w:rFonts w:hint="cs"/>
          <w:rtl/>
        </w:rPr>
        <w:t xml:space="preserve"> </w:t>
      </w:r>
      <w:r w:rsidRPr="00C316B7">
        <w:rPr>
          <w:rFonts w:hint="cs"/>
          <w:rtl/>
        </w:rPr>
        <w:t>العهد.</w:t>
      </w:r>
    </w:p>
    <w:p w:rsidR="00B54045" w:rsidRPr="00F85BFF" w:rsidRDefault="00F85BFF" w:rsidP="00F85BFF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B54045" w:rsidRPr="00F85BFF" w:rsidSect="00FE468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415" w:rsidRPr="002901D9" w:rsidRDefault="00D10415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D10415" w:rsidRDefault="00D10415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15" w:rsidRPr="006D5AFA" w:rsidRDefault="00D10415" w:rsidP="006D5AFA">
    <w:pPr>
      <w:pStyle w:val="Footer"/>
      <w:tabs>
        <w:tab w:val="right" w:pos="9598"/>
      </w:tabs>
      <w:rPr>
        <w:sz w:val="17"/>
      </w:rPr>
    </w:pPr>
    <w:r>
      <w:rPr>
        <w:sz w:val="17"/>
      </w:rPr>
      <w:t>GE.19-09373</w:t>
    </w:r>
    <w:r>
      <w:rPr>
        <w:sz w:val="17"/>
      </w:rPr>
      <w:tab/>
    </w:r>
    <w:r w:rsidRPr="006D5AFA">
      <w:rPr>
        <w:b/>
        <w:sz w:val="18"/>
      </w:rPr>
      <w:fldChar w:fldCharType="begin"/>
    </w:r>
    <w:r w:rsidRPr="006D5AFA">
      <w:rPr>
        <w:b/>
        <w:sz w:val="18"/>
      </w:rPr>
      <w:instrText xml:space="preserve"> PAGE  \* MERGEFORMAT </w:instrText>
    </w:r>
    <w:r w:rsidRPr="006D5AFA">
      <w:rPr>
        <w:b/>
        <w:sz w:val="18"/>
      </w:rPr>
      <w:fldChar w:fldCharType="separate"/>
    </w:r>
    <w:r>
      <w:rPr>
        <w:b/>
        <w:sz w:val="18"/>
      </w:rPr>
      <w:t>2</w:t>
    </w:r>
    <w:r w:rsidRPr="006D5AFA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15" w:rsidRPr="006D5AFA" w:rsidRDefault="00D10415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6D5AFA">
      <w:rPr>
        <w:b/>
        <w:sz w:val="18"/>
        <w:lang w:val="en-US"/>
      </w:rPr>
      <w:fldChar w:fldCharType="begin"/>
    </w:r>
    <w:r w:rsidRPr="006D5AFA">
      <w:rPr>
        <w:b/>
        <w:sz w:val="18"/>
        <w:lang w:val="en-US"/>
      </w:rPr>
      <w:instrText xml:space="preserve"> PAGE  \* MERGEFORMAT </w:instrText>
    </w:r>
    <w:r w:rsidRPr="006D5AFA">
      <w:rPr>
        <w:b/>
        <w:sz w:val="18"/>
        <w:lang w:val="en-US"/>
      </w:rPr>
      <w:fldChar w:fldCharType="separate"/>
    </w:r>
    <w:r w:rsidRPr="006D5AFA">
      <w:rPr>
        <w:b/>
        <w:noProof/>
        <w:sz w:val="18"/>
        <w:lang w:val="en-US"/>
      </w:rPr>
      <w:t>3</w:t>
    </w:r>
    <w:r w:rsidRPr="006D5AFA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GE.19-09373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15" w:rsidRDefault="00D10415" w:rsidP="00982139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GE.19-09373</w:t>
    </w:r>
    <w:r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4C6750AB" wp14:editId="328E95CD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:rsidR="00D10415" w:rsidRPr="00FE4684" w:rsidRDefault="00D10415" w:rsidP="00FE4684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415" w:rsidRDefault="00D10415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D10415" w:rsidRDefault="00D10415" w:rsidP="00656392">
      <w:pPr>
        <w:spacing w:line="240" w:lineRule="auto"/>
      </w:pPr>
      <w:r>
        <w:continuationSeparator/>
      </w:r>
    </w:p>
  </w:footnote>
  <w:footnote w:id="1">
    <w:p w:rsidR="00D10415" w:rsidRPr="007A1201" w:rsidRDefault="00D10415" w:rsidP="007A1201">
      <w:pPr>
        <w:pStyle w:val="FootnoteText1"/>
        <w:rPr>
          <w:lang w:bidi="ar-DZ"/>
        </w:rPr>
      </w:pPr>
      <w:r w:rsidRPr="007A1201">
        <w:rPr>
          <w:rtl/>
          <w:lang w:bidi="ar-DZ"/>
        </w:rPr>
        <w:t>*</w:t>
      </w:r>
      <w:r w:rsidRPr="007A1201">
        <w:rPr>
          <w:rtl/>
          <w:lang w:bidi="ar-DZ"/>
        </w:rPr>
        <w:tab/>
      </w:r>
      <w:r w:rsidRPr="007A1201">
        <w:rPr>
          <w:rFonts w:hint="cs"/>
          <w:rtl/>
        </w:rPr>
        <w:t>اعتمدتها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دورتها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125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(4-29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آذار/مارس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2019).</w:t>
      </w:r>
    </w:p>
  </w:footnote>
  <w:footnote w:id="2">
    <w:p w:rsidR="00D10415" w:rsidRPr="007A1201" w:rsidRDefault="00D10415" w:rsidP="007A1201">
      <w:pPr>
        <w:pStyle w:val="FootnoteText1"/>
        <w:rPr>
          <w:lang w:bidi="ar-DZ"/>
        </w:rPr>
      </w:pPr>
      <w:r w:rsidRPr="007A1201">
        <w:rPr>
          <w:rtl/>
          <w:lang w:bidi="ar-DZ"/>
        </w:rPr>
        <w:t>**</w:t>
      </w:r>
      <w:r w:rsidRPr="007A1201">
        <w:rPr>
          <w:rtl/>
          <w:lang w:bidi="ar-DZ"/>
        </w:rPr>
        <w:tab/>
      </w:r>
      <w:r w:rsidRPr="007A1201">
        <w:rPr>
          <w:rFonts w:hint="cs"/>
          <w:rtl/>
        </w:rPr>
        <w:t>شارك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دراسة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هذا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البلاغ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أعضاء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التالية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أسماؤهم: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السيدة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تانيا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مارية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أبدو</w:t>
      </w:r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روشول</w:t>
      </w:r>
      <w:proofErr w:type="spellEnd"/>
      <w:r w:rsidRPr="007A1201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والسيد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عياض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بن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عاشور،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والسيدة</w:t>
      </w:r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إيلزي</w:t>
      </w:r>
      <w:proofErr w:type="spellEnd"/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براندز</w:t>
      </w:r>
      <w:proofErr w:type="spellEnd"/>
      <w:r w:rsidR="00D7426A">
        <w:rPr>
          <w:rFonts w:hint="cs"/>
          <w:rtl/>
        </w:rPr>
        <w:t xml:space="preserve"> </w:t>
      </w:r>
      <w:r w:rsidRPr="007A1201">
        <w:rPr>
          <w:rFonts w:hint="cs"/>
          <w:rtl/>
        </w:rPr>
        <w:t>-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كهريس،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والسيد</w:t>
      </w:r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كريستوفير</w:t>
      </w:r>
      <w:proofErr w:type="spellEnd"/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أريف</w:t>
      </w:r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بولكان</w:t>
      </w:r>
      <w:proofErr w:type="spellEnd"/>
      <w:r w:rsidRPr="007A1201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والسيد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أحمد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أمين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فتح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الله،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والسيد</w:t>
      </w:r>
      <w:r w:rsidR="00EB56B7">
        <w:rPr>
          <w:rFonts w:hint="eastAsia"/>
          <w:rtl/>
        </w:rPr>
        <w:t xml:space="preserve"> </w:t>
      </w:r>
      <w:proofErr w:type="spellStart"/>
      <w:r w:rsidRPr="007A1201">
        <w:rPr>
          <w:rFonts w:hint="cs"/>
          <w:rtl/>
        </w:rPr>
        <w:t>شويشي</w:t>
      </w:r>
      <w:proofErr w:type="spellEnd"/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فورويا</w:t>
      </w:r>
      <w:proofErr w:type="spellEnd"/>
      <w:r w:rsidRPr="007A1201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والسيد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كريستوف</w:t>
      </w:r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هاينز</w:t>
      </w:r>
      <w:proofErr w:type="spellEnd"/>
      <w:r w:rsidRPr="007A1201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والسيد</w:t>
      </w:r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بامريم</w:t>
      </w:r>
      <w:proofErr w:type="spellEnd"/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كويتا،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والسيدة</w:t>
      </w:r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مارسيا</w:t>
      </w:r>
      <w:proofErr w:type="spellEnd"/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ف.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ج.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كران،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والسيد</w:t>
      </w:r>
      <w:r w:rsidR="00EB56B7">
        <w:rPr>
          <w:rFonts w:hint="eastAsia"/>
          <w:rtl/>
        </w:rPr>
        <w:t xml:space="preserve"> </w:t>
      </w:r>
      <w:proofErr w:type="spellStart"/>
      <w:r w:rsidRPr="007A1201">
        <w:rPr>
          <w:rFonts w:hint="cs"/>
          <w:rtl/>
        </w:rPr>
        <w:t>دانكان</w:t>
      </w:r>
      <w:proofErr w:type="spellEnd"/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لاكي</w:t>
      </w:r>
      <w:proofErr w:type="spellEnd"/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موهموزا</w:t>
      </w:r>
      <w:proofErr w:type="spellEnd"/>
      <w:r w:rsidRPr="007A1201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والسيد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فوتيني</w:t>
      </w:r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بازارتزيس</w:t>
      </w:r>
      <w:proofErr w:type="spellEnd"/>
      <w:r w:rsidRPr="007A1201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والسيد</w:t>
      </w:r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هيرنان</w:t>
      </w:r>
      <w:proofErr w:type="spellEnd"/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كيزادا</w:t>
      </w:r>
      <w:proofErr w:type="spellEnd"/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كاربيرا</w:t>
      </w:r>
      <w:proofErr w:type="spellEnd"/>
      <w:r w:rsidRPr="007A1201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والسيدة</w:t>
      </w:r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فاسيلكا</w:t>
      </w:r>
      <w:proofErr w:type="spellEnd"/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سانسين</w:t>
      </w:r>
      <w:proofErr w:type="spellEnd"/>
      <w:r w:rsidRPr="007A1201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والسيد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خوسيه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مانويل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سانتوس</w:t>
      </w:r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بايس</w:t>
      </w:r>
      <w:proofErr w:type="spellEnd"/>
      <w:r w:rsidRPr="007A1201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والسيد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يوفال</w:t>
      </w:r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شاني</w:t>
      </w:r>
      <w:proofErr w:type="spellEnd"/>
      <w:r w:rsidRPr="007A1201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والسيدة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هيلين</w:t>
      </w:r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تيغرودجا</w:t>
      </w:r>
      <w:proofErr w:type="spellEnd"/>
      <w:r w:rsidRPr="007A1201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والسيد</w:t>
      </w:r>
      <w:r w:rsidR="00EB56B7">
        <w:rPr>
          <w:rFonts w:hint="eastAsia"/>
          <w:rtl/>
        </w:rPr>
        <w:t xml:space="preserve"> </w:t>
      </w:r>
      <w:r w:rsidRPr="007A1201">
        <w:rPr>
          <w:rFonts w:hint="cs"/>
          <w:rtl/>
        </w:rPr>
        <w:t>أندرياس</w:t>
      </w:r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تسيميرمان</w:t>
      </w:r>
      <w:proofErr w:type="spellEnd"/>
      <w:r w:rsidRPr="007A1201">
        <w:rPr>
          <w:rFonts w:hint="cs"/>
          <w:rtl/>
        </w:rPr>
        <w:t>،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والسيد</w:t>
      </w:r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جينتيان</w:t>
      </w:r>
      <w:proofErr w:type="spellEnd"/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زيبيري</w:t>
      </w:r>
      <w:proofErr w:type="spellEnd"/>
      <w:r w:rsidRPr="007A1201">
        <w:rPr>
          <w:rFonts w:hint="cs"/>
          <w:rtl/>
        </w:rPr>
        <w:t>.</w:t>
      </w:r>
    </w:p>
  </w:footnote>
  <w:footnote w:id="3">
    <w:p w:rsidR="00D10415" w:rsidRPr="007A1201" w:rsidRDefault="00D10415" w:rsidP="007A1201">
      <w:pPr>
        <w:pStyle w:val="FootnoteText1"/>
      </w:pPr>
      <w:r w:rsidRPr="007A1201">
        <w:rPr>
          <w:rtl/>
        </w:rPr>
        <w:t>***</w:t>
      </w:r>
      <w:r w:rsidRPr="007A1201">
        <w:rPr>
          <w:rtl/>
        </w:rPr>
        <w:tab/>
      </w:r>
      <w:r w:rsidRPr="007A1201">
        <w:rPr>
          <w:rFonts w:hint="cs"/>
          <w:rtl/>
        </w:rPr>
        <w:t>يرد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رأي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فردي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لعضو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اللجنة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خوسيه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مانويل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سانتوس</w:t>
      </w:r>
      <w:r w:rsidR="00EB56B7">
        <w:rPr>
          <w:rFonts w:hint="cs"/>
          <w:rtl/>
        </w:rPr>
        <w:t xml:space="preserve"> </w:t>
      </w:r>
      <w:proofErr w:type="spellStart"/>
      <w:r w:rsidRPr="007A1201">
        <w:rPr>
          <w:rFonts w:hint="cs"/>
          <w:rtl/>
        </w:rPr>
        <w:t>باييس</w:t>
      </w:r>
      <w:proofErr w:type="spellEnd"/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(مؤيد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جزئياً)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في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مرفق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هذه</w:t>
      </w:r>
      <w:r w:rsidR="00EB56B7">
        <w:rPr>
          <w:rFonts w:hint="cs"/>
          <w:rtl/>
        </w:rPr>
        <w:t xml:space="preserve"> </w:t>
      </w:r>
      <w:r w:rsidRPr="007A1201">
        <w:rPr>
          <w:rFonts w:hint="cs"/>
          <w:rtl/>
        </w:rPr>
        <w:t>الآراء.</w:t>
      </w:r>
    </w:p>
  </w:footnote>
  <w:footnote w:id="4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sz w:val="18"/>
          <w:szCs w:val="26"/>
          <w:rtl/>
        </w:rPr>
        <w:tab/>
      </w:r>
      <w:r w:rsidRPr="007A1201">
        <w:rPr>
          <w:rFonts w:hint="cs"/>
          <w:sz w:val="18"/>
          <w:szCs w:val="26"/>
          <w:rtl/>
        </w:rPr>
        <w:t>تستخدم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اسماً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مستعاراً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في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هذا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البلاغ.</w:t>
      </w:r>
    </w:p>
  </w:footnote>
  <w:footnote w:id="5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كانت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في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ذلك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الوقت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تلميذة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في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المدرسة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(الصف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الثامن).</w:t>
      </w:r>
      <w:r w:rsidR="00EB56B7">
        <w:rPr>
          <w:rFonts w:hint="cs"/>
          <w:sz w:val="18"/>
          <w:szCs w:val="26"/>
          <w:rtl/>
        </w:rPr>
        <w:t xml:space="preserve"> </w:t>
      </w:r>
    </w:p>
  </w:footnote>
  <w:footnote w:id="6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قوات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الشرطة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المسلحة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قوات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شرطة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شبه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عسكرية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أنشأتها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الحكومة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بموجب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مرسوم،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وتخضع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عملياتها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للمراقبة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من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قبل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الجيش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الملكي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النيبالي.</w:t>
      </w:r>
    </w:p>
  </w:footnote>
  <w:footnote w:id="7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ascii="Traditional Arabic" w:hAnsi="Traditional Arabic"/>
          <w:sz w:val="18"/>
          <w:szCs w:val="26"/>
          <w:rtl/>
        </w:rPr>
        <w:t>اسم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مستعار.</w:t>
      </w:r>
    </w:p>
  </w:footnote>
  <w:footnote w:id="8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اسم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مستعار.</w:t>
      </w:r>
    </w:p>
  </w:footnote>
  <w:footnote w:id="9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اسم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مستعار.</w:t>
      </w:r>
    </w:p>
  </w:footnote>
  <w:footnote w:id="10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تقدم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شهادة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طبية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ووصفة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طبية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من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مستشفى</w:t>
      </w:r>
      <w:r w:rsidR="00EB56B7">
        <w:rPr>
          <w:rFonts w:hint="cs"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sz w:val="18"/>
          <w:szCs w:val="26"/>
          <w:rtl/>
        </w:rPr>
        <w:t>ساهيد</w:t>
      </w:r>
      <w:proofErr w:type="spellEnd"/>
      <w:r w:rsidR="00EB56B7">
        <w:rPr>
          <w:rFonts w:hint="cs"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sz w:val="18"/>
          <w:szCs w:val="26"/>
          <w:rtl/>
        </w:rPr>
        <w:t>ميموريال</w:t>
      </w:r>
      <w:proofErr w:type="spellEnd"/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دون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تاريخ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محدد.</w:t>
      </w:r>
    </w:p>
  </w:footnote>
  <w:footnote w:id="11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تقدم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نسخ</w:t>
      </w:r>
      <w:r w:rsidR="00BB4EF6">
        <w:rPr>
          <w:rFonts w:hint="cs"/>
          <w:sz w:val="18"/>
          <w:szCs w:val="26"/>
          <w:rtl/>
        </w:rPr>
        <w:t>اً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من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شهادة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طبية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مؤرخة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25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آذار/مارس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2014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تثبت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الأضرار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الجسدية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والنفسية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الخطيرة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التي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لحقت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بها،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وشهادة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مؤرخة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24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آذار/مارس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2014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صادرة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عن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شعبة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الطب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الشرعي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بجامعة</w:t>
      </w:r>
      <w:r w:rsidR="00EB56B7">
        <w:rPr>
          <w:rFonts w:hint="cs"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sz w:val="18"/>
          <w:szCs w:val="26"/>
          <w:rtl/>
        </w:rPr>
        <w:t>تريبوفان</w:t>
      </w:r>
      <w:proofErr w:type="spellEnd"/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تشير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إلى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أن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تعاني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من</w:t>
      </w:r>
      <w:r w:rsidR="00EB56B7">
        <w:rPr>
          <w:rFonts w:hint="cs"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sz w:val="18"/>
          <w:szCs w:val="26"/>
          <w:rtl/>
        </w:rPr>
        <w:t>ال</w:t>
      </w:r>
      <w:r w:rsidR="009435F0">
        <w:rPr>
          <w:rFonts w:hint="cs"/>
          <w:sz w:val="18"/>
          <w:szCs w:val="26"/>
          <w:rtl/>
        </w:rPr>
        <w:t>ا</w:t>
      </w:r>
      <w:r w:rsidRPr="007A1201">
        <w:rPr>
          <w:rFonts w:hint="cs"/>
          <w:sz w:val="18"/>
          <w:szCs w:val="26"/>
          <w:rtl/>
        </w:rPr>
        <w:t>كتراب</w:t>
      </w:r>
      <w:proofErr w:type="spellEnd"/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التالي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للصدمة،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وأن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إصاباتها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البدنية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تتطابق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وادعاءات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الاعتداء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البدني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والجنسي.</w:t>
      </w:r>
    </w:p>
  </w:footnote>
  <w:footnote w:id="12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تشير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إلى: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sz w:val="18"/>
          <w:szCs w:val="26"/>
        </w:rPr>
        <w:t>Advocacy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Forum,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“Discrimination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and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irregularities: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the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painful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tale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of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interim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relief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in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Nepal”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(</w:t>
      </w:r>
      <w:proofErr w:type="gramStart"/>
      <w:r w:rsidRPr="007A1201">
        <w:rPr>
          <w:sz w:val="18"/>
          <w:szCs w:val="26"/>
        </w:rPr>
        <w:t>2010),</w:t>
      </w:r>
      <w:proofErr w:type="gramEnd"/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pp.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12,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14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and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28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[منتدى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الدعوة،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”التمييز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والمخالفات: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القصة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المؤلمة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للجبر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المؤقت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في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نيبال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(2010)،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الصفحات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12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و14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و28]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</w:t>
      </w:r>
      <w:r w:rsidRPr="007A1201">
        <w:rPr>
          <w:sz w:val="18"/>
          <w:szCs w:val="26"/>
        </w:rPr>
        <w:t>CCPR/C/NPL/CO/2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5(ب).</w:t>
      </w:r>
    </w:p>
  </w:footnote>
  <w:footnote w:id="13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تشير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إلى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المحكمة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العليا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النيبالية،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iCs/>
          <w:sz w:val="18"/>
          <w:szCs w:val="26"/>
          <w:rtl/>
        </w:rPr>
        <w:t>سابانا</w:t>
      </w:r>
      <w:r w:rsidR="00EB56B7">
        <w:rPr>
          <w:rFonts w:hint="cs"/>
          <w:iCs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iCs/>
          <w:sz w:val="18"/>
          <w:szCs w:val="26"/>
          <w:rtl/>
        </w:rPr>
        <w:t>باردهان</w:t>
      </w:r>
      <w:proofErr w:type="spellEnd"/>
      <w:r w:rsidR="00EB56B7">
        <w:rPr>
          <w:rFonts w:hint="cs"/>
          <w:iCs/>
          <w:sz w:val="18"/>
          <w:szCs w:val="26"/>
          <w:rtl/>
        </w:rPr>
        <w:t xml:space="preserve"> </w:t>
      </w:r>
      <w:r w:rsidRPr="007A1201">
        <w:rPr>
          <w:rFonts w:hint="cs"/>
          <w:iCs/>
          <w:sz w:val="18"/>
          <w:szCs w:val="26"/>
          <w:rtl/>
        </w:rPr>
        <w:t>مالا</w:t>
      </w:r>
      <w:r w:rsidR="00EB56B7">
        <w:rPr>
          <w:rFonts w:hint="cs"/>
          <w:iCs/>
          <w:sz w:val="18"/>
          <w:szCs w:val="26"/>
          <w:rtl/>
        </w:rPr>
        <w:t xml:space="preserve"> </w:t>
      </w:r>
      <w:r w:rsidRPr="007A1201">
        <w:rPr>
          <w:rFonts w:hint="cs"/>
          <w:iCs/>
          <w:sz w:val="18"/>
          <w:szCs w:val="26"/>
          <w:rtl/>
        </w:rPr>
        <w:t>ضد</w:t>
      </w:r>
      <w:r w:rsidR="00EB56B7">
        <w:rPr>
          <w:rFonts w:hint="cs"/>
          <w:iCs/>
          <w:sz w:val="18"/>
          <w:szCs w:val="26"/>
          <w:rtl/>
        </w:rPr>
        <w:t xml:space="preserve"> </w:t>
      </w:r>
      <w:r w:rsidRPr="007A1201">
        <w:rPr>
          <w:rFonts w:hint="cs"/>
          <w:iCs/>
          <w:sz w:val="18"/>
          <w:szCs w:val="26"/>
          <w:rtl/>
        </w:rPr>
        <w:t>حكومة</w:t>
      </w:r>
      <w:r w:rsidR="00EB56B7">
        <w:rPr>
          <w:rFonts w:hint="cs"/>
          <w:iCs/>
          <w:sz w:val="18"/>
          <w:szCs w:val="26"/>
          <w:rtl/>
        </w:rPr>
        <w:t xml:space="preserve"> </w:t>
      </w:r>
      <w:r w:rsidRPr="007A1201">
        <w:rPr>
          <w:rFonts w:hint="cs"/>
          <w:iCs/>
          <w:sz w:val="18"/>
          <w:szCs w:val="26"/>
          <w:rtl/>
        </w:rPr>
        <w:t>نيبال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القضية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رقم</w:t>
      </w:r>
      <w:r w:rsidR="00714525">
        <w:rPr>
          <w:rFonts w:hint="cs"/>
          <w:sz w:val="18"/>
          <w:szCs w:val="26"/>
          <w:rtl/>
        </w:rPr>
        <w:t> </w:t>
      </w:r>
      <w:r w:rsidRPr="007A1201">
        <w:rPr>
          <w:rFonts w:hint="cs"/>
          <w:sz w:val="18"/>
          <w:szCs w:val="26"/>
          <w:rtl/>
        </w:rPr>
        <w:t>3393/2061،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القرار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المؤرخ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11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تموز/يوليه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2008.</w:t>
      </w:r>
    </w:p>
  </w:footnote>
  <w:footnote w:id="14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تقدم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نسخاً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من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المذكرتين</w:t>
      </w:r>
      <w:r w:rsidR="00EB56B7">
        <w:rPr>
          <w:rFonts w:hint="cs"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sz w:val="18"/>
          <w:szCs w:val="26"/>
          <w:rtl/>
        </w:rPr>
        <w:t>التعقيبيتين</w:t>
      </w:r>
      <w:proofErr w:type="spellEnd"/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اللتين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قدمتهما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الشرطة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ووزارة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الداخلية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إلى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المحكمة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العليا.</w:t>
      </w:r>
    </w:p>
  </w:footnote>
  <w:footnote w:id="15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تشير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إلى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جملة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أمور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منها</w:t>
      </w:r>
      <w:r w:rsidR="00EB56B7">
        <w:rPr>
          <w:rFonts w:hint="cs"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i/>
          <w:iCs/>
          <w:sz w:val="18"/>
          <w:szCs w:val="26"/>
          <w:rtl/>
        </w:rPr>
        <w:t>أوندراكا</w:t>
      </w:r>
      <w:proofErr w:type="spellEnd"/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وميلادا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i/>
          <w:iCs/>
          <w:sz w:val="18"/>
          <w:szCs w:val="26"/>
          <w:rtl/>
        </w:rPr>
        <w:t>أوندراكاوفا</w:t>
      </w:r>
      <w:proofErr w:type="spellEnd"/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ضد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الجمهورية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التشيكية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(</w:t>
      </w:r>
      <w:r w:rsidRPr="007A1201">
        <w:rPr>
          <w:sz w:val="18"/>
          <w:szCs w:val="26"/>
        </w:rPr>
        <w:t>CCPR/C/91/D/1533/2006</w:t>
      </w:r>
      <w:r w:rsidRPr="007A1201">
        <w:rPr>
          <w:sz w:val="18"/>
          <w:szCs w:val="26"/>
          <w:rtl/>
        </w:rPr>
        <w:t>)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6-3،</w:t>
      </w:r>
      <w:r w:rsidR="00EB56B7">
        <w:rPr>
          <w:rFonts w:hint="cs"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i/>
          <w:iCs/>
          <w:sz w:val="18"/>
          <w:szCs w:val="26"/>
          <w:rtl/>
        </w:rPr>
        <w:t>وبابويرام</w:t>
      </w:r>
      <w:proofErr w:type="spellEnd"/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-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أدهين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وآخرون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ضد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سورينام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رقم</w:t>
      </w:r>
      <w:r w:rsidR="00EB56B7">
        <w:rPr>
          <w:rFonts w:hint="eastAsia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146/1983،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وأرقام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148-154/1983،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9-2.</w:t>
      </w:r>
    </w:p>
  </w:footnote>
  <w:footnote w:id="16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تشير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إلى</w:t>
      </w:r>
      <w:r w:rsidR="00EB56B7">
        <w:rPr>
          <w:rFonts w:hint="cs"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i/>
          <w:iCs/>
          <w:sz w:val="18"/>
          <w:szCs w:val="26"/>
          <w:rtl/>
        </w:rPr>
        <w:t>لانسمان</w:t>
      </w:r>
      <w:proofErr w:type="spellEnd"/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وآخرون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ضد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فنلندا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(</w:t>
      </w:r>
      <w:r w:rsidRPr="007A1201">
        <w:rPr>
          <w:sz w:val="18"/>
          <w:szCs w:val="26"/>
        </w:rPr>
        <w:t>CCPR/C/52/D/511/1992</w:t>
      </w:r>
      <w:r w:rsidRPr="007A1201">
        <w:rPr>
          <w:sz w:val="18"/>
          <w:szCs w:val="26"/>
          <w:rtl/>
        </w:rPr>
        <w:t>)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6-2،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وبرات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ومورغان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ضد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جامايكا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البلاغان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رقم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210/1986،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ورقم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225/1987،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12-3.</w:t>
      </w:r>
    </w:p>
  </w:footnote>
  <w:footnote w:id="17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تشير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إلى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شارما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ضد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نيبال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(</w:t>
      </w:r>
      <w:r w:rsidRPr="007A1201">
        <w:rPr>
          <w:sz w:val="18"/>
          <w:szCs w:val="26"/>
        </w:rPr>
        <w:t>CCPR/C/94/D/1469/2006</w:t>
      </w:r>
      <w:r w:rsidRPr="007A1201">
        <w:rPr>
          <w:sz w:val="18"/>
          <w:szCs w:val="26"/>
          <w:rtl/>
        </w:rPr>
        <w:t>)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6-3.</w:t>
      </w:r>
    </w:p>
  </w:footnote>
  <w:footnote w:id="18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تشير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إلى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جيري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ضد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نيبال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(</w:t>
      </w:r>
      <w:r w:rsidRPr="007A1201">
        <w:rPr>
          <w:sz w:val="18"/>
          <w:szCs w:val="26"/>
        </w:rPr>
        <w:t>CCPR/C/101/D/1761/2008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</w:t>
      </w:r>
      <w:proofErr w:type="spellStart"/>
      <w:r w:rsidRPr="007A1201">
        <w:rPr>
          <w:sz w:val="18"/>
          <w:szCs w:val="26"/>
        </w:rPr>
        <w:t>Corr</w:t>
      </w:r>
      <w:proofErr w:type="spellEnd"/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.1</w:t>
      </w:r>
      <w:r w:rsidRPr="007A1201">
        <w:rPr>
          <w:sz w:val="18"/>
          <w:szCs w:val="26"/>
          <w:rtl/>
        </w:rPr>
        <w:t>)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6-3.</w:t>
      </w:r>
    </w:p>
  </w:footnote>
  <w:footnote w:id="19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تشير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إلى</w:t>
      </w:r>
      <w:r w:rsidR="00EB56B7">
        <w:rPr>
          <w:rFonts w:hint="cs"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i/>
          <w:iCs/>
          <w:sz w:val="18"/>
          <w:szCs w:val="26"/>
          <w:rtl/>
        </w:rPr>
        <w:t>ماهارجان</w:t>
      </w:r>
      <w:proofErr w:type="spellEnd"/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وآخرون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ضد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نيبال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(</w:t>
      </w:r>
      <w:r w:rsidRPr="007A1201">
        <w:rPr>
          <w:sz w:val="18"/>
          <w:szCs w:val="26"/>
        </w:rPr>
        <w:t>CCPR/C/105/D/1863/2009</w:t>
      </w:r>
      <w:r w:rsidRPr="007A1201">
        <w:rPr>
          <w:sz w:val="18"/>
          <w:szCs w:val="26"/>
          <w:rtl/>
        </w:rPr>
        <w:t>)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7-6.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وتشير</w:t>
      </w:r>
      <w:r w:rsidR="00EB56B7">
        <w:rPr>
          <w:rFonts w:hint="cs"/>
          <w:sz w:val="18"/>
          <w:szCs w:val="26"/>
          <w:rtl/>
        </w:rPr>
        <w:t xml:space="preserve"> </w:t>
      </w:r>
      <w:r w:rsidRPr="00714525">
        <w:rPr>
          <w:rFonts w:hint="cs"/>
          <w:spacing w:val="-4"/>
          <w:sz w:val="18"/>
          <w:szCs w:val="26"/>
          <w:rtl/>
        </w:rPr>
        <w:t>أيض</w:t>
      </w:r>
      <w:r w:rsidR="00BB4EF6" w:rsidRPr="00714525">
        <w:rPr>
          <w:rFonts w:hint="cs"/>
          <w:spacing w:val="-4"/>
          <w:sz w:val="18"/>
          <w:szCs w:val="26"/>
          <w:rtl/>
        </w:rPr>
        <w:t>اً</w:t>
      </w:r>
      <w:r w:rsidR="00EB56B7" w:rsidRPr="00714525">
        <w:rPr>
          <w:rFonts w:hint="cs"/>
          <w:spacing w:val="-4"/>
          <w:sz w:val="18"/>
          <w:szCs w:val="26"/>
          <w:rtl/>
        </w:rPr>
        <w:t xml:space="preserve"> </w:t>
      </w:r>
      <w:r w:rsidRPr="00714525">
        <w:rPr>
          <w:rFonts w:hint="cs"/>
          <w:spacing w:val="-4"/>
          <w:sz w:val="18"/>
          <w:szCs w:val="26"/>
          <w:rtl/>
        </w:rPr>
        <w:t>إلى</w:t>
      </w:r>
      <w:r w:rsidR="00EB56B7" w:rsidRPr="00714525">
        <w:rPr>
          <w:rFonts w:hint="cs"/>
          <w:spacing w:val="-4"/>
          <w:sz w:val="18"/>
          <w:szCs w:val="26"/>
          <w:rtl/>
        </w:rPr>
        <w:t xml:space="preserve"> </w:t>
      </w:r>
      <w:r w:rsidRPr="00714525">
        <w:rPr>
          <w:spacing w:val="-4"/>
          <w:sz w:val="18"/>
          <w:szCs w:val="26"/>
        </w:rPr>
        <w:t>CCPR/C/NPL/CO/2</w:t>
      </w:r>
      <w:r w:rsidR="00EB56B7" w:rsidRPr="00714525">
        <w:rPr>
          <w:rFonts w:hint="cs"/>
          <w:spacing w:val="-4"/>
          <w:sz w:val="18"/>
          <w:szCs w:val="26"/>
          <w:rtl/>
        </w:rPr>
        <w:t xml:space="preserve"> </w:t>
      </w:r>
      <w:r w:rsidRPr="00714525">
        <w:rPr>
          <w:rFonts w:hint="cs"/>
          <w:spacing w:val="-4"/>
          <w:sz w:val="18"/>
          <w:szCs w:val="26"/>
          <w:rtl/>
        </w:rPr>
        <w:t>وإلى</w:t>
      </w:r>
      <w:r w:rsidR="00EB56B7" w:rsidRPr="00714525">
        <w:rPr>
          <w:rFonts w:hint="cs"/>
          <w:spacing w:val="-4"/>
          <w:sz w:val="18"/>
          <w:szCs w:val="26"/>
          <w:rtl/>
        </w:rPr>
        <w:t xml:space="preserve"> </w:t>
      </w:r>
      <w:r w:rsidRPr="00714525">
        <w:rPr>
          <w:rFonts w:hint="cs"/>
          <w:spacing w:val="-4"/>
          <w:sz w:val="18"/>
          <w:szCs w:val="26"/>
          <w:rtl/>
        </w:rPr>
        <w:t>العديد</w:t>
      </w:r>
      <w:r w:rsidR="00EB56B7" w:rsidRPr="00714525">
        <w:rPr>
          <w:rFonts w:hint="cs"/>
          <w:spacing w:val="-4"/>
          <w:sz w:val="18"/>
          <w:szCs w:val="26"/>
          <w:rtl/>
        </w:rPr>
        <w:t xml:space="preserve"> </w:t>
      </w:r>
      <w:r w:rsidRPr="00714525">
        <w:rPr>
          <w:rFonts w:hint="cs"/>
          <w:spacing w:val="-4"/>
          <w:sz w:val="18"/>
          <w:szCs w:val="26"/>
          <w:rtl/>
        </w:rPr>
        <w:t>من</w:t>
      </w:r>
      <w:r w:rsidR="00EB56B7" w:rsidRPr="00714525">
        <w:rPr>
          <w:rFonts w:hint="cs"/>
          <w:spacing w:val="-4"/>
          <w:sz w:val="18"/>
          <w:szCs w:val="26"/>
          <w:rtl/>
        </w:rPr>
        <w:t xml:space="preserve"> </w:t>
      </w:r>
      <w:r w:rsidRPr="00714525">
        <w:rPr>
          <w:rFonts w:hint="cs"/>
          <w:spacing w:val="-4"/>
          <w:sz w:val="18"/>
          <w:szCs w:val="26"/>
          <w:rtl/>
        </w:rPr>
        <w:t>التعليقات</w:t>
      </w:r>
      <w:r w:rsidR="00EB56B7" w:rsidRPr="00714525">
        <w:rPr>
          <w:rFonts w:hint="cs"/>
          <w:spacing w:val="-4"/>
          <w:sz w:val="18"/>
          <w:szCs w:val="26"/>
          <w:rtl/>
        </w:rPr>
        <w:t xml:space="preserve"> </w:t>
      </w:r>
      <w:r w:rsidRPr="00714525">
        <w:rPr>
          <w:rFonts w:hint="cs"/>
          <w:spacing w:val="-4"/>
          <w:sz w:val="18"/>
          <w:szCs w:val="26"/>
          <w:rtl/>
        </w:rPr>
        <w:t>العامة</w:t>
      </w:r>
      <w:r w:rsidR="00EB56B7" w:rsidRPr="00714525">
        <w:rPr>
          <w:rFonts w:hint="cs"/>
          <w:spacing w:val="-4"/>
          <w:sz w:val="18"/>
          <w:szCs w:val="26"/>
          <w:rtl/>
        </w:rPr>
        <w:t xml:space="preserve"> </w:t>
      </w:r>
      <w:r w:rsidRPr="00714525">
        <w:rPr>
          <w:rFonts w:hint="cs"/>
          <w:spacing w:val="-4"/>
          <w:sz w:val="18"/>
          <w:szCs w:val="26"/>
          <w:rtl/>
        </w:rPr>
        <w:t>للجنة</w:t>
      </w:r>
      <w:r w:rsidR="00EB56B7" w:rsidRPr="00714525">
        <w:rPr>
          <w:rFonts w:hint="cs"/>
          <w:spacing w:val="-4"/>
          <w:sz w:val="18"/>
          <w:szCs w:val="26"/>
          <w:rtl/>
        </w:rPr>
        <w:t xml:space="preserve"> </w:t>
      </w:r>
      <w:r w:rsidRPr="00714525">
        <w:rPr>
          <w:rFonts w:hint="cs"/>
          <w:spacing w:val="-4"/>
          <w:sz w:val="18"/>
          <w:szCs w:val="26"/>
          <w:rtl/>
        </w:rPr>
        <w:t>(رقم</w:t>
      </w:r>
      <w:r w:rsidR="00EB56B7" w:rsidRPr="00714525">
        <w:rPr>
          <w:rFonts w:hint="cs"/>
          <w:spacing w:val="-4"/>
          <w:sz w:val="18"/>
          <w:szCs w:val="26"/>
          <w:rtl/>
        </w:rPr>
        <w:t xml:space="preserve"> </w:t>
      </w:r>
      <w:r w:rsidRPr="00714525">
        <w:rPr>
          <w:rFonts w:hint="cs"/>
          <w:spacing w:val="-4"/>
          <w:sz w:val="18"/>
          <w:szCs w:val="26"/>
          <w:rtl/>
        </w:rPr>
        <w:t>17،</w:t>
      </w:r>
      <w:r w:rsidR="00EB56B7" w:rsidRPr="00714525">
        <w:rPr>
          <w:rFonts w:hint="cs"/>
          <w:spacing w:val="-4"/>
          <w:sz w:val="18"/>
          <w:szCs w:val="26"/>
          <w:rtl/>
        </w:rPr>
        <w:t xml:space="preserve"> </w:t>
      </w:r>
      <w:r w:rsidRPr="00714525">
        <w:rPr>
          <w:rFonts w:hint="cs"/>
          <w:spacing w:val="-4"/>
          <w:sz w:val="18"/>
          <w:szCs w:val="26"/>
          <w:rtl/>
        </w:rPr>
        <w:t>ورقم</w:t>
      </w:r>
      <w:r w:rsidR="00EB56B7" w:rsidRPr="00714525">
        <w:rPr>
          <w:rFonts w:hint="cs"/>
          <w:spacing w:val="-4"/>
          <w:sz w:val="18"/>
          <w:szCs w:val="26"/>
          <w:rtl/>
        </w:rPr>
        <w:t xml:space="preserve"> </w:t>
      </w:r>
      <w:r w:rsidRPr="00714525">
        <w:rPr>
          <w:rFonts w:hint="cs"/>
          <w:spacing w:val="-4"/>
          <w:sz w:val="18"/>
          <w:szCs w:val="26"/>
          <w:rtl/>
        </w:rPr>
        <w:t>18،</w:t>
      </w:r>
      <w:r w:rsidR="00EB56B7" w:rsidRPr="00714525">
        <w:rPr>
          <w:rFonts w:hint="cs"/>
          <w:spacing w:val="-4"/>
          <w:sz w:val="18"/>
          <w:szCs w:val="26"/>
          <w:rtl/>
        </w:rPr>
        <w:t xml:space="preserve"> </w:t>
      </w:r>
      <w:r w:rsidRPr="00714525">
        <w:rPr>
          <w:rFonts w:hint="cs"/>
          <w:spacing w:val="-4"/>
          <w:sz w:val="18"/>
          <w:szCs w:val="26"/>
          <w:rtl/>
        </w:rPr>
        <w:t>ورقم</w:t>
      </w:r>
      <w:r w:rsidR="00EB56B7" w:rsidRPr="00714525">
        <w:rPr>
          <w:rFonts w:hint="cs"/>
          <w:spacing w:val="-4"/>
          <w:sz w:val="18"/>
          <w:szCs w:val="26"/>
          <w:rtl/>
        </w:rPr>
        <w:t xml:space="preserve"> </w:t>
      </w:r>
      <w:r w:rsidRPr="00714525">
        <w:rPr>
          <w:rFonts w:hint="cs"/>
          <w:spacing w:val="-4"/>
          <w:sz w:val="18"/>
          <w:szCs w:val="26"/>
          <w:rtl/>
        </w:rPr>
        <w:t>20،</w:t>
      </w:r>
      <w:r w:rsidR="00EB56B7" w:rsidRPr="00714525">
        <w:rPr>
          <w:rFonts w:hint="cs"/>
          <w:spacing w:val="-4"/>
          <w:sz w:val="18"/>
          <w:szCs w:val="26"/>
          <w:rtl/>
        </w:rPr>
        <w:t xml:space="preserve"> </w:t>
      </w:r>
      <w:r w:rsidRPr="00714525">
        <w:rPr>
          <w:rFonts w:hint="cs"/>
          <w:spacing w:val="-4"/>
          <w:sz w:val="18"/>
          <w:szCs w:val="26"/>
          <w:rtl/>
        </w:rPr>
        <w:t>ورقم</w:t>
      </w:r>
      <w:r w:rsidR="00EB56B7" w:rsidRPr="00714525">
        <w:rPr>
          <w:rFonts w:hint="eastAsia"/>
          <w:spacing w:val="-4"/>
          <w:sz w:val="18"/>
          <w:szCs w:val="26"/>
          <w:rtl/>
        </w:rPr>
        <w:t xml:space="preserve"> </w:t>
      </w:r>
      <w:r w:rsidRPr="00714525">
        <w:rPr>
          <w:rFonts w:hint="cs"/>
          <w:spacing w:val="-4"/>
          <w:sz w:val="18"/>
          <w:szCs w:val="26"/>
          <w:rtl/>
        </w:rPr>
        <w:t>28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ورقم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31،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ورقم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35).</w:t>
      </w:r>
    </w:p>
  </w:footnote>
  <w:footnote w:id="20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تشير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إلى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قانون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العقوبات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(</w:t>
      </w:r>
      <w:proofErr w:type="spellStart"/>
      <w:r w:rsidRPr="007A1201">
        <w:rPr>
          <w:rFonts w:hint="cs"/>
          <w:sz w:val="18"/>
          <w:szCs w:val="26"/>
          <w:rtl/>
        </w:rPr>
        <w:t>مولوكي</w:t>
      </w:r>
      <w:proofErr w:type="spellEnd"/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آين)،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فصل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الاغتصاب،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المادة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11.</w:t>
      </w:r>
    </w:p>
  </w:footnote>
  <w:footnote w:id="21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تشير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إلى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iCs/>
          <w:sz w:val="18"/>
          <w:szCs w:val="26"/>
          <w:rtl/>
        </w:rPr>
        <w:t>ل.</w:t>
      </w:r>
      <w:r w:rsidR="00EB56B7">
        <w:rPr>
          <w:rFonts w:hint="cs"/>
          <w:iCs/>
          <w:sz w:val="18"/>
          <w:szCs w:val="26"/>
          <w:rtl/>
        </w:rPr>
        <w:t xml:space="preserve"> </w:t>
      </w:r>
      <w:r w:rsidRPr="007A1201">
        <w:rPr>
          <w:rFonts w:hint="cs"/>
          <w:iCs/>
          <w:sz w:val="18"/>
          <w:szCs w:val="26"/>
          <w:rtl/>
        </w:rPr>
        <w:t>ن.</w:t>
      </w:r>
      <w:r w:rsidR="00EB56B7">
        <w:rPr>
          <w:rFonts w:hint="cs"/>
          <w:iCs/>
          <w:sz w:val="18"/>
          <w:szCs w:val="26"/>
          <w:rtl/>
        </w:rPr>
        <w:t xml:space="preserve"> </w:t>
      </w:r>
      <w:r w:rsidRPr="007A1201">
        <w:rPr>
          <w:rFonts w:hint="cs"/>
          <w:iCs/>
          <w:sz w:val="18"/>
          <w:szCs w:val="26"/>
          <w:rtl/>
        </w:rPr>
        <w:t>ب</w:t>
      </w:r>
      <w:r w:rsidR="00EB56B7">
        <w:rPr>
          <w:rFonts w:hint="cs"/>
          <w:iCs/>
          <w:sz w:val="18"/>
          <w:szCs w:val="26"/>
          <w:rtl/>
        </w:rPr>
        <w:t xml:space="preserve"> </w:t>
      </w:r>
      <w:r w:rsidRPr="007A1201">
        <w:rPr>
          <w:rFonts w:hint="cs"/>
          <w:iCs/>
          <w:sz w:val="18"/>
          <w:szCs w:val="26"/>
          <w:rtl/>
        </w:rPr>
        <w:t>ضد</w:t>
      </w:r>
      <w:r w:rsidR="00EB56B7">
        <w:rPr>
          <w:rFonts w:hint="cs"/>
          <w:iCs/>
          <w:sz w:val="18"/>
          <w:szCs w:val="26"/>
          <w:rtl/>
        </w:rPr>
        <w:t xml:space="preserve"> </w:t>
      </w:r>
      <w:r w:rsidRPr="007A1201">
        <w:rPr>
          <w:rFonts w:hint="cs"/>
          <w:iCs/>
          <w:sz w:val="18"/>
          <w:szCs w:val="26"/>
          <w:rtl/>
        </w:rPr>
        <w:t>الأرجنتين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(</w:t>
      </w:r>
      <w:r w:rsidRPr="007A1201">
        <w:rPr>
          <w:sz w:val="18"/>
          <w:szCs w:val="26"/>
        </w:rPr>
        <w:t>CCPR/C/102/D/1610/2007</w:t>
      </w:r>
      <w:r w:rsidRPr="007A1201">
        <w:rPr>
          <w:sz w:val="18"/>
          <w:szCs w:val="26"/>
          <w:rtl/>
        </w:rPr>
        <w:t>)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13-3.</w:t>
      </w:r>
    </w:p>
  </w:footnote>
  <w:footnote w:id="22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تشير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إلى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تعليق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اللجنة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العام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رقم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28</w:t>
      </w:r>
      <w:r w:rsidR="007A1201" w:rsidRPr="007A1201">
        <w:rPr>
          <w:rFonts w:hint="cs"/>
          <w:sz w:val="18"/>
          <w:szCs w:val="26"/>
          <w:rtl/>
        </w:rPr>
        <w:t>(</w:t>
      </w:r>
      <w:r w:rsidRPr="007A1201">
        <w:rPr>
          <w:rFonts w:hint="cs"/>
          <w:sz w:val="18"/>
          <w:szCs w:val="26"/>
          <w:rtl/>
        </w:rPr>
        <w:t>2000)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بشأن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المساواة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في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الحقوق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بين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الرجال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والنساء،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الفقرتين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11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و20.</w:t>
      </w:r>
    </w:p>
  </w:footnote>
  <w:footnote w:id="23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تشير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إلى</w:t>
      </w:r>
      <w:r w:rsidR="00EB56B7">
        <w:rPr>
          <w:rFonts w:hint="cs"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i/>
          <w:iCs/>
          <w:sz w:val="18"/>
          <w:szCs w:val="26"/>
          <w:rtl/>
        </w:rPr>
        <w:t>كاتوال</w:t>
      </w:r>
      <w:proofErr w:type="spellEnd"/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ضد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نيبال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(</w:t>
      </w:r>
      <w:r w:rsidRPr="007A1201">
        <w:rPr>
          <w:sz w:val="18"/>
          <w:szCs w:val="26"/>
        </w:rPr>
        <w:t>CCPR/C/113/D/2000/2010</w:t>
      </w:r>
      <w:r w:rsidRPr="007A1201">
        <w:rPr>
          <w:sz w:val="18"/>
          <w:szCs w:val="26"/>
          <w:rtl/>
        </w:rPr>
        <w:t>)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6-3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وفي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جملة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أمور</w:t>
      </w:r>
      <w:r w:rsidR="00EB56B7">
        <w:rPr>
          <w:rFonts w:hint="cs"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i/>
          <w:iCs/>
          <w:sz w:val="18"/>
          <w:szCs w:val="26"/>
          <w:rtl/>
        </w:rPr>
        <w:t>ماهارجان</w:t>
      </w:r>
      <w:proofErr w:type="spellEnd"/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وآخرون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ضد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نيبال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7-4.</w:t>
      </w:r>
    </w:p>
  </w:footnote>
  <w:footnote w:id="24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تشير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إلى</w:t>
      </w:r>
      <w:r w:rsidR="00EB56B7">
        <w:rPr>
          <w:rFonts w:hint="cs"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iCs/>
          <w:sz w:val="18"/>
          <w:szCs w:val="26"/>
          <w:rtl/>
        </w:rPr>
        <w:t>كاتوال</w:t>
      </w:r>
      <w:proofErr w:type="spellEnd"/>
      <w:r w:rsidR="00EB56B7">
        <w:rPr>
          <w:rFonts w:hint="cs"/>
          <w:iCs/>
          <w:sz w:val="18"/>
          <w:szCs w:val="26"/>
          <w:rtl/>
        </w:rPr>
        <w:t xml:space="preserve"> </w:t>
      </w:r>
      <w:r w:rsidRPr="007A1201">
        <w:rPr>
          <w:rFonts w:hint="cs"/>
          <w:iCs/>
          <w:sz w:val="18"/>
          <w:szCs w:val="26"/>
          <w:rtl/>
        </w:rPr>
        <w:t>ضد</w:t>
      </w:r>
      <w:r w:rsidR="00EB56B7">
        <w:rPr>
          <w:rFonts w:hint="cs"/>
          <w:iCs/>
          <w:sz w:val="18"/>
          <w:szCs w:val="26"/>
          <w:rtl/>
        </w:rPr>
        <w:t xml:space="preserve"> </w:t>
      </w:r>
      <w:r w:rsidRPr="007A1201">
        <w:rPr>
          <w:rFonts w:hint="cs"/>
          <w:iCs/>
          <w:sz w:val="18"/>
          <w:szCs w:val="26"/>
          <w:rtl/>
        </w:rPr>
        <w:t>نيبال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6-3؛</w:t>
      </w:r>
      <w:r w:rsidR="00EB56B7">
        <w:rPr>
          <w:rFonts w:hint="cs"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i/>
          <w:iCs/>
          <w:sz w:val="18"/>
          <w:szCs w:val="26"/>
          <w:rtl/>
        </w:rPr>
        <w:t>سيدهاي</w:t>
      </w:r>
      <w:proofErr w:type="spellEnd"/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وآخرون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ضد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نيبال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(</w:t>
      </w:r>
      <w:r w:rsidRPr="007A1201">
        <w:rPr>
          <w:sz w:val="18"/>
          <w:szCs w:val="26"/>
        </w:rPr>
        <w:t>CCPR/C/108/D/1865/2009</w:t>
      </w:r>
      <w:r w:rsidRPr="007A1201">
        <w:rPr>
          <w:sz w:val="18"/>
          <w:szCs w:val="26"/>
          <w:rtl/>
        </w:rPr>
        <w:t>)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7-5؛</w:t>
      </w:r>
      <w:r w:rsidR="00EB56B7">
        <w:rPr>
          <w:rFonts w:hint="cs"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iCs/>
          <w:sz w:val="18"/>
          <w:szCs w:val="26"/>
          <w:rtl/>
        </w:rPr>
        <w:t>تريباتي</w:t>
      </w:r>
      <w:proofErr w:type="spellEnd"/>
      <w:r w:rsidR="00EB56B7">
        <w:rPr>
          <w:rFonts w:hint="cs"/>
          <w:iCs/>
          <w:sz w:val="18"/>
          <w:szCs w:val="26"/>
          <w:rtl/>
        </w:rPr>
        <w:t xml:space="preserve"> </w:t>
      </w:r>
      <w:r w:rsidRPr="007A1201">
        <w:rPr>
          <w:rFonts w:hint="cs"/>
          <w:iCs/>
          <w:sz w:val="18"/>
          <w:szCs w:val="26"/>
          <w:rtl/>
        </w:rPr>
        <w:t>وآخرون</w:t>
      </w:r>
      <w:r w:rsidR="00EB56B7">
        <w:rPr>
          <w:rFonts w:hint="cs"/>
          <w:iCs/>
          <w:sz w:val="18"/>
          <w:szCs w:val="26"/>
          <w:rtl/>
        </w:rPr>
        <w:t xml:space="preserve"> </w:t>
      </w:r>
      <w:r w:rsidRPr="007A1201">
        <w:rPr>
          <w:rFonts w:hint="cs"/>
          <w:iCs/>
          <w:sz w:val="18"/>
          <w:szCs w:val="26"/>
          <w:rtl/>
        </w:rPr>
        <w:t>ضد</w:t>
      </w:r>
      <w:r w:rsidR="00EB56B7">
        <w:rPr>
          <w:rFonts w:hint="cs"/>
          <w:iCs/>
          <w:sz w:val="18"/>
          <w:szCs w:val="26"/>
          <w:rtl/>
        </w:rPr>
        <w:t xml:space="preserve"> </w:t>
      </w:r>
      <w:r w:rsidRPr="007A1201">
        <w:rPr>
          <w:rFonts w:hint="cs"/>
          <w:iCs/>
          <w:sz w:val="18"/>
          <w:szCs w:val="26"/>
          <w:rtl/>
        </w:rPr>
        <w:t>نيبال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(</w:t>
      </w:r>
      <w:r w:rsidRPr="007A1201">
        <w:rPr>
          <w:sz w:val="18"/>
          <w:szCs w:val="26"/>
        </w:rPr>
        <w:t>CCPR/C/112/D/2111/2011</w:t>
      </w:r>
      <w:r w:rsidRPr="007A1201">
        <w:rPr>
          <w:sz w:val="18"/>
          <w:szCs w:val="26"/>
          <w:rtl/>
        </w:rPr>
        <w:t>)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6-3؛</w:t>
      </w:r>
      <w:r w:rsidR="00EB56B7">
        <w:rPr>
          <w:rFonts w:hint="cs"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sz w:val="18"/>
          <w:szCs w:val="26"/>
          <w:rtl/>
        </w:rPr>
        <w:t>و</w:t>
      </w:r>
      <w:r w:rsidRPr="007A1201">
        <w:rPr>
          <w:rFonts w:hint="cs"/>
          <w:iCs/>
          <w:sz w:val="18"/>
          <w:szCs w:val="26"/>
          <w:rtl/>
        </w:rPr>
        <w:t>باسنيت</w:t>
      </w:r>
      <w:proofErr w:type="spellEnd"/>
      <w:r w:rsidR="00EB56B7">
        <w:rPr>
          <w:rFonts w:hint="cs"/>
          <w:iCs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iCs/>
          <w:sz w:val="18"/>
          <w:szCs w:val="26"/>
          <w:rtl/>
        </w:rPr>
        <w:t>وباسنيت</w:t>
      </w:r>
      <w:proofErr w:type="spellEnd"/>
      <w:r w:rsidR="00EB56B7">
        <w:rPr>
          <w:rFonts w:hint="cs"/>
          <w:iCs/>
          <w:sz w:val="18"/>
          <w:szCs w:val="26"/>
          <w:rtl/>
        </w:rPr>
        <w:t xml:space="preserve"> </w:t>
      </w:r>
      <w:r w:rsidRPr="007A1201">
        <w:rPr>
          <w:rFonts w:hint="cs"/>
          <w:iCs/>
          <w:sz w:val="18"/>
          <w:szCs w:val="26"/>
          <w:rtl/>
        </w:rPr>
        <w:t>ضد</w:t>
      </w:r>
      <w:r w:rsidR="00EB56B7">
        <w:rPr>
          <w:rFonts w:hint="cs"/>
          <w:iCs/>
          <w:sz w:val="18"/>
          <w:szCs w:val="26"/>
          <w:rtl/>
        </w:rPr>
        <w:t xml:space="preserve"> </w:t>
      </w:r>
      <w:r w:rsidRPr="007A1201">
        <w:rPr>
          <w:rFonts w:hint="cs"/>
          <w:iCs/>
          <w:sz w:val="18"/>
          <w:szCs w:val="26"/>
          <w:rtl/>
        </w:rPr>
        <w:t>نيبال</w:t>
      </w:r>
      <w:r w:rsidR="00EB56B7">
        <w:rPr>
          <w:rFonts w:hint="cs"/>
          <w:iCs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(</w:t>
      </w:r>
      <w:r w:rsidRPr="007A1201">
        <w:rPr>
          <w:sz w:val="18"/>
          <w:szCs w:val="26"/>
        </w:rPr>
        <w:t>CCPR/C/112/D/2051/2011</w:t>
      </w:r>
      <w:r w:rsidRPr="007A1201">
        <w:rPr>
          <w:sz w:val="18"/>
          <w:szCs w:val="26"/>
          <w:rtl/>
        </w:rPr>
        <w:t>)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7-4.</w:t>
      </w:r>
    </w:p>
  </w:footnote>
  <w:footnote w:id="25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تشير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إلى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تعليق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اللجنة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العام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رقم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35</w:t>
      </w:r>
      <w:r w:rsidR="007A1201" w:rsidRPr="007A1201">
        <w:rPr>
          <w:rFonts w:hint="cs"/>
          <w:sz w:val="18"/>
          <w:szCs w:val="26"/>
          <w:rtl/>
        </w:rPr>
        <w:t>(</w:t>
      </w:r>
      <w:r w:rsidRPr="007A1201">
        <w:rPr>
          <w:rFonts w:hint="cs"/>
          <w:sz w:val="18"/>
          <w:szCs w:val="26"/>
          <w:rtl/>
        </w:rPr>
        <w:t>2014)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بشأن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حق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الفرد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في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الحرية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والأمان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على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شخصه،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23،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وفي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جملة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أمور،</w:t>
      </w:r>
      <w:r w:rsidR="00EB56B7">
        <w:rPr>
          <w:rFonts w:hint="cs"/>
          <w:sz w:val="18"/>
          <w:szCs w:val="26"/>
          <w:rtl/>
        </w:rPr>
        <w:t xml:space="preserve"> </w:t>
      </w:r>
      <w:proofErr w:type="spellStart"/>
      <w:r w:rsidRPr="007A1201">
        <w:rPr>
          <w:rFonts w:hint="cs"/>
          <w:i/>
          <w:iCs/>
          <w:sz w:val="18"/>
          <w:szCs w:val="26"/>
          <w:rtl/>
        </w:rPr>
        <w:t>كوربونوف</w:t>
      </w:r>
      <w:proofErr w:type="spellEnd"/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ضد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طاجيكستان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(</w:t>
      </w:r>
      <w:r w:rsidRPr="007A1201">
        <w:rPr>
          <w:sz w:val="18"/>
          <w:szCs w:val="26"/>
        </w:rPr>
        <w:t>CCPR/C/86/D/1208/2003</w:t>
      </w:r>
      <w:r w:rsidRPr="007A1201">
        <w:rPr>
          <w:sz w:val="18"/>
          <w:szCs w:val="26"/>
          <w:rtl/>
        </w:rPr>
        <w:t>)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6-5.</w:t>
      </w:r>
    </w:p>
  </w:footnote>
  <w:footnote w:id="26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تشير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صاحبة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البلاغ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إلى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المحكمة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الأوروبية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لحقوق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الإنسان،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أيدين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ضد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تركيا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الحكم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الصادر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في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25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أيلول/سبتمبر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1997،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73.</w:t>
      </w:r>
    </w:p>
  </w:footnote>
  <w:footnote w:id="27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i/>
          <w:iCs/>
          <w:sz w:val="18"/>
          <w:szCs w:val="26"/>
          <w:rtl/>
        </w:rPr>
        <w:t>مايا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ضد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نيبال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(</w:t>
      </w:r>
      <w:r w:rsidRPr="007A1201">
        <w:rPr>
          <w:sz w:val="18"/>
          <w:szCs w:val="26"/>
        </w:rPr>
        <w:t>CCPR/C/119/D/2245/2013</w:t>
      </w:r>
      <w:r w:rsidRPr="007A1201">
        <w:rPr>
          <w:sz w:val="18"/>
          <w:szCs w:val="26"/>
          <w:rtl/>
        </w:rPr>
        <w:t>)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11-5.</w:t>
      </w:r>
    </w:p>
  </w:footnote>
  <w:footnote w:id="28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proofErr w:type="spellStart"/>
      <w:r w:rsidRPr="007A1201">
        <w:rPr>
          <w:rFonts w:hint="cs"/>
          <w:i/>
          <w:iCs/>
          <w:sz w:val="18"/>
          <w:szCs w:val="26"/>
          <w:rtl/>
        </w:rPr>
        <w:t>كاتوال</w:t>
      </w:r>
      <w:proofErr w:type="spellEnd"/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ضد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نيبال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6-3.</w:t>
      </w:r>
    </w:p>
  </w:footnote>
  <w:footnote w:id="29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انظر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sz w:val="18"/>
          <w:szCs w:val="26"/>
        </w:rPr>
        <w:t>CCPR/C/NPL/CO/2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التوصية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(ب)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في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5.</w:t>
      </w:r>
      <w:r w:rsidRPr="007A1201">
        <w:rPr>
          <w:sz w:val="18"/>
          <w:szCs w:val="26"/>
        </w:rPr>
        <w:t>‬</w:t>
      </w:r>
      <w:r w:rsidR="00EB56B7">
        <w:rPr>
          <w:rFonts w:hint="cs"/>
          <w:sz w:val="18"/>
          <w:szCs w:val="26"/>
        </w:rPr>
        <w:t xml:space="preserve"> </w:t>
      </w:r>
      <w:r w:rsidRPr="007A1201">
        <w:rPr>
          <w:sz w:val="18"/>
          <w:szCs w:val="26"/>
        </w:rPr>
        <w:t>‬</w:t>
      </w:r>
    </w:p>
  </w:footnote>
  <w:footnote w:id="30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انظر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التعليق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العام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رقم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28،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8.</w:t>
      </w:r>
    </w:p>
  </w:footnote>
  <w:footnote w:id="31">
    <w:p w:rsidR="00D10415" w:rsidRPr="009435F0" w:rsidRDefault="00D10415" w:rsidP="007A1201">
      <w:pPr>
        <w:pStyle w:val="FootnoteText"/>
        <w:spacing w:after="60" w:line="300" w:lineRule="exact"/>
        <w:ind w:left="1247" w:right="1247" w:hanging="567"/>
        <w:rPr>
          <w:spacing w:val="-4"/>
          <w:sz w:val="18"/>
          <w:szCs w:val="26"/>
          <w:rtl/>
        </w:rPr>
      </w:pPr>
      <w:r w:rsidRPr="009435F0">
        <w:rPr>
          <w:rStyle w:val="FootnoteReference"/>
          <w:spacing w:val="-4"/>
          <w:szCs w:val="26"/>
          <w:vertAlign w:val="baseline"/>
          <w:rtl/>
        </w:rPr>
        <w:t>(</w:t>
      </w:r>
      <w:r w:rsidRPr="009435F0">
        <w:rPr>
          <w:rStyle w:val="FootnoteReference"/>
          <w:spacing w:val="-4"/>
          <w:szCs w:val="26"/>
          <w:vertAlign w:val="baseline"/>
          <w:rtl/>
        </w:rPr>
        <w:footnoteRef/>
      </w:r>
      <w:r w:rsidR="007A1201" w:rsidRPr="009435F0">
        <w:rPr>
          <w:rStyle w:val="FootnoteReference"/>
          <w:spacing w:val="-4"/>
          <w:szCs w:val="26"/>
          <w:vertAlign w:val="baseline"/>
          <w:rtl/>
        </w:rPr>
        <w:t>)</w:t>
      </w:r>
      <w:r w:rsidR="007A1201" w:rsidRPr="009435F0">
        <w:rPr>
          <w:rStyle w:val="FootnoteReference"/>
          <w:spacing w:val="-4"/>
          <w:szCs w:val="26"/>
          <w:vertAlign w:val="baseline"/>
          <w:rtl/>
        </w:rPr>
        <w:tab/>
      </w:r>
      <w:bookmarkStart w:id="4" w:name="_Hlk532221203"/>
      <w:r w:rsidRPr="009435F0">
        <w:rPr>
          <w:rFonts w:hint="cs"/>
          <w:i/>
          <w:iCs/>
          <w:spacing w:val="-4"/>
          <w:sz w:val="18"/>
          <w:szCs w:val="26"/>
          <w:rtl/>
        </w:rPr>
        <w:t>ل.</w:t>
      </w:r>
      <w:r w:rsidR="00EB56B7">
        <w:rPr>
          <w:rFonts w:hint="cs"/>
          <w:i/>
          <w:iCs/>
          <w:spacing w:val="-4"/>
          <w:sz w:val="18"/>
          <w:szCs w:val="26"/>
          <w:rtl/>
        </w:rPr>
        <w:t xml:space="preserve"> </w:t>
      </w:r>
      <w:r w:rsidRPr="009435F0">
        <w:rPr>
          <w:rFonts w:hint="cs"/>
          <w:i/>
          <w:iCs/>
          <w:spacing w:val="-4"/>
          <w:sz w:val="18"/>
          <w:szCs w:val="26"/>
          <w:rtl/>
        </w:rPr>
        <w:t>ن.</w:t>
      </w:r>
      <w:r w:rsidR="00EB56B7">
        <w:rPr>
          <w:rFonts w:hint="cs"/>
          <w:i/>
          <w:iCs/>
          <w:spacing w:val="-4"/>
          <w:sz w:val="18"/>
          <w:szCs w:val="26"/>
          <w:rtl/>
        </w:rPr>
        <w:t xml:space="preserve"> </w:t>
      </w:r>
      <w:r w:rsidRPr="009435F0">
        <w:rPr>
          <w:rFonts w:hint="cs"/>
          <w:i/>
          <w:iCs/>
          <w:spacing w:val="-4"/>
          <w:sz w:val="18"/>
          <w:szCs w:val="26"/>
          <w:rtl/>
        </w:rPr>
        <w:t>ب.</w:t>
      </w:r>
      <w:r w:rsidR="00EB56B7">
        <w:rPr>
          <w:rFonts w:hint="cs"/>
          <w:i/>
          <w:iCs/>
          <w:spacing w:val="-4"/>
          <w:sz w:val="18"/>
          <w:szCs w:val="26"/>
          <w:rtl/>
        </w:rPr>
        <w:t xml:space="preserve"> </w:t>
      </w:r>
      <w:r w:rsidRPr="009435F0">
        <w:rPr>
          <w:rFonts w:hint="cs"/>
          <w:i/>
          <w:iCs/>
          <w:spacing w:val="-4"/>
          <w:sz w:val="18"/>
          <w:szCs w:val="26"/>
          <w:rtl/>
        </w:rPr>
        <w:t>ضد</w:t>
      </w:r>
      <w:r w:rsidR="00EB56B7">
        <w:rPr>
          <w:rFonts w:hint="cs"/>
          <w:i/>
          <w:iCs/>
          <w:spacing w:val="-4"/>
          <w:sz w:val="18"/>
          <w:szCs w:val="26"/>
          <w:rtl/>
        </w:rPr>
        <w:t xml:space="preserve"> </w:t>
      </w:r>
      <w:r w:rsidRPr="009435F0">
        <w:rPr>
          <w:rFonts w:hint="cs"/>
          <w:i/>
          <w:iCs/>
          <w:spacing w:val="-4"/>
          <w:sz w:val="18"/>
          <w:szCs w:val="26"/>
          <w:rtl/>
        </w:rPr>
        <w:t>الأرجنتين</w:t>
      </w:r>
      <w:r w:rsidRPr="009435F0">
        <w:rPr>
          <w:rFonts w:hint="cs"/>
          <w:spacing w:val="-4"/>
          <w:sz w:val="18"/>
          <w:szCs w:val="26"/>
          <w:rtl/>
        </w:rPr>
        <w:t>،</w:t>
      </w:r>
      <w:r w:rsidR="00EB56B7">
        <w:rPr>
          <w:rFonts w:hint="cs"/>
          <w:spacing w:val="-4"/>
          <w:sz w:val="18"/>
          <w:szCs w:val="26"/>
          <w:rtl/>
        </w:rPr>
        <w:t xml:space="preserve"> </w:t>
      </w:r>
      <w:r w:rsidRPr="009435F0">
        <w:rPr>
          <w:rFonts w:hint="cs"/>
          <w:spacing w:val="-4"/>
          <w:sz w:val="18"/>
          <w:szCs w:val="26"/>
          <w:rtl/>
        </w:rPr>
        <w:t>الفقرة</w:t>
      </w:r>
      <w:bookmarkEnd w:id="4"/>
      <w:r w:rsidR="00EB56B7">
        <w:rPr>
          <w:rFonts w:hint="cs"/>
          <w:spacing w:val="-4"/>
          <w:sz w:val="18"/>
          <w:szCs w:val="26"/>
          <w:rtl/>
          <w:lang w:bidi="ar-DZ"/>
        </w:rPr>
        <w:t xml:space="preserve"> </w:t>
      </w:r>
      <w:r w:rsidRPr="009435F0">
        <w:rPr>
          <w:rFonts w:hint="cs"/>
          <w:spacing w:val="-4"/>
          <w:sz w:val="18"/>
          <w:szCs w:val="26"/>
          <w:rtl/>
        </w:rPr>
        <w:t>13-3؛</w:t>
      </w:r>
      <w:r w:rsidR="00EB56B7">
        <w:rPr>
          <w:rFonts w:hint="cs"/>
          <w:spacing w:val="-4"/>
          <w:sz w:val="18"/>
          <w:szCs w:val="26"/>
          <w:rtl/>
        </w:rPr>
        <w:t xml:space="preserve"> </w:t>
      </w:r>
      <w:r w:rsidRPr="009435F0">
        <w:rPr>
          <w:rFonts w:hint="cs"/>
          <w:i/>
          <w:iCs/>
          <w:spacing w:val="-4"/>
          <w:sz w:val="18"/>
          <w:szCs w:val="26"/>
          <w:rtl/>
        </w:rPr>
        <w:t>م.</w:t>
      </w:r>
      <w:r w:rsidR="00EB56B7">
        <w:rPr>
          <w:rFonts w:hint="cs"/>
          <w:i/>
          <w:iCs/>
          <w:spacing w:val="-4"/>
          <w:sz w:val="18"/>
          <w:szCs w:val="26"/>
          <w:rtl/>
        </w:rPr>
        <w:t xml:space="preserve"> </w:t>
      </w:r>
      <w:r w:rsidRPr="009435F0">
        <w:rPr>
          <w:rFonts w:hint="cs"/>
          <w:i/>
          <w:iCs/>
          <w:spacing w:val="-4"/>
          <w:sz w:val="18"/>
          <w:szCs w:val="26"/>
          <w:rtl/>
        </w:rPr>
        <w:t>ت.</w:t>
      </w:r>
      <w:r w:rsidR="00EB56B7">
        <w:rPr>
          <w:rFonts w:hint="cs"/>
          <w:i/>
          <w:iCs/>
          <w:spacing w:val="-4"/>
          <w:sz w:val="18"/>
          <w:szCs w:val="26"/>
          <w:rtl/>
        </w:rPr>
        <w:t xml:space="preserve"> </w:t>
      </w:r>
      <w:r w:rsidRPr="009435F0">
        <w:rPr>
          <w:rFonts w:hint="cs"/>
          <w:i/>
          <w:iCs/>
          <w:spacing w:val="-4"/>
          <w:sz w:val="18"/>
          <w:szCs w:val="26"/>
          <w:rtl/>
        </w:rPr>
        <w:t>ضد</w:t>
      </w:r>
      <w:r w:rsidR="00EB56B7">
        <w:rPr>
          <w:rFonts w:hint="cs"/>
          <w:i/>
          <w:iCs/>
          <w:spacing w:val="-4"/>
          <w:sz w:val="18"/>
          <w:szCs w:val="26"/>
          <w:rtl/>
        </w:rPr>
        <w:t xml:space="preserve"> </w:t>
      </w:r>
      <w:r w:rsidRPr="009435F0">
        <w:rPr>
          <w:rFonts w:hint="cs"/>
          <w:i/>
          <w:iCs/>
          <w:spacing w:val="-4"/>
          <w:sz w:val="18"/>
          <w:szCs w:val="26"/>
          <w:rtl/>
        </w:rPr>
        <w:t>أوزبكستان</w:t>
      </w:r>
      <w:r w:rsidRPr="009435F0">
        <w:rPr>
          <w:rFonts w:hint="cs"/>
          <w:spacing w:val="-4"/>
          <w:sz w:val="18"/>
          <w:szCs w:val="26"/>
          <w:rtl/>
        </w:rPr>
        <w:t>،</w:t>
      </w:r>
      <w:r w:rsidR="00EB56B7">
        <w:rPr>
          <w:rFonts w:hint="cs"/>
          <w:spacing w:val="-4"/>
          <w:sz w:val="18"/>
          <w:szCs w:val="26"/>
          <w:rtl/>
        </w:rPr>
        <w:t xml:space="preserve"> </w:t>
      </w:r>
      <w:r w:rsidRPr="009435F0">
        <w:rPr>
          <w:rFonts w:hint="cs"/>
          <w:spacing w:val="-4"/>
          <w:sz w:val="18"/>
          <w:szCs w:val="26"/>
          <w:rtl/>
        </w:rPr>
        <w:t>الفقرة</w:t>
      </w:r>
      <w:r w:rsidR="00EB56B7">
        <w:rPr>
          <w:rFonts w:hint="cs"/>
          <w:spacing w:val="-4"/>
          <w:sz w:val="18"/>
          <w:szCs w:val="26"/>
          <w:rtl/>
        </w:rPr>
        <w:t xml:space="preserve"> </w:t>
      </w:r>
      <w:r w:rsidRPr="009435F0">
        <w:rPr>
          <w:rFonts w:hint="cs"/>
          <w:spacing w:val="-4"/>
          <w:sz w:val="18"/>
          <w:szCs w:val="26"/>
          <w:rtl/>
        </w:rPr>
        <w:t>7-6؛</w:t>
      </w:r>
      <w:r w:rsidR="00EB56B7">
        <w:rPr>
          <w:rFonts w:hint="cs"/>
          <w:spacing w:val="-4"/>
          <w:sz w:val="18"/>
          <w:szCs w:val="26"/>
          <w:rtl/>
        </w:rPr>
        <w:t xml:space="preserve"> </w:t>
      </w:r>
      <w:r w:rsidRPr="009435F0">
        <w:rPr>
          <w:rFonts w:hint="cs"/>
          <w:i/>
          <w:iCs/>
          <w:spacing w:val="-4"/>
          <w:sz w:val="18"/>
          <w:szCs w:val="26"/>
          <w:rtl/>
        </w:rPr>
        <w:t>مايا</w:t>
      </w:r>
      <w:r w:rsidR="00EB56B7">
        <w:rPr>
          <w:rFonts w:hint="cs"/>
          <w:i/>
          <w:iCs/>
          <w:spacing w:val="-4"/>
          <w:sz w:val="18"/>
          <w:szCs w:val="26"/>
          <w:rtl/>
        </w:rPr>
        <w:t xml:space="preserve"> </w:t>
      </w:r>
      <w:r w:rsidRPr="009435F0">
        <w:rPr>
          <w:rFonts w:hint="cs"/>
          <w:i/>
          <w:iCs/>
          <w:spacing w:val="-4"/>
          <w:sz w:val="18"/>
          <w:szCs w:val="26"/>
          <w:rtl/>
        </w:rPr>
        <w:t>ضد</w:t>
      </w:r>
      <w:r w:rsidR="00EB56B7">
        <w:rPr>
          <w:rFonts w:hint="cs"/>
          <w:i/>
          <w:iCs/>
          <w:spacing w:val="-4"/>
          <w:sz w:val="18"/>
          <w:szCs w:val="26"/>
          <w:rtl/>
        </w:rPr>
        <w:t xml:space="preserve"> </w:t>
      </w:r>
      <w:r w:rsidRPr="009435F0">
        <w:rPr>
          <w:rFonts w:hint="cs"/>
          <w:i/>
          <w:iCs/>
          <w:spacing w:val="-4"/>
          <w:sz w:val="18"/>
          <w:szCs w:val="26"/>
          <w:rtl/>
        </w:rPr>
        <w:t>نيبال</w:t>
      </w:r>
      <w:r w:rsidRPr="009435F0">
        <w:rPr>
          <w:rFonts w:hint="cs"/>
          <w:spacing w:val="-4"/>
          <w:sz w:val="18"/>
          <w:szCs w:val="26"/>
          <w:rtl/>
        </w:rPr>
        <w:t>،</w:t>
      </w:r>
      <w:r w:rsidR="00EB56B7">
        <w:rPr>
          <w:rFonts w:hint="cs"/>
          <w:spacing w:val="-4"/>
          <w:sz w:val="18"/>
          <w:szCs w:val="26"/>
          <w:rtl/>
        </w:rPr>
        <w:t xml:space="preserve"> </w:t>
      </w:r>
      <w:r w:rsidRPr="009435F0">
        <w:rPr>
          <w:rFonts w:hint="cs"/>
          <w:spacing w:val="-4"/>
          <w:sz w:val="18"/>
          <w:szCs w:val="26"/>
          <w:rtl/>
        </w:rPr>
        <w:t>الفقرة</w:t>
      </w:r>
      <w:r w:rsidR="00EB56B7">
        <w:rPr>
          <w:rFonts w:hint="cs"/>
          <w:spacing w:val="-4"/>
          <w:sz w:val="18"/>
          <w:szCs w:val="26"/>
          <w:rtl/>
        </w:rPr>
        <w:t xml:space="preserve"> </w:t>
      </w:r>
      <w:r w:rsidRPr="009435F0">
        <w:rPr>
          <w:rFonts w:hint="cs"/>
          <w:spacing w:val="-4"/>
          <w:sz w:val="18"/>
          <w:szCs w:val="26"/>
          <w:rtl/>
        </w:rPr>
        <w:t>12-4.</w:t>
      </w:r>
    </w:p>
  </w:footnote>
  <w:footnote w:id="32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انظر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sz w:val="18"/>
          <w:szCs w:val="26"/>
        </w:rPr>
        <w:t>Office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of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the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United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Nations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High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Commissioner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for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Human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Rights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(OHCHR</w:t>
      </w:r>
      <w:proofErr w:type="gramStart"/>
      <w:r w:rsidRPr="007A1201">
        <w:rPr>
          <w:sz w:val="18"/>
          <w:szCs w:val="26"/>
        </w:rPr>
        <w:t>)</w:t>
      </w:r>
      <w:r w:rsidRPr="007A1201">
        <w:rPr>
          <w:rFonts w:hint="cs"/>
          <w:sz w:val="18"/>
          <w:szCs w:val="26"/>
        </w:rPr>
        <w:t>,</w:t>
      </w:r>
      <w:proofErr w:type="gramEnd"/>
      <w:r w:rsidRPr="007A1201">
        <w:rPr>
          <w:i/>
          <w:iCs/>
          <w:sz w:val="18"/>
          <w:szCs w:val="26"/>
        </w:rPr>
        <w:t>Nepal</w:t>
      </w:r>
      <w:r w:rsidR="00EB56B7">
        <w:rPr>
          <w:i/>
          <w:iCs/>
          <w:sz w:val="18"/>
          <w:szCs w:val="26"/>
        </w:rPr>
        <w:t xml:space="preserve"> </w:t>
      </w:r>
      <w:r w:rsidRPr="007A1201">
        <w:rPr>
          <w:i/>
          <w:iCs/>
          <w:sz w:val="18"/>
          <w:szCs w:val="26"/>
        </w:rPr>
        <w:t>Conflict</w:t>
      </w:r>
      <w:r w:rsidR="00EB56B7">
        <w:rPr>
          <w:i/>
          <w:iCs/>
          <w:sz w:val="18"/>
          <w:szCs w:val="26"/>
        </w:rPr>
        <w:t xml:space="preserve"> </w:t>
      </w:r>
      <w:r w:rsidRPr="007A1201">
        <w:rPr>
          <w:i/>
          <w:iCs/>
          <w:sz w:val="18"/>
          <w:szCs w:val="26"/>
        </w:rPr>
        <w:t>Report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(2012</w:t>
      </w:r>
      <w:r w:rsidRPr="007A1201">
        <w:rPr>
          <w:rFonts w:hint="cs"/>
          <w:sz w:val="18"/>
          <w:szCs w:val="26"/>
        </w:rPr>
        <w:t>)</w:t>
      </w:r>
      <w:r w:rsidR="00EB56B7">
        <w:rPr>
          <w:sz w:val="18"/>
          <w:szCs w:val="26"/>
        </w:rPr>
        <w:t>,</w:t>
      </w:r>
      <w:r w:rsidR="00EB56B7" w:rsidRPr="007A1201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p.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131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  <w:lang w:val="fr-FR"/>
        </w:rPr>
        <w:t>[مفوضية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الأمم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المتحدة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السامية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لحقوق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الإنسان،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تقرير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عن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النزاع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في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نيبال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(</w:t>
      </w:r>
      <w:r w:rsidRPr="007A1201">
        <w:rPr>
          <w:rFonts w:hint="cs"/>
          <w:sz w:val="18"/>
          <w:szCs w:val="26"/>
          <w:rtl/>
        </w:rPr>
        <w:t>2012)،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الصفحة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131].</w:t>
      </w:r>
    </w:p>
  </w:footnote>
  <w:footnote w:id="33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ascii="Traditional Arabic" w:hAnsi="Traditional Arabic"/>
          <w:i/>
          <w:iCs/>
          <w:sz w:val="18"/>
          <w:szCs w:val="26"/>
          <w:rtl/>
        </w:rPr>
        <w:t>فور</w:t>
      </w:r>
      <w:r w:rsidR="00EB56B7">
        <w:rPr>
          <w:rFonts w:ascii="Traditional Arabic" w:hAnsi="Traditional Arabic"/>
          <w:i/>
          <w:iCs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i/>
          <w:iCs/>
          <w:sz w:val="18"/>
          <w:szCs w:val="26"/>
          <w:rtl/>
        </w:rPr>
        <w:t>ضد</w:t>
      </w:r>
      <w:r w:rsidR="00EB56B7">
        <w:rPr>
          <w:rFonts w:ascii="Traditional Arabic" w:hAnsi="Traditional Arabic"/>
          <w:i/>
          <w:iCs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i/>
          <w:iCs/>
          <w:sz w:val="18"/>
          <w:szCs w:val="26"/>
          <w:rtl/>
        </w:rPr>
        <w:t>أستراليا</w:t>
      </w:r>
      <w:r w:rsidRPr="007A1201">
        <w:rPr>
          <w:rFonts w:ascii="Traditional Arabic" w:hAnsi="Traditional Arabic"/>
          <w:sz w:val="18"/>
          <w:szCs w:val="26"/>
          <w:rtl/>
        </w:rPr>
        <w:t>،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الفقرة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7-5.</w:t>
      </w:r>
    </w:p>
  </w:footnote>
  <w:footnote w:id="34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i/>
          <w:iCs/>
          <w:sz w:val="18"/>
          <w:szCs w:val="26"/>
          <w:rtl/>
        </w:rPr>
        <w:t>مايا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ضد</w:t>
      </w:r>
      <w:r w:rsidR="00EB56B7">
        <w:rPr>
          <w:rFonts w:hint="cs"/>
          <w:i/>
          <w:iCs/>
          <w:sz w:val="18"/>
          <w:szCs w:val="26"/>
          <w:rtl/>
        </w:rPr>
        <w:t xml:space="preserve"> </w:t>
      </w:r>
      <w:r w:rsidRPr="007A1201">
        <w:rPr>
          <w:rFonts w:hint="cs"/>
          <w:i/>
          <w:iCs/>
          <w:sz w:val="18"/>
          <w:szCs w:val="26"/>
          <w:rtl/>
        </w:rPr>
        <w:t>نيبال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12-7.</w:t>
      </w:r>
    </w:p>
  </w:footnote>
  <w:footnote w:id="35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انظر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على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سبيل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المثال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</w:rPr>
        <w:t>OHCHR,</w:t>
      </w:r>
      <w:r w:rsidR="00EB56B7">
        <w:rPr>
          <w:rFonts w:hint="cs"/>
          <w:sz w:val="18"/>
          <w:szCs w:val="26"/>
        </w:rPr>
        <w:t xml:space="preserve"> </w:t>
      </w:r>
      <w:r w:rsidRPr="007A1201">
        <w:rPr>
          <w:i/>
          <w:iCs/>
          <w:sz w:val="18"/>
          <w:szCs w:val="26"/>
        </w:rPr>
        <w:t>Nepal</w:t>
      </w:r>
      <w:r w:rsidR="00EB56B7">
        <w:rPr>
          <w:i/>
          <w:iCs/>
          <w:sz w:val="18"/>
          <w:szCs w:val="26"/>
        </w:rPr>
        <w:t xml:space="preserve"> </w:t>
      </w:r>
      <w:r w:rsidRPr="007A1201">
        <w:rPr>
          <w:i/>
          <w:iCs/>
          <w:sz w:val="18"/>
          <w:szCs w:val="26"/>
        </w:rPr>
        <w:t>Conflict</w:t>
      </w:r>
      <w:r w:rsidR="00EB56B7">
        <w:rPr>
          <w:i/>
          <w:iCs/>
          <w:sz w:val="18"/>
          <w:szCs w:val="26"/>
        </w:rPr>
        <w:t xml:space="preserve"> </w:t>
      </w:r>
      <w:r w:rsidRPr="007A1201">
        <w:rPr>
          <w:i/>
          <w:iCs/>
          <w:sz w:val="18"/>
          <w:szCs w:val="26"/>
        </w:rPr>
        <w:t>Report</w:t>
      </w:r>
      <w:r w:rsidRPr="007A1201">
        <w:rPr>
          <w:sz w:val="18"/>
          <w:szCs w:val="26"/>
        </w:rPr>
        <w:t>,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p.</w:t>
      </w:r>
      <w:r w:rsidR="00EB56B7">
        <w:rPr>
          <w:sz w:val="18"/>
          <w:szCs w:val="26"/>
        </w:rPr>
        <w:t xml:space="preserve"> </w:t>
      </w:r>
      <w:r w:rsidRPr="007A1201">
        <w:rPr>
          <w:sz w:val="18"/>
          <w:szCs w:val="26"/>
        </w:rPr>
        <w:t>165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[على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سبيل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المثال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مفوّضية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الأمم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المتحدة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السامية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لحقوق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الإنسان،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تقرير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عن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النزاع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في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نيبال،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sz w:val="18"/>
          <w:szCs w:val="26"/>
          <w:rtl/>
        </w:rPr>
        <w:t>الصفحة</w:t>
      </w:r>
      <w:r w:rsidR="00EB56B7">
        <w:rPr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165].</w:t>
      </w:r>
    </w:p>
  </w:footnote>
  <w:footnote w:id="36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rFonts w:ascii="Traditional Arabic" w:hAnsi="Traditional Arabic"/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ascii="Traditional Arabic" w:hAnsi="Traditional Arabic"/>
          <w:sz w:val="18"/>
          <w:szCs w:val="26"/>
          <w:rtl/>
        </w:rPr>
        <w:t>انظر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</w:rPr>
        <w:t>CCPR/C/NPL/CO/2</w:t>
      </w:r>
      <w:r w:rsidRPr="007A1201">
        <w:rPr>
          <w:rFonts w:ascii="Traditional Arabic" w:hAnsi="Traditional Arabic"/>
          <w:sz w:val="18"/>
          <w:szCs w:val="26"/>
          <w:rtl/>
        </w:rPr>
        <w:t>،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الفقرة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13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حيث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أعربت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اللجنة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عن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قلقها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إزاء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عدم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إحراز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تقدم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في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إلغاء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فترة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التقادم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المحددة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في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35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يوم</w:t>
      </w:r>
      <w:r w:rsidR="00BB4EF6">
        <w:rPr>
          <w:rFonts w:ascii="Traditional Arabic" w:hAnsi="Traditional Arabic"/>
          <w:sz w:val="18"/>
          <w:szCs w:val="26"/>
          <w:rtl/>
        </w:rPr>
        <w:t>اً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لتقديم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شكاوى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 w:hint="cs"/>
          <w:sz w:val="18"/>
          <w:szCs w:val="26"/>
          <w:rtl/>
        </w:rPr>
        <w:t>الاغتصاب؛</w:t>
      </w:r>
      <w:r w:rsidR="00EB56B7">
        <w:rPr>
          <w:rFonts w:ascii="Traditional Arabic" w:hAnsi="Traditional Arabic" w:hint="cs"/>
          <w:i/>
          <w:iCs/>
          <w:sz w:val="18"/>
          <w:szCs w:val="26"/>
          <w:rtl/>
        </w:rPr>
        <w:t xml:space="preserve"> </w:t>
      </w:r>
      <w:proofErr w:type="spellStart"/>
      <w:r w:rsidRPr="007A1201">
        <w:rPr>
          <w:rFonts w:ascii="Traditional Arabic" w:hAnsi="Traditional Arabic" w:hint="cs"/>
          <w:i/>
          <w:iCs/>
          <w:sz w:val="18"/>
          <w:szCs w:val="26"/>
          <w:rtl/>
        </w:rPr>
        <w:t>مهارجا</w:t>
      </w:r>
      <w:r w:rsidRPr="007A1201">
        <w:rPr>
          <w:rFonts w:ascii="Traditional Arabic" w:hAnsi="Traditional Arabic"/>
          <w:i/>
          <w:iCs/>
          <w:sz w:val="18"/>
          <w:szCs w:val="26"/>
          <w:rtl/>
        </w:rPr>
        <w:t>ن</w:t>
      </w:r>
      <w:proofErr w:type="spellEnd"/>
      <w:r w:rsidR="00EB56B7">
        <w:rPr>
          <w:rFonts w:ascii="Traditional Arabic" w:hAnsi="Traditional Arabic"/>
          <w:i/>
          <w:iCs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i/>
          <w:iCs/>
          <w:sz w:val="18"/>
          <w:szCs w:val="26"/>
          <w:rtl/>
        </w:rPr>
        <w:t>وآخرون</w:t>
      </w:r>
      <w:r w:rsidR="00EB56B7">
        <w:rPr>
          <w:rFonts w:ascii="Traditional Arabic" w:hAnsi="Traditional Arabic"/>
          <w:i/>
          <w:iCs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i/>
          <w:iCs/>
          <w:sz w:val="18"/>
          <w:szCs w:val="26"/>
          <w:rtl/>
        </w:rPr>
        <w:t>ضد</w:t>
      </w:r>
      <w:r w:rsidR="00EB56B7">
        <w:rPr>
          <w:rFonts w:ascii="Traditional Arabic" w:hAnsi="Traditional Arabic"/>
          <w:i/>
          <w:iCs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i/>
          <w:iCs/>
          <w:sz w:val="18"/>
          <w:szCs w:val="26"/>
          <w:rtl/>
        </w:rPr>
        <w:t>نيبال</w:t>
      </w:r>
      <w:r w:rsidRPr="007A1201">
        <w:rPr>
          <w:rFonts w:ascii="Traditional Arabic" w:hAnsi="Traditional Arabic"/>
          <w:sz w:val="18"/>
          <w:szCs w:val="26"/>
          <w:rtl/>
        </w:rPr>
        <w:t>،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الفقرة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7-6؛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و</w:t>
      </w:r>
      <w:r w:rsidRPr="007A1201">
        <w:rPr>
          <w:rFonts w:ascii="Traditional Arabic" w:hAnsi="Traditional Arabic"/>
          <w:i/>
          <w:iCs/>
          <w:sz w:val="18"/>
          <w:szCs w:val="26"/>
          <w:rtl/>
        </w:rPr>
        <w:t>مايا</w:t>
      </w:r>
      <w:r w:rsidR="00EB56B7">
        <w:rPr>
          <w:rFonts w:ascii="Traditional Arabic" w:hAnsi="Traditional Arabic"/>
          <w:i/>
          <w:iCs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i/>
          <w:iCs/>
          <w:sz w:val="18"/>
          <w:szCs w:val="26"/>
          <w:rtl/>
        </w:rPr>
        <w:t>ضد</w:t>
      </w:r>
      <w:r w:rsidR="00EB56B7">
        <w:rPr>
          <w:rFonts w:ascii="Traditional Arabic" w:hAnsi="Traditional Arabic"/>
          <w:i/>
          <w:iCs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i/>
          <w:iCs/>
          <w:sz w:val="18"/>
          <w:szCs w:val="26"/>
          <w:rtl/>
        </w:rPr>
        <w:t>نيبال</w:t>
      </w:r>
      <w:r w:rsidRPr="007A1201">
        <w:rPr>
          <w:rFonts w:ascii="Traditional Arabic" w:hAnsi="Traditional Arabic"/>
          <w:sz w:val="18"/>
          <w:szCs w:val="26"/>
          <w:rtl/>
        </w:rPr>
        <w:t>،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الفقرة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12-5.</w:t>
      </w:r>
    </w:p>
  </w:footnote>
  <w:footnote w:id="37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rStyle w:val="FootnoteReference"/>
          <w:rFonts w:ascii="Traditional Arabic" w:hAnsi="Traditional Arabic"/>
          <w:szCs w:val="26"/>
          <w:vertAlign w:val="baseline"/>
          <w:rtl/>
        </w:rPr>
      </w:pPr>
      <w:r w:rsidRPr="007A1201">
        <w:rPr>
          <w:rStyle w:val="FootnoteReference"/>
          <w:rFonts w:ascii="Traditional Arabic" w:hAnsi="Traditional Arabic"/>
          <w:szCs w:val="26"/>
          <w:vertAlign w:val="baseline"/>
          <w:rtl/>
        </w:rPr>
        <w:t>(</w:t>
      </w:r>
      <w:r w:rsidRPr="007A1201">
        <w:rPr>
          <w:rStyle w:val="FootnoteReference"/>
          <w:rFonts w:ascii="Traditional Arabic" w:hAnsi="Traditional Arabic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rFonts w:ascii="Traditional Arabic" w:hAnsi="Traditional Arabic"/>
          <w:szCs w:val="26"/>
          <w:vertAlign w:val="baseline"/>
          <w:rtl/>
        </w:rPr>
        <w:t>)</w:t>
      </w:r>
      <w:r w:rsidR="007A1201" w:rsidRPr="007A1201">
        <w:rPr>
          <w:rStyle w:val="FootnoteReference"/>
          <w:rFonts w:ascii="Traditional Arabic" w:hAnsi="Traditional Arabic"/>
          <w:szCs w:val="26"/>
          <w:vertAlign w:val="baseline"/>
          <w:rtl/>
        </w:rPr>
        <w:tab/>
      </w:r>
      <w:r w:rsidRPr="007A1201">
        <w:rPr>
          <w:rFonts w:ascii="Traditional Arabic" w:hAnsi="Traditional Arabic"/>
          <w:sz w:val="18"/>
          <w:szCs w:val="26"/>
          <w:rtl/>
        </w:rPr>
        <w:t>المادة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229</w:t>
      </w:r>
      <w:r w:rsidR="007A1201" w:rsidRPr="007A1201">
        <w:rPr>
          <w:rFonts w:ascii="Traditional Arabic" w:hAnsi="Traditional Arabic"/>
          <w:sz w:val="18"/>
          <w:szCs w:val="26"/>
          <w:rtl/>
        </w:rPr>
        <w:t>(</w:t>
      </w:r>
      <w:r w:rsidRPr="007A1201">
        <w:rPr>
          <w:rFonts w:ascii="Traditional Arabic" w:hAnsi="Traditional Arabic"/>
          <w:sz w:val="18"/>
          <w:szCs w:val="26"/>
          <w:rtl/>
        </w:rPr>
        <w:t>2)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من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الفصل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18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من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قانون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العقوبات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النيبالي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الجديد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لعام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2017</w:t>
      </w:r>
      <w:r w:rsidR="00EB56B7">
        <w:rPr>
          <w:rFonts w:ascii="Traditional Arabic" w:hAnsi="Traditional Arabic" w:hint="cs"/>
          <w:sz w:val="18"/>
          <w:szCs w:val="26"/>
          <w:rtl/>
        </w:rPr>
        <w:t>،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الذي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دخل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حيز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النفاذ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في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آب/أغسطس</w:t>
      </w:r>
      <w:r w:rsidR="00EB56B7">
        <w:rPr>
          <w:rFonts w:ascii="Traditional Arabic" w:hAnsi="Traditional Arabic"/>
          <w:sz w:val="18"/>
          <w:szCs w:val="26"/>
          <w:rtl/>
        </w:rPr>
        <w:t xml:space="preserve"> </w:t>
      </w:r>
      <w:r w:rsidRPr="007A1201">
        <w:rPr>
          <w:rFonts w:ascii="Traditional Arabic" w:hAnsi="Traditional Arabic"/>
          <w:sz w:val="18"/>
          <w:szCs w:val="26"/>
          <w:rtl/>
        </w:rPr>
        <w:t>2018.</w:t>
      </w:r>
    </w:p>
  </w:footnote>
  <w:footnote w:id="38">
    <w:p w:rsidR="00D10415" w:rsidRPr="007A1201" w:rsidRDefault="00D10415" w:rsidP="007A1201">
      <w:pPr>
        <w:pStyle w:val="FootnoteText"/>
        <w:spacing w:after="60" w:line="300" w:lineRule="exact"/>
        <w:ind w:left="1247" w:right="1247" w:hanging="567"/>
        <w:rPr>
          <w:sz w:val="18"/>
          <w:szCs w:val="26"/>
          <w:rtl/>
        </w:rPr>
      </w:pPr>
      <w:r w:rsidRPr="007A1201">
        <w:rPr>
          <w:rStyle w:val="FootnoteReference"/>
          <w:szCs w:val="26"/>
          <w:vertAlign w:val="baseline"/>
          <w:rtl/>
        </w:rPr>
        <w:t>(</w:t>
      </w:r>
      <w:r w:rsidRPr="007A1201">
        <w:rPr>
          <w:rStyle w:val="FootnoteReference"/>
          <w:szCs w:val="26"/>
          <w:vertAlign w:val="baseline"/>
          <w:rtl/>
        </w:rPr>
        <w:footnoteRef/>
      </w:r>
      <w:r w:rsidR="007A1201" w:rsidRPr="007A1201">
        <w:rPr>
          <w:rStyle w:val="FootnoteReference"/>
          <w:szCs w:val="26"/>
          <w:vertAlign w:val="baseline"/>
          <w:rtl/>
        </w:rPr>
        <w:t>)</w:t>
      </w:r>
      <w:r w:rsidR="007A1201" w:rsidRPr="007A1201">
        <w:rPr>
          <w:rStyle w:val="FootnoteReference"/>
          <w:szCs w:val="26"/>
          <w:vertAlign w:val="baseline"/>
          <w:rtl/>
        </w:rPr>
        <w:tab/>
      </w:r>
      <w:r w:rsidRPr="007A1201">
        <w:rPr>
          <w:rFonts w:hint="cs"/>
          <w:sz w:val="18"/>
          <w:szCs w:val="26"/>
          <w:rtl/>
        </w:rPr>
        <w:t>انظر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sz w:val="18"/>
          <w:szCs w:val="26"/>
        </w:rPr>
        <w:t>CCPR/C/NPL/CO/2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13.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انظر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أيض</w:t>
      </w:r>
      <w:r w:rsidR="00BB4EF6">
        <w:rPr>
          <w:rFonts w:hint="cs"/>
          <w:sz w:val="18"/>
          <w:szCs w:val="26"/>
          <w:rtl/>
        </w:rPr>
        <w:t>اً</w:t>
      </w:r>
      <w:r w:rsidR="00EB56B7">
        <w:rPr>
          <w:rFonts w:hint="cs"/>
          <w:sz w:val="18"/>
          <w:szCs w:val="26"/>
          <w:rtl/>
        </w:rPr>
        <w:t xml:space="preserve"> </w:t>
      </w:r>
      <w:r w:rsidRPr="00356621">
        <w:rPr>
          <w:spacing w:val="-4"/>
          <w:sz w:val="18"/>
          <w:szCs w:val="26"/>
        </w:rPr>
        <w:t>International</w:t>
      </w:r>
      <w:r w:rsidR="00EB56B7">
        <w:rPr>
          <w:spacing w:val="-4"/>
          <w:sz w:val="18"/>
          <w:szCs w:val="26"/>
        </w:rPr>
        <w:t xml:space="preserve"> </w:t>
      </w:r>
      <w:r w:rsidRPr="00356621">
        <w:rPr>
          <w:spacing w:val="-4"/>
          <w:sz w:val="18"/>
          <w:szCs w:val="26"/>
        </w:rPr>
        <w:t>Criminal</w:t>
      </w:r>
      <w:r w:rsidR="00EB56B7">
        <w:rPr>
          <w:spacing w:val="-4"/>
          <w:sz w:val="18"/>
          <w:szCs w:val="26"/>
        </w:rPr>
        <w:t xml:space="preserve"> </w:t>
      </w:r>
      <w:r w:rsidRPr="00356621">
        <w:rPr>
          <w:spacing w:val="-4"/>
          <w:sz w:val="18"/>
          <w:szCs w:val="26"/>
        </w:rPr>
        <w:t>Tribunal</w:t>
      </w:r>
      <w:r w:rsidR="00EB56B7">
        <w:rPr>
          <w:spacing w:val="-4"/>
          <w:sz w:val="18"/>
          <w:szCs w:val="26"/>
        </w:rPr>
        <w:t xml:space="preserve"> </w:t>
      </w:r>
      <w:r w:rsidRPr="00356621">
        <w:rPr>
          <w:spacing w:val="-4"/>
          <w:sz w:val="18"/>
          <w:szCs w:val="26"/>
        </w:rPr>
        <w:t>for</w:t>
      </w:r>
      <w:r w:rsidR="00EB56B7">
        <w:rPr>
          <w:spacing w:val="-4"/>
          <w:sz w:val="18"/>
          <w:szCs w:val="26"/>
        </w:rPr>
        <w:t xml:space="preserve"> </w:t>
      </w:r>
      <w:r w:rsidRPr="00356621">
        <w:rPr>
          <w:spacing w:val="-4"/>
          <w:sz w:val="18"/>
          <w:szCs w:val="26"/>
        </w:rPr>
        <w:t>the</w:t>
      </w:r>
      <w:r w:rsidR="00EB56B7">
        <w:rPr>
          <w:spacing w:val="-4"/>
          <w:sz w:val="18"/>
          <w:szCs w:val="26"/>
        </w:rPr>
        <w:t xml:space="preserve"> </w:t>
      </w:r>
      <w:r w:rsidRPr="00356621">
        <w:rPr>
          <w:spacing w:val="-4"/>
          <w:sz w:val="18"/>
          <w:szCs w:val="26"/>
        </w:rPr>
        <w:t>former</w:t>
      </w:r>
      <w:r w:rsidR="00EB56B7">
        <w:rPr>
          <w:spacing w:val="-4"/>
          <w:sz w:val="18"/>
          <w:szCs w:val="26"/>
        </w:rPr>
        <w:t xml:space="preserve"> </w:t>
      </w:r>
      <w:r w:rsidRPr="00356621">
        <w:rPr>
          <w:spacing w:val="-4"/>
          <w:sz w:val="18"/>
          <w:szCs w:val="26"/>
        </w:rPr>
        <w:t>Yugoslavia</w:t>
      </w:r>
      <w:r w:rsidRPr="00356621">
        <w:rPr>
          <w:rFonts w:hint="cs"/>
          <w:spacing w:val="-4"/>
          <w:sz w:val="18"/>
          <w:szCs w:val="26"/>
        </w:rPr>
        <w:t>,</w:t>
      </w:r>
      <w:r w:rsidR="00EB56B7">
        <w:rPr>
          <w:rFonts w:hint="cs"/>
          <w:spacing w:val="-4"/>
          <w:sz w:val="18"/>
          <w:szCs w:val="26"/>
        </w:rPr>
        <w:t xml:space="preserve"> </w:t>
      </w:r>
      <w:r w:rsidRPr="00356621">
        <w:rPr>
          <w:i/>
          <w:iCs/>
          <w:spacing w:val="-4"/>
          <w:sz w:val="18"/>
          <w:szCs w:val="26"/>
        </w:rPr>
        <w:t>Prosecutor</w:t>
      </w:r>
      <w:r w:rsidR="00EB56B7">
        <w:rPr>
          <w:i/>
          <w:iCs/>
          <w:spacing w:val="-4"/>
          <w:sz w:val="18"/>
          <w:szCs w:val="26"/>
        </w:rPr>
        <w:t xml:space="preserve"> </w:t>
      </w:r>
      <w:r w:rsidRPr="00356621">
        <w:rPr>
          <w:i/>
          <w:iCs/>
          <w:spacing w:val="-4"/>
          <w:sz w:val="18"/>
          <w:szCs w:val="26"/>
        </w:rPr>
        <w:t>v.</w:t>
      </w:r>
      <w:r w:rsidR="00EB56B7">
        <w:rPr>
          <w:i/>
          <w:iCs/>
          <w:spacing w:val="-4"/>
          <w:sz w:val="18"/>
          <w:szCs w:val="26"/>
        </w:rPr>
        <w:t xml:space="preserve"> </w:t>
      </w:r>
      <w:proofErr w:type="spellStart"/>
      <w:r w:rsidRPr="00356621">
        <w:rPr>
          <w:i/>
          <w:iCs/>
          <w:spacing w:val="-4"/>
          <w:sz w:val="18"/>
          <w:szCs w:val="26"/>
        </w:rPr>
        <w:t>Furundzija</w:t>
      </w:r>
      <w:proofErr w:type="spellEnd"/>
      <w:r w:rsidRPr="00356621">
        <w:rPr>
          <w:i/>
          <w:iCs/>
          <w:spacing w:val="-4"/>
          <w:sz w:val="18"/>
          <w:szCs w:val="26"/>
        </w:rPr>
        <w:t>,</w:t>
      </w:r>
      <w:r w:rsidR="00EB56B7">
        <w:rPr>
          <w:i/>
          <w:iCs/>
          <w:spacing w:val="-4"/>
          <w:sz w:val="18"/>
          <w:szCs w:val="26"/>
        </w:rPr>
        <w:t xml:space="preserve"> </w:t>
      </w:r>
      <w:r w:rsidRPr="00356621">
        <w:rPr>
          <w:spacing w:val="-4"/>
          <w:sz w:val="18"/>
          <w:szCs w:val="26"/>
        </w:rPr>
        <w:t>case</w:t>
      </w:r>
      <w:r w:rsidR="00EB56B7">
        <w:rPr>
          <w:spacing w:val="-4"/>
          <w:sz w:val="18"/>
          <w:szCs w:val="26"/>
        </w:rPr>
        <w:t xml:space="preserve"> </w:t>
      </w:r>
      <w:r w:rsidRPr="00356621">
        <w:rPr>
          <w:spacing w:val="-4"/>
          <w:sz w:val="18"/>
          <w:szCs w:val="26"/>
        </w:rPr>
        <w:t>No.</w:t>
      </w:r>
      <w:r w:rsidR="00EB56B7">
        <w:rPr>
          <w:spacing w:val="-4"/>
          <w:sz w:val="18"/>
          <w:szCs w:val="26"/>
        </w:rPr>
        <w:t xml:space="preserve"> </w:t>
      </w:r>
      <w:r w:rsidRPr="00356621">
        <w:rPr>
          <w:spacing w:val="-4"/>
          <w:sz w:val="18"/>
          <w:szCs w:val="26"/>
        </w:rPr>
        <w:t>IT-95-17/1-T</w:t>
      </w:r>
      <w:r w:rsidR="00EB56B7">
        <w:rPr>
          <w:spacing w:val="-4"/>
          <w:sz w:val="18"/>
          <w:szCs w:val="26"/>
        </w:rPr>
        <w:t xml:space="preserve"> </w:t>
      </w:r>
      <w:r w:rsidRPr="00356621">
        <w:rPr>
          <w:spacing w:val="-4"/>
          <w:sz w:val="18"/>
          <w:szCs w:val="26"/>
        </w:rPr>
        <w:t>judgment</w:t>
      </w:r>
      <w:r w:rsidR="00EB56B7">
        <w:rPr>
          <w:spacing w:val="-4"/>
          <w:sz w:val="18"/>
          <w:szCs w:val="26"/>
        </w:rPr>
        <w:t xml:space="preserve"> </w:t>
      </w:r>
      <w:r w:rsidRPr="00356621">
        <w:rPr>
          <w:spacing w:val="-4"/>
          <w:sz w:val="18"/>
          <w:szCs w:val="26"/>
        </w:rPr>
        <w:t>of</w:t>
      </w:r>
      <w:r w:rsidR="00EB56B7">
        <w:rPr>
          <w:spacing w:val="-4"/>
          <w:sz w:val="18"/>
          <w:szCs w:val="26"/>
        </w:rPr>
        <w:t xml:space="preserve"> </w:t>
      </w:r>
      <w:r w:rsidRPr="00356621">
        <w:rPr>
          <w:spacing w:val="-4"/>
          <w:sz w:val="18"/>
          <w:szCs w:val="26"/>
        </w:rPr>
        <w:t>10</w:t>
      </w:r>
      <w:r w:rsidR="00EB56B7">
        <w:rPr>
          <w:spacing w:val="-4"/>
          <w:sz w:val="18"/>
          <w:szCs w:val="26"/>
        </w:rPr>
        <w:t xml:space="preserve"> </w:t>
      </w:r>
      <w:r w:rsidRPr="00356621">
        <w:rPr>
          <w:spacing w:val="-4"/>
          <w:sz w:val="18"/>
          <w:szCs w:val="26"/>
        </w:rPr>
        <w:t>December</w:t>
      </w:r>
      <w:r w:rsidR="00EB56B7">
        <w:rPr>
          <w:spacing w:val="-4"/>
          <w:sz w:val="18"/>
          <w:szCs w:val="26"/>
        </w:rPr>
        <w:t xml:space="preserve"> </w:t>
      </w:r>
      <w:r w:rsidRPr="00356621">
        <w:rPr>
          <w:spacing w:val="-4"/>
          <w:sz w:val="18"/>
          <w:szCs w:val="26"/>
        </w:rPr>
        <w:t>1998,</w:t>
      </w:r>
      <w:r w:rsidR="00EB56B7">
        <w:rPr>
          <w:spacing w:val="-4"/>
          <w:sz w:val="18"/>
          <w:szCs w:val="26"/>
        </w:rPr>
        <w:t xml:space="preserve"> </w:t>
      </w:r>
      <w:r w:rsidRPr="00356621">
        <w:rPr>
          <w:spacing w:val="-4"/>
          <w:sz w:val="18"/>
          <w:szCs w:val="26"/>
        </w:rPr>
        <w:t>para.</w:t>
      </w:r>
      <w:r w:rsidR="00EB56B7">
        <w:rPr>
          <w:spacing w:val="-4"/>
          <w:sz w:val="18"/>
          <w:szCs w:val="26"/>
        </w:rPr>
        <w:t xml:space="preserve"> </w:t>
      </w:r>
      <w:r w:rsidRPr="00356621">
        <w:rPr>
          <w:spacing w:val="-4"/>
          <w:sz w:val="18"/>
          <w:szCs w:val="26"/>
        </w:rPr>
        <w:t>155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[</w:t>
      </w:r>
      <w:r w:rsidRPr="00356621">
        <w:rPr>
          <w:rFonts w:hint="cs"/>
          <w:spacing w:val="-4"/>
          <w:sz w:val="18"/>
          <w:szCs w:val="26"/>
          <w:rtl/>
        </w:rPr>
        <w:t>المحكمة</w:t>
      </w:r>
      <w:r w:rsidR="00EB56B7">
        <w:rPr>
          <w:rFonts w:hint="cs"/>
          <w:spacing w:val="-4"/>
          <w:sz w:val="18"/>
          <w:szCs w:val="26"/>
          <w:rtl/>
        </w:rPr>
        <w:t xml:space="preserve"> </w:t>
      </w:r>
      <w:r w:rsidRPr="00356621">
        <w:rPr>
          <w:rFonts w:hint="cs"/>
          <w:spacing w:val="-4"/>
          <w:sz w:val="18"/>
          <w:szCs w:val="26"/>
          <w:rtl/>
        </w:rPr>
        <w:t>الجنائية</w:t>
      </w:r>
      <w:r w:rsidR="00EB56B7">
        <w:rPr>
          <w:rFonts w:hint="cs"/>
          <w:spacing w:val="-4"/>
          <w:sz w:val="18"/>
          <w:szCs w:val="26"/>
          <w:rtl/>
        </w:rPr>
        <w:t xml:space="preserve"> </w:t>
      </w:r>
      <w:r w:rsidRPr="00356621">
        <w:rPr>
          <w:rFonts w:hint="cs"/>
          <w:spacing w:val="-4"/>
          <w:sz w:val="18"/>
          <w:szCs w:val="26"/>
          <w:rtl/>
        </w:rPr>
        <w:t>الدولية</w:t>
      </w:r>
      <w:r w:rsidR="00EB56B7">
        <w:rPr>
          <w:rFonts w:hint="cs"/>
          <w:spacing w:val="-4"/>
          <w:sz w:val="18"/>
          <w:szCs w:val="26"/>
          <w:rtl/>
        </w:rPr>
        <w:t xml:space="preserve"> </w:t>
      </w:r>
      <w:r w:rsidRPr="00356621">
        <w:rPr>
          <w:rFonts w:hint="cs"/>
          <w:spacing w:val="-4"/>
          <w:sz w:val="18"/>
          <w:szCs w:val="26"/>
          <w:rtl/>
        </w:rPr>
        <w:t>ليوغوسلافيا</w:t>
      </w:r>
      <w:r w:rsidR="00EB56B7">
        <w:rPr>
          <w:rFonts w:hint="cs"/>
          <w:spacing w:val="-4"/>
          <w:sz w:val="18"/>
          <w:szCs w:val="26"/>
          <w:rtl/>
        </w:rPr>
        <w:t xml:space="preserve"> </w:t>
      </w:r>
      <w:r w:rsidRPr="00356621">
        <w:rPr>
          <w:rFonts w:hint="cs"/>
          <w:spacing w:val="-4"/>
          <w:sz w:val="18"/>
          <w:szCs w:val="26"/>
          <w:rtl/>
        </w:rPr>
        <w:t>السابقة،</w:t>
      </w:r>
      <w:r w:rsidR="00EB56B7">
        <w:rPr>
          <w:rFonts w:hint="cs"/>
          <w:spacing w:val="-4"/>
          <w:sz w:val="18"/>
          <w:szCs w:val="26"/>
          <w:rtl/>
        </w:rPr>
        <w:t xml:space="preserve"> </w:t>
      </w:r>
      <w:r w:rsidRPr="00356621">
        <w:rPr>
          <w:rFonts w:hint="cs"/>
          <w:i/>
          <w:iCs/>
          <w:spacing w:val="-4"/>
          <w:sz w:val="18"/>
          <w:szCs w:val="26"/>
          <w:rtl/>
        </w:rPr>
        <w:t>المدعي</w:t>
      </w:r>
      <w:r w:rsidR="00EB56B7">
        <w:rPr>
          <w:rFonts w:hint="cs"/>
          <w:i/>
          <w:iCs/>
          <w:spacing w:val="-4"/>
          <w:sz w:val="18"/>
          <w:szCs w:val="26"/>
          <w:rtl/>
        </w:rPr>
        <w:t xml:space="preserve"> </w:t>
      </w:r>
      <w:r w:rsidRPr="00356621">
        <w:rPr>
          <w:rFonts w:hint="cs"/>
          <w:i/>
          <w:iCs/>
          <w:spacing w:val="-4"/>
          <w:sz w:val="18"/>
          <w:szCs w:val="26"/>
          <w:rtl/>
        </w:rPr>
        <w:t>العام</w:t>
      </w:r>
      <w:r w:rsidR="00EB56B7">
        <w:rPr>
          <w:rFonts w:hint="cs"/>
          <w:i/>
          <w:iCs/>
          <w:spacing w:val="-4"/>
          <w:sz w:val="18"/>
          <w:szCs w:val="26"/>
          <w:rtl/>
        </w:rPr>
        <w:t xml:space="preserve"> </w:t>
      </w:r>
      <w:r w:rsidRPr="00356621">
        <w:rPr>
          <w:rFonts w:hint="cs"/>
          <w:i/>
          <w:iCs/>
          <w:spacing w:val="-4"/>
          <w:sz w:val="18"/>
          <w:szCs w:val="26"/>
          <w:rtl/>
        </w:rPr>
        <w:t>ضد</w:t>
      </w:r>
      <w:r w:rsidR="00EB56B7">
        <w:rPr>
          <w:rFonts w:hint="cs"/>
          <w:i/>
          <w:iCs/>
          <w:spacing w:val="-4"/>
          <w:sz w:val="18"/>
          <w:szCs w:val="26"/>
          <w:rtl/>
        </w:rPr>
        <w:t xml:space="preserve"> </w:t>
      </w:r>
      <w:r w:rsidRPr="00356621">
        <w:rPr>
          <w:rFonts w:hint="cs"/>
          <w:i/>
          <w:iCs/>
          <w:spacing w:val="-4"/>
          <w:sz w:val="18"/>
          <w:szCs w:val="26"/>
          <w:rtl/>
        </w:rPr>
        <w:t>رادوفان</w:t>
      </w:r>
      <w:r w:rsidR="00EB56B7">
        <w:rPr>
          <w:rFonts w:hint="cs"/>
          <w:i/>
          <w:iCs/>
          <w:spacing w:val="-4"/>
          <w:sz w:val="18"/>
          <w:szCs w:val="26"/>
          <w:rtl/>
        </w:rPr>
        <w:t xml:space="preserve"> </w:t>
      </w:r>
      <w:proofErr w:type="spellStart"/>
      <w:r w:rsidRPr="00356621">
        <w:rPr>
          <w:rFonts w:hint="cs"/>
          <w:i/>
          <w:iCs/>
          <w:spacing w:val="-4"/>
          <w:sz w:val="18"/>
          <w:szCs w:val="26"/>
          <w:rtl/>
        </w:rPr>
        <w:t>كارادزيتش</w:t>
      </w:r>
      <w:proofErr w:type="spellEnd"/>
      <w:r w:rsidRPr="00356621">
        <w:rPr>
          <w:rFonts w:hint="cs"/>
          <w:spacing w:val="-4"/>
          <w:sz w:val="18"/>
          <w:szCs w:val="26"/>
          <w:rtl/>
        </w:rPr>
        <w:t>،</w:t>
      </w:r>
      <w:r w:rsidR="00EB56B7">
        <w:rPr>
          <w:rFonts w:hint="cs"/>
          <w:spacing w:val="-4"/>
          <w:sz w:val="18"/>
          <w:szCs w:val="26"/>
          <w:rtl/>
        </w:rPr>
        <w:t xml:space="preserve"> </w:t>
      </w:r>
      <w:r w:rsidRPr="00356621">
        <w:rPr>
          <w:rFonts w:hint="cs"/>
          <w:spacing w:val="-4"/>
          <w:sz w:val="18"/>
          <w:szCs w:val="26"/>
          <w:rtl/>
        </w:rPr>
        <w:t>القضية</w:t>
      </w:r>
      <w:r w:rsidR="00EB56B7">
        <w:rPr>
          <w:rFonts w:hint="cs"/>
          <w:spacing w:val="-4"/>
          <w:sz w:val="18"/>
          <w:szCs w:val="26"/>
          <w:rtl/>
        </w:rPr>
        <w:t xml:space="preserve"> </w:t>
      </w:r>
      <w:r w:rsidRPr="00356621">
        <w:rPr>
          <w:rFonts w:hint="cs"/>
          <w:spacing w:val="-4"/>
          <w:sz w:val="18"/>
          <w:szCs w:val="26"/>
          <w:rtl/>
        </w:rPr>
        <w:t>رقم</w:t>
      </w:r>
      <w:r w:rsidR="00EB56B7">
        <w:rPr>
          <w:rFonts w:hint="eastAsia"/>
          <w:sz w:val="18"/>
          <w:szCs w:val="26"/>
          <w:rtl/>
          <w:lang w:bidi="ar-DZ"/>
        </w:rPr>
        <w:t xml:space="preserve"> </w:t>
      </w:r>
      <w:r w:rsidR="00415A52" w:rsidRPr="007A1201">
        <w:rPr>
          <w:sz w:val="18"/>
          <w:szCs w:val="26"/>
        </w:rPr>
        <w:t>IT-95-17/1-T</w:t>
      </w:r>
      <w:r w:rsidRPr="007A1201">
        <w:rPr>
          <w:rFonts w:hint="cs"/>
          <w:sz w:val="18"/>
          <w:szCs w:val="26"/>
          <w:rtl/>
        </w:rPr>
        <w:t>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الحكم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الصادر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في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10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كانون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الأول/ديسمبر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1998،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الفقرة</w:t>
      </w:r>
      <w:r w:rsidR="00EB56B7">
        <w:rPr>
          <w:rFonts w:hint="cs"/>
          <w:sz w:val="18"/>
          <w:szCs w:val="26"/>
          <w:rtl/>
        </w:rPr>
        <w:t xml:space="preserve"> </w:t>
      </w:r>
      <w:r w:rsidRPr="007A1201">
        <w:rPr>
          <w:rFonts w:hint="cs"/>
          <w:sz w:val="18"/>
          <w:szCs w:val="26"/>
          <w:rtl/>
        </w:rPr>
        <w:t>155].</w:t>
      </w:r>
      <w:r w:rsidRPr="007A1201">
        <w:rPr>
          <w:sz w:val="18"/>
          <w:szCs w:val="26"/>
        </w:rPr>
        <w:t>‬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15" w:rsidRPr="006D5AFA" w:rsidRDefault="00D10415" w:rsidP="006D5AFA">
    <w:pPr>
      <w:pStyle w:val="Header"/>
      <w:jc w:val="right"/>
    </w:pPr>
    <w:r w:rsidRPr="006D5AFA">
      <w:t>CCPR/C/125/D/2556/2015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15" w:rsidRPr="006D5AFA" w:rsidRDefault="00D10415" w:rsidP="006D5AFA">
    <w:pPr>
      <w:pStyle w:val="Header"/>
      <w:jc w:val="left"/>
    </w:pPr>
    <w:r w:rsidRPr="006D5AFA">
      <w:t>CCPR/C/125/D/2556/2015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8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1"/>
  </w:num>
  <w:num w:numId="9">
    <w:abstractNumId w:val="7"/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6B47EF"/>
    <w:rsid w:val="000076D5"/>
    <w:rsid w:val="00043663"/>
    <w:rsid w:val="000437B8"/>
    <w:rsid w:val="000476FA"/>
    <w:rsid w:val="000505CF"/>
    <w:rsid w:val="000B3743"/>
    <w:rsid w:val="000D701C"/>
    <w:rsid w:val="000E2A71"/>
    <w:rsid w:val="000E74B9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2B0931"/>
    <w:rsid w:val="003260FF"/>
    <w:rsid w:val="00343D95"/>
    <w:rsid w:val="00356621"/>
    <w:rsid w:val="00363A18"/>
    <w:rsid w:val="00374341"/>
    <w:rsid w:val="0039792E"/>
    <w:rsid w:val="003D1062"/>
    <w:rsid w:val="00415A52"/>
    <w:rsid w:val="00420D7B"/>
    <w:rsid w:val="004328D7"/>
    <w:rsid w:val="00450B21"/>
    <w:rsid w:val="00453B63"/>
    <w:rsid w:val="00455780"/>
    <w:rsid w:val="004B0A1C"/>
    <w:rsid w:val="004D298E"/>
    <w:rsid w:val="004F7060"/>
    <w:rsid w:val="00517BC9"/>
    <w:rsid w:val="00523A6B"/>
    <w:rsid w:val="00535B25"/>
    <w:rsid w:val="0054472E"/>
    <w:rsid w:val="005662A9"/>
    <w:rsid w:val="005827D4"/>
    <w:rsid w:val="0059622A"/>
    <w:rsid w:val="005C4539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47EF"/>
    <w:rsid w:val="006B6507"/>
    <w:rsid w:val="006C104C"/>
    <w:rsid w:val="006D5AFA"/>
    <w:rsid w:val="00714525"/>
    <w:rsid w:val="00733704"/>
    <w:rsid w:val="0078071A"/>
    <w:rsid w:val="00787E1E"/>
    <w:rsid w:val="007A1201"/>
    <w:rsid w:val="00852A9A"/>
    <w:rsid w:val="008F49E1"/>
    <w:rsid w:val="0090370F"/>
    <w:rsid w:val="009269D2"/>
    <w:rsid w:val="00942135"/>
    <w:rsid w:val="009435F0"/>
    <w:rsid w:val="009521B0"/>
    <w:rsid w:val="0095367D"/>
    <w:rsid w:val="00982139"/>
    <w:rsid w:val="009867A8"/>
    <w:rsid w:val="009A6F82"/>
    <w:rsid w:val="009A7E9F"/>
    <w:rsid w:val="009E5018"/>
    <w:rsid w:val="00A12B37"/>
    <w:rsid w:val="00AB6758"/>
    <w:rsid w:val="00B13763"/>
    <w:rsid w:val="00B477A4"/>
    <w:rsid w:val="00B54045"/>
    <w:rsid w:val="00BB4EF6"/>
    <w:rsid w:val="00BC3FEE"/>
    <w:rsid w:val="00BF70EE"/>
    <w:rsid w:val="00C438D7"/>
    <w:rsid w:val="00C81B50"/>
    <w:rsid w:val="00CB6622"/>
    <w:rsid w:val="00CD1801"/>
    <w:rsid w:val="00CF65C6"/>
    <w:rsid w:val="00D10415"/>
    <w:rsid w:val="00D10EF1"/>
    <w:rsid w:val="00D42810"/>
    <w:rsid w:val="00D7426A"/>
    <w:rsid w:val="00D914A7"/>
    <w:rsid w:val="00DD13C3"/>
    <w:rsid w:val="00DD596E"/>
    <w:rsid w:val="00DD621E"/>
    <w:rsid w:val="00DE50B1"/>
    <w:rsid w:val="00DE5DE4"/>
    <w:rsid w:val="00DF0575"/>
    <w:rsid w:val="00E70E04"/>
    <w:rsid w:val="00EA5A80"/>
    <w:rsid w:val="00EB56B7"/>
    <w:rsid w:val="00EC05A7"/>
    <w:rsid w:val="00EC4B6B"/>
    <w:rsid w:val="00ED7442"/>
    <w:rsid w:val="00EF1EE5"/>
    <w:rsid w:val="00F43C7D"/>
    <w:rsid w:val="00F763B4"/>
    <w:rsid w:val="00F85BFF"/>
    <w:rsid w:val="00F900C3"/>
    <w:rsid w:val="00FC6EDD"/>
    <w:rsid w:val="00FE4684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16B0F32"/>
  <w15:docId w15:val="{26E3921F-2D65-4F48-8144-A6950EBE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,2_G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,2_G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,6_G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,6_G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,Table_G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,7_G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basedOn w:val="DefaultParagraphFont"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MG">
    <w:name w:val="_ H __M_G"/>
    <w:basedOn w:val="Normal"/>
    <w:next w:val="Normal"/>
    <w:rsid w:val="006D5AFA"/>
    <w:pPr>
      <w:keepNext/>
      <w:keepLines/>
      <w:tabs>
        <w:tab w:val="right" w:pos="851"/>
      </w:tabs>
      <w:suppressAutoHyphens/>
      <w:bidi w:val="0"/>
      <w:spacing w:before="240" w:after="240" w:line="360" w:lineRule="exact"/>
      <w:ind w:left="1134" w:right="1134" w:hanging="1134"/>
      <w:jc w:val="left"/>
    </w:pPr>
    <w:rPr>
      <w:rFonts w:cs="Arial"/>
      <w:b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6D5AFA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cs="Arial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6D5AFA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cs="Arial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6D5AF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cs="Arial"/>
      <w:b/>
      <w:szCs w:val="20"/>
      <w:lang w:val="en-GB"/>
    </w:rPr>
  </w:style>
  <w:style w:type="paragraph" w:customStyle="1" w:styleId="H4G">
    <w:name w:val="_ H_4_G"/>
    <w:basedOn w:val="Normal"/>
    <w:next w:val="Normal"/>
    <w:rsid w:val="006D5AF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cs="Arial"/>
      <w:i/>
      <w:szCs w:val="20"/>
      <w:lang w:val="en-GB"/>
    </w:rPr>
  </w:style>
  <w:style w:type="paragraph" w:customStyle="1" w:styleId="H56G">
    <w:name w:val="_ H_5/6_G"/>
    <w:basedOn w:val="Normal"/>
    <w:next w:val="Normal"/>
    <w:rsid w:val="006D5AF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cs="Arial"/>
      <w:szCs w:val="20"/>
      <w:lang w:val="en-GB"/>
    </w:rPr>
  </w:style>
  <w:style w:type="paragraph" w:customStyle="1" w:styleId="SingleTxtG">
    <w:name w:val="_ Single Txt_G"/>
    <w:basedOn w:val="Normal"/>
    <w:rsid w:val="006D5AFA"/>
    <w:pPr>
      <w:suppressAutoHyphens/>
      <w:bidi w:val="0"/>
      <w:spacing w:after="120"/>
      <w:ind w:left="1134" w:right="1134"/>
      <w:jc w:val="both"/>
    </w:pPr>
    <w:rPr>
      <w:rFonts w:eastAsia="SimSun" w:cs="Arial"/>
      <w:szCs w:val="20"/>
      <w:lang w:val="en-GB" w:eastAsia="zh-CN"/>
    </w:rPr>
  </w:style>
  <w:style w:type="paragraph" w:customStyle="1" w:styleId="SLG">
    <w:name w:val="__S_L_G"/>
    <w:basedOn w:val="Normal"/>
    <w:next w:val="Normal"/>
    <w:rsid w:val="006D5AFA"/>
    <w:pPr>
      <w:keepNext/>
      <w:keepLines/>
      <w:suppressAutoHyphens/>
      <w:bidi w:val="0"/>
      <w:spacing w:before="240" w:after="240" w:line="580" w:lineRule="exact"/>
      <w:ind w:left="1134" w:right="1134"/>
      <w:jc w:val="left"/>
    </w:pPr>
    <w:rPr>
      <w:rFonts w:cs="Arial"/>
      <w:b/>
      <w:sz w:val="56"/>
      <w:szCs w:val="20"/>
      <w:lang w:val="en-GB"/>
    </w:rPr>
  </w:style>
  <w:style w:type="paragraph" w:customStyle="1" w:styleId="SMG">
    <w:name w:val="__S_M_G"/>
    <w:basedOn w:val="Normal"/>
    <w:next w:val="Normal"/>
    <w:rsid w:val="006D5AFA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cs="Arial"/>
      <w:b/>
      <w:sz w:val="40"/>
      <w:szCs w:val="20"/>
      <w:lang w:val="en-GB"/>
    </w:rPr>
  </w:style>
  <w:style w:type="paragraph" w:customStyle="1" w:styleId="SSG">
    <w:name w:val="__S_S_G"/>
    <w:basedOn w:val="Normal"/>
    <w:next w:val="Normal"/>
    <w:rsid w:val="006D5AFA"/>
    <w:pPr>
      <w:keepNext/>
      <w:keepLines/>
      <w:suppressAutoHyphens/>
      <w:bidi w:val="0"/>
      <w:spacing w:before="240" w:after="240" w:line="300" w:lineRule="exact"/>
      <w:ind w:left="1134" w:right="1134"/>
      <w:jc w:val="left"/>
    </w:pPr>
    <w:rPr>
      <w:rFonts w:cs="Arial"/>
      <w:b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6D5AFA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cs="Arial"/>
      <w:b/>
      <w:sz w:val="40"/>
      <w:szCs w:val="20"/>
      <w:lang w:val="en-GB"/>
    </w:rPr>
  </w:style>
  <w:style w:type="paragraph" w:customStyle="1" w:styleId="Bullet1G">
    <w:name w:val="_Bullet 1_G"/>
    <w:basedOn w:val="Normal"/>
    <w:rsid w:val="006D5AFA"/>
    <w:pPr>
      <w:numPr>
        <w:numId w:val="12"/>
      </w:numPr>
      <w:suppressAutoHyphens/>
      <w:bidi w:val="0"/>
      <w:spacing w:after="120"/>
      <w:ind w:right="1134"/>
      <w:jc w:val="both"/>
    </w:pPr>
    <w:rPr>
      <w:rFonts w:cs="Arial"/>
      <w:szCs w:val="20"/>
      <w:lang w:val="en-GB"/>
    </w:rPr>
  </w:style>
  <w:style w:type="paragraph" w:customStyle="1" w:styleId="Bullet2G">
    <w:name w:val="_Bullet 2_G"/>
    <w:basedOn w:val="Normal"/>
    <w:rsid w:val="006D5AFA"/>
    <w:pPr>
      <w:numPr>
        <w:numId w:val="13"/>
      </w:numPr>
      <w:suppressAutoHyphens/>
      <w:bidi w:val="0"/>
      <w:spacing w:after="120"/>
      <w:ind w:right="1134"/>
      <w:jc w:val="both"/>
    </w:pPr>
    <w:rPr>
      <w:rFonts w:cs="Arial"/>
      <w:szCs w:val="20"/>
      <w:lang w:val="en-GB"/>
    </w:rPr>
  </w:style>
  <w:style w:type="paragraph" w:customStyle="1" w:styleId="ParaNoG">
    <w:name w:val="_ParaNo._G"/>
    <w:basedOn w:val="SingleTxtG"/>
    <w:rsid w:val="006D5AFA"/>
    <w:pPr>
      <w:numPr>
        <w:numId w:val="14"/>
      </w:numPr>
    </w:pPr>
  </w:style>
  <w:style w:type="numbering" w:styleId="111111">
    <w:name w:val="Outline List 2"/>
    <w:basedOn w:val="NoList"/>
    <w:semiHidden/>
    <w:rsid w:val="006D5AFA"/>
    <w:pPr>
      <w:numPr>
        <w:numId w:val="16"/>
      </w:numPr>
    </w:pPr>
  </w:style>
  <w:style w:type="numbering" w:styleId="1ai">
    <w:name w:val="Outline List 1"/>
    <w:basedOn w:val="NoList"/>
    <w:semiHidden/>
    <w:rsid w:val="006D5AFA"/>
    <w:pPr>
      <w:numPr>
        <w:numId w:val="17"/>
      </w:numPr>
    </w:pPr>
  </w:style>
  <w:style w:type="character" w:customStyle="1" w:styleId="systranseg">
    <w:name w:val="systran_seg"/>
    <w:basedOn w:val="DefaultParagraphFont"/>
    <w:rsid w:val="006D5AFA"/>
  </w:style>
  <w:style w:type="character" w:customStyle="1" w:styleId="systrantokenword">
    <w:name w:val="systran_token_word"/>
    <w:basedOn w:val="DefaultParagraphFont"/>
    <w:rsid w:val="006D5AFA"/>
  </w:style>
  <w:style w:type="character" w:customStyle="1" w:styleId="systrantokenpunctuation">
    <w:name w:val="systran_token_punctuation"/>
    <w:basedOn w:val="DefaultParagraphFont"/>
    <w:rsid w:val="006D5AFA"/>
  </w:style>
  <w:style w:type="character" w:customStyle="1" w:styleId="systrantokennumeric">
    <w:name w:val="systran_token_numeric"/>
    <w:basedOn w:val="DefaultParagraphFont"/>
    <w:rsid w:val="006D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B1D5-B826-4DAC-A6C6-2991850D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16</Pages>
  <Words>5771</Words>
  <Characters>28973</Characters>
  <Application>Microsoft Office Word</Application>
  <DocSecurity>0</DocSecurity>
  <Lines>804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CCPR/C/125/D/2556/2015</vt:lpstr>
    </vt:vector>
  </TitlesOfParts>
  <Company>DCM</Company>
  <LinksUpToDate>false</LinksUpToDate>
  <CharactersWithSpaces>34135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CCPR/C/125/D/2556/2015</dc:title>
  <dc:subject>GE.1909373A</dc:subject>
  <dc:creator>MBU, MAB</dc:creator>
  <cp:keywords>ODS No.1915571</cp:keywords>
  <dc:description>Distribution: General_x000d_
Original: English_x000d_
Date: 11 June 2019</dc:description>
  <cp:lastModifiedBy>Ibrahim Balan</cp:lastModifiedBy>
  <cp:revision>2</cp:revision>
  <cp:lastPrinted>2019-12-16T11:20:00Z</cp:lastPrinted>
  <dcterms:created xsi:type="dcterms:W3CDTF">2019-12-16T15:40:00Z</dcterms:created>
  <dcterms:modified xsi:type="dcterms:W3CDTF">2019-12-16T15:40:00Z</dcterms:modified>
  <cp:category>Finale</cp:category>
</cp:coreProperties>
</file>