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6F71EA" w:rsidRPr="00DB58B5" w:rsidTr="002B7BC7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6F71EA" w:rsidRPr="00DB58B5" w:rsidRDefault="006F71EA" w:rsidP="00C8550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F71EA" w:rsidRPr="00DB58B5" w:rsidRDefault="006F71EA" w:rsidP="002B7BC7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6F71EA" w:rsidRPr="00DB58B5" w:rsidRDefault="00C85506" w:rsidP="00C85506">
            <w:pPr>
              <w:jc w:val="right"/>
            </w:pPr>
            <w:r w:rsidRPr="00C85506">
              <w:rPr>
                <w:sz w:val="40"/>
              </w:rPr>
              <w:t>CCPR</w:t>
            </w:r>
            <w:r>
              <w:t>/C/119/D/2593/2015</w:t>
            </w:r>
          </w:p>
        </w:tc>
      </w:tr>
      <w:tr w:rsidR="006F71EA" w:rsidRPr="00DB58B5" w:rsidTr="002B7BC7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6F71EA" w:rsidRPr="00DB58B5" w:rsidRDefault="006F71EA" w:rsidP="002B7BC7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9130B62" wp14:editId="1AA895D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F71EA" w:rsidRPr="00AB51C8" w:rsidRDefault="006F71EA" w:rsidP="002B7BC7">
            <w:pPr>
              <w:spacing w:before="120" w:line="380" w:lineRule="exact"/>
              <w:rPr>
                <w:b/>
                <w:sz w:val="34"/>
                <w:szCs w:val="34"/>
              </w:rPr>
            </w:pPr>
            <w:r w:rsidRPr="00AB51C8">
              <w:rPr>
                <w:b/>
                <w:sz w:val="34"/>
                <w:szCs w:val="34"/>
              </w:rPr>
              <w:t>Pacte international relatif</w:t>
            </w:r>
            <w:r w:rsidRPr="00AB51C8">
              <w:rPr>
                <w:b/>
                <w:sz w:val="34"/>
                <w:szCs w:val="34"/>
              </w:rPr>
              <w:br/>
              <w:t>aux droits civils et politiques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6F71EA" w:rsidRDefault="00C85506" w:rsidP="002B7BC7">
            <w:pPr>
              <w:spacing w:before="240"/>
            </w:pPr>
            <w:r>
              <w:t>Distr. générale</w:t>
            </w:r>
          </w:p>
          <w:p w:rsidR="00C85506" w:rsidRDefault="00C85506" w:rsidP="00C85506">
            <w:pPr>
              <w:spacing w:line="240" w:lineRule="exact"/>
            </w:pPr>
            <w:r>
              <w:t>12 mai 2017</w:t>
            </w:r>
          </w:p>
          <w:p w:rsidR="00C85506" w:rsidRDefault="00C85506" w:rsidP="00C85506">
            <w:pPr>
              <w:spacing w:line="240" w:lineRule="exact"/>
            </w:pPr>
            <w:r>
              <w:t>Français</w:t>
            </w:r>
          </w:p>
          <w:p w:rsidR="00C85506" w:rsidRPr="00DB58B5" w:rsidRDefault="00C85506" w:rsidP="00C85506">
            <w:pPr>
              <w:spacing w:line="240" w:lineRule="exact"/>
            </w:pPr>
            <w:r>
              <w:t>Original : anglais</w:t>
            </w:r>
          </w:p>
        </w:tc>
      </w:tr>
    </w:tbl>
    <w:p w:rsidR="006F71EA" w:rsidRDefault="006F71EA" w:rsidP="006F71EA">
      <w:pPr>
        <w:spacing w:before="120"/>
        <w:rPr>
          <w:b/>
          <w:sz w:val="24"/>
          <w:szCs w:val="24"/>
        </w:rPr>
      </w:pPr>
      <w:r w:rsidRPr="00DF3BF1">
        <w:rPr>
          <w:b/>
          <w:sz w:val="24"/>
          <w:szCs w:val="24"/>
        </w:rPr>
        <w:t>Comité des droits de l’homme</w:t>
      </w:r>
    </w:p>
    <w:p w:rsidR="00E85C42" w:rsidRDefault="00EA5BC0" w:rsidP="00EA5BC0">
      <w:pPr>
        <w:pStyle w:val="HChG"/>
      </w:pPr>
      <w:r w:rsidRPr="00233D47">
        <w:tab/>
      </w:r>
      <w:r w:rsidRPr="00233D47">
        <w:tab/>
      </w:r>
      <w:r>
        <w:t>Constatations adoptées par le Comité au titre de l’</w:t>
      </w:r>
      <w:r>
        <w:t xml:space="preserve">article </w:t>
      </w:r>
      <w:r>
        <w:t>5 (</w:t>
      </w:r>
      <w:r w:rsidR="00F52D13">
        <w:t>par. </w:t>
      </w:r>
      <w:r>
        <w:t>4) du Protocole facultatif, concernant la c</w:t>
      </w:r>
      <w:r w:rsidRPr="00233D47">
        <w:t>ommunication</w:t>
      </w:r>
      <w:r>
        <w:t xml:space="preserve"> </w:t>
      </w:r>
      <w:r w:rsidRPr="00233D47">
        <w:rPr>
          <w:rFonts w:eastAsia="MS Mincho"/>
        </w:rPr>
        <w:t>n</w:t>
      </w:r>
      <w:r w:rsidRPr="00233D47">
        <w:rPr>
          <w:rFonts w:eastAsia="MS Mincho"/>
          <w:vertAlign w:val="superscript"/>
        </w:rPr>
        <w:t>o</w:t>
      </w:r>
      <w:r>
        <w:t> 2593/2015</w:t>
      </w:r>
      <w:r w:rsidRPr="00EA5BC0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  <w:r w:rsidRPr="00EA5BC0">
        <w:rPr>
          <w:b w:val="0"/>
          <w:sz w:val="20"/>
          <w:vertAlign w:val="superscript"/>
        </w:rPr>
        <w:t>,</w:t>
      </w:r>
      <w:r w:rsidRPr="00EA5BC0">
        <w:rPr>
          <w:b w:val="0"/>
        </w:rPr>
        <w:t xml:space="preserve"> </w:t>
      </w:r>
      <w:r w:rsidRPr="009E2D51">
        <w:rPr>
          <w:rStyle w:val="Appelnotedebasdep"/>
          <w:b w:val="0"/>
          <w:sz w:val="20"/>
          <w:vertAlign w:val="baseline"/>
        </w:rPr>
        <w:footnoteReference w:customMarkFollows="1" w:id="3"/>
        <w:t>**</w:t>
      </w:r>
    </w:p>
    <w:tbl>
      <w:tblPr>
        <w:tblStyle w:val="Grilledutableau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969"/>
      </w:tblGrid>
      <w:tr w:rsidR="00870218" w:rsidRPr="00EA5BC0" w:rsidTr="008D305C">
        <w:tc>
          <w:tcPr>
            <w:tcW w:w="2835" w:type="dxa"/>
          </w:tcPr>
          <w:p w:rsidR="00870218" w:rsidRPr="00EA5BC0" w:rsidRDefault="00366EE4" w:rsidP="00744464">
            <w:pPr>
              <w:pStyle w:val="SingleTxtG"/>
              <w:spacing w:line="238" w:lineRule="exact"/>
              <w:ind w:left="0" w:right="0"/>
              <w:jc w:val="left"/>
              <w:rPr>
                <w:i/>
              </w:rPr>
            </w:pPr>
            <w:r w:rsidRPr="00EA5BC0">
              <w:rPr>
                <w:i/>
              </w:rPr>
              <w:t>Communication présentée par</w:t>
            </w:r>
            <w:r w:rsidRPr="00EA5BC0">
              <w:rPr>
                <w:i/>
              </w:rPr>
              <w:t> </w:t>
            </w:r>
            <w:r w:rsidRPr="00EA5BC0">
              <w:t>:</w:t>
            </w:r>
          </w:p>
        </w:tc>
        <w:tc>
          <w:tcPr>
            <w:tcW w:w="3969" w:type="dxa"/>
          </w:tcPr>
          <w:p w:rsidR="00870218" w:rsidRPr="00EA5BC0" w:rsidRDefault="00366EE4" w:rsidP="00744464">
            <w:pPr>
              <w:pStyle w:val="SingleTxtG"/>
              <w:spacing w:line="238" w:lineRule="exact"/>
              <w:ind w:left="0" w:right="0"/>
              <w:jc w:val="left"/>
            </w:pPr>
            <w:r w:rsidRPr="00EA5BC0">
              <w:rPr>
                <w:lang w:val="fr-FR"/>
              </w:rPr>
              <w:t>M. Z. B. M. (représentée par un conseil, Gunnar</w:t>
            </w:r>
            <w:r w:rsidR="00EA5BC0">
              <w:rPr>
                <w:lang w:val="fr-FR"/>
              </w:rPr>
              <w:t xml:space="preserve"> </w:t>
            </w:r>
            <w:r w:rsidRPr="00EA5BC0">
              <w:rPr>
                <w:lang w:val="fr-FR"/>
              </w:rPr>
              <w:t>Homann)</w:t>
            </w:r>
          </w:p>
        </w:tc>
      </w:tr>
      <w:tr w:rsidR="00870218" w:rsidRPr="00EA5BC0" w:rsidTr="008D305C">
        <w:tc>
          <w:tcPr>
            <w:tcW w:w="2835" w:type="dxa"/>
          </w:tcPr>
          <w:p w:rsidR="00870218" w:rsidRPr="00EA5BC0" w:rsidRDefault="00366EE4" w:rsidP="00744464">
            <w:pPr>
              <w:pStyle w:val="SingleTxtG"/>
              <w:spacing w:line="238" w:lineRule="exact"/>
              <w:ind w:left="0" w:right="0"/>
              <w:jc w:val="left"/>
              <w:rPr>
                <w:i/>
              </w:rPr>
            </w:pPr>
            <w:r w:rsidRPr="00EA5BC0">
              <w:rPr>
                <w:i/>
              </w:rPr>
              <w:t>Au nom de</w:t>
            </w:r>
            <w:r w:rsidRPr="00EA5BC0">
              <w:rPr>
                <w:i/>
              </w:rPr>
              <w:t> </w:t>
            </w:r>
            <w:r w:rsidRPr="00EA5BC0">
              <w:t>:</w:t>
            </w:r>
          </w:p>
        </w:tc>
        <w:tc>
          <w:tcPr>
            <w:tcW w:w="3969" w:type="dxa"/>
          </w:tcPr>
          <w:p w:rsidR="00870218" w:rsidRPr="00EA5BC0" w:rsidRDefault="00366EE4" w:rsidP="00744464">
            <w:pPr>
              <w:pStyle w:val="SingleTxtG"/>
              <w:spacing w:line="238" w:lineRule="exact"/>
              <w:ind w:left="0" w:right="0"/>
              <w:jc w:val="left"/>
            </w:pPr>
            <w:r w:rsidRPr="00EA5BC0">
              <w:t>L</w:t>
            </w:r>
            <w:r w:rsidRPr="00EA5BC0">
              <w:t>’</w:t>
            </w:r>
            <w:r w:rsidRPr="00EA5BC0">
              <w:t>auteure</w:t>
            </w:r>
          </w:p>
        </w:tc>
      </w:tr>
      <w:tr w:rsidR="00870218" w:rsidRPr="00EA5BC0" w:rsidTr="008D305C">
        <w:tc>
          <w:tcPr>
            <w:tcW w:w="2835" w:type="dxa"/>
          </w:tcPr>
          <w:p w:rsidR="00870218" w:rsidRPr="00EA5BC0" w:rsidRDefault="00366EE4" w:rsidP="00744464">
            <w:pPr>
              <w:pStyle w:val="SingleTxtG"/>
              <w:spacing w:line="238" w:lineRule="exact"/>
              <w:ind w:left="0" w:right="0"/>
              <w:jc w:val="left"/>
              <w:rPr>
                <w:i/>
              </w:rPr>
            </w:pPr>
            <w:r w:rsidRPr="00EA5BC0">
              <w:rPr>
                <w:i/>
              </w:rPr>
              <w:t>État partie</w:t>
            </w:r>
            <w:r w:rsidRPr="00EA5BC0">
              <w:rPr>
                <w:i/>
              </w:rPr>
              <w:t> </w:t>
            </w:r>
            <w:r w:rsidRPr="00EA5BC0">
              <w:t>:</w:t>
            </w:r>
          </w:p>
        </w:tc>
        <w:tc>
          <w:tcPr>
            <w:tcW w:w="3969" w:type="dxa"/>
          </w:tcPr>
          <w:p w:rsidR="00870218" w:rsidRPr="00EA5BC0" w:rsidRDefault="00366EE4" w:rsidP="00744464">
            <w:pPr>
              <w:pStyle w:val="SingleTxtG"/>
              <w:spacing w:line="238" w:lineRule="exact"/>
              <w:ind w:left="0" w:right="0"/>
              <w:jc w:val="left"/>
              <w:rPr>
                <w:b/>
              </w:rPr>
            </w:pPr>
            <w:r w:rsidRPr="00EA5BC0">
              <w:t>Danemark</w:t>
            </w:r>
          </w:p>
        </w:tc>
      </w:tr>
      <w:tr w:rsidR="00870218" w:rsidRPr="00EA5BC0" w:rsidTr="008D305C">
        <w:tc>
          <w:tcPr>
            <w:tcW w:w="2835" w:type="dxa"/>
          </w:tcPr>
          <w:p w:rsidR="00870218" w:rsidRPr="00EA5BC0" w:rsidRDefault="00366EE4" w:rsidP="00744464">
            <w:pPr>
              <w:pStyle w:val="SingleTxtG"/>
              <w:spacing w:line="238" w:lineRule="exact"/>
              <w:ind w:left="0" w:right="0"/>
              <w:jc w:val="left"/>
              <w:rPr>
                <w:i/>
              </w:rPr>
            </w:pPr>
            <w:r w:rsidRPr="00EA5BC0">
              <w:rPr>
                <w:i/>
              </w:rPr>
              <w:t>Date de la communication</w:t>
            </w:r>
            <w:r w:rsidRPr="00EA5BC0">
              <w:rPr>
                <w:i/>
              </w:rPr>
              <w:t> </w:t>
            </w:r>
            <w:r w:rsidRPr="00EA5BC0">
              <w:t>:</w:t>
            </w:r>
          </w:p>
        </w:tc>
        <w:tc>
          <w:tcPr>
            <w:tcW w:w="3969" w:type="dxa"/>
          </w:tcPr>
          <w:p w:rsidR="00870218" w:rsidRPr="00EA5BC0" w:rsidRDefault="00366EE4" w:rsidP="00744464">
            <w:pPr>
              <w:pStyle w:val="SingleTxtG"/>
              <w:spacing w:line="238" w:lineRule="exact"/>
              <w:ind w:left="0" w:right="0"/>
              <w:jc w:val="left"/>
            </w:pPr>
            <w:r w:rsidRPr="00EA5BC0">
              <w:t>31 </w:t>
            </w:r>
            <w:r w:rsidRPr="00EA5BC0">
              <w:t>mars 2015</w:t>
            </w:r>
            <w:r w:rsidRPr="00EA5BC0">
              <w:t xml:space="preserve"> (date de la lettre initiale)</w:t>
            </w:r>
            <w:r w:rsidRPr="00EA5BC0">
              <w:t xml:space="preserve"> </w:t>
            </w:r>
          </w:p>
        </w:tc>
      </w:tr>
      <w:tr w:rsidR="00870218" w:rsidRPr="00EA5BC0" w:rsidTr="008D305C">
        <w:tc>
          <w:tcPr>
            <w:tcW w:w="2835" w:type="dxa"/>
          </w:tcPr>
          <w:p w:rsidR="00870218" w:rsidRPr="00EA5BC0" w:rsidRDefault="00366EE4" w:rsidP="00744464">
            <w:pPr>
              <w:pStyle w:val="SingleTxtG"/>
              <w:spacing w:line="238" w:lineRule="exact"/>
              <w:ind w:left="0" w:right="0"/>
              <w:jc w:val="left"/>
              <w:rPr>
                <w:i/>
              </w:rPr>
            </w:pPr>
            <w:r w:rsidRPr="00EA5BC0">
              <w:rPr>
                <w:i/>
              </w:rPr>
              <w:t>Références</w:t>
            </w:r>
            <w:r w:rsidRPr="00EA5BC0">
              <w:rPr>
                <w:i/>
              </w:rPr>
              <w:t> </w:t>
            </w:r>
            <w:r w:rsidRPr="00EA5BC0">
              <w:t>:</w:t>
            </w:r>
          </w:p>
        </w:tc>
        <w:tc>
          <w:tcPr>
            <w:tcW w:w="3969" w:type="dxa"/>
          </w:tcPr>
          <w:p w:rsidR="00870218" w:rsidRPr="00EA5BC0" w:rsidRDefault="00366EE4" w:rsidP="00744464">
            <w:pPr>
              <w:pStyle w:val="SingleTxtG"/>
              <w:spacing w:line="238" w:lineRule="exact"/>
              <w:ind w:left="0" w:right="0"/>
              <w:jc w:val="left"/>
            </w:pPr>
            <w:r w:rsidRPr="00EA5BC0">
              <w:t xml:space="preserve">Décision prise </w:t>
            </w:r>
            <w:r w:rsidRPr="00EA5BC0">
              <w:t>en</w:t>
            </w:r>
            <w:r w:rsidR="00EA5BC0">
              <w:t xml:space="preserve"> </w:t>
            </w:r>
            <w:r w:rsidRPr="00EA5BC0">
              <w:t xml:space="preserve">application des </w:t>
            </w:r>
            <w:r w:rsidR="00EA5BC0">
              <w:t xml:space="preserve">articles </w:t>
            </w:r>
            <w:r w:rsidRPr="00EA5BC0">
              <w:t>92 et 97 du règlement intérieur</w:t>
            </w:r>
            <w:r w:rsidRPr="00EA5BC0">
              <w:t xml:space="preserve"> du Comité</w:t>
            </w:r>
            <w:r w:rsidRPr="00EA5BC0">
              <w:t>, communiquée à l</w:t>
            </w:r>
            <w:r w:rsidRPr="00EA5BC0">
              <w:t>’</w:t>
            </w:r>
            <w:r w:rsidRPr="00EA5BC0">
              <w:t>État partie le 1</w:t>
            </w:r>
            <w:r w:rsidRPr="00EA5BC0">
              <w:rPr>
                <w:vertAlign w:val="superscript"/>
              </w:rPr>
              <w:t>er</w:t>
            </w:r>
            <w:r w:rsidR="00F52D13">
              <w:t> </w:t>
            </w:r>
            <w:r w:rsidRPr="00EA5BC0">
              <w:t>avril 2015 (non pu</w:t>
            </w:r>
            <w:r w:rsidRPr="00EA5BC0">
              <w:t>bliée sous forme de document)</w:t>
            </w:r>
          </w:p>
        </w:tc>
      </w:tr>
      <w:tr w:rsidR="00870218" w:rsidRPr="00EA5BC0" w:rsidTr="008D305C">
        <w:tc>
          <w:tcPr>
            <w:tcW w:w="2835" w:type="dxa"/>
          </w:tcPr>
          <w:p w:rsidR="00870218" w:rsidRPr="00EA5BC0" w:rsidRDefault="00366EE4" w:rsidP="00744464">
            <w:pPr>
              <w:pStyle w:val="SingleTxtG"/>
              <w:spacing w:line="238" w:lineRule="exact"/>
              <w:ind w:left="0" w:right="0"/>
              <w:jc w:val="left"/>
              <w:rPr>
                <w:i/>
              </w:rPr>
            </w:pPr>
            <w:r w:rsidRPr="00EA5BC0">
              <w:rPr>
                <w:i/>
              </w:rPr>
              <w:t>Date de</w:t>
            </w:r>
            <w:r w:rsidRPr="00EA5BC0">
              <w:rPr>
                <w:i/>
              </w:rPr>
              <w:t>s constatations </w:t>
            </w:r>
            <w:r w:rsidRPr="00EA5BC0">
              <w:t>:</w:t>
            </w:r>
          </w:p>
        </w:tc>
        <w:tc>
          <w:tcPr>
            <w:tcW w:w="3969" w:type="dxa"/>
          </w:tcPr>
          <w:p w:rsidR="00870218" w:rsidRPr="00EA5BC0" w:rsidRDefault="00366EE4" w:rsidP="00744464">
            <w:pPr>
              <w:pStyle w:val="SingleTxtG"/>
              <w:spacing w:line="238" w:lineRule="exact"/>
              <w:ind w:left="0" w:right="0"/>
              <w:jc w:val="left"/>
            </w:pPr>
            <w:r w:rsidRPr="00EA5BC0">
              <w:rPr>
                <w:lang w:val="fr-FR"/>
              </w:rPr>
              <w:t>20</w:t>
            </w:r>
            <w:r w:rsidR="00F52D13">
              <w:rPr>
                <w:lang w:val="fr-FR"/>
              </w:rPr>
              <w:t> </w:t>
            </w:r>
            <w:r w:rsidRPr="00EA5BC0">
              <w:t>mars</w:t>
            </w:r>
            <w:r w:rsidR="00EA5BC0">
              <w:rPr>
                <w:lang w:val="fr-FR"/>
              </w:rPr>
              <w:t xml:space="preserve"> </w:t>
            </w:r>
            <w:r w:rsidRPr="00EA5BC0">
              <w:rPr>
                <w:lang w:val="fr-FR"/>
              </w:rPr>
              <w:t>2017</w:t>
            </w:r>
          </w:p>
        </w:tc>
      </w:tr>
      <w:tr w:rsidR="00870218" w:rsidRPr="00EA5BC0" w:rsidTr="008D305C">
        <w:tc>
          <w:tcPr>
            <w:tcW w:w="2835" w:type="dxa"/>
          </w:tcPr>
          <w:p w:rsidR="00870218" w:rsidRPr="00EA5BC0" w:rsidRDefault="00366EE4" w:rsidP="00744464">
            <w:pPr>
              <w:pStyle w:val="SingleTxtG"/>
              <w:spacing w:line="238" w:lineRule="exact"/>
              <w:ind w:left="0" w:right="0"/>
              <w:jc w:val="left"/>
              <w:rPr>
                <w:i/>
              </w:rPr>
            </w:pPr>
            <w:r w:rsidRPr="00EA5BC0">
              <w:rPr>
                <w:i/>
              </w:rPr>
              <w:t>Objet</w:t>
            </w:r>
            <w:r w:rsidRPr="00EA5BC0">
              <w:rPr>
                <w:i/>
              </w:rPr>
              <w:t> </w:t>
            </w:r>
            <w:r w:rsidRPr="00EA5BC0">
              <w:t>:</w:t>
            </w:r>
          </w:p>
        </w:tc>
        <w:tc>
          <w:tcPr>
            <w:tcW w:w="3969" w:type="dxa"/>
          </w:tcPr>
          <w:p w:rsidR="00870218" w:rsidRPr="00EA5BC0" w:rsidRDefault="00366EE4" w:rsidP="00744464">
            <w:pPr>
              <w:pStyle w:val="SingleTxtG"/>
              <w:spacing w:line="238" w:lineRule="exact"/>
              <w:ind w:left="0" w:right="0"/>
              <w:jc w:val="left"/>
            </w:pPr>
            <w:r w:rsidRPr="00EA5BC0">
              <w:rPr>
                <w:iCs/>
                <w:lang w:val="fr-FR"/>
              </w:rPr>
              <w:t>Expulsion d</w:t>
            </w:r>
            <w:r w:rsidRPr="00EA5BC0">
              <w:rPr>
                <w:iCs/>
                <w:lang w:val="fr-FR"/>
              </w:rPr>
              <w:t>’</w:t>
            </w:r>
            <w:r w:rsidRPr="00EA5BC0">
              <w:rPr>
                <w:iCs/>
                <w:lang w:val="fr-FR"/>
              </w:rPr>
              <w:t>une femme transgenre vers la</w:t>
            </w:r>
            <w:r w:rsidR="00744464">
              <w:rPr>
                <w:iCs/>
                <w:lang w:val="fr-FR"/>
              </w:rPr>
              <w:t> </w:t>
            </w:r>
            <w:r w:rsidRPr="00EA5BC0">
              <w:t>Malaisie</w:t>
            </w:r>
          </w:p>
        </w:tc>
      </w:tr>
      <w:tr w:rsidR="00870218" w:rsidRPr="00EA5BC0" w:rsidTr="008D305C">
        <w:tc>
          <w:tcPr>
            <w:tcW w:w="2835" w:type="dxa"/>
          </w:tcPr>
          <w:p w:rsidR="00870218" w:rsidRPr="00EA5BC0" w:rsidRDefault="00366EE4" w:rsidP="00744464">
            <w:pPr>
              <w:pStyle w:val="SingleTxtG"/>
              <w:spacing w:line="238" w:lineRule="exact"/>
              <w:ind w:left="0" w:right="0"/>
              <w:jc w:val="left"/>
              <w:rPr>
                <w:i/>
              </w:rPr>
            </w:pPr>
            <w:r w:rsidRPr="00EA5BC0">
              <w:rPr>
                <w:i/>
              </w:rPr>
              <w:t>Questions de procédure</w:t>
            </w:r>
            <w:r w:rsidRPr="00EA5BC0">
              <w:rPr>
                <w:i/>
              </w:rPr>
              <w:t> </w:t>
            </w:r>
            <w:r w:rsidRPr="00EA5BC0">
              <w:t>:</w:t>
            </w:r>
          </w:p>
        </w:tc>
        <w:tc>
          <w:tcPr>
            <w:tcW w:w="3969" w:type="dxa"/>
          </w:tcPr>
          <w:p w:rsidR="00870218" w:rsidRPr="00EA5BC0" w:rsidRDefault="00366EE4" w:rsidP="00744464">
            <w:pPr>
              <w:pStyle w:val="SingleTxtG"/>
              <w:spacing w:line="238" w:lineRule="exact"/>
              <w:ind w:left="0" w:right="0"/>
              <w:jc w:val="left"/>
            </w:pPr>
            <w:r w:rsidRPr="00EA5BC0">
              <w:t>Griefs</w:t>
            </w:r>
            <w:r w:rsidRPr="00EA5BC0">
              <w:rPr>
                <w:lang w:val="fr-FR"/>
              </w:rPr>
              <w:t xml:space="preserve"> </w:t>
            </w:r>
            <w:r w:rsidRPr="00EA5BC0">
              <w:rPr>
                <w:lang w:val="fr-FR"/>
              </w:rPr>
              <w:t xml:space="preserve">non fondés ; irrecevabilité </w:t>
            </w:r>
            <w:r w:rsidRPr="00EA5BC0">
              <w:rPr>
                <w:i/>
                <w:lang w:val="fr-FR"/>
              </w:rPr>
              <w:t>ratione loci</w:t>
            </w:r>
            <w:r w:rsidRPr="00EA5BC0">
              <w:rPr>
                <w:lang w:val="fr-FR"/>
              </w:rPr>
              <w:t xml:space="preserve"> et</w:t>
            </w:r>
            <w:r w:rsidR="00744464">
              <w:rPr>
                <w:lang w:val="fr-FR"/>
              </w:rPr>
              <w:t> </w:t>
            </w:r>
            <w:r w:rsidRPr="00EA5BC0">
              <w:rPr>
                <w:i/>
                <w:lang w:val="fr-FR"/>
              </w:rPr>
              <w:t>ratione materiae</w:t>
            </w:r>
          </w:p>
        </w:tc>
      </w:tr>
      <w:tr w:rsidR="00870218" w:rsidRPr="00EA5BC0" w:rsidTr="008D305C">
        <w:tc>
          <w:tcPr>
            <w:tcW w:w="2835" w:type="dxa"/>
          </w:tcPr>
          <w:p w:rsidR="00870218" w:rsidRPr="00EA5BC0" w:rsidRDefault="00366EE4" w:rsidP="00744464">
            <w:pPr>
              <w:pStyle w:val="SingleTxtG"/>
              <w:spacing w:line="238" w:lineRule="exact"/>
              <w:ind w:left="0" w:right="0"/>
              <w:jc w:val="left"/>
              <w:rPr>
                <w:i/>
              </w:rPr>
            </w:pPr>
            <w:r w:rsidRPr="00EA5BC0">
              <w:rPr>
                <w:i/>
              </w:rPr>
              <w:t>Questions de fond</w:t>
            </w:r>
            <w:r w:rsidRPr="00EA5BC0">
              <w:rPr>
                <w:i/>
              </w:rPr>
              <w:t> </w:t>
            </w:r>
            <w:r w:rsidRPr="00EA5BC0">
              <w:t>:</w:t>
            </w:r>
          </w:p>
        </w:tc>
        <w:tc>
          <w:tcPr>
            <w:tcW w:w="3969" w:type="dxa"/>
          </w:tcPr>
          <w:p w:rsidR="00870218" w:rsidRPr="00EA5BC0" w:rsidRDefault="00366EE4" w:rsidP="00744464">
            <w:pPr>
              <w:pStyle w:val="SingleTxtG"/>
              <w:spacing w:line="238" w:lineRule="exact"/>
              <w:ind w:left="0" w:right="0"/>
              <w:jc w:val="left"/>
            </w:pPr>
            <w:r w:rsidRPr="00EA5BC0">
              <w:rPr>
                <w:lang w:val="fr-FR"/>
              </w:rPr>
              <w:t xml:space="preserve">Risque </w:t>
            </w:r>
            <w:r w:rsidRPr="00EA5BC0">
              <w:rPr>
                <w:lang w:val="fr-FR"/>
              </w:rPr>
              <w:t xml:space="preserve">de </w:t>
            </w:r>
            <w:r w:rsidRPr="00EA5BC0">
              <w:rPr>
                <w:lang w:val="fr-FR"/>
              </w:rPr>
              <w:t xml:space="preserve">torture ou de mauvais traitements ; </w:t>
            </w:r>
            <w:r w:rsidRPr="00EA5BC0">
              <w:t>immixtion</w:t>
            </w:r>
            <w:r w:rsidRPr="00EA5BC0">
              <w:rPr>
                <w:lang w:val="fr-FR"/>
              </w:rPr>
              <w:t xml:space="preserve"> arbitraire ou illégale dans la vie privée ; liberté de pensée, de conscience </w:t>
            </w:r>
            <w:r w:rsidR="00744464">
              <w:rPr>
                <w:lang w:val="fr-FR"/>
              </w:rPr>
              <w:br/>
            </w:r>
            <w:r w:rsidRPr="00EA5BC0">
              <w:rPr>
                <w:lang w:val="fr-FR"/>
              </w:rPr>
              <w:t>et de religion ; égalité devant la loi</w:t>
            </w:r>
            <w:r w:rsidRPr="00EA5BC0">
              <w:rPr>
                <w:lang w:val="fr-FR"/>
              </w:rPr>
              <w:t> ;</w:t>
            </w:r>
            <w:r w:rsidRPr="00EA5BC0">
              <w:rPr>
                <w:lang w:val="fr-FR"/>
              </w:rPr>
              <w:t xml:space="preserve"> interdiction de toute discrimination</w:t>
            </w:r>
          </w:p>
        </w:tc>
      </w:tr>
      <w:tr w:rsidR="00870218" w:rsidRPr="00EA5BC0" w:rsidTr="008D305C">
        <w:tc>
          <w:tcPr>
            <w:tcW w:w="2835" w:type="dxa"/>
          </w:tcPr>
          <w:p w:rsidR="00870218" w:rsidRPr="00EA5BC0" w:rsidRDefault="00366EE4" w:rsidP="00744464">
            <w:pPr>
              <w:pStyle w:val="SingleTxtG"/>
              <w:spacing w:line="238" w:lineRule="exact"/>
              <w:ind w:left="0" w:right="0"/>
              <w:jc w:val="left"/>
              <w:rPr>
                <w:i/>
              </w:rPr>
            </w:pPr>
            <w:r w:rsidRPr="00EA5BC0">
              <w:rPr>
                <w:i/>
              </w:rPr>
              <w:t>Articles du Pacte</w:t>
            </w:r>
            <w:r w:rsidRPr="00EA5BC0">
              <w:rPr>
                <w:i/>
              </w:rPr>
              <w:t> </w:t>
            </w:r>
            <w:r w:rsidRPr="00EA5BC0">
              <w:t>:</w:t>
            </w:r>
          </w:p>
        </w:tc>
        <w:tc>
          <w:tcPr>
            <w:tcW w:w="3969" w:type="dxa"/>
          </w:tcPr>
          <w:p w:rsidR="00870218" w:rsidRPr="00EA5BC0" w:rsidRDefault="00366EE4" w:rsidP="00744464">
            <w:pPr>
              <w:pStyle w:val="SingleTxtG"/>
              <w:spacing w:line="238" w:lineRule="exact"/>
              <w:ind w:left="0" w:right="0"/>
              <w:jc w:val="left"/>
            </w:pPr>
            <w:r w:rsidRPr="00EA5BC0">
              <w:rPr>
                <w:lang w:val="fr-FR"/>
              </w:rPr>
              <w:t xml:space="preserve">7, </w:t>
            </w:r>
            <w:r w:rsidRPr="00EA5BC0">
              <w:rPr>
                <w:lang w:val="fr-FR"/>
              </w:rPr>
              <w:t xml:space="preserve">lu </w:t>
            </w:r>
            <w:r w:rsidRPr="00EA5BC0">
              <w:t>conjointement</w:t>
            </w:r>
            <w:r w:rsidRPr="00EA5BC0">
              <w:rPr>
                <w:lang w:val="fr-FR"/>
              </w:rPr>
              <w:t xml:space="preserve"> avec </w:t>
            </w:r>
            <w:r w:rsidRPr="00EA5BC0">
              <w:rPr>
                <w:lang w:val="fr-FR"/>
              </w:rPr>
              <w:t>17</w:t>
            </w:r>
            <w:r w:rsidRPr="00EA5BC0">
              <w:rPr>
                <w:lang w:val="fr-FR"/>
              </w:rPr>
              <w:t xml:space="preserve"> (</w:t>
            </w:r>
            <w:r w:rsidRPr="00EA5BC0">
              <w:rPr>
                <w:lang w:val="fr-FR"/>
              </w:rPr>
              <w:t>par.1</w:t>
            </w:r>
            <w:r w:rsidRPr="00EA5BC0">
              <w:rPr>
                <w:lang w:val="fr-FR"/>
              </w:rPr>
              <w:t>)</w:t>
            </w:r>
            <w:r w:rsidRPr="00EA5BC0">
              <w:rPr>
                <w:lang w:val="fr-FR"/>
              </w:rPr>
              <w:t>, 18</w:t>
            </w:r>
            <w:r w:rsidRPr="00EA5BC0">
              <w:rPr>
                <w:lang w:val="fr-FR"/>
              </w:rPr>
              <w:t xml:space="preserve"> (</w:t>
            </w:r>
            <w:r w:rsidRPr="00EA5BC0">
              <w:rPr>
                <w:lang w:val="fr-FR"/>
              </w:rPr>
              <w:t>par. </w:t>
            </w:r>
            <w:r w:rsidRPr="00EA5BC0">
              <w:rPr>
                <w:lang w:val="fr-FR"/>
              </w:rPr>
              <w:t>1)</w:t>
            </w:r>
            <w:r w:rsidRPr="00EA5BC0">
              <w:rPr>
                <w:lang w:val="fr-FR"/>
              </w:rPr>
              <w:t xml:space="preserve"> et</w:t>
            </w:r>
            <w:r w:rsidR="00744464">
              <w:rPr>
                <w:lang w:val="fr-FR"/>
              </w:rPr>
              <w:t> </w:t>
            </w:r>
            <w:r w:rsidRPr="00EA5BC0">
              <w:rPr>
                <w:lang w:val="fr-FR"/>
              </w:rPr>
              <w:t xml:space="preserve">26 </w:t>
            </w:r>
          </w:p>
        </w:tc>
      </w:tr>
      <w:tr w:rsidR="00870218" w:rsidRPr="00EA5BC0" w:rsidTr="008D305C">
        <w:tc>
          <w:tcPr>
            <w:tcW w:w="2835" w:type="dxa"/>
          </w:tcPr>
          <w:p w:rsidR="00870218" w:rsidRPr="00EA5BC0" w:rsidRDefault="00366EE4" w:rsidP="00744464">
            <w:pPr>
              <w:pStyle w:val="SingleTxtG"/>
              <w:spacing w:line="238" w:lineRule="exact"/>
              <w:ind w:left="0" w:right="0"/>
              <w:jc w:val="left"/>
              <w:rPr>
                <w:i/>
              </w:rPr>
            </w:pPr>
            <w:r w:rsidRPr="00EA5BC0">
              <w:rPr>
                <w:i/>
              </w:rPr>
              <w:t>Article</w:t>
            </w:r>
            <w:r w:rsidRPr="00EA5BC0">
              <w:rPr>
                <w:i/>
              </w:rPr>
              <w:t>s</w:t>
            </w:r>
            <w:r w:rsidRPr="00EA5BC0">
              <w:rPr>
                <w:i/>
              </w:rPr>
              <w:t xml:space="preserve"> du Protocole facultatif</w:t>
            </w:r>
            <w:r w:rsidRPr="00EA5BC0">
              <w:rPr>
                <w:i/>
              </w:rPr>
              <w:t> </w:t>
            </w:r>
            <w:r w:rsidRPr="00EA5BC0">
              <w:t>:</w:t>
            </w:r>
          </w:p>
        </w:tc>
        <w:tc>
          <w:tcPr>
            <w:tcW w:w="3969" w:type="dxa"/>
          </w:tcPr>
          <w:p w:rsidR="00870218" w:rsidRPr="00EA5BC0" w:rsidRDefault="00366EE4" w:rsidP="00744464">
            <w:pPr>
              <w:pStyle w:val="SingleTxtG"/>
              <w:spacing w:line="238" w:lineRule="exact"/>
              <w:ind w:left="0" w:right="0"/>
              <w:jc w:val="left"/>
            </w:pPr>
            <w:r w:rsidRPr="00EA5BC0">
              <w:rPr>
                <w:iCs/>
                <w:lang w:val="fr-FR"/>
              </w:rPr>
              <w:t xml:space="preserve">2 </w:t>
            </w:r>
            <w:r w:rsidRPr="00EA5BC0">
              <w:t>et</w:t>
            </w:r>
            <w:r w:rsidRPr="00EA5BC0">
              <w:rPr>
                <w:iCs/>
                <w:lang w:val="fr-FR"/>
              </w:rPr>
              <w:t xml:space="preserve"> 3</w:t>
            </w:r>
          </w:p>
        </w:tc>
      </w:tr>
    </w:tbl>
    <w:p w:rsidR="00870218" w:rsidRPr="00EA5BC0" w:rsidRDefault="00366EE4" w:rsidP="00EA5BC0">
      <w:pPr>
        <w:pStyle w:val="SingleTxtG"/>
        <w:spacing w:before="240"/>
      </w:pPr>
      <w:r w:rsidRPr="00EA5BC0">
        <w:t>1.1</w:t>
      </w:r>
      <w:r w:rsidRPr="00EA5BC0">
        <w:tab/>
        <w:t>L</w:t>
      </w:r>
      <w:r w:rsidRPr="00EA5BC0">
        <w:t>’</w:t>
      </w:r>
      <w:r w:rsidRPr="00EA5BC0">
        <w:t xml:space="preserve">auteure de la communication est M. Z. B. M., de nationalité malaisienne, née en 1977. </w:t>
      </w:r>
      <w:r w:rsidRPr="00EA5BC0">
        <w:t>Elle affirme que son renvoi forcé en Malaisie violerait les droits qu</w:t>
      </w:r>
      <w:r w:rsidRPr="00EA5BC0">
        <w:t>’</w:t>
      </w:r>
      <w:r w:rsidRPr="00EA5BC0">
        <w:t>elle tient de</w:t>
      </w:r>
      <w:r w:rsidRPr="00EA5BC0">
        <w:t xml:space="preserve"> </w:t>
      </w:r>
      <w:r w:rsidRPr="00EA5BC0">
        <w:t>l</w:t>
      </w:r>
      <w:r w:rsidRPr="00EA5BC0">
        <w:t>’</w:t>
      </w:r>
      <w:r w:rsidR="00EA5BC0">
        <w:t xml:space="preserve">article </w:t>
      </w:r>
      <w:r w:rsidRPr="00EA5BC0">
        <w:t xml:space="preserve">7, </w:t>
      </w:r>
      <w:r w:rsidRPr="00EA5BC0">
        <w:t xml:space="preserve">lu conjointement avec le </w:t>
      </w:r>
      <w:r w:rsidR="00EA5BC0">
        <w:t xml:space="preserve">paragraphe </w:t>
      </w:r>
      <w:r w:rsidRPr="00EA5BC0">
        <w:t>1 de l</w:t>
      </w:r>
      <w:r w:rsidRPr="00EA5BC0">
        <w:t>’</w:t>
      </w:r>
      <w:r w:rsidR="00EA5BC0">
        <w:t xml:space="preserve">article </w:t>
      </w:r>
      <w:r w:rsidRPr="00EA5BC0">
        <w:t xml:space="preserve">17, le </w:t>
      </w:r>
      <w:r w:rsidR="00EA5BC0">
        <w:t xml:space="preserve">paragraphe </w:t>
      </w:r>
      <w:r w:rsidRPr="00EA5BC0">
        <w:t>1 de l</w:t>
      </w:r>
      <w:r w:rsidRPr="00EA5BC0">
        <w:t>’</w:t>
      </w:r>
      <w:r w:rsidR="00EA5BC0">
        <w:t xml:space="preserve">article </w:t>
      </w:r>
      <w:r w:rsidRPr="00EA5BC0">
        <w:t>18</w:t>
      </w:r>
      <w:r w:rsidRPr="00EA5BC0">
        <w:t xml:space="preserve"> et l</w:t>
      </w:r>
      <w:r w:rsidRPr="00EA5BC0">
        <w:t>’</w:t>
      </w:r>
      <w:r w:rsidR="00EA5BC0">
        <w:t xml:space="preserve">article </w:t>
      </w:r>
      <w:r w:rsidRPr="00EA5BC0">
        <w:t>26 du Pacte. Elle est représentée par un conseil. Le Protocole facultatif est entré en vigueur pour l</w:t>
      </w:r>
      <w:r w:rsidRPr="00EA5BC0">
        <w:t>’</w:t>
      </w:r>
      <w:r w:rsidRPr="00EA5BC0">
        <w:t>État partie le 23 mars 1976.</w:t>
      </w:r>
    </w:p>
    <w:p w:rsidR="00870218" w:rsidRPr="00EA5BC0" w:rsidRDefault="00366EE4" w:rsidP="00EA5BC0">
      <w:pPr>
        <w:pStyle w:val="SingleTxtG"/>
      </w:pPr>
      <w:r w:rsidRPr="00EA5BC0">
        <w:lastRenderedPageBreak/>
        <w:t>1.2</w:t>
      </w:r>
      <w:r w:rsidRPr="00EA5BC0">
        <w:tab/>
        <w:t>Le 1</w:t>
      </w:r>
      <w:r w:rsidRPr="00EA5BC0">
        <w:rPr>
          <w:vertAlign w:val="superscript"/>
        </w:rPr>
        <w:t>er</w:t>
      </w:r>
      <w:r w:rsidRPr="00EA5BC0">
        <w:t> avril 2015, le</w:t>
      </w:r>
      <w:r w:rsidRPr="00EA5BC0">
        <w:t xml:space="preserve"> Comité, </w:t>
      </w:r>
      <w:r w:rsidRPr="00EA5BC0">
        <w:t>en</w:t>
      </w:r>
      <w:r w:rsidR="00EA5BC0">
        <w:t xml:space="preserve"> </w:t>
      </w:r>
      <w:r w:rsidRPr="00EA5BC0">
        <w:t>application de</w:t>
      </w:r>
      <w:r w:rsidRPr="00EA5BC0">
        <w:t xml:space="preserve"> </w:t>
      </w:r>
      <w:r w:rsidR="0059110B">
        <w:t>l’</w:t>
      </w:r>
      <w:r w:rsidR="00EA5BC0">
        <w:t xml:space="preserve">article </w:t>
      </w:r>
      <w:r w:rsidRPr="00EA5BC0">
        <w:t xml:space="preserve">92 </w:t>
      </w:r>
      <w:r w:rsidRPr="00EA5BC0">
        <w:t xml:space="preserve">de son règlement </w:t>
      </w:r>
      <w:r w:rsidRPr="00EA5BC0">
        <w:t>intérieur</w:t>
      </w:r>
      <w:r w:rsidRPr="00EA5BC0">
        <w:t xml:space="preserve"> et</w:t>
      </w:r>
      <w:r w:rsidRPr="00EA5BC0">
        <w:t xml:space="preserve"> </w:t>
      </w:r>
      <w:r w:rsidRPr="00EA5BC0">
        <w:t>par l</w:t>
      </w:r>
      <w:r w:rsidRPr="00EA5BC0">
        <w:t>’</w:t>
      </w:r>
      <w:r w:rsidRPr="00EA5BC0">
        <w:t>intermédiaire de son rapporteur spécial chargé des nouvelles communications et des mesures provisoires, a prié l</w:t>
      </w:r>
      <w:r w:rsidRPr="00EA5BC0">
        <w:t>’</w:t>
      </w:r>
      <w:r w:rsidRPr="00EA5BC0">
        <w:t>État partie de surseoir à l</w:t>
      </w:r>
      <w:r w:rsidRPr="00EA5BC0">
        <w:t>’</w:t>
      </w:r>
      <w:r w:rsidRPr="00EA5BC0">
        <w:t>expulsion de l</w:t>
      </w:r>
      <w:r w:rsidRPr="00EA5BC0">
        <w:t>’</w:t>
      </w:r>
      <w:r w:rsidRPr="00EA5BC0">
        <w:t>auteure vers la Ma</w:t>
      </w:r>
      <w:r w:rsidRPr="00EA5BC0">
        <w:t>laisie tant que la communication serait à l</w:t>
      </w:r>
      <w:r w:rsidRPr="00EA5BC0">
        <w:t>’</w:t>
      </w:r>
      <w:r w:rsidRPr="00EA5BC0">
        <w:t>examen</w:t>
      </w:r>
      <w:r w:rsidRPr="00EA5BC0">
        <w:t>.</w:t>
      </w:r>
    </w:p>
    <w:p w:rsidR="00870218" w:rsidRPr="00EA5BC0" w:rsidRDefault="00366EE4" w:rsidP="00EA5BC0">
      <w:pPr>
        <w:pStyle w:val="H23G"/>
        <w:rPr>
          <w:lang w:val="fr-FR"/>
        </w:rPr>
      </w:pPr>
      <w:r w:rsidRPr="00EA5BC0">
        <w:rPr>
          <w:lang w:val="fr-FR"/>
        </w:rPr>
        <w:tab/>
      </w:r>
      <w:r w:rsidRPr="00EA5BC0">
        <w:rPr>
          <w:lang w:val="fr-FR"/>
        </w:rPr>
        <w:tab/>
        <w:t xml:space="preserve">Exposé des </w:t>
      </w:r>
      <w:r w:rsidRPr="00EA5BC0">
        <w:t>faits</w:t>
      </w:r>
    </w:p>
    <w:p w:rsidR="00870218" w:rsidRPr="00EA5BC0" w:rsidRDefault="00366EE4" w:rsidP="00EA5BC0">
      <w:pPr>
        <w:pStyle w:val="SingleTxtG"/>
        <w:rPr>
          <w:lang w:val="fr-FR"/>
        </w:rPr>
      </w:pPr>
      <w:r w:rsidRPr="00EA5BC0">
        <w:rPr>
          <w:lang w:val="fr-FR"/>
        </w:rPr>
        <w:t>2.1</w:t>
      </w:r>
      <w:r w:rsidRPr="00EA5BC0">
        <w:rPr>
          <w:lang w:val="fr-FR"/>
        </w:rPr>
        <w:tab/>
      </w:r>
      <w:r w:rsidRPr="00EA5BC0">
        <w:t>L</w:t>
      </w:r>
      <w:r w:rsidRPr="00EA5BC0">
        <w:t>’</w:t>
      </w:r>
      <w:r w:rsidRPr="00EA5BC0">
        <w:t>auteure</w:t>
      </w:r>
      <w:r w:rsidRPr="00EA5BC0">
        <w:rPr>
          <w:lang w:val="fr-FR"/>
        </w:rPr>
        <w:t xml:space="preserve">, qui était à sa naissance de sexe </w:t>
      </w:r>
      <w:r w:rsidRPr="00EA5BC0">
        <w:t>masculin</w:t>
      </w:r>
      <w:r w:rsidRPr="00EA5BC0">
        <w:rPr>
          <w:lang w:val="fr-FR"/>
        </w:rPr>
        <w:t xml:space="preserve">, a grandi dans le district de Seremban, au </w:t>
      </w:r>
      <w:r w:rsidR="0059110B">
        <w:rPr>
          <w:lang w:val="fr-FR"/>
        </w:rPr>
        <w:t>nord</w:t>
      </w:r>
      <w:r w:rsidRPr="00EA5BC0">
        <w:rPr>
          <w:lang w:val="fr-FR"/>
        </w:rPr>
        <w:t xml:space="preserve"> de Kuala Lumpur. Elle est d</w:t>
      </w:r>
      <w:r w:rsidRPr="00EA5BC0">
        <w:rPr>
          <w:lang w:val="fr-FR"/>
        </w:rPr>
        <w:t>’</w:t>
      </w:r>
      <w:r w:rsidRPr="00EA5BC0">
        <w:rPr>
          <w:lang w:val="fr-FR"/>
        </w:rPr>
        <w:t xml:space="preserve">ethnie malaise et enregistrée en tant que musulmane, </w:t>
      </w:r>
      <w:r w:rsidRPr="00EA5BC0">
        <w:rPr>
          <w:lang w:val="fr-FR"/>
        </w:rPr>
        <w:t xml:space="preserve">mais se considère comme hindoue. </w:t>
      </w:r>
      <w:r w:rsidRPr="00EA5BC0">
        <w:rPr>
          <w:lang w:val="fr-FR"/>
        </w:rPr>
        <w:t>À l</w:t>
      </w:r>
      <w:r w:rsidRPr="00EA5BC0">
        <w:rPr>
          <w:lang w:val="fr-FR"/>
        </w:rPr>
        <w:t>’</w:t>
      </w:r>
      <w:r w:rsidRPr="00EA5BC0">
        <w:rPr>
          <w:lang w:val="fr-FR"/>
        </w:rPr>
        <w:t>âge de 16</w:t>
      </w:r>
      <w:r w:rsidR="00EA5BC0">
        <w:rPr>
          <w:lang w:val="fr-FR"/>
        </w:rPr>
        <w:t xml:space="preserve"> </w:t>
      </w:r>
      <w:r w:rsidRPr="00EA5BC0">
        <w:rPr>
          <w:lang w:val="fr-FR"/>
        </w:rPr>
        <w:t xml:space="preserve">ans, elle a quitté sa famille et a </w:t>
      </w:r>
      <w:r w:rsidRPr="00EA5BC0">
        <w:rPr>
          <w:lang w:val="fr-FR"/>
        </w:rPr>
        <w:t xml:space="preserve">déménagé à Kuala Lumpur. Elle a également commencé à porter des vêtements de femme et </w:t>
      </w:r>
      <w:r w:rsidRPr="00EA5BC0">
        <w:rPr>
          <w:lang w:val="fr-FR"/>
        </w:rPr>
        <w:t>à</w:t>
      </w:r>
      <w:r w:rsidRPr="00EA5BC0">
        <w:rPr>
          <w:lang w:val="fr-FR"/>
        </w:rPr>
        <w:t xml:space="preserve"> </w:t>
      </w:r>
      <w:r w:rsidRPr="00EA5BC0">
        <w:rPr>
          <w:lang w:val="fr-FR"/>
        </w:rPr>
        <w:t>prendre</w:t>
      </w:r>
      <w:r w:rsidRPr="00EA5BC0">
        <w:rPr>
          <w:lang w:val="fr-FR"/>
        </w:rPr>
        <w:t xml:space="preserve"> </w:t>
      </w:r>
      <w:r w:rsidRPr="00EA5BC0">
        <w:rPr>
          <w:lang w:val="fr-FR"/>
        </w:rPr>
        <w:t xml:space="preserve">des </w:t>
      </w:r>
      <w:r w:rsidRPr="00EA5BC0">
        <w:rPr>
          <w:lang w:val="fr-FR"/>
        </w:rPr>
        <w:t xml:space="preserve">hormones féminines. Elle a travaillé dans un restaurant et fait du </w:t>
      </w:r>
      <w:r w:rsidRPr="00EA5BC0">
        <w:rPr>
          <w:lang w:val="fr-FR"/>
        </w:rPr>
        <w:t>bénévolat pour</w:t>
      </w:r>
      <w:r w:rsidRPr="00EA5BC0">
        <w:rPr>
          <w:lang w:val="fr-FR"/>
        </w:rPr>
        <w:t xml:space="preserve"> une </w:t>
      </w:r>
      <w:r w:rsidRPr="00EA5BC0">
        <w:rPr>
          <w:lang w:val="fr-FR"/>
        </w:rPr>
        <w:t>orga</w:t>
      </w:r>
      <w:r w:rsidRPr="00EA5BC0">
        <w:rPr>
          <w:lang w:val="fr-FR"/>
        </w:rPr>
        <w:t xml:space="preserve">nisation non gouvernementale </w:t>
      </w:r>
      <w:r w:rsidRPr="00EA5BC0">
        <w:rPr>
          <w:lang w:val="fr-FR"/>
        </w:rPr>
        <w:t xml:space="preserve">locale. Sa tâche en tant que bénévole consistait à sillonner les rues pour </w:t>
      </w:r>
      <w:r w:rsidRPr="00EA5BC0">
        <w:rPr>
          <w:lang w:val="fr-FR"/>
        </w:rPr>
        <w:t>venir en aide</w:t>
      </w:r>
      <w:r w:rsidRPr="00EA5BC0">
        <w:rPr>
          <w:lang w:val="fr-FR"/>
        </w:rPr>
        <w:t xml:space="preserve"> à des personnes </w:t>
      </w:r>
      <w:r w:rsidRPr="00EA5BC0">
        <w:rPr>
          <w:lang w:val="fr-FR"/>
        </w:rPr>
        <w:t xml:space="preserve">séropositives </w:t>
      </w:r>
      <w:r w:rsidRPr="00EA5BC0">
        <w:rPr>
          <w:lang w:val="fr-FR"/>
        </w:rPr>
        <w:t>ou transgenres. En 1998 ou 1999, elle a été violée par plusieurs individus non identi</w:t>
      </w:r>
      <w:r w:rsidRPr="00EA5BC0">
        <w:rPr>
          <w:lang w:val="fr-FR"/>
        </w:rPr>
        <w:t>fiés.</w:t>
      </w:r>
    </w:p>
    <w:p w:rsidR="00870218" w:rsidRPr="00EA5BC0" w:rsidRDefault="00366EE4" w:rsidP="00EA5BC0">
      <w:pPr>
        <w:pStyle w:val="SingleTxtG"/>
        <w:rPr>
          <w:lang w:val="fr-FR"/>
        </w:rPr>
      </w:pPr>
      <w:r w:rsidRPr="00EA5BC0">
        <w:rPr>
          <w:lang w:val="fr-FR"/>
        </w:rPr>
        <w:t>2.2</w:t>
      </w:r>
      <w:r w:rsidRPr="00EA5BC0">
        <w:rPr>
          <w:lang w:val="fr-FR"/>
        </w:rPr>
        <w:tab/>
        <w:t>En 2007, l</w:t>
      </w:r>
      <w:r w:rsidRPr="00EA5BC0">
        <w:rPr>
          <w:lang w:val="fr-FR"/>
        </w:rPr>
        <w:t>’</w:t>
      </w:r>
      <w:r w:rsidRPr="00EA5BC0">
        <w:rPr>
          <w:lang w:val="fr-FR"/>
        </w:rPr>
        <w:t xml:space="preserve">auteure a </w:t>
      </w:r>
      <w:r w:rsidRPr="00EA5BC0">
        <w:t>subi</w:t>
      </w:r>
      <w:r w:rsidRPr="00EA5BC0">
        <w:rPr>
          <w:lang w:val="fr-FR"/>
        </w:rPr>
        <w:t xml:space="preserve">, en Thaïlande, une opération chirurgicale </w:t>
      </w:r>
      <w:r w:rsidRPr="00EA5BC0">
        <w:rPr>
          <w:lang w:val="fr-FR"/>
        </w:rPr>
        <w:t>de réassignation sexuelle</w:t>
      </w:r>
      <w:r w:rsidRPr="00EA5BC0">
        <w:rPr>
          <w:vertAlign w:val="superscript"/>
        </w:rPr>
        <w:footnoteReference w:id="4"/>
      </w:r>
      <w:r w:rsidRPr="00EA5BC0">
        <w:rPr>
          <w:lang w:val="fr-FR"/>
        </w:rPr>
        <w:t xml:space="preserve">. </w:t>
      </w:r>
      <w:r w:rsidRPr="00EA5BC0">
        <w:rPr>
          <w:lang w:val="fr-FR"/>
        </w:rPr>
        <w:t xml:space="preserve">Sa carte d’identité malaisienne </w:t>
      </w:r>
      <w:r w:rsidRPr="00EA5BC0">
        <w:rPr>
          <w:lang w:val="fr-FR"/>
        </w:rPr>
        <w:t>continuait toutefois d</w:t>
      </w:r>
      <w:r w:rsidRPr="00EA5BC0">
        <w:rPr>
          <w:lang w:val="fr-FR"/>
        </w:rPr>
        <w:t>’</w:t>
      </w:r>
      <w:r w:rsidRPr="00EA5BC0">
        <w:rPr>
          <w:lang w:val="fr-FR"/>
        </w:rPr>
        <w:t xml:space="preserve">indiquer qu’elle </w:t>
      </w:r>
      <w:r w:rsidRPr="00EA5BC0">
        <w:rPr>
          <w:lang w:val="fr-FR"/>
        </w:rPr>
        <w:t>éta</w:t>
      </w:r>
      <w:r w:rsidRPr="00EA5BC0">
        <w:rPr>
          <w:lang w:val="fr-FR"/>
        </w:rPr>
        <w:t>i</w:t>
      </w:r>
      <w:r w:rsidRPr="00EA5BC0">
        <w:rPr>
          <w:lang w:val="fr-FR"/>
        </w:rPr>
        <w:t>t de sexe masculin</w:t>
      </w:r>
      <w:r w:rsidRPr="00EA5BC0">
        <w:rPr>
          <w:lang w:val="fr-FR"/>
        </w:rPr>
        <w:t xml:space="preserve">, </w:t>
      </w:r>
      <w:r w:rsidRPr="00EA5BC0">
        <w:rPr>
          <w:lang w:val="fr-FR"/>
        </w:rPr>
        <w:t>cette mention n</w:t>
      </w:r>
      <w:r w:rsidRPr="00EA5BC0">
        <w:rPr>
          <w:lang w:val="fr-FR"/>
        </w:rPr>
        <w:t>’</w:t>
      </w:r>
      <w:r w:rsidRPr="00EA5BC0">
        <w:rPr>
          <w:lang w:val="fr-FR"/>
        </w:rPr>
        <w:t>étant pas modifiable</w:t>
      </w:r>
      <w:r w:rsidRPr="00EA5BC0">
        <w:rPr>
          <w:lang w:val="fr-FR"/>
        </w:rPr>
        <w:t xml:space="preserve">, et </w:t>
      </w:r>
      <w:r w:rsidRPr="00EA5BC0">
        <w:rPr>
          <w:lang w:val="fr-FR"/>
        </w:rPr>
        <w:t>de religion m</w:t>
      </w:r>
      <w:r w:rsidRPr="00EA5BC0">
        <w:rPr>
          <w:lang w:val="fr-FR"/>
        </w:rPr>
        <w:t>usulmane.</w:t>
      </w:r>
    </w:p>
    <w:p w:rsidR="00870218" w:rsidRPr="00EA5BC0" w:rsidRDefault="00366EE4" w:rsidP="00EA5BC0">
      <w:pPr>
        <w:pStyle w:val="SingleTxtG"/>
        <w:rPr>
          <w:lang w:val="fr-FR"/>
        </w:rPr>
      </w:pPr>
      <w:r w:rsidRPr="00EA5BC0">
        <w:rPr>
          <w:lang w:val="fr-FR"/>
        </w:rPr>
        <w:t>2.3</w:t>
      </w:r>
      <w:r w:rsidRPr="00EA5BC0">
        <w:rPr>
          <w:lang w:val="fr-FR"/>
        </w:rPr>
        <w:tab/>
        <w:t>Entre 2001 et 2010, il est arrivé à plusieurs reprises à l</w:t>
      </w:r>
      <w:r w:rsidRPr="00EA5BC0">
        <w:rPr>
          <w:lang w:val="fr-FR"/>
        </w:rPr>
        <w:t>’</w:t>
      </w:r>
      <w:r w:rsidRPr="00EA5BC0">
        <w:rPr>
          <w:lang w:val="fr-FR"/>
        </w:rPr>
        <w:t>auteure d</w:t>
      </w:r>
      <w:r w:rsidRPr="00EA5BC0">
        <w:rPr>
          <w:lang w:val="fr-FR"/>
        </w:rPr>
        <w:t>’</w:t>
      </w:r>
      <w:r w:rsidRPr="00EA5BC0">
        <w:rPr>
          <w:lang w:val="fr-FR"/>
        </w:rPr>
        <w:t>être arrêtée dans la rue pour un contrôle d</w:t>
      </w:r>
      <w:r w:rsidRPr="00EA5BC0">
        <w:rPr>
          <w:lang w:val="fr-FR"/>
        </w:rPr>
        <w:t>’</w:t>
      </w:r>
      <w:r w:rsidRPr="00EA5BC0">
        <w:rPr>
          <w:lang w:val="fr-FR"/>
        </w:rPr>
        <w:t xml:space="preserve">identité, puis placée en garde à vue par la police malaisienne pour une durée </w:t>
      </w:r>
      <w:r w:rsidRPr="00EA5BC0">
        <w:rPr>
          <w:lang w:val="fr-FR"/>
        </w:rPr>
        <w:t>pou</w:t>
      </w:r>
      <w:r w:rsidRPr="00EA5BC0">
        <w:rPr>
          <w:lang w:val="fr-FR"/>
        </w:rPr>
        <w:t>v</w:t>
      </w:r>
      <w:r w:rsidRPr="00EA5BC0">
        <w:rPr>
          <w:lang w:val="fr-FR"/>
        </w:rPr>
        <w:t xml:space="preserve">ant </w:t>
      </w:r>
      <w:r w:rsidRPr="00EA5BC0">
        <w:rPr>
          <w:lang w:val="fr-FR"/>
        </w:rPr>
        <w:t>aller jusqu</w:t>
      </w:r>
      <w:r w:rsidRPr="00EA5BC0">
        <w:rPr>
          <w:lang w:val="fr-FR"/>
        </w:rPr>
        <w:t>’</w:t>
      </w:r>
      <w:r w:rsidRPr="00EA5BC0">
        <w:rPr>
          <w:lang w:val="fr-FR"/>
        </w:rPr>
        <w:t>à vingt-quatre heures, et d</w:t>
      </w:r>
      <w:r w:rsidRPr="00EA5BC0">
        <w:rPr>
          <w:lang w:val="fr-FR"/>
        </w:rPr>
        <w:t>’</w:t>
      </w:r>
      <w:r w:rsidRPr="00EA5BC0">
        <w:rPr>
          <w:lang w:val="fr-FR"/>
        </w:rPr>
        <w:t>êtr</w:t>
      </w:r>
      <w:r w:rsidRPr="00EA5BC0">
        <w:rPr>
          <w:lang w:val="fr-FR"/>
        </w:rPr>
        <w:t>e victime de violences physiques et sexuelles</w:t>
      </w:r>
      <w:r w:rsidRPr="00EA5BC0">
        <w:rPr>
          <w:vertAlign w:val="superscript"/>
        </w:rPr>
        <w:footnoteReference w:id="5"/>
      </w:r>
      <w:r w:rsidRPr="00EA5BC0">
        <w:rPr>
          <w:lang w:val="fr-FR"/>
        </w:rPr>
        <w:t>. Une fois, elle s</w:t>
      </w:r>
      <w:r w:rsidRPr="00EA5BC0">
        <w:rPr>
          <w:lang w:val="fr-FR"/>
        </w:rPr>
        <w:t>’</w:t>
      </w:r>
      <w:r w:rsidRPr="00EA5BC0">
        <w:rPr>
          <w:lang w:val="fr-FR"/>
        </w:rPr>
        <w:t xml:space="preserve">est rendue dans les bureaux de la police à Kuala Lumpur pour signaler son viol, mais </w:t>
      </w:r>
      <w:r w:rsidRPr="00EA5BC0">
        <w:rPr>
          <w:lang w:val="fr-FR"/>
        </w:rPr>
        <w:t xml:space="preserve">la police </w:t>
      </w:r>
      <w:r w:rsidRPr="00EA5BC0">
        <w:rPr>
          <w:lang w:val="fr-FR"/>
        </w:rPr>
        <w:t>a refusé d</w:t>
      </w:r>
      <w:r w:rsidRPr="00EA5BC0">
        <w:rPr>
          <w:lang w:val="fr-FR"/>
        </w:rPr>
        <w:t>’</w:t>
      </w:r>
      <w:r w:rsidRPr="00EA5BC0">
        <w:rPr>
          <w:lang w:val="fr-FR"/>
        </w:rPr>
        <w:t>enregistrer sa plainte, après quoi elle n</w:t>
      </w:r>
      <w:r w:rsidRPr="00EA5BC0">
        <w:rPr>
          <w:lang w:val="fr-FR"/>
        </w:rPr>
        <w:t>’</w:t>
      </w:r>
      <w:r w:rsidRPr="00EA5BC0">
        <w:rPr>
          <w:lang w:val="fr-FR"/>
        </w:rPr>
        <w:t>a plus osé signaler d</w:t>
      </w:r>
      <w:r w:rsidRPr="00EA5BC0">
        <w:rPr>
          <w:lang w:val="fr-FR"/>
        </w:rPr>
        <w:t>’</w:t>
      </w:r>
      <w:r w:rsidRPr="00EA5BC0">
        <w:rPr>
          <w:lang w:val="fr-FR"/>
        </w:rPr>
        <w:t>autres mauvais traite</w:t>
      </w:r>
      <w:r w:rsidRPr="00EA5BC0">
        <w:rPr>
          <w:lang w:val="fr-FR"/>
        </w:rPr>
        <w:t xml:space="preserve">ments. </w:t>
      </w:r>
    </w:p>
    <w:p w:rsidR="00870218" w:rsidRPr="00EA5BC0" w:rsidRDefault="00366EE4" w:rsidP="00EA5BC0">
      <w:pPr>
        <w:pStyle w:val="SingleTxtG"/>
        <w:rPr>
          <w:lang w:val="fr-FR"/>
        </w:rPr>
      </w:pPr>
      <w:r w:rsidRPr="00EA5BC0">
        <w:rPr>
          <w:lang w:val="fr-FR"/>
        </w:rPr>
        <w:t>2.4</w:t>
      </w:r>
      <w:r w:rsidRPr="00EA5BC0">
        <w:rPr>
          <w:lang w:val="fr-FR"/>
        </w:rPr>
        <w:tab/>
      </w:r>
      <w:r w:rsidRPr="00EA5BC0">
        <w:rPr>
          <w:lang w:val="fr-FR"/>
        </w:rPr>
        <w:t>Selon l’auteure, e</w:t>
      </w:r>
      <w:r w:rsidRPr="00EA5BC0">
        <w:rPr>
          <w:lang w:val="fr-FR"/>
        </w:rPr>
        <w:t>n avril</w:t>
      </w:r>
      <w:r w:rsidR="00EA5BC0">
        <w:rPr>
          <w:lang w:val="fr-FR"/>
        </w:rPr>
        <w:t xml:space="preserve"> </w:t>
      </w:r>
      <w:r w:rsidRPr="00EA5BC0">
        <w:rPr>
          <w:lang w:val="fr-FR"/>
        </w:rPr>
        <w:t>2012</w:t>
      </w:r>
      <w:r w:rsidRPr="00EA5BC0">
        <w:rPr>
          <w:vertAlign w:val="superscript"/>
        </w:rPr>
        <w:footnoteReference w:id="6"/>
      </w:r>
      <w:r w:rsidRPr="00EA5BC0">
        <w:rPr>
          <w:lang w:val="fr-FR"/>
        </w:rPr>
        <w:t xml:space="preserve">, la police de Malacca </w:t>
      </w:r>
      <w:r w:rsidRPr="00EA5BC0">
        <w:rPr>
          <w:lang w:val="fr-FR"/>
        </w:rPr>
        <w:t xml:space="preserve">l’a conduite </w:t>
      </w:r>
      <w:r w:rsidRPr="00EA5BC0">
        <w:rPr>
          <w:lang w:val="fr-FR"/>
        </w:rPr>
        <w:t xml:space="preserve">dans </w:t>
      </w:r>
      <w:r w:rsidRPr="00EA5BC0">
        <w:rPr>
          <w:lang w:val="fr-FR"/>
        </w:rPr>
        <w:t xml:space="preserve">un </w:t>
      </w:r>
      <w:r w:rsidRPr="00EA5BC0">
        <w:rPr>
          <w:lang w:val="fr-FR"/>
        </w:rPr>
        <w:t>bureau</w:t>
      </w:r>
      <w:r w:rsidRPr="00EA5BC0">
        <w:rPr>
          <w:lang w:val="fr-FR"/>
        </w:rPr>
        <w:t xml:space="preserve"> du </w:t>
      </w:r>
      <w:r w:rsidRPr="00EA5BC0">
        <w:rPr>
          <w:lang w:val="fr-FR"/>
        </w:rPr>
        <w:t>Département des affaires islamiques</w:t>
      </w:r>
      <w:r w:rsidRPr="00EA5BC0">
        <w:rPr>
          <w:lang w:val="fr-FR"/>
        </w:rPr>
        <w:t>, où elle a été détenue jusqu</w:t>
      </w:r>
      <w:r w:rsidRPr="00EA5BC0">
        <w:rPr>
          <w:lang w:val="fr-FR"/>
        </w:rPr>
        <w:t>’</w:t>
      </w:r>
      <w:r w:rsidRPr="00EA5BC0">
        <w:rPr>
          <w:lang w:val="fr-FR"/>
        </w:rPr>
        <w:t>au lendemain. Avant de la relâcher, les policiers ont pris des photographies du tatouage qu</w:t>
      </w:r>
      <w:r w:rsidRPr="00EA5BC0">
        <w:rPr>
          <w:lang w:val="fr-FR"/>
        </w:rPr>
        <w:t>’</w:t>
      </w:r>
      <w:r w:rsidRPr="00EA5BC0">
        <w:rPr>
          <w:lang w:val="fr-FR"/>
        </w:rPr>
        <w:t>elle portait sur la main</w:t>
      </w:r>
      <w:r w:rsidRPr="00EA5BC0">
        <w:rPr>
          <w:lang w:val="fr-FR"/>
        </w:rPr>
        <w:t>,</w:t>
      </w:r>
      <w:r w:rsidRPr="00EA5BC0">
        <w:rPr>
          <w:lang w:val="fr-FR"/>
        </w:rPr>
        <w:t xml:space="preserve"> </w:t>
      </w:r>
      <w:r w:rsidRPr="00EA5BC0">
        <w:rPr>
          <w:lang w:val="fr-FR"/>
        </w:rPr>
        <w:t>au motif qu’</w:t>
      </w:r>
      <w:r w:rsidRPr="00EA5BC0">
        <w:rPr>
          <w:lang w:val="fr-FR"/>
        </w:rPr>
        <w:t>en Malaisie il n</w:t>
      </w:r>
      <w:r w:rsidRPr="00EA5BC0">
        <w:rPr>
          <w:lang w:val="fr-FR"/>
        </w:rPr>
        <w:t>’</w:t>
      </w:r>
      <w:r w:rsidRPr="00EA5BC0">
        <w:rPr>
          <w:lang w:val="fr-FR"/>
        </w:rPr>
        <w:t>est pas permis aux musulmans d</w:t>
      </w:r>
      <w:r w:rsidRPr="00EA5BC0">
        <w:rPr>
          <w:lang w:val="fr-FR"/>
        </w:rPr>
        <w:t>’</w:t>
      </w:r>
      <w:r w:rsidRPr="00EA5BC0">
        <w:rPr>
          <w:lang w:val="fr-FR"/>
        </w:rPr>
        <w:t xml:space="preserve">avoir des tatouages ni de changer de religion. Ses chaussures de femme lui ont également été confisquées car il est interdit à un homme de porter des vêtements de femme. </w:t>
      </w:r>
      <w:r w:rsidRPr="00EA5BC0">
        <w:rPr>
          <w:lang w:val="fr-FR"/>
        </w:rPr>
        <w:t xml:space="preserve">Lorsqu’ils l’ont remise en liberté, </w:t>
      </w:r>
      <w:r w:rsidRPr="00EA5BC0">
        <w:rPr>
          <w:lang w:val="fr-FR"/>
        </w:rPr>
        <w:t>des membres d</w:t>
      </w:r>
      <w:r w:rsidRPr="00EA5BC0">
        <w:rPr>
          <w:lang w:val="fr-FR"/>
        </w:rPr>
        <w:t>u Département des affaires islamiques</w:t>
      </w:r>
      <w:r w:rsidRPr="00EA5BC0" w:rsidDel="00A734DC">
        <w:rPr>
          <w:lang w:val="fr-FR"/>
        </w:rPr>
        <w:t xml:space="preserve"> </w:t>
      </w:r>
      <w:r w:rsidRPr="00EA5BC0">
        <w:rPr>
          <w:lang w:val="fr-FR"/>
        </w:rPr>
        <w:t>l</w:t>
      </w:r>
      <w:r w:rsidRPr="00EA5BC0">
        <w:rPr>
          <w:lang w:val="fr-FR"/>
        </w:rPr>
        <w:t>’</w:t>
      </w:r>
      <w:r w:rsidRPr="00EA5BC0">
        <w:rPr>
          <w:lang w:val="fr-FR"/>
        </w:rPr>
        <w:t>ont informée que son dossier serait transmis à un juge pour qu</w:t>
      </w:r>
      <w:r w:rsidRPr="00EA5BC0">
        <w:rPr>
          <w:lang w:val="fr-FR"/>
        </w:rPr>
        <w:t>’</w:t>
      </w:r>
      <w:r w:rsidRPr="00EA5BC0">
        <w:rPr>
          <w:lang w:val="fr-FR"/>
        </w:rPr>
        <w:t xml:space="preserve">il rende son verdict. </w:t>
      </w:r>
    </w:p>
    <w:p w:rsidR="00870218" w:rsidRPr="00EA5BC0" w:rsidRDefault="00366EE4" w:rsidP="00EA5BC0">
      <w:pPr>
        <w:pStyle w:val="SingleTxtG"/>
        <w:rPr>
          <w:lang w:val="fr-FR"/>
        </w:rPr>
      </w:pPr>
      <w:r w:rsidRPr="00EA5BC0">
        <w:rPr>
          <w:lang w:val="fr-FR"/>
        </w:rPr>
        <w:t>2.5</w:t>
      </w:r>
      <w:r w:rsidRPr="00EA5BC0">
        <w:rPr>
          <w:lang w:val="fr-FR"/>
        </w:rPr>
        <w:tab/>
        <w:t>L</w:t>
      </w:r>
      <w:r w:rsidRPr="00EA5BC0">
        <w:rPr>
          <w:lang w:val="fr-FR"/>
        </w:rPr>
        <w:t>’</w:t>
      </w:r>
      <w:r w:rsidRPr="00EA5BC0">
        <w:rPr>
          <w:lang w:val="fr-FR"/>
        </w:rPr>
        <w:t>auteure est arrivée au Danemark le 25 janvier 2014</w:t>
      </w:r>
      <w:r w:rsidRPr="00EA5BC0">
        <w:rPr>
          <w:vertAlign w:val="superscript"/>
        </w:rPr>
        <w:footnoteReference w:id="7"/>
      </w:r>
      <w:r w:rsidRPr="00EA5BC0">
        <w:rPr>
          <w:lang w:val="fr-FR"/>
        </w:rPr>
        <w:t xml:space="preserve"> et a présenté une deman</w:t>
      </w:r>
      <w:r w:rsidRPr="00EA5BC0">
        <w:rPr>
          <w:lang w:val="fr-FR"/>
        </w:rPr>
        <w:t>de d</w:t>
      </w:r>
      <w:r w:rsidRPr="00EA5BC0">
        <w:rPr>
          <w:lang w:val="fr-FR"/>
        </w:rPr>
        <w:t>’</w:t>
      </w:r>
      <w:r w:rsidRPr="00EA5BC0">
        <w:rPr>
          <w:lang w:val="fr-FR"/>
        </w:rPr>
        <w:t>asile le 4 février 2014. À la suite de trois entretiens menés par le Service danois de l</w:t>
      </w:r>
      <w:r w:rsidRPr="00EA5BC0">
        <w:rPr>
          <w:lang w:val="fr-FR"/>
        </w:rPr>
        <w:t>’</w:t>
      </w:r>
      <w:r w:rsidRPr="00EA5BC0">
        <w:rPr>
          <w:lang w:val="fr-FR"/>
        </w:rPr>
        <w:t>immigration les 24 février, 3 mars et 16 avril 2014, respectivement, elle a été déboutée de sa demande le 28 août 2014. Le Service danois de l</w:t>
      </w:r>
      <w:r w:rsidRPr="00EA5BC0">
        <w:rPr>
          <w:lang w:val="fr-FR"/>
        </w:rPr>
        <w:t>’</w:t>
      </w:r>
      <w:r w:rsidRPr="00EA5BC0">
        <w:rPr>
          <w:lang w:val="fr-FR"/>
        </w:rPr>
        <w:t>immigration a estim</w:t>
      </w:r>
      <w:r w:rsidRPr="00EA5BC0">
        <w:rPr>
          <w:lang w:val="fr-FR"/>
        </w:rPr>
        <w:t>é que la description qu</w:t>
      </w:r>
      <w:r w:rsidRPr="00EA5BC0">
        <w:rPr>
          <w:lang w:val="fr-FR"/>
        </w:rPr>
        <w:t>’</w:t>
      </w:r>
      <w:r w:rsidRPr="00EA5BC0">
        <w:rPr>
          <w:lang w:val="fr-FR"/>
        </w:rPr>
        <w:t>elle avait faite de ses gardes à vue et des sévices sexuels qui lui auraient été infligés par la police en Malaisie était incohérente et peu plausible, en particulier au regard du fait qu</w:t>
      </w:r>
      <w:r w:rsidRPr="00EA5BC0">
        <w:rPr>
          <w:lang w:val="fr-FR"/>
        </w:rPr>
        <w:t>’</w:t>
      </w:r>
      <w:r w:rsidRPr="00EA5BC0">
        <w:rPr>
          <w:lang w:val="fr-FR"/>
        </w:rPr>
        <w:t>elle avait quitté la Malaisie pour se rendre</w:t>
      </w:r>
      <w:r w:rsidRPr="00EA5BC0">
        <w:rPr>
          <w:lang w:val="fr-FR"/>
        </w:rPr>
        <w:t xml:space="preserve"> </w:t>
      </w:r>
      <w:r w:rsidRPr="00EA5BC0">
        <w:rPr>
          <w:lang w:val="fr-FR"/>
        </w:rPr>
        <w:t>plus de 20</w:t>
      </w:r>
      <w:r w:rsidR="00EA5BC0">
        <w:rPr>
          <w:lang w:val="fr-FR"/>
        </w:rPr>
        <w:t xml:space="preserve"> </w:t>
      </w:r>
      <w:r w:rsidRPr="00EA5BC0">
        <w:rPr>
          <w:lang w:val="fr-FR"/>
        </w:rPr>
        <w:t>fois</w:t>
      </w:r>
      <w:r w:rsidRPr="00EA5BC0">
        <w:rPr>
          <w:lang w:val="fr-FR"/>
        </w:rPr>
        <w:t xml:space="preserve"> </w:t>
      </w:r>
      <w:r w:rsidRPr="00EA5BC0">
        <w:rPr>
          <w:lang w:val="fr-FR"/>
        </w:rPr>
        <w:t xml:space="preserve">en </w:t>
      </w:r>
      <w:r w:rsidRPr="00EA5BC0">
        <w:rPr>
          <w:lang w:val="fr-FR"/>
        </w:rPr>
        <w:t xml:space="preserve">Inde, à Singapour et en </w:t>
      </w:r>
      <w:r w:rsidRPr="00EA5BC0">
        <w:rPr>
          <w:lang w:val="fr-FR"/>
        </w:rPr>
        <w:t xml:space="preserve">Thaïlande, </w:t>
      </w:r>
      <w:r w:rsidRPr="00EA5BC0">
        <w:rPr>
          <w:lang w:val="fr-FR"/>
        </w:rPr>
        <w:t>pour de courtes périodes.</w:t>
      </w:r>
      <w:r w:rsidRPr="00EA5BC0">
        <w:rPr>
          <w:lang w:val="fr-FR"/>
        </w:rPr>
        <w:t xml:space="preserve"> Le Service danois de l</w:t>
      </w:r>
      <w:r w:rsidRPr="00EA5BC0">
        <w:rPr>
          <w:lang w:val="fr-FR"/>
        </w:rPr>
        <w:t>’</w:t>
      </w:r>
      <w:r w:rsidRPr="00EA5BC0">
        <w:rPr>
          <w:lang w:val="fr-FR"/>
        </w:rPr>
        <w:t>immigration a également considéré qu</w:t>
      </w:r>
      <w:r w:rsidRPr="00EA5BC0">
        <w:rPr>
          <w:lang w:val="fr-FR"/>
        </w:rPr>
        <w:t>’</w:t>
      </w:r>
      <w:r w:rsidRPr="00EA5BC0">
        <w:rPr>
          <w:lang w:val="fr-FR"/>
        </w:rPr>
        <w:t>il était peu plausible que l</w:t>
      </w:r>
      <w:r w:rsidRPr="00EA5BC0">
        <w:rPr>
          <w:lang w:val="fr-FR"/>
        </w:rPr>
        <w:t>’</w:t>
      </w:r>
      <w:r w:rsidRPr="00EA5BC0">
        <w:rPr>
          <w:lang w:val="fr-FR"/>
        </w:rPr>
        <w:t xml:space="preserve">auteure ait dû attendre janvier 2014 pour quitter la Malaisie faute, selon elle, de </w:t>
      </w:r>
      <w:r w:rsidRPr="00EA5BC0">
        <w:rPr>
          <w:lang w:val="fr-FR"/>
        </w:rPr>
        <w:t>moyens financiers, compte tenu de ses fréquents voyages à l</w:t>
      </w:r>
      <w:r w:rsidRPr="00EA5BC0">
        <w:rPr>
          <w:lang w:val="fr-FR"/>
        </w:rPr>
        <w:t>’</w:t>
      </w:r>
      <w:r w:rsidRPr="00EA5BC0">
        <w:rPr>
          <w:lang w:val="fr-FR"/>
        </w:rPr>
        <w:t>étranger, dont des vacances en Inde en octobre</w:t>
      </w:r>
      <w:r w:rsidR="00EA5BC0">
        <w:rPr>
          <w:lang w:val="fr-FR"/>
        </w:rPr>
        <w:t xml:space="preserve"> </w:t>
      </w:r>
      <w:r w:rsidRPr="00EA5BC0">
        <w:rPr>
          <w:lang w:val="fr-FR"/>
        </w:rPr>
        <w:t>2013. Il a aussi relevé que l</w:t>
      </w:r>
      <w:r w:rsidRPr="00EA5BC0">
        <w:rPr>
          <w:lang w:val="fr-FR"/>
        </w:rPr>
        <w:t>’</w:t>
      </w:r>
      <w:r w:rsidRPr="00EA5BC0">
        <w:rPr>
          <w:lang w:val="fr-FR"/>
        </w:rPr>
        <w:t>auteure n</w:t>
      </w:r>
      <w:r w:rsidRPr="00EA5BC0">
        <w:rPr>
          <w:lang w:val="fr-FR"/>
        </w:rPr>
        <w:t>’</w:t>
      </w:r>
      <w:r w:rsidRPr="00EA5BC0">
        <w:rPr>
          <w:lang w:val="fr-FR"/>
        </w:rPr>
        <w:t>avait fait l</w:t>
      </w:r>
      <w:r w:rsidRPr="00EA5BC0">
        <w:rPr>
          <w:lang w:val="fr-FR"/>
        </w:rPr>
        <w:t>’</w:t>
      </w:r>
      <w:r w:rsidRPr="00EA5BC0">
        <w:rPr>
          <w:lang w:val="fr-FR"/>
        </w:rPr>
        <w:t>objet d</w:t>
      </w:r>
      <w:r w:rsidRPr="00EA5BC0">
        <w:rPr>
          <w:lang w:val="fr-FR"/>
        </w:rPr>
        <w:t>’</w:t>
      </w:r>
      <w:r w:rsidRPr="00EA5BC0">
        <w:rPr>
          <w:lang w:val="fr-FR"/>
        </w:rPr>
        <w:t>aucune inculpation et n</w:t>
      </w:r>
      <w:r w:rsidRPr="00EA5BC0">
        <w:rPr>
          <w:lang w:val="fr-FR"/>
        </w:rPr>
        <w:t>’</w:t>
      </w:r>
      <w:r w:rsidRPr="00EA5BC0">
        <w:rPr>
          <w:lang w:val="fr-FR"/>
        </w:rPr>
        <w:t xml:space="preserve">avait </w:t>
      </w:r>
      <w:r w:rsidRPr="00EA5BC0">
        <w:rPr>
          <w:lang w:val="fr-FR"/>
        </w:rPr>
        <w:t>pas été placée en détention entre sa dernière arrestat</w:t>
      </w:r>
      <w:r w:rsidRPr="00EA5BC0">
        <w:rPr>
          <w:lang w:val="fr-FR"/>
        </w:rPr>
        <w:t>ion en avril 2012</w:t>
      </w:r>
      <w:r w:rsidRPr="00EA5BC0">
        <w:rPr>
          <w:vertAlign w:val="superscript"/>
        </w:rPr>
        <w:footnoteReference w:id="8"/>
      </w:r>
      <w:r w:rsidRPr="00EA5BC0">
        <w:rPr>
          <w:lang w:val="fr-FR"/>
        </w:rPr>
        <w:t xml:space="preserve"> et son départ en janvier 2014. </w:t>
      </w:r>
    </w:p>
    <w:p w:rsidR="00870218" w:rsidRPr="00EA5BC0" w:rsidRDefault="00366EE4" w:rsidP="000C1BE0">
      <w:pPr>
        <w:pStyle w:val="SingleTxtG"/>
        <w:spacing w:after="100" w:line="230" w:lineRule="exact"/>
        <w:rPr>
          <w:lang w:val="fr-FR"/>
        </w:rPr>
      </w:pPr>
      <w:r w:rsidRPr="00EA5BC0">
        <w:rPr>
          <w:lang w:val="fr-FR"/>
        </w:rPr>
        <w:lastRenderedPageBreak/>
        <w:t>2.6</w:t>
      </w:r>
      <w:r w:rsidRPr="00EA5BC0">
        <w:rPr>
          <w:lang w:val="fr-FR"/>
        </w:rPr>
        <w:tab/>
        <w:t>Le 19 décembre 2014, la Commission de recours pour les réfugiés a confirmé la décision du Service danois de l</w:t>
      </w:r>
      <w:r w:rsidRPr="00EA5BC0">
        <w:rPr>
          <w:lang w:val="fr-FR"/>
        </w:rPr>
        <w:t>’</w:t>
      </w:r>
      <w:r w:rsidRPr="00EA5BC0">
        <w:rPr>
          <w:lang w:val="fr-FR"/>
        </w:rPr>
        <w:t>immigration. Elle a noté qu</w:t>
      </w:r>
      <w:r w:rsidRPr="00EA5BC0">
        <w:rPr>
          <w:lang w:val="fr-FR"/>
        </w:rPr>
        <w:t>’</w:t>
      </w:r>
      <w:r w:rsidRPr="00EA5BC0">
        <w:rPr>
          <w:lang w:val="fr-FR"/>
        </w:rPr>
        <w:t>en dépit de la menace qui aurait été proférée par</w:t>
      </w:r>
      <w:r w:rsidRPr="00EA5BC0">
        <w:rPr>
          <w:lang w:val="fr-FR"/>
        </w:rPr>
        <w:t xml:space="preserve"> le</w:t>
      </w:r>
      <w:r w:rsidRPr="00EA5BC0">
        <w:rPr>
          <w:lang w:val="fr-FR"/>
        </w:rPr>
        <w:t xml:space="preserve"> </w:t>
      </w:r>
      <w:r w:rsidRPr="00EA5BC0">
        <w:rPr>
          <w:lang w:val="fr-FR"/>
        </w:rPr>
        <w:t>Départemen</w:t>
      </w:r>
      <w:r w:rsidRPr="00EA5BC0">
        <w:rPr>
          <w:lang w:val="fr-FR"/>
        </w:rPr>
        <w:t>t des affaires islamiques</w:t>
      </w:r>
      <w:r w:rsidRPr="00EA5BC0" w:rsidDel="00A734DC">
        <w:rPr>
          <w:lang w:val="fr-FR"/>
        </w:rPr>
        <w:t xml:space="preserve"> </w:t>
      </w:r>
      <w:r w:rsidRPr="00EA5BC0">
        <w:rPr>
          <w:lang w:val="fr-FR"/>
        </w:rPr>
        <w:t>en avril</w:t>
      </w:r>
      <w:r w:rsidR="00EA5BC0">
        <w:rPr>
          <w:lang w:val="fr-FR"/>
        </w:rPr>
        <w:t xml:space="preserve"> </w:t>
      </w:r>
      <w:r w:rsidRPr="00EA5BC0">
        <w:rPr>
          <w:lang w:val="fr-FR"/>
        </w:rPr>
        <w:t xml:space="preserve">2012, </w:t>
      </w:r>
      <w:r w:rsidRPr="00EA5BC0">
        <w:rPr>
          <w:lang w:val="fr-FR"/>
        </w:rPr>
        <w:t>l’auteure</w:t>
      </w:r>
      <w:r w:rsidRPr="00EA5BC0">
        <w:rPr>
          <w:lang w:val="fr-FR"/>
        </w:rPr>
        <w:t xml:space="preserve"> n’avait pas fait l’objet de </w:t>
      </w:r>
      <w:r w:rsidRPr="00EA5BC0">
        <w:rPr>
          <w:lang w:val="fr-FR"/>
        </w:rPr>
        <w:t>poursuite</w:t>
      </w:r>
      <w:r w:rsidRPr="00EA5BC0">
        <w:rPr>
          <w:lang w:val="fr-FR"/>
        </w:rPr>
        <w:t>s</w:t>
      </w:r>
      <w:r w:rsidRPr="00EA5BC0">
        <w:rPr>
          <w:lang w:val="fr-FR"/>
        </w:rPr>
        <w:t xml:space="preserve"> pénale</w:t>
      </w:r>
      <w:r w:rsidRPr="00EA5BC0">
        <w:rPr>
          <w:lang w:val="fr-FR"/>
        </w:rPr>
        <w:t>s</w:t>
      </w:r>
      <w:r w:rsidRPr="00EA5BC0">
        <w:rPr>
          <w:lang w:val="fr-FR"/>
        </w:rPr>
        <w:t xml:space="preserve"> et que, jusqu</w:t>
      </w:r>
      <w:r w:rsidRPr="00EA5BC0">
        <w:rPr>
          <w:lang w:val="fr-FR"/>
        </w:rPr>
        <w:t>’</w:t>
      </w:r>
      <w:r w:rsidRPr="00EA5BC0">
        <w:rPr>
          <w:lang w:val="fr-FR"/>
        </w:rPr>
        <w:t xml:space="preserve">à son départ en janvier 2014, </w:t>
      </w:r>
      <w:r w:rsidRPr="00EA5BC0">
        <w:rPr>
          <w:lang w:val="fr-FR"/>
        </w:rPr>
        <w:t xml:space="preserve">elle </w:t>
      </w:r>
      <w:r w:rsidRPr="00EA5BC0">
        <w:rPr>
          <w:lang w:val="fr-FR"/>
        </w:rPr>
        <w:t>était entrée et sortie d</w:t>
      </w:r>
      <w:r w:rsidRPr="00EA5BC0">
        <w:rPr>
          <w:lang w:val="fr-FR"/>
        </w:rPr>
        <w:t>u pays</w:t>
      </w:r>
      <w:r w:rsidRPr="00EA5BC0">
        <w:rPr>
          <w:lang w:val="fr-FR"/>
        </w:rPr>
        <w:t xml:space="preserve"> en toute légalité</w:t>
      </w:r>
      <w:r w:rsidRPr="00EA5BC0">
        <w:rPr>
          <w:lang w:val="fr-FR"/>
        </w:rPr>
        <w:t xml:space="preserve"> à </w:t>
      </w:r>
      <w:r w:rsidRPr="00EA5BC0">
        <w:rPr>
          <w:lang w:val="fr-FR"/>
        </w:rPr>
        <w:t>plusieurs</w:t>
      </w:r>
      <w:r w:rsidRPr="00EA5BC0">
        <w:rPr>
          <w:lang w:val="fr-FR"/>
        </w:rPr>
        <w:t xml:space="preserve"> reprises. La Commission a conclu que l</w:t>
      </w:r>
      <w:r w:rsidRPr="00EA5BC0">
        <w:rPr>
          <w:lang w:val="fr-FR"/>
        </w:rPr>
        <w:t>’</w:t>
      </w:r>
      <w:r w:rsidRPr="00EA5BC0">
        <w:rPr>
          <w:lang w:val="fr-FR"/>
        </w:rPr>
        <w:t>auteure n</w:t>
      </w:r>
      <w:r w:rsidRPr="00EA5BC0">
        <w:rPr>
          <w:lang w:val="fr-FR"/>
        </w:rPr>
        <w:t>e courrait pas un risque réel de persécution en cas de renvoi en Malaisie.</w:t>
      </w:r>
    </w:p>
    <w:p w:rsidR="00870218" w:rsidRPr="00EA5BC0" w:rsidRDefault="00366EE4" w:rsidP="000C1BE0">
      <w:pPr>
        <w:pStyle w:val="SingleTxtG"/>
        <w:spacing w:after="100" w:line="230" w:lineRule="exact"/>
        <w:rPr>
          <w:lang w:val="fr-FR"/>
        </w:rPr>
      </w:pPr>
      <w:r w:rsidRPr="00EA5BC0">
        <w:rPr>
          <w:lang w:val="fr-FR"/>
        </w:rPr>
        <w:t>2.7</w:t>
      </w:r>
      <w:r w:rsidRPr="00EA5BC0">
        <w:rPr>
          <w:lang w:val="fr-FR"/>
        </w:rPr>
        <w:tab/>
        <w:t>Le 25 février 2015, l</w:t>
      </w:r>
      <w:r w:rsidRPr="00EA5BC0">
        <w:rPr>
          <w:lang w:val="fr-FR"/>
        </w:rPr>
        <w:t>’</w:t>
      </w:r>
      <w:r w:rsidRPr="00EA5BC0">
        <w:rPr>
          <w:lang w:val="fr-FR"/>
        </w:rPr>
        <w:t>auteure a demandé la réouverture de son dossier d</w:t>
      </w:r>
      <w:r w:rsidRPr="00EA5BC0">
        <w:rPr>
          <w:lang w:val="fr-FR"/>
        </w:rPr>
        <w:t>’</w:t>
      </w:r>
      <w:r w:rsidRPr="00EA5BC0">
        <w:rPr>
          <w:lang w:val="fr-FR"/>
        </w:rPr>
        <w:t>asile en faisant valoir qu</w:t>
      </w:r>
      <w:r w:rsidRPr="00EA5BC0">
        <w:rPr>
          <w:lang w:val="fr-FR"/>
        </w:rPr>
        <w:t>’</w:t>
      </w:r>
      <w:r w:rsidRPr="00EA5BC0">
        <w:rPr>
          <w:lang w:val="fr-FR"/>
        </w:rPr>
        <w:t xml:space="preserve">une procédure à son encontre était pendante devant le tribunal </w:t>
      </w:r>
      <w:r w:rsidRPr="00EA5BC0">
        <w:rPr>
          <w:lang w:val="fr-FR"/>
        </w:rPr>
        <w:t xml:space="preserve">islamique </w:t>
      </w:r>
      <w:r w:rsidRPr="00EA5BC0">
        <w:rPr>
          <w:lang w:val="fr-FR"/>
        </w:rPr>
        <w:t xml:space="preserve">de Malacca, où elle était accusée de se comporter en femme et de porter des vêtements de femme, ce qui était </w:t>
      </w:r>
      <w:r w:rsidRPr="00EA5BC0">
        <w:rPr>
          <w:lang w:val="fr-FR"/>
        </w:rPr>
        <w:t xml:space="preserve">passible d’une </w:t>
      </w:r>
      <w:r w:rsidRPr="00EA5BC0">
        <w:rPr>
          <w:lang w:val="fr-FR"/>
        </w:rPr>
        <w:t xml:space="preserve">amende ou </w:t>
      </w:r>
      <w:r w:rsidRPr="00EA5BC0">
        <w:rPr>
          <w:lang w:val="fr-FR"/>
        </w:rPr>
        <w:t>d’</w:t>
      </w:r>
      <w:r w:rsidRPr="00EA5BC0">
        <w:rPr>
          <w:lang w:val="fr-FR"/>
        </w:rPr>
        <w:t xml:space="preserve">une peine pouvant </w:t>
      </w:r>
      <w:r w:rsidRPr="00EA5BC0">
        <w:rPr>
          <w:lang w:val="fr-FR"/>
        </w:rPr>
        <w:t>aller jusqu’à</w:t>
      </w:r>
      <w:r w:rsidRPr="00EA5BC0">
        <w:rPr>
          <w:lang w:val="fr-FR"/>
        </w:rPr>
        <w:t xml:space="preserve"> six mois d</w:t>
      </w:r>
      <w:r w:rsidRPr="00EA5BC0">
        <w:rPr>
          <w:lang w:val="fr-FR"/>
        </w:rPr>
        <w:t>’</w:t>
      </w:r>
      <w:r w:rsidRPr="00EA5BC0">
        <w:rPr>
          <w:lang w:val="fr-FR"/>
        </w:rPr>
        <w:t>emprisonnement</w:t>
      </w:r>
      <w:r w:rsidRPr="00EA5BC0">
        <w:rPr>
          <w:vertAlign w:val="superscript"/>
        </w:rPr>
        <w:footnoteReference w:id="9"/>
      </w:r>
      <w:r w:rsidRPr="00EA5BC0">
        <w:rPr>
          <w:lang w:val="fr-FR"/>
        </w:rPr>
        <w:t>. Elle avait obtenu par l</w:t>
      </w:r>
      <w:r w:rsidRPr="00EA5BC0">
        <w:rPr>
          <w:lang w:val="fr-FR"/>
        </w:rPr>
        <w:t>’</w:t>
      </w:r>
      <w:r w:rsidRPr="00EA5BC0">
        <w:rPr>
          <w:lang w:val="fr-FR"/>
        </w:rPr>
        <w:t>intermédiaire de sa famille une copi</w:t>
      </w:r>
      <w:r w:rsidRPr="00EA5BC0">
        <w:rPr>
          <w:lang w:val="fr-FR"/>
        </w:rPr>
        <w:t>e des pièces, non datées, de son dossier. Le 10 mars 2015, la Commission a procédé à l</w:t>
      </w:r>
      <w:r w:rsidRPr="00EA5BC0">
        <w:rPr>
          <w:lang w:val="fr-FR"/>
        </w:rPr>
        <w:t>’</w:t>
      </w:r>
      <w:r w:rsidRPr="00EA5BC0">
        <w:rPr>
          <w:lang w:val="fr-FR"/>
        </w:rPr>
        <w:t>évaluation de ces nouveaux documents</w:t>
      </w:r>
      <w:r w:rsidRPr="00EA5BC0">
        <w:rPr>
          <w:lang w:val="fr-FR"/>
        </w:rPr>
        <w:t>,</w:t>
      </w:r>
      <w:r w:rsidRPr="00EA5BC0">
        <w:rPr>
          <w:lang w:val="fr-FR"/>
        </w:rPr>
        <w:t xml:space="preserve"> mais a rejeté la demande de réouverture du dossier d</w:t>
      </w:r>
      <w:r w:rsidRPr="00EA5BC0">
        <w:rPr>
          <w:lang w:val="fr-FR"/>
        </w:rPr>
        <w:t>’</w:t>
      </w:r>
      <w:r w:rsidRPr="00EA5BC0">
        <w:rPr>
          <w:lang w:val="fr-FR"/>
        </w:rPr>
        <w:t>asile, estimant que les documents n</w:t>
      </w:r>
      <w:r w:rsidRPr="00EA5BC0">
        <w:rPr>
          <w:lang w:val="fr-FR"/>
        </w:rPr>
        <w:t>’</w:t>
      </w:r>
      <w:r w:rsidRPr="00EA5BC0">
        <w:rPr>
          <w:lang w:val="fr-FR"/>
        </w:rPr>
        <w:t xml:space="preserve">apportaient aucune </w:t>
      </w:r>
      <w:r w:rsidRPr="00EA5BC0">
        <w:rPr>
          <w:lang w:val="fr-FR"/>
        </w:rPr>
        <w:t>nouvelle</w:t>
      </w:r>
      <w:r w:rsidRPr="00EA5BC0" w:rsidDel="00AA248A">
        <w:rPr>
          <w:lang w:val="fr-FR"/>
        </w:rPr>
        <w:t xml:space="preserve"> </w:t>
      </w:r>
      <w:r w:rsidRPr="00EA5BC0">
        <w:rPr>
          <w:lang w:val="fr-FR"/>
        </w:rPr>
        <w:t>information im</w:t>
      </w:r>
      <w:r w:rsidRPr="00EA5BC0">
        <w:rPr>
          <w:lang w:val="fr-FR"/>
        </w:rPr>
        <w:t xml:space="preserve">portante. Il ressortait de la traduction des documents du tribunal </w:t>
      </w:r>
      <w:r w:rsidRPr="00EA5BC0">
        <w:rPr>
          <w:lang w:val="fr-FR"/>
        </w:rPr>
        <w:t>islamique</w:t>
      </w:r>
      <w:r w:rsidRPr="00EA5BC0">
        <w:rPr>
          <w:lang w:val="fr-FR"/>
        </w:rPr>
        <w:t xml:space="preserve">, </w:t>
      </w:r>
      <w:r w:rsidRPr="00EA5BC0">
        <w:rPr>
          <w:lang w:val="fr-FR"/>
        </w:rPr>
        <w:t xml:space="preserve">effectuée </w:t>
      </w:r>
      <w:r w:rsidRPr="00EA5BC0">
        <w:rPr>
          <w:lang w:val="fr-FR"/>
        </w:rPr>
        <w:t>par le Service danois de l</w:t>
      </w:r>
      <w:r w:rsidRPr="00EA5BC0">
        <w:rPr>
          <w:lang w:val="fr-FR"/>
        </w:rPr>
        <w:t>’</w:t>
      </w:r>
      <w:r w:rsidRPr="00EA5BC0">
        <w:rPr>
          <w:lang w:val="fr-FR"/>
        </w:rPr>
        <w:t>immigration, que l</w:t>
      </w:r>
      <w:r w:rsidRPr="00EA5BC0">
        <w:rPr>
          <w:lang w:val="fr-FR"/>
        </w:rPr>
        <w:t>’</w:t>
      </w:r>
      <w:r w:rsidRPr="00EA5BC0">
        <w:rPr>
          <w:lang w:val="fr-FR"/>
        </w:rPr>
        <w:t>enquête contre l</w:t>
      </w:r>
      <w:r w:rsidRPr="00EA5BC0">
        <w:rPr>
          <w:lang w:val="fr-FR"/>
        </w:rPr>
        <w:t>’</w:t>
      </w:r>
      <w:r w:rsidRPr="00EA5BC0">
        <w:rPr>
          <w:lang w:val="fr-FR"/>
        </w:rPr>
        <w:t xml:space="preserve">auteure semblait être en cours et que le dossier </w:t>
      </w:r>
      <w:r w:rsidRPr="00EA5BC0">
        <w:rPr>
          <w:lang w:val="fr-FR"/>
        </w:rPr>
        <w:t xml:space="preserve">devait être transmis </w:t>
      </w:r>
      <w:r w:rsidRPr="00EA5BC0">
        <w:rPr>
          <w:lang w:val="fr-FR"/>
        </w:rPr>
        <w:t>au parquet. Le mot clos figurait da</w:t>
      </w:r>
      <w:r w:rsidRPr="00EA5BC0">
        <w:rPr>
          <w:lang w:val="fr-FR"/>
        </w:rPr>
        <w:t>ns l</w:t>
      </w:r>
      <w:r w:rsidRPr="00EA5BC0">
        <w:rPr>
          <w:lang w:val="fr-FR"/>
        </w:rPr>
        <w:t>’</w:t>
      </w:r>
      <w:r w:rsidRPr="00EA5BC0">
        <w:rPr>
          <w:lang w:val="fr-FR"/>
        </w:rPr>
        <w:t xml:space="preserve">intitulé du courrier adressé </w:t>
      </w:r>
      <w:r w:rsidRPr="00EA5BC0">
        <w:rPr>
          <w:lang w:val="fr-FR"/>
        </w:rPr>
        <w:t>à</w:t>
      </w:r>
      <w:r w:rsidRPr="00EA5BC0">
        <w:rPr>
          <w:lang w:val="fr-FR"/>
        </w:rPr>
        <w:t xml:space="preserve"> la sœur de l</w:t>
      </w:r>
      <w:r w:rsidRPr="00EA5BC0">
        <w:rPr>
          <w:lang w:val="fr-FR"/>
        </w:rPr>
        <w:t>’auteure</w:t>
      </w:r>
      <w:r w:rsidRPr="00EA5BC0">
        <w:rPr>
          <w:lang w:val="fr-FR"/>
        </w:rPr>
        <w:t xml:space="preserve"> </w:t>
      </w:r>
      <w:r w:rsidRPr="00EA5BC0">
        <w:rPr>
          <w:lang w:val="fr-FR"/>
        </w:rPr>
        <w:t xml:space="preserve">par le tribunal </w:t>
      </w:r>
      <w:r w:rsidRPr="00EA5BC0">
        <w:rPr>
          <w:lang w:val="fr-FR"/>
        </w:rPr>
        <w:t>islamique.</w:t>
      </w:r>
      <w:r w:rsidRPr="00EA5BC0">
        <w:rPr>
          <w:lang w:val="fr-FR"/>
        </w:rPr>
        <w:t xml:space="preserve"> </w:t>
      </w:r>
      <w:r w:rsidRPr="00EA5BC0">
        <w:rPr>
          <w:lang w:val="fr-FR"/>
        </w:rPr>
        <w:t>La Commission a</w:t>
      </w:r>
      <w:r w:rsidRPr="00EA5BC0">
        <w:rPr>
          <w:lang w:val="fr-FR"/>
        </w:rPr>
        <w:t xml:space="preserve"> dit </w:t>
      </w:r>
      <w:r w:rsidRPr="00EA5BC0">
        <w:rPr>
          <w:lang w:val="fr-FR"/>
        </w:rPr>
        <w:t>dout</w:t>
      </w:r>
      <w:r w:rsidRPr="00EA5BC0">
        <w:rPr>
          <w:lang w:val="fr-FR"/>
        </w:rPr>
        <w:t xml:space="preserve">er </w:t>
      </w:r>
      <w:r w:rsidRPr="00EA5BC0">
        <w:rPr>
          <w:lang w:val="fr-FR"/>
        </w:rPr>
        <w:t>que l</w:t>
      </w:r>
      <w:r w:rsidRPr="00EA5BC0">
        <w:rPr>
          <w:lang w:val="fr-FR"/>
        </w:rPr>
        <w:t>’</w:t>
      </w:r>
      <w:r w:rsidRPr="00EA5BC0">
        <w:rPr>
          <w:lang w:val="fr-FR"/>
        </w:rPr>
        <w:t>auteure soit reconnue coupable, car il n</w:t>
      </w:r>
      <w:r w:rsidRPr="00EA5BC0">
        <w:rPr>
          <w:lang w:val="fr-FR"/>
        </w:rPr>
        <w:t>’</w:t>
      </w:r>
      <w:r w:rsidRPr="00EA5BC0">
        <w:rPr>
          <w:lang w:val="fr-FR"/>
        </w:rPr>
        <w:t>y avait pas eu de poursuites. Le</w:t>
      </w:r>
      <w:r w:rsidR="00EA5BC0">
        <w:rPr>
          <w:lang w:val="fr-FR"/>
        </w:rPr>
        <w:t xml:space="preserve"> </w:t>
      </w:r>
      <w:r w:rsidRPr="00EA5BC0">
        <w:rPr>
          <w:lang w:val="fr-FR"/>
        </w:rPr>
        <w:t>25 mars 2015, l</w:t>
      </w:r>
      <w:r w:rsidRPr="00EA5BC0">
        <w:rPr>
          <w:lang w:val="fr-FR"/>
        </w:rPr>
        <w:t>’</w:t>
      </w:r>
      <w:r w:rsidRPr="00EA5BC0">
        <w:rPr>
          <w:lang w:val="fr-FR"/>
        </w:rPr>
        <w:t xml:space="preserve">auteure a </w:t>
      </w:r>
      <w:r w:rsidRPr="00EA5BC0">
        <w:rPr>
          <w:lang w:val="fr-FR"/>
        </w:rPr>
        <w:t>p</w:t>
      </w:r>
      <w:r w:rsidRPr="00EA5BC0">
        <w:rPr>
          <w:lang w:val="fr-FR"/>
        </w:rPr>
        <w:t xml:space="preserve">résenté à nouveau </w:t>
      </w:r>
      <w:r w:rsidRPr="00EA5BC0">
        <w:rPr>
          <w:lang w:val="fr-FR"/>
        </w:rPr>
        <w:t xml:space="preserve">sa demande de </w:t>
      </w:r>
      <w:r w:rsidRPr="00EA5BC0">
        <w:rPr>
          <w:lang w:val="fr-FR"/>
        </w:rPr>
        <w:t>réouverture de dossier en a</w:t>
      </w:r>
      <w:r w:rsidRPr="00EA5BC0">
        <w:rPr>
          <w:lang w:val="fr-FR"/>
        </w:rPr>
        <w:t xml:space="preserve">ffirmant </w:t>
      </w:r>
      <w:r w:rsidRPr="00EA5BC0">
        <w:rPr>
          <w:lang w:val="fr-FR"/>
        </w:rPr>
        <w:t>que la Commission avait commis une erreur de traduction et que le terme traduit par « clos » aurait dû l</w:t>
      </w:r>
      <w:r w:rsidRPr="00EA5BC0">
        <w:rPr>
          <w:lang w:val="fr-FR"/>
        </w:rPr>
        <w:t>’</w:t>
      </w:r>
      <w:r w:rsidRPr="00EA5BC0">
        <w:rPr>
          <w:lang w:val="fr-FR"/>
        </w:rPr>
        <w:t>être par l</w:t>
      </w:r>
      <w:r w:rsidRPr="00EA5BC0">
        <w:rPr>
          <w:lang w:val="fr-FR"/>
        </w:rPr>
        <w:t>’</w:t>
      </w:r>
      <w:r w:rsidRPr="00EA5BC0">
        <w:rPr>
          <w:lang w:val="fr-FR"/>
        </w:rPr>
        <w:t xml:space="preserve">adjectif « confidentiel ». Le 30 mars 2015, la Commission </w:t>
      </w:r>
      <w:r w:rsidRPr="00EA5BC0">
        <w:rPr>
          <w:lang w:val="fr-FR"/>
        </w:rPr>
        <w:t>a rejeté cette demande en faisant valoir que l</w:t>
      </w:r>
      <w:r w:rsidRPr="00EA5BC0">
        <w:rPr>
          <w:lang w:val="fr-FR"/>
        </w:rPr>
        <w:t>a révision de la traduction n</w:t>
      </w:r>
      <w:r w:rsidRPr="00EA5BC0">
        <w:rPr>
          <w:lang w:val="fr-FR"/>
        </w:rPr>
        <w:t>’</w:t>
      </w:r>
      <w:r w:rsidRPr="00EA5BC0">
        <w:rPr>
          <w:lang w:val="fr-FR"/>
        </w:rPr>
        <w:t>avait rien changé au fait que</w:t>
      </w:r>
      <w:r w:rsidRPr="00EA5BC0">
        <w:rPr>
          <w:lang w:val="fr-FR"/>
        </w:rPr>
        <w:t>,</w:t>
      </w:r>
      <w:r w:rsidRPr="00EA5BC0">
        <w:rPr>
          <w:lang w:val="fr-FR"/>
        </w:rPr>
        <w:t xml:space="preserve"> depuis avril 2012</w:t>
      </w:r>
      <w:r w:rsidRPr="00EA5BC0">
        <w:rPr>
          <w:lang w:val="fr-FR"/>
        </w:rPr>
        <w:t>,</w:t>
      </w:r>
      <w:r w:rsidRPr="00EA5BC0">
        <w:rPr>
          <w:lang w:val="fr-FR"/>
        </w:rPr>
        <w:t xml:space="preserve"> ni </w:t>
      </w:r>
      <w:r w:rsidRPr="00EA5BC0">
        <w:rPr>
          <w:lang w:val="fr-FR"/>
        </w:rPr>
        <w:t xml:space="preserve">le </w:t>
      </w:r>
      <w:r w:rsidRPr="00EA5BC0">
        <w:rPr>
          <w:lang w:val="fr-FR"/>
        </w:rPr>
        <w:t>Département des affaires islamiques</w:t>
      </w:r>
      <w:r w:rsidRPr="00EA5BC0">
        <w:rPr>
          <w:lang w:val="fr-FR"/>
        </w:rPr>
        <w:t xml:space="preserve"> ni </w:t>
      </w:r>
      <w:r w:rsidRPr="00EA5BC0">
        <w:rPr>
          <w:lang w:val="fr-FR"/>
        </w:rPr>
        <w:t>personne d’autre</w:t>
      </w:r>
      <w:r w:rsidRPr="00EA5BC0">
        <w:rPr>
          <w:lang w:val="fr-FR"/>
        </w:rPr>
        <w:t xml:space="preserve"> n</w:t>
      </w:r>
      <w:r w:rsidRPr="00EA5BC0">
        <w:rPr>
          <w:lang w:val="fr-FR"/>
        </w:rPr>
        <w:t>’</w:t>
      </w:r>
      <w:r w:rsidRPr="00EA5BC0">
        <w:rPr>
          <w:lang w:val="fr-FR"/>
        </w:rPr>
        <w:t>avait donné suite aux accusations</w:t>
      </w:r>
      <w:r w:rsidRPr="00EA5BC0">
        <w:rPr>
          <w:lang w:val="fr-FR"/>
        </w:rPr>
        <w:t xml:space="preserve"> visant l</w:t>
      </w:r>
      <w:r w:rsidRPr="00EA5BC0">
        <w:rPr>
          <w:lang w:val="fr-FR"/>
        </w:rPr>
        <w:t>’</w:t>
      </w:r>
      <w:r w:rsidRPr="00EA5BC0">
        <w:rPr>
          <w:lang w:val="fr-FR"/>
        </w:rPr>
        <w:t>auteure et que, depuis cette date, celle-ci avait été en mesure d</w:t>
      </w:r>
      <w:r w:rsidRPr="00EA5BC0">
        <w:rPr>
          <w:lang w:val="fr-FR"/>
        </w:rPr>
        <w:t>’</w:t>
      </w:r>
      <w:r w:rsidRPr="00EA5BC0">
        <w:rPr>
          <w:lang w:val="fr-FR"/>
        </w:rPr>
        <w:t>e</w:t>
      </w:r>
      <w:r w:rsidRPr="00EA5BC0">
        <w:rPr>
          <w:lang w:val="fr-FR"/>
        </w:rPr>
        <w:t>ntrer et de sortir légalement du pays sans aucun problème, jusqu</w:t>
      </w:r>
      <w:r w:rsidRPr="00EA5BC0">
        <w:rPr>
          <w:lang w:val="fr-FR"/>
        </w:rPr>
        <w:t>’</w:t>
      </w:r>
      <w:r w:rsidRPr="00EA5BC0">
        <w:rPr>
          <w:lang w:val="fr-FR"/>
        </w:rPr>
        <w:t>à son départ en janvier 2014, et qu</w:t>
      </w:r>
      <w:r w:rsidRPr="00EA5BC0">
        <w:rPr>
          <w:lang w:val="fr-FR"/>
        </w:rPr>
        <w:t>’</w:t>
      </w:r>
      <w:r w:rsidRPr="00EA5BC0">
        <w:rPr>
          <w:lang w:val="fr-FR"/>
        </w:rPr>
        <w:t>en outre elle n</w:t>
      </w:r>
      <w:r w:rsidRPr="00EA5BC0">
        <w:rPr>
          <w:lang w:val="fr-FR"/>
        </w:rPr>
        <w:t>’</w:t>
      </w:r>
      <w:r w:rsidRPr="00EA5BC0">
        <w:rPr>
          <w:lang w:val="fr-FR"/>
        </w:rPr>
        <w:t>avait p</w:t>
      </w:r>
      <w:r w:rsidRPr="00EA5BC0">
        <w:rPr>
          <w:lang w:val="fr-FR"/>
        </w:rPr>
        <w:t>lus</w:t>
      </w:r>
      <w:r w:rsidRPr="00EA5BC0">
        <w:rPr>
          <w:lang w:val="fr-FR"/>
        </w:rPr>
        <w:t xml:space="preserve"> été placée en détention, ni n</w:t>
      </w:r>
      <w:r w:rsidRPr="00EA5BC0">
        <w:rPr>
          <w:lang w:val="fr-FR"/>
        </w:rPr>
        <w:t>’</w:t>
      </w:r>
      <w:r w:rsidRPr="00EA5BC0">
        <w:rPr>
          <w:lang w:val="fr-FR"/>
        </w:rPr>
        <w:t>avait subi d</w:t>
      </w:r>
      <w:r w:rsidRPr="00EA5BC0">
        <w:rPr>
          <w:lang w:val="fr-FR"/>
        </w:rPr>
        <w:t>’</w:t>
      </w:r>
      <w:r w:rsidRPr="00EA5BC0">
        <w:rPr>
          <w:lang w:val="fr-FR"/>
        </w:rPr>
        <w:t>autres mauvais traitements.</w:t>
      </w:r>
    </w:p>
    <w:p w:rsidR="00870218" w:rsidRPr="00EA5BC0" w:rsidRDefault="00366EE4" w:rsidP="00744464">
      <w:pPr>
        <w:pStyle w:val="H23G"/>
        <w:spacing w:before="200" w:after="100"/>
        <w:rPr>
          <w:lang w:val="fr-FR"/>
        </w:rPr>
      </w:pPr>
      <w:r w:rsidRPr="00EA5BC0">
        <w:rPr>
          <w:lang w:val="fr-FR"/>
        </w:rPr>
        <w:tab/>
      </w:r>
      <w:r w:rsidRPr="00EA5BC0">
        <w:rPr>
          <w:lang w:val="fr-FR"/>
        </w:rPr>
        <w:tab/>
        <w:t>Teneur de la plainte</w:t>
      </w:r>
    </w:p>
    <w:p w:rsidR="00870218" w:rsidRPr="00EA5BC0" w:rsidRDefault="00366EE4" w:rsidP="000C1BE0">
      <w:pPr>
        <w:pStyle w:val="SingleTxtG"/>
        <w:spacing w:after="100" w:line="230" w:lineRule="exact"/>
        <w:rPr>
          <w:lang w:val="fr-FR"/>
        </w:rPr>
      </w:pPr>
      <w:r w:rsidRPr="00EA5BC0">
        <w:rPr>
          <w:lang w:val="fr-FR"/>
        </w:rPr>
        <w:t>3.1</w:t>
      </w:r>
      <w:r w:rsidRPr="00EA5BC0">
        <w:rPr>
          <w:lang w:val="fr-FR"/>
        </w:rPr>
        <w:tab/>
        <w:t>L</w:t>
      </w:r>
      <w:r w:rsidRPr="00EA5BC0">
        <w:rPr>
          <w:lang w:val="fr-FR"/>
        </w:rPr>
        <w:t>’</w:t>
      </w:r>
      <w:r w:rsidRPr="00EA5BC0">
        <w:rPr>
          <w:lang w:val="fr-FR"/>
        </w:rPr>
        <w:t>auteure affirme que son renv</w:t>
      </w:r>
      <w:r w:rsidRPr="00EA5BC0">
        <w:rPr>
          <w:lang w:val="fr-FR"/>
        </w:rPr>
        <w:t>oi forcé en Malaisie constituerait une violation de l</w:t>
      </w:r>
      <w:r w:rsidRPr="00EA5BC0">
        <w:rPr>
          <w:lang w:val="fr-FR"/>
        </w:rPr>
        <w:t>’</w:t>
      </w:r>
      <w:r w:rsidR="00EA5BC0">
        <w:rPr>
          <w:lang w:val="fr-FR"/>
        </w:rPr>
        <w:t xml:space="preserve">article </w:t>
      </w:r>
      <w:r w:rsidRPr="00EA5BC0">
        <w:rPr>
          <w:lang w:val="fr-FR"/>
        </w:rPr>
        <w:t>7 du Pacte en ce qu</w:t>
      </w:r>
      <w:r w:rsidRPr="00EA5BC0">
        <w:rPr>
          <w:lang w:val="fr-FR"/>
        </w:rPr>
        <w:t>’</w:t>
      </w:r>
      <w:r w:rsidRPr="00EA5BC0">
        <w:rPr>
          <w:lang w:val="fr-FR"/>
        </w:rPr>
        <w:t>elle risquerait d</w:t>
      </w:r>
      <w:r w:rsidRPr="00EA5BC0">
        <w:rPr>
          <w:lang w:val="fr-FR"/>
        </w:rPr>
        <w:t>’</w:t>
      </w:r>
      <w:r w:rsidRPr="00EA5BC0">
        <w:rPr>
          <w:lang w:val="fr-FR"/>
        </w:rPr>
        <w:t>être victime de violences sexuelles de la part de la police malaisienne. Elle fait valoir qu</w:t>
      </w:r>
      <w:r w:rsidRPr="00EA5BC0">
        <w:rPr>
          <w:lang w:val="fr-FR"/>
        </w:rPr>
        <w:t>’</w:t>
      </w:r>
      <w:r w:rsidRPr="00EA5BC0">
        <w:rPr>
          <w:lang w:val="fr-FR"/>
        </w:rPr>
        <w:t>en tant que femme transgenre</w:t>
      </w:r>
      <w:r w:rsidRPr="00EA5BC0">
        <w:rPr>
          <w:lang w:val="fr-FR"/>
        </w:rPr>
        <w:t>,</w:t>
      </w:r>
      <w:r w:rsidRPr="00EA5BC0">
        <w:rPr>
          <w:lang w:val="fr-FR"/>
        </w:rPr>
        <w:t xml:space="preserve"> elle appartient à un groupe minor</w:t>
      </w:r>
      <w:r w:rsidRPr="00EA5BC0">
        <w:rPr>
          <w:lang w:val="fr-FR"/>
        </w:rPr>
        <w:t>itaire extrêmement vulnérable. La gravité du risque qu</w:t>
      </w:r>
      <w:r w:rsidRPr="00EA5BC0">
        <w:rPr>
          <w:lang w:val="fr-FR"/>
        </w:rPr>
        <w:t>’</w:t>
      </w:r>
      <w:r w:rsidRPr="00EA5BC0">
        <w:rPr>
          <w:lang w:val="fr-FR"/>
        </w:rPr>
        <w:t>elle court</w:t>
      </w:r>
      <w:r w:rsidRPr="00EA5BC0">
        <w:rPr>
          <w:lang w:val="fr-FR"/>
        </w:rPr>
        <w:t xml:space="preserve"> tient à</w:t>
      </w:r>
      <w:r w:rsidRPr="00EA5BC0">
        <w:rPr>
          <w:lang w:val="fr-FR"/>
        </w:rPr>
        <w:t xml:space="preserve"> son identité de genre et </w:t>
      </w:r>
      <w:r w:rsidRPr="00EA5BC0">
        <w:rPr>
          <w:lang w:val="fr-FR"/>
        </w:rPr>
        <w:t>à</w:t>
      </w:r>
      <w:r w:rsidRPr="00EA5BC0">
        <w:rPr>
          <w:lang w:val="fr-FR"/>
        </w:rPr>
        <w:t xml:space="preserve"> son apparence, qui ne sont pas conformes aux règles de la charia et à cause desquelles elle a déjà été victime par le passé de violences sexuelles et de discrimination de la part des autorités malaisiennes.</w:t>
      </w:r>
    </w:p>
    <w:p w:rsidR="00870218" w:rsidRPr="00EA5BC0" w:rsidRDefault="00366EE4" w:rsidP="000C1BE0">
      <w:pPr>
        <w:pStyle w:val="SingleTxtG"/>
        <w:spacing w:after="100" w:line="230" w:lineRule="exact"/>
        <w:rPr>
          <w:lang w:val="fr-FR"/>
        </w:rPr>
      </w:pPr>
      <w:r w:rsidRPr="00EA5BC0">
        <w:rPr>
          <w:lang w:val="fr-FR"/>
        </w:rPr>
        <w:t>3.2</w:t>
      </w:r>
      <w:r w:rsidRPr="00EA5BC0">
        <w:rPr>
          <w:lang w:val="fr-FR"/>
        </w:rPr>
        <w:tab/>
        <w:t>L</w:t>
      </w:r>
      <w:r w:rsidRPr="00EA5BC0">
        <w:rPr>
          <w:lang w:val="fr-FR"/>
        </w:rPr>
        <w:t>’</w:t>
      </w:r>
      <w:r w:rsidRPr="00EA5BC0">
        <w:rPr>
          <w:lang w:val="fr-FR"/>
        </w:rPr>
        <w:t>auteure dénonce également une violation de</w:t>
      </w:r>
      <w:r w:rsidRPr="00EA5BC0">
        <w:rPr>
          <w:lang w:val="fr-FR"/>
        </w:rPr>
        <w:t xml:space="preserve"> l</w:t>
      </w:r>
      <w:r w:rsidRPr="00EA5BC0">
        <w:rPr>
          <w:lang w:val="fr-FR"/>
        </w:rPr>
        <w:t>’</w:t>
      </w:r>
      <w:r w:rsidR="00EA5BC0">
        <w:rPr>
          <w:lang w:val="fr-FR"/>
        </w:rPr>
        <w:t xml:space="preserve">article </w:t>
      </w:r>
      <w:r w:rsidRPr="00EA5BC0">
        <w:rPr>
          <w:lang w:val="fr-FR"/>
        </w:rPr>
        <w:t>7</w:t>
      </w:r>
      <w:r w:rsidRPr="00EA5BC0">
        <w:rPr>
          <w:lang w:val="fr-FR"/>
        </w:rPr>
        <w:t>,</w:t>
      </w:r>
      <w:r w:rsidRPr="00EA5BC0">
        <w:rPr>
          <w:lang w:val="fr-FR"/>
        </w:rPr>
        <w:t xml:space="preserve"> lu conjointement avec le </w:t>
      </w:r>
      <w:r w:rsidR="00EA5BC0">
        <w:rPr>
          <w:lang w:val="fr-FR"/>
        </w:rPr>
        <w:t xml:space="preserve">paragraphe </w:t>
      </w:r>
      <w:r w:rsidRPr="00EA5BC0">
        <w:rPr>
          <w:lang w:val="fr-FR"/>
        </w:rPr>
        <w:t>1 de l</w:t>
      </w:r>
      <w:r w:rsidRPr="00EA5BC0">
        <w:rPr>
          <w:lang w:val="fr-FR"/>
        </w:rPr>
        <w:t>’</w:t>
      </w:r>
      <w:r w:rsidR="00EA5BC0">
        <w:rPr>
          <w:lang w:val="fr-FR"/>
        </w:rPr>
        <w:t xml:space="preserve">article </w:t>
      </w:r>
      <w:r w:rsidRPr="00EA5BC0">
        <w:rPr>
          <w:lang w:val="fr-FR"/>
        </w:rPr>
        <w:t>18 du Pacte, faisant valoir que sa conversion à l</w:t>
      </w:r>
      <w:r w:rsidRPr="00EA5BC0">
        <w:rPr>
          <w:lang w:val="fr-FR"/>
        </w:rPr>
        <w:t>’</w:t>
      </w:r>
      <w:r w:rsidRPr="00EA5BC0">
        <w:rPr>
          <w:lang w:val="fr-FR"/>
        </w:rPr>
        <w:t>hindouisme, interdite par la charia, l</w:t>
      </w:r>
      <w:r w:rsidRPr="00EA5BC0">
        <w:rPr>
          <w:lang w:val="fr-FR"/>
        </w:rPr>
        <w:t>’</w:t>
      </w:r>
      <w:r w:rsidRPr="00EA5BC0">
        <w:rPr>
          <w:lang w:val="fr-FR"/>
        </w:rPr>
        <w:t>expose au risque d</w:t>
      </w:r>
      <w:r w:rsidRPr="00EA5BC0">
        <w:rPr>
          <w:lang w:val="fr-FR"/>
        </w:rPr>
        <w:t>’</w:t>
      </w:r>
      <w:r w:rsidRPr="00EA5BC0">
        <w:rPr>
          <w:lang w:val="fr-FR"/>
        </w:rPr>
        <w:t xml:space="preserve">être emprisonnée en cas de renvoi </w:t>
      </w:r>
      <w:r w:rsidRPr="00EA5BC0">
        <w:rPr>
          <w:lang w:val="fr-FR"/>
        </w:rPr>
        <w:t>en Malaisie</w:t>
      </w:r>
      <w:r w:rsidRPr="00EA5BC0">
        <w:rPr>
          <w:lang w:val="fr-FR"/>
        </w:rPr>
        <w:t>.</w:t>
      </w:r>
    </w:p>
    <w:p w:rsidR="00870218" w:rsidRPr="00EA5BC0" w:rsidRDefault="00366EE4" w:rsidP="000C1BE0">
      <w:pPr>
        <w:pStyle w:val="SingleTxtG"/>
        <w:spacing w:after="100" w:line="230" w:lineRule="exact"/>
        <w:rPr>
          <w:lang w:val="fr-FR"/>
        </w:rPr>
      </w:pPr>
      <w:r w:rsidRPr="00EA5BC0">
        <w:rPr>
          <w:lang w:val="fr-FR"/>
        </w:rPr>
        <w:t>3.3</w:t>
      </w:r>
      <w:r w:rsidRPr="00EA5BC0">
        <w:rPr>
          <w:lang w:val="fr-FR"/>
        </w:rPr>
        <w:tab/>
        <w:t>L</w:t>
      </w:r>
      <w:r w:rsidRPr="00EA5BC0">
        <w:rPr>
          <w:lang w:val="fr-FR"/>
        </w:rPr>
        <w:t>’</w:t>
      </w:r>
      <w:r w:rsidRPr="00EA5BC0">
        <w:rPr>
          <w:lang w:val="fr-FR"/>
        </w:rPr>
        <w:t>auteure allègue aussi une viol</w:t>
      </w:r>
      <w:r w:rsidRPr="00EA5BC0">
        <w:rPr>
          <w:lang w:val="fr-FR"/>
        </w:rPr>
        <w:t>ation de l</w:t>
      </w:r>
      <w:r w:rsidRPr="00EA5BC0">
        <w:rPr>
          <w:lang w:val="fr-FR"/>
        </w:rPr>
        <w:t>’</w:t>
      </w:r>
      <w:r w:rsidR="00EA5BC0">
        <w:rPr>
          <w:lang w:val="fr-FR"/>
        </w:rPr>
        <w:t xml:space="preserve">article </w:t>
      </w:r>
      <w:r w:rsidRPr="00EA5BC0">
        <w:rPr>
          <w:lang w:val="fr-FR"/>
        </w:rPr>
        <w:t>7</w:t>
      </w:r>
      <w:r w:rsidRPr="00EA5BC0">
        <w:rPr>
          <w:lang w:val="fr-FR"/>
        </w:rPr>
        <w:t>,</w:t>
      </w:r>
      <w:r w:rsidRPr="00EA5BC0">
        <w:rPr>
          <w:lang w:val="fr-FR"/>
        </w:rPr>
        <w:t xml:space="preserve"> lu conjointement avec le </w:t>
      </w:r>
      <w:r w:rsidR="00EA5BC0">
        <w:rPr>
          <w:lang w:val="fr-FR"/>
        </w:rPr>
        <w:t xml:space="preserve">paragraphe </w:t>
      </w:r>
      <w:r w:rsidRPr="00EA5BC0">
        <w:rPr>
          <w:lang w:val="fr-FR"/>
        </w:rPr>
        <w:t>1 de l</w:t>
      </w:r>
      <w:r w:rsidRPr="00EA5BC0">
        <w:rPr>
          <w:lang w:val="fr-FR"/>
        </w:rPr>
        <w:t>’</w:t>
      </w:r>
      <w:r w:rsidR="00EA5BC0">
        <w:rPr>
          <w:lang w:val="fr-FR"/>
        </w:rPr>
        <w:t xml:space="preserve">article </w:t>
      </w:r>
      <w:r w:rsidRPr="00EA5BC0">
        <w:rPr>
          <w:lang w:val="fr-FR"/>
        </w:rPr>
        <w:t>17 et l</w:t>
      </w:r>
      <w:r w:rsidRPr="00EA5BC0">
        <w:rPr>
          <w:lang w:val="fr-FR"/>
        </w:rPr>
        <w:t>’</w:t>
      </w:r>
      <w:r w:rsidR="00EA5BC0">
        <w:rPr>
          <w:lang w:val="fr-FR"/>
        </w:rPr>
        <w:t xml:space="preserve">article </w:t>
      </w:r>
      <w:r w:rsidRPr="00EA5BC0">
        <w:rPr>
          <w:lang w:val="fr-FR"/>
        </w:rPr>
        <w:t>26</w:t>
      </w:r>
      <w:r w:rsidRPr="00EA5BC0">
        <w:rPr>
          <w:lang w:val="fr-FR"/>
        </w:rPr>
        <w:t xml:space="preserve"> du Pacte</w:t>
      </w:r>
      <w:r w:rsidRPr="00EA5BC0">
        <w:rPr>
          <w:lang w:val="fr-FR"/>
        </w:rPr>
        <w:t xml:space="preserve">, liée au fait que, dans le cadre de la procédure pendante à son encontre devant le </w:t>
      </w:r>
      <w:r w:rsidRPr="00EA5BC0">
        <w:rPr>
          <w:lang w:val="fr-FR"/>
        </w:rPr>
        <w:t>tribunal islamique</w:t>
      </w:r>
      <w:r w:rsidRPr="00EA5BC0">
        <w:rPr>
          <w:lang w:val="fr-FR"/>
        </w:rPr>
        <w:t xml:space="preserve">, son identité de genre et son apparence sont rendues </w:t>
      </w:r>
      <w:r w:rsidRPr="00EA5BC0">
        <w:rPr>
          <w:lang w:val="fr-FR"/>
        </w:rPr>
        <w:t>publiques, ce qui constitue une violation de son droit à la vie privée. Au surplus</w:t>
      </w:r>
      <w:r w:rsidRPr="00EA5BC0">
        <w:rPr>
          <w:lang w:val="fr-FR"/>
        </w:rPr>
        <w:t>,</w:t>
      </w:r>
      <w:r w:rsidRPr="00EA5BC0">
        <w:rPr>
          <w:lang w:val="fr-FR"/>
        </w:rPr>
        <w:t xml:space="preserve"> </w:t>
      </w:r>
      <w:r w:rsidRPr="00EA5BC0">
        <w:rPr>
          <w:lang w:val="fr-FR"/>
        </w:rPr>
        <w:t>compte tenu de ses documents d’identité nationaux</w:t>
      </w:r>
      <w:r w:rsidRPr="00EA5BC0">
        <w:rPr>
          <w:lang w:val="fr-FR"/>
        </w:rPr>
        <w:t>, en cas de condamnation à une peine de prison, elle serait détenue avec des hommes, ce qui l</w:t>
      </w:r>
      <w:r w:rsidRPr="00EA5BC0">
        <w:rPr>
          <w:lang w:val="fr-FR"/>
        </w:rPr>
        <w:t>’</w:t>
      </w:r>
      <w:r w:rsidRPr="00EA5BC0">
        <w:rPr>
          <w:lang w:val="fr-FR"/>
        </w:rPr>
        <w:t>exposerait à de nouveaux sévi</w:t>
      </w:r>
      <w:r w:rsidRPr="00EA5BC0">
        <w:rPr>
          <w:lang w:val="fr-FR"/>
        </w:rPr>
        <w:t>ces.</w:t>
      </w:r>
    </w:p>
    <w:p w:rsidR="00870218" w:rsidRPr="00EA5BC0" w:rsidRDefault="00366EE4" w:rsidP="00744464">
      <w:pPr>
        <w:pStyle w:val="H23G"/>
        <w:spacing w:before="200" w:after="100"/>
        <w:rPr>
          <w:lang w:val="fr-FR"/>
        </w:rPr>
      </w:pPr>
      <w:r w:rsidRPr="00EA5BC0">
        <w:rPr>
          <w:lang w:val="fr-FR"/>
        </w:rPr>
        <w:tab/>
      </w:r>
      <w:r w:rsidRPr="00EA5BC0">
        <w:rPr>
          <w:lang w:val="fr-FR"/>
        </w:rPr>
        <w:tab/>
        <w:t>Observations de l</w:t>
      </w:r>
      <w:r w:rsidRPr="00EA5BC0">
        <w:rPr>
          <w:lang w:val="fr-FR"/>
        </w:rPr>
        <w:t>’</w:t>
      </w:r>
      <w:r w:rsidRPr="00EA5BC0">
        <w:rPr>
          <w:lang w:val="fr-FR"/>
        </w:rPr>
        <w:t>État partie sur la recevabilité et sur le fond</w:t>
      </w:r>
    </w:p>
    <w:p w:rsidR="00870218" w:rsidRPr="00EA5BC0" w:rsidRDefault="00366EE4" w:rsidP="000C1BE0">
      <w:pPr>
        <w:pStyle w:val="SingleTxtG"/>
        <w:spacing w:after="100" w:line="230" w:lineRule="exact"/>
        <w:rPr>
          <w:lang w:val="fr-FR"/>
        </w:rPr>
      </w:pPr>
      <w:r w:rsidRPr="00EA5BC0">
        <w:rPr>
          <w:lang w:val="fr-FR"/>
        </w:rPr>
        <w:t>4.1</w:t>
      </w:r>
      <w:r w:rsidRPr="00EA5BC0">
        <w:rPr>
          <w:lang w:val="fr-FR"/>
        </w:rPr>
        <w:tab/>
        <w:t>Dans ses observations en date du 1</w:t>
      </w:r>
      <w:r w:rsidRPr="00EA5BC0">
        <w:rPr>
          <w:vertAlign w:val="superscript"/>
          <w:lang w:val="fr-FR"/>
        </w:rPr>
        <w:t>er</w:t>
      </w:r>
      <w:r w:rsidRPr="00EA5BC0">
        <w:rPr>
          <w:lang w:val="fr-FR"/>
        </w:rPr>
        <w:t> octobre 2015, l</w:t>
      </w:r>
      <w:r w:rsidRPr="00EA5BC0">
        <w:rPr>
          <w:lang w:val="fr-FR"/>
        </w:rPr>
        <w:t>’</w:t>
      </w:r>
      <w:r w:rsidRPr="00EA5BC0">
        <w:rPr>
          <w:lang w:val="fr-FR"/>
        </w:rPr>
        <w:t xml:space="preserve">État partie soutient que la communication est irrecevable ou, à titre subsidiaire, dépourvue de fondement. Il décrit également </w:t>
      </w:r>
      <w:r w:rsidRPr="00EA5BC0">
        <w:rPr>
          <w:lang w:val="fr-FR"/>
        </w:rPr>
        <w:t>l</w:t>
      </w:r>
      <w:r w:rsidRPr="00EA5BC0">
        <w:rPr>
          <w:lang w:val="fr-FR"/>
        </w:rPr>
        <w:t>a nature</w:t>
      </w:r>
      <w:r w:rsidRPr="00EA5BC0">
        <w:rPr>
          <w:lang w:val="fr-FR"/>
        </w:rPr>
        <w:t xml:space="preserve"> et le </w:t>
      </w:r>
      <w:r w:rsidRPr="00EA5BC0">
        <w:rPr>
          <w:lang w:val="fr-FR"/>
        </w:rPr>
        <w:t>fondement juridique des procédures menées devant la Commission de recours pour les réfugiés</w:t>
      </w:r>
      <w:r w:rsidRPr="00EA5BC0">
        <w:rPr>
          <w:vertAlign w:val="superscript"/>
        </w:rPr>
        <w:footnoteReference w:id="10"/>
      </w:r>
      <w:r w:rsidRPr="00EA5BC0">
        <w:rPr>
          <w:lang w:val="fr-FR"/>
        </w:rPr>
        <w:t>.</w:t>
      </w:r>
    </w:p>
    <w:p w:rsidR="00870218" w:rsidRPr="00EA5BC0" w:rsidRDefault="00366EE4" w:rsidP="00EA5BC0">
      <w:pPr>
        <w:pStyle w:val="SingleTxtG"/>
        <w:rPr>
          <w:lang w:val="fr-FR"/>
        </w:rPr>
      </w:pPr>
      <w:r w:rsidRPr="00EA5BC0">
        <w:rPr>
          <w:lang w:val="fr-FR"/>
        </w:rPr>
        <w:lastRenderedPageBreak/>
        <w:t>4.2</w:t>
      </w:r>
      <w:r w:rsidRPr="00EA5BC0">
        <w:rPr>
          <w:lang w:val="fr-FR"/>
        </w:rPr>
        <w:tab/>
        <w:t>Pour ce qui est des faits</w:t>
      </w:r>
      <w:r w:rsidRPr="00EA5BC0">
        <w:rPr>
          <w:lang w:val="fr-FR"/>
        </w:rPr>
        <w:t xml:space="preserve"> de l</w:t>
      </w:r>
      <w:r w:rsidRPr="00EA5BC0">
        <w:rPr>
          <w:lang w:val="fr-FR"/>
        </w:rPr>
        <w:t>’</w:t>
      </w:r>
      <w:r w:rsidRPr="00EA5BC0">
        <w:rPr>
          <w:lang w:val="fr-FR"/>
        </w:rPr>
        <w:t>espèce, l</w:t>
      </w:r>
      <w:r w:rsidRPr="00EA5BC0">
        <w:rPr>
          <w:lang w:val="fr-FR"/>
        </w:rPr>
        <w:t>’</w:t>
      </w:r>
      <w:r w:rsidRPr="00EA5BC0">
        <w:rPr>
          <w:lang w:val="fr-FR"/>
        </w:rPr>
        <w:t>État partie rapporte les déclarations faites par l</w:t>
      </w:r>
      <w:r w:rsidRPr="00EA5BC0">
        <w:rPr>
          <w:lang w:val="fr-FR"/>
        </w:rPr>
        <w:t>’</w:t>
      </w:r>
      <w:r w:rsidRPr="00EA5BC0">
        <w:rPr>
          <w:lang w:val="fr-FR"/>
        </w:rPr>
        <w:t>auteure devant les autorités danoises. L</w:t>
      </w:r>
      <w:r w:rsidRPr="00EA5BC0">
        <w:rPr>
          <w:lang w:val="fr-FR"/>
        </w:rPr>
        <w:t>’</w:t>
      </w:r>
      <w:r w:rsidRPr="00EA5BC0">
        <w:rPr>
          <w:lang w:val="fr-FR"/>
        </w:rPr>
        <w:t>intéressée a indiqué qu</w:t>
      </w:r>
      <w:r w:rsidRPr="00EA5BC0">
        <w:rPr>
          <w:lang w:val="fr-FR"/>
        </w:rPr>
        <w:t>’</w:t>
      </w:r>
      <w:r w:rsidRPr="00EA5BC0">
        <w:rPr>
          <w:lang w:val="fr-FR"/>
        </w:rPr>
        <w:t>elle ne s</w:t>
      </w:r>
      <w:r w:rsidRPr="00EA5BC0">
        <w:rPr>
          <w:lang w:val="fr-FR"/>
        </w:rPr>
        <w:t>’</w:t>
      </w:r>
      <w:r w:rsidRPr="00EA5BC0">
        <w:rPr>
          <w:lang w:val="fr-FR"/>
        </w:rPr>
        <w:t>était pas officiellement convertie à l</w:t>
      </w:r>
      <w:r w:rsidRPr="00EA5BC0">
        <w:rPr>
          <w:lang w:val="fr-FR"/>
        </w:rPr>
        <w:t>’</w:t>
      </w:r>
      <w:r w:rsidRPr="00EA5BC0">
        <w:rPr>
          <w:lang w:val="fr-FR"/>
        </w:rPr>
        <w:t xml:space="preserve">hindouisme parce que </w:t>
      </w:r>
      <w:r w:rsidRPr="00EA5BC0">
        <w:rPr>
          <w:lang w:val="fr-FR"/>
        </w:rPr>
        <w:t>cela n</w:t>
      </w:r>
      <w:r w:rsidRPr="00EA5BC0">
        <w:rPr>
          <w:lang w:val="fr-FR"/>
        </w:rPr>
        <w:t>’</w:t>
      </w:r>
      <w:r w:rsidRPr="00EA5BC0">
        <w:rPr>
          <w:lang w:val="fr-FR"/>
        </w:rPr>
        <w:t>était pas permis par l</w:t>
      </w:r>
      <w:r w:rsidRPr="00EA5BC0">
        <w:rPr>
          <w:lang w:val="fr-FR"/>
        </w:rPr>
        <w:t>’</w:t>
      </w:r>
      <w:r w:rsidRPr="00EA5BC0">
        <w:rPr>
          <w:lang w:val="fr-FR"/>
        </w:rPr>
        <w:t>islam</w:t>
      </w:r>
      <w:r w:rsidRPr="00EA5BC0">
        <w:rPr>
          <w:lang w:val="fr-FR"/>
        </w:rPr>
        <w:t xml:space="preserve"> et qu</w:t>
      </w:r>
      <w:r w:rsidRPr="00EA5BC0">
        <w:rPr>
          <w:lang w:val="fr-FR"/>
        </w:rPr>
        <w:t>’</w:t>
      </w:r>
      <w:r w:rsidRPr="00EA5BC0">
        <w:rPr>
          <w:lang w:val="fr-FR"/>
        </w:rPr>
        <w:t>elle aurait eu des problèmes avec les autorités islamiques. Au cours de l</w:t>
      </w:r>
      <w:r w:rsidRPr="00EA5BC0">
        <w:rPr>
          <w:lang w:val="fr-FR"/>
        </w:rPr>
        <w:t>’</w:t>
      </w:r>
      <w:r w:rsidRPr="00EA5BC0">
        <w:rPr>
          <w:lang w:val="fr-FR"/>
        </w:rPr>
        <w:t>un des entretiens, elle a dit avoir été détenu</w:t>
      </w:r>
      <w:r w:rsidRPr="00EA5BC0">
        <w:rPr>
          <w:lang w:val="fr-FR"/>
        </w:rPr>
        <w:t>e par la police et forcée à pratiquer des fellations</w:t>
      </w:r>
      <w:r w:rsidRPr="00EA5BC0">
        <w:rPr>
          <w:lang w:val="fr-FR"/>
        </w:rPr>
        <w:t>, et ce jusqu’en d</w:t>
      </w:r>
      <w:r w:rsidRPr="00EA5BC0">
        <w:rPr>
          <w:lang w:val="fr-FR"/>
        </w:rPr>
        <w:t>écembre 2012, alors que</w:t>
      </w:r>
      <w:r w:rsidRPr="00EA5BC0">
        <w:rPr>
          <w:lang w:val="fr-FR"/>
        </w:rPr>
        <w:t>,</w:t>
      </w:r>
      <w:r w:rsidRPr="00EA5BC0">
        <w:rPr>
          <w:lang w:val="fr-FR"/>
        </w:rPr>
        <w:t xml:space="preserve"> dans un entretien ultérieur</w:t>
      </w:r>
      <w:r w:rsidRPr="00EA5BC0">
        <w:rPr>
          <w:lang w:val="fr-FR"/>
        </w:rPr>
        <w:t>,</w:t>
      </w:r>
      <w:r w:rsidRPr="00EA5BC0">
        <w:rPr>
          <w:lang w:val="fr-FR"/>
        </w:rPr>
        <w:t xml:space="preserve"> elle a indiqué qu</w:t>
      </w:r>
      <w:r w:rsidRPr="00EA5BC0">
        <w:rPr>
          <w:lang w:val="fr-FR"/>
        </w:rPr>
        <w:t>’</w:t>
      </w:r>
      <w:r w:rsidRPr="00EA5BC0">
        <w:rPr>
          <w:lang w:val="fr-FR"/>
        </w:rPr>
        <w:t xml:space="preserve">elle avait été détenue et </w:t>
      </w:r>
      <w:r w:rsidRPr="00EA5BC0">
        <w:rPr>
          <w:lang w:val="fr-FR"/>
        </w:rPr>
        <w:t xml:space="preserve">soumise à </w:t>
      </w:r>
      <w:r w:rsidRPr="00EA5BC0">
        <w:rPr>
          <w:lang w:val="fr-FR"/>
        </w:rPr>
        <w:t>de</w:t>
      </w:r>
      <w:r w:rsidRPr="00EA5BC0">
        <w:rPr>
          <w:lang w:val="fr-FR"/>
        </w:rPr>
        <w:t>s</w:t>
      </w:r>
      <w:r w:rsidRPr="00EA5BC0">
        <w:rPr>
          <w:lang w:val="fr-FR"/>
        </w:rPr>
        <w:t xml:space="preserve"> sévices sexuels pour la dernière fois en 2010. En ce qui concerne ses voya</w:t>
      </w:r>
      <w:r w:rsidRPr="00EA5BC0">
        <w:rPr>
          <w:lang w:val="fr-FR"/>
        </w:rPr>
        <w:t>ges, l</w:t>
      </w:r>
      <w:r w:rsidRPr="00EA5BC0">
        <w:rPr>
          <w:lang w:val="fr-FR"/>
        </w:rPr>
        <w:t>’</w:t>
      </w:r>
      <w:r w:rsidRPr="00EA5BC0">
        <w:rPr>
          <w:lang w:val="fr-FR"/>
        </w:rPr>
        <w:t xml:space="preserve">auteure a déclaré </w:t>
      </w:r>
      <w:r w:rsidRPr="00EA5BC0">
        <w:rPr>
          <w:lang w:val="fr-FR"/>
        </w:rPr>
        <w:t>s</w:t>
      </w:r>
      <w:r w:rsidRPr="00EA5BC0">
        <w:rPr>
          <w:lang w:val="fr-FR"/>
        </w:rPr>
        <w:t>’</w:t>
      </w:r>
      <w:r w:rsidRPr="00EA5BC0">
        <w:rPr>
          <w:lang w:val="fr-FR"/>
        </w:rPr>
        <w:t xml:space="preserve">être </w:t>
      </w:r>
      <w:r w:rsidRPr="00EA5BC0">
        <w:rPr>
          <w:lang w:val="fr-FR"/>
        </w:rPr>
        <w:t xml:space="preserve">rendue à plus de </w:t>
      </w:r>
      <w:r w:rsidR="0059110B">
        <w:rPr>
          <w:lang w:val="fr-FR"/>
        </w:rPr>
        <w:t>20</w:t>
      </w:r>
      <w:r w:rsidRPr="00EA5BC0">
        <w:rPr>
          <w:lang w:val="fr-FR"/>
        </w:rPr>
        <w:t xml:space="preserve"> </w:t>
      </w:r>
      <w:r w:rsidRPr="00EA5BC0">
        <w:rPr>
          <w:lang w:val="fr-FR"/>
        </w:rPr>
        <w:t>reprises en Thaïlande et une quinzaine de fois à Singapour.</w:t>
      </w:r>
    </w:p>
    <w:p w:rsidR="00870218" w:rsidRPr="00EA5BC0" w:rsidRDefault="00366EE4" w:rsidP="00EA5BC0">
      <w:pPr>
        <w:pStyle w:val="SingleTxtG"/>
        <w:rPr>
          <w:lang w:val="fr-FR"/>
        </w:rPr>
      </w:pPr>
      <w:r w:rsidRPr="00EA5BC0">
        <w:rPr>
          <w:lang w:val="fr-FR"/>
        </w:rPr>
        <w:t>4.3</w:t>
      </w:r>
      <w:r w:rsidRPr="00EA5BC0">
        <w:rPr>
          <w:lang w:val="fr-FR"/>
        </w:rPr>
        <w:tab/>
        <w:t>L</w:t>
      </w:r>
      <w:r w:rsidRPr="00EA5BC0">
        <w:rPr>
          <w:lang w:val="fr-FR"/>
        </w:rPr>
        <w:t>’</w:t>
      </w:r>
      <w:r w:rsidRPr="00EA5BC0">
        <w:rPr>
          <w:lang w:val="fr-FR"/>
        </w:rPr>
        <w:t>État partie fait valoir que l</w:t>
      </w:r>
      <w:r w:rsidRPr="00EA5BC0">
        <w:rPr>
          <w:lang w:val="fr-FR"/>
        </w:rPr>
        <w:t>’</w:t>
      </w:r>
      <w:r w:rsidRPr="00EA5BC0">
        <w:rPr>
          <w:lang w:val="fr-FR"/>
        </w:rPr>
        <w:t>auteure n</w:t>
      </w:r>
      <w:r w:rsidRPr="00EA5BC0">
        <w:rPr>
          <w:lang w:val="fr-FR"/>
        </w:rPr>
        <w:t>’</w:t>
      </w:r>
      <w:r w:rsidRPr="00EA5BC0">
        <w:rPr>
          <w:lang w:val="fr-FR"/>
        </w:rPr>
        <w:t>a pas établi qu</w:t>
      </w:r>
      <w:r w:rsidRPr="00EA5BC0">
        <w:rPr>
          <w:lang w:val="fr-FR"/>
        </w:rPr>
        <w:t>’</w:t>
      </w:r>
      <w:r w:rsidRPr="00EA5BC0">
        <w:rPr>
          <w:lang w:val="fr-FR"/>
        </w:rPr>
        <w:t>il existait des motifs raisonnables de croire que son renvoi en</w:t>
      </w:r>
      <w:r w:rsidR="00EA5BC0">
        <w:rPr>
          <w:lang w:val="fr-FR"/>
        </w:rPr>
        <w:t xml:space="preserve"> </w:t>
      </w:r>
      <w:r w:rsidRPr="00EA5BC0">
        <w:rPr>
          <w:lang w:val="fr-FR"/>
        </w:rPr>
        <w:t>Malaisie consti</w:t>
      </w:r>
      <w:r w:rsidRPr="00EA5BC0">
        <w:rPr>
          <w:lang w:val="fr-FR"/>
        </w:rPr>
        <w:t>tuerait une violation de l</w:t>
      </w:r>
      <w:r w:rsidRPr="00EA5BC0">
        <w:rPr>
          <w:lang w:val="fr-FR"/>
        </w:rPr>
        <w:t>’</w:t>
      </w:r>
      <w:r w:rsidR="00EA5BC0">
        <w:rPr>
          <w:lang w:val="fr-FR"/>
        </w:rPr>
        <w:t xml:space="preserve">article </w:t>
      </w:r>
      <w:r w:rsidRPr="00EA5BC0">
        <w:rPr>
          <w:lang w:val="fr-FR"/>
        </w:rPr>
        <w:t>7 du Pacte.</w:t>
      </w:r>
    </w:p>
    <w:p w:rsidR="00870218" w:rsidRPr="000C1BE0" w:rsidRDefault="00366EE4" w:rsidP="00EA5BC0">
      <w:pPr>
        <w:pStyle w:val="SingleTxtG"/>
        <w:rPr>
          <w:spacing w:val="-2"/>
          <w:lang w:val="fr-FR"/>
        </w:rPr>
      </w:pPr>
      <w:r w:rsidRPr="000C1BE0">
        <w:rPr>
          <w:spacing w:val="-2"/>
          <w:lang w:val="fr-FR"/>
        </w:rPr>
        <w:t>4.4</w:t>
      </w:r>
      <w:r w:rsidRPr="000C1BE0">
        <w:rPr>
          <w:spacing w:val="-2"/>
          <w:lang w:val="fr-FR"/>
        </w:rPr>
        <w:tab/>
        <w:t>Pour ce qui est des griefs que l</w:t>
      </w:r>
      <w:r w:rsidRPr="000C1BE0">
        <w:rPr>
          <w:spacing w:val="-2"/>
          <w:lang w:val="fr-FR"/>
        </w:rPr>
        <w:t>’</w:t>
      </w:r>
      <w:r w:rsidRPr="000C1BE0">
        <w:rPr>
          <w:spacing w:val="-2"/>
          <w:lang w:val="fr-FR"/>
        </w:rPr>
        <w:t xml:space="preserve">auteure tire des </w:t>
      </w:r>
      <w:r w:rsidR="00EA5BC0" w:rsidRPr="000C1BE0">
        <w:rPr>
          <w:spacing w:val="-2"/>
          <w:lang w:val="fr-FR"/>
        </w:rPr>
        <w:t xml:space="preserve">articles </w:t>
      </w:r>
      <w:r w:rsidRPr="000C1BE0">
        <w:rPr>
          <w:spacing w:val="-2"/>
          <w:lang w:val="fr-FR"/>
        </w:rPr>
        <w:t>17, 18 et 26 du Pacte, l</w:t>
      </w:r>
      <w:r w:rsidRPr="000C1BE0">
        <w:rPr>
          <w:spacing w:val="-2"/>
          <w:lang w:val="fr-FR"/>
        </w:rPr>
        <w:t>’</w:t>
      </w:r>
      <w:r w:rsidRPr="000C1BE0">
        <w:rPr>
          <w:spacing w:val="-2"/>
          <w:lang w:val="fr-FR"/>
        </w:rPr>
        <w:t>État partie note que l</w:t>
      </w:r>
      <w:r w:rsidRPr="000C1BE0">
        <w:rPr>
          <w:spacing w:val="-2"/>
          <w:lang w:val="fr-FR"/>
        </w:rPr>
        <w:t>’</w:t>
      </w:r>
      <w:r w:rsidRPr="000C1BE0">
        <w:rPr>
          <w:spacing w:val="-2"/>
          <w:lang w:val="fr-FR"/>
        </w:rPr>
        <w:t xml:space="preserve">auteure cherche à faire appliquer de façon extraterritoriale les obligations que ces dispositions </w:t>
      </w:r>
      <w:r w:rsidRPr="000C1BE0">
        <w:rPr>
          <w:spacing w:val="-2"/>
          <w:lang w:val="fr-FR"/>
        </w:rPr>
        <w:t>font aux États. Les violations alléguées ne sont pas fondées sur le traitement infligé à l</w:t>
      </w:r>
      <w:r w:rsidRPr="000C1BE0">
        <w:rPr>
          <w:spacing w:val="-2"/>
          <w:lang w:val="fr-FR"/>
        </w:rPr>
        <w:t>’</w:t>
      </w:r>
      <w:r w:rsidRPr="000C1BE0">
        <w:rPr>
          <w:spacing w:val="-2"/>
          <w:lang w:val="fr-FR"/>
        </w:rPr>
        <w:t>auteure au Danemark ou sur un territoire sous contrôle effectif de ce pays, et l</w:t>
      </w:r>
      <w:r w:rsidRPr="000C1BE0">
        <w:rPr>
          <w:spacing w:val="-2"/>
          <w:lang w:val="fr-FR"/>
        </w:rPr>
        <w:t>’</w:t>
      </w:r>
      <w:r w:rsidRPr="000C1BE0">
        <w:rPr>
          <w:spacing w:val="-2"/>
          <w:lang w:val="fr-FR"/>
        </w:rPr>
        <w:t>État partie ne saurait donc en être tenu pour responsable</w:t>
      </w:r>
      <w:r w:rsidRPr="000C1BE0">
        <w:rPr>
          <w:spacing w:val="-2"/>
          <w:vertAlign w:val="superscript"/>
        </w:rPr>
        <w:footnoteReference w:id="11"/>
      </w:r>
      <w:r w:rsidRPr="000C1BE0">
        <w:rPr>
          <w:spacing w:val="-2"/>
          <w:lang w:val="fr-FR"/>
        </w:rPr>
        <w:t>. Le Comité n</w:t>
      </w:r>
      <w:r w:rsidRPr="000C1BE0">
        <w:rPr>
          <w:spacing w:val="-2"/>
          <w:lang w:val="fr-FR"/>
        </w:rPr>
        <w:t>’</w:t>
      </w:r>
      <w:r w:rsidRPr="000C1BE0">
        <w:rPr>
          <w:spacing w:val="-2"/>
          <w:lang w:val="fr-FR"/>
        </w:rPr>
        <w:t>a jamais exa</w:t>
      </w:r>
      <w:r w:rsidRPr="000C1BE0">
        <w:rPr>
          <w:spacing w:val="-2"/>
          <w:lang w:val="fr-FR"/>
        </w:rPr>
        <w:t>miné au fond aucune plainte concernant l</w:t>
      </w:r>
      <w:r w:rsidRPr="000C1BE0">
        <w:rPr>
          <w:spacing w:val="-2"/>
          <w:lang w:val="fr-FR"/>
        </w:rPr>
        <w:t>’</w:t>
      </w:r>
      <w:r w:rsidRPr="000C1BE0">
        <w:rPr>
          <w:spacing w:val="-2"/>
          <w:lang w:val="fr-FR"/>
        </w:rPr>
        <w:t>expulsion d</w:t>
      </w:r>
      <w:r w:rsidRPr="000C1BE0">
        <w:rPr>
          <w:spacing w:val="-2"/>
          <w:lang w:val="fr-FR"/>
        </w:rPr>
        <w:t>’</w:t>
      </w:r>
      <w:r w:rsidRPr="000C1BE0">
        <w:rPr>
          <w:spacing w:val="-2"/>
          <w:lang w:val="fr-FR"/>
        </w:rPr>
        <w:t>une personne qui craignait la violation dans l</w:t>
      </w:r>
      <w:r w:rsidRPr="000C1BE0">
        <w:rPr>
          <w:spacing w:val="-2"/>
          <w:lang w:val="fr-FR"/>
        </w:rPr>
        <w:t>’</w:t>
      </w:r>
      <w:r w:rsidRPr="000C1BE0">
        <w:rPr>
          <w:spacing w:val="-2"/>
          <w:lang w:val="fr-FR"/>
        </w:rPr>
        <w:t xml:space="preserve">État de réception de dispositions autres que celles des </w:t>
      </w:r>
      <w:r w:rsidR="00EA5BC0" w:rsidRPr="000C1BE0">
        <w:rPr>
          <w:spacing w:val="-2"/>
          <w:lang w:val="fr-FR"/>
        </w:rPr>
        <w:t xml:space="preserve">articles </w:t>
      </w:r>
      <w:r w:rsidRPr="000C1BE0">
        <w:rPr>
          <w:spacing w:val="-2"/>
          <w:lang w:val="fr-FR"/>
        </w:rPr>
        <w:t xml:space="preserve">6 et 7 du Pacte. Les griefs </w:t>
      </w:r>
      <w:r w:rsidRPr="000C1BE0">
        <w:rPr>
          <w:spacing w:val="-2"/>
          <w:lang w:val="fr-FR"/>
        </w:rPr>
        <w:t>susvisés devraient</w:t>
      </w:r>
      <w:r w:rsidRPr="000C1BE0">
        <w:rPr>
          <w:spacing w:val="-2"/>
          <w:lang w:val="fr-FR"/>
        </w:rPr>
        <w:t xml:space="preserve"> par conséquent être déclarés irrecevables </w:t>
      </w:r>
      <w:r w:rsidRPr="000C1BE0">
        <w:rPr>
          <w:i/>
          <w:spacing w:val="-2"/>
          <w:lang w:val="fr-FR"/>
        </w:rPr>
        <w:t>ratione materiae</w:t>
      </w:r>
      <w:r w:rsidRPr="000C1BE0">
        <w:rPr>
          <w:spacing w:val="-2"/>
          <w:lang w:val="fr-FR"/>
        </w:rPr>
        <w:t xml:space="preserve"> et </w:t>
      </w:r>
      <w:r w:rsidRPr="000C1BE0">
        <w:rPr>
          <w:i/>
          <w:spacing w:val="-2"/>
          <w:lang w:val="fr-FR"/>
        </w:rPr>
        <w:t>ratione loci</w:t>
      </w:r>
      <w:r w:rsidRPr="000C1BE0">
        <w:rPr>
          <w:spacing w:val="-2"/>
          <w:lang w:val="fr-FR"/>
        </w:rPr>
        <w:t>.</w:t>
      </w:r>
    </w:p>
    <w:p w:rsidR="00870218" w:rsidRPr="00EA5BC0" w:rsidRDefault="00366EE4" w:rsidP="00EA5BC0">
      <w:pPr>
        <w:pStyle w:val="SingleTxtG"/>
        <w:rPr>
          <w:lang w:val="fr-FR"/>
        </w:rPr>
      </w:pPr>
      <w:r w:rsidRPr="00EA5BC0">
        <w:rPr>
          <w:lang w:val="fr-FR"/>
        </w:rPr>
        <w:t>4.5</w:t>
      </w:r>
      <w:r w:rsidRPr="00EA5BC0">
        <w:rPr>
          <w:lang w:val="fr-FR"/>
        </w:rPr>
        <w:tab/>
        <w:t>Sur le fond, l</w:t>
      </w:r>
      <w:r w:rsidRPr="00EA5BC0">
        <w:rPr>
          <w:lang w:val="fr-FR"/>
        </w:rPr>
        <w:t>’</w:t>
      </w:r>
      <w:r w:rsidRPr="00EA5BC0">
        <w:rPr>
          <w:lang w:val="fr-FR"/>
        </w:rPr>
        <w:t>État partie fait valoir que si elle était expulsée vers la Malaisie, l</w:t>
      </w:r>
      <w:r w:rsidRPr="00EA5BC0">
        <w:rPr>
          <w:lang w:val="fr-FR"/>
        </w:rPr>
        <w:t>’</w:t>
      </w:r>
      <w:r w:rsidRPr="00EA5BC0">
        <w:rPr>
          <w:lang w:val="fr-FR"/>
        </w:rPr>
        <w:t>auteure ne serait pas exposée à un risque réel de traitement relevant de l</w:t>
      </w:r>
      <w:r w:rsidRPr="00EA5BC0">
        <w:rPr>
          <w:lang w:val="fr-FR"/>
        </w:rPr>
        <w:t>’</w:t>
      </w:r>
      <w:r w:rsidR="00EA5BC0">
        <w:rPr>
          <w:lang w:val="fr-FR"/>
        </w:rPr>
        <w:t xml:space="preserve">article </w:t>
      </w:r>
      <w:r w:rsidRPr="00EA5BC0">
        <w:rPr>
          <w:lang w:val="fr-FR"/>
        </w:rPr>
        <w:t xml:space="preserve">7 du Pacte. Pour accorder un permis de séjour au </w:t>
      </w:r>
      <w:r w:rsidRPr="00EA5BC0">
        <w:rPr>
          <w:lang w:val="fr-FR"/>
        </w:rPr>
        <w:t xml:space="preserve">titre du </w:t>
      </w:r>
      <w:r w:rsidR="00EA5BC0">
        <w:rPr>
          <w:lang w:val="fr-FR"/>
        </w:rPr>
        <w:t xml:space="preserve">paragraphe </w:t>
      </w:r>
      <w:r w:rsidRPr="00EA5BC0">
        <w:rPr>
          <w:lang w:val="fr-FR"/>
        </w:rPr>
        <w:t>1 de l</w:t>
      </w:r>
      <w:r w:rsidRPr="00EA5BC0">
        <w:rPr>
          <w:lang w:val="fr-FR"/>
        </w:rPr>
        <w:t>’</w:t>
      </w:r>
      <w:r w:rsidR="00EA5BC0">
        <w:rPr>
          <w:lang w:val="fr-FR"/>
        </w:rPr>
        <w:t xml:space="preserve">article </w:t>
      </w:r>
      <w:r w:rsidRPr="00EA5BC0">
        <w:rPr>
          <w:lang w:val="fr-FR"/>
        </w:rPr>
        <w:t xml:space="preserve">7 de la loi </w:t>
      </w:r>
      <w:r w:rsidRPr="00EA5BC0">
        <w:rPr>
          <w:lang w:val="fr-FR"/>
        </w:rPr>
        <w:t xml:space="preserve">danoise </w:t>
      </w:r>
      <w:r w:rsidRPr="00EA5BC0">
        <w:rPr>
          <w:lang w:val="fr-FR"/>
        </w:rPr>
        <w:t>sur les étrangers, la Commission exige que l</w:t>
      </w:r>
      <w:r w:rsidRPr="00EA5BC0">
        <w:rPr>
          <w:lang w:val="fr-FR"/>
        </w:rPr>
        <w:t>’</w:t>
      </w:r>
      <w:r w:rsidRPr="00EA5BC0">
        <w:rPr>
          <w:lang w:val="fr-FR"/>
        </w:rPr>
        <w:t>intéressé ait des raisons sérieuses de craindre qu</w:t>
      </w:r>
      <w:r w:rsidRPr="00EA5BC0">
        <w:rPr>
          <w:lang w:val="fr-FR"/>
        </w:rPr>
        <w:t>’</w:t>
      </w:r>
      <w:r w:rsidRPr="00EA5BC0">
        <w:rPr>
          <w:lang w:val="fr-FR"/>
        </w:rPr>
        <w:t>une forme de persécution précise, d</w:t>
      </w:r>
      <w:r w:rsidRPr="00EA5BC0">
        <w:rPr>
          <w:lang w:val="fr-FR"/>
        </w:rPr>
        <w:t>’</w:t>
      </w:r>
      <w:r w:rsidRPr="00EA5BC0">
        <w:rPr>
          <w:lang w:val="fr-FR"/>
        </w:rPr>
        <w:t>une certaine gravité, le vise personnellement en cas de renvoi dans s</w:t>
      </w:r>
      <w:r w:rsidRPr="00EA5BC0">
        <w:rPr>
          <w:lang w:val="fr-FR"/>
        </w:rPr>
        <w:t>on pays d</w:t>
      </w:r>
      <w:r w:rsidRPr="00EA5BC0">
        <w:rPr>
          <w:lang w:val="fr-FR"/>
        </w:rPr>
        <w:t>’</w:t>
      </w:r>
      <w:r w:rsidRPr="00EA5BC0">
        <w:rPr>
          <w:lang w:val="fr-FR"/>
        </w:rPr>
        <w:t>origine, ces craintes devant être étayées par des faits objectifs. Pour évaluer le bien-fondé d</w:t>
      </w:r>
      <w:r w:rsidRPr="00EA5BC0">
        <w:rPr>
          <w:lang w:val="fr-FR"/>
        </w:rPr>
        <w:t>’</w:t>
      </w:r>
      <w:r w:rsidRPr="00EA5BC0">
        <w:rPr>
          <w:lang w:val="fr-FR"/>
        </w:rPr>
        <w:t>une telle crainte, la Commission prend notamment en considération les informations disponibles sur les persécutions dont le demandeur d</w:t>
      </w:r>
      <w:r w:rsidRPr="00EA5BC0">
        <w:rPr>
          <w:lang w:val="fr-FR"/>
        </w:rPr>
        <w:t>’</w:t>
      </w:r>
      <w:r w:rsidRPr="00EA5BC0">
        <w:rPr>
          <w:lang w:val="fr-FR"/>
        </w:rPr>
        <w:t>asile a été vi</w:t>
      </w:r>
      <w:r w:rsidRPr="00EA5BC0">
        <w:rPr>
          <w:lang w:val="fr-FR"/>
        </w:rPr>
        <w:t>ctime avant de quitter son pays d</w:t>
      </w:r>
      <w:r w:rsidRPr="00EA5BC0">
        <w:rPr>
          <w:lang w:val="fr-FR"/>
        </w:rPr>
        <w:t>’</w:t>
      </w:r>
      <w:r w:rsidRPr="00EA5BC0">
        <w:rPr>
          <w:lang w:val="fr-FR"/>
        </w:rPr>
        <w:t xml:space="preserve">origine. </w:t>
      </w:r>
    </w:p>
    <w:p w:rsidR="00870218" w:rsidRPr="00EA5BC0" w:rsidRDefault="00366EE4" w:rsidP="00EA5BC0">
      <w:pPr>
        <w:pStyle w:val="SingleTxtG"/>
        <w:rPr>
          <w:lang w:val="fr-FR"/>
        </w:rPr>
      </w:pPr>
      <w:r w:rsidRPr="00EA5BC0">
        <w:rPr>
          <w:lang w:val="fr-FR"/>
        </w:rPr>
        <w:t>4.6</w:t>
      </w:r>
      <w:r w:rsidRPr="00EA5BC0">
        <w:rPr>
          <w:lang w:val="fr-FR"/>
        </w:rPr>
        <w:tab/>
        <w:t>Dans sa communication au Comité, l</w:t>
      </w:r>
      <w:r w:rsidRPr="00EA5BC0">
        <w:rPr>
          <w:lang w:val="fr-FR"/>
        </w:rPr>
        <w:t>’</w:t>
      </w:r>
      <w:r w:rsidRPr="00EA5BC0">
        <w:rPr>
          <w:lang w:val="fr-FR"/>
        </w:rPr>
        <w:t>auteure n</w:t>
      </w:r>
      <w:r w:rsidRPr="00EA5BC0">
        <w:rPr>
          <w:lang w:val="fr-FR"/>
        </w:rPr>
        <w:t>’</w:t>
      </w:r>
      <w:r w:rsidRPr="00EA5BC0">
        <w:rPr>
          <w:lang w:val="fr-FR"/>
        </w:rPr>
        <w:t>a pas apporté de précision</w:t>
      </w:r>
      <w:r w:rsidRPr="00EA5BC0">
        <w:rPr>
          <w:lang w:val="fr-FR"/>
        </w:rPr>
        <w:t>s</w:t>
      </w:r>
      <w:r w:rsidRPr="00EA5BC0">
        <w:rPr>
          <w:lang w:val="fr-FR"/>
        </w:rPr>
        <w:t xml:space="preserve"> sur sa situation </w:t>
      </w:r>
      <w:r w:rsidRPr="00EA5BC0">
        <w:rPr>
          <w:lang w:val="fr-FR"/>
        </w:rPr>
        <w:t xml:space="preserve">autres que </w:t>
      </w:r>
      <w:r w:rsidRPr="00EA5BC0">
        <w:rPr>
          <w:lang w:val="fr-FR"/>
        </w:rPr>
        <w:t>celles déjà fournies, que la Commission a déjà évaluées le</w:t>
      </w:r>
      <w:r w:rsidRPr="00EA5BC0">
        <w:rPr>
          <w:lang w:val="fr-FR"/>
        </w:rPr>
        <w:t xml:space="preserve"> 19 décembre 2014 et</w:t>
      </w:r>
      <w:r w:rsidRPr="00EA5BC0">
        <w:rPr>
          <w:lang w:val="fr-FR"/>
        </w:rPr>
        <w:t xml:space="preserve"> </w:t>
      </w:r>
      <w:r w:rsidRPr="00EA5BC0">
        <w:rPr>
          <w:lang w:val="fr-FR"/>
        </w:rPr>
        <w:t xml:space="preserve">les </w:t>
      </w:r>
      <w:r w:rsidRPr="00EA5BC0">
        <w:rPr>
          <w:lang w:val="fr-FR"/>
        </w:rPr>
        <w:t>10 et 30 mars 2015. Dans</w:t>
      </w:r>
      <w:r w:rsidRPr="00EA5BC0">
        <w:rPr>
          <w:lang w:val="fr-FR"/>
        </w:rPr>
        <w:t xml:space="preserve"> ces décisions, la Commission a examiné les motifs de la demande d</w:t>
      </w:r>
      <w:r w:rsidRPr="00EA5BC0">
        <w:rPr>
          <w:lang w:val="fr-FR"/>
        </w:rPr>
        <w:t>’</w:t>
      </w:r>
      <w:r w:rsidRPr="00EA5BC0">
        <w:rPr>
          <w:lang w:val="fr-FR"/>
        </w:rPr>
        <w:t>asile</w:t>
      </w:r>
      <w:r w:rsidRPr="00EA5BC0">
        <w:rPr>
          <w:lang w:val="fr-FR"/>
        </w:rPr>
        <w:t xml:space="preserve"> de l’auteure</w:t>
      </w:r>
      <w:r w:rsidRPr="00EA5BC0">
        <w:rPr>
          <w:lang w:val="fr-FR"/>
        </w:rPr>
        <w:t xml:space="preserve">, ainsi que les documents et les informations sur </w:t>
      </w:r>
      <w:r w:rsidRPr="00EA5BC0">
        <w:rPr>
          <w:lang w:val="fr-FR"/>
        </w:rPr>
        <w:t>s</w:t>
      </w:r>
      <w:r w:rsidRPr="00EA5BC0">
        <w:rPr>
          <w:lang w:val="fr-FR"/>
        </w:rPr>
        <w:t xml:space="preserve">a situation </w:t>
      </w:r>
      <w:r w:rsidRPr="00EA5BC0">
        <w:rPr>
          <w:lang w:val="fr-FR"/>
        </w:rPr>
        <w:t xml:space="preserve">qu’elle a produits </w:t>
      </w:r>
      <w:r w:rsidRPr="00EA5BC0">
        <w:rPr>
          <w:lang w:val="fr-FR"/>
        </w:rPr>
        <w:t>à l</w:t>
      </w:r>
      <w:r w:rsidRPr="00EA5BC0">
        <w:rPr>
          <w:lang w:val="fr-FR"/>
        </w:rPr>
        <w:t>’</w:t>
      </w:r>
      <w:r w:rsidRPr="00EA5BC0">
        <w:rPr>
          <w:lang w:val="fr-FR"/>
        </w:rPr>
        <w:t xml:space="preserve">appui de sa demande, y compris les documents du </w:t>
      </w:r>
      <w:r w:rsidRPr="00EA5BC0">
        <w:rPr>
          <w:lang w:val="fr-FR"/>
        </w:rPr>
        <w:t>tribunal islamique</w:t>
      </w:r>
      <w:r w:rsidRPr="00EA5BC0">
        <w:rPr>
          <w:lang w:val="fr-FR"/>
        </w:rPr>
        <w:t>. La Commission a c</w:t>
      </w:r>
      <w:r w:rsidRPr="00EA5BC0">
        <w:rPr>
          <w:lang w:val="fr-FR"/>
        </w:rPr>
        <w:t xml:space="preserve">onsidéré comme un fait établi </w:t>
      </w:r>
      <w:r w:rsidRPr="00EA5BC0">
        <w:rPr>
          <w:lang w:val="fr-FR"/>
        </w:rPr>
        <w:t>l’</w:t>
      </w:r>
      <w:r w:rsidRPr="00EA5BC0">
        <w:rPr>
          <w:lang w:val="fr-FR"/>
        </w:rPr>
        <w:t xml:space="preserve">opération chirurgicale </w:t>
      </w:r>
      <w:r w:rsidRPr="00EA5BC0">
        <w:rPr>
          <w:lang w:val="fr-FR"/>
        </w:rPr>
        <w:t>de réassignation</w:t>
      </w:r>
      <w:r w:rsidRPr="00EA5BC0">
        <w:rPr>
          <w:lang w:val="fr-FR"/>
        </w:rPr>
        <w:t xml:space="preserve"> sex</w:t>
      </w:r>
      <w:r w:rsidRPr="00EA5BC0">
        <w:rPr>
          <w:lang w:val="fr-FR"/>
        </w:rPr>
        <w:t>uelle</w:t>
      </w:r>
      <w:r w:rsidRPr="00EA5BC0">
        <w:rPr>
          <w:lang w:val="fr-FR"/>
        </w:rPr>
        <w:t xml:space="preserve"> </w:t>
      </w:r>
      <w:r w:rsidRPr="00EA5BC0">
        <w:rPr>
          <w:lang w:val="fr-FR"/>
        </w:rPr>
        <w:t xml:space="preserve">à laquelle s’est soumise l’auteure </w:t>
      </w:r>
      <w:r w:rsidRPr="00EA5BC0">
        <w:rPr>
          <w:lang w:val="fr-FR"/>
        </w:rPr>
        <w:t>et n</w:t>
      </w:r>
      <w:r w:rsidRPr="00EA5BC0">
        <w:rPr>
          <w:lang w:val="fr-FR"/>
        </w:rPr>
        <w:t>’</w:t>
      </w:r>
      <w:r w:rsidRPr="00EA5BC0">
        <w:rPr>
          <w:lang w:val="fr-FR"/>
        </w:rPr>
        <w:t>a pu exclure qu</w:t>
      </w:r>
      <w:r w:rsidRPr="00EA5BC0">
        <w:rPr>
          <w:lang w:val="fr-FR"/>
        </w:rPr>
        <w:t>’</w:t>
      </w:r>
      <w:r w:rsidRPr="00EA5BC0">
        <w:rPr>
          <w:lang w:val="fr-FR"/>
        </w:rPr>
        <w:t xml:space="preserve">elle ait été placée en détention pour de courtes périodes, notamment en avril 2012. </w:t>
      </w:r>
      <w:r w:rsidRPr="00EA5BC0">
        <w:rPr>
          <w:lang w:val="fr-FR"/>
        </w:rPr>
        <w:t xml:space="preserve">Elle n’a cependant pas considéré comme un fait établi </w:t>
      </w:r>
      <w:r w:rsidRPr="00EA5BC0">
        <w:rPr>
          <w:lang w:val="fr-FR"/>
        </w:rPr>
        <w:t>que l</w:t>
      </w:r>
      <w:r w:rsidRPr="00EA5BC0">
        <w:rPr>
          <w:lang w:val="fr-FR"/>
        </w:rPr>
        <w:t>’</w:t>
      </w:r>
      <w:r w:rsidRPr="00EA5BC0">
        <w:rPr>
          <w:lang w:val="fr-FR"/>
        </w:rPr>
        <w:t>intéressée ait subi des sévices sexuels. Les déclarations de l</w:t>
      </w:r>
      <w:r w:rsidRPr="00EA5BC0">
        <w:rPr>
          <w:lang w:val="fr-FR"/>
        </w:rPr>
        <w:t>’</w:t>
      </w:r>
      <w:r w:rsidRPr="00EA5BC0">
        <w:rPr>
          <w:lang w:val="fr-FR"/>
        </w:rPr>
        <w:t xml:space="preserve">auteure au sujet des viols dont elle aurait été victime laissent de nombreuses incertitudes </w:t>
      </w:r>
      <w:r w:rsidRPr="00EA5BC0">
        <w:rPr>
          <w:lang w:val="fr-FR"/>
        </w:rPr>
        <w:t>quant aux</w:t>
      </w:r>
      <w:r w:rsidRPr="00EA5BC0">
        <w:rPr>
          <w:lang w:val="fr-FR"/>
        </w:rPr>
        <w:t xml:space="preserve"> circonstances, </w:t>
      </w:r>
      <w:r w:rsidRPr="00EA5BC0">
        <w:rPr>
          <w:lang w:val="fr-FR"/>
        </w:rPr>
        <w:t>a</w:t>
      </w:r>
      <w:r w:rsidRPr="00EA5BC0">
        <w:rPr>
          <w:lang w:val="fr-FR"/>
        </w:rPr>
        <w:t>u nombre des au</w:t>
      </w:r>
      <w:r w:rsidRPr="00EA5BC0">
        <w:rPr>
          <w:lang w:val="fr-FR"/>
        </w:rPr>
        <w:t xml:space="preserve">teurs, </w:t>
      </w:r>
      <w:r w:rsidRPr="00EA5BC0">
        <w:rPr>
          <w:lang w:val="fr-FR"/>
        </w:rPr>
        <w:t xml:space="preserve">aux </w:t>
      </w:r>
      <w:r w:rsidRPr="00EA5BC0">
        <w:rPr>
          <w:lang w:val="fr-FR"/>
        </w:rPr>
        <w:t xml:space="preserve">événements et </w:t>
      </w:r>
      <w:r w:rsidRPr="00EA5BC0">
        <w:rPr>
          <w:lang w:val="fr-FR"/>
        </w:rPr>
        <w:t>aux</w:t>
      </w:r>
      <w:r w:rsidRPr="00EA5BC0">
        <w:rPr>
          <w:lang w:val="fr-FR"/>
        </w:rPr>
        <w:t xml:space="preserve"> villes dans lesquelles ces faits se seraient produits. De manière générale, la Commission a estimé qu</w:t>
      </w:r>
      <w:r w:rsidRPr="00EA5BC0">
        <w:rPr>
          <w:lang w:val="fr-FR"/>
        </w:rPr>
        <w:t>’</w:t>
      </w:r>
      <w:r w:rsidRPr="00EA5BC0">
        <w:rPr>
          <w:lang w:val="fr-FR"/>
        </w:rPr>
        <w:t>il n</w:t>
      </w:r>
      <w:r w:rsidRPr="00EA5BC0">
        <w:rPr>
          <w:lang w:val="fr-FR"/>
        </w:rPr>
        <w:t>’</w:t>
      </w:r>
      <w:r w:rsidRPr="00EA5BC0">
        <w:rPr>
          <w:lang w:val="fr-FR"/>
        </w:rPr>
        <w:t>était pas plausible que l</w:t>
      </w:r>
      <w:r w:rsidRPr="00EA5BC0">
        <w:rPr>
          <w:lang w:val="fr-FR"/>
        </w:rPr>
        <w:t>’</w:t>
      </w:r>
      <w:r w:rsidRPr="00EA5BC0">
        <w:rPr>
          <w:lang w:val="fr-FR"/>
        </w:rPr>
        <w:t>auteure ait subi ce type d</w:t>
      </w:r>
      <w:r w:rsidRPr="00EA5BC0">
        <w:rPr>
          <w:lang w:val="fr-FR"/>
        </w:rPr>
        <w:t>’</w:t>
      </w:r>
      <w:r w:rsidRPr="00EA5BC0">
        <w:rPr>
          <w:lang w:val="fr-FR"/>
        </w:rPr>
        <w:t xml:space="preserve">agressions. Pour ce qui est des menaces formulées par </w:t>
      </w:r>
      <w:r w:rsidRPr="00EA5BC0">
        <w:rPr>
          <w:lang w:val="fr-FR"/>
        </w:rPr>
        <w:t>le Départemen</w:t>
      </w:r>
      <w:r w:rsidRPr="00EA5BC0">
        <w:rPr>
          <w:lang w:val="fr-FR"/>
        </w:rPr>
        <w:t>t des affaires islamiques</w:t>
      </w:r>
      <w:r w:rsidRPr="00EA5BC0">
        <w:rPr>
          <w:lang w:val="fr-FR"/>
        </w:rPr>
        <w:t xml:space="preserve"> en avril 2012</w:t>
      </w:r>
      <w:r w:rsidRPr="00EA5BC0">
        <w:rPr>
          <w:lang w:val="fr-FR"/>
        </w:rPr>
        <w:t xml:space="preserve"> concernant l</w:t>
      </w:r>
      <w:r w:rsidRPr="00EA5BC0">
        <w:rPr>
          <w:lang w:val="fr-FR"/>
        </w:rPr>
        <w:t>’</w:t>
      </w:r>
      <w:r w:rsidRPr="00EA5BC0">
        <w:rPr>
          <w:lang w:val="fr-FR"/>
        </w:rPr>
        <w:t>ouverture de poursuites judiciaires contre l</w:t>
      </w:r>
      <w:r w:rsidRPr="00EA5BC0">
        <w:rPr>
          <w:lang w:val="fr-FR"/>
        </w:rPr>
        <w:t>’</w:t>
      </w:r>
      <w:r w:rsidRPr="00EA5BC0">
        <w:rPr>
          <w:lang w:val="fr-FR"/>
        </w:rPr>
        <w:t>auteure, la Commission a souligné que rien n</w:t>
      </w:r>
      <w:r w:rsidRPr="00EA5BC0">
        <w:rPr>
          <w:lang w:val="fr-FR"/>
        </w:rPr>
        <w:t>’</w:t>
      </w:r>
      <w:r w:rsidRPr="00EA5BC0">
        <w:rPr>
          <w:lang w:val="fr-FR"/>
        </w:rPr>
        <w:t>avait été fait depuis lors pour mettre à exécution cette menace et que l</w:t>
      </w:r>
      <w:r w:rsidRPr="00EA5BC0">
        <w:rPr>
          <w:lang w:val="fr-FR"/>
        </w:rPr>
        <w:t>’</w:t>
      </w:r>
      <w:r w:rsidRPr="00EA5BC0">
        <w:rPr>
          <w:lang w:val="fr-FR"/>
        </w:rPr>
        <w:t>intéressée était entrée et sortie du pay</w:t>
      </w:r>
      <w:r w:rsidRPr="00EA5BC0">
        <w:rPr>
          <w:lang w:val="fr-FR"/>
        </w:rPr>
        <w:t xml:space="preserve">s à de nombreuses reprises entre </w:t>
      </w:r>
      <w:r w:rsidRPr="00EA5BC0">
        <w:rPr>
          <w:lang w:val="fr-FR"/>
        </w:rPr>
        <w:t>avril</w:t>
      </w:r>
      <w:r w:rsidR="00EA5BC0">
        <w:rPr>
          <w:lang w:val="fr-FR"/>
        </w:rPr>
        <w:t xml:space="preserve"> </w:t>
      </w:r>
      <w:r w:rsidRPr="00EA5BC0">
        <w:rPr>
          <w:lang w:val="fr-FR"/>
        </w:rPr>
        <w:t xml:space="preserve">2012 et son départ en </w:t>
      </w:r>
      <w:r w:rsidRPr="00EA5BC0">
        <w:rPr>
          <w:lang w:val="fr-FR"/>
        </w:rPr>
        <w:t>janvier</w:t>
      </w:r>
      <w:r w:rsidR="00EA5BC0">
        <w:rPr>
          <w:lang w:val="fr-FR"/>
        </w:rPr>
        <w:t xml:space="preserve"> </w:t>
      </w:r>
      <w:r w:rsidRPr="00EA5BC0">
        <w:rPr>
          <w:lang w:val="fr-FR"/>
        </w:rPr>
        <w:t>2014. La Commission a également fait observer que la plupart des événements mentionnés par l</w:t>
      </w:r>
      <w:r w:rsidRPr="00EA5BC0">
        <w:rPr>
          <w:lang w:val="fr-FR"/>
        </w:rPr>
        <w:t>’</w:t>
      </w:r>
      <w:r w:rsidRPr="00EA5BC0">
        <w:rPr>
          <w:lang w:val="fr-FR"/>
        </w:rPr>
        <w:t>auteure avaient eu lieu plusieurs années auparavant et que l</w:t>
      </w:r>
      <w:r w:rsidRPr="00EA5BC0">
        <w:rPr>
          <w:lang w:val="fr-FR"/>
        </w:rPr>
        <w:t>’</w:t>
      </w:r>
      <w:r w:rsidRPr="00EA5BC0">
        <w:rPr>
          <w:lang w:val="fr-FR"/>
        </w:rPr>
        <w:t>intéressée avait pu, dans une lar</w:t>
      </w:r>
      <w:r w:rsidRPr="00EA5BC0">
        <w:rPr>
          <w:lang w:val="fr-FR"/>
        </w:rPr>
        <w:t>ge mesure, mener une vie tolérable dans son pays d</w:t>
      </w:r>
      <w:r w:rsidRPr="00EA5BC0">
        <w:rPr>
          <w:lang w:val="fr-FR"/>
        </w:rPr>
        <w:t>’</w:t>
      </w:r>
      <w:r w:rsidRPr="00EA5BC0">
        <w:rPr>
          <w:lang w:val="fr-FR"/>
        </w:rPr>
        <w:t>origine, y compris avec sa famille, à Seremban, où sa mère avait été pour elle d</w:t>
      </w:r>
      <w:r w:rsidRPr="00EA5BC0">
        <w:rPr>
          <w:lang w:val="fr-FR"/>
        </w:rPr>
        <w:t>’</w:t>
      </w:r>
      <w:r w:rsidRPr="00EA5BC0">
        <w:rPr>
          <w:lang w:val="fr-FR"/>
        </w:rPr>
        <w:t>un grand soutien. La Commission a conclu que l</w:t>
      </w:r>
      <w:r w:rsidRPr="00EA5BC0">
        <w:rPr>
          <w:lang w:val="fr-FR"/>
        </w:rPr>
        <w:t>’</w:t>
      </w:r>
      <w:r w:rsidRPr="00EA5BC0">
        <w:rPr>
          <w:lang w:val="fr-FR"/>
        </w:rPr>
        <w:t>auteure n</w:t>
      </w:r>
      <w:r w:rsidRPr="00EA5BC0">
        <w:rPr>
          <w:lang w:val="fr-FR"/>
        </w:rPr>
        <w:t>’</w:t>
      </w:r>
      <w:r w:rsidRPr="00EA5BC0">
        <w:rPr>
          <w:lang w:val="fr-FR"/>
        </w:rPr>
        <w:t>était pas parvenue à établir la preuve du risque de persécution qu</w:t>
      </w:r>
      <w:r w:rsidRPr="00EA5BC0">
        <w:rPr>
          <w:lang w:val="fr-FR"/>
        </w:rPr>
        <w:t>’</w:t>
      </w:r>
      <w:r w:rsidRPr="00EA5BC0">
        <w:rPr>
          <w:lang w:val="fr-FR"/>
        </w:rPr>
        <w:t>elle courrait en cas de ren</w:t>
      </w:r>
      <w:r w:rsidRPr="00EA5BC0">
        <w:rPr>
          <w:lang w:val="fr-FR"/>
        </w:rPr>
        <w:t>voi.</w:t>
      </w:r>
    </w:p>
    <w:p w:rsidR="00870218" w:rsidRPr="00EA5BC0" w:rsidRDefault="00366EE4" w:rsidP="00EA5BC0">
      <w:pPr>
        <w:pStyle w:val="SingleTxtG"/>
        <w:rPr>
          <w:lang w:val="fr-FR"/>
        </w:rPr>
      </w:pPr>
      <w:r w:rsidRPr="00EA5BC0">
        <w:rPr>
          <w:lang w:val="fr-FR"/>
        </w:rPr>
        <w:lastRenderedPageBreak/>
        <w:t>4.7</w:t>
      </w:r>
      <w:r w:rsidRPr="00EA5BC0">
        <w:rPr>
          <w:lang w:val="fr-FR"/>
        </w:rPr>
        <w:tab/>
        <w:t>L</w:t>
      </w:r>
      <w:r w:rsidRPr="00EA5BC0">
        <w:rPr>
          <w:lang w:val="fr-FR"/>
        </w:rPr>
        <w:t>’</w:t>
      </w:r>
      <w:r w:rsidRPr="00EA5BC0">
        <w:rPr>
          <w:lang w:val="fr-FR"/>
        </w:rPr>
        <w:t>État partie note que la Commission n</w:t>
      </w:r>
      <w:r w:rsidRPr="00EA5BC0">
        <w:rPr>
          <w:lang w:val="fr-FR"/>
        </w:rPr>
        <w:t>’</w:t>
      </w:r>
      <w:r w:rsidRPr="00EA5BC0">
        <w:rPr>
          <w:lang w:val="fr-FR"/>
        </w:rPr>
        <w:t xml:space="preserve">a pas </w:t>
      </w:r>
      <w:r w:rsidRPr="00EA5BC0">
        <w:rPr>
          <w:lang w:val="fr-FR"/>
        </w:rPr>
        <w:t>estimé qu</w:t>
      </w:r>
      <w:r w:rsidRPr="00EA5BC0">
        <w:rPr>
          <w:lang w:val="fr-FR"/>
        </w:rPr>
        <w:t>’</w:t>
      </w:r>
      <w:r w:rsidRPr="00EA5BC0">
        <w:rPr>
          <w:lang w:val="fr-FR"/>
        </w:rPr>
        <w:t>à son retour</w:t>
      </w:r>
      <w:r w:rsidRPr="00EA5BC0">
        <w:rPr>
          <w:lang w:val="fr-FR"/>
        </w:rPr>
        <w:t xml:space="preserve"> </w:t>
      </w:r>
      <w:r w:rsidRPr="00EA5BC0">
        <w:rPr>
          <w:lang w:val="fr-FR"/>
        </w:rPr>
        <w:t>l</w:t>
      </w:r>
      <w:r w:rsidRPr="00EA5BC0">
        <w:rPr>
          <w:lang w:val="fr-FR"/>
        </w:rPr>
        <w:t>’</w:t>
      </w:r>
      <w:r w:rsidRPr="00EA5BC0">
        <w:rPr>
          <w:lang w:val="fr-FR"/>
        </w:rPr>
        <w:t xml:space="preserve">auteure devrait dissimuler son identité sexuelle ou religieuse pour éviter </w:t>
      </w:r>
      <w:r w:rsidRPr="00EA5BC0">
        <w:rPr>
          <w:lang w:val="fr-FR"/>
        </w:rPr>
        <w:t>d’être maltraitée</w:t>
      </w:r>
      <w:r w:rsidRPr="00EA5BC0">
        <w:rPr>
          <w:lang w:val="fr-FR"/>
        </w:rPr>
        <w:t>. Bien que l</w:t>
      </w:r>
      <w:r w:rsidRPr="00EA5BC0">
        <w:rPr>
          <w:lang w:val="fr-FR"/>
        </w:rPr>
        <w:t>’</w:t>
      </w:r>
      <w:r w:rsidRPr="00EA5BC0">
        <w:rPr>
          <w:lang w:val="fr-FR"/>
        </w:rPr>
        <w:t xml:space="preserve">intéressée ait informé la police locale de son identité sexuelle et religieuse, elle a pu vivre une vie normale sans </w:t>
      </w:r>
      <w:r w:rsidRPr="00EA5BC0">
        <w:rPr>
          <w:lang w:val="fr-FR"/>
        </w:rPr>
        <w:t xml:space="preserve">avoir </w:t>
      </w:r>
      <w:r w:rsidRPr="00EA5BC0">
        <w:rPr>
          <w:lang w:val="fr-FR"/>
        </w:rPr>
        <w:t>subi</w:t>
      </w:r>
      <w:r w:rsidRPr="00EA5BC0">
        <w:rPr>
          <w:lang w:val="fr-FR"/>
        </w:rPr>
        <w:t xml:space="preserve"> de </w:t>
      </w:r>
      <w:r w:rsidRPr="00EA5BC0">
        <w:rPr>
          <w:lang w:val="fr-FR"/>
        </w:rPr>
        <w:t>mauvais</w:t>
      </w:r>
      <w:r w:rsidRPr="00EA5BC0">
        <w:rPr>
          <w:lang w:val="fr-FR"/>
        </w:rPr>
        <w:t xml:space="preserve"> traitements. Dans son évaluation, la Commission a pris en considération la vulnérabilité particulière de l</w:t>
      </w:r>
      <w:r w:rsidRPr="00EA5BC0">
        <w:rPr>
          <w:lang w:val="fr-FR"/>
        </w:rPr>
        <w:t>’</w:t>
      </w:r>
      <w:r w:rsidRPr="00EA5BC0">
        <w:rPr>
          <w:lang w:val="fr-FR"/>
        </w:rPr>
        <w:t>auteur</w:t>
      </w:r>
      <w:r w:rsidR="0059110B">
        <w:rPr>
          <w:lang w:val="fr-FR"/>
        </w:rPr>
        <w:t>e</w:t>
      </w:r>
      <w:r w:rsidRPr="00EA5BC0">
        <w:rPr>
          <w:lang w:val="fr-FR"/>
        </w:rPr>
        <w:t>.</w:t>
      </w:r>
    </w:p>
    <w:p w:rsidR="00870218" w:rsidRPr="00EA5BC0" w:rsidRDefault="00366EE4" w:rsidP="00EA5BC0">
      <w:pPr>
        <w:pStyle w:val="H23G"/>
        <w:rPr>
          <w:lang w:val="fr-FR"/>
        </w:rPr>
      </w:pPr>
      <w:r w:rsidRPr="00EA5BC0">
        <w:rPr>
          <w:lang w:val="fr-FR"/>
        </w:rPr>
        <w:tab/>
      </w:r>
      <w:r w:rsidRPr="00EA5BC0">
        <w:rPr>
          <w:lang w:val="fr-FR"/>
        </w:rPr>
        <w:tab/>
        <w:t xml:space="preserve">Commentaires </w:t>
      </w:r>
      <w:r w:rsidRPr="00EA5BC0">
        <w:t>de</w:t>
      </w:r>
      <w:r w:rsidRPr="00EA5BC0">
        <w:rPr>
          <w:lang w:val="fr-FR"/>
        </w:rPr>
        <w:t xml:space="preserve"> l</w:t>
      </w:r>
      <w:r w:rsidRPr="00EA5BC0">
        <w:rPr>
          <w:lang w:val="fr-FR"/>
        </w:rPr>
        <w:t>’</w:t>
      </w:r>
      <w:r w:rsidRPr="00EA5BC0">
        <w:rPr>
          <w:lang w:val="fr-FR"/>
        </w:rPr>
        <w:t>auteure sur les observations de l</w:t>
      </w:r>
      <w:r w:rsidRPr="00EA5BC0">
        <w:rPr>
          <w:lang w:val="fr-FR"/>
        </w:rPr>
        <w:t>’</w:t>
      </w:r>
      <w:r w:rsidRPr="00EA5BC0">
        <w:rPr>
          <w:lang w:val="fr-FR"/>
        </w:rPr>
        <w:t>État partie</w:t>
      </w:r>
      <w:r w:rsidRPr="00EA5BC0">
        <w:rPr>
          <w:lang w:val="fr-FR"/>
        </w:rPr>
        <w:t xml:space="preserve"> </w:t>
      </w:r>
      <w:r w:rsidR="00EA5BC0">
        <w:rPr>
          <w:lang w:val="fr-FR"/>
        </w:rPr>
        <w:br/>
      </w:r>
      <w:r w:rsidRPr="00EA5BC0">
        <w:rPr>
          <w:lang w:val="fr-FR"/>
        </w:rPr>
        <w:t>concernant</w:t>
      </w:r>
      <w:r w:rsidRPr="00EA5BC0">
        <w:rPr>
          <w:lang w:val="fr-FR"/>
        </w:rPr>
        <w:t xml:space="preserve"> la recevabilité et le fond</w:t>
      </w:r>
    </w:p>
    <w:p w:rsidR="00870218" w:rsidRPr="00EA5BC0" w:rsidRDefault="00366EE4" w:rsidP="00EA5BC0">
      <w:pPr>
        <w:pStyle w:val="SingleTxtG"/>
        <w:rPr>
          <w:lang w:val="fr-FR"/>
        </w:rPr>
      </w:pPr>
      <w:r w:rsidRPr="00EA5BC0">
        <w:rPr>
          <w:lang w:val="fr-FR"/>
        </w:rPr>
        <w:t>5.1</w:t>
      </w:r>
      <w:r w:rsidRPr="00EA5BC0">
        <w:rPr>
          <w:lang w:val="fr-FR"/>
        </w:rPr>
        <w:tab/>
      </w:r>
      <w:r w:rsidRPr="00EA5BC0">
        <w:rPr>
          <w:lang w:val="fr-FR"/>
        </w:rPr>
        <w:t>Le</w:t>
      </w:r>
      <w:r w:rsidRPr="00EA5BC0">
        <w:rPr>
          <w:lang w:val="fr-FR"/>
        </w:rPr>
        <w:t xml:space="preserve"> 5 février 2015, l</w:t>
      </w:r>
      <w:r w:rsidRPr="00EA5BC0">
        <w:rPr>
          <w:lang w:val="fr-FR"/>
        </w:rPr>
        <w:t>’</w:t>
      </w:r>
      <w:r w:rsidRPr="00EA5BC0">
        <w:rPr>
          <w:lang w:val="fr-FR"/>
        </w:rPr>
        <w:t xml:space="preserve">auteure </w:t>
      </w:r>
      <w:r w:rsidRPr="00EA5BC0">
        <w:rPr>
          <w:lang w:val="fr-FR"/>
        </w:rPr>
        <w:t xml:space="preserve">a </w:t>
      </w:r>
      <w:r w:rsidRPr="00EA5BC0">
        <w:rPr>
          <w:lang w:val="fr-FR"/>
        </w:rPr>
        <w:t>affirm</w:t>
      </w:r>
      <w:r w:rsidRPr="00EA5BC0">
        <w:rPr>
          <w:lang w:val="fr-FR"/>
        </w:rPr>
        <w:t>é</w:t>
      </w:r>
      <w:r w:rsidRPr="00EA5BC0">
        <w:rPr>
          <w:lang w:val="fr-FR"/>
        </w:rPr>
        <w:t xml:space="preserve"> </w:t>
      </w:r>
      <w:r w:rsidRPr="00EA5BC0">
        <w:rPr>
          <w:lang w:val="fr-FR"/>
        </w:rPr>
        <w:t xml:space="preserve">avoir démontré à suffisance </w:t>
      </w:r>
      <w:r w:rsidRPr="00EA5BC0">
        <w:rPr>
          <w:lang w:val="fr-FR"/>
        </w:rPr>
        <w:t>qu</w:t>
      </w:r>
      <w:r w:rsidRPr="00EA5BC0">
        <w:rPr>
          <w:lang w:val="fr-FR"/>
        </w:rPr>
        <w:t>’</w:t>
      </w:r>
      <w:r w:rsidRPr="00EA5BC0">
        <w:rPr>
          <w:lang w:val="fr-FR"/>
        </w:rPr>
        <w:t>il exist</w:t>
      </w:r>
      <w:r w:rsidRPr="00EA5BC0">
        <w:rPr>
          <w:lang w:val="fr-FR"/>
        </w:rPr>
        <w:t xml:space="preserve">ait </w:t>
      </w:r>
      <w:r w:rsidRPr="00EA5BC0">
        <w:rPr>
          <w:lang w:val="fr-FR"/>
        </w:rPr>
        <w:t>des motifs sérieux de croire que son renvoi en Malaisie violerait l</w:t>
      </w:r>
      <w:r w:rsidRPr="00EA5BC0">
        <w:rPr>
          <w:lang w:val="fr-FR"/>
        </w:rPr>
        <w:t>’</w:t>
      </w:r>
      <w:r w:rsidR="00EA5BC0">
        <w:rPr>
          <w:lang w:val="fr-FR"/>
        </w:rPr>
        <w:t xml:space="preserve">article </w:t>
      </w:r>
      <w:r w:rsidRPr="00EA5BC0">
        <w:rPr>
          <w:lang w:val="fr-FR"/>
        </w:rPr>
        <w:t>7 du Pacte.</w:t>
      </w:r>
    </w:p>
    <w:p w:rsidR="00870218" w:rsidRPr="00EA5BC0" w:rsidRDefault="00366EE4" w:rsidP="00EA5BC0">
      <w:pPr>
        <w:pStyle w:val="SingleTxtG"/>
        <w:rPr>
          <w:lang w:val="fr-FR"/>
        </w:rPr>
      </w:pPr>
      <w:r w:rsidRPr="00EA5BC0">
        <w:rPr>
          <w:lang w:val="fr-FR"/>
        </w:rPr>
        <w:t>5.2</w:t>
      </w:r>
      <w:r w:rsidRPr="00EA5BC0">
        <w:rPr>
          <w:lang w:val="fr-FR"/>
        </w:rPr>
        <w:tab/>
        <w:t>Pour ce qui est de</w:t>
      </w:r>
      <w:r w:rsidRPr="00EA5BC0">
        <w:rPr>
          <w:lang w:val="fr-FR"/>
        </w:rPr>
        <w:t xml:space="preserve"> l</w:t>
      </w:r>
      <w:r w:rsidRPr="00EA5BC0">
        <w:rPr>
          <w:lang w:val="fr-FR"/>
        </w:rPr>
        <w:t>’</w:t>
      </w:r>
      <w:r w:rsidRPr="00EA5BC0">
        <w:rPr>
          <w:lang w:val="fr-FR"/>
        </w:rPr>
        <w:t>argument de l</w:t>
      </w:r>
      <w:r w:rsidRPr="00EA5BC0">
        <w:rPr>
          <w:lang w:val="fr-FR"/>
        </w:rPr>
        <w:t>’</w:t>
      </w:r>
      <w:r w:rsidRPr="00EA5BC0">
        <w:rPr>
          <w:lang w:val="fr-FR"/>
        </w:rPr>
        <w:t xml:space="preserve">État partie selon lequel elle cherche à faire appliquer les </w:t>
      </w:r>
      <w:r w:rsidR="00EA5BC0">
        <w:rPr>
          <w:lang w:val="fr-FR"/>
        </w:rPr>
        <w:t xml:space="preserve">articles </w:t>
      </w:r>
      <w:r w:rsidRPr="00EA5BC0">
        <w:rPr>
          <w:lang w:val="fr-FR"/>
        </w:rPr>
        <w:t>17, 18 et 26 de façon extraterritoriale, l</w:t>
      </w:r>
      <w:r w:rsidRPr="00EA5BC0">
        <w:rPr>
          <w:lang w:val="fr-FR"/>
        </w:rPr>
        <w:t>’</w:t>
      </w:r>
      <w:r w:rsidRPr="00EA5BC0">
        <w:rPr>
          <w:lang w:val="fr-FR"/>
        </w:rPr>
        <w:t>auteure précise qu</w:t>
      </w:r>
      <w:r w:rsidRPr="00EA5BC0">
        <w:rPr>
          <w:lang w:val="fr-FR"/>
        </w:rPr>
        <w:t>’</w:t>
      </w:r>
      <w:r w:rsidRPr="00EA5BC0">
        <w:rPr>
          <w:lang w:val="fr-FR"/>
        </w:rPr>
        <w:t>elle fait valoir que les expériences qu</w:t>
      </w:r>
      <w:r w:rsidRPr="00EA5BC0">
        <w:rPr>
          <w:lang w:val="fr-FR"/>
        </w:rPr>
        <w:t>’</w:t>
      </w:r>
      <w:r w:rsidRPr="00EA5BC0">
        <w:rPr>
          <w:lang w:val="fr-FR"/>
        </w:rPr>
        <w:t>elle a vécues par le pass</w:t>
      </w:r>
      <w:r w:rsidRPr="00EA5BC0">
        <w:rPr>
          <w:lang w:val="fr-FR"/>
        </w:rPr>
        <w:t xml:space="preserve">é, associées aux informations générales disponibles au sujet de la situation des femmes transgenres en </w:t>
      </w:r>
      <w:r w:rsidRPr="00EA5BC0">
        <w:rPr>
          <w:lang w:val="fr-FR"/>
        </w:rPr>
        <w:t>Malaisie, confirment qu</w:t>
      </w:r>
      <w:r w:rsidRPr="00EA5BC0">
        <w:rPr>
          <w:lang w:val="fr-FR"/>
        </w:rPr>
        <w:t>’</w:t>
      </w:r>
      <w:r w:rsidRPr="00EA5BC0">
        <w:rPr>
          <w:lang w:val="fr-FR"/>
        </w:rPr>
        <w:t>en</w:t>
      </w:r>
      <w:r w:rsidRPr="00EA5BC0">
        <w:rPr>
          <w:lang w:val="fr-FR"/>
        </w:rPr>
        <w:t xml:space="preserve"> tant que femme, </w:t>
      </w:r>
      <w:r w:rsidRPr="00EA5BC0">
        <w:rPr>
          <w:lang w:val="fr-FR"/>
        </w:rPr>
        <w:t>s</w:t>
      </w:r>
      <w:r w:rsidRPr="00EA5BC0">
        <w:rPr>
          <w:lang w:val="fr-FR"/>
        </w:rPr>
        <w:t>on</w:t>
      </w:r>
      <w:r w:rsidRPr="00EA5BC0">
        <w:rPr>
          <w:lang w:val="fr-FR"/>
        </w:rPr>
        <w:t xml:space="preserve"> droit à la vie privée et à la liberté de religion </w:t>
      </w:r>
      <w:r w:rsidRPr="00EA5BC0">
        <w:rPr>
          <w:lang w:val="fr-FR"/>
        </w:rPr>
        <w:t>serait bafoué en</w:t>
      </w:r>
      <w:r w:rsidRPr="00EA5BC0">
        <w:rPr>
          <w:lang w:val="fr-FR"/>
        </w:rPr>
        <w:t xml:space="preserve"> Malaisie.</w:t>
      </w:r>
      <w:r w:rsidRPr="00EA5BC0">
        <w:rPr>
          <w:lang w:val="fr-FR"/>
        </w:rPr>
        <w:t xml:space="preserve"> Sous l’effet cumulé de c</w:t>
      </w:r>
      <w:r w:rsidRPr="00EA5BC0">
        <w:rPr>
          <w:lang w:val="fr-FR"/>
        </w:rPr>
        <w:t>es él</w:t>
      </w:r>
      <w:r w:rsidRPr="00EA5BC0">
        <w:rPr>
          <w:lang w:val="fr-FR"/>
        </w:rPr>
        <w:t>éments</w:t>
      </w:r>
      <w:r w:rsidRPr="00EA5BC0">
        <w:rPr>
          <w:lang w:val="fr-FR"/>
        </w:rPr>
        <w:t xml:space="preserve">, </w:t>
      </w:r>
      <w:r w:rsidRPr="00EA5BC0">
        <w:rPr>
          <w:lang w:val="fr-FR"/>
        </w:rPr>
        <w:t xml:space="preserve">le </w:t>
      </w:r>
      <w:r w:rsidRPr="00EA5BC0">
        <w:rPr>
          <w:lang w:val="fr-FR"/>
        </w:rPr>
        <w:t>risque</w:t>
      </w:r>
      <w:r w:rsidRPr="00EA5BC0">
        <w:rPr>
          <w:lang w:val="fr-FR"/>
        </w:rPr>
        <w:t xml:space="preserve"> </w:t>
      </w:r>
      <w:r w:rsidRPr="00EA5BC0">
        <w:rPr>
          <w:lang w:val="fr-FR"/>
        </w:rPr>
        <w:t xml:space="preserve">de subir des </w:t>
      </w:r>
      <w:r w:rsidRPr="00EA5BC0">
        <w:rPr>
          <w:lang w:val="fr-FR"/>
        </w:rPr>
        <w:t>peines ou traitements cruels, inhumains ou dégradants</w:t>
      </w:r>
      <w:r w:rsidRPr="00EA5BC0">
        <w:rPr>
          <w:lang w:val="fr-FR"/>
        </w:rPr>
        <w:t xml:space="preserve"> en cas de renvoi s’en trouve accru</w:t>
      </w:r>
      <w:r w:rsidRPr="00EA5BC0">
        <w:rPr>
          <w:lang w:val="fr-FR"/>
        </w:rPr>
        <w:t>.</w:t>
      </w:r>
    </w:p>
    <w:p w:rsidR="00870218" w:rsidRPr="00EA5BC0" w:rsidRDefault="00366EE4" w:rsidP="00EA5BC0">
      <w:pPr>
        <w:pStyle w:val="SingleTxtG"/>
        <w:rPr>
          <w:lang w:val="fr-FR"/>
        </w:rPr>
      </w:pPr>
      <w:r w:rsidRPr="00EA5BC0">
        <w:rPr>
          <w:lang w:val="fr-FR"/>
        </w:rPr>
        <w:t>5.3</w:t>
      </w:r>
      <w:r w:rsidRPr="00EA5BC0">
        <w:rPr>
          <w:lang w:val="fr-FR"/>
        </w:rPr>
        <w:tab/>
        <w:t>L</w:t>
      </w:r>
      <w:r w:rsidRPr="00EA5BC0">
        <w:rPr>
          <w:lang w:val="fr-FR"/>
        </w:rPr>
        <w:t>’</w:t>
      </w:r>
      <w:r w:rsidRPr="00EA5BC0">
        <w:rPr>
          <w:lang w:val="fr-FR"/>
        </w:rPr>
        <w:t xml:space="preserve">auteure </w:t>
      </w:r>
      <w:r w:rsidRPr="00EA5BC0">
        <w:rPr>
          <w:lang w:val="fr-FR"/>
        </w:rPr>
        <w:t>dit</w:t>
      </w:r>
      <w:r w:rsidRPr="00EA5BC0">
        <w:rPr>
          <w:lang w:val="fr-FR"/>
        </w:rPr>
        <w:t xml:space="preserve"> que</w:t>
      </w:r>
      <w:r w:rsidRPr="00EA5BC0">
        <w:rPr>
          <w:lang w:val="fr-FR"/>
        </w:rPr>
        <w:t>, malgré l’</w:t>
      </w:r>
      <w:r w:rsidRPr="00EA5BC0">
        <w:rPr>
          <w:lang w:val="fr-FR"/>
        </w:rPr>
        <w:t xml:space="preserve">opération </w:t>
      </w:r>
      <w:r w:rsidRPr="00EA5BC0">
        <w:rPr>
          <w:lang w:val="fr-FR"/>
        </w:rPr>
        <w:t xml:space="preserve">de réassignation sexuelle qu’elle a subie </w:t>
      </w:r>
      <w:r w:rsidRPr="00EA5BC0">
        <w:rPr>
          <w:lang w:val="fr-FR"/>
        </w:rPr>
        <w:t xml:space="preserve">et </w:t>
      </w:r>
      <w:r w:rsidRPr="00EA5BC0">
        <w:rPr>
          <w:lang w:val="fr-FR"/>
        </w:rPr>
        <w:t xml:space="preserve">la </w:t>
      </w:r>
      <w:r w:rsidRPr="00EA5BC0">
        <w:rPr>
          <w:lang w:val="fr-FR"/>
        </w:rPr>
        <w:t>pris</w:t>
      </w:r>
      <w:r w:rsidRPr="00EA5BC0">
        <w:rPr>
          <w:lang w:val="fr-FR"/>
        </w:rPr>
        <w:t>e</w:t>
      </w:r>
      <w:r w:rsidRPr="00EA5BC0">
        <w:rPr>
          <w:lang w:val="fr-FR"/>
        </w:rPr>
        <w:t xml:space="preserve"> d</w:t>
      </w:r>
      <w:r w:rsidRPr="00EA5BC0">
        <w:rPr>
          <w:lang w:val="fr-FR"/>
        </w:rPr>
        <w:t>’</w:t>
      </w:r>
      <w:r w:rsidRPr="00EA5BC0">
        <w:rPr>
          <w:lang w:val="fr-FR"/>
        </w:rPr>
        <w:t>hormones féminines</w:t>
      </w:r>
      <w:r w:rsidRPr="00EA5BC0">
        <w:rPr>
          <w:lang w:val="fr-FR"/>
        </w:rPr>
        <w:t>, son apparence phy</w:t>
      </w:r>
      <w:r w:rsidRPr="00EA5BC0">
        <w:rPr>
          <w:lang w:val="fr-FR"/>
        </w:rPr>
        <w:t xml:space="preserve">sique </w:t>
      </w:r>
      <w:r w:rsidR="00F52D13">
        <w:t>−</w:t>
      </w:r>
      <w:r w:rsidRPr="00EA5BC0">
        <w:rPr>
          <w:lang w:val="fr-FR"/>
        </w:rPr>
        <w:t xml:space="preserve"> elle mesure 1,70 m, pèse 105 kg et </w:t>
      </w:r>
      <w:r w:rsidRPr="00EA5BC0">
        <w:rPr>
          <w:lang w:val="fr-FR"/>
        </w:rPr>
        <w:t xml:space="preserve">chausse du </w:t>
      </w:r>
      <w:r w:rsidRPr="00EA5BC0">
        <w:rPr>
          <w:lang w:val="fr-FR"/>
        </w:rPr>
        <w:t>44</w:t>
      </w:r>
      <w:r w:rsidRPr="00EA5BC0">
        <w:rPr>
          <w:lang w:val="fr-FR"/>
        </w:rPr>
        <w:t xml:space="preserve">, et </w:t>
      </w:r>
      <w:r w:rsidRPr="00EA5BC0">
        <w:rPr>
          <w:lang w:val="fr-FR"/>
        </w:rPr>
        <w:t xml:space="preserve">semble </w:t>
      </w:r>
      <w:r w:rsidRPr="00EA5BC0">
        <w:rPr>
          <w:lang w:val="fr-FR"/>
        </w:rPr>
        <w:t xml:space="preserve">donc </w:t>
      </w:r>
      <w:r w:rsidRPr="00EA5BC0">
        <w:rPr>
          <w:lang w:val="fr-FR"/>
        </w:rPr>
        <w:t>inhabituellement grande pour une femme</w:t>
      </w:r>
      <w:r w:rsidRPr="00EA5BC0">
        <w:t xml:space="preserve"> </w:t>
      </w:r>
      <w:r w:rsidR="00F52D13">
        <w:t>−</w:t>
      </w:r>
      <w:r w:rsidRPr="00EA5BC0">
        <w:rPr>
          <w:lang w:val="fr-FR"/>
        </w:rPr>
        <w:t xml:space="preserve"> </w:t>
      </w:r>
      <w:r w:rsidRPr="00EA5BC0">
        <w:rPr>
          <w:lang w:val="fr-FR"/>
        </w:rPr>
        <w:t>fait qu</w:t>
      </w:r>
      <w:r w:rsidRPr="00EA5BC0">
        <w:rPr>
          <w:lang w:val="fr-FR"/>
        </w:rPr>
        <w:t>’</w:t>
      </w:r>
      <w:r w:rsidRPr="00EA5BC0">
        <w:rPr>
          <w:lang w:val="fr-FR"/>
        </w:rPr>
        <w:t>on</w:t>
      </w:r>
      <w:r w:rsidRPr="00EA5BC0">
        <w:rPr>
          <w:lang w:val="fr-FR"/>
        </w:rPr>
        <w:t xml:space="preserve"> la soupçonne d</w:t>
      </w:r>
      <w:r w:rsidRPr="00EA5BC0">
        <w:rPr>
          <w:lang w:val="fr-FR"/>
        </w:rPr>
        <w:t>’</w:t>
      </w:r>
      <w:r w:rsidRPr="00EA5BC0">
        <w:rPr>
          <w:lang w:val="fr-FR"/>
        </w:rPr>
        <w:t>être un homme habillé en femme. C</w:t>
      </w:r>
      <w:r w:rsidRPr="00EA5BC0">
        <w:rPr>
          <w:lang w:val="fr-FR"/>
        </w:rPr>
        <w:t>’</w:t>
      </w:r>
      <w:r w:rsidRPr="00EA5BC0">
        <w:rPr>
          <w:lang w:val="fr-FR"/>
        </w:rPr>
        <w:t xml:space="preserve">est très probablement la raison pour laquelle elle a </w:t>
      </w:r>
      <w:r w:rsidRPr="00EA5BC0">
        <w:rPr>
          <w:lang w:val="fr-FR"/>
        </w:rPr>
        <w:t>sou</w:t>
      </w:r>
      <w:r w:rsidRPr="00EA5BC0">
        <w:rPr>
          <w:lang w:val="fr-FR"/>
        </w:rPr>
        <w:t>vent</w:t>
      </w:r>
      <w:r w:rsidRPr="00EA5BC0">
        <w:rPr>
          <w:lang w:val="fr-FR"/>
        </w:rPr>
        <w:t xml:space="preserve"> </w:t>
      </w:r>
      <w:r w:rsidRPr="00EA5BC0">
        <w:rPr>
          <w:lang w:val="fr-FR"/>
        </w:rPr>
        <w:t>fait</w:t>
      </w:r>
      <w:r w:rsidRPr="00EA5BC0">
        <w:rPr>
          <w:lang w:val="fr-FR"/>
        </w:rPr>
        <w:t xml:space="preserve"> l</w:t>
      </w:r>
      <w:r w:rsidRPr="00EA5BC0">
        <w:rPr>
          <w:lang w:val="fr-FR"/>
        </w:rPr>
        <w:t>’</w:t>
      </w:r>
      <w:r w:rsidRPr="00EA5BC0">
        <w:rPr>
          <w:lang w:val="fr-FR"/>
        </w:rPr>
        <w:t xml:space="preserve">objet de </w:t>
      </w:r>
      <w:r w:rsidRPr="00EA5BC0">
        <w:rPr>
          <w:lang w:val="fr-FR"/>
        </w:rPr>
        <w:t>contrôles d</w:t>
      </w:r>
      <w:r w:rsidRPr="00EA5BC0">
        <w:rPr>
          <w:lang w:val="fr-FR"/>
        </w:rPr>
        <w:t>’</w:t>
      </w:r>
      <w:r w:rsidRPr="00EA5BC0">
        <w:rPr>
          <w:lang w:val="fr-FR"/>
        </w:rPr>
        <w:t>identité par la police malaisienne et courrait à no</w:t>
      </w:r>
      <w:r w:rsidRPr="00EA5BC0">
        <w:rPr>
          <w:lang w:val="fr-FR"/>
        </w:rPr>
        <w:t>uveau ce risque. En outre, à l</w:t>
      </w:r>
      <w:r w:rsidRPr="00EA5BC0">
        <w:rPr>
          <w:lang w:val="fr-FR"/>
        </w:rPr>
        <w:t>’</w:t>
      </w:r>
      <w:r w:rsidRPr="00EA5BC0">
        <w:rPr>
          <w:lang w:val="fr-FR"/>
        </w:rPr>
        <w:t>occasion de ces contrôles, les tatouages qu</w:t>
      </w:r>
      <w:r w:rsidRPr="00EA5BC0">
        <w:rPr>
          <w:lang w:val="fr-FR"/>
        </w:rPr>
        <w:t>’</w:t>
      </w:r>
      <w:r w:rsidRPr="00EA5BC0">
        <w:rPr>
          <w:lang w:val="fr-FR"/>
        </w:rPr>
        <w:t>elle porte sur la poitrine, la main gauche et le dos seraient découverts, ce qui donnerait lieu à son renvoi devant le</w:t>
      </w:r>
      <w:r w:rsidRPr="00EA5BC0">
        <w:rPr>
          <w:lang w:val="fr-FR"/>
        </w:rPr>
        <w:t xml:space="preserve"> </w:t>
      </w:r>
      <w:r w:rsidRPr="00EA5BC0">
        <w:rPr>
          <w:lang w:val="fr-FR"/>
        </w:rPr>
        <w:t>tribunal islamique</w:t>
      </w:r>
      <w:r w:rsidRPr="00EA5BC0">
        <w:rPr>
          <w:lang w:val="fr-FR"/>
        </w:rPr>
        <w:t xml:space="preserve"> dans le cadre de la procédure toujours pendante à son encontre.</w:t>
      </w:r>
    </w:p>
    <w:p w:rsidR="00870218" w:rsidRPr="00EA5BC0" w:rsidRDefault="00366EE4" w:rsidP="00EA5BC0">
      <w:pPr>
        <w:pStyle w:val="SingleTxtG"/>
        <w:rPr>
          <w:lang w:val="fr-FR"/>
        </w:rPr>
      </w:pPr>
      <w:r w:rsidRPr="00EA5BC0">
        <w:rPr>
          <w:lang w:val="fr-FR"/>
        </w:rPr>
        <w:t>5.4</w:t>
      </w:r>
      <w:r w:rsidRPr="00EA5BC0">
        <w:rPr>
          <w:lang w:val="fr-FR"/>
        </w:rPr>
        <w:tab/>
        <w:t>L</w:t>
      </w:r>
      <w:r w:rsidRPr="00EA5BC0">
        <w:rPr>
          <w:lang w:val="fr-FR"/>
        </w:rPr>
        <w:t>’</w:t>
      </w:r>
      <w:r w:rsidRPr="00EA5BC0">
        <w:rPr>
          <w:lang w:val="fr-FR"/>
        </w:rPr>
        <w:t>auteure cite différents rapports d</w:t>
      </w:r>
      <w:r w:rsidRPr="00EA5BC0">
        <w:rPr>
          <w:lang w:val="fr-FR"/>
        </w:rPr>
        <w:t>’</w:t>
      </w:r>
      <w:r w:rsidRPr="00EA5BC0">
        <w:rPr>
          <w:lang w:val="fr-FR"/>
        </w:rPr>
        <w:t>organisations gouvernementales et non gouvernementales sur la situation des personnes transgenres en Malaisie. En particulier, il e</w:t>
      </w:r>
      <w:r w:rsidRPr="00EA5BC0">
        <w:rPr>
          <w:lang w:val="fr-FR"/>
        </w:rPr>
        <w:t>st dit dans un rapport de Human Rights Watch</w:t>
      </w:r>
      <w:r w:rsidRPr="00EA5BC0">
        <w:rPr>
          <w:vertAlign w:val="superscript"/>
        </w:rPr>
        <w:footnoteReference w:id="12"/>
      </w:r>
      <w:r w:rsidRPr="00EA5BC0">
        <w:rPr>
          <w:lang w:val="fr-FR"/>
        </w:rPr>
        <w:t xml:space="preserve"> que la discrimination contre les personnes transgenres est généralisée et que la Cour fédérale a décidé en octobre 2016 d</w:t>
      </w:r>
      <w:r w:rsidRPr="00EA5BC0">
        <w:rPr>
          <w:lang w:val="fr-FR"/>
        </w:rPr>
        <w:t>’</w:t>
      </w:r>
      <w:r w:rsidRPr="00EA5BC0">
        <w:rPr>
          <w:lang w:val="fr-FR"/>
        </w:rPr>
        <w:t>infirmer une décision d</w:t>
      </w:r>
      <w:r w:rsidRPr="00EA5BC0">
        <w:rPr>
          <w:lang w:val="fr-FR"/>
        </w:rPr>
        <w:t>’</w:t>
      </w:r>
      <w:r w:rsidRPr="00EA5BC0">
        <w:rPr>
          <w:lang w:val="fr-FR"/>
        </w:rPr>
        <w:t>une juridiction inférieure qui avait déclaré contraire à la Cons</w:t>
      </w:r>
      <w:r w:rsidRPr="00EA5BC0">
        <w:rPr>
          <w:lang w:val="fr-FR"/>
        </w:rPr>
        <w:t>titution une disposition de la charia de l</w:t>
      </w:r>
      <w:r w:rsidRPr="00EA5BC0">
        <w:rPr>
          <w:lang w:val="fr-FR"/>
        </w:rPr>
        <w:t>’</w:t>
      </w:r>
      <w:r w:rsidRPr="00EA5BC0">
        <w:rPr>
          <w:lang w:val="fr-FR"/>
        </w:rPr>
        <w:t>État de Negeri Sembilan qui incriminait le travestissement. Selon un rapport du Département d</w:t>
      </w:r>
      <w:r w:rsidRPr="00EA5BC0">
        <w:rPr>
          <w:lang w:val="fr-FR"/>
        </w:rPr>
        <w:t>’</w:t>
      </w:r>
      <w:r w:rsidRPr="00EA5BC0">
        <w:rPr>
          <w:lang w:val="fr-FR"/>
        </w:rPr>
        <w:t>État des États-Unis</w:t>
      </w:r>
      <w:r w:rsidRPr="00EA5BC0">
        <w:rPr>
          <w:lang w:val="fr-FR"/>
        </w:rPr>
        <w:t xml:space="preserve"> d’Amérique</w:t>
      </w:r>
      <w:r w:rsidRPr="00EA5BC0">
        <w:rPr>
          <w:vertAlign w:val="superscript"/>
        </w:rPr>
        <w:footnoteReference w:id="13"/>
      </w:r>
      <w:r w:rsidRPr="00EA5BC0">
        <w:rPr>
          <w:lang w:val="fr-FR"/>
        </w:rPr>
        <w:t>,</w:t>
      </w:r>
      <w:r w:rsidRPr="00EA5BC0">
        <w:rPr>
          <w:lang w:val="fr-FR"/>
        </w:rPr>
        <w:t xml:space="preserve"> les personnes transgenres sont souvent poursuivies pour « attentat à la pudeur » au titre de la loi sur les délits mineurs et peuvent être condamnées à une amende, ou en cas de récidive, à une peine pouvant aller jusqu</w:t>
      </w:r>
      <w:r w:rsidRPr="00EA5BC0">
        <w:rPr>
          <w:lang w:val="fr-FR"/>
        </w:rPr>
        <w:t>’</w:t>
      </w:r>
      <w:r w:rsidRPr="00EA5BC0">
        <w:rPr>
          <w:lang w:val="fr-FR"/>
        </w:rPr>
        <w:t>à trois mois d</w:t>
      </w:r>
      <w:r w:rsidRPr="00EA5BC0">
        <w:rPr>
          <w:lang w:val="fr-FR"/>
        </w:rPr>
        <w:t>’</w:t>
      </w:r>
      <w:r w:rsidRPr="00EA5BC0">
        <w:rPr>
          <w:lang w:val="fr-FR"/>
        </w:rPr>
        <w:t>emprisonnement.</w:t>
      </w:r>
    </w:p>
    <w:p w:rsidR="00870218" w:rsidRPr="00EA5BC0" w:rsidRDefault="00366EE4" w:rsidP="00EA5BC0">
      <w:pPr>
        <w:pStyle w:val="H23G"/>
        <w:rPr>
          <w:lang w:val="fr-FR"/>
        </w:rPr>
      </w:pPr>
      <w:r w:rsidRPr="00EA5BC0">
        <w:rPr>
          <w:lang w:val="fr-FR"/>
        </w:rPr>
        <w:tab/>
      </w:r>
      <w:r w:rsidRPr="00EA5BC0">
        <w:rPr>
          <w:lang w:val="fr-FR"/>
        </w:rPr>
        <w:tab/>
        <w:t>Dél</w:t>
      </w:r>
      <w:r w:rsidRPr="00EA5BC0">
        <w:rPr>
          <w:lang w:val="fr-FR"/>
        </w:rPr>
        <w:t xml:space="preserve">ibérations du </w:t>
      </w:r>
      <w:r w:rsidRPr="00EA5BC0">
        <w:t>Comité</w:t>
      </w:r>
    </w:p>
    <w:p w:rsidR="00870218" w:rsidRPr="00EA5BC0" w:rsidRDefault="00366EE4" w:rsidP="00EA5BC0">
      <w:pPr>
        <w:pStyle w:val="H4G"/>
        <w:rPr>
          <w:lang w:val="fr-FR"/>
        </w:rPr>
      </w:pPr>
      <w:r w:rsidRPr="00EA5BC0">
        <w:rPr>
          <w:lang w:val="fr-FR"/>
        </w:rPr>
        <w:tab/>
      </w:r>
      <w:r w:rsidRPr="00EA5BC0">
        <w:rPr>
          <w:lang w:val="fr-FR"/>
        </w:rPr>
        <w:tab/>
        <w:t>Examen de la recevabilité</w:t>
      </w:r>
    </w:p>
    <w:p w:rsidR="00870218" w:rsidRPr="00EA5BC0" w:rsidRDefault="00366EE4" w:rsidP="00EA5BC0">
      <w:pPr>
        <w:pStyle w:val="SingleTxtG"/>
        <w:rPr>
          <w:lang w:val="fr-FR"/>
        </w:rPr>
      </w:pPr>
      <w:r w:rsidRPr="00EA5BC0">
        <w:rPr>
          <w:lang w:val="fr-FR"/>
        </w:rPr>
        <w:t>6.1</w:t>
      </w:r>
      <w:r w:rsidRPr="00EA5BC0">
        <w:rPr>
          <w:lang w:val="fr-FR"/>
        </w:rPr>
        <w:tab/>
        <w:t>Avant d</w:t>
      </w:r>
      <w:r w:rsidRPr="00EA5BC0">
        <w:rPr>
          <w:lang w:val="fr-FR"/>
        </w:rPr>
        <w:t>’</w:t>
      </w:r>
      <w:r w:rsidRPr="00EA5BC0">
        <w:rPr>
          <w:lang w:val="fr-FR"/>
        </w:rPr>
        <w:t xml:space="preserve">examiner toute plainte formulée dans une communication, le Comité </w:t>
      </w:r>
      <w:r w:rsidRPr="00EA5BC0">
        <w:rPr>
          <w:lang w:val="fr-FR"/>
        </w:rPr>
        <w:t xml:space="preserve">des droits de l’homme </w:t>
      </w:r>
      <w:r w:rsidRPr="00EA5BC0">
        <w:rPr>
          <w:lang w:val="fr-FR"/>
        </w:rPr>
        <w:t>doit, conformément à l</w:t>
      </w:r>
      <w:r w:rsidRPr="00EA5BC0">
        <w:rPr>
          <w:lang w:val="fr-FR"/>
        </w:rPr>
        <w:t>’</w:t>
      </w:r>
      <w:r w:rsidR="00EA5BC0">
        <w:rPr>
          <w:lang w:val="fr-FR"/>
        </w:rPr>
        <w:t xml:space="preserve">article </w:t>
      </w:r>
      <w:r w:rsidRPr="00EA5BC0">
        <w:rPr>
          <w:lang w:val="fr-FR"/>
        </w:rPr>
        <w:t xml:space="preserve">93 de son règlement intérieur, déterminer si la communication est recevable </w:t>
      </w:r>
      <w:r w:rsidRPr="00EA5BC0">
        <w:rPr>
          <w:lang w:val="fr-FR"/>
        </w:rPr>
        <w:t>en vertu du Protocole facultatif.</w:t>
      </w:r>
    </w:p>
    <w:p w:rsidR="00870218" w:rsidRPr="00EA5BC0" w:rsidRDefault="00366EE4" w:rsidP="00EA5BC0">
      <w:pPr>
        <w:pStyle w:val="SingleTxtG"/>
        <w:rPr>
          <w:lang w:val="fr-FR"/>
        </w:rPr>
      </w:pPr>
      <w:r w:rsidRPr="00EA5BC0">
        <w:rPr>
          <w:lang w:val="fr-FR"/>
        </w:rPr>
        <w:t>6.2</w:t>
      </w:r>
      <w:r w:rsidRPr="00EA5BC0">
        <w:rPr>
          <w:lang w:val="fr-FR"/>
        </w:rPr>
        <w:tab/>
        <w:t>Le Comité s</w:t>
      </w:r>
      <w:r w:rsidRPr="00EA5BC0">
        <w:rPr>
          <w:lang w:val="fr-FR"/>
        </w:rPr>
        <w:t>’</w:t>
      </w:r>
      <w:r w:rsidRPr="00EA5BC0">
        <w:rPr>
          <w:lang w:val="fr-FR"/>
        </w:rPr>
        <w:t xml:space="preserve">est assuré, comme il est tenu de le faire conformément </w:t>
      </w:r>
      <w:r w:rsidRPr="00EA5BC0">
        <w:rPr>
          <w:lang w:val="fr-FR"/>
        </w:rPr>
        <w:t xml:space="preserve">à l’alinéa a) du </w:t>
      </w:r>
      <w:r w:rsidR="00EA5BC0">
        <w:rPr>
          <w:lang w:val="fr-FR"/>
        </w:rPr>
        <w:t xml:space="preserve">paragraphe </w:t>
      </w:r>
      <w:r w:rsidRPr="00EA5BC0">
        <w:rPr>
          <w:lang w:val="fr-FR"/>
        </w:rPr>
        <w:t>2 de l</w:t>
      </w:r>
      <w:r w:rsidRPr="00EA5BC0">
        <w:rPr>
          <w:lang w:val="fr-FR"/>
        </w:rPr>
        <w:t>’</w:t>
      </w:r>
      <w:r w:rsidR="00EA5BC0">
        <w:rPr>
          <w:lang w:val="fr-FR"/>
        </w:rPr>
        <w:t xml:space="preserve">article </w:t>
      </w:r>
      <w:r w:rsidRPr="00EA5BC0">
        <w:rPr>
          <w:lang w:val="fr-FR"/>
        </w:rPr>
        <w:t>5 du Protocole facultatif, que la même question n</w:t>
      </w:r>
      <w:r w:rsidRPr="00EA5BC0">
        <w:rPr>
          <w:lang w:val="fr-FR"/>
        </w:rPr>
        <w:t>’</w:t>
      </w:r>
      <w:r w:rsidRPr="00EA5BC0">
        <w:rPr>
          <w:lang w:val="fr-FR"/>
        </w:rPr>
        <w:t>était pas déjà en cours d</w:t>
      </w:r>
      <w:r w:rsidRPr="00EA5BC0">
        <w:rPr>
          <w:lang w:val="fr-FR"/>
        </w:rPr>
        <w:t>’</w:t>
      </w:r>
      <w:r w:rsidRPr="00EA5BC0">
        <w:rPr>
          <w:lang w:val="fr-FR"/>
        </w:rPr>
        <w:t>examen devant une autre instance</w:t>
      </w:r>
      <w:r w:rsidRPr="00EA5BC0">
        <w:rPr>
          <w:lang w:val="fr-FR"/>
        </w:rPr>
        <w:t xml:space="preserve"> internationale d</w:t>
      </w:r>
      <w:r w:rsidRPr="00EA5BC0">
        <w:rPr>
          <w:lang w:val="fr-FR"/>
        </w:rPr>
        <w:t>’</w:t>
      </w:r>
      <w:r w:rsidRPr="00EA5BC0">
        <w:rPr>
          <w:lang w:val="fr-FR"/>
        </w:rPr>
        <w:t xml:space="preserve">enquête ou de règlement. </w:t>
      </w:r>
    </w:p>
    <w:p w:rsidR="00870218" w:rsidRPr="00EA5BC0" w:rsidRDefault="00366EE4" w:rsidP="00EA5BC0">
      <w:pPr>
        <w:pStyle w:val="SingleTxtG"/>
        <w:rPr>
          <w:lang w:val="fr-FR"/>
        </w:rPr>
      </w:pPr>
      <w:r w:rsidRPr="00EA5BC0">
        <w:rPr>
          <w:lang w:val="fr-FR"/>
        </w:rPr>
        <w:t>6.3</w:t>
      </w:r>
      <w:r w:rsidRPr="00EA5BC0">
        <w:rPr>
          <w:lang w:val="fr-FR"/>
        </w:rPr>
        <w:tab/>
      </w:r>
      <w:r w:rsidRPr="00EA5BC0">
        <w:rPr>
          <w:lang w:val="fr-FR"/>
        </w:rPr>
        <w:t>Le Comité note que l</w:t>
      </w:r>
      <w:r w:rsidRPr="00EA5BC0">
        <w:rPr>
          <w:lang w:val="fr-FR"/>
        </w:rPr>
        <w:t>’</w:t>
      </w:r>
      <w:r w:rsidRPr="00EA5BC0">
        <w:rPr>
          <w:lang w:val="fr-FR"/>
        </w:rPr>
        <w:t>auteure affirme avoir épuisé tous les recours internes utiles qui lui étaient ouverts. En l</w:t>
      </w:r>
      <w:r w:rsidRPr="00EA5BC0">
        <w:rPr>
          <w:lang w:val="fr-FR"/>
        </w:rPr>
        <w:t>’</w:t>
      </w:r>
      <w:r w:rsidRPr="00EA5BC0">
        <w:rPr>
          <w:lang w:val="fr-FR"/>
        </w:rPr>
        <w:t>absence de toute objection de l</w:t>
      </w:r>
      <w:r w:rsidRPr="00EA5BC0">
        <w:rPr>
          <w:lang w:val="fr-FR"/>
        </w:rPr>
        <w:t>’</w:t>
      </w:r>
      <w:r w:rsidRPr="00EA5BC0">
        <w:rPr>
          <w:lang w:val="fr-FR"/>
        </w:rPr>
        <w:t>État partie sur ce point, le Comité considère que les condition</w:t>
      </w:r>
      <w:r w:rsidRPr="00EA5BC0">
        <w:rPr>
          <w:lang w:val="fr-FR"/>
        </w:rPr>
        <w:t xml:space="preserve">s énoncées </w:t>
      </w:r>
      <w:r w:rsidRPr="00EA5BC0">
        <w:rPr>
          <w:lang w:val="fr-FR"/>
        </w:rPr>
        <w:t xml:space="preserve">à l’alinéa b) du </w:t>
      </w:r>
      <w:r w:rsidR="00EA5BC0">
        <w:rPr>
          <w:lang w:val="fr-FR"/>
        </w:rPr>
        <w:t xml:space="preserve">paragraphe </w:t>
      </w:r>
      <w:r w:rsidRPr="00EA5BC0">
        <w:rPr>
          <w:lang w:val="fr-FR"/>
        </w:rPr>
        <w:t>2 de l</w:t>
      </w:r>
      <w:r w:rsidRPr="00EA5BC0">
        <w:rPr>
          <w:lang w:val="fr-FR"/>
        </w:rPr>
        <w:t>’</w:t>
      </w:r>
      <w:r w:rsidR="00EA5BC0">
        <w:rPr>
          <w:lang w:val="fr-FR"/>
        </w:rPr>
        <w:t xml:space="preserve">article </w:t>
      </w:r>
      <w:r w:rsidRPr="00EA5BC0">
        <w:rPr>
          <w:lang w:val="fr-FR"/>
        </w:rPr>
        <w:t>5 du Protocole facultatif sont réunies.</w:t>
      </w:r>
    </w:p>
    <w:p w:rsidR="00870218" w:rsidRPr="00EA5BC0" w:rsidRDefault="00366EE4" w:rsidP="000C1BE0">
      <w:pPr>
        <w:pStyle w:val="SingleTxtG"/>
        <w:spacing w:after="100" w:line="232" w:lineRule="exact"/>
        <w:rPr>
          <w:lang w:val="fr-FR"/>
        </w:rPr>
      </w:pPr>
      <w:r w:rsidRPr="00EA5BC0">
        <w:rPr>
          <w:lang w:val="fr-FR"/>
        </w:rPr>
        <w:lastRenderedPageBreak/>
        <w:t>6.4</w:t>
      </w:r>
      <w:r w:rsidRPr="00EA5BC0">
        <w:rPr>
          <w:lang w:val="fr-FR"/>
        </w:rPr>
        <w:tab/>
        <w:t>Le Comité prend note du grief de l</w:t>
      </w:r>
      <w:r w:rsidRPr="00EA5BC0">
        <w:rPr>
          <w:lang w:val="fr-FR"/>
        </w:rPr>
        <w:t>’</w:t>
      </w:r>
      <w:r w:rsidRPr="00EA5BC0">
        <w:rPr>
          <w:lang w:val="fr-FR"/>
        </w:rPr>
        <w:t>auteure qui affirme que son renvoi vers la Malaisie l</w:t>
      </w:r>
      <w:r w:rsidRPr="00EA5BC0">
        <w:rPr>
          <w:lang w:val="fr-FR"/>
        </w:rPr>
        <w:t>’</w:t>
      </w:r>
      <w:r w:rsidRPr="00EA5BC0">
        <w:rPr>
          <w:lang w:val="fr-FR"/>
        </w:rPr>
        <w:t>exposerait, en raison de sa prétendue conversion à l</w:t>
      </w:r>
      <w:r w:rsidRPr="00EA5BC0">
        <w:rPr>
          <w:lang w:val="fr-FR"/>
        </w:rPr>
        <w:t>’</w:t>
      </w:r>
      <w:r w:rsidRPr="00EA5BC0">
        <w:rPr>
          <w:lang w:val="fr-FR"/>
        </w:rPr>
        <w:t>hindouisme, au r</w:t>
      </w:r>
      <w:r w:rsidRPr="00EA5BC0">
        <w:rPr>
          <w:lang w:val="fr-FR"/>
        </w:rPr>
        <w:t>isque d</w:t>
      </w:r>
      <w:r w:rsidRPr="00EA5BC0">
        <w:rPr>
          <w:lang w:val="fr-FR"/>
        </w:rPr>
        <w:t>’</w:t>
      </w:r>
      <w:r w:rsidRPr="00EA5BC0">
        <w:rPr>
          <w:lang w:val="fr-FR"/>
        </w:rPr>
        <w:t>être emprisonnée, en violation de l</w:t>
      </w:r>
      <w:r w:rsidRPr="00EA5BC0">
        <w:rPr>
          <w:lang w:val="fr-FR"/>
        </w:rPr>
        <w:t>’</w:t>
      </w:r>
      <w:r w:rsidR="00EA5BC0">
        <w:rPr>
          <w:lang w:val="fr-FR"/>
        </w:rPr>
        <w:t xml:space="preserve">article </w:t>
      </w:r>
      <w:r w:rsidRPr="00EA5BC0">
        <w:rPr>
          <w:lang w:val="fr-FR"/>
        </w:rPr>
        <w:t>7</w:t>
      </w:r>
      <w:r w:rsidRPr="00EA5BC0">
        <w:rPr>
          <w:lang w:val="fr-FR"/>
        </w:rPr>
        <w:t>,</w:t>
      </w:r>
      <w:r w:rsidRPr="00EA5BC0">
        <w:rPr>
          <w:lang w:val="fr-FR"/>
        </w:rPr>
        <w:t xml:space="preserve"> lu conjointement avec le </w:t>
      </w:r>
      <w:r w:rsidR="00EA5BC0">
        <w:rPr>
          <w:lang w:val="fr-FR"/>
        </w:rPr>
        <w:t xml:space="preserve">paragraphe </w:t>
      </w:r>
      <w:r w:rsidRPr="00EA5BC0">
        <w:rPr>
          <w:lang w:val="fr-FR"/>
        </w:rPr>
        <w:t>1 de l</w:t>
      </w:r>
      <w:r w:rsidRPr="00EA5BC0">
        <w:rPr>
          <w:lang w:val="fr-FR"/>
        </w:rPr>
        <w:t>’</w:t>
      </w:r>
      <w:r w:rsidR="00EA5BC0">
        <w:rPr>
          <w:lang w:val="fr-FR"/>
        </w:rPr>
        <w:t xml:space="preserve">article </w:t>
      </w:r>
      <w:r w:rsidRPr="00EA5BC0">
        <w:rPr>
          <w:lang w:val="fr-FR"/>
        </w:rPr>
        <w:t>18 du Pacte, car la conversion est interdite par la charia en Malaisie. Le Comité prend toutefois note de la déclaration de l</w:t>
      </w:r>
      <w:r w:rsidRPr="00EA5BC0">
        <w:rPr>
          <w:lang w:val="fr-FR"/>
        </w:rPr>
        <w:t>’</w:t>
      </w:r>
      <w:r w:rsidRPr="00EA5BC0">
        <w:rPr>
          <w:lang w:val="fr-FR"/>
        </w:rPr>
        <w:t xml:space="preserve">État partie qui affirme </w:t>
      </w:r>
      <w:r w:rsidRPr="00EA5BC0">
        <w:rPr>
          <w:lang w:val="fr-FR"/>
        </w:rPr>
        <w:t>que l</w:t>
      </w:r>
      <w:r w:rsidRPr="00EA5BC0">
        <w:rPr>
          <w:lang w:val="fr-FR"/>
        </w:rPr>
        <w:t>’</w:t>
      </w:r>
      <w:r w:rsidRPr="00EA5BC0">
        <w:rPr>
          <w:lang w:val="fr-FR"/>
        </w:rPr>
        <w:t>auteure avait indiqué aux autorités danoises qu</w:t>
      </w:r>
      <w:r w:rsidRPr="00EA5BC0">
        <w:rPr>
          <w:lang w:val="fr-FR"/>
        </w:rPr>
        <w:t>’</w:t>
      </w:r>
      <w:r w:rsidRPr="00EA5BC0">
        <w:rPr>
          <w:lang w:val="fr-FR"/>
        </w:rPr>
        <w:t>elle ne s</w:t>
      </w:r>
      <w:r w:rsidRPr="00EA5BC0">
        <w:rPr>
          <w:lang w:val="fr-FR"/>
        </w:rPr>
        <w:t>’</w:t>
      </w:r>
      <w:r w:rsidRPr="00EA5BC0">
        <w:rPr>
          <w:lang w:val="fr-FR"/>
        </w:rPr>
        <w:t>était pas officiellement convertie à l</w:t>
      </w:r>
      <w:r w:rsidRPr="00EA5BC0">
        <w:rPr>
          <w:lang w:val="fr-FR"/>
        </w:rPr>
        <w:t>’</w:t>
      </w:r>
      <w:r w:rsidRPr="00EA5BC0">
        <w:rPr>
          <w:lang w:val="fr-FR"/>
        </w:rPr>
        <w:t>hindouisme.</w:t>
      </w:r>
      <w:r w:rsidRPr="00EA5BC0">
        <w:rPr>
          <w:lang w:val="fr-FR"/>
        </w:rPr>
        <w:t xml:space="preserve"> </w:t>
      </w:r>
      <w:r w:rsidRPr="00EA5BC0">
        <w:rPr>
          <w:lang w:val="fr-FR"/>
        </w:rPr>
        <w:t>L</w:t>
      </w:r>
      <w:r w:rsidRPr="00EA5BC0">
        <w:rPr>
          <w:lang w:val="fr-FR"/>
        </w:rPr>
        <w:t>’</w:t>
      </w:r>
      <w:r w:rsidRPr="00EA5BC0">
        <w:rPr>
          <w:lang w:val="fr-FR"/>
        </w:rPr>
        <w:t>auteure n</w:t>
      </w:r>
      <w:r w:rsidRPr="00EA5BC0">
        <w:rPr>
          <w:lang w:val="fr-FR"/>
        </w:rPr>
        <w:t>’</w:t>
      </w:r>
      <w:r w:rsidRPr="00EA5BC0">
        <w:rPr>
          <w:lang w:val="fr-FR"/>
        </w:rPr>
        <w:t xml:space="preserve">a </w:t>
      </w:r>
      <w:r w:rsidRPr="00EA5BC0">
        <w:rPr>
          <w:lang w:val="fr-FR"/>
        </w:rPr>
        <w:t xml:space="preserve">d’ailleurs </w:t>
      </w:r>
      <w:r w:rsidRPr="00EA5BC0">
        <w:rPr>
          <w:lang w:val="fr-FR"/>
        </w:rPr>
        <w:t xml:space="preserve">donné </w:t>
      </w:r>
      <w:r w:rsidRPr="00EA5BC0">
        <w:rPr>
          <w:lang w:val="fr-FR"/>
        </w:rPr>
        <w:t xml:space="preserve">aucun </w:t>
      </w:r>
      <w:r w:rsidRPr="00EA5BC0">
        <w:rPr>
          <w:lang w:val="fr-FR"/>
        </w:rPr>
        <w:t>détail au Comité au sujet de sa prétendue conversion</w:t>
      </w:r>
      <w:r w:rsidRPr="00EA5BC0">
        <w:rPr>
          <w:lang w:val="fr-FR"/>
        </w:rPr>
        <w:t xml:space="preserve"> ou </w:t>
      </w:r>
      <w:r w:rsidRPr="00EA5BC0">
        <w:rPr>
          <w:lang w:val="fr-FR"/>
        </w:rPr>
        <w:t>des conséquences de celle-ci. Elle n</w:t>
      </w:r>
      <w:r w:rsidRPr="00EA5BC0">
        <w:rPr>
          <w:lang w:val="fr-FR"/>
        </w:rPr>
        <w:t>’</w:t>
      </w:r>
      <w:r w:rsidRPr="00EA5BC0">
        <w:rPr>
          <w:lang w:val="fr-FR"/>
        </w:rPr>
        <w:t xml:space="preserve">a pas fait valoir que la procédure </w:t>
      </w:r>
      <w:r w:rsidRPr="00EA5BC0">
        <w:rPr>
          <w:lang w:val="fr-FR"/>
        </w:rPr>
        <w:t>engagée à son encontre devant le tribunal</w:t>
      </w:r>
      <w:r w:rsidRPr="00EA5BC0">
        <w:rPr>
          <w:lang w:val="fr-FR"/>
        </w:rPr>
        <w:t xml:space="preserve"> islamique de</w:t>
      </w:r>
      <w:r w:rsidRPr="00EA5BC0">
        <w:rPr>
          <w:lang w:val="fr-FR"/>
        </w:rPr>
        <w:t xml:space="preserve"> Malacca serait liée à sa conversion à l</w:t>
      </w:r>
      <w:r w:rsidRPr="00EA5BC0">
        <w:rPr>
          <w:lang w:val="fr-FR"/>
        </w:rPr>
        <w:t>’</w:t>
      </w:r>
      <w:r w:rsidRPr="00EA5BC0">
        <w:rPr>
          <w:lang w:val="fr-FR"/>
        </w:rPr>
        <w:t>hindouisme, ni qu</w:t>
      </w:r>
      <w:r w:rsidRPr="00EA5BC0">
        <w:rPr>
          <w:lang w:val="fr-FR"/>
        </w:rPr>
        <w:t>’</w:t>
      </w:r>
      <w:r w:rsidRPr="00EA5BC0">
        <w:rPr>
          <w:lang w:val="fr-FR"/>
        </w:rPr>
        <w:t>elle aurait été d</w:t>
      </w:r>
      <w:r w:rsidRPr="00EA5BC0">
        <w:rPr>
          <w:lang w:val="fr-FR"/>
        </w:rPr>
        <w:t>’</w:t>
      </w:r>
      <w:r w:rsidRPr="00EA5BC0">
        <w:rPr>
          <w:lang w:val="fr-FR"/>
        </w:rPr>
        <w:t>une quelconque autre manière victime de persécution en raison de sa conversion, et elle n</w:t>
      </w:r>
      <w:r w:rsidRPr="00EA5BC0">
        <w:rPr>
          <w:lang w:val="fr-FR"/>
        </w:rPr>
        <w:t>’</w:t>
      </w:r>
      <w:r w:rsidRPr="00EA5BC0">
        <w:rPr>
          <w:lang w:val="fr-FR"/>
        </w:rPr>
        <w:t>a pas non plus fourni de détails au sujet du risque de persécution qu</w:t>
      </w:r>
      <w:r w:rsidRPr="00EA5BC0">
        <w:rPr>
          <w:lang w:val="fr-FR"/>
        </w:rPr>
        <w:t>’</w:t>
      </w:r>
      <w:r w:rsidRPr="00EA5BC0">
        <w:rPr>
          <w:lang w:val="fr-FR"/>
        </w:rPr>
        <w:t>elle courrait en cas de renvoi ou de la nature de ces éventuelles persécutions. Dès lors, le Comité conclut que ce grief n</w:t>
      </w:r>
      <w:r w:rsidRPr="00EA5BC0">
        <w:rPr>
          <w:lang w:val="fr-FR"/>
        </w:rPr>
        <w:t>’</w:t>
      </w:r>
      <w:r w:rsidRPr="00EA5BC0">
        <w:rPr>
          <w:lang w:val="fr-FR"/>
        </w:rPr>
        <w:t>est pas suffisamment fondé et qu</w:t>
      </w:r>
      <w:r w:rsidRPr="00EA5BC0">
        <w:rPr>
          <w:lang w:val="fr-FR"/>
        </w:rPr>
        <w:t>’</w:t>
      </w:r>
      <w:r w:rsidRPr="00EA5BC0">
        <w:rPr>
          <w:lang w:val="fr-FR"/>
        </w:rPr>
        <w:t>il est par conséquent irreceva</w:t>
      </w:r>
      <w:r w:rsidRPr="00EA5BC0">
        <w:rPr>
          <w:lang w:val="fr-FR"/>
        </w:rPr>
        <w:t>ble en vertu de l</w:t>
      </w:r>
      <w:r w:rsidRPr="00EA5BC0">
        <w:rPr>
          <w:lang w:val="fr-FR"/>
        </w:rPr>
        <w:t>’</w:t>
      </w:r>
      <w:r w:rsidR="00EA5BC0">
        <w:rPr>
          <w:lang w:val="fr-FR"/>
        </w:rPr>
        <w:t xml:space="preserve">article </w:t>
      </w:r>
      <w:r w:rsidRPr="00EA5BC0">
        <w:rPr>
          <w:lang w:val="fr-FR"/>
        </w:rPr>
        <w:t>2 du Protocole facultatif.</w:t>
      </w:r>
    </w:p>
    <w:p w:rsidR="00870218" w:rsidRPr="00EA5BC0" w:rsidRDefault="00366EE4" w:rsidP="000C1BE0">
      <w:pPr>
        <w:pStyle w:val="SingleTxtG"/>
        <w:spacing w:after="100" w:line="232" w:lineRule="exact"/>
        <w:rPr>
          <w:lang w:val="fr-FR"/>
        </w:rPr>
      </w:pPr>
      <w:r w:rsidRPr="00EA5BC0">
        <w:rPr>
          <w:lang w:val="fr-FR"/>
        </w:rPr>
        <w:t>6.5</w:t>
      </w:r>
      <w:r w:rsidRPr="00EA5BC0">
        <w:rPr>
          <w:lang w:val="fr-FR"/>
        </w:rPr>
        <w:tab/>
        <w:t>Le Comité prend note de l</w:t>
      </w:r>
      <w:r w:rsidRPr="00EA5BC0">
        <w:rPr>
          <w:lang w:val="fr-FR"/>
        </w:rPr>
        <w:t>’</w:t>
      </w:r>
      <w:r w:rsidRPr="00EA5BC0">
        <w:rPr>
          <w:lang w:val="fr-FR"/>
        </w:rPr>
        <w:t>argument de l</w:t>
      </w:r>
      <w:r w:rsidRPr="00EA5BC0">
        <w:rPr>
          <w:lang w:val="fr-FR"/>
        </w:rPr>
        <w:t>’</w:t>
      </w:r>
      <w:r w:rsidRPr="00EA5BC0">
        <w:rPr>
          <w:lang w:val="fr-FR"/>
        </w:rPr>
        <w:t>État partie selon lequel l</w:t>
      </w:r>
      <w:r w:rsidRPr="00EA5BC0">
        <w:rPr>
          <w:lang w:val="fr-FR"/>
        </w:rPr>
        <w:t>’</w:t>
      </w:r>
      <w:r w:rsidRPr="00EA5BC0">
        <w:rPr>
          <w:lang w:val="fr-FR"/>
        </w:rPr>
        <w:t>auteure cherche</w:t>
      </w:r>
      <w:r w:rsidRPr="00EA5BC0">
        <w:rPr>
          <w:lang w:val="fr-FR"/>
        </w:rPr>
        <w:t xml:space="preserve"> à faire appliquer les </w:t>
      </w:r>
      <w:r w:rsidR="00EA5BC0">
        <w:rPr>
          <w:lang w:val="fr-FR"/>
        </w:rPr>
        <w:t xml:space="preserve">articles </w:t>
      </w:r>
      <w:r w:rsidRPr="00EA5BC0">
        <w:rPr>
          <w:lang w:val="fr-FR"/>
        </w:rPr>
        <w:t>17 et 26 du Pacte de façon extraterritoriale. Il relève cependant que l</w:t>
      </w:r>
      <w:r w:rsidRPr="00EA5BC0">
        <w:rPr>
          <w:lang w:val="fr-FR"/>
        </w:rPr>
        <w:t>’</w:t>
      </w:r>
      <w:r w:rsidRPr="00EA5BC0">
        <w:rPr>
          <w:lang w:val="fr-FR"/>
        </w:rPr>
        <w:t xml:space="preserve">intéressée a </w:t>
      </w:r>
      <w:r w:rsidRPr="00EA5BC0">
        <w:rPr>
          <w:lang w:val="fr-FR"/>
        </w:rPr>
        <w:t>précisé que les griefs qu</w:t>
      </w:r>
      <w:r w:rsidRPr="00EA5BC0">
        <w:rPr>
          <w:lang w:val="fr-FR"/>
        </w:rPr>
        <w:t>’</w:t>
      </w:r>
      <w:r w:rsidRPr="00EA5BC0">
        <w:rPr>
          <w:lang w:val="fr-FR"/>
        </w:rPr>
        <w:t>elle soulevait devant le Comité étaient essentiellement fondés sur l</w:t>
      </w:r>
      <w:r w:rsidRPr="00EA5BC0">
        <w:rPr>
          <w:lang w:val="fr-FR"/>
        </w:rPr>
        <w:t>’</w:t>
      </w:r>
      <w:r w:rsidR="00EA5BC0">
        <w:rPr>
          <w:lang w:val="fr-FR"/>
        </w:rPr>
        <w:t xml:space="preserve">article </w:t>
      </w:r>
      <w:r w:rsidRPr="00EA5BC0">
        <w:rPr>
          <w:lang w:val="fr-FR"/>
        </w:rPr>
        <w:t>7 du Pacte et que le risque pesant sur les droits qu</w:t>
      </w:r>
      <w:r w:rsidRPr="00EA5BC0">
        <w:rPr>
          <w:lang w:val="fr-FR"/>
        </w:rPr>
        <w:t>’</w:t>
      </w:r>
      <w:r w:rsidRPr="00EA5BC0">
        <w:rPr>
          <w:lang w:val="fr-FR"/>
        </w:rPr>
        <w:t xml:space="preserve">elle tenait des </w:t>
      </w:r>
      <w:r w:rsidR="00EA5BC0">
        <w:rPr>
          <w:lang w:val="fr-FR"/>
        </w:rPr>
        <w:t xml:space="preserve">articles </w:t>
      </w:r>
      <w:r w:rsidRPr="00EA5BC0">
        <w:rPr>
          <w:lang w:val="fr-FR"/>
        </w:rPr>
        <w:t>17 et 26 accentuait celui qu</w:t>
      </w:r>
      <w:r w:rsidRPr="00EA5BC0">
        <w:rPr>
          <w:lang w:val="fr-FR"/>
        </w:rPr>
        <w:t>’</w:t>
      </w:r>
      <w:r w:rsidRPr="00EA5BC0">
        <w:rPr>
          <w:lang w:val="fr-FR"/>
        </w:rPr>
        <w:t xml:space="preserve">elle soit soumise à des peines ou traitements </w:t>
      </w:r>
      <w:r w:rsidRPr="00EA5BC0">
        <w:rPr>
          <w:lang w:val="fr-FR"/>
        </w:rPr>
        <w:t xml:space="preserve">cruels, </w:t>
      </w:r>
      <w:r w:rsidRPr="00EA5BC0">
        <w:rPr>
          <w:lang w:val="fr-FR"/>
        </w:rPr>
        <w:t>in</w:t>
      </w:r>
      <w:r w:rsidRPr="00EA5BC0">
        <w:rPr>
          <w:lang w:val="fr-FR"/>
        </w:rPr>
        <w:t>humains ou dégradants en cas de renvoi en Malais</w:t>
      </w:r>
      <w:r w:rsidR="00964860">
        <w:rPr>
          <w:lang w:val="fr-FR"/>
        </w:rPr>
        <w:t>i</w:t>
      </w:r>
      <w:r w:rsidRPr="00EA5BC0">
        <w:rPr>
          <w:lang w:val="fr-FR"/>
        </w:rPr>
        <w:t>e. Le Comité estime donc que les griefs que l</w:t>
      </w:r>
      <w:r w:rsidRPr="00EA5BC0">
        <w:rPr>
          <w:lang w:val="fr-FR"/>
        </w:rPr>
        <w:t>’</w:t>
      </w:r>
      <w:r w:rsidRPr="00EA5BC0">
        <w:rPr>
          <w:lang w:val="fr-FR"/>
        </w:rPr>
        <w:t xml:space="preserve">auteure tire des </w:t>
      </w:r>
      <w:r w:rsidR="00EA5BC0">
        <w:rPr>
          <w:lang w:val="fr-FR"/>
        </w:rPr>
        <w:t xml:space="preserve">articles </w:t>
      </w:r>
      <w:r w:rsidRPr="00EA5BC0">
        <w:rPr>
          <w:lang w:val="fr-FR"/>
        </w:rPr>
        <w:t>17 et 26 ne peuvent être dissociés de ceux tirés de l</w:t>
      </w:r>
      <w:r w:rsidRPr="00EA5BC0">
        <w:rPr>
          <w:lang w:val="fr-FR"/>
        </w:rPr>
        <w:t>’</w:t>
      </w:r>
      <w:r w:rsidR="00EA5BC0">
        <w:rPr>
          <w:lang w:val="fr-FR"/>
        </w:rPr>
        <w:t xml:space="preserve">article </w:t>
      </w:r>
      <w:r w:rsidRPr="00EA5BC0">
        <w:rPr>
          <w:lang w:val="fr-FR"/>
        </w:rPr>
        <w:t>7, qui appellent un examen au fond.</w:t>
      </w:r>
    </w:p>
    <w:p w:rsidR="00870218" w:rsidRPr="00EA5BC0" w:rsidRDefault="00366EE4" w:rsidP="000C1BE0">
      <w:pPr>
        <w:pStyle w:val="SingleTxtG"/>
        <w:spacing w:after="100" w:line="232" w:lineRule="exact"/>
        <w:rPr>
          <w:lang w:val="fr-FR"/>
        </w:rPr>
      </w:pPr>
      <w:r w:rsidRPr="00EA5BC0">
        <w:rPr>
          <w:lang w:val="fr-FR"/>
        </w:rPr>
        <w:t>6.6</w:t>
      </w:r>
      <w:r w:rsidRPr="00EA5BC0">
        <w:rPr>
          <w:lang w:val="fr-FR"/>
        </w:rPr>
        <w:tab/>
        <w:t xml:space="preserve">Le Comité prend note de </w:t>
      </w:r>
      <w:r w:rsidRPr="00EA5BC0">
        <w:rPr>
          <w:lang w:val="fr-FR"/>
        </w:rPr>
        <w:t>l</w:t>
      </w:r>
      <w:r w:rsidRPr="00EA5BC0">
        <w:rPr>
          <w:lang w:val="fr-FR"/>
        </w:rPr>
        <w:t>’</w:t>
      </w:r>
      <w:r w:rsidRPr="00EA5BC0">
        <w:rPr>
          <w:lang w:val="fr-FR"/>
        </w:rPr>
        <w:t>argument de l</w:t>
      </w:r>
      <w:r w:rsidRPr="00EA5BC0">
        <w:rPr>
          <w:lang w:val="fr-FR"/>
        </w:rPr>
        <w:t>’</w:t>
      </w:r>
      <w:r w:rsidRPr="00EA5BC0">
        <w:rPr>
          <w:lang w:val="fr-FR"/>
        </w:rPr>
        <w:t>État partie qui affirme que les griefs que l</w:t>
      </w:r>
      <w:r w:rsidRPr="00EA5BC0">
        <w:rPr>
          <w:lang w:val="fr-FR"/>
        </w:rPr>
        <w:t>’</w:t>
      </w:r>
      <w:r w:rsidRPr="00EA5BC0">
        <w:rPr>
          <w:lang w:val="fr-FR"/>
        </w:rPr>
        <w:t>auteure tire de l</w:t>
      </w:r>
      <w:r w:rsidRPr="00EA5BC0">
        <w:rPr>
          <w:lang w:val="fr-FR"/>
        </w:rPr>
        <w:t>’</w:t>
      </w:r>
      <w:r w:rsidR="00EA5BC0">
        <w:rPr>
          <w:lang w:val="fr-FR"/>
        </w:rPr>
        <w:t xml:space="preserve">article </w:t>
      </w:r>
      <w:r w:rsidRPr="00EA5BC0">
        <w:rPr>
          <w:lang w:val="fr-FR"/>
        </w:rPr>
        <w:t>7 du Pacte ne sont pas suffisamment étayés. Le Comité relève toutefois qu</w:t>
      </w:r>
      <w:r w:rsidRPr="00EA5BC0">
        <w:rPr>
          <w:lang w:val="fr-FR"/>
        </w:rPr>
        <w:t>’</w:t>
      </w:r>
      <w:r w:rsidRPr="00EA5BC0">
        <w:rPr>
          <w:lang w:val="fr-FR"/>
        </w:rPr>
        <w:t>en tant que personne transgenre, l</w:t>
      </w:r>
      <w:r w:rsidRPr="00EA5BC0">
        <w:rPr>
          <w:lang w:val="fr-FR"/>
        </w:rPr>
        <w:t>’</w:t>
      </w:r>
      <w:r w:rsidRPr="00EA5BC0">
        <w:rPr>
          <w:lang w:val="fr-FR"/>
        </w:rPr>
        <w:t>auteure fait partie d</w:t>
      </w:r>
      <w:r w:rsidRPr="00EA5BC0">
        <w:rPr>
          <w:lang w:val="fr-FR"/>
        </w:rPr>
        <w:t>’</w:t>
      </w:r>
      <w:r w:rsidRPr="00EA5BC0">
        <w:rPr>
          <w:lang w:val="fr-FR"/>
        </w:rPr>
        <w:t xml:space="preserve">un groupe particulièrement vulnérable </w:t>
      </w:r>
      <w:r w:rsidRPr="00EA5BC0">
        <w:rPr>
          <w:lang w:val="fr-FR"/>
        </w:rPr>
        <w:t>en Malaisie, qu</w:t>
      </w:r>
      <w:r w:rsidRPr="00EA5BC0">
        <w:rPr>
          <w:lang w:val="fr-FR"/>
        </w:rPr>
        <w:t>’</w:t>
      </w:r>
      <w:r w:rsidRPr="00EA5BC0">
        <w:rPr>
          <w:lang w:val="fr-FR"/>
        </w:rPr>
        <w:t xml:space="preserve">elle affirme avoir été placée en détention et soumise à des violences sexuelles à plusieurs reprises en raison de son apparence et de son identité de genre, qui ne correspondent </w:t>
      </w:r>
      <w:r w:rsidRPr="00EA5BC0">
        <w:rPr>
          <w:lang w:val="fr-FR"/>
        </w:rPr>
        <w:t xml:space="preserve">pas </w:t>
      </w:r>
      <w:r w:rsidRPr="00EA5BC0">
        <w:rPr>
          <w:lang w:val="fr-FR"/>
        </w:rPr>
        <w:t xml:space="preserve">aux mentions figurant sur </w:t>
      </w:r>
      <w:r w:rsidRPr="00EA5BC0">
        <w:rPr>
          <w:lang w:val="fr-FR"/>
        </w:rPr>
        <w:t>ses documents</w:t>
      </w:r>
      <w:r w:rsidRPr="00EA5BC0">
        <w:rPr>
          <w:lang w:val="fr-FR"/>
        </w:rPr>
        <w:t xml:space="preserve"> d</w:t>
      </w:r>
      <w:r w:rsidRPr="00EA5BC0">
        <w:rPr>
          <w:lang w:val="fr-FR"/>
        </w:rPr>
        <w:t>’</w:t>
      </w:r>
      <w:r w:rsidRPr="00EA5BC0">
        <w:rPr>
          <w:lang w:val="fr-FR"/>
        </w:rPr>
        <w:t>identité et cont</w:t>
      </w:r>
      <w:r w:rsidRPr="00EA5BC0">
        <w:rPr>
          <w:lang w:val="fr-FR"/>
        </w:rPr>
        <w:t>reviennent aux règles de la charia, et qu</w:t>
      </w:r>
      <w:r w:rsidRPr="00EA5BC0">
        <w:rPr>
          <w:lang w:val="fr-FR"/>
        </w:rPr>
        <w:t>’</w:t>
      </w:r>
      <w:r w:rsidRPr="00EA5BC0">
        <w:rPr>
          <w:lang w:val="fr-FR"/>
        </w:rPr>
        <w:t>elle a fait valoir que son renvoi en Malaisie l</w:t>
      </w:r>
      <w:r w:rsidRPr="00EA5BC0">
        <w:rPr>
          <w:lang w:val="fr-FR"/>
        </w:rPr>
        <w:t>’</w:t>
      </w:r>
      <w:r w:rsidRPr="00EA5BC0">
        <w:rPr>
          <w:lang w:val="fr-FR"/>
        </w:rPr>
        <w:t>exposerait au risque d</w:t>
      </w:r>
      <w:r w:rsidRPr="00EA5BC0">
        <w:rPr>
          <w:lang w:val="fr-FR"/>
        </w:rPr>
        <w:t>’</w:t>
      </w:r>
      <w:r w:rsidRPr="00EA5BC0">
        <w:rPr>
          <w:lang w:val="fr-FR"/>
        </w:rPr>
        <w:t>être de nouveau harcelée et maltraitée par la police. En conséquence, le Comité considère que l</w:t>
      </w:r>
      <w:r w:rsidRPr="00EA5BC0">
        <w:rPr>
          <w:lang w:val="fr-FR"/>
        </w:rPr>
        <w:t>’</w:t>
      </w:r>
      <w:r w:rsidRPr="00EA5BC0">
        <w:rPr>
          <w:lang w:val="fr-FR"/>
        </w:rPr>
        <w:t>auteure a suffisamment étayé aux fins de la rec</w:t>
      </w:r>
      <w:r w:rsidRPr="00EA5BC0">
        <w:rPr>
          <w:lang w:val="fr-FR"/>
        </w:rPr>
        <w:t>evabilité les autres griefs qu</w:t>
      </w:r>
      <w:r w:rsidRPr="00EA5BC0">
        <w:rPr>
          <w:lang w:val="fr-FR"/>
        </w:rPr>
        <w:t>’</w:t>
      </w:r>
      <w:r w:rsidRPr="00EA5BC0">
        <w:rPr>
          <w:lang w:val="fr-FR"/>
        </w:rPr>
        <w:t>elle tire de l</w:t>
      </w:r>
      <w:r w:rsidRPr="00EA5BC0">
        <w:rPr>
          <w:lang w:val="fr-FR"/>
        </w:rPr>
        <w:t>’</w:t>
      </w:r>
      <w:r w:rsidR="00EA5BC0">
        <w:rPr>
          <w:lang w:val="fr-FR"/>
        </w:rPr>
        <w:t xml:space="preserve">article </w:t>
      </w:r>
      <w:r w:rsidRPr="00EA5BC0">
        <w:rPr>
          <w:lang w:val="fr-FR"/>
        </w:rPr>
        <w:t>7,</w:t>
      </w:r>
      <w:r w:rsidRPr="00EA5BC0">
        <w:rPr>
          <w:lang w:val="fr-FR"/>
        </w:rPr>
        <w:t xml:space="preserve"> lu c</w:t>
      </w:r>
      <w:r w:rsidRPr="00EA5BC0">
        <w:rPr>
          <w:lang w:val="fr-FR"/>
        </w:rPr>
        <w:t xml:space="preserve">onjointement avec le </w:t>
      </w:r>
      <w:r w:rsidR="00EA5BC0">
        <w:rPr>
          <w:lang w:val="fr-FR"/>
        </w:rPr>
        <w:t xml:space="preserve">paragraphe </w:t>
      </w:r>
      <w:r w:rsidRPr="00EA5BC0">
        <w:rPr>
          <w:lang w:val="fr-FR"/>
        </w:rPr>
        <w:t>1 de l</w:t>
      </w:r>
      <w:r w:rsidRPr="00EA5BC0">
        <w:rPr>
          <w:lang w:val="fr-FR"/>
        </w:rPr>
        <w:t>’</w:t>
      </w:r>
      <w:r w:rsidR="00EA5BC0">
        <w:rPr>
          <w:lang w:val="fr-FR"/>
        </w:rPr>
        <w:t xml:space="preserve">article </w:t>
      </w:r>
      <w:r w:rsidRPr="00EA5BC0">
        <w:rPr>
          <w:lang w:val="fr-FR"/>
        </w:rPr>
        <w:t>17 et l</w:t>
      </w:r>
      <w:r w:rsidRPr="00EA5BC0">
        <w:rPr>
          <w:lang w:val="fr-FR"/>
        </w:rPr>
        <w:t>’</w:t>
      </w:r>
      <w:r w:rsidR="00EA5BC0">
        <w:rPr>
          <w:lang w:val="fr-FR"/>
        </w:rPr>
        <w:t xml:space="preserve">article </w:t>
      </w:r>
      <w:r w:rsidRPr="00EA5BC0">
        <w:rPr>
          <w:lang w:val="fr-FR"/>
        </w:rPr>
        <w:t>26 du Pacte, en se fondant sur l</w:t>
      </w:r>
      <w:r w:rsidRPr="00EA5BC0">
        <w:rPr>
          <w:lang w:val="fr-FR"/>
        </w:rPr>
        <w:t>’</w:t>
      </w:r>
      <w:r w:rsidRPr="00EA5BC0">
        <w:rPr>
          <w:lang w:val="fr-FR"/>
        </w:rPr>
        <w:t>arg</w:t>
      </w:r>
      <w:r w:rsidRPr="00EA5BC0">
        <w:rPr>
          <w:lang w:val="fr-FR"/>
        </w:rPr>
        <w:t>ument de son identité de genre.</w:t>
      </w:r>
    </w:p>
    <w:p w:rsidR="00870218" w:rsidRPr="00EA5BC0" w:rsidRDefault="00366EE4" w:rsidP="000C1BE0">
      <w:pPr>
        <w:pStyle w:val="SingleTxtG"/>
        <w:spacing w:after="100" w:line="232" w:lineRule="exact"/>
        <w:rPr>
          <w:lang w:val="fr-FR"/>
        </w:rPr>
      </w:pPr>
      <w:r w:rsidRPr="00EA5BC0">
        <w:rPr>
          <w:lang w:val="fr-FR"/>
        </w:rPr>
        <w:t>6.7</w:t>
      </w:r>
      <w:r w:rsidRPr="00EA5BC0">
        <w:rPr>
          <w:lang w:val="fr-FR"/>
        </w:rPr>
        <w:tab/>
        <w:t>Dès lors, le Comité déclare la communication recevable en ce</w:t>
      </w:r>
      <w:r w:rsidRPr="00EA5BC0">
        <w:rPr>
          <w:lang w:val="fr-FR"/>
        </w:rPr>
        <w:t xml:space="preserve"> qu</w:t>
      </w:r>
      <w:r w:rsidRPr="00EA5BC0">
        <w:rPr>
          <w:lang w:val="fr-FR"/>
        </w:rPr>
        <w:t>’</w:t>
      </w:r>
      <w:r w:rsidRPr="00EA5BC0">
        <w:rPr>
          <w:lang w:val="fr-FR"/>
        </w:rPr>
        <w:t>elle semble soulever des questions au titre de l</w:t>
      </w:r>
      <w:r w:rsidRPr="00EA5BC0">
        <w:rPr>
          <w:lang w:val="fr-FR"/>
        </w:rPr>
        <w:t>’</w:t>
      </w:r>
      <w:r w:rsidR="00EA5BC0">
        <w:rPr>
          <w:lang w:val="fr-FR"/>
        </w:rPr>
        <w:t xml:space="preserve">article </w:t>
      </w:r>
      <w:r w:rsidRPr="00EA5BC0">
        <w:rPr>
          <w:lang w:val="fr-FR"/>
        </w:rPr>
        <w:t xml:space="preserve">7, lu conjointement avec le </w:t>
      </w:r>
      <w:r w:rsidR="00EA5BC0">
        <w:rPr>
          <w:lang w:val="fr-FR"/>
        </w:rPr>
        <w:t xml:space="preserve">paragraphe </w:t>
      </w:r>
      <w:r w:rsidRPr="00EA5BC0">
        <w:rPr>
          <w:lang w:val="fr-FR"/>
        </w:rPr>
        <w:t>1 de l</w:t>
      </w:r>
      <w:r w:rsidRPr="00EA5BC0">
        <w:rPr>
          <w:lang w:val="fr-FR"/>
        </w:rPr>
        <w:t>’</w:t>
      </w:r>
      <w:r w:rsidR="00EA5BC0">
        <w:rPr>
          <w:lang w:val="fr-FR"/>
        </w:rPr>
        <w:t xml:space="preserve">article </w:t>
      </w:r>
      <w:r w:rsidRPr="00EA5BC0">
        <w:rPr>
          <w:lang w:val="fr-FR"/>
        </w:rPr>
        <w:t>17 et l</w:t>
      </w:r>
      <w:r w:rsidRPr="00EA5BC0">
        <w:rPr>
          <w:lang w:val="fr-FR"/>
        </w:rPr>
        <w:t>’</w:t>
      </w:r>
      <w:r w:rsidR="00EA5BC0">
        <w:rPr>
          <w:lang w:val="fr-FR"/>
        </w:rPr>
        <w:t xml:space="preserve">article </w:t>
      </w:r>
      <w:r w:rsidRPr="00EA5BC0">
        <w:rPr>
          <w:lang w:val="fr-FR"/>
        </w:rPr>
        <w:t>26 du Pacte, et procède à son examen au fond.</w:t>
      </w:r>
    </w:p>
    <w:p w:rsidR="00870218" w:rsidRPr="00EA5BC0" w:rsidRDefault="00366EE4" w:rsidP="00EA5BC0">
      <w:pPr>
        <w:pStyle w:val="H4G"/>
        <w:rPr>
          <w:lang w:val="fr-FR"/>
        </w:rPr>
      </w:pPr>
      <w:r w:rsidRPr="00EA5BC0">
        <w:rPr>
          <w:lang w:val="fr-FR"/>
        </w:rPr>
        <w:tab/>
      </w:r>
      <w:r w:rsidRPr="00EA5BC0">
        <w:rPr>
          <w:lang w:val="fr-FR"/>
        </w:rPr>
        <w:tab/>
        <w:t>Examen au fond</w:t>
      </w:r>
    </w:p>
    <w:p w:rsidR="00870218" w:rsidRPr="00EA5BC0" w:rsidRDefault="00366EE4" w:rsidP="000C1BE0">
      <w:pPr>
        <w:pStyle w:val="SingleTxtG"/>
        <w:spacing w:after="100" w:line="232" w:lineRule="exact"/>
        <w:rPr>
          <w:lang w:val="fr-FR"/>
        </w:rPr>
      </w:pPr>
      <w:r w:rsidRPr="00EA5BC0">
        <w:rPr>
          <w:lang w:val="fr-FR"/>
        </w:rPr>
        <w:t>7.1</w:t>
      </w:r>
      <w:r w:rsidRPr="00EA5BC0">
        <w:rPr>
          <w:lang w:val="fr-FR"/>
        </w:rPr>
        <w:tab/>
        <w:t xml:space="preserve">Conformément au </w:t>
      </w:r>
      <w:r w:rsidR="00EA5BC0">
        <w:rPr>
          <w:lang w:val="fr-FR"/>
        </w:rPr>
        <w:t xml:space="preserve">paragraphe </w:t>
      </w:r>
      <w:r w:rsidRPr="00EA5BC0">
        <w:rPr>
          <w:lang w:val="fr-FR"/>
        </w:rPr>
        <w:t>1 de l</w:t>
      </w:r>
      <w:r w:rsidRPr="00EA5BC0">
        <w:rPr>
          <w:lang w:val="fr-FR"/>
        </w:rPr>
        <w:t>’</w:t>
      </w:r>
      <w:r w:rsidR="00EA5BC0">
        <w:rPr>
          <w:lang w:val="fr-FR"/>
        </w:rPr>
        <w:t xml:space="preserve">article </w:t>
      </w:r>
      <w:r w:rsidRPr="00EA5BC0">
        <w:rPr>
          <w:lang w:val="fr-FR"/>
        </w:rPr>
        <w:t>5 du Protocole f</w:t>
      </w:r>
      <w:r w:rsidRPr="00EA5BC0">
        <w:rPr>
          <w:lang w:val="fr-FR"/>
        </w:rPr>
        <w:t>acultatif, le Comité des droits de l</w:t>
      </w:r>
      <w:r w:rsidRPr="00EA5BC0">
        <w:rPr>
          <w:lang w:val="fr-FR"/>
        </w:rPr>
        <w:t>’</w:t>
      </w:r>
      <w:r w:rsidRPr="00EA5BC0">
        <w:rPr>
          <w:lang w:val="fr-FR"/>
        </w:rPr>
        <w:t>homme a examiné la présente communication en tenant compte de toutes les informations que lui ont communiquées les parties.</w:t>
      </w:r>
    </w:p>
    <w:p w:rsidR="00870218" w:rsidRPr="000C1BE0" w:rsidRDefault="00366EE4" w:rsidP="000C1BE0">
      <w:pPr>
        <w:pStyle w:val="SingleTxtG"/>
        <w:spacing w:after="100" w:line="232" w:lineRule="exact"/>
        <w:rPr>
          <w:spacing w:val="-2"/>
          <w:lang w:val="fr-FR"/>
        </w:rPr>
      </w:pPr>
      <w:r w:rsidRPr="000C1BE0">
        <w:rPr>
          <w:spacing w:val="-2"/>
          <w:lang w:val="fr-FR"/>
        </w:rPr>
        <w:t>7.2</w:t>
      </w:r>
      <w:r w:rsidRPr="000C1BE0">
        <w:rPr>
          <w:spacing w:val="-2"/>
          <w:lang w:val="fr-FR"/>
        </w:rPr>
        <w:tab/>
        <w:t>Le Comité prend note du grief de l</w:t>
      </w:r>
      <w:r w:rsidRPr="000C1BE0">
        <w:rPr>
          <w:spacing w:val="-2"/>
          <w:lang w:val="fr-FR"/>
        </w:rPr>
        <w:t>’</w:t>
      </w:r>
      <w:r w:rsidRPr="000C1BE0">
        <w:rPr>
          <w:spacing w:val="-2"/>
          <w:lang w:val="fr-FR"/>
        </w:rPr>
        <w:t>auteure qui affirme qu</w:t>
      </w:r>
      <w:r w:rsidRPr="000C1BE0">
        <w:rPr>
          <w:spacing w:val="-2"/>
          <w:lang w:val="fr-FR"/>
        </w:rPr>
        <w:t>’</w:t>
      </w:r>
      <w:r w:rsidRPr="000C1BE0">
        <w:rPr>
          <w:spacing w:val="-2"/>
          <w:lang w:val="fr-FR"/>
        </w:rPr>
        <w:t>en cas de renvoi en Malaisie elle</w:t>
      </w:r>
      <w:r w:rsidRPr="000C1BE0">
        <w:rPr>
          <w:spacing w:val="-2"/>
          <w:lang w:val="fr-FR"/>
        </w:rPr>
        <w:t xml:space="preserve"> risque d</w:t>
      </w:r>
      <w:r w:rsidRPr="000C1BE0">
        <w:rPr>
          <w:spacing w:val="-2"/>
          <w:lang w:val="fr-FR"/>
        </w:rPr>
        <w:t>’</w:t>
      </w:r>
      <w:r w:rsidRPr="000C1BE0">
        <w:rPr>
          <w:spacing w:val="-2"/>
          <w:lang w:val="fr-FR"/>
        </w:rPr>
        <w:t>être victime de violences sexuelles de la part de la police malaisienne en raison de son identité de genre. L</w:t>
      </w:r>
      <w:r w:rsidRPr="000C1BE0">
        <w:rPr>
          <w:spacing w:val="-2"/>
          <w:lang w:val="fr-FR"/>
        </w:rPr>
        <w:t>’</w:t>
      </w:r>
      <w:r w:rsidRPr="000C1BE0">
        <w:rPr>
          <w:spacing w:val="-2"/>
          <w:lang w:val="fr-FR"/>
        </w:rPr>
        <w:t>intéressée fait valoir que</w:t>
      </w:r>
      <w:r w:rsidRPr="000C1BE0">
        <w:rPr>
          <w:spacing w:val="-2"/>
          <w:lang w:val="fr-FR"/>
        </w:rPr>
        <w:t>,</w:t>
      </w:r>
      <w:r w:rsidRPr="000C1BE0">
        <w:rPr>
          <w:spacing w:val="-2"/>
          <w:lang w:val="fr-FR"/>
        </w:rPr>
        <w:t xml:space="preserve"> depuis l</w:t>
      </w:r>
      <w:r w:rsidRPr="000C1BE0">
        <w:rPr>
          <w:spacing w:val="-2"/>
          <w:lang w:val="fr-FR"/>
        </w:rPr>
        <w:t>’</w:t>
      </w:r>
      <w:r w:rsidRPr="000C1BE0">
        <w:rPr>
          <w:spacing w:val="-2"/>
          <w:lang w:val="fr-FR"/>
        </w:rPr>
        <w:t xml:space="preserve">opération </w:t>
      </w:r>
      <w:r w:rsidRPr="000C1BE0">
        <w:rPr>
          <w:spacing w:val="-2"/>
          <w:lang w:val="fr-FR"/>
        </w:rPr>
        <w:t xml:space="preserve">de </w:t>
      </w:r>
      <w:r w:rsidRPr="000C1BE0">
        <w:rPr>
          <w:spacing w:val="-2"/>
          <w:lang w:val="fr-FR"/>
        </w:rPr>
        <w:t>réassignation</w:t>
      </w:r>
      <w:r w:rsidRPr="000C1BE0">
        <w:rPr>
          <w:spacing w:val="-2"/>
          <w:lang w:val="fr-FR"/>
        </w:rPr>
        <w:t xml:space="preserve"> sexuelle </w:t>
      </w:r>
      <w:r w:rsidRPr="000C1BE0">
        <w:rPr>
          <w:spacing w:val="-2"/>
          <w:lang w:val="fr-FR"/>
        </w:rPr>
        <w:t>et le traitement hormonal qu</w:t>
      </w:r>
      <w:r w:rsidRPr="000C1BE0">
        <w:rPr>
          <w:spacing w:val="-2"/>
          <w:lang w:val="fr-FR"/>
        </w:rPr>
        <w:t>’</w:t>
      </w:r>
      <w:r w:rsidRPr="000C1BE0">
        <w:rPr>
          <w:spacing w:val="-2"/>
          <w:lang w:val="fr-FR"/>
        </w:rPr>
        <w:t xml:space="preserve">elle a </w:t>
      </w:r>
      <w:r w:rsidRPr="000C1BE0">
        <w:rPr>
          <w:spacing w:val="-2"/>
          <w:lang w:val="fr-FR"/>
        </w:rPr>
        <w:t xml:space="preserve">pris, et </w:t>
      </w:r>
      <w:r w:rsidRPr="000C1BE0">
        <w:rPr>
          <w:spacing w:val="-2"/>
          <w:lang w:val="fr-FR"/>
        </w:rPr>
        <w:t xml:space="preserve">du fait qu’elle porte des </w:t>
      </w:r>
      <w:r w:rsidRPr="000C1BE0">
        <w:rPr>
          <w:spacing w:val="-2"/>
          <w:lang w:val="fr-FR"/>
        </w:rPr>
        <w:t>vêtements</w:t>
      </w:r>
      <w:r w:rsidRPr="000C1BE0">
        <w:rPr>
          <w:spacing w:val="-2"/>
          <w:lang w:val="fr-FR"/>
        </w:rPr>
        <w:t xml:space="preserve"> </w:t>
      </w:r>
      <w:r w:rsidRPr="000C1BE0">
        <w:rPr>
          <w:spacing w:val="-2"/>
          <w:lang w:val="fr-FR"/>
        </w:rPr>
        <w:t>féminins</w:t>
      </w:r>
      <w:r w:rsidRPr="000C1BE0">
        <w:rPr>
          <w:spacing w:val="-2"/>
          <w:lang w:val="fr-FR"/>
        </w:rPr>
        <w:t>, son apparence ne correspond plus aux mentions figurant sur ses documents d</w:t>
      </w:r>
      <w:r w:rsidRPr="000C1BE0">
        <w:rPr>
          <w:spacing w:val="-2"/>
          <w:lang w:val="fr-FR"/>
        </w:rPr>
        <w:t>’</w:t>
      </w:r>
      <w:r w:rsidRPr="000C1BE0">
        <w:rPr>
          <w:spacing w:val="-2"/>
          <w:lang w:val="fr-FR"/>
        </w:rPr>
        <w:t>identité, raison</w:t>
      </w:r>
      <w:r w:rsidRPr="000C1BE0">
        <w:rPr>
          <w:spacing w:val="-2"/>
          <w:lang w:val="fr-FR"/>
        </w:rPr>
        <w:t xml:space="preserve"> pour laquelle elle a plusieurs fois été arrêtée, soumise à des sévices sexuels par la police malaisienne et accusée, s</w:t>
      </w:r>
      <w:r w:rsidRPr="000C1BE0">
        <w:rPr>
          <w:spacing w:val="-2"/>
          <w:lang w:val="fr-FR"/>
        </w:rPr>
        <w:t xml:space="preserve">ur la base de la charia </w:t>
      </w:r>
      <w:r w:rsidRPr="000C1BE0">
        <w:rPr>
          <w:spacing w:val="-2"/>
          <w:lang w:val="fr-FR"/>
        </w:rPr>
        <w:t>telle qu’appliquée dans</w:t>
      </w:r>
      <w:r w:rsidRPr="000C1BE0">
        <w:rPr>
          <w:spacing w:val="-2"/>
          <w:lang w:val="fr-FR"/>
        </w:rPr>
        <w:t xml:space="preserve"> l</w:t>
      </w:r>
      <w:r w:rsidRPr="000C1BE0">
        <w:rPr>
          <w:spacing w:val="-2"/>
          <w:lang w:val="fr-FR"/>
        </w:rPr>
        <w:t>’</w:t>
      </w:r>
      <w:r w:rsidRPr="000C1BE0">
        <w:rPr>
          <w:spacing w:val="-2"/>
          <w:lang w:val="fr-FR"/>
        </w:rPr>
        <w:t>État de Malacca, d</w:t>
      </w:r>
      <w:r w:rsidRPr="000C1BE0">
        <w:rPr>
          <w:spacing w:val="-2"/>
          <w:lang w:val="fr-FR"/>
        </w:rPr>
        <w:t>’</w:t>
      </w:r>
      <w:r w:rsidRPr="000C1BE0">
        <w:rPr>
          <w:spacing w:val="-2"/>
          <w:lang w:val="fr-FR"/>
        </w:rPr>
        <w:t>une infraction pénale passible d</w:t>
      </w:r>
      <w:r w:rsidRPr="000C1BE0">
        <w:rPr>
          <w:spacing w:val="-2"/>
          <w:lang w:val="fr-FR"/>
        </w:rPr>
        <w:t>’</w:t>
      </w:r>
      <w:r w:rsidRPr="000C1BE0">
        <w:rPr>
          <w:spacing w:val="-2"/>
          <w:lang w:val="fr-FR"/>
        </w:rPr>
        <w:t>une amende ou d</w:t>
      </w:r>
      <w:r w:rsidRPr="000C1BE0">
        <w:rPr>
          <w:spacing w:val="-2"/>
          <w:lang w:val="fr-FR"/>
        </w:rPr>
        <w:t>’</w:t>
      </w:r>
      <w:r w:rsidRPr="000C1BE0">
        <w:rPr>
          <w:spacing w:val="-2"/>
          <w:lang w:val="fr-FR"/>
        </w:rPr>
        <w:t>une peine pouvant aller jusqu</w:t>
      </w:r>
      <w:r w:rsidRPr="000C1BE0">
        <w:rPr>
          <w:spacing w:val="-2"/>
          <w:lang w:val="fr-FR"/>
        </w:rPr>
        <w:t>’</w:t>
      </w:r>
      <w:r w:rsidRPr="000C1BE0">
        <w:rPr>
          <w:spacing w:val="-2"/>
          <w:lang w:val="fr-FR"/>
        </w:rPr>
        <w:t>à six mois d</w:t>
      </w:r>
      <w:r w:rsidRPr="000C1BE0">
        <w:rPr>
          <w:spacing w:val="-2"/>
          <w:lang w:val="fr-FR"/>
        </w:rPr>
        <w:t>’</w:t>
      </w:r>
      <w:r w:rsidRPr="000C1BE0">
        <w:rPr>
          <w:spacing w:val="-2"/>
          <w:lang w:val="fr-FR"/>
        </w:rPr>
        <w:t>emprisonnement. Compte tenu de ce qu</w:t>
      </w:r>
      <w:r w:rsidRPr="000C1BE0">
        <w:rPr>
          <w:spacing w:val="-2"/>
          <w:lang w:val="fr-FR"/>
        </w:rPr>
        <w:t>’</w:t>
      </w:r>
      <w:r w:rsidRPr="000C1BE0">
        <w:rPr>
          <w:spacing w:val="-2"/>
          <w:lang w:val="fr-FR"/>
        </w:rPr>
        <w:t>elle a vécu par le passé et du contexte général de pénalis</w:t>
      </w:r>
      <w:r w:rsidRPr="000C1BE0">
        <w:rPr>
          <w:spacing w:val="-2"/>
          <w:lang w:val="fr-FR"/>
        </w:rPr>
        <w:t>ation de la transsexualité et de persécution des femmes transgenres, dont attestent des rapports internationaux produits par l</w:t>
      </w:r>
      <w:r w:rsidRPr="000C1BE0">
        <w:rPr>
          <w:spacing w:val="-2"/>
          <w:lang w:val="fr-FR"/>
        </w:rPr>
        <w:t>’</w:t>
      </w:r>
      <w:r w:rsidRPr="000C1BE0">
        <w:rPr>
          <w:spacing w:val="-2"/>
          <w:lang w:val="fr-FR"/>
        </w:rPr>
        <w:t>auteure, celle-ci fait valoir qu</w:t>
      </w:r>
      <w:r w:rsidRPr="000C1BE0">
        <w:rPr>
          <w:spacing w:val="-2"/>
          <w:lang w:val="fr-FR"/>
        </w:rPr>
        <w:t>’</w:t>
      </w:r>
      <w:r w:rsidRPr="000C1BE0">
        <w:rPr>
          <w:spacing w:val="-2"/>
          <w:lang w:val="fr-FR"/>
        </w:rPr>
        <w:t>en raison de son apparence il est probable qu</w:t>
      </w:r>
      <w:r w:rsidRPr="000C1BE0">
        <w:rPr>
          <w:spacing w:val="-2"/>
          <w:lang w:val="fr-FR"/>
        </w:rPr>
        <w:t>’</w:t>
      </w:r>
      <w:r w:rsidRPr="000C1BE0">
        <w:rPr>
          <w:spacing w:val="-2"/>
          <w:lang w:val="fr-FR"/>
        </w:rPr>
        <w:t>en cas de renvoi en Malaisie elle soit constamment</w:t>
      </w:r>
      <w:r w:rsidRPr="000C1BE0">
        <w:rPr>
          <w:spacing w:val="-2"/>
          <w:lang w:val="fr-FR"/>
        </w:rPr>
        <w:t xml:space="preserve"> contrôlée et que les tatouages qu</w:t>
      </w:r>
      <w:r w:rsidRPr="000C1BE0">
        <w:rPr>
          <w:spacing w:val="-2"/>
          <w:lang w:val="fr-FR"/>
        </w:rPr>
        <w:t>’</w:t>
      </w:r>
      <w:r w:rsidRPr="000C1BE0">
        <w:rPr>
          <w:spacing w:val="-2"/>
          <w:lang w:val="fr-FR"/>
        </w:rPr>
        <w:t>elle porte augmentent le risque qu</w:t>
      </w:r>
      <w:r w:rsidRPr="000C1BE0">
        <w:rPr>
          <w:spacing w:val="-2"/>
          <w:lang w:val="fr-FR"/>
        </w:rPr>
        <w:t>’</w:t>
      </w:r>
      <w:r w:rsidRPr="000C1BE0">
        <w:rPr>
          <w:spacing w:val="-2"/>
          <w:lang w:val="fr-FR"/>
        </w:rPr>
        <w:t xml:space="preserve">elle soit renvoyée devant le </w:t>
      </w:r>
      <w:r w:rsidRPr="000C1BE0">
        <w:rPr>
          <w:spacing w:val="-2"/>
          <w:lang w:val="fr-FR"/>
        </w:rPr>
        <w:t>tribunal islamique</w:t>
      </w:r>
      <w:r w:rsidRPr="000C1BE0">
        <w:rPr>
          <w:spacing w:val="-2"/>
          <w:lang w:val="fr-FR"/>
        </w:rPr>
        <w:t>. Elle dit qu</w:t>
      </w:r>
      <w:r w:rsidRPr="000C1BE0">
        <w:rPr>
          <w:spacing w:val="-2"/>
          <w:lang w:val="fr-FR"/>
        </w:rPr>
        <w:t>’</w:t>
      </w:r>
      <w:r w:rsidRPr="000C1BE0">
        <w:rPr>
          <w:spacing w:val="-2"/>
          <w:lang w:val="fr-FR"/>
        </w:rPr>
        <w:t>étant donné l</w:t>
      </w:r>
      <w:r w:rsidRPr="000C1BE0">
        <w:rPr>
          <w:spacing w:val="-2"/>
          <w:lang w:val="fr-FR"/>
        </w:rPr>
        <w:t>’</w:t>
      </w:r>
      <w:r w:rsidRPr="000C1BE0">
        <w:rPr>
          <w:spacing w:val="-2"/>
          <w:lang w:val="fr-FR"/>
        </w:rPr>
        <w:t>existence d</w:t>
      </w:r>
      <w:r w:rsidRPr="000C1BE0">
        <w:rPr>
          <w:spacing w:val="-2"/>
          <w:lang w:val="fr-FR"/>
        </w:rPr>
        <w:t>’</w:t>
      </w:r>
      <w:r w:rsidRPr="000C1BE0">
        <w:rPr>
          <w:spacing w:val="-2"/>
          <w:lang w:val="fr-FR"/>
        </w:rPr>
        <w:t xml:space="preserve">une procédure pendante à son encontre devant le </w:t>
      </w:r>
      <w:r w:rsidRPr="000C1BE0">
        <w:rPr>
          <w:spacing w:val="-2"/>
          <w:lang w:val="fr-FR"/>
        </w:rPr>
        <w:t>tribunal islamique</w:t>
      </w:r>
      <w:r w:rsidRPr="000C1BE0">
        <w:rPr>
          <w:spacing w:val="-2"/>
          <w:lang w:val="fr-FR"/>
        </w:rPr>
        <w:t xml:space="preserve"> de Malacca, son identité de genr</w:t>
      </w:r>
      <w:r w:rsidRPr="000C1BE0">
        <w:rPr>
          <w:spacing w:val="-2"/>
          <w:lang w:val="fr-FR"/>
        </w:rPr>
        <w:t>e serait rendue publique, en violation de son droit à la vie privée. Elle dit, en outre, que si elle était emprisonnée, elle serait détenue avec des hommes compte tenu de la mention figurant sur ses documents d</w:t>
      </w:r>
      <w:r w:rsidRPr="000C1BE0">
        <w:rPr>
          <w:spacing w:val="-2"/>
          <w:lang w:val="fr-FR"/>
        </w:rPr>
        <w:t>’</w:t>
      </w:r>
      <w:r w:rsidRPr="000C1BE0">
        <w:rPr>
          <w:spacing w:val="-2"/>
          <w:lang w:val="fr-FR"/>
        </w:rPr>
        <w:t>identité nationaux, ce qui l</w:t>
      </w:r>
      <w:r w:rsidRPr="000C1BE0">
        <w:rPr>
          <w:spacing w:val="-2"/>
          <w:lang w:val="fr-FR"/>
        </w:rPr>
        <w:t>’</w:t>
      </w:r>
      <w:r w:rsidRPr="000C1BE0">
        <w:rPr>
          <w:spacing w:val="-2"/>
          <w:lang w:val="fr-FR"/>
        </w:rPr>
        <w:t xml:space="preserve">exposerait à de </w:t>
      </w:r>
      <w:r w:rsidRPr="000C1BE0">
        <w:rPr>
          <w:spacing w:val="-2"/>
          <w:lang w:val="fr-FR"/>
        </w:rPr>
        <w:t xml:space="preserve">nouveaux sévices. </w:t>
      </w:r>
    </w:p>
    <w:p w:rsidR="00870218" w:rsidRPr="00EA5BC0" w:rsidRDefault="00366EE4" w:rsidP="00EA5BC0">
      <w:pPr>
        <w:pStyle w:val="SingleTxtG"/>
        <w:rPr>
          <w:lang w:val="fr-FR"/>
        </w:rPr>
      </w:pPr>
      <w:r w:rsidRPr="00EA5BC0">
        <w:rPr>
          <w:lang w:val="fr-FR"/>
        </w:rPr>
        <w:lastRenderedPageBreak/>
        <w:t>7.3</w:t>
      </w:r>
      <w:r w:rsidRPr="00EA5BC0">
        <w:rPr>
          <w:lang w:val="fr-FR"/>
        </w:rPr>
        <w:tab/>
        <w:t>Le</w:t>
      </w:r>
      <w:r w:rsidRPr="00EA5BC0">
        <w:rPr>
          <w:bCs/>
          <w:lang w:val="fr-FR"/>
        </w:rPr>
        <w:t xml:space="preserve"> </w:t>
      </w:r>
      <w:r w:rsidRPr="00EA5BC0">
        <w:rPr>
          <w:lang w:val="fr-FR"/>
        </w:rPr>
        <w:t xml:space="preserve">Comité rappelle </w:t>
      </w:r>
      <w:r w:rsidRPr="00EA5BC0">
        <w:rPr>
          <w:lang w:val="fr-FR"/>
        </w:rPr>
        <w:t xml:space="preserve">le </w:t>
      </w:r>
      <w:r w:rsidR="00EA5BC0">
        <w:rPr>
          <w:lang w:val="fr-FR"/>
        </w:rPr>
        <w:t xml:space="preserve">paragraphe </w:t>
      </w:r>
      <w:r w:rsidRPr="00EA5BC0">
        <w:rPr>
          <w:lang w:val="fr-FR"/>
        </w:rPr>
        <w:t xml:space="preserve">12 de </w:t>
      </w:r>
      <w:r w:rsidRPr="00EA5BC0">
        <w:rPr>
          <w:lang w:val="fr-FR"/>
        </w:rPr>
        <w:t xml:space="preserve">son </w:t>
      </w:r>
      <w:r w:rsidRPr="00EA5BC0">
        <w:rPr>
          <w:lang w:val="fr-FR"/>
        </w:rPr>
        <w:t xml:space="preserve">observation générale </w:t>
      </w:r>
      <w:r w:rsidRPr="00EA5BC0">
        <w:rPr>
          <w:lang w:val="fr-FR"/>
        </w:rPr>
        <w:t>n</w:t>
      </w:r>
      <w:r w:rsidRPr="00EA5BC0">
        <w:rPr>
          <w:vertAlign w:val="superscript"/>
          <w:lang w:val="fr-FR"/>
        </w:rPr>
        <w:t>o</w:t>
      </w:r>
      <w:r w:rsidRPr="00EA5BC0">
        <w:rPr>
          <w:lang w:val="fr-FR"/>
        </w:rPr>
        <w:t> 31 (2004) sur la nature de l’obligation juridique générale imposée aux États parties au Pacte</w:t>
      </w:r>
      <w:r w:rsidRPr="00EA5BC0">
        <w:rPr>
          <w:lang w:val="fr-FR"/>
        </w:rPr>
        <w:t xml:space="preserve">, </w:t>
      </w:r>
      <w:r w:rsidRPr="00EA5BC0">
        <w:rPr>
          <w:lang w:val="fr-FR"/>
        </w:rPr>
        <w:t>dans l</w:t>
      </w:r>
      <w:r w:rsidRPr="00EA5BC0">
        <w:rPr>
          <w:lang w:val="fr-FR"/>
        </w:rPr>
        <w:t>equel</w:t>
      </w:r>
      <w:r w:rsidRPr="00EA5BC0">
        <w:rPr>
          <w:lang w:val="fr-FR"/>
        </w:rPr>
        <w:t xml:space="preserve"> il se réfère à l</w:t>
      </w:r>
      <w:r w:rsidRPr="00EA5BC0">
        <w:rPr>
          <w:lang w:val="fr-FR"/>
        </w:rPr>
        <w:t>’</w:t>
      </w:r>
      <w:r w:rsidRPr="00EA5BC0">
        <w:rPr>
          <w:lang w:val="fr-FR"/>
        </w:rPr>
        <w:t xml:space="preserve">obligation des États parties de ne pas </w:t>
      </w:r>
      <w:r w:rsidRPr="00EA5BC0">
        <w:rPr>
          <w:lang w:val="fr-FR"/>
        </w:rPr>
        <w:t>extrader, déplacer, expulser une personne de leur territoire ou la transférer par d</w:t>
      </w:r>
      <w:r w:rsidRPr="00EA5BC0">
        <w:rPr>
          <w:lang w:val="fr-FR"/>
        </w:rPr>
        <w:t>’</w:t>
      </w:r>
      <w:r w:rsidRPr="00EA5BC0">
        <w:rPr>
          <w:lang w:val="fr-FR"/>
        </w:rPr>
        <w:t>autres moyens s</w:t>
      </w:r>
      <w:r w:rsidRPr="00EA5BC0">
        <w:rPr>
          <w:lang w:val="fr-FR"/>
        </w:rPr>
        <w:t>’</w:t>
      </w:r>
      <w:r w:rsidRPr="00EA5BC0">
        <w:rPr>
          <w:lang w:val="fr-FR"/>
        </w:rPr>
        <w:t xml:space="preserve">il existe des motifs sérieux de croire </w:t>
      </w:r>
      <w:r w:rsidRPr="00964860">
        <w:rPr>
          <w:spacing w:val="-2"/>
          <w:lang w:val="fr-FR"/>
        </w:rPr>
        <w:t>que celle-ci court un risque réel de préjudice irréparable,</w:t>
      </w:r>
      <w:r w:rsidRPr="00964860">
        <w:rPr>
          <w:bCs/>
          <w:spacing w:val="-2"/>
          <w:lang w:val="fr-FR"/>
        </w:rPr>
        <w:t xml:space="preserve"> </w:t>
      </w:r>
      <w:r w:rsidRPr="00964860">
        <w:rPr>
          <w:spacing w:val="-2"/>
          <w:lang w:val="fr-FR"/>
        </w:rPr>
        <w:t>tel le préjudice envisagé à l</w:t>
      </w:r>
      <w:r w:rsidRPr="00964860">
        <w:rPr>
          <w:spacing w:val="-2"/>
          <w:lang w:val="fr-FR"/>
        </w:rPr>
        <w:t>’</w:t>
      </w:r>
      <w:r w:rsidR="00EA5BC0" w:rsidRPr="00964860">
        <w:rPr>
          <w:spacing w:val="-2"/>
          <w:lang w:val="fr-FR"/>
        </w:rPr>
        <w:t xml:space="preserve">article </w:t>
      </w:r>
      <w:r w:rsidRPr="00964860">
        <w:rPr>
          <w:spacing w:val="-2"/>
          <w:lang w:val="fr-FR"/>
        </w:rPr>
        <w:t>7</w:t>
      </w:r>
      <w:r w:rsidRPr="00EA5BC0">
        <w:rPr>
          <w:lang w:val="fr-FR"/>
        </w:rPr>
        <w:t xml:space="preserve"> du Pacte qui inte</w:t>
      </w:r>
      <w:r w:rsidRPr="00EA5BC0">
        <w:rPr>
          <w:lang w:val="fr-FR"/>
        </w:rPr>
        <w:t>rdit les traitements</w:t>
      </w:r>
      <w:r w:rsidRPr="00EA5BC0">
        <w:rPr>
          <w:lang w:val="fr-FR"/>
        </w:rPr>
        <w:t xml:space="preserve"> ou peines</w:t>
      </w:r>
      <w:r w:rsidRPr="00EA5BC0">
        <w:rPr>
          <w:lang w:val="fr-FR"/>
        </w:rPr>
        <w:t xml:space="preserve"> cruels, inhumains ou dégradants. Le Comité a aussi établi qu</w:t>
      </w:r>
      <w:r w:rsidRPr="00EA5BC0">
        <w:rPr>
          <w:lang w:val="fr-FR"/>
        </w:rPr>
        <w:t>’</w:t>
      </w:r>
      <w:r w:rsidRPr="00EA5BC0">
        <w:rPr>
          <w:lang w:val="fr-FR"/>
        </w:rPr>
        <w:t>un tel risque doit être personnel et qu</w:t>
      </w:r>
      <w:r w:rsidRPr="00EA5BC0">
        <w:rPr>
          <w:lang w:val="fr-FR"/>
        </w:rPr>
        <w:t>’</w:t>
      </w:r>
      <w:r w:rsidRPr="00EA5BC0">
        <w:rPr>
          <w:lang w:val="fr-FR"/>
        </w:rPr>
        <w:t>il faut des motifs sérieux de conclure à l</w:t>
      </w:r>
      <w:r w:rsidRPr="00EA5BC0">
        <w:rPr>
          <w:lang w:val="fr-FR"/>
        </w:rPr>
        <w:t>’</w:t>
      </w:r>
      <w:r w:rsidRPr="00EA5BC0">
        <w:rPr>
          <w:lang w:val="fr-FR"/>
        </w:rPr>
        <w:t>existence d</w:t>
      </w:r>
      <w:r w:rsidRPr="00EA5BC0">
        <w:rPr>
          <w:lang w:val="fr-FR"/>
        </w:rPr>
        <w:t>’</w:t>
      </w:r>
      <w:r w:rsidRPr="00EA5BC0">
        <w:rPr>
          <w:lang w:val="fr-FR"/>
        </w:rPr>
        <w:t>un risque réel de préjudice irréparable</w:t>
      </w:r>
      <w:r w:rsidRPr="00EA5BC0">
        <w:rPr>
          <w:vertAlign w:val="superscript"/>
        </w:rPr>
        <w:footnoteReference w:id="14"/>
      </w:r>
      <w:r w:rsidRPr="00EA5BC0">
        <w:rPr>
          <w:lang w:val="fr-FR"/>
        </w:rPr>
        <w:t>. Le Comité rappelle en outre</w:t>
      </w:r>
      <w:r w:rsidRPr="00EA5BC0">
        <w:rPr>
          <w:lang w:val="fr-FR"/>
        </w:rPr>
        <w:t xml:space="preserve"> </w:t>
      </w:r>
      <w:r w:rsidRPr="00EA5BC0">
        <w:rPr>
          <w:lang w:val="fr-FR"/>
        </w:rPr>
        <w:t>sa jurisprudence et réaffirme qu</w:t>
      </w:r>
      <w:r w:rsidRPr="00EA5BC0">
        <w:rPr>
          <w:lang w:val="fr-FR"/>
        </w:rPr>
        <w:t>’</w:t>
      </w:r>
      <w:r w:rsidRPr="00EA5BC0">
        <w:rPr>
          <w:lang w:val="fr-FR"/>
        </w:rPr>
        <w:t>il convient d</w:t>
      </w:r>
      <w:r w:rsidRPr="00EA5BC0">
        <w:rPr>
          <w:lang w:val="fr-FR"/>
        </w:rPr>
        <w:t>’</w:t>
      </w:r>
      <w:r w:rsidRPr="00EA5BC0">
        <w:rPr>
          <w:lang w:val="fr-FR"/>
        </w:rPr>
        <w:t xml:space="preserve">accorder </w:t>
      </w:r>
      <w:r w:rsidRPr="00EA5BC0">
        <w:rPr>
          <w:lang w:val="fr-FR"/>
        </w:rPr>
        <w:t xml:space="preserve">un poids </w:t>
      </w:r>
      <w:r w:rsidRPr="00EA5BC0">
        <w:rPr>
          <w:lang w:val="fr-FR"/>
        </w:rPr>
        <w:t>considérable</w:t>
      </w:r>
      <w:r w:rsidRPr="00EA5BC0">
        <w:rPr>
          <w:lang w:val="fr-FR"/>
        </w:rPr>
        <w:t xml:space="preserve"> à l</w:t>
      </w:r>
      <w:r w:rsidRPr="00EA5BC0">
        <w:rPr>
          <w:lang w:val="fr-FR"/>
        </w:rPr>
        <w:t>’</w:t>
      </w:r>
      <w:r w:rsidRPr="00EA5BC0">
        <w:rPr>
          <w:lang w:val="fr-FR"/>
        </w:rPr>
        <w:t>analyse</w:t>
      </w:r>
      <w:r w:rsidRPr="00EA5BC0">
        <w:rPr>
          <w:lang w:val="fr-FR"/>
        </w:rPr>
        <w:t xml:space="preserve"> qu</w:t>
      </w:r>
      <w:r w:rsidRPr="00EA5BC0">
        <w:rPr>
          <w:lang w:val="fr-FR"/>
        </w:rPr>
        <w:t>’</w:t>
      </w:r>
      <w:r w:rsidRPr="00EA5BC0">
        <w:rPr>
          <w:lang w:val="fr-FR"/>
        </w:rPr>
        <w:t>a faite l</w:t>
      </w:r>
      <w:r w:rsidRPr="00EA5BC0">
        <w:rPr>
          <w:lang w:val="fr-FR"/>
        </w:rPr>
        <w:t>’</w:t>
      </w:r>
      <w:r w:rsidRPr="00EA5BC0">
        <w:rPr>
          <w:lang w:val="fr-FR"/>
        </w:rPr>
        <w:t>État partie et que c</w:t>
      </w:r>
      <w:r w:rsidRPr="00EA5BC0">
        <w:rPr>
          <w:lang w:val="fr-FR"/>
        </w:rPr>
        <w:t>’</w:t>
      </w:r>
      <w:r w:rsidRPr="00EA5BC0">
        <w:rPr>
          <w:lang w:val="fr-FR"/>
        </w:rPr>
        <w:t>est généralement aux juridictions des États parties au Pacte qu</w:t>
      </w:r>
      <w:r w:rsidRPr="00EA5BC0">
        <w:rPr>
          <w:lang w:val="fr-FR"/>
        </w:rPr>
        <w:t>’</w:t>
      </w:r>
      <w:r w:rsidRPr="00EA5BC0">
        <w:rPr>
          <w:lang w:val="fr-FR"/>
        </w:rPr>
        <w:t>il appartient d</w:t>
      </w:r>
      <w:r w:rsidRPr="00EA5BC0">
        <w:rPr>
          <w:lang w:val="fr-FR"/>
        </w:rPr>
        <w:t>’</w:t>
      </w:r>
      <w:r w:rsidRPr="00EA5BC0">
        <w:rPr>
          <w:lang w:val="fr-FR"/>
        </w:rPr>
        <w:t>examiner et d</w:t>
      </w:r>
      <w:r w:rsidRPr="00EA5BC0">
        <w:rPr>
          <w:lang w:val="fr-FR"/>
        </w:rPr>
        <w:t>’</w:t>
      </w:r>
      <w:r w:rsidRPr="00EA5BC0">
        <w:rPr>
          <w:lang w:val="fr-FR"/>
        </w:rPr>
        <w:t>apprécier les faits et les éléments d</w:t>
      </w:r>
      <w:r w:rsidRPr="00EA5BC0">
        <w:rPr>
          <w:lang w:val="fr-FR"/>
        </w:rPr>
        <w:t>e preuve en vue d</w:t>
      </w:r>
      <w:r w:rsidRPr="00EA5BC0">
        <w:rPr>
          <w:lang w:val="fr-FR"/>
        </w:rPr>
        <w:t>’</w:t>
      </w:r>
      <w:r w:rsidRPr="00EA5BC0">
        <w:rPr>
          <w:lang w:val="fr-FR"/>
        </w:rPr>
        <w:t>établir l</w:t>
      </w:r>
      <w:r w:rsidRPr="00EA5BC0">
        <w:rPr>
          <w:lang w:val="fr-FR"/>
        </w:rPr>
        <w:t>’</w:t>
      </w:r>
      <w:r w:rsidRPr="00EA5BC0">
        <w:rPr>
          <w:lang w:val="fr-FR"/>
        </w:rPr>
        <w:t>existence d</w:t>
      </w:r>
      <w:r w:rsidRPr="00EA5BC0">
        <w:rPr>
          <w:lang w:val="fr-FR"/>
        </w:rPr>
        <w:t>’</w:t>
      </w:r>
      <w:r w:rsidRPr="00EA5BC0">
        <w:rPr>
          <w:lang w:val="fr-FR"/>
        </w:rPr>
        <w:t>un tel risque</w:t>
      </w:r>
      <w:r w:rsidRPr="00EA5BC0">
        <w:rPr>
          <w:vertAlign w:val="superscript"/>
        </w:rPr>
        <w:footnoteReference w:id="15"/>
      </w:r>
      <w:r w:rsidRPr="00EA5BC0">
        <w:rPr>
          <w:lang w:val="fr-FR"/>
        </w:rPr>
        <w:t>, sauf s</w:t>
      </w:r>
      <w:r w:rsidRPr="00EA5BC0">
        <w:rPr>
          <w:lang w:val="fr-FR"/>
        </w:rPr>
        <w:t>’</w:t>
      </w:r>
      <w:r w:rsidRPr="00EA5BC0">
        <w:rPr>
          <w:lang w:val="fr-FR"/>
        </w:rPr>
        <w:t>il peut être établi que cette appréciation a été manifestement arbitraire ou a représenté un déni de justice</w:t>
      </w:r>
      <w:r w:rsidRPr="00EA5BC0">
        <w:rPr>
          <w:vertAlign w:val="superscript"/>
        </w:rPr>
        <w:footnoteReference w:id="16"/>
      </w:r>
      <w:r w:rsidRPr="00EA5BC0">
        <w:rPr>
          <w:lang w:val="fr-FR"/>
        </w:rPr>
        <w:t>.</w:t>
      </w:r>
    </w:p>
    <w:p w:rsidR="00870218" w:rsidRPr="00EA5BC0" w:rsidRDefault="00366EE4" w:rsidP="00EA5BC0">
      <w:pPr>
        <w:pStyle w:val="SingleTxtG"/>
        <w:rPr>
          <w:lang w:val="fr-FR"/>
        </w:rPr>
      </w:pPr>
      <w:r w:rsidRPr="00EA5BC0">
        <w:rPr>
          <w:lang w:val="fr-FR"/>
        </w:rPr>
        <w:t>7.4</w:t>
      </w:r>
      <w:r w:rsidRPr="00EA5BC0">
        <w:rPr>
          <w:lang w:val="fr-FR"/>
        </w:rPr>
        <w:tab/>
        <w:t>En l</w:t>
      </w:r>
      <w:r w:rsidRPr="00EA5BC0">
        <w:rPr>
          <w:lang w:val="fr-FR"/>
        </w:rPr>
        <w:t>’</w:t>
      </w:r>
      <w:r w:rsidRPr="00EA5BC0">
        <w:rPr>
          <w:lang w:val="fr-FR"/>
        </w:rPr>
        <w:t>espèce, le Comité prend note de la reconnaissance par l</w:t>
      </w:r>
      <w:r w:rsidRPr="00EA5BC0">
        <w:rPr>
          <w:lang w:val="fr-FR"/>
        </w:rPr>
        <w:t>’</w:t>
      </w:r>
      <w:r w:rsidRPr="00EA5BC0">
        <w:rPr>
          <w:lang w:val="fr-FR"/>
        </w:rPr>
        <w:t xml:space="preserve">État partie du </w:t>
      </w:r>
      <w:r w:rsidRPr="00EA5BC0">
        <w:rPr>
          <w:lang w:val="fr-FR"/>
        </w:rPr>
        <w:t>fait que l</w:t>
      </w:r>
      <w:r w:rsidRPr="00EA5BC0">
        <w:rPr>
          <w:lang w:val="fr-FR"/>
        </w:rPr>
        <w:t>’</w:t>
      </w:r>
      <w:r w:rsidRPr="00EA5BC0">
        <w:rPr>
          <w:lang w:val="fr-FR"/>
        </w:rPr>
        <w:t>auteure ait changé de sexe et qu</w:t>
      </w:r>
      <w:r w:rsidRPr="00EA5BC0">
        <w:rPr>
          <w:lang w:val="fr-FR"/>
        </w:rPr>
        <w:t>’</w:t>
      </w:r>
      <w:r w:rsidRPr="00EA5BC0">
        <w:rPr>
          <w:lang w:val="fr-FR"/>
        </w:rPr>
        <w:t>elle ait pu être détenue par le passé. Toutefois, le Service danois de l</w:t>
      </w:r>
      <w:r w:rsidRPr="00EA5BC0">
        <w:rPr>
          <w:lang w:val="fr-FR"/>
        </w:rPr>
        <w:t>’</w:t>
      </w:r>
      <w:r w:rsidRPr="00EA5BC0">
        <w:rPr>
          <w:lang w:val="fr-FR"/>
        </w:rPr>
        <w:t>immigration comme la Commission de recours pour les réfugiés ont effectué un examen approfondi des affirmations de l</w:t>
      </w:r>
      <w:r w:rsidRPr="00EA5BC0">
        <w:rPr>
          <w:lang w:val="fr-FR"/>
        </w:rPr>
        <w:t>’</w:t>
      </w:r>
      <w:r w:rsidRPr="00EA5BC0">
        <w:rPr>
          <w:lang w:val="fr-FR"/>
        </w:rPr>
        <w:t>intéressée et des élém</w:t>
      </w:r>
      <w:r w:rsidRPr="00EA5BC0">
        <w:rPr>
          <w:lang w:val="fr-FR"/>
        </w:rPr>
        <w:t>ents de preuve produits, et conclu que les allégations de détention, et en particulier de sévices sexuels, qu</w:t>
      </w:r>
      <w:r w:rsidRPr="00EA5BC0">
        <w:rPr>
          <w:lang w:val="fr-FR"/>
        </w:rPr>
        <w:t>’</w:t>
      </w:r>
      <w:r w:rsidRPr="00EA5BC0">
        <w:rPr>
          <w:lang w:val="fr-FR"/>
        </w:rPr>
        <w:t>elle avait formulées étaient insuffisamment étayées et incohérentes à différents égards, notamment en ce qui concernait le nombre, la date et le l</w:t>
      </w:r>
      <w:r w:rsidRPr="00EA5BC0">
        <w:rPr>
          <w:lang w:val="fr-FR"/>
        </w:rPr>
        <w:t>ieu de ces prétendus événements, ainsi que le nombre de leurs auteurs. À ce propos, le Comité relève que dans sa communication l</w:t>
      </w:r>
      <w:r w:rsidRPr="00EA5BC0">
        <w:rPr>
          <w:lang w:val="fr-FR"/>
        </w:rPr>
        <w:t>’</w:t>
      </w:r>
      <w:r w:rsidRPr="00EA5BC0">
        <w:rPr>
          <w:lang w:val="fr-FR"/>
        </w:rPr>
        <w:t>auteure décrit ces incidents d</w:t>
      </w:r>
      <w:r w:rsidRPr="00EA5BC0">
        <w:rPr>
          <w:lang w:val="fr-FR"/>
        </w:rPr>
        <w:t>’</w:t>
      </w:r>
      <w:r w:rsidRPr="00EA5BC0">
        <w:rPr>
          <w:lang w:val="fr-FR"/>
        </w:rPr>
        <w:t>une manière très générale. Pour ce qui est des poursuites sur le fondement de la charia et des m</w:t>
      </w:r>
      <w:r w:rsidRPr="00EA5BC0">
        <w:rPr>
          <w:lang w:val="fr-FR"/>
        </w:rPr>
        <w:t>enaces d</w:t>
      </w:r>
      <w:r w:rsidRPr="00EA5BC0">
        <w:rPr>
          <w:lang w:val="fr-FR"/>
        </w:rPr>
        <w:t>’</w:t>
      </w:r>
      <w:r w:rsidRPr="00EA5BC0">
        <w:rPr>
          <w:lang w:val="fr-FR"/>
        </w:rPr>
        <w:t>emprisonnement adressées à l</w:t>
      </w:r>
      <w:r w:rsidRPr="00EA5BC0">
        <w:rPr>
          <w:lang w:val="fr-FR"/>
        </w:rPr>
        <w:t>’</w:t>
      </w:r>
      <w:r w:rsidRPr="00EA5BC0">
        <w:rPr>
          <w:lang w:val="fr-FR"/>
        </w:rPr>
        <w:t xml:space="preserve">auteure à ce sujet en 2012, la Commission a également examiné les pièces du dossier afférentes à la procédure devant le </w:t>
      </w:r>
      <w:r w:rsidRPr="00EA5BC0">
        <w:rPr>
          <w:lang w:val="fr-FR"/>
        </w:rPr>
        <w:t>tribunal islamique</w:t>
      </w:r>
      <w:r w:rsidRPr="00EA5BC0">
        <w:rPr>
          <w:lang w:val="fr-FR"/>
        </w:rPr>
        <w:t xml:space="preserve"> produites par l</w:t>
      </w:r>
      <w:r w:rsidRPr="00EA5BC0">
        <w:rPr>
          <w:lang w:val="fr-FR"/>
        </w:rPr>
        <w:t>’</w:t>
      </w:r>
      <w:r w:rsidRPr="00EA5BC0">
        <w:rPr>
          <w:lang w:val="fr-FR"/>
        </w:rPr>
        <w:t>auteure mais elle a relevé que, depuis avril 2012, aucune suite</w:t>
      </w:r>
      <w:r w:rsidRPr="00EA5BC0">
        <w:rPr>
          <w:lang w:val="fr-FR"/>
        </w:rPr>
        <w:t xml:space="preserve"> n</w:t>
      </w:r>
      <w:r w:rsidRPr="00EA5BC0">
        <w:rPr>
          <w:lang w:val="fr-FR"/>
        </w:rPr>
        <w:t>’</w:t>
      </w:r>
      <w:r w:rsidRPr="00EA5BC0">
        <w:rPr>
          <w:lang w:val="fr-FR"/>
        </w:rPr>
        <w:t>avait été donnée aux accusations portées contre l</w:t>
      </w:r>
      <w:r w:rsidRPr="00EA5BC0">
        <w:rPr>
          <w:lang w:val="fr-FR"/>
        </w:rPr>
        <w:t>’</w:t>
      </w:r>
      <w:r w:rsidRPr="00EA5BC0">
        <w:rPr>
          <w:lang w:val="fr-FR"/>
        </w:rPr>
        <w:t>intéressée et qu</w:t>
      </w:r>
      <w:r w:rsidRPr="00EA5BC0">
        <w:rPr>
          <w:lang w:val="fr-FR"/>
        </w:rPr>
        <w:t>’</w:t>
      </w:r>
      <w:r w:rsidRPr="00EA5BC0">
        <w:rPr>
          <w:lang w:val="fr-FR"/>
        </w:rPr>
        <w:t>entre cette date et son départ définitif en janvier 2014, l</w:t>
      </w:r>
      <w:r w:rsidRPr="00EA5BC0">
        <w:rPr>
          <w:lang w:val="fr-FR"/>
        </w:rPr>
        <w:t>’</w:t>
      </w:r>
      <w:r w:rsidRPr="00EA5BC0">
        <w:rPr>
          <w:lang w:val="fr-FR"/>
        </w:rPr>
        <w:t>auteure s</w:t>
      </w:r>
      <w:r w:rsidRPr="00EA5BC0">
        <w:rPr>
          <w:lang w:val="fr-FR"/>
        </w:rPr>
        <w:t>’</w:t>
      </w:r>
      <w:r w:rsidRPr="00EA5BC0">
        <w:rPr>
          <w:lang w:val="fr-FR"/>
        </w:rPr>
        <w:t>était fréquemment rendue à l</w:t>
      </w:r>
      <w:r w:rsidRPr="00EA5BC0">
        <w:rPr>
          <w:lang w:val="fr-FR"/>
        </w:rPr>
        <w:t>’</w:t>
      </w:r>
      <w:r w:rsidRPr="00EA5BC0">
        <w:rPr>
          <w:lang w:val="fr-FR"/>
        </w:rPr>
        <w:t>étranger sans jamais rencontrer aucun problème et n</w:t>
      </w:r>
      <w:r w:rsidRPr="00EA5BC0">
        <w:rPr>
          <w:lang w:val="fr-FR"/>
        </w:rPr>
        <w:t>’</w:t>
      </w:r>
      <w:r w:rsidRPr="00EA5BC0">
        <w:rPr>
          <w:lang w:val="fr-FR"/>
        </w:rPr>
        <w:t>avait pas été placée en détention n</w:t>
      </w:r>
      <w:r w:rsidRPr="00EA5BC0">
        <w:rPr>
          <w:lang w:val="fr-FR"/>
        </w:rPr>
        <w:t>i harcelée d</w:t>
      </w:r>
      <w:r w:rsidRPr="00EA5BC0">
        <w:rPr>
          <w:lang w:val="fr-FR"/>
        </w:rPr>
        <w:t>’</w:t>
      </w:r>
      <w:r w:rsidRPr="00EA5BC0">
        <w:rPr>
          <w:lang w:val="fr-FR"/>
        </w:rPr>
        <w:t>une quelconque autre manière au cours de cette période. La Commission a également exprimé des doutes quant au fait que l</w:t>
      </w:r>
      <w:r w:rsidRPr="00EA5BC0">
        <w:rPr>
          <w:lang w:val="fr-FR"/>
        </w:rPr>
        <w:t>’</w:t>
      </w:r>
      <w:r w:rsidRPr="00EA5BC0">
        <w:rPr>
          <w:lang w:val="fr-FR"/>
        </w:rPr>
        <w:t>auteure ait retardé son départ jusqu</w:t>
      </w:r>
      <w:r w:rsidRPr="00EA5BC0">
        <w:rPr>
          <w:lang w:val="fr-FR"/>
        </w:rPr>
        <w:t>’</w:t>
      </w:r>
      <w:r w:rsidRPr="00EA5BC0">
        <w:rPr>
          <w:lang w:val="fr-FR"/>
        </w:rPr>
        <w:t>en janvier 2014 faute de moyens financiers, compte tenu des voyages à l</w:t>
      </w:r>
      <w:r w:rsidRPr="00EA5BC0">
        <w:rPr>
          <w:lang w:val="fr-FR"/>
        </w:rPr>
        <w:t>’</w:t>
      </w:r>
      <w:r w:rsidRPr="00EA5BC0">
        <w:rPr>
          <w:lang w:val="fr-FR"/>
        </w:rPr>
        <w:t>étranger qu</w:t>
      </w:r>
      <w:r w:rsidRPr="00EA5BC0">
        <w:rPr>
          <w:lang w:val="fr-FR"/>
        </w:rPr>
        <w:t>’</w:t>
      </w:r>
      <w:r w:rsidRPr="00EA5BC0">
        <w:rPr>
          <w:lang w:val="fr-FR"/>
        </w:rPr>
        <w:t>e</w:t>
      </w:r>
      <w:r w:rsidRPr="00EA5BC0">
        <w:rPr>
          <w:lang w:val="fr-FR"/>
        </w:rPr>
        <w:t xml:space="preserve">lle a mentionnés. </w:t>
      </w:r>
    </w:p>
    <w:p w:rsidR="00870218" w:rsidRPr="00EA5BC0" w:rsidRDefault="00366EE4" w:rsidP="00EA5BC0">
      <w:pPr>
        <w:pStyle w:val="SingleTxtG"/>
        <w:rPr>
          <w:lang w:val="fr-FR"/>
        </w:rPr>
      </w:pPr>
      <w:r w:rsidRPr="00EA5BC0">
        <w:rPr>
          <w:lang w:val="fr-FR"/>
        </w:rPr>
        <w:t>7.5</w:t>
      </w:r>
      <w:r w:rsidRPr="00EA5BC0">
        <w:rPr>
          <w:lang w:val="fr-FR"/>
        </w:rPr>
        <w:tab/>
        <w:t>Le Comité note que l</w:t>
      </w:r>
      <w:r w:rsidRPr="00EA5BC0">
        <w:rPr>
          <w:lang w:val="fr-FR"/>
        </w:rPr>
        <w:t>’</w:t>
      </w:r>
      <w:r w:rsidRPr="00EA5BC0">
        <w:rPr>
          <w:lang w:val="fr-FR"/>
        </w:rPr>
        <w:t>auteure n</w:t>
      </w:r>
      <w:r w:rsidRPr="00EA5BC0">
        <w:rPr>
          <w:lang w:val="fr-FR"/>
        </w:rPr>
        <w:t>’</w:t>
      </w:r>
      <w:r w:rsidRPr="00EA5BC0">
        <w:rPr>
          <w:lang w:val="fr-FR"/>
        </w:rPr>
        <w:t>a mis au jour aucune irrégularité dans le processus décisionnel, ni aucun facteur de risque dont les autorités de l</w:t>
      </w:r>
      <w:r w:rsidRPr="00EA5BC0">
        <w:rPr>
          <w:lang w:val="fr-FR"/>
        </w:rPr>
        <w:t>’</w:t>
      </w:r>
      <w:r w:rsidRPr="00EA5BC0">
        <w:rPr>
          <w:lang w:val="fr-FR"/>
        </w:rPr>
        <w:t>État partie n</w:t>
      </w:r>
      <w:r w:rsidRPr="00EA5BC0">
        <w:rPr>
          <w:lang w:val="fr-FR"/>
        </w:rPr>
        <w:t>’</w:t>
      </w:r>
      <w:r w:rsidRPr="00EA5BC0">
        <w:rPr>
          <w:lang w:val="fr-FR"/>
        </w:rPr>
        <w:t>auraient pas dûment tenu compte</w:t>
      </w:r>
      <w:r w:rsidRPr="00EA5BC0">
        <w:rPr>
          <w:lang w:val="fr-FR"/>
        </w:rPr>
        <w:t>. Si elle a contesté les conclusions auxq</w:t>
      </w:r>
      <w:r w:rsidRPr="00EA5BC0">
        <w:rPr>
          <w:lang w:val="fr-FR"/>
        </w:rPr>
        <w:t>uelles sont parvenues les autorités danoises de l</w:t>
      </w:r>
      <w:r w:rsidRPr="00EA5BC0">
        <w:rPr>
          <w:lang w:val="fr-FR"/>
        </w:rPr>
        <w:t>’</w:t>
      </w:r>
      <w:r w:rsidRPr="00EA5BC0">
        <w:rPr>
          <w:lang w:val="fr-FR"/>
        </w:rPr>
        <w:t>immigration en ce qui concerne les faits</w:t>
      </w:r>
      <w:r w:rsidRPr="00EA5BC0">
        <w:rPr>
          <w:lang w:val="fr-FR"/>
        </w:rPr>
        <w:t>, l</w:t>
      </w:r>
      <w:r w:rsidRPr="00EA5BC0">
        <w:rPr>
          <w:lang w:val="fr-FR"/>
        </w:rPr>
        <w:t>’</w:t>
      </w:r>
      <w:r w:rsidRPr="00EA5BC0">
        <w:rPr>
          <w:lang w:val="fr-FR"/>
        </w:rPr>
        <w:t>auteure n</w:t>
      </w:r>
      <w:r w:rsidRPr="00EA5BC0">
        <w:rPr>
          <w:lang w:val="fr-FR"/>
        </w:rPr>
        <w:t>’</w:t>
      </w:r>
      <w:r w:rsidRPr="00EA5BC0">
        <w:rPr>
          <w:lang w:val="fr-FR"/>
        </w:rPr>
        <w:t>a pas expliqué en quoi les procédures conduites par ces autorités auraient été arbitraires ou auraient constitué un déni de justice.</w:t>
      </w:r>
    </w:p>
    <w:p w:rsidR="00870218" w:rsidRPr="00EA5BC0" w:rsidRDefault="00366EE4" w:rsidP="00EA5BC0">
      <w:pPr>
        <w:pStyle w:val="SingleTxtG"/>
        <w:rPr>
          <w:lang w:val="fr-FR"/>
        </w:rPr>
      </w:pPr>
      <w:r w:rsidRPr="00EA5BC0">
        <w:rPr>
          <w:lang w:val="fr-FR"/>
        </w:rPr>
        <w:t>7.6</w:t>
      </w:r>
      <w:r w:rsidRPr="00EA5BC0">
        <w:rPr>
          <w:lang w:val="fr-FR"/>
        </w:rPr>
        <w:tab/>
        <w:t>Dès lors, le Co</w:t>
      </w:r>
      <w:r w:rsidRPr="00EA5BC0">
        <w:rPr>
          <w:lang w:val="fr-FR"/>
        </w:rPr>
        <w:t>mité ne saurait conclure que le renvoi de l</w:t>
      </w:r>
      <w:r w:rsidRPr="00EA5BC0">
        <w:rPr>
          <w:lang w:val="fr-FR"/>
        </w:rPr>
        <w:t>’</w:t>
      </w:r>
      <w:r w:rsidRPr="00EA5BC0">
        <w:rPr>
          <w:lang w:val="fr-FR"/>
        </w:rPr>
        <w:t>auteure en Malaisie constituerait une violation des droits qu</w:t>
      </w:r>
      <w:r w:rsidRPr="00EA5BC0">
        <w:rPr>
          <w:lang w:val="fr-FR"/>
        </w:rPr>
        <w:t>’</w:t>
      </w:r>
      <w:r w:rsidRPr="00EA5BC0">
        <w:rPr>
          <w:lang w:val="fr-FR"/>
        </w:rPr>
        <w:t>elle tient de l</w:t>
      </w:r>
      <w:r w:rsidRPr="00EA5BC0">
        <w:rPr>
          <w:lang w:val="fr-FR"/>
        </w:rPr>
        <w:t>’</w:t>
      </w:r>
      <w:r w:rsidR="00EA5BC0">
        <w:rPr>
          <w:lang w:val="fr-FR"/>
        </w:rPr>
        <w:t xml:space="preserve">article </w:t>
      </w:r>
      <w:r w:rsidRPr="00EA5BC0">
        <w:rPr>
          <w:lang w:val="fr-FR"/>
        </w:rPr>
        <w:t xml:space="preserve">7, lu conjointement avec le </w:t>
      </w:r>
      <w:r w:rsidR="00EA5BC0">
        <w:rPr>
          <w:lang w:val="fr-FR"/>
        </w:rPr>
        <w:t xml:space="preserve">paragraphe </w:t>
      </w:r>
      <w:r w:rsidRPr="00EA5BC0">
        <w:rPr>
          <w:lang w:val="fr-FR"/>
        </w:rPr>
        <w:t>1 de l</w:t>
      </w:r>
      <w:r w:rsidRPr="00EA5BC0">
        <w:rPr>
          <w:lang w:val="fr-FR"/>
        </w:rPr>
        <w:t>’</w:t>
      </w:r>
      <w:r w:rsidR="00EA5BC0">
        <w:rPr>
          <w:lang w:val="fr-FR"/>
        </w:rPr>
        <w:t xml:space="preserve">article </w:t>
      </w:r>
      <w:r w:rsidRPr="00EA5BC0">
        <w:rPr>
          <w:lang w:val="fr-FR"/>
        </w:rPr>
        <w:t>17 et l</w:t>
      </w:r>
      <w:r w:rsidRPr="00EA5BC0">
        <w:rPr>
          <w:lang w:val="fr-FR"/>
        </w:rPr>
        <w:t>’</w:t>
      </w:r>
      <w:r w:rsidR="00EA5BC0">
        <w:rPr>
          <w:lang w:val="fr-FR"/>
        </w:rPr>
        <w:t xml:space="preserve">article </w:t>
      </w:r>
      <w:r w:rsidRPr="00EA5BC0">
        <w:rPr>
          <w:lang w:val="fr-FR"/>
        </w:rPr>
        <w:t>26 du Pacte.</w:t>
      </w:r>
    </w:p>
    <w:p w:rsidR="00EA5BC0" w:rsidRDefault="00366EE4" w:rsidP="00EA5BC0">
      <w:pPr>
        <w:pStyle w:val="SingleTxtG"/>
      </w:pPr>
      <w:r w:rsidRPr="00EA5BC0">
        <w:rPr>
          <w:lang w:val="fr-FR"/>
        </w:rPr>
        <w:t>8</w:t>
      </w:r>
      <w:r>
        <w:rPr>
          <w:lang w:val="fr-FR"/>
        </w:rPr>
        <w:t>.</w:t>
      </w:r>
      <w:bookmarkStart w:id="0" w:name="_GoBack"/>
      <w:bookmarkEnd w:id="0"/>
      <w:r w:rsidRPr="00EA5BC0">
        <w:rPr>
          <w:lang w:val="fr-FR"/>
        </w:rPr>
        <w:tab/>
        <w:t>Le Comité des droits de l</w:t>
      </w:r>
      <w:r w:rsidRPr="00EA5BC0">
        <w:rPr>
          <w:lang w:val="fr-FR"/>
        </w:rPr>
        <w:t>’</w:t>
      </w:r>
      <w:r w:rsidRPr="00EA5BC0">
        <w:rPr>
          <w:lang w:val="fr-FR"/>
        </w:rPr>
        <w:t>homme, agissant</w:t>
      </w:r>
      <w:r w:rsidRPr="00EA5BC0">
        <w:rPr>
          <w:lang w:val="fr-FR"/>
        </w:rPr>
        <w:t xml:space="preserve"> en vertu du </w:t>
      </w:r>
      <w:r w:rsidR="00EA5BC0">
        <w:rPr>
          <w:lang w:val="fr-FR"/>
        </w:rPr>
        <w:t xml:space="preserve">paragraphe </w:t>
      </w:r>
      <w:r w:rsidRPr="00EA5BC0">
        <w:rPr>
          <w:lang w:val="fr-FR"/>
        </w:rPr>
        <w:t>4 de l</w:t>
      </w:r>
      <w:r w:rsidRPr="00EA5BC0">
        <w:rPr>
          <w:lang w:val="fr-FR"/>
        </w:rPr>
        <w:t>’</w:t>
      </w:r>
      <w:r w:rsidR="00EA5BC0">
        <w:rPr>
          <w:lang w:val="fr-FR"/>
        </w:rPr>
        <w:t xml:space="preserve">article </w:t>
      </w:r>
      <w:r w:rsidRPr="00EA5BC0">
        <w:rPr>
          <w:lang w:val="fr-FR"/>
        </w:rPr>
        <w:t>5 du Protocole facultatif, constate que le renvoi de l</w:t>
      </w:r>
      <w:r w:rsidRPr="00EA5BC0">
        <w:rPr>
          <w:lang w:val="fr-FR"/>
        </w:rPr>
        <w:t>’</w:t>
      </w:r>
      <w:r w:rsidRPr="00EA5BC0">
        <w:rPr>
          <w:lang w:val="fr-FR"/>
        </w:rPr>
        <w:t>auteure en Malaisie ne constituerait pas une violation des droits qui lui sont garantis à l</w:t>
      </w:r>
      <w:r w:rsidRPr="00EA5BC0">
        <w:rPr>
          <w:lang w:val="fr-FR"/>
        </w:rPr>
        <w:t>’</w:t>
      </w:r>
      <w:r w:rsidR="00EA5BC0">
        <w:rPr>
          <w:lang w:val="fr-FR"/>
        </w:rPr>
        <w:t xml:space="preserve">article </w:t>
      </w:r>
      <w:r w:rsidRPr="00EA5BC0">
        <w:rPr>
          <w:lang w:val="fr-FR"/>
        </w:rPr>
        <w:t xml:space="preserve">7, lu conjointement avec le </w:t>
      </w:r>
      <w:r w:rsidR="00EA5BC0">
        <w:rPr>
          <w:lang w:val="fr-FR"/>
        </w:rPr>
        <w:t xml:space="preserve">paragraphe </w:t>
      </w:r>
      <w:r w:rsidRPr="00EA5BC0">
        <w:rPr>
          <w:lang w:val="fr-FR"/>
        </w:rPr>
        <w:t>1 de l</w:t>
      </w:r>
      <w:r w:rsidRPr="00EA5BC0">
        <w:rPr>
          <w:lang w:val="fr-FR"/>
        </w:rPr>
        <w:t>’</w:t>
      </w:r>
      <w:r w:rsidR="00EA5BC0">
        <w:rPr>
          <w:lang w:val="fr-FR"/>
        </w:rPr>
        <w:t xml:space="preserve">article </w:t>
      </w:r>
      <w:r w:rsidRPr="00EA5BC0">
        <w:rPr>
          <w:lang w:val="fr-FR"/>
        </w:rPr>
        <w:t>17 et l</w:t>
      </w:r>
      <w:r w:rsidRPr="00EA5BC0">
        <w:rPr>
          <w:lang w:val="fr-FR"/>
        </w:rPr>
        <w:t>’</w:t>
      </w:r>
      <w:r w:rsidR="00EA5BC0">
        <w:rPr>
          <w:lang w:val="fr-FR"/>
        </w:rPr>
        <w:t xml:space="preserve">article </w:t>
      </w:r>
      <w:r w:rsidRPr="00EA5BC0">
        <w:rPr>
          <w:lang w:val="fr-FR"/>
        </w:rPr>
        <w:t>26 du Pacte.</w:t>
      </w:r>
    </w:p>
    <w:p w:rsidR="00EA5BC0" w:rsidRPr="00EA5BC0" w:rsidRDefault="00EA5BC0" w:rsidP="00EA5BC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5BC0" w:rsidRDefault="00EA5BC0" w:rsidP="00E85C42"/>
    <w:sectPr w:rsidR="00EA5BC0" w:rsidSect="00C8550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95A" w:rsidRDefault="005C295A" w:rsidP="00F95C08">
      <w:pPr>
        <w:spacing w:line="240" w:lineRule="auto"/>
      </w:pPr>
    </w:p>
  </w:endnote>
  <w:endnote w:type="continuationSeparator" w:id="0">
    <w:p w:rsidR="005C295A" w:rsidRPr="00AC3823" w:rsidRDefault="005C295A" w:rsidP="00AC3823">
      <w:pPr>
        <w:pStyle w:val="Pieddepage"/>
      </w:pPr>
    </w:p>
  </w:endnote>
  <w:endnote w:type="continuationNotice" w:id="1">
    <w:p w:rsidR="005C295A" w:rsidRDefault="005C295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506" w:rsidRPr="00C85506" w:rsidRDefault="00C85506" w:rsidP="00C85506">
    <w:pPr>
      <w:pStyle w:val="Pieddepage"/>
      <w:tabs>
        <w:tab w:val="right" w:pos="9638"/>
      </w:tabs>
    </w:pPr>
    <w:r w:rsidRPr="00C85506">
      <w:rPr>
        <w:b/>
        <w:sz w:val="18"/>
      </w:rPr>
      <w:fldChar w:fldCharType="begin"/>
    </w:r>
    <w:r w:rsidRPr="00C85506">
      <w:rPr>
        <w:b/>
        <w:sz w:val="18"/>
      </w:rPr>
      <w:instrText xml:space="preserve"> PAGE  \* MERGEFORMAT </w:instrText>
    </w:r>
    <w:r w:rsidRPr="00C85506">
      <w:rPr>
        <w:b/>
        <w:sz w:val="18"/>
      </w:rPr>
      <w:fldChar w:fldCharType="separate"/>
    </w:r>
    <w:r w:rsidR="00366EE4">
      <w:rPr>
        <w:b/>
        <w:noProof/>
        <w:sz w:val="18"/>
      </w:rPr>
      <w:t>6</w:t>
    </w:r>
    <w:r w:rsidRPr="00C85506">
      <w:rPr>
        <w:b/>
        <w:sz w:val="18"/>
      </w:rPr>
      <w:fldChar w:fldCharType="end"/>
    </w:r>
    <w:r>
      <w:rPr>
        <w:b/>
        <w:sz w:val="18"/>
      </w:rPr>
      <w:tab/>
    </w:r>
    <w:r>
      <w:t>GE.17-07669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506" w:rsidRPr="00C85506" w:rsidRDefault="00C85506" w:rsidP="00C85506">
    <w:pPr>
      <w:pStyle w:val="Pieddepage"/>
      <w:tabs>
        <w:tab w:val="right" w:pos="9638"/>
      </w:tabs>
      <w:rPr>
        <w:b/>
        <w:sz w:val="18"/>
      </w:rPr>
    </w:pPr>
    <w:r>
      <w:t>GE.17-07669</w:t>
    </w:r>
    <w:r>
      <w:tab/>
    </w:r>
    <w:r w:rsidRPr="00C85506">
      <w:rPr>
        <w:b/>
        <w:sz w:val="18"/>
      </w:rPr>
      <w:fldChar w:fldCharType="begin"/>
    </w:r>
    <w:r w:rsidRPr="00C85506">
      <w:rPr>
        <w:b/>
        <w:sz w:val="18"/>
      </w:rPr>
      <w:instrText xml:space="preserve"> PAGE  \* MERGEFORMAT </w:instrText>
    </w:r>
    <w:r w:rsidRPr="00C85506">
      <w:rPr>
        <w:b/>
        <w:sz w:val="18"/>
      </w:rPr>
      <w:fldChar w:fldCharType="separate"/>
    </w:r>
    <w:r w:rsidR="00366EE4">
      <w:rPr>
        <w:b/>
        <w:noProof/>
        <w:sz w:val="18"/>
      </w:rPr>
      <w:t>7</w:t>
    </w:r>
    <w:r w:rsidRPr="00C8550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79B" w:rsidRPr="00C85506" w:rsidRDefault="00C85506" w:rsidP="00C85506">
    <w:pPr>
      <w:pStyle w:val="Pieddepage"/>
      <w:spacing w:before="120"/>
      <w:rPr>
        <w:sz w:val="20"/>
      </w:rPr>
    </w:pPr>
    <w:r>
      <w:rPr>
        <w:sz w:val="20"/>
      </w:rPr>
      <w:t>GE.</w:t>
    </w:r>
    <w:r w:rsidR="001B379B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091AA59C" wp14:editId="5E500DF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17-07669  (F)</w:t>
    </w:r>
    <w:r w:rsidR="00744464">
      <w:rPr>
        <w:sz w:val="20"/>
      </w:rPr>
      <w:t xml:space="preserve">    210918    061118</w:t>
    </w:r>
    <w:r>
      <w:rPr>
        <w:sz w:val="20"/>
      </w:rPr>
      <w:br/>
    </w:r>
    <w:r w:rsidRPr="00C85506">
      <w:rPr>
        <w:rFonts w:ascii="C39T30Lfz" w:hAnsi="C39T30Lfz"/>
        <w:sz w:val="56"/>
      </w:rPr>
      <w:t></w:t>
    </w:r>
    <w:r w:rsidRPr="00C85506">
      <w:rPr>
        <w:rFonts w:ascii="C39T30Lfz" w:hAnsi="C39T30Lfz"/>
        <w:sz w:val="56"/>
      </w:rPr>
      <w:t></w:t>
    </w:r>
    <w:r w:rsidRPr="00C85506">
      <w:rPr>
        <w:rFonts w:ascii="C39T30Lfz" w:hAnsi="C39T30Lfz"/>
        <w:sz w:val="56"/>
      </w:rPr>
      <w:t></w:t>
    </w:r>
    <w:r w:rsidRPr="00C85506">
      <w:rPr>
        <w:rFonts w:ascii="C39T30Lfz" w:hAnsi="C39T30Lfz"/>
        <w:sz w:val="56"/>
      </w:rPr>
      <w:t></w:t>
    </w:r>
    <w:r w:rsidRPr="00C85506">
      <w:rPr>
        <w:rFonts w:ascii="C39T30Lfz" w:hAnsi="C39T30Lfz"/>
        <w:sz w:val="56"/>
      </w:rPr>
      <w:t></w:t>
    </w:r>
    <w:r w:rsidRPr="00C85506">
      <w:rPr>
        <w:rFonts w:ascii="C39T30Lfz" w:hAnsi="C39T30Lfz"/>
        <w:sz w:val="56"/>
      </w:rPr>
      <w:t></w:t>
    </w:r>
    <w:r w:rsidRPr="00C85506">
      <w:rPr>
        <w:rFonts w:ascii="C39T30Lfz" w:hAnsi="C39T30Lfz"/>
        <w:sz w:val="56"/>
      </w:rPr>
      <w:t></w:t>
    </w:r>
    <w:r w:rsidRPr="00C85506">
      <w:rPr>
        <w:rFonts w:ascii="C39T30Lfz" w:hAnsi="C39T30Lfz"/>
        <w:sz w:val="56"/>
      </w:rPr>
      <w:t></w:t>
    </w:r>
    <w:r w:rsidRPr="00C85506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" name="Image 1" descr="https://undocs.org/m2/QRCode.ashx?DS=CCPR/C/119/D/2593/201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119/D/2593/201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95A" w:rsidRPr="00AC3823" w:rsidRDefault="005C295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C295A" w:rsidRPr="00AC3823" w:rsidRDefault="005C295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C295A" w:rsidRPr="00AC3823" w:rsidRDefault="005C295A">
      <w:pPr>
        <w:spacing w:line="240" w:lineRule="auto"/>
        <w:rPr>
          <w:sz w:val="2"/>
          <w:szCs w:val="2"/>
        </w:rPr>
      </w:pPr>
    </w:p>
  </w:footnote>
  <w:footnote w:id="2">
    <w:p w:rsidR="00EA5BC0" w:rsidRPr="009E2D51" w:rsidRDefault="00EA5BC0" w:rsidP="00EA5BC0">
      <w:pPr>
        <w:pStyle w:val="Notedebasdepage"/>
      </w:pPr>
      <w:r>
        <w:rPr>
          <w:rStyle w:val="Appelnotedebasdep"/>
        </w:rPr>
        <w:tab/>
      </w:r>
      <w:r w:rsidRPr="009E2D51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t>Adoptées par le Comité à sa 119</w:t>
      </w:r>
      <w:r w:rsidRPr="003904EB">
        <w:rPr>
          <w:vertAlign w:val="superscript"/>
        </w:rPr>
        <w:t>e</w:t>
      </w:r>
      <w:r>
        <w:t xml:space="preserve"> session (6-29</w:t>
      </w:r>
      <w:r w:rsidR="00F52D13">
        <w:t> </w:t>
      </w:r>
      <w:r>
        <w:t>mars 2017).</w:t>
      </w:r>
    </w:p>
  </w:footnote>
  <w:footnote w:id="3">
    <w:p w:rsidR="00EA5BC0" w:rsidRPr="00A9091A" w:rsidRDefault="00EA5BC0" w:rsidP="00EA5BC0">
      <w:pPr>
        <w:pStyle w:val="Notedebasdepage"/>
      </w:pPr>
      <w:r w:rsidRPr="00EF6772">
        <w:rPr>
          <w:rStyle w:val="Appelnotedebasdep"/>
        </w:rPr>
        <w:tab/>
      </w:r>
      <w:r w:rsidRPr="00EF6772">
        <w:rPr>
          <w:rStyle w:val="Appelnotedebasdep"/>
          <w:sz w:val="20"/>
          <w:vertAlign w:val="baseline"/>
        </w:rPr>
        <w:t>**</w:t>
      </w:r>
      <w:r w:rsidRPr="00EF6772">
        <w:rPr>
          <w:rStyle w:val="Appelnotedebasdep"/>
          <w:sz w:val="20"/>
          <w:vertAlign w:val="baseline"/>
        </w:rPr>
        <w:tab/>
      </w:r>
      <w:r w:rsidRPr="003904EB">
        <w:t>Les membres du Comité</w:t>
      </w:r>
      <w:r>
        <w:t xml:space="preserve"> dont le nom suit ont participé à l’examen de la communication :</w:t>
      </w:r>
      <w:r w:rsidRPr="003904EB">
        <w:t xml:space="preserve"> Tania María Abdo Rocholl, Yadh Ben Achour, Ilze Brands Kehris, Ahmed Amin Fathalla, Olivier de Frouville, Christof Heyns, Yuji Iwasawa, Bamariam Koita, Marcia V.</w:t>
      </w:r>
      <w:r w:rsidR="00BB2B28">
        <w:t xml:space="preserve"> </w:t>
      </w:r>
      <w:r w:rsidRPr="003904EB">
        <w:t xml:space="preserve">J. Kran, Duncan Laki Muhumuza, Photini </w:t>
      </w:r>
      <w:r w:rsidRPr="00744464">
        <w:rPr>
          <w:spacing w:val="-2"/>
        </w:rPr>
        <w:t>Pazartzis, Mauro</w:t>
      </w:r>
      <w:r w:rsidR="00F52D13" w:rsidRPr="00744464">
        <w:rPr>
          <w:spacing w:val="-2"/>
        </w:rPr>
        <w:t xml:space="preserve"> </w:t>
      </w:r>
      <w:r w:rsidRPr="00744464">
        <w:rPr>
          <w:spacing w:val="-2"/>
        </w:rPr>
        <w:t>Politi, José Manuel Santos Pais, Anja</w:t>
      </w:r>
      <w:r w:rsidR="00F52D13" w:rsidRPr="00744464">
        <w:rPr>
          <w:spacing w:val="-2"/>
        </w:rPr>
        <w:t xml:space="preserve"> </w:t>
      </w:r>
      <w:r w:rsidRPr="00744464">
        <w:rPr>
          <w:spacing w:val="-2"/>
        </w:rPr>
        <w:t>Seibert-Fohr, Yuval Shany et Margo Waterval.</w:t>
      </w:r>
    </w:p>
  </w:footnote>
  <w:footnote w:id="4">
    <w:p w:rsidR="00EA5BC0" w:rsidRPr="0065364C" w:rsidRDefault="00EA5BC0" w:rsidP="00EA5BC0">
      <w:pPr>
        <w:pStyle w:val="Notedebasdepage"/>
      </w:pPr>
      <w:r>
        <w:rPr>
          <w:lang w:val="fr-FR"/>
        </w:rPr>
        <w:tab/>
      </w:r>
      <w:r w:rsidRPr="00870218">
        <w:rPr>
          <w:rStyle w:val="Appelnotedebasdep"/>
        </w:rPr>
        <w:footnoteRef/>
      </w:r>
      <w:r>
        <w:rPr>
          <w:lang w:val="fr-FR"/>
        </w:rPr>
        <w:tab/>
        <w:t>D’après les déclarations qu’elle a faites aux autorités danoises, l’auteure avait rompu le contact avec les membres de sa famille de peur qu’ils n’aient honte d’elle</w:t>
      </w:r>
      <w:r w:rsidRPr="0065364C">
        <w:rPr>
          <w:lang w:val="fr-FR"/>
        </w:rPr>
        <w:t xml:space="preserve">, </w:t>
      </w:r>
      <w:r w:rsidRPr="003904EB">
        <w:rPr>
          <w:lang w:val="fr-FR"/>
        </w:rPr>
        <w:t>mais</w:t>
      </w:r>
      <w:r w:rsidRPr="0065364C">
        <w:rPr>
          <w:lang w:val="fr-FR"/>
        </w:rPr>
        <w:t xml:space="preserve"> s’est rapprochée d’eux après son opération, en 2007.</w:t>
      </w:r>
    </w:p>
  </w:footnote>
  <w:footnote w:id="5">
    <w:p w:rsidR="00EA5BC0" w:rsidRPr="0065364C" w:rsidRDefault="00EA5BC0" w:rsidP="00EA5BC0">
      <w:pPr>
        <w:pStyle w:val="Notedebasdepage"/>
        <w:rPr>
          <w:lang w:val="fr-FR"/>
        </w:rPr>
      </w:pPr>
      <w:r w:rsidRPr="0065364C">
        <w:rPr>
          <w:lang w:val="fr-FR"/>
        </w:rPr>
        <w:tab/>
      </w:r>
      <w:r w:rsidRPr="00870218">
        <w:rPr>
          <w:rStyle w:val="Appelnotedebasdep"/>
        </w:rPr>
        <w:footnoteRef/>
      </w:r>
      <w:r w:rsidRPr="0065364C">
        <w:rPr>
          <w:lang w:val="fr-FR"/>
        </w:rPr>
        <w:tab/>
        <w:t>Au cours des entretiens menés par le Service danois de l’immigration, l’auteure a déclaré qu’</w:t>
      </w:r>
      <w:r>
        <w:rPr>
          <w:lang w:val="fr-FR"/>
        </w:rPr>
        <w:t xml:space="preserve">entre 2001 et 2012, </w:t>
      </w:r>
      <w:r w:rsidRPr="0065364C">
        <w:rPr>
          <w:lang w:val="fr-FR"/>
        </w:rPr>
        <w:t xml:space="preserve">la police malaisienne </w:t>
      </w:r>
      <w:r>
        <w:rPr>
          <w:lang w:val="fr-FR"/>
        </w:rPr>
        <w:t>l’</w:t>
      </w:r>
      <w:r w:rsidRPr="0065364C">
        <w:rPr>
          <w:lang w:val="fr-FR"/>
        </w:rPr>
        <w:t xml:space="preserve">avait arrêtée dans la rue </w:t>
      </w:r>
      <w:r>
        <w:rPr>
          <w:lang w:val="fr-FR"/>
        </w:rPr>
        <w:t xml:space="preserve">de </w:t>
      </w:r>
      <w:r w:rsidRPr="0065364C">
        <w:rPr>
          <w:lang w:val="fr-FR"/>
        </w:rPr>
        <w:t>20 à 30</w:t>
      </w:r>
      <w:r w:rsidR="00F52D13">
        <w:rPr>
          <w:lang w:val="fr-FR"/>
        </w:rPr>
        <w:t xml:space="preserve"> </w:t>
      </w:r>
      <w:r w:rsidRPr="0065364C">
        <w:rPr>
          <w:lang w:val="fr-FR"/>
        </w:rPr>
        <w:t>fois</w:t>
      </w:r>
      <w:r>
        <w:rPr>
          <w:lang w:val="fr-FR"/>
        </w:rPr>
        <w:t xml:space="preserve"> </w:t>
      </w:r>
      <w:r w:rsidRPr="0065364C">
        <w:rPr>
          <w:lang w:val="fr-FR"/>
        </w:rPr>
        <w:t>pour des contrôles d’identité.</w:t>
      </w:r>
    </w:p>
  </w:footnote>
  <w:footnote w:id="6">
    <w:p w:rsidR="00EA5BC0" w:rsidRDefault="00EA5BC0" w:rsidP="00EA5BC0">
      <w:pPr>
        <w:pStyle w:val="Notedebasdepage"/>
        <w:rPr>
          <w:lang w:val="fr-FR"/>
        </w:rPr>
      </w:pPr>
      <w:r w:rsidRPr="0065364C">
        <w:rPr>
          <w:lang w:val="fr-FR"/>
        </w:rPr>
        <w:tab/>
      </w:r>
      <w:r w:rsidRPr="00870218">
        <w:rPr>
          <w:rStyle w:val="Appelnotedebasdep"/>
        </w:rPr>
        <w:footnoteRef/>
      </w:r>
      <w:r w:rsidRPr="0065364C">
        <w:rPr>
          <w:lang w:val="fr-FR"/>
        </w:rPr>
        <w:tab/>
        <w:t>Dans sa communication au Comité, l’auteure a déclaré avoir été détenue dans un bureau appartenant au Département des affaires islamiques</w:t>
      </w:r>
      <w:r w:rsidRPr="0065364C" w:rsidDel="005E2695">
        <w:rPr>
          <w:lang w:val="fr-FR"/>
        </w:rPr>
        <w:t xml:space="preserve"> </w:t>
      </w:r>
      <w:r>
        <w:rPr>
          <w:lang w:val="fr-FR"/>
        </w:rPr>
        <w:t>en avril 2012, alors qu’elle avait indiqué lors de la procédure menée devant les autorités danoises que cet événement s’était produit le 13 décembre 2012.</w:t>
      </w:r>
    </w:p>
  </w:footnote>
  <w:footnote w:id="7">
    <w:p w:rsidR="00EA5BC0" w:rsidRDefault="00EA5BC0" w:rsidP="00EA5BC0">
      <w:pPr>
        <w:pStyle w:val="Notedebasdepage"/>
        <w:rPr>
          <w:lang w:val="fr-FR"/>
        </w:rPr>
      </w:pPr>
      <w:r>
        <w:tab/>
      </w:r>
      <w:r w:rsidRPr="00870218">
        <w:rPr>
          <w:rStyle w:val="Appelnotedebasdep"/>
        </w:rPr>
        <w:footnoteRef/>
      </w:r>
      <w:r>
        <w:tab/>
      </w:r>
      <w:r>
        <w:rPr>
          <w:lang w:val="fr-FR"/>
        </w:rPr>
        <w:t>Selon les déclarations que l’auteure a faites aux autorités danoises, elle se serait rendue à Amsterdam le 24 janvier 2014 et, de là, au Danemark.</w:t>
      </w:r>
    </w:p>
  </w:footnote>
  <w:footnote w:id="8">
    <w:p w:rsidR="00EA5BC0" w:rsidRDefault="00EA5BC0" w:rsidP="00EA5BC0">
      <w:pPr>
        <w:pStyle w:val="Notedebasdepage"/>
        <w:rPr>
          <w:lang w:val="fr-FR"/>
        </w:rPr>
      </w:pPr>
      <w:r>
        <w:rPr>
          <w:lang w:val="fr-FR"/>
        </w:rPr>
        <w:tab/>
      </w:r>
      <w:r w:rsidRPr="00870218">
        <w:rPr>
          <w:rStyle w:val="Appelnotedebasdep"/>
        </w:rPr>
        <w:footnoteRef/>
      </w:r>
      <w:r>
        <w:rPr>
          <w:lang w:val="fr-FR"/>
        </w:rPr>
        <w:tab/>
        <w:t>Voir la note </w:t>
      </w:r>
      <w:r w:rsidR="0059110B">
        <w:rPr>
          <w:lang w:val="fr-FR"/>
        </w:rPr>
        <w:t>3</w:t>
      </w:r>
      <w:r>
        <w:rPr>
          <w:lang w:val="fr-FR"/>
        </w:rPr>
        <w:t xml:space="preserve">, </w:t>
      </w:r>
      <w:r>
        <w:rPr>
          <w:i/>
          <w:lang w:val="fr-FR"/>
        </w:rPr>
        <w:t>supra</w:t>
      </w:r>
      <w:r>
        <w:rPr>
          <w:lang w:val="fr-FR"/>
        </w:rPr>
        <w:t>.</w:t>
      </w:r>
    </w:p>
  </w:footnote>
  <w:footnote w:id="9">
    <w:p w:rsidR="00EA5BC0" w:rsidRDefault="00EA5BC0" w:rsidP="00EA5BC0">
      <w:pPr>
        <w:pStyle w:val="Notedebasdepage"/>
        <w:rPr>
          <w:lang w:val="fr-FR"/>
        </w:rPr>
      </w:pPr>
      <w:r>
        <w:tab/>
      </w:r>
      <w:r w:rsidRPr="00870218">
        <w:rPr>
          <w:rStyle w:val="Appelnotedebasdep"/>
        </w:rPr>
        <w:footnoteRef/>
      </w:r>
      <w:r>
        <w:tab/>
      </w:r>
      <w:r>
        <w:rPr>
          <w:lang w:val="fr-FR"/>
        </w:rPr>
        <w:t>L’auteure a fourni au Comité une liste de règles de la loi islamique qui incriminent les comportements liés à l’identité de genre en Malaisie. Selon cette liste, dans l’État de Malacca, le travestissement est passible d’une peine pouvant atteindre six mois d’emprisonnement.</w:t>
      </w:r>
    </w:p>
  </w:footnote>
  <w:footnote w:id="10">
    <w:p w:rsidR="00EA5BC0" w:rsidRDefault="00EA5BC0" w:rsidP="00EA5BC0">
      <w:pPr>
        <w:pStyle w:val="Notedebasdepage"/>
        <w:rPr>
          <w:lang w:val="fr-FR"/>
        </w:rPr>
      </w:pPr>
      <w:r>
        <w:tab/>
      </w:r>
      <w:r w:rsidRPr="00870218">
        <w:rPr>
          <w:rStyle w:val="Appelnotedebasdep"/>
        </w:rPr>
        <w:footnoteRef/>
      </w:r>
      <w:r>
        <w:tab/>
      </w:r>
      <w:r>
        <w:rPr>
          <w:lang w:val="fr-FR"/>
        </w:rPr>
        <w:t xml:space="preserve">Voir, à cet égard, la communication </w:t>
      </w:r>
      <w:r>
        <w:rPr>
          <w:rFonts w:eastAsia="MS Mincho"/>
          <w:lang w:val="fr-FR"/>
        </w:rPr>
        <w:t>n</w:t>
      </w:r>
      <w:r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 xml:space="preserve"> 2379/2014, </w:t>
      </w:r>
      <w:r>
        <w:rPr>
          <w:i/>
          <w:lang w:val="fr-FR"/>
        </w:rPr>
        <w:t xml:space="preserve">Hussein Ahmed </w:t>
      </w:r>
      <w:r>
        <w:rPr>
          <w:lang w:val="fr-FR"/>
        </w:rPr>
        <w:t>c</w:t>
      </w:r>
      <w:r>
        <w:rPr>
          <w:i/>
          <w:lang w:val="fr-FR"/>
        </w:rPr>
        <w:t>. Danemark</w:t>
      </w:r>
      <w:r>
        <w:rPr>
          <w:lang w:val="fr-FR"/>
        </w:rPr>
        <w:t>, constatations adoptées le 7 juillet 2016, par. 4.1 à 4.3.</w:t>
      </w:r>
    </w:p>
  </w:footnote>
  <w:footnote w:id="11">
    <w:p w:rsidR="00EA5BC0" w:rsidRDefault="00EA5BC0" w:rsidP="00EA5BC0">
      <w:pPr>
        <w:pStyle w:val="Notedebasdepage"/>
        <w:rPr>
          <w:lang w:val="fr-FR"/>
        </w:rPr>
      </w:pPr>
      <w:r>
        <w:tab/>
      </w:r>
      <w:r w:rsidRPr="00870218">
        <w:rPr>
          <w:rStyle w:val="Appelnotedebasdep"/>
        </w:rPr>
        <w:footnoteRef/>
      </w:r>
      <w:r>
        <w:tab/>
      </w:r>
      <w:r>
        <w:rPr>
          <w:lang w:val="fr-FR"/>
        </w:rPr>
        <w:t xml:space="preserve">L’État partie cite la jurisprudence de la Cour européenne des droits de l’homme telle qu’elle ressort des affaires suivantes : </w:t>
      </w:r>
      <w:r>
        <w:rPr>
          <w:i/>
          <w:lang w:val="fr-FR"/>
        </w:rPr>
        <w:t xml:space="preserve">Soering </w:t>
      </w:r>
      <w:r w:rsidRPr="00384EF6">
        <w:rPr>
          <w:lang w:val="fr-FR"/>
        </w:rPr>
        <w:t>c.</w:t>
      </w:r>
      <w:r>
        <w:rPr>
          <w:i/>
          <w:lang w:val="fr-FR"/>
        </w:rPr>
        <w:t> Royaume-Uni</w:t>
      </w:r>
      <w:r>
        <w:rPr>
          <w:lang w:val="fr-FR"/>
        </w:rPr>
        <w:t>, 7 juillet 1989, série</w:t>
      </w:r>
      <w:r w:rsidR="00F52D13">
        <w:rPr>
          <w:lang w:val="fr-FR"/>
        </w:rPr>
        <w:t xml:space="preserve"> </w:t>
      </w:r>
      <w:r>
        <w:rPr>
          <w:lang w:val="fr-FR"/>
        </w:rPr>
        <w:t>A</w:t>
      </w:r>
      <w:r w:rsidR="0059110B">
        <w:rPr>
          <w:lang w:val="fr-FR"/>
        </w:rPr>
        <w:t>,</w:t>
      </w:r>
      <w:r>
        <w:rPr>
          <w:lang w:val="fr-FR"/>
        </w:rPr>
        <w:t xml:space="preserve"> n</w:t>
      </w:r>
      <w:r w:rsidRPr="003904EB">
        <w:rPr>
          <w:vertAlign w:val="superscript"/>
          <w:lang w:val="fr-FR"/>
        </w:rPr>
        <w:t>o</w:t>
      </w:r>
      <w:r>
        <w:rPr>
          <w:lang w:val="fr-FR"/>
        </w:rPr>
        <w:t xml:space="preserve"> 161, par. 88 ; </w:t>
      </w:r>
      <w:r w:rsidRPr="007A7DC8">
        <w:rPr>
          <w:i/>
          <w:lang w:val="fr-FR"/>
        </w:rPr>
        <w:t>F. </w:t>
      </w:r>
      <w:r w:rsidRPr="007A7DC8">
        <w:rPr>
          <w:lang w:val="fr-FR"/>
        </w:rPr>
        <w:t>c. </w:t>
      </w:r>
      <w:r w:rsidRPr="007A7DC8">
        <w:rPr>
          <w:i/>
          <w:lang w:val="fr-FR"/>
        </w:rPr>
        <w:t>Royaume-Uni</w:t>
      </w:r>
      <w:r w:rsidRPr="007A7DC8">
        <w:rPr>
          <w:lang w:val="fr-FR"/>
        </w:rPr>
        <w:t xml:space="preserve"> (</w:t>
      </w:r>
      <w:r w:rsidRPr="003904EB">
        <w:rPr>
          <w:lang w:val="fr-FR"/>
        </w:rPr>
        <w:t xml:space="preserve">déc.), </w:t>
      </w:r>
      <w:r w:rsidRPr="007A7DC8">
        <w:rPr>
          <w:rFonts w:eastAsia="MS Mincho"/>
          <w:lang w:val="fr-FR"/>
        </w:rPr>
        <w:t>n</w:t>
      </w:r>
      <w:r w:rsidRPr="007A7DC8">
        <w:rPr>
          <w:rFonts w:eastAsia="MS Mincho"/>
          <w:vertAlign w:val="superscript"/>
          <w:lang w:val="fr-FR"/>
        </w:rPr>
        <w:t>o</w:t>
      </w:r>
      <w:r w:rsidRPr="007A7DC8">
        <w:rPr>
          <w:lang w:val="fr-FR"/>
        </w:rPr>
        <w:t> 17341/03, décision du 22 juin 2004</w:t>
      </w:r>
      <w:r w:rsidR="00F52D13">
        <w:rPr>
          <w:lang w:val="fr-FR"/>
        </w:rPr>
        <w:t> ;</w:t>
      </w:r>
      <w:r w:rsidRPr="007A7DC8">
        <w:rPr>
          <w:lang w:val="fr-FR"/>
        </w:rPr>
        <w:t xml:space="preserve"> et </w:t>
      </w:r>
      <w:r w:rsidRPr="007A7DC8">
        <w:rPr>
          <w:i/>
          <w:lang w:val="fr-FR"/>
        </w:rPr>
        <w:t xml:space="preserve">Z. et T. </w:t>
      </w:r>
      <w:r w:rsidRPr="007A7DC8">
        <w:rPr>
          <w:lang w:val="fr-FR"/>
        </w:rPr>
        <w:t>c.</w:t>
      </w:r>
      <w:r w:rsidRPr="007A7DC8">
        <w:rPr>
          <w:i/>
          <w:lang w:val="fr-FR"/>
        </w:rPr>
        <w:t> Royaume-Uni</w:t>
      </w:r>
      <w:r w:rsidRPr="007A7DC8">
        <w:rPr>
          <w:lang w:val="fr-FR"/>
        </w:rPr>
        <w:t xml:space="preserve"> (</w:t>
      </w:r>
      <w:r w:rsidRPr="003904EB">
        <w:rPr>
          <w:lang w:val="fr-FR"/>
        </w:rPr>
        <w:t xml:space="preserve">déc.), </w:t>
      </w:r>
      <w:r w:rsidRPr="007A7DC8">
        <w:rPr>
          <w:rFonts w:eastAsia="MS Mincho"/>
          <w:lang w:val="fr-FR"/>
        </w:rPr>
        <w:t>n</w:t>
      </w:r>
      <w:r w:rsidRPr="007A7DC8">
        <w:rPr>
          <w:rFonts w:eastAsia="MS Mincho"/>
          <w:vertAlign w:val="superscript"/>
          <w:lang w:val="fr-FR"/>
        </w:rPr>
        <w:t>o</w:t>
      </w:r>
      <w:r w:rsidRPr="007A7DC8">
        <w:rPr>
          <w:lang w:val="fr-FR"/>
        </w:rPr>
        <w:t> </w:t>
      </w:r>
      <w:r w:rsidRPr="003904EB">
        <w:rPr>
          <w:lang w:val="fr-CA"/>
        </w:rPr>
        <w:t xml:space="preserve">27034/05, </w:t>
      </w:r>
      <w:r w:rsidRPr="007A7DC8">
        <w:rPr>
          <w:lang w:val="fr-CA"/>
        </w:rPr>
        <w:t>CEDH</w:t>
      </w:r>
      <w:r w:rsidRPr="003904EB">
        <w:rPr>
          <w:lang w:val="fr-CA"/>
        </w:rPr>
        <w:t xml:space="preserve"> 2006-III. </w:t>
      </w:r>
    </w:p>
  </w:footnote>
  <w:footnote w:id="12">
    <w:p w:rsidR="00EA5BC0" w:rsidRPr="00A50EDA" w:rsidRDefault="00EA5BC0" w:rsidP="00EA5BC0">
      <w:pPr>
        <w:pStyle w:val="Notedebasdepage"/>
        <w:rPr>
          <w:lang w:val="en-US"/>
        </w:rPr>
      </w:pPr>
      <w:r>
        <w:tab/>
      </w:r>
      <w:r w:rsidRPr="00870218">
        <w:rPr>
          <w:rStyle w:val="Appelnotedebasdep"/>
        </w:rPr>
        <w:footnoteRef/>
      </w:r>
      <w:r w:rsidRPr="00694377">
        <w:rPr>
          <w:lang w:val="en-US"/>
        </w:rPr>
        <w:tab/>
      </w:r>
      <w:r>
        <w:rPr>
          <w:lang w:val="en-GB"/>
        </w:rPr>
        <w:t xml:space="preserve">Human Rights Watch : </w:t>
      </w:r>
      <w:r w:rsidRPr="0059110B">
        <w:rPr>
          <w:i/>
          <w:lang w:val="en-GB"/>
        </w:rPr>
        <w:t>World Report 2016</w:t>
      </w:r>
      <w:r>
        <w:rPr>
          <w:lang w:val="en-GB"/>
        </w:rPr>
        <w:t xml:space="preserve"> (New York, 2016), p. 393 et 394.</w:t>
      </w:r>
    </w:p>
  </w:footnote>
  <w:footnote w:id="13">
    <w:p w:rsidR="00EA5BC0" w:rsidRDefault="00EA5BC0" w:rsidP="00EA5BC0">
      <w:pPr>
        <w:pStyle w:val="Notedebasdepage"/>
        <w:rPr>
          <w:lang w:val="fr-FR"/>
        </w:rPr>
      </w:pPr>
      <w:r w:rsidRPr="003904EB">
        <w:rPr>
          <w:lang w:val="en-US"/>
        </w:rPr>
        <w:tab/>
      </w:r>
      <w:r w:rsidRPr="00870218">
        <w:rPr>
          <w:rStyle w:val="Appelnotedebasdep"/>
        </w:rPr>
        <w:footnoteRef/>
      </w:r>
      <w:r>
        <w:tab/>
      </w:r>
      <w:r>
        <w:rPr>
          <w:lang w:val="fr-FR"/>
        </w:rPr>
        <w:t>Département d’État des États-Unis, « Country reports on human rights practices for 2014 − Malaysia », 25 juin 2015.</w:t>
      </w:r>
    </w:p>
  </w:footnote>
  <w:footnote w:id="14">
    <w:p w:rsidR="00EA5BC0" w:rsidRDefault="00EA5BC0" w:rsidP="00EA5BC0">
      <w:pPr>
        <w:pStyle w:val="Notedebasdepage"/>
        <w:rPr>
          <w:lang w:val="fr-FR"/>
        </w:rPr>
      </w:pPr>
      <w:r>
        <w:rPr>
          <w:lang w:val="fr-FR"/>
        </w:rPr>
        <w:tab/>
      </w:r>
      <w:r w:rsidRPr="00870218">
        <w:rPr>
          <w:rStyle w:val="Appelnotedebasdep"/>
        </w:rPr>
        <w:footnoteRef/>
      </w:r>
      <w:r>
        <w:rPr>
          <w:lang w:val="fr-FR"/>
        </w:rPr>
        <w:tab/>
        <w:t>Voir, notamment</w:t>
      </w:r>
      <w:r>
        <w:rPr>
          <w:i/>
          <w:lang w:val="fr-FR"/>
        </w:rPr>
        <w:t>,</w:t>
      </w:r>
      <w:r>
        <w:rPr>
          <w:lang w:val="fr-FR"/>
        </w:rPr>
        <w:t xml:space="preserve"> les communications </w:t>
      </w:r>
      <w:r>
        <w:rPr>
          <w:rFonts w:eastAsia="MS Mincho"/>
          <w:lang w:val="fr-FR"/>
        </w:rPr>
        <w:t>n</w:t>
      </w:r>
      <w:r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 xml:space="preserve"> 2007/2010, </w:t>
      </w:r>
      <w:r>
        <w:rPr>
          <w:i/>
          <w:lang w:val="fr-FR"/>
        </w:rPr>
        <w:t xml:space="preserve">X </w:t>
      </w:r>
      <w:r>
        <w:rPr>
          <w:lang w:val="fr-FR"/>
        </w:rPr>
        <w:t>c</w:t>
      </w:r>
      <w:r>
        <w:rPr>
          <w:i/>
          <w:lang w:val="fr-FR"/>
        </w:rPr>
        <w:t>. Danemark</w:t>
      </w:r>
      <w:r>
        <w:rPr>
          <w:lang w:val="fr-FR"/>
        </w:rPr>
        <w:t xml:space="preserve">, constatations adoptées le 26 mars 2014, par. 9.2 ; </w:t>
      </w:r>
      <w:r>
        <w:rPr>
          <w:rFonts w:eastAsia="MS Mincho"/>
          <w:lang w:val="fr-FR"/>
        </w:rPr>
        <w:t>n</w:t>
      </w:r>
      <w:r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 xml:space="preserve"> 692/1996, </w:t>
      </w:r>
      <w:r>
        <w:rPr>
          <w:i/>
          <w:iCs/>
          <w:lang w:val="fr-FR"/>
        </w:rPr>
        <w:t xml:space="preserve">A. R. J. </w:t>
      </w:r>
      <w:r>
        <w:rPr>
          <w:iCs/>
          <w:lang w:val="fr-FR"/>
        </w:rPr>
        <w:t>c</w:t>
      </w:r>
      <w:r>
        <w:rPr>
          <w:i/>
          <w:iCs/>
          <w:lang w:val="fr-FR"/>
        </w:rPr>
        <w:t xml:space="preserve">. Australie, </w:t>
      </w:r>
      <w:r>
        <w:rPr>
          <w:lang w:val="fr-FR"/>
        </w:rPr>
        <w:t xml:space="preserve">constatations adoptées le 28 juillet 1997, par. 6.6 ; </w:t>
      </w:r>
      <w:r>
        <w:rPr>
          <w:rFonts w:eastAsia="MS Mincho"/>
          <w:lang w:val="fr-FR"/>
        </w:rPr>
        <w:t>n</w:t>
      </w:r>
      <w:r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1833/2008</w:t>
      </w:r>
      <w:r>
        <w:rPr>
          <w:i/>
          <w:lang w:val="fr-FR"/>
        </w:rPr>
        <w:t xml:space="preserve">, X. </w:t>
      </w:r>
      <w:r>
        <w:rPr>
          <w:lang w:val="fr-FR"/>
        </w:rPr>
        <w:t>c</w:t>
      </w:r>
      <w:r>
        <w:rPr>
          <w:i/>
          <w:lang w:val="fr-FR"/>
        </w:rPr>
        <w:t>. Suède</w:t>
      </w:r>
      <w:r>
        <w:rPr>
          <w:lang w:val="fr-FR"/>
        </w:rPr>
        <w:t>, constatations adoptées le 1</w:t>
      </w:r>
      <w:r>
        <w:rPr>
          <w:vertAlign w:val="superscript"/>
          <w:lang w:val="fr-FR"/>
        </w:rPr>
        <w:t>er</w:t>
      </w:r>
      <w:r>
        <w:rPr>
          <w:lang w:val="fr-FR"/>
        </w:rPr>
        <w:t> novembre 2011, par. 5.18.</w:t>
      </w:r>
    </w:p>
  </w:footnote>
  <w:footnote w:id="15">
    <w:p w:rsidR="00EA5BC0" w:rsidRDefault="00EA5BC0" w:rsidP="00EA5BC0">
      <w:pPr>
        <w:pStyle w:val="Notedebasdepage"/>
        <w:rPr>
          <w:lang w:val="fr-FR"/>
        </w:rPr>
      </w:pPr>
      <w:r>
        <w:rPr>
          <w:lang w:val="fr-FR"/>
        </w:rPr>
        <w:tab/>
      </w:r>
      <w:r w:rsidRPr="00870218">
        <w:rPr>
          <w:rStyle w:val="Appelnotedebasdep"/>
        </w:rPr>
        <w:footnoteRef/>
      </w:r>
      <w:r>
        <w:rPr>
          <w:lang w:val="fr-FR"/>
        </w:rPr>
        <w:tab/>
        <w:t xml:space="preserve">Voir communication </w:t>
      </w:r>
      <w:r>
        <w:rPr>
          <w:rFonts w:eastAsia="MS Mincho"/>
          <w:lang w:val="fr-FR"/>
        </w:rPr>
        <w:t>n</w:t>
      </w:r>
      <w:r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 xml:space="preserve"> 1957/2010, </w:t>
      </w:r>
      <w:r>
        <w:rPr>
          <w:i/>
          <w:lang w:val="fr-FR"/>
        </w:rPr>
        <w:t>Z.</w:t>
      </w:r>
      <w:r w:rsidR="00964860">
        <w:rPr>
          <w:i/>
          <w:lang w:val="fr-FR"/>
        </w:rPr>
        <w:t xml:space="preserve"> </w:t>
      </w:r>
      <w:r>
        <w:rPr>
          <w:i/>
          <w:lang w:val="fr-FR"/>
        </w:rPr>
        <w:t xml:space="preserve">H. </w:t>
      </w:r>
      <w:r>
        <w:rPr>
          <w:iCs/>
          <w:lang w:val="fr-FR"/>
        </w:rPr>
        <w:t>c.</w:t>
      </w:r>
      <w:r>
        <w:rPr>
          <w:i/>
          <w:lang w:val="fr-FR"/>
        </w:rPr>
        <w:t xml:space="preserve"> Australie</w:t>
      </w:r>
      <w:r>
        <w:rPr>
          <w:lang w:val="fr-FR"/>
        </w:rPr>
        <w:t>, constatations adoptées le 21 mars 2013, par.</w:t>
      </w:r>
      <w:r w:rsidRPr="00694377">
        <w:rPr>
          <w:lang w:val="fr-CA"/>
        </w:rPr>
        <w:t> </w:t>
      </w:r>
      <w:r>
        <w:rPr>
          <w:lang w:val="fr-FR"/>
        </w:rPr>
        <w:t>9.3.</w:t>
      </w:r>
    </w:p>
  </w:footnote>
  <w:footnote w:id="16">
    <w:p w:rsidR="00EA5BC0" w:rsidRDefault="00EA5BC0" w:rsidP="00EA5BC0">
      <w:pPr>
        <w:pStyle w:val="Notedebasdepage"/>
        <w:rPr>
          <w:lang w:val="fr-FR"/>
        </w:rPr>
      </w:pPr>
      <w:r>
        <w:rPr>
          <w:lang w:val="fr-FR"/>
        </w:rPr>
        <w:tab/>
      </w:r>
      <w:r w:rsidRPr="00870218">
        <w:rPr>
          <w:rStyle w:val="Appelnotedebasdep"/>
        </w:rPr>
        <w:footnoteRef/>
      </w:r>
      <w:r>
        <w:rPr>
          <w:lang w:val="fr-FR"/>
        </w:rPr>
        <w:tab/>
        <w:t>I</w:t>
      </w:r>
      <w:r>
        <w:rPr>
          <w:iCs/>
          <w:lang w:val="fr-FR"/>
        </w:rPr>
        <w:t>bid.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506" w:rsidRPr="00C85506" w:rsidRDefault="00C85506">
    <w:pPr>
      <w:pStyle w:val="En-tte"/>
    </w:pPr>
    <w:fldSimple w:instr=" TITLE  \* MERGEFORMAT ">
      <w:r w:rsidR="00366EE4">
        <w:t>CCPR/C/119/D/2593/2015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506" w:rsidRPr="00C85506" w:rsidRDefault="00C85506" w:rsidP="00C85506">
    <w:pPr>
      <w:pStyle w:val="En-tte"/>
      <w:jc w:val="right"/>
    </w:pPr>
    <w:fldSimple w:instr=" TITLE  \* MERGEFORMAT ">
      <w:r w:rsidR="00366EE4">
        <w:t>CCPR/C/119/D/2593/2015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7D08229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5C8CEEB6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64428C8C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isplayBackgroundShape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5A"/>
    <w:rsid w:val="00017F94"/>
    <w:rsid w:val="00023842"/>
    <w:rsid w:val="000334F9"/>
    <w:rsid w:val="0007796D"/>
    <w:rsid w:val="000B7790"/>
    <w:rsid w:val="000C1BE0"/>
    <w:rsid w:val="000C2225"/>
    <w:rsid w:val="00111F2F"/>
    <w:rsid w:val="0014365E"/>
    <w:rsid w:val="00176178"/>
    <w:rsid w:val="001B379B"/>
    <w:rsid w:val="001F525A"/>
    <w:rsid w:val="00223272"/>
    <w:rsid w:val="0024779E"/>
    <w:rsid w:val="002B7BC7"/>
    <w:rsid w:val="002E2D46"/>
    <w:rsid w:val="0032225A"/>
    <w:rsid w:val="003402F1"/>
    <w:rsid w:val="00351332"/>
    <w:rsid w:val="00366EE4"/>
    <w:rsid w:val="003A6E96"/>
    <w:rsid w:val="00446FE5"/>
    <w:rsid w:val="00452396"/>
    <w:rsid w:val="00546593"/>
    <w:rsid w:val="005505B7"/>
    <w:rsid w:val="00573BE5"/>
    <w:rsid w:val="00586ED3"/>
    <w:rsid w:val="0059110B"/>
    <w:rsid w:val="00596AA9"/>
    <w:rsid w:val="005C295A"/>
    <w:rsid w:val="006F7144"/>
    <w:rsid w:val="006F71EA"/>
    <w:rsid w:val="0071601D"/>
    <w:rsid w:val="00744464"/>
    <w:rsid w:val="00793E85"/>
    <w:rsid w:val="007A611C"/>
    <w:rsid w:val="007A62E6"/>
    <w:rsid w:val="007E2032"/>
    <w:rsid w:val="0080684C"/>
    <w:rsid w:val="008560DB"/>
    <w:rsid w:val="00871C75"/>
    <w:rsid w:val="008776DC"/>
    <w:rsid w:val="00964860"/>
    <w:rsid w:val="009705C8"/>
    <w:rsid w:val="009B1E6C"/>
    <w:rsid w:val="009E2C6A"/>
    <w:rsid w:val="00A6293C"/>
    <w:rsid w:val="00A65B4F"/>
    <w:rsid w:val="00A9151D"/>
    <w:rsid w:val="00AA6A35"/>
    <w:rsid w:val="00AC3823"/>
    <w:rsid w:val="00AE323C"/>
    <w:rsid w:val="00B00181"/>
    <w:rsid w:val="00B765F7"/>
    <w:rsid w:val="00BA0CA9"/>
    <w:rsid w:val="00BB2B28"/>
    <w:rsid w:val="00C01ACF"/>
    <w:rsid w:val="00C02897"/>
    <w:rsid w:val="00C16668"/>
    <w:rsid w:val="00C51190"/>
    <w:rsid w:val="00C85506"/>
    <w:rsid w:val="00CA7BC4"/>
    <w:rsid w:val="00D05667"/>
    <w:rsid w:val="00D3439C"/>
    <w:rsid w:val="00D744E5"/>
    <w:rsid w:val="00D83177"/>
    <w:rsid w:val="00DB1831"/>
    <w:rsid w:val="00DD3BFD"/>
    <w:rsid w:val="00DF6678"/>
    <w:rsid w:val="00E85C42"/>
    <w:rsid w:val="00EA5BC0"/>
    <w:rsid w:val="00EC30D5"/>
    <w:rsid w:val="00EE1BD4"/>
    <w:rsid w:val="00F12152"/>
    <w:rsid w:val="00F52D13"/>
    <w:rsid w:val="00F660DF"/>
    <w:rsid w:val="00F95C08"/>
    <w:rsid w:val="00FD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9714A7"/>
  <w15:docId w15:val="{23035DCB-C66A-4DC5-AB5A-EE225411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744E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D744E5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A9151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93E85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93E85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93E85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93E85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93E85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93E85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93E85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D744E5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D744E5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D744E5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D744E5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D744E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744E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744E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D744E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D744E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D744E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744E5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744E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744E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744E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744E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D744E5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D744E5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744E5"/>
    <w:pPr>
      <w:numPr>
        <w:numId w:val="19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ftref,BVI fnr,16 Point,Superscript 6 Point,Footnote,Footnote symbol,Footnote Refernece,Texto de nota al pie,Fußnotenzeichen_Raxen,Footnote number,Footnotes refss,Style 10,referencia nota al pie,Footnote text,4_Footnote text"/>
    <w:basedOn w:val="Policepardfaut"/>
    <w:qFormat/>
    <w:rsid w:val="00D744E5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D744E5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D744E5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D744E5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D744E5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D744E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D744E5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D744E5"/>
  </w:style>
  <w:style w:type="character" w:customStyle="1" w:styleId="NotedefinCar">
    <w:name w:val="Note de fin Car"/>
    <w:aliases w:val="2_G Car"/>
    <w:basedOn w:val="Policepardfaut"/>
    <w:link w:val="Notedefin"/>
    <w:rsid w:val="00D744E5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D744E5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D744E5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A915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3E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E85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793E8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93E85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93E85"/>
    <w:rPr>
      <w:rFonts w:ascii="Times New Roman" w:eastAsiaTheme="minorHAnsi" w:hAnsi="Times New Roman" w:cs="Times New Roman"/>
      <w:b/>
      <w:sz w:val="20"/>
      <w:szCs w:val="20"/>
      <w:lang w:eastAsia="en-US"/>
    </w:rPr>
  </w:style>
  <w:style w:type="character" w:customStyle="1" w:styleId="SingleTxtGChar">
    <w:name w:val="_ Single Txt_G Char"/>
    <w:link w:val="SingleTxtG"/>
    <w:rsid w:val="00EA5BC0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15F88-71F6-4057-9B1E-7FA9E240D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7</Pages>
  <Words>3888</Words>
  <Characters>22784</Characters>
  <Application>Microsoft Office Word</Application>
  <DocSecurity>0</DocSecurity>
  <Lines>2071</Lines>
  <Paragraphs>889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CCPR/C/119/D/2593/2015</vt:lpstr>
    </vt:vector>
  </TitlesOfParts>
  <Company>DCM</Company>
  <LinksUpToDate>false</LinksUpToDate>
  <CharactersWithSpaces>25783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CCPR/C/119/D/2593/2015</dc:title>
  <dc:subject/>
  <dc:creator>Pascale BEYSARD</dc:creator>
  <cp:keywords/>
  <cp:lastModifiedBy>Pascale Beysard</cp:lastModifiedBy>
  <cp:revision>3</cp:revision>
  <cp:lastPrinted>2018-11-06T13:35:00Z</cp:lastPrinted>
  <dcterms:created xsi:type="dcterms:W3CDTF">2018-11-06T13:35:00Z</dcterms:created>
  <dcterms:modified xsi:type="dcterms:W3CDTF">2018-11-06T13:38:00Z</dcterms:modified>
</cp:coreProperties>
</file>