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73631" w:rsidRPr="0063439D" w:rsidTr="00A73631">
        <w:trPr>
          <w:trHeight w:hRule="exact" w:val="851"/>
        </w:trPr>
        <w:tc>
          <w:tcPr>
            <w:tcW w:w="1276" w:type="dxa"/>
            <w:tcBorders>
              <w:bottom w:val="single" w:sz="4" w:space="0" w:color="auto"/>
            </w:tcBorders>
          </w:tcPr>
          <w:p w:rsidR="00A73631" w:rsidRPr="0063439D" w:rsidRDefault="00A73631" w:rsidP="00A73631"/>
        </w:tc>
        <w:tc>
          <w:tcPr>
            <w:tcW w:w="2268" w:type="dxa"/>
            <w:tcBorders>
              <w:bottom w:val="single" w:sz="4" w:space="0" w:color="auto"/>
            </w:tcBorders>
            <w:vAlign w:val="bottom"/>
          </w:tcPr>
          <w:p w:rsidR="00A73631" w:rsidRPr="0063439D" w:rsidRDefault="00A73631" w:rsidP="00A73631">
            <w:pPr>
              <w:spacing w:after="80" w:line="300" w:lineRule="exact"/>
              <w:rPr>
                <w:sz w:val="28"/>
              </w:rPr>
            </w:pPr>
            <w:r w:rsidRPr="0063439D">
              <w:rPr>
                <w:sz w:val="28"/>
              </w:rPr>
              <w:t>Nations Unies</w:t>
            </w:r>
          </w:p>
        </w:tc>
        <w:tc>
          <w:tcPr>
            <w:tcW w:w="6095" w:type="dxa"/>
            <w:gridSpan w:val="2"/>
            <w:tcBorders>
              <w:bottom w:val="single" w:sz="4" w:space="0" w:color="auto"/>
            </w:tcBorders>
            <w:vAlign w:val="bottom"/>
          </w:tcPr>
          <w:p w:rsidR="00A73631" w:rsidRPr="0063439D" w:rsidRDefault="00B1608C" w:rsidP="00B1608C">
            <w:pPr>
              <w:jc w:val="right"/>
            </w:pPr>
            <w:r w:rsidRPr="00B1608C">
              <w:rPr>
                <w:sz w:val="40"/>
              </w:rPr>
              <w:t>CCPR</w:t>
            </w:r>
            <w:r>
              <w:t>/C/112/D/2137/2012</w:t>
            </w:r>
          </w:p>
        </w:tc>
      </w:tr>
      <w:tr w:rsidR="00A73631" w:rsidRPr="0063439D" w:rsidTr="00A73631">
        <w:trPr>
          <w:trHeight w:hRule="exact" w:val="2835"/>
        </w:trPr>
        <w:tc>
          <w:tcPr>
            <w:tcW w:w="1276" w:type="dxa"/>
            <w:tcBorders>
              <w:top w:val="single" w:sz="4" w:space="0" w:color="auto"/>
              <w:bottom w:val="single" w:sz="12" w:space="0" w:color="auto"/>
            </w:tcBorders>
          </w:tcPr>
          <w:p w:rsidR="00A73631" w:rsidRPr="0063439D" w:rsidRDefault="00A73631" w:rsidP="00A73631">
            <w:pPr>
              <w:spacing w:before="120"/>
              <w:jc w:val="center"/>
            </w:pPr>
            <w:r w:rsidRPr="0063439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73631" w:rsidRPr="0063439D" w:rsidRDefault="00A73631" w:rsidP="00A73631">
            <w:pPr>
              <w:spacing w:before="120" w:line="380" w:lineRule="exact"/>
              <w:rPr>
                <w:b/>
                <w:sz w:val="34"/>
                <w:szCs w:val="34"/>
              </w:rPr>
            </w:pPr>
            <w:r w:rsidRPr="0063439D">
              <w:rPr>
                <w:b/>
                <w:sz w:val="34"/>
                <w:szCs w:val="34"/>
              </w:rPr>
              <w:t>Pacte international relatif</w:t>
            </w:r>
            <w:r w:rsidRPr="0063439D">
              <w:rPr>
                <w:b/>
                <w:sz w:val="34"/>
                <w:szCs w:val="34"/>
              </w:rPr>
              <w:br/>
              <w:t>aux droits civils et politiques</w:t>
            </w:r>
          </w:p>
        </w:tc>
        <w:tc>
          <w:tcPr>
            <w:tcW w:w="2835" w:type="dxa"/>
            <w:tcBorders>
              <w:top w:val="single" w:sz="4" w:space="0" w:color="auto"/>
              <w:bottom w:val="single" w:sz="12" w:space="0" w:color="auto"/>
            </w:tcBorders>
          </w:tcPr>
          <w:p w:rsidR="00B1608C" w:rsidRDefault="00A73631" w:rsidP="00C93014">
            <w:pPr>
              <w:spacing w:before="240"/>
            </w:pPr>
            <w:proofErr w:type="spellStart"/>
            <w:r w:rsidRPr="0063439D">
              <w:t>Distr</w:t>
            </w:r>
            <w:proofErr w:type="spellEnd"/>
            <w:r w:rsidRPr="0063439D">
              <w:t xml:space="preserve">. </w:t>
            </w:r>
            <w:r w:rsidR="00DB3741" w:rsidRPr="0063439D">
              <w:t>générale</w:t>
            </w:r>
          </w:p>
          <w:p w:rsidR="00B1608C" w:rsidRDefault="002E2C05" w:rsidP="00B1608C">
            <w:pPr>
              <w:spacing w:line="240" w:lineRule="exact"/>
            </w:pPr>
            <w:r>
              <w:t>20</w:t>
            </w:r>
            <w:r w:rsidR="00B1608C">
              <w:t xml:space="preserve"> novembre 2014</w:t>
            </w:r>
          </w:p>
          <w:p w:rsidR="00B1608C" w:rsidRDefault="00B1608C" w:rsidP="00B1608C">
            <w:pPr>
              <w:spacing w:line="240" w:lineRule="exact"/>
            </w:pPr>
            <w:r>
              <w:t>Français</w:t>
            </w:r>
          </w:p>
          <w:p w:rsidR="00A73631" w:rsidRPr="0063439D" w:rsidRDefault="00B1608C" w:rsidP="00B1608C">
            <w:pPr>
              <w:spacing w:line="240" w:lineRule="exact"/>
            </w:pPr>
            <w:r>
              <w:t>Original: anglais</w:t>
            </w:r>
          </w:p>
        </w:tc>
      </w:tr>
    </w:tbl>
    <w:p w:rsidR="00642728" w:rsidRDefault="00642728" w:rsidP="00FD511F">
      <w:pPr>
        <w:spacing w:before="120" w:line="240" w:lineRule="exact"/>
        <w:rPr>
          <w:b/>
          <w:sz w:val="24"/>
          <w:szCs w:val="24"/>
        </w:rPr>
      </w:pPr>
      <w:r w:rsidRPr="0063439D">
        <w:rPr>
          <w:b/>
          <w:sz w:val="24"/>
          <w:szCs w:val="24"/>
        </w:rPr>
        <w:t>C</w:t>
      </w:r>
      <w:r w:rsidR="00FD511F" w:rsidRPr="0063439D">
        <w:rPr>
          <w:b/>
          <w:sz w:val="24"/>
          <w:szCs w:val="24"/>
        </w:rPr>
        <w:t>omité des droits de l</w:t>
      </w:r>
      <w:r w:rsidR="000A4C4D" w:rsidRPr="0063439D">
        <w:rPr>
          <w:b/>
          <w:sz w:val="24"/>
          <w:szCs w:val="24"/>
        </w:rPr>
        <w:t>’</w:t>
      </w:r>
      <w:r w:rsidR="00FD511F" w:rsidRPr="0063439D">
        <w:rPr>
          <w:b/>
          <w:sz w:val="24"/>
          <w:szCs w:val="24"/>
        </w:rPr>
        <w:t>homme</w:t>
      </w:r>
    </w:p>
    <w:p w:rsidR="00BA1175" w:rsidRPr="0063439D" w:rsidRDefault="00BA1175" w:rsidP="00BA1175">
      <w:pPr>
        <w:pStyle w:val="HChG"/>
      </w:pPr>
      <w:r w:rsidRPr="0063439D">
        <w:tab/>
      </w:r>
      <w:r w:rsidRPr="0063439D">
        <w:tab/>
        <w:t>Communication n</w:t>
      </w:r>
      <w:r w:rsidRPr="0063439D">
        <w:rPr>
          <w:vertAlign w:val="superscript"/>
        </w:rPr>
        <w:t>o</w:t>
      </w:r>
      <w:r w:rsidRPr="0063439D">
        <w:t> </w:t>
      </w:r>
      <w:r w:rsidR="0028227F" w:rsidRPr="0028227F">
        <w:t>2137/2012</w:t>
      </w:r>
    </w:p>
    <w:p w:rsidR="00642728" w:rsidRPr="0063439D" w:rsidRDefault="00FD511F" w:rsidP="00C93014">
      <w:pPr>
        <w:pStyle w:val="H1G"/>
      </w:pPr>
      <w:r w:rsidRPr="0063439D">
        <w:tab/>
      </w:r>
      <w:r w:rsidRPr="0063439D">
        <w:tab/>
      </w:r>
      <w:r w:rsidR="0028227F" w:rsidRPr="0028227F">
        <w:t>Constatations adoptées par le Comité à sa 112</w:t>
      </w:r>
      <w:r w:rsidR="0028227F" w:rsidRPr="0028227F">
        <w:rPr>
          <w:vertAlign w:val="superscript"/>
        </w:rPr>
        <w:t>e</w:t>
      </w:r>
      <w:r w:rsidR="0028227F" w:rsidRPr="0028227F">
        <w:t xml:space="preserve"> session </w:t>
      </w:r>
      <w:r w:rsidR="00C93014" w:rsidRPr="0063439D">
        <w:br/>
      </w:r>
      <w:r w:rsidR="00BA1175" w:rsidRPr="0063439D">
        <w:t>(</w:t>
      </w:r>
      <w:r w:rsidR="0028227F" w:rsidRPr="0028227F">
        <w:t>7-31 octobre 2014</w:t>
      </w:r>
      <w:r w:rsidR="00BA1175" w:rsidRPr="0063439D">
        <w:t>)</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835"/>
        <w:gridCol w:w="3969"/>
      </w:tblGrid>
      <w:tr w:rsidR="00C93014" w:rsidRPr="0063439D" w:rsidTr="00C93014">
        <w:tc>
          <w:tcPr>
            <w:tcW w:w="2835" w:type="dxa"/>
          </w:tcPr>
          <w:p w:rsidR="00C93014" w:rsidRPr="0063439D" w:rsidRDefault="00C93014" w:rsidP="00C93014">
            <w:pPr>
              <w:rPr>
                <w:i/>
              </w:rPr>
            </w:pPr>
            <w:r w:rsidRPr="0063439D">
              <w:rPr>
                <w:i/>
              </w:rPr>
              <w:t>Communication présentée par</w:t>
            </w:r>
            <w:r w:rsidRPr="0063439D">
              <w:t>:</w:t>
            </w:r>
          </w:p>
        </w:tc>
        <w:tc>
          <w:tcPr>
            <w:tcW w:w="3969" w:type="dxa"/>
          </w:tcPr>
          <w:p w:rsidR="00C93014" w:rsidRPr="0063439D" w:rsidRDefault="0028227F" w:rsidP="00C93014">
            <w:pPr>
              <w:spacing w:after="120"/>
            </w:pPr>
            <w:proofErr w:type="spellStart"/>
            <w:r w:rsidRPr="0028227F">
              <w:t>Bakhytzhan</w:t>
            </w:r>
            <w:proofErr w:type="spellEnd"/>
            <w:r w:rsidRPr="0028227F">
              <w:t xml:space="preserve"> </w:t>
            </w:r>
            <w:proofErr w:type="spellStart"/>
            <w:r w:rsidRPr="0028227F">
              <w:t>Toregozhina</w:t>
            </w:r>
            <w:proofErr w:type="spellEnd"/>
            <w:r w:rsidRPr="0028227F">
              <w:t xml:space="preserve"> (non représentée</w:t>
            </w:r>
            <w:r>
              <w:t xml:space="preserve"> </w:t>
            </w:r>
            <w:r w:rsidRPr="0028227F">
              <w:br/>
              <w:t>par un conseil)</w:t>
            </w:r>
          </w:p>
        </w:tc>
      </w:tr>
      <w:tr w:rsidR="00C93014" w:rsidRPr="0063439D" w:rsidTr="00C93014">
        <w:tc>
          <w:tcPr>
            <w:tcW w:w="2835" w:type="dxa"/>
          </w:tcPr>
          <w:p w:rsidR="00C93014" w:rsidRPr="0063439D" w:rsidRDefault="00C93014" w:rsidP="00C93014">
            <w:pPr>
              <w:rPr>
                <w:i/>
              </w:rPr>
            </w:pPr>
            <w:r w:rsidRPr="0063439D">
              <w:rPr>
                <w:i/>
              </w:rPr>
              <w:t>Au nom de</w:t>
            </w:r>
            <w:r w:rsidRPr="0063439D">
              <w:t>:</w:t>
            </w:r>
          </w:p>
        </w:tc>
        <w:tc>
          <w:tcPr>
            <w:tcW w:w="3969" w:type="dxa"/>
          </w:tcPr>
          <w:p w:rsidR="00C93014" w:rsidRPr="0063439D" w:rsidRDefault="0028227F" w:rsidP="00C93014">
            <w:pPr>
              <w:spacing w:after="120"/>
            </w:pPr>
            <w:r w:rsidRPr="00EF1C3A">
              <w:t>L</w:t>
            </w:r>
            <w:r>
              <w:t>’auteur</w:t>
            </w:r>
          </w:p>
        </w:tc>
      </w:tr>
      <w:tr w:rsidR="00C93014" w:rsidRPr="0063439D" w:rsidTr="00C93014">
        <w:tc>
          <w:tcPr>
            <w:tcW w:w="2835" w:type="dxa"/>
          </w:tcPr>
          <w:p w:rsidR="00C93014" w:rsidRPr="0063439D" w:rsidRDefault="00C93014" w:rsidP="00C93014">
            <w:pPr>
              <w:rPr>
                <w:i/>
              </w:rPr>
            </w:pPr>
            <w:r w:rsidRPr="0063439D">
              <w:rPr>
                <w:i/>
              </w:rPr>
              <w:t>État partie</w:t>
            </w:r>
            <w:r w:rsidRPr="0063439D">
              <w:t>:</w:t>
            </w:r>
          </w:p>
        </w:tc>
        <w:tc>
          <w:tcPr>
            <w:tcW w:w="3969" w:type="dxa"/>
          </w:tcPr>
          <w:p w:rsidR="00C93014" w:rsidRPr="0063439D" w:rsidRDefault="0028227F" w:rsidP="00C93014">
            <w:pPr>
              <w:spacing w:after="120"/>
            </w:pPr>
            <w:r w:rsidRPr="00EF1C3A">
              <w:t>Kazakhstan</w:t>
            </w:r>
          </w:p>
        </w:tc>
      </w:tr>
      <w:tr w:rsidR="00C93014" w:rsidRPr="0063439D" w:rsidTr="00C93014">
        <w:tc>
          <w:tcPr>
            <w:tcW w:w="2835" w:type="dxa"/>
          </w:tcPr>
          <w:p w:rsidR="00C93014" w:rsidRPr="0063439D" w:rsidRDefault="00C93014" w:rsidP="00C93014">
            <w:pPr>
              <w:rPr>
                <w:i/>
              </w:rPr>
            </w:pPr>
            <w:r w:rsidRPr="0063439D">
              <w:rPr>
                <w:i/>
              </w:rPr>
              <w:t>Date de la communication</w:t>
            </w:r>
            <w:r w:rsidRPr="0063439D">
              <w:t>:</w:t>
            </w:r>
          </w:p>
        </w:tc>
        <w:tc>
          <w:tcPr>
            <w:tcW w:w="3969" w:type="dxa"/>
          </w:tcPr>
          <w:p w:rsidR="00C93014" w:rsidRPr="0063439D" w:rsidRDefault="0028227F" w:rsidP="00C93014">
            <w:pPr>
              <w:spacing w:after="120"/>
            </w:pPr>
            <w:r w:rsidRPr="00EF1C3A">
              <w:t>30 juin 2010 (date de la lettre initiale)</w:t>
            </w:r>
          </w:p>
        </w:tc>
      </w:tr>
      <w:tr w:rsidR="00C93014" w:rsidRPr="0063439D" w:rsidTr="00C93014">
        <w:tc>
          <w:tcPr>
            <w:tcW w:w="2835" w:type="dxa"/>
          </w:tcPr>
          <w:p w:rsidR="00C93014" w:rsidRPr="0063439D" w:rsidRDefault="00C93014" w:rsidP="00C93014">
            <w:pPr>
              <w:rPr>
                <w:i/>
              </w:rPr>
            </w:pPr>
            <w:r w:rsidRPr="0063439D">
              <w:rPr>
                <w:i/>
              </w:rPr>
              <w:t>Références</w:t>
            </w:r>
            <w:r w:rsidRPr="0063439D">
              <w:t>:</w:t>
            </w:r>
          </w:p>
        </w:tc>
        <w:tc>
          <w:tcPr>
            <w:tcW w:w="3969" w:type="dxa"/>
          </w:tcPr>
          <w:p w:rsidR="00C93014" w:rsidRPr="0063439D" w:rsidRDefault="0028227F" w:rsidP="000A4C4D">
            <w:pPr>
              <w:spacing w:after="120"/>
            </w:pPr>
            <w:r w:rsidRPr="00EF1C3A">
              <w:t>Décision prise par le Rapporteur spécial en application de l</w:t>
            </w:r>
            <w:r>
              <w:t>’article </w:t>
            </w:r>
            <w:r w:rsidRPr="00EF1C3A">
              <w:t>97 du règlement intérieur, communiquée à l</w:t>
            </w:r>
            <w:r>
              <w:t>’</w:t>
            </w:r>
            <w:r w:rsidRPr="00EF1C3A">
              <w:t xml:space="preserve">État partie le </w:t>
            </w:r>
            <w:r>
              <w:t>14 </w:t>
            </w:r>
            <w:r w:rsidRPr="00EF1C3A">
              <w:t>mars 2012 (non publiée sous forme de document)</w:t>
            </w:r>
          </w:p>
        </w:tc>
      </w:tr>
      <w:tr w:rsidR="00C93014" w:rsidRPr="0063439D" w:rsidTr="00C93014">
        <w:tc>
          <w:tcPr>
            <w:tcW w:w="2835" w:type="dxa"/>
          </w:tcPr>
          <w:p w:rsidR="00C93014" w:rsidRPr="0063439D" w:rsidRDefault="0028227F" w:rsidP="00C93014">
            <w:pPr>
              <w:rPr>
                <w:i/>
              </w:rPr>
            </w:pPr>
            <w:r w:rsidRPr="0028227F">
              <w:rPr>
                <w:i/>
              </w:rPr>
              <w:t>Date des constatations</w:t>
            </w:r>
            <w:r w:rsidR="00C93014" w:rsidRPr="0063439D">
              <w:t>:</w:t>
            </w:r>
          </w:p>
        </w:tc>
        <w:tc>
          <w:tcPr>
            <w:tcW w:w="3969" w:type="dxa"/>
            <w:vAlign w:val="bottom"/>
          </w:tcPr>
          <w:p w:rsidR="00C93014" w:rsidRPr="0063439D" w:rsidRDefault="0028227F" w:rsidP="00C93014">
            <w:pPr>
              <w:spacing w:after="120"/>
            </w:pPr>
            <w:r w:rsidRPr="0028227F">
              <w:t>21 octobre 2014</w:t>
            </w:r>
          </w:p>
        </w:tc>
      </w:tr>
      <w:tr w:rsidR="00C93014" w:rsidRPr="0063439D" w:rsidTr="00C93014">
        <w:tc>
          <w:tcPr>
            <w:tcW w:w="2835" w:type="dxa"/>
          </w:tcPr>
          <w:p w:rsidR="00C93014" w:rsidRPr="0063439D" w:rsidRDefault="00C93014" w:rsidP="00C93014">
            <w:pPr>
              <w:rPr>
                <w:i/>
              </w:rPr>
            </w:pPr>
            <w:r w:rsidRPr="0063439D">
              <w:rPr>
                <w:i/>
              </w:rPr>
              <w:t>Objet</w:t>
            </w:r>
            <w:r w:rsidRPr="0063439D">
              <w:t>:</w:t>
            </w:r>
          </w:p>
        </w:tc>
        <w:tc>
          <w:tcPr>
            <w:tcW w:w="3969" w:type="dxa"/>
            <w:vAlign w:val="bottom"/>
          </w:tcPr>
          <w:p w:rsidR="00C93014" w:rsidRPr="0063439D" w:rsidRDefault="0028227F" w:rsidP="00C93014">
            <w:pPr>
              <w:spacing w:after="120"/>
            </w:pPr>
            <w:r w:rsidRPr="0028227F">
              <w:t xml:space="preserve">Arrestation et déclaration de culpabilité pour infraction administrative et condamnation à une amende pour un </w:t>
            </w:r>
            <w:r w:rsidRPr="0028227F">
              <w:rPr>
                <w:i/>
              </w:rPr>
              <w:t>art-mob</w:t>
            </w:r>
          </w:p>
        </w:tc>
      </w:tr>
      <w:tr w:rsidR="002E2C05" w:rsidRPr="0063439D" w:rsidTr="00960E9A">
        <w:tc>
          <w:tcPr>
            <w:tcW w:w="2835" w:type="dxa"/>
          </w:tcPr>
          <w:p w:rsidR="002E2C05" w:rsidRPr="0063439D" w:rsidRDefault="002E2C05" w:rsidP="00960E9A">
            <w:pPr>
              <w:rPr>
                <w:i/>
              </w:rPr>
            </w:pPr>
            <w:r w:rsidRPr="0063439D">
              <w:rPr>
                <w:i/>
              </w:rPr>
              <w:t>Question(s) de fond</w:t>
            </w:r>
            <w:r w:rsidRPr="0063439D">
              <w:t>:</w:t>
            </w:r>
          </w:p>
        </w:tc>
        <w:tc>
          <w:tcPr>
            <w:tcW w:w="3969" w:type="dxa"/>
            <w:vAlign w:val="bottom"/>
          </w:tcPr>
          <w:p w:rsidR="002E2C05" w:rsidRPr="0063439D" w:rsidRDefault="002E2C05" w:rsidP="00960E9A">
            <w:pPr>
              <w:spacing w:after="120"/>
            </w:pPr>
            <w:r w:rsidRPr="0028227F">
              <w:t>Détention arbitraire; liberté de circulation; liberté d’expression; liberté d’association</w:t>
            </w:r>
          </w:p>
        </w:tc>
      </w:tr>
      <w:tr w:rsidR="0028227F" w:rsidRPr="0063439D" w:rsidTr="002D25F9">
        <w:tc>
          <w:tcPr>
            <w:tcW w:w="2835" w:type="dxa"/>
          </w:tcPr>
          <w:p w:rsidR="0028227F" w:rsidRPr="0063439D" w:rsidRDefault="0028227F" w:rsidP="002D25F9">
            <w:pPr>
              <w:rPr>
                <w:i/>
              </w:rPr>
            </w:pPr>
            <w:r w:rsidRPr="0063439D">
              <w:rPr>
                <w:i/>
              </w:rPr>
              <w:t>Question(s) de procédure</w:t>
            </w:r>
            <w:r w:rsidRPr="0063439D">
              <w:t>:</w:t>
            </w:r>
          </w:p>
        </w:tc>
        <w:tc>
          <w:tcPr>
            <w:tcW w:w="3969" w:type="dxa"/>
            <w:vAlign w:val="bottom"/>
          </w:tcPr>
          <w:p w:rsidR="0028227F" w:rsidRPr="0063439D" w:rsidRDefault="0028227F" w:rsidP="002D25F9">
            <w:pPr>
              <w:spacing w:after="120"/>
            </w:pPr>
            <w:r w:rsidRPr="0028227F">
              <w:t>Fondement des griefs</w:t>
            </w:r>
          </w:p>
        </w:tc>
      </w:tr>
      <w:tr w:rsidR="00C93014" w:rsidRPr="0063439D" w:rsidTr="00C93014">
        <w:tc>
          <w:tcPr>
            <w:tcW w:w="2835" w:type="dxa"/>
          </w:tcPr>
          <w:p w:rsidR="00C93014" w:rsidRPr="0063439D" w:rsidRDefault="00C93014" w:rsidP="00C93014">
            <w:pPr>
              <w:rPr>
                <w:i/>
              </w:rPr>
            </w:pPr>
            <w:r w:rsidRPr="0063439D">
              <w:rPr>
                <w:i/>
              </w:rPr>
              <w:t>Article(s) du Pacte</w:t>
            </w:r>
            <w:r w:rsidRPr="0063439D">
              <w:t>:</w:t>
            </w:r>
          </w:p>
        </w:tc>
        <w:tc>
          <w:tcPr>
            <w:tcW w:w="3969" w:type="dxa"/>
            <w:vAlign w:val="bottom"/>
          </w:tcPr>
          <w:p w:rsidR="00C93014" w:rsidRPr="0063439D" w:rsidRDefault="0028227F" w:rsidP="00C93014">
            <w:pPr>
              <w:spacing w:after="120"/>
            </w:pPr>
            <w:r w:rsidRPr="0028227F">
              <w:t>9, 12, 19 et 21</w:t>
            </w:r>
          </w:p>
        </w:tc>
      </w:tr>
      <w:tr w:rsidR="00C93014" w:rsidRPr="0063439D" w:rsidTr="00C93014">
        <w:tc>
          <w:tcPr>
            <w:tcW w:w="2835" w:type="dxa"/>
          </w:tcPr>
          <w:p w:rsidR="00C93014" w:rsidRPr="0063439D" w:rsidRDefault="00C93014" w:rsidP="00C93014">
            <w:pPr>
              <w:rPr>
                <w:i/>
              </w:rPr>
            </w:pPr>
            <w:r w:rsidRPr="0063439D">
              <w:rPr>
                <w:i/>
              </w:rPr>
              <w:t>Article(s) du Protocole facultatif</w:t>
            </w:r>
            <w:r w:rsidRPr="0063439D">
              <w:t>:</w:t>
            </w:r>
          </w:p>
        </w:tc>
        <w:tc>
          <w:tcPr>
            <w:tcW w:w="3969" w:type="dxa"/>
            <w:vAlign w:val="bottom"/>
          </w:tcPr>
          <w:p w:rsidR="00C93014" w:rsidRPr="0063439D" w:rsidRDefault="0028227F" w:rsidP="00C93014">
            <w:pPr>
              <w:spacing w:after="120"/>
            </w:pPr>
            <w:r w:rsidRPr="0028227F">
              <w:t>2 et 5</w:t>
            </w:r>
          </w:p>
        </w:tc>
      </w:tr>
    </w:tbl>
    <w:p w:rsidR="00642728" w:rsidRPr="0063439D" w:rsidRDefault="007B0586" w:rsidP="007B0586">
      <w:pPr>
        <w:pStyle w:val="HChG"/>
      </w:pPr>
      <w:r w:rsidRPr="0063439D">
        <w:br w:type="page"/>
      </w:r>
      <w:r w:rsidR="00642728" w:rsidRPr="0063439D">
        <w:t>A</w:t>
      </w:r>
      <w:r w:rsidR="00B57784" w:rsidRPr="0063439D">
        <w:t>nnexe</w:t>
      </w:r>
    </w:p>
    <w:p w:rsidR="00642728" w:rsidRPr="0063439D" w:rsidRDefault="00B57784" w:rsidP="0028227F">
      <w:pPr>
        <w:pStyle w:val="HChG"/>
      </w:pPr>
      <w:r w:rsidRPr="0063439D">
        <w:tab/>
      </w:r>
      <w:r w:rsidRPr="0063439D">
        <w:tab/>
      </w:r>
      <w:r w:rsidR="0028227F" w:rsidRPr="0028227F">
        <w:t>Constatations du Comité des droits de l’homme au titre du paragraphe 4 de l’article 5 du Protocole facultatif se rapportant au Pacte international relatif aux droits civils</w:t>
      </w:r>
      <w:r w:rsidR="0028227F">
        <w:t> </w:t>
      </w:r>
      <w:r w:rsidR="0028227F" w:rsidRPr="0028227F">
        <w:t>et politiques (112</w:t>
      </w:r>
      <w:r w:rsidR="0028227F" w:rsidRPr="0028227F">
        <w:rPr>
          <w:vertAlign w:val="superscript"/>
        </w:rPr>
        <w:t>e</w:t>
      </w:r>
      <w:r w:rsidR="0028227F" w:rsidRPr="0028227F">
        <w:t xml:space="preserve"> session)</w:t>
      </w:r>
    </w:p>
    <w:p w:rsidR="00642728" w:rsidRPr="0063439D" w:rsidRDefault="00642728" w:rsidP="00BA405E">
      <w:pPr>
        <w:pStyle w:val="SingleTxtG"/>
      </w:pPr>
      <w:r w:rsidRPr="0063439D">
        <w:t>concernant la</w:t>
      </w:r>
    </w:p>
    <w:p w:rsidR="00642728" w:rsidRPr="0063439D" w:rsidRDefault="00B57784" w:rsidP="00757D82">
      <w:pPr>
        <w:pStyle w:val="H1G"/>
      </w:pPr>
      <w:r w:rsidRPr="0063439D">
        <w:tab/>
      </w:r>
      <w:r w:rsidRPr="0063439D">
        <w:tab/>
      </w:r>
      <w:r w:rsidR="00642728" w:rsidRPr="0063439D">
        <w:t xml:space="preserve">Communication </w:t>
      </w:r>
      <w:r w:rsidR="00642728" w:rsidRPr="0063439D">
        <w:rPr>
          <w:rFonts w:eastAsia="MS Mincho"/>
        </w:rPr>
        <w:t>n</w:t>
      </w:r>
      <w:r w:rsidR="00642728" w:rsidRPr="0063439D">
        <w:rPr>
          <w:rFonts w:eastAsia="MS Mincho"/>
          <w:vertAlign w:val="superscript"/>
        </w:rPr>
        <w:t>o</w:t>
      </w:r>
      <w:r w:rsidR="00642728" w:rsidRPr="0063439D">
        <w:t xml:space="preserve"> </w:t>
      </w:r>
      <w:r w:rsidR="0028227F" w:rsidRPr="0028227F">
        <w:t>2137/201</w:t>
      </w:r>
      <w:r w:rsidR="002E2C05">
        <w:t>2</w:t>
      </w:r>
      <w:r w:rsidR="00C93014" w:rsidRPr="0028227F">
        <w:rPr>
          <w:rStyle w:val="FootnoteReference"/>
          <w:b w:val="0"/>
          <w:sz w:val="20"/>
          <w:vertAlign w:val="baseline"/>
        </w:rPr>
        <w:footnoteReference w:customMarkFollows="1" w:id="2"/>
        <w:t>*</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410"/>
        <w:gridCol w:w="4394"/>
      </w:tblGrid>
      <w:tr w:rsidR="00C93014" w:rsidRPr="0063439D" w:rsidTr="00C93014">
        <w:tc>
          <w:tcPr>
            <w:tcW w:w="2410" w:type="dxa"/>
          </w:tcPr>
          <w:p w:rsidR="00C93014" w:rsidRPr="0063439D" w:rsidRDefault="00C93014" w:rsidP="00C93014">
            <w:pPr>
              <w:spacing w:after="120"/>
              <w:rPr>
                <w:i/>
              </w:rPr>
            </w:pPr>
            <w:r w:rsidRPr="0063439D">
              <w:rPr>
                <w:i/>
              </w:rPr>
              <w:t>Présentée par</w:t>
            </w:r>
            <w:r w:rsidRPr="0063439D">
              <w:t>:</w:t>
            </w:r>
          </w:p>
        </w:tc>
        <w:tc>
          <w:tcPr>
            <w:tcW w:w="4394" w:type="dxa"/>
          </w:tcPr>
          <w:p w:rsidR="00C93014" w:rsidRPr="0063439D" w:rsidRDefault="0028227F" w:rsidP="00C93014">
            <w:pPr>
              <w:spacing w:after="120"/>
            </w:pPr>
            <w:proofErr w:type="spellStart"/>
            <w:r w:rsidRPr="0028227F">
              <w:t>Bakhytzhan</w:t>
            </w:r>
            <w:proofErr w:type="spellEnd"/>
            <w:r w:rsidRPr="0028227F">
              <w:t xml:space="preserve"> </w:t>
            </w:r>
            <w:proofErr w:type="spellStart"/>
            <w:r w:rsidRPr="0028227F">
              <w:t>Toregozhina</w:t>
            </w:r>
            <w:proofErr w:type="spellEnd"/>
            <w:r w:rsidRPr="0028227F">
              <w:t xml:space="preserve"> (non représentée</w:t>
            </w:r>
            <w:r>
              <w:t xml:space="preserve"> </w:t>
            </w:r>
            <w:r w:rsidRPr="0028227F">
              <w:br/>
              <w:t>par un conseil)</w:t>
            </w:r>
          </w:p>
        </w:tc>
      </w:tr>
      <w:tr w:rsidR="00C93014" w:rsidRPr="0063439D" w:rsidTr="00C93014">
        <w:tc>
          <w:tcPr>
            <w:tcW w:w="2410" w:type="dxa"/>
          </w:tcPr>
          <w:p w:rsidR="00C93014" w:rsidRPr="0063439D" w:rsidRDefault="00C93014" w:rsidP="00C93014">
            <w:pPr>
              <w:spacing w:after="120"/>
              <w:rPr>
                <w:i/>
              </w:rPr>
            </w:pPr>
            <w:r w:rsidRPr="0063439D">
              <w:rPr>
                <w:i/>
              </w:rPr>
              <w:t>Au nom de</w:t>
            </w:r>
            <w:r w:rsidRPr="0063439D">
              <w:t>:</w:t>
            </w:r>
          </w:p>
        </w:tc>
        <w:tc>
          <w:tcPr>
            <w:tcW w:w="4394" w:type="dxa"/>
          </w:tcPr>
          <w:p w:rsidR="00C93014" w:rsidRPr="0063439D" w:rsidRDefault="0028227F" w:rsidP="00C93014">
            <w:pPr>
              <w:spacing w:after="120"/>
            </w:pPr>
            <w:r w:rsidRPr="0028227F">
              <w:t>L’auteur</w:t>
            </w:r>
          </w:p>
        </w:tc>
      </w:tr>
      <w:tr w:rsidR="00C93014" w:rsidRPr="0063439D" w:rsidTr="00C93014">
        <w:tc>
          <w:tcPr>
            <w:tcW w:w="2410" w:type="dxa"/>
          </w:tcPr>
          <w:p w:rsidR="00C93014" w:rsidRPr="0063439D" w:rsidRDefault="00C93014" w:rsidP="00C93014">
            <w:pPr>
              <w:spacing w:after="120"/>
              <w:rPr>
                <w:i/>
              </w:rPr>
            </w:pPr>
            <w:r w:rsidRPr="0063439D">
              <w:rPr>
                <w:i/>
              </w:rPr>
              <w:t>État partie</w:t>
            </w:r>
            <w:r w:rsidRPr="0063439D">
              <w:t>:</w:t>
            </w:r>
          </w:p>
        </w:tc>
        <w:tc>
          <w:tcPr>
            <w:tcW w:w="4394" w:type="dxa"/>
          </w:tcPr>
          <w:p w:rsidR="00C93014" w:rsidRPr="0063439D" w:rsidRDefault="0028227F" w:rsidP="00C93014">
            <w:pPr>
              <w:spacing w:after="120"/>
            </w:pPr>
            <w:r w:rsidRPr="0028227F">
              <w:t>Kazakhstan</w:t>
            </w:r>
          </w:p>
        </w:tc>
      </w:tr>
      <w:tr w:rsidR="00C93014" w:rsidRPr="0063439D" w:rsidTr="00C93014">
        <w:tc>
          <w:tcPr>
            <w:tcW w:w="2410" w:type="dxa"/>
          </w:tcPr>
          <w:p w:rsidR="00C93014" w:rsidRPr="0063439D" w:rsidRDefault="00C93014" w:rsidP="00C93014">
            <w:pPr>
              <w:spacing w:after="120"/>
              <w:rPr>
                <w:i/>
              </w:rPr>
            </w:pPr>
            <w:r w:rsidRPr="0063439D">
              <w:rPr>
                <w:i/>
              </w:rPr>
              <w:t>Date de la communication</w:t>
            </w:r>
            <w:r w:rsidRPr="0063439D">
              <w:t>:</w:t>
            </w:r>
          </w:p>
        </w:tc>
        <w:tc>
          <w:tcPr>
            <w:tcW w:w="4394" w:type="dxa"/>
          </w:tcPr>
          <w:p w:rsidR="00C93014" w:rsidRPr="0063439D" w:rsidRDefault="0028227F" w:rsidP="00C93014">
            <w:pPr>
              <w:spacing w:after="120"/>
            </w:pPr>
            <w:r w:rsidRPr="0028227F">
              <w:t>30 juin 2010 (date de la lettre initiale)</w:t>
            </w:r>
          </w:p>
        </w:tc>
      </w:tr>
    </w:tbl>
    <w:p w:rsidR="00E24896" w:rsidRPr="0063439D" w:rsidRDefault="00455974" w:rsidP="00CB6C7A">
      <w:pPr>
        <w:pStyle w:val="SingleTxtG"/>
        <w:ind w:firstLine="567"/>
      </w:pPr>
      <w:r w:rsidRPr="0063439D">
        <w:rPr>
          <w:i/>
          <w:iCs/>
        </w:rPr>
        <w:t>Le Comité des droits de l</w:t>
      </w:r>
      <w:r w:rsidR="000A4C4D" w:rsidRPr="0063439D">
        <w:rPr>
          <w:i/>
          <w:iCs/>
        </w:rPr>
        <w:t>’</w:t>
      </w:r>
      <w:r w:rsidRPr="0063439D">
        <w:rPr>
          <w:i/>
          <w:iCs/>
        </w:rPr>
        <w:t>homme</w:t>
      </w:r>
      <w:r w:rsidRPr="0063439D">
        <w:t xml:space="preserve">, </w:t>
      </w:r>
      <w:r w:rsidR="0028227F" w:rsidRPr="0028227F">
        <w:t>institué en vertu de l’article 28 du Pacte international relatif aux droits civils et politiques</w:t>
      </w:r>
      <w:r w:rsidRPr="0063439D">
        <w:t>,</w:t>
      </w:r>
    </w:p>
    <w:p w:rsidR="0028227F" w:rsidRDefault="00E24896" w:rsidP="0028227F">
      <w:pPr>
        <w:pStyle w:val="SingleTxtG"/>
        <w:ind w:firstLine="567"/>
      </w:pPr>
      <w:r w:rsidRPr="0063439D">
        <w:rPr>
          <w:i/>
        </w:rPr>
        <w:t>Réuni le</w:t>
      </w:r>
      <w:r w:rsidRPr="0063439D">
        <w:t xml:space="preserve"> </w:t>
      </w:r>
      <w:r w:rsidR="0028227F" w:rsidRPr="0028227F">
        <w:rPr>
          <w:iCs/>
        </w:rPr>
        <w:t>21</w:t>
      </w:r>
      <w:r w:rsidR="0028227F" w:rsidRPr="0028227F">
        <w:rPr>
          <w:i/>
          <w:iCs/>
        </w:rPr>
        <w:t xml:space="preserve"> </w:t>
      </w:r>
      <w:r w:rsidR="0028227F" w:rsidRPr="0028227F">
        <w:t>octobre 2014</w:t>
      </w:r>
      <w:r w:rsidRPr="0063439D">
        <w:t>,</w:t>
      </w:r>
    </w:p>
    <w:p w:rsidR="0028227F" w:rsidRPr="0028227F" w:rsidRDefault="0028227F" w:rsidP="0028227F">
      <w:pPr>
        <w:pStyle w:val="SingleTxtG"/>
        <w:ind w:firstLine="567"/>
      </w:pPr>
      <w:r w:rsidRPr="0028227F">
        <w:rPr>
          <w:i/>
          <w:iCs/>
        </w:rPr>
        <w:t>Ayant achevé</w:t>
      </w:r>
      <w:r w:rsidRPr="0028227F">
        <w:t xml:space="preserve"> l’examen de la communication n</w:t>
      </w:r>
      <w:r w:rsidRPr="0028227F">
        <w:rPr>
          <w:vertAlign w:val="superscript"/>
        </w:rPr>
        <w:t>o</w:t>
      </w:r>
      <w:r w:rsidRPr="0028227F">
        <w:t> 2137/2012</w:t>
      </w:r>
      <w:r w:rsidRPr="0028227F">
        <w:rPr>
          <w:b/>
        </w:rPr>
        <w:t xml:space="preserve"> </w:t>
      </w:r>
      <w:r w:rsidRPr="0028227F">
        <w:t>présentée par M</w:t>
      </w:r>
      <w:r w:rsidRPr="0028227F">
        <w:rPr>
          <w:vertAlign w:val="superscript"/>
        </w:rPr>
        <w:t>me</w:t>
      </w:r>
      <w:r w:rsidRPr="0028227F">
        <w:t> </w:t>
      </w:r>
      <w:proofErr w:type="spellStart"/>
      <w:r w:rsidRPr="0028227F">
        <w:t>Bakhytzhan</w:t>
      </w:r>
      <w:proofErr w:type="spellEnd"/>
      <w:r w:rsidRPr="0028227F">
        <w:t> </w:t>
      </w:r>
      <w:proofErr w:type="spellStart"/>
      <w:r w:rsidRPr="0028227F">
        <w:t>Toregozhina</w:t>
      </w:r>
      <w:proofErr w:type="spellEnd"/>
      <w:r w:rsidRPr="0028227F">
        <w:t xml:space="preserve"> en vertu du Protocole facultatif se rapportant au Pacte international relatif aux droits civils et politiques,</w:t>
      </w:r>
    </w:p>
    <w:p w:rsidR="0028227F" w:rsidRPr="0063439D" w:rsidRDefault="0028227F" w:rsidP="0028227F">
      <w:pPr>
        <w:pStyle w:val="SingleTxtG"/>
        <w:ind w:firstLine="567"/>
      </w:pPr>
      <w:r w:rsidRPr="0028227F">
        <w:rPr>
          <w:i/>
          <w:iCs/>
        </w:rPr>
        <w:t>Ayant tenu compte</w:t>
      </w:r>
      <w:r w:rsidRPr="0028227F">
        <w:t xml:space="preserve"> de toutes les informations écrites qui lui ont été communiquées par l’auteur</w:t>
      </w:r>
      <w:r w:rsidRPr="0028227F">
        <w:rPr>
          <w:b/>
        </w:rPr>
        <w:t xml:space="preserve"> </w:t>
      </w:r>
      <w:r w:rsidRPr="0028227F">
        <w:t>de la communication et l’État partie,</w:t>
      </w:r>
    </w:p>
    <w:p w:rsidR="00E24896" w:rsidRPr="0063439D" w:rsidRDefault="00E24896" w:rsidP="00E24896">
      <w:pPr>
        <w:pStyle w:val="SingleTxtG"/>
        <w:ind w:firstLine="567"/>
        <w:rPr>
          <w:i/>
          <w:iCs/>
        </w:rPr>
      </w:pPr>
      <w:r w:rsidRPr="0063439D">
        <w:rPr>
          <w:i/>
          <w:iCs/>
        </w:rPr>
        <w:t>Adopte</w:t>
      </w:r>
      <w:r w:rsidRPr="0063439D">
        <w:t xml:space="preserve"> ce qui suit:</w:t>
      </w:r>
    </w:p>
    <w:p w:rsidR="00642728" w:rsidRPr="0063439D" w:rsidRDefault="00E24896" w:rsidP="00455974">
      <w:pPr>
        <w:pStyle w:val="H1G"/>
      </w:pPr>
      <w:r w:rsidRPr="0063439D">
        <w:tab/>
      </w:r>
      <w:r w:rsidRPr="0063439D">
        <w:tab/>
      </w:r>
      <w:r w:rsidR="0028227F" w:rsidRPr="0028227F">
        <w:t>Constatations au titre du paragraphe 4 de l’article 5</w:t>
      </w:r>
      <w:r w:rsidR="0028227F">
        <w:t xml:space="preserve"> </w:t>
      </w:r>
      <w:r w:rsidR="0028227F" w:rsidRPr="0028227F">
        <w:br/>
        <w:t>du Protocole facultatif</w:t>
      </w:r>
    </w:p>
    <w:p w:rsidR="002D25F9" w:rsidRPr="00C80BF1" w:rsidRDefault="002D25F9" w:rsidP="002D25F9">
      <w:pPr>
        <w:pStyle w:val="SingleTxtG"/>
        <w:rPr>
          <w:b/>
        </w:rPr>
      </w:pPr>
      <w:r w:rsidRPr="00C80BF1">
        <w:t>1.</w:t>
      </w:r>
      <w:r>
        <w:tab/>
      </w:r>
      <w:r w:rsidRPr="00C80BF1">
        <w:t>L</w:t>
      </w:r>
      <w:r>
        <w:t>’auteur</w:t>
      </w:r>
      <w:r w:rsidRPr="00C80BF1">
        <w:t xml:space="preserve"> de la communication est </w:t>
      </w:r>
      <w:proofErr w:type="spellStart"/>
      <w:r w:rsidRPr="00C80BF1">
        <w:t>Bakhytzhan</w:t>
      </w:r>
      <w:proofErr w:type="spellEnd"/>
      <w:r>
        <w:t> </w:t>
      </w:r>
      <w:proofErr w:type="spellStart"/>
      <w:r w:rsidRPr="00C80BF1">
        <w:t>Amangalivna</w:t>
      </w:r>
      <w:proofErr w:type="spellEnd"/>
      <w:r w:rsidRPr="00C80BF1">
        <w:t xml:space="preserve"> </w:t>
      </w:r>
      <w:proofErr w:type="spellStart"/>
      <w:r w:rsidRPr="00C80BF1">
        <w:t>Toregozhina</w:t>
      </w:r>
      <w:proofErr w:type="spellEnd"/>
      <w:r w:rsidRPr="00C80BF1">
        <w:t xml:space="preserve">, née le </w:t>
      </w:r>
      <w:r>
        <w:t>23 </w:t>
      </w:r>
      <w:r w:rsidRPr="00C80BF1">
        <w:t>mars 1962, de nationalité kazakhe. Elle dit être victime de violations par le</w:t>
      </w:r>
      <w:r>
        <w:t> </w:t>
      </w:r>
      <w:r w:rsidRPr="00C80BF1">
        <w:t>Kazakhstan des droits qu</w:t>
      </w:r>
      <w:r>
        <w:t>’</w:t>
      </w:r>
      <w:r w:rsidRPr="00C80BF1">
        <w:t xml:space="preserve">elle tient </w:t>
      </w:r>
      <w:r>
        <w:t>du paragraphe 1 de</w:t>
      </w:r>
      <w:r w:rsidRPr="00C80BF1">
        <w:t xml:space="preserve"> </w:t>
      </w:r>
      <w:r>
        <w:t>l’article</w:t>
      </w:r>
      <w:r w:rsidRPr="00C80BF1">
        <w:t> 9</w:t>
      </w:r>
      <w:r>
        <w:t>, du paragraphe 1 de l’article </w:t>
      </w:r>
      <w:r w:rsidRPr="00C80BF1">
        <w:t xml:space="preserve">12, ainsi que des </w:t>
      </w:r>
      <w:r w:rsidRPr="00C80BF1">
        <w:rPr>
          <w:lang w:val="fr-FR"/>
        </w:rPr>
        <w:t>articles</w:t>
      </w:r>
      <w:r>
        <w:t> </w:t>
      </w:r>
      <w:r w:rsidRPr="00C80BF1">
        <w:t>19 et 21 du Pacte international relatif aux droits civils et politiques</w:t>
      </w:r>
      <w:r>
        <w:rPr>
          <w:rStyle w:val="FootnoteReference"/>
        </w:rPr>
        <w:footnoteReference w:id="3"/>
      </w:r>
      <w:r w:rsidRPr="00C80BF1">
        <w:t>. L</w:t>
      </w:r>
      <w:r>
        <w:t>’auteur</w:t>
      </w:r>
      <w:r w:rsidRPr="00C80BF1">
        <w:t xml:space="preserve"> n</w:t>
      </w:r>
      <w:r>
        <w:t>’</w:t>
      </w:r>
      <w:r w:rsidRPr="00C80BF1">
        <w:t>est pas représentée par un conseil.</w:t>
      </w:r>
    </w:p>
    <w:p w:rsidR="002D25F9" w:rsidRPr="00C80BF1" w:rsidRDefault="002D25F9" w:rsidP="002D25F9">
      <w:pPr>
        <w:pStyle w:val="H23G"/>
      </w:pPr>
      <w:r>
        <w:tab/>
      </w:r>
      <w:r>
        <w:tab/>
      </w:r>
      <w:r w:rsidRPr="00C80BF1">
        <w:t>Rappel des faits présentés par l</w:t>
      </w:r>
      <w:r>
        <w:t>’auteur</w:t>
      </w:r>
    </w:p>
    <w:p w:rsidR="002D25F9" w:rsidRPr="00C80BF1" w:rsidRDefault="002D25F9" w:rsidP="002D25F9">
      <w:pPr>
        <w:pStyle w:val="SingleTxtG"/>
      </w:pPr>
      <w:r w:rsidRPr="00C80BF1">
        <w:t>2.1</w:t>
      </w:r>
      <w:r>
        <w:tab/>
      </w:r>
      <w:r w:rsidRPr="00C80BF1">
        <w:t>L</w:t>
      </w:r>
      <w:r>
        <w:t>’auteur</w:t>
      </w:r>
      <w:r w:rsidRPr="00C80BF1">
        <w:t xml:space="preserve"> dirige l</w:t>
      </w:r>
      <w:r>
        <w:t>’</w:t>
      </w:r>
      <w:r w:rsidRPr="00C80BF1">
        <w:t xml:space="preserve">organisation non gouvernementale </w:t>
      </w:r>
      <w:r>
        <w:t>«</w:t>
      </w:r>
      <w:r w:rsidRPr="00C80BF1">
        <w:t xml:space="preserve">Ar. </w:t>
      </w:r>
      <w:proofErr w:type="spellStart"/>
      <w:r w:rsidRPr="00C80BF1">
        <w:t>Rukh</w:t>
      </w:r>
      <w:proofErr w:type="spellEnd"/>
      <w:r w:rsidRPr="00C80BF1">
        <w:t xml:space="preserve">. </w:t>
      </w:r>
      <w:proofErr w:type="spellStart"/>
      <w:r w:rsidRPr="00C80BF1">
        <w:t>Khak</w:t>
      </w:r>
      <w:proofErr w:type="spellEnd"/>
      <w:r>
        <w:t>». Le 11 </w:t>
      </w:r>
      <w:r w:rsidRPr="00C80BF1">
        <w:t>mars 2010, pour commémorer la «Journée de la désobéissance civile</w:t>
      </w:r>
      <w:r>
        <w:t>»</w:t>
      </w:r>
      <w:r w:rsidRPr="00C80BF1">
        <w:t>, l</w:t>
      </w:r>
      <w:r>
        <w:t>’</w:t>
      </w:r>
      <w:r w:rsidRPr="00C80BF1">
        <w:t xml:space="preserve">organisation a tenu au monument du Mahatma Gandhi un </w:t>
      </w:r>
      <w:r w:rsidRPr="00C80BF1">
        <w:rPr>
          <w:i/>
        </w:rPr>
        <w:t>art-mob</w:t>
      </w:r>
      <w:r w:rsidRPr="00C80BF1">
        <w:t xml:space="preserve"> (mobilisation artistique) dont le but était d</w:t>
      </w:r>
      <w:r>
        <w:t>’</w:t>
      </w:r>
      <w:r w:rsidRPr="00C80BF1">
        <w:t>attirer l</w:t>
      </w:r>
      <w:r>
        <w:t>’</w:t>
      </w:r>
      <w:r w:rsidRPr="00C80BF1">
        <w:t>attention de la population sur des qualités, telles que l</w:t>
      </w:r>
      <w:r>
        <w:t>’</w:t>
      </w:r>
      <w:r w:rsidRPr="00C80BF1">
        <w:t>humanisme, l</w:t>
      </w:r>
      <w:r>
        <w:t>’</w:t>
      </w:r>
      <w:r w:rsidRPr="00C80BF1">
        <w:t xml:space="preserve">esprit démocratique, la justice sociale et la moralité, dont devraient faire preuve les dirigeants. Les autorités ne sont pas intervenues au cours de </w:t>
      </w:r>
      <w:r>
        <w:t>la manifestation, mais le 16 </w:t>
      </w:r>
      <w:r w:rsidRPr="00C80BF1">
        <w:t>mars 2010 à</w:t>
      </w:r>
      <w:r>
        <w:t xml:space="preserve"> midi</w:t>
      </w:r>
      <w:r w:rsidRPr="00C80BF1">
        <w:t xml:space="preserve">, </w:t>
      </w:r>
      <w:r>
        <w:t>20 </w:t>
      </w:r>
      <w:r w:rsidRPr="00C80BF1">
        <w:t>policiers ont fait irruption dans le bureau de l</w:t>
      </w:r>
      <w:r>
        <w:t>’auteur</w:t>
      </w:r>
      <w:r w:rsidRPr="00C80BF1">
        <w:t xml:space="preserve"> et l</w:t>
      </w:r>
      <w:r>
        <w:t>’</w:t>
      </w:r>
      <w:r w:rsidRPr="00C80BF1">
        <w:t>ont arrêtée. On lui a expliqué qu</w:t>
      </w:r>
      <w:r>
        <w:t>’</w:t>
      </w:r>
      <w:r w:rsidRPr="00C80BF1">
        <w:t xml:space="preserve">elle </w:t>
      </w:r>
      <w:r>
        <w:t xml:space="preserve">serait </w:t>
      </w:r>
      <w:r w:rsidRPr="00C80BF1">
        <w:t xml:space="preserve">retenue pendant </w:t>
      </w:r>
      <w:r>
        <w:t>quarante-huit</w:t>
      </w:r>
      <w:r w:rsidRPr="00C80BF1">
        <w:t xml:space="preserve"> heures en application de l</w:t>
      </w:r>
      <w:r>
        <w:t>’article </w:t>
      </w:r>
      <w:r w:rsidRPr="00C80BF1">
        <w:t>620 du Code de procédure administrative, qui autorise la détention administrative dans le but de faire cesser une infraction administrative. L</w:t>
      </w:r>
      <w:r>
        <w:t>’auteur</w:t>
      </w:r>
      <w:r w:rsidRPr="00C80BF1">
        <w:t xml:space="preserve"> soutient que son arrestation était illégale car elle n</w:t>
      </w:r>
      <w:r>
        <w:t>’</w:t>
      </w:r>
      <w:r w:rsidRPr="00C80BF1">
        <w:t>était en train de commettre aucune infraction dans son bureau quand elle a été arrêtée. Elle dit avoir envoyé</w:t>
      </w:r>
      <w:r>
        <w:t xml:space="preserve"> le 2 </w:t>
      </w:r>
      <w:r w:rsidRPr="00C80BF1">
        <w:t>avril 2010 une plainte au sujet de la légalité de son arrestation au bureau du Procureur général, qui l</w:t>
      </w:r>
      <w:r>
        <w:t>’</w:t>
      </w:r>
      <w:r w:rsidRPr="00C80BF1">
        <w:t>a transmise au département des services de sécurité du Ministère de l</w:t>
      </w:r>
      <w:r>
        <w:t>’</w:t>
      </w:r>
      <w:r w:rsidRPr="00C80BF1">
        <w:t>intérieur.</w:t>
      </w:r>
    </w:p>
    <w:p w:rsidR="002D25F9" w:rsidRPr="00C80BF1" w:rsidRDefault="002D25F9" w:rsidP="002D25F9">
      <w:pPr>
        <w:pStyle w:val="SingleTxtG"/>
      </w:pPr>
      <w:r w:rsidRPr="00C80BF1">
        <w:t>2.2</w:t>
      </w:r>
      <w:r>
        <w:tab/>
        <w:t>Le 16 </w:t>
      </w:r>
      <w:r w:rsidRPr="00C80BF1">
        <w:t xml:space="preserve">mars 2010, par une décision du tribunal administratif </w:t>
      </w:r>
      <w:r>
        <w:t xml:space="preserve">interrégional </w:t>
      </w:r>
      <w:r w:rsidRPr="00C80BF1">
        <w:t>spécialisé d</w:t>
      </w:r>
      <w:r>
        <w:t>’</w:t>
      </w:r>
      <w:r w:rsidRPr="00C80BF1">
        <w:t>Almaty, l</w:t>
      </w:r>
      <w:r>
        <w:t>’auteur</w:t>
      </w:r>
      <w:r w:rsidRPr="00C80BF1">
        <w:t xml:space="preserve"> a été reconnue coupable d</w:t>
      </w:r>
      <w:r>
        <w:t xml:space="preserve">’avoir organisé une manifestation publique </w:t>
      </w:r>
      <w:r w:rsidRPr="00C80BF1">
        <w:t>sans autorisation, et condamné</w:t>
      </w:r>
      <w:r>
        <w:t>e à payer une amende de 56 520 </w:t>
      </w:r>
      <w:proofErr w:type="spellStart"/>
      <w:r w:rsidRPr="00C80BF1">
        <w:t>tenge</w:t>
      </w:r>
      <w:proofErr w:type="spellEnd"/>
      <w:r w:rsidRPr="00C80BF1">
        <w:t>. L</w:t>
      </w:r>
      <w:r>
        <w:t>’auteur</w:t>
      </w:r>
      <w:r w:rsidRPr="00C80BF1">
        <w:t xml:space="preserve"> indique que</w:t>
      </w:r>
      <w:r>
        <w:t xml:space="preserve"> </w:t>
      </w:r>
      <w:r w:rsidRPr="00C80BF1">
        <w:t>la décision du tribunal fait état d</w:t>
      </w:r>
      <w:r>
        <w:t>’</w:t>
      </w:r>
      <w:r w:rsidRPr="00C80BF1">
        <w:t>une réunion non autorisée de personnes; or l</w:t>
      </w:r>
      <w:r>
        <w:t>’</w:t>
      </w:r>
      <w:r w:rsidRPr="00C80BF1">
        <w:rPr>
          <w:i/>
        </w:rPr>
        <w:t>art-mob</w:t>
      </w:r>
      <w:r w:rsidRPr="00C80BF1">
        <w:t xml:space="preserve"> ne figurant pas à l</w:t>
      </w:r>
      <w:r>
        <w:t>’article </w:t>
      </w:r>
      <w:r w:rsidRPr="00C80BF1">
        <w:t>2 de la loi relative à l</w:t>
      </w:r>
      <w:r>
        <w:t>’</w:t>
      </w:r>
      <w:r w:rsidRPr="00C80BF1">
        <w:t>organisation de réunions, assemblées, cortèges, piquets et autres manifestations pacifiques dans la République du Kazakhstan, elle n</w:t>
      </w:r>
      <w:r>
        <w:t>’</w:t>
      </w:r>
      <w:r w:rsidRPr="00C80BF1">
        <w:t>avait pas à demander l</w:t>
      </w:r>
      <w:r>
        <w:t>’</w:t>
      </w:r>
      <w:r w:rsidRPr="00C80BF1">
        <w:t xml:space="preserve">aval </w:t>
      </w:r>
      <w:r>
        <w:t>des autorités pour organiser une telle manifestation</w:t>
      </w:r>
      <w:r w:rsidRPr="00C80BF1">
        <w:t>.</w:t>
      </w:r>
    </w:p>
    <w:p w:rsidR="002D25F9" w:rsidRPr="00C80BF1" w:rsidRDefault="002D25F9" w:rsidP="002D25F9">
      <w:pPr>
        <w:pStyle w:val="SingleTxtG"/>
      </w:pPr>
      <w:r>
        <w:t>2.3</w:t>
      </w:r>
      <w:r>
        <w:tab/>
        <w:t>Le 26 </w:t>
      </w:r>
      <w:r w:rsidRPr="00C80BF1">
        <w:t>mars 2010, l</w:t>
      </w:r>
      <w:r>
        <w:t>’auteur</w:t>
      </w:r>
      <w:r w:rsidRPr="00C80BF1">
        <w:t xml:space="preserve"> a fait appel de la décision de première instance devant la</w:t>
      </w:r>
      <w:r>
        <w:t> </w:t>
      </w:r>
      <w:r w:rsidRPr="00C80BF1">
        <w:t>Cour d</w:t>
      </w:r>
      <w:r>
        <w:t>’</w:t>
      </w:r>
      <w:r w:rsidRPr="00C80BF1">
        <w:t>appel d</w:t>
      </w:r>
      <w:r>
        <w:t>’</w:t>
      </w:r>
      <w:r w:rsidRPr="00C80BF1">
        <w:t>Almaty, qui l</w:t>
      </w:r>
      <w:r>
        <w:t>’</w:t>
      </w:r>
      <w:r w:rsidRPr="00C80BF1">
        <w:t>a déboutée</w:t>
      </w:r>
      <w:r>
        <w:t xml:space="preserve"> le 6 </w:t>
      </w:r>
      <w:r w:rsidRPr="00C80BF1">
        <w:t>avril 2010. Le</w:t>
      </w:r>
      <w:r>
        <w:t xml:space="preserve"> 17 </w:t>
      </w:r>
      <w:r w:rsidRPr="00C80BF1">
        <w:t>mai 2010, elle a déposé auprès du bureau du Procureur général une demande visant à obtenir l</w:t>
      </w:r>
      <w:r>
        <w:t>’</w:t>
      </w:r>
      <w:r w:rsidRPr="00C80BF1">
        <w:t>ouverture d</w:t>
      </w:r>
      <w:r>
        <w:t>’</w:t>
      </w:r>
      <w:r w:rsidRPr="00C80BF1">
        <w:t>une procédure de co</w:t>
      </w:r>
      <w:r>
        <w:t>ntrôle, qui a été rejetée le 21 </w:t>
      </w:r>
      <w:r w:rsidRPr="00C80BF1">
        <w:t>juin 2010.</w:t>
      </w:r>
    </w:p>
    <w:p w:rsidR="002D25F9" w:rsidRPr="00C80BF1" w:rsidRDefault="002D25F9" w:rsidP="002D25F9">
      <w:pPr>
        <w:pStyle w:val="SingleTxtG"/>
      </w:pPr>
      <w:r w:rsidRPr="00C80BF1">
        <w:t>2.4</w:t>
      </w:r>
      <w:r>
        <w:tab/>
      </w:r>
      <w:r w:rsidRPr="00C80BF1">
        <w:t>L</w:t>
      </w:r>
      <w:r>
        <w:t>’auteur</w:t>
      </w:r>
      <w:r w:rsidRPr="00C80BF1">
        <w:t xml:space="preserve"> indique égalem</w:t>
      </w:r>
      <w:r>
        <w:t>ent que le 12 janvier 2010</w:t>
      </w:r>
      <w:r w:rsidRPr="00C80BF1">
        <w:t xml:space="preserve"> son organisation avait soumis à l</w:t>
      </w:r>
      <w:r>
        <w:t>’</w:t>
      </w:r>
      <w:r w:rsidRPr="00C80BF1">
        <w:t>approbation du vice-</w:t>
      </w:r>
      <w:proofErr w:type="spellStart"/>
      <w:r w:rsidRPr="00C80BF1">
        <w:t>akim</w:t>
      </w:r>
      <w:proofErr w:type="spellEnd"/>
      <w:r w:rsidRPr="00C80BF1">
        <w:t xml:space="preserve"> d</w:t>
      </w:r>
      <w:r>
        <w:t>’</w:t>
      </w:r>
      <w:r w:rsidRPr="00C80BF1">
        <w:t>Almaty un calendrier des activités qu</w:t>
      </w:r>
      <w:r>
        <w:t>’</w:t>
      </w:r>
      <w:r w:rsidRPr="00C80BF1">
        <w:t>elle avait l</w:t>
      </w:r>
      <w:r>
        <w:t>’</w:t>
      </w:r>
      <w:r w:rsidRPr="00C80BF1">
        <w:t>intention de mener. Dans une lettre</w:t>
      </w:r>
      <w:r>
        <w:t xml:space="preserve"> du 21 </w:t>
      </w:r>
      <w:r w:rsidRPr="00C80BF1">
        <w:t>janvier 2010, le Département de la politique de la jeunesse d</w:t>
      </w:r>
      <w:r>
        <w:t>’</w:t>
      </w:r>
      <w:r w:rsidRPr="00C80BF1">
        <w:t>Almaty avait répondu que, selon l</w:t>
      </w:r>
      <w:r>
        <w:t>’article </w:t>
      </w:r>
      <w:r w:rsidRPr="00C80BF1">
        <w:t>4 de la loi sur les associations publiques, l</w:t>
      </w:r>
      <w:r>
        <w:t>’</w:t>
      </w:r>
      <w:r w:rsidRPr="00C80BF1">
        <w:t>ingérence illicite des organes de l</w:t>
      </w:r>
      <w:r>
        <w:t>’</w:t>
      </w:r>
      <w:r w:rsidRPr="00C80BF1">
        <w:t>État dans le travail des associations n</w:t>
      </w:r>
      <w:r>
        <w:t>’</w:t>
      </w:r>
      <w:r w:rsidRPr="00C80BF1">
        <w:t>était pas autorisée. L</w:t>
      </w:r>
      <w:r>
        <w:t>’auteur</w:t>
      </w:r>
      <w:r w:rsidRPr="00C80BF1">
        <w:t xml:space="preserve"> soutient que l</w:t>
      </w:r>
      <w:r>
        <w:t>’</w:t>
      </w:r>
      <w:proofErr w:type="spellStart"/>
      <w:r w:rsidRPr="00C80BF1">
        <w:t>Akimat</w:t>
      </w:r>
      <w:proofErr w:type="spellEnd"/>
      <w:r w:rsidRPr="00C80BF1">
        <w:t xml:space="preserve"> d</w:t>
      </w:r>
      <w:r>
        <w:t>’</w:t>
      </w:r>
      <w:r w:rsidRPr="00C80BF1">
        <w:t>Almaty n</w:t>
      </w:r>
      <w:r>
        <w:t>’</w:t>
      </w:r>
      <w:r w:rsidRPr="00C80BF1">
        <w:t>a par conséquent pas autorité pour approuver les manifestations prévues par les organisations non gou</w:t>
      </w:r>
      <w:r>
        <w:t>vernementales. Elle </w:t>
      </w:r>
      <w:r w:rsidRPr="00C80BF1">
        <w:t>avance qu</w:t>
      </w:r>
      <w:r>
        <w:t>’</w:t>
      </w:r>
      <w:r w:rsidRPr="00C80BF1">
        <w:t>en sa qualité de responsable de l</w:t>
      </w:r>
      <w:r>
        <w:t>’</w:t>
      </w:r>
      <w:r w:rsidRPr="00C80BF1">
        <w:t>organisation, elle avait le droit d</w:t>
      </w:r>
      <w:r>
        <w:t>’</w:t>
      </w:r>
      <w:r w:rsidRPr="00C80BF1">
        <w:t>organiser des activités, conformément à la charte de l</w:t>
      </w:r>
      <w:r>
        <w:t>’</w:t>
      </w:r>
      <w:r w:rsidRPr="00C80BF1">
        <w:t>organisa</w:t>
      </w:r>
      <w:r>
        <w:t>tion, sans demander d’autorisation officielle</w:t>
      </w:r>
      <w:r w:rsidRPr="00C80BF1">
        <w:t>. L</w:t>
      </w:r>
      <w:r>
        <w:t>’auteur</w:t>
      </w:r>
      <w:r w:rsidRPr="00C80BF1">
        <w:t xml:space="preserve"> affirme avoir épuisé tous les recours internes utiles qui sont disponibles.</w:t>
      </w:r>
    </w:p>
    <w:p w:rsidR="002D25F9" w:rsidRPr="00C80BF1" w:rsidRDefault="002D25F9" w:rsidP="002D25F9">
      <w:pPr>
        <w:pStyle w:val="H23G"/>
        <w:rPr>
          <w:lang w:val="fr-FR"/>
        </w:rPr>
      </w:pPr>
      <w:r>
        <w:rPr>
          <w:lang w:val="fr-FR"/>
        </w:rPr>
        <w:tab/>
      </w:r>
      <w:r>
        <w:rPr>
          <w:lang w:val="fr-FR"/>
        </w:rPr>
        <w:tab/>
      </w:r>
      <w:r w:rsidRPr="00C80BF1">
        <w:rPr>
          <w:lang w:val="fr-FR"/>
        </w:rPr>
        <w:t>Teneur de la plainte</w:t>
      </w:r>
    </w:p>
    <w:p w:rsidR="002D25F9" w:rsidRPr="00C80BF1" w:rsidRDefault="002D25F9" w:rsidP="002D25F9">
      <w:pPr>
        <w:pStyle w:val="SingleTxtG"/>
        <w:rPr>
          <w:lang w:val="fr-FR"/>
        </w:rPr>
      </w:pPr>
      <w:r>
        <w:rPr>
          <w:lang w:val="fr-FR"/>
        </w:rPr>
        <w:t>3.1</w:t>
      </w:r>
      <w:r>
        <w:rPr>
          <w:lang w:val="fr-FR"/>
        </w:rPr>
        <w:tab/>
      </w:r>
      <w:r w:rsidRPr="00C80BF1">
        <w:rPr>
          <w:lang w:val="fr-FR"/>
        </w:rPr>
        <w:t>L</w:t>
      </w:r>
      <w:r>
        <w:rPr>
          <w:lang w:val="fr-FR"/>
        </w:rPr>
        <w:t>’auteur</w:t>
      </w:r>
      <w:r w:rsidRPr="00C80BF1">
        <w:rPr>
          <w:lang w:val="fr-FR"/>
        </w:rPr>
        <w:t xml:space="preserve"> soutient que son arrestation et sa condamnation pour l</w:t>
      </w:r>
      <w:r>
        <w:rPr>
          <w:lang w:val="fr-FR"/>
        </w:rPr>
        <w:t>’</w:t>
      </w:r>
      <w:r w:rsidRPr="00C80BF1">
        <w:rPr>
          <w:lang w:val="fr-FR"/>
        </w:rPr>
        <w:t>organisation d</w:t>
      </w:r>
      <w:r>
        <w:rPr>
          <w:lang w:val="fr-FR"/>
        </w:rPr>
        <w:t>’</w:t>
      </w:r>
      <w:r w:rsidRPr="00C80BF1">
        <w:rPr>
          <w:lang w:val="fr-FR"/>
        </w:rPr>
        <w:t>un</w:t>
      </w:r>
      <w:r>
        <w:rPr>
          <w:lang w:val="fr-FR"/>
        </w:rPr>
        <w:t> </w:t>
      </w:r>
      <w:r w:rsidRPr="00C80BF1">
        <w:rPr>
          <w:i/>
          <w:lang w:val="fr-FR"/>
        </w:rPr>
        <w:t>art-mob</w:t>
      </w:r>
      <w:r w:rsidRPr="00C80BF1">
        <w:rPr>
          <w:lang w:val="fr-FR"/>
        </w:rPr>
        <w:t xml:space="preserve"> sont contraires aux droits qu</w:t>
      </w:r>
      <w:r>
        <w:rPr>
          <w:lang w:val="fr-FR"/>
        </w:rPr>
        <w:t>’</w:t>
      </w:r>
      <w:r w:rsidRPr="00C80BF1">
        <w:rPr>
          <w:lang w:val="fr-FR"/>
        </w:rPr>
        <w:t xml:space="preserve">elle tient de </w:t>
      </w:r>
      <w:r>
        <w:rPr>
          <w:lang w:val="fr-FR"/>
        </w:rPr>
        <w:t>la Constitution et des articles </w:t>
      </w:r>
      <w:r w:rsidRPr="00C80BF1">
        <w:rPr>
          <w:lang w:val="fr-FR"/>
        </w:rPr>
        <w:t>9 (pa</w:t>
      </w:r>
      <w:r>
        <w:rPr>
          <w:lang w:val="fr-FR"/>
        </w:rPr>
        <w:t>r. 1), 12, (par. </w:t>
      </w:r>
      <w:r w:rsidRPr="00C80BF1">
        <w:rPr>
          <w:lang w:val="fr-FR"/>
        </w:rPr>
        <w:t>1), 19 et 21 du Pacte.</w:t>
      </w:r>
    </w:p>
    <w:p w:rsidR="002D25F9" w:rsidRPr="00C80BF1" w:rsidRDefault="002D25F9" w:rsidP="002D25F9">
      <w:pPr>
        <w:pStyle w:val="SingleTxtG"/>
        <w:rPr>
          <w:lang w:val="fr-FR"/>
        </w:rPr>
      </w:pPr>
      <w:r>
        <w:rPr>
          <w:lang w:val="fr-FR"/>
        </w:rPr>
        <w:t>3.2</w:t>
      </w:r>
      <w:r>
        <w:rPr>
          <w:lang w:val="fr-FR"/>
        </w:rPr>
        <w:tab/>
      </w:r>
      <w:r w:rsidRPr="00C80BF1">
        <w:rPr>
          <w:lang w:val="fr-FR"/>
        </w:rPr>
        <w:t>L</w:t>
      </w:r>
      <w:r>
        <w:rPr>
          <w:lang w:val="fr-FR"/>
        </w:rPr>
        <w:t>’auteur</w:t>
      </w:r>
      <w:r w:rsidRPr="00C80BF1">
        <w:rPr>
          <w:lang w:val="fr-FR"/>
        </w:rPr>
        <w:t xml:space="preserve"> affirme que son arrestation </w:t>
      </w:r>
      <w:r>
        <w:rPr>
          <w:lang w:val="fr-FR"/>
        </w:rPr>
        <w:t>est</w:t>
      </w:r>
      <w:r w:rsidRPr="00C80BF1">
        <w:rPr>
          <w:lang w:val="fr-FR"/>
        </w:rPr>
        <w:t xml:space="preserve"> contraire à l</w:t>
      </w:r>
      <w:r>
        <w:rPr>
          <w:lang w:val="fr-FR"/>
        </w:rPr>
        <w:t>’article </w:t>
      </w:r>
      <w:r w:rsidRPr="00C80BF1">
        <w:rPr>
          <w:lang w:val="fr-FR"/>
        </w:rPr>
        <w:t>9 du Pacte dans la mesure où il lui a été dit qu</w:t>
      </w:r>
      <w:r>
        <w:rPr>
          <w:lang w:val="fr-FR"/>
        </w:rPr>
        <w:t>’</w:t>
      </w:r>
      <w:r w:rsidRPr="00C80BF1">
        <w:rPr>
          <w:lang w:val="fr-FR"/>
        </w:rPr>
        <w:t>elle était arrêtée en vertu de l</w:t>
      </w:r>
      <w:r>
        <w:rPr>
          <w:lang w:val="fr-FR"/>
        </w:rPr>
        <w:t>’article </w:t>
      </w:r>
      <w:r w:rsidRPr="00C80BF1">
        <w:rPr>
          <w:lang w:val="fr-FR"/>
        </w:rPr>
        <w:t>620 du Code de procédure administrative, qui autorise la détention administrative dans le but de faire cesser une infraction administrative, alors qu</w:t>
      </w:r>
      <w:r>
        <w:rPr>
          <w:lang w:val="fr-FR"/>
        </w:rPr>
        <w:t>’</w:t>
      </w:r>
      <w:r w:rsidRPr="00C80BF1">
        <w:rPr>
          <w:lang w:val="fr-FR"/>
        </w:rPr>
        <w:t>au moment de son arrestation elle ne commettait aucune infraction.</w:t>
      </w:r>
    </w:p>
    <w:p w:rsidR="002D25F9" w:rsidRPr="00C80BF1" w:rsidRDefault="002D25F9" w:rsidP="002D25F9">
      <w:pPr>
        <w:pStyle w:val="SingleTxtG"/>
        <w:rPr>
          <w:lang w:val="fr-FR"/>
        </w:rPr>
      </w:pPr>
      <w:r w:rsidRPr="00C80BF1">
        <w:rPr>
          <w:lang w:val="fr-FR"/>
        </w:rPr>
        <w:t>3.3</w:t>
      </w:r>
      <w:r>
        <w:rPr>
          <w:lang w:val="fr-FR"/>
        </w:rPr>
        <w:tab/>
      </w:r>
      <w:r w:rsidRPr="00C80BF1">
        <w:rPr>
          <w:lang w:val="fr-FR"/>
        </w:rPr>
        <w:t>L</w:t>
      </w:r>
      <w:r>
        <w:rPr>
          <w:lang w:val="fr-FR"/>
        </w:rPr>
        <w:t>’auteur</w:t>
      </w:r>
      <w:r w:rsidRPr="00C80BF1">
        <w:rPr>
          <w:lang w:val="fr-FR"/>
        </w:rPr>
        <w:t xml:space="preserve"> </w:t>
      </w:r>
      <w:r>
        <w:rPr>
          <w:lang w:val="fr-FR"/>
        </w:rPr>
        <w:t>fait valoir</w:t>
      </w:r>
      <w:r w:rsidRPr="00C80BF1">
        <w:rPr>
          <w:lang w:val="fr-FR"/>
        </w:rPr>
        <w:t xml:space="preserve"> qu</w:t>
      </w:r>
      <w:r>
        <w:rPr>
          <w:lang w:val="fr-FR"/>
        </w:rPr>
        <w:t>’</w:t>
      </w:r>
      <w:r w:rsidRPr="00C80BF1">
        <w:rPr>
          <w:lang w:val="fr-FR"/>
        </w:rPr>
        <w:t>en organisant l</w:t>
      </w:r>
      <w:r>
        <w:rPr>
          <w:lang w:val="fr-FR"/>
        </w:rPr>
        <w:t>’</w:t>
      </w:r>
      <w:r w:rsidRPr="00C80BF1">
        <w:rPr>
          <w:i/>
          <w:lang w:val="fr-FR"/>
        </w:rPr>
        <w:t>art-mob</w:t>
      </w:r>
      <w:r w:rsidRPr="00C80BF1">
        <w:rPr>
          <w:lang w:val="fr-FR"/>
        </w:rPr>
        <w:t xml:space="preserve"> elle exprimait son opinion, ce qui est son droit en vertu de l</w:t>
      </w:r>
      <w:r>
        <w:rPr>
          <w:lang w:val="fr-FR"/>
        </w:rPr>
        <w:t>’article </w:t>
      </w:r>
      <w:r w:rsidRPr="00C80BF1">
        <w:rPr>
          <w:lang w:val="fr-FR"/>
        </w:rPr>
        <w:t>19 du Pacte. Elle avance que les poursuites engagées contre elle étaient motivées en droit par une violation des règles concernant l</w:t>
      </w:r>
      <w:r>
        <w:rPr>
          <w:lang w:val="fr-FR"/>
        </w:rPr>
        <w:t>’</w:t>
      </w:r>
      <w:r w:rsidRPr="00C80BF1">
        <w:rPr>
          <w:lang w:val="fr-FR"/>
        </w:rPr>
        <w:t xml:space="preserve">organisation et la tenue de réunions, mais motivées en fait par son intervention publique sur une question politique, plus particulièrement celle de savoir dans quelle mesure la population kazakhe fait confiance aux </w:t>
      </w:r>
      <w:r>
        <w:rPr>
          <w:lang w:val="fr-FR"/>
        </w:rPr>
        <w:t>hommes politiques</w:t>
      </w:r>
      <w:r w:rsidRPr="00C80BF1">
        <w:rPr>
          <w:lang w:val="fr-FR"/>
        </w:rPr>
        <w:t>. L</w:t>
      </w:r>
      <w:r>
        <w:rPr>
          <w:lang w:val="fr-FR"/>
        </w:rPr>
        <w:t>’auteur</w:t>
      </w:r>
      <w:r w:rsidRPr="00C80BF1">
        <w:rPr>
          <w:lang w:val="fr-FR"/>
        </w:rPr>
        <w:t xml:space="preserve"> fait valoir que la liberté d</w:t>
      </w:r>
      <w:r>
        <w:rPr>
          <w:lang w:val="fr-FR"/>
        </w:rPr>
        <w:t>’</w:t>
      </w:r>
      <w:r w:rsidRPr="00C80BF1">
        <w:rPr>
          <w:lang w:val="fr-FR"/>
        </w:rPr>
        <w:t>expression est protégée par le paragraphe</w:t>
      </w:r>
      <w:r>
        <w:rPr>
          <w:lang w:val="fr-FR"/>
        </w:rPr>
        <w:t> </w:t>
      </w:r>
      <w:r w:rsidRPr="00C80BF1">
        <w:rPr>
          <w:lang w:val="fr-FR"/>
        </w:rPr>
        <w:t>2 de l</w:t>
      </w:r>
      <w:r>
        <w:rPr>
          <w:lang w:val="fr-FR"/>
        </w:rPr>
        <w:t>’article </w:t>
      </w:r>
      <w:r w:rsidRPr="00C80BF1">
        <w:rPr>
          <w:lang w:val="fr-FR"/>
        </w:rPr>
        <w:t xml:space="preserve">19 du Pacte, que cette protection </w:t>
      </w:r>
      <w:r w:rsidRPr="00C80BF1">
        <w:t>comprend le droit des individus d</w:t>
      </w:r>
      <w:r>
        <w:t>’</w:t>
      </w:r>
      <w:r w:rsidRPr="00C80BF1">
        <w:t>émettre des critiques ou de porter des appréciations ouvertement et publiquement à l</w:t>
      </w:r>
      <w:r>
        <w:t>’</w:t>
      </w:r>
      <w:r w:rsidRPr="00C80BF1">
        <w:t>égard de leur gouvernement sans crainte d</w:t>
      </w:r>
      <w:r>
        <w:t>’</w:t>
      </w:r>
      <w:r w:rsidRPr="00C80BF1">
        <w:t>intervention ou de répression</w:t>
      </w:r>
      <w:r w:rsidRPr="00C42E14">
        <w:rPr>
          <w:rStyle w:val="FootnoteReference"/>
        </w:rPr>
        <w:footnoteReference w:id="4"/>
      </w:r>
      <w:r w:rsidRPr="00C80BF1">
        <w:rPr>
          <w:lang w:val="fr-FR"/>
        </w:rPr>
        <w:t>, et qu</w:t>
      </w:r>
      <w:r>
        <w:rPr>
          <w:lang w:val="fr-FR"/>
        </w:rPr>
        <w:t>’</w:t>
      </w:r>
      <w:r w:rsidRPr="00C80BF1">
        <w:rPr>
          <w:lang w:val="fr-FR"/>
        </w:rPr>
        <w:t xml:space="preserve">elle a été </w:t>
      </w:r>
      <w:r>
        <w:rPr>
          <w:lang w:val="fr-FR"/>
        </w:rPr>
        <w:t>sanctionnée</w:t>
      </w:r>
      <w:r w:rsidRPr="00C80BF1">
        <w:rPr>
          <w:lang w:val="fr-FR"/>
        </w:rPr>
        <w:t xml:space="preserve"> pour avoir exercé sa liberté d</w:t>
      </w:r>
      <w:r>
        <w:rPr>
          <w:lang w:val="fr-FR"/>
        </w:rPr>
        <w:t>’</w:t>
      </w:r>
      <w:r w:rsidRPr="00C80BF1">
        <w:rPr>
          <w:lang w:val="fr-FR"/>
        </w:rPr>
        <w:t>expression sous une forme artistique. Il s</w:t>
      </w:r>
      <w:r>
        <w:rPr>
          <w:lang w:val="fr-FR"/>
        </w:rPr>
        <w:t>’</w:t>
      </w:r>
      <w:r w:rsidRPr="00C80BF1">
        <w:rPr>
          <w:lang w:val="fr-FR"/>
        </w:rPr>
        <w:t xml:space="preserve">ensuit que </w:t>
      </w:r>
      <w:r w:rsidRPr="00C80BF1">
        <w:t>sa détention illégale motivée par son intervention publique, sa condamnation et sa peine, ainsi que la menace de voir réprimer de la même façon toute expression future d</w:t>
      </w:r>
      <w:r>
        <w:t>’</w:t>
      </w:r>
      <w:r w:rsidRPr="00C80BF1">
        <w:t>une opinion, sont autant d</w:t>
      </w:r>
      <w:r>
        <w:t>’</w:t>
      </w:r>
      <w:r w:rsidRPr="00C80BF1">
        <w:t>atteintes à sa liberté d</w:t>
      </w:r>
      <w:r>
        <w:t>’</w:t>
      </w:r>
      <w:r w:rsidRPr="00C80BF1">
        <w:t>expression</w:t>
      </w:r>
      <w:r w:rsidRPr="00C80BF1">
        <w:rPr>
          <w:lang w:val="fr-FR"/>
        </w:rPr>
        <w:t>.</w:t>
      </w:r>
    </w:p>
    <w:p w:rsidR="002D25F9" w:rsidRPr="00C80BF1" w:rsidRDefault="002D25F9" w:rsidP="002D25F9">
      <w:pPr>
        <w:pStyle w:val="SingleTxtG"/>
        <w:rPr>
          <w:lang w:val="fr-FR"/>
        </w:rPr>
      </w:pPr>
      <w:r>
        <w:rPr>
          <w:lang w:val="fr-FR"/>
        </w:rPr>
        <w:t>3.4</w:t>
      </w:r>
      <w:r>
        <w:rPr>
          <w:lang w:val="fr-FR"/>
        </w:rPr>
        <w:tab/>
      </w:r>
      <w:r w:rsidRPr="00C80BF1">
        <w:rPr>
          <w:lang w:val="fr-FR"/>
        </w:rPr>
        <w:t>L</w:t>
      </w:r>
      <w:r>
        <w:rPr>
          <w:lang w:val="fr-FR"/>
        </w:rPr>
        <w:t>’auteur</w:t>
      </w:r>
      <w:r w:rsidRPr="00C80BF1">
        <w:rPr>
          <w:lang w:val="fr-FR"/>
        </w:rPr>
        <w:t xml:space="preserve"> fait valoir que les restrictions décrites ci-dessus ne sont pas</w:t>
      </w:r>
      <w:r>
        <w:rPr>
          <w:lang w:val="fr-FR"/>
        </w:rPr>
        <w:t xml:space="preserve"> compatibles avec le paragraphe 3 de l’article </w:t>
      </w:r>
      <w:r w:rsidRPr="00C80BF1">
        <w:rPr>
          <w:lang w:val="fr-FR"/>
        </w:rPr>
        <w:t>19 du Pacte</w:t>
      </w:r>
      <w:r>
        <w:rPr>
          <w:lang w:val="fr-FR"/>
        </w:rPr>
        <w:t>, selon lequel, si </w:t>
      </w:r>
      <w:r w:rsidRPr="00C80BF1">
        <w:rPr>
          <w:lang w:val="fr-FR"/>
        </w:rPr>
        <w:t>l</w:t>
      </w:r>
      <w:r>
        <w:rPr>
          <w:lang w:val="fr-FR"/>
        </w:rPr>
        <w:t>’</w:t>
      </w:r>
      <w:r w:rsidRPr="00C80BF1">
        <w:rPr>
          <w:lang w:val="fr-FR"/>
        </w:rPr>
        <w:t>exercice du droit à la liberté d</w:t>
      </w:r>
      <w:r>
        <w:rPr>
          <w:lang w:val="fr-FR"/>
        </w:rPr>
        <w:t>’</w:t>
      </w:r>
      <w:r w:rsidRPr="00C80BF1">
        <w:rPr>
          <w:lang w:val="fr-FR"/>
        </w:rPr>
        <w:t>expression peut faire l</w:t>
      </w:r>
      <w:r>
        <w:rPr>
          <w:lang w:val="fr-FR"/>
        </w:rPr>
        <w:t>’</w:t>
      </w:r>
      <w:r w:rsidRPr="00C80BF1">
        <w:rPr>
          <w:lang w:val="fr-FR"/>
        </w:rPr>
        <w:t>objet de certaines restrictions, celles-ci doivent toutefois être prévues par la loi et nécessaires</w:t>
      </w:r>
      <w:r>
        <w:rPr>
          <w:lang w:val="fr-FR"/>
        </w:rPr>
        <w:t>:</w:t>
      </w:r>
      <w:r w:rsidRPr="00C80BF1">
        <w:rPr>
          <w:lang w:val="fr-FR"/>
        </w:rPr>
        <w:t xml:space="preserve"> </w:t>
      </w:r>
      <w:r>
        <w:rPr>
          <w:lang w:val="fr-FR"/>
        </w:rPr>
        <w:t>a) </w:t>
      </w:r>
      <w:r w:rsidRPr="00C80BF1">
        <w:rPr>
          <w:lang w:val="fr-FR"/>
        </w:rPr>
        <w:t>au respect des droits ou de la réputation d</w:t>
      </w:r>
      <w:r>
        <w:rPr>
          <w:lang w:val="fr-FR"/>
        </w:rPr>
        <w:t>’</w:t>
      </w:r>
      <w:r w:rsidRPr="00C80BF1">
        <w:rPr>
          <w:lang w:val="fr-FR"/>
        </w:rPr>
        <w:t>autrui</w:t>
      </w:r>
      <w:r w:rsidR="002E2C05">
        <w:rPr>
          <w:lang w:val="fr-FR"/>
        </w:rPr>
        <w:t>;</w:t>
      </w:r>
      <w:r>
        <w:rPr>
          <w:lang w:val="fr-FR"/>
        </w:rPr>
        <w:t xml:space="preserve"> ou b) </w:t>
      </w:r>
      <w:r w:rsidRPr="00C80BF1">
        <w:rPr>
          <w:lang w:val="fr-FR"/>
        </w:rPr>
        <w:t xml:space="preserve">à la sauvegarde de la sécurité nationale ou </w:t>
      </w:r>
      <w:r>
        <w:rPr>
          <w:lang w:val="fr-FR"/>
        </w:rPr>
        <w:t xml:space="preserve">de </w:t>
      </w:r>
      <w:r w:rsidRPr="00C80BF1">
        <w:rPr>
          <w:lang w:val="fr-FR"/>
        </w:rPr>
        <w:t>l</w:t>
      </w:r>
      <w:r>
        <w:rPr>
          <w:lang w:val="fr-FR"/>
        </w:rPr>
        <w:t>’</w:t>
      </w:r>
      <w:r w:rsidRPr="00C80BF1">
        <w:rPr>
          <w:lang w:val="fr-FR"/>
        </w:rPr>
        <w:t>ordre public, ou de la santé ou la morali</w:t>
      </w:r>
      <w:r>
        <w:rPr>
          <w:lang w:val="fr-FR"/>
        </w:rPr>
        <w:t>té publiques. Elle rappelle que</w:t>
      </w:r>
      <w:r w:rsidRPr="00C80BF1">
        <w:rPr>
          <w:lang w:val="fr-FR"/>
        </w:rPr>
        <w:t xml:space="preserve"> dans l</w:t>
      </w:r>
      <w:r>
        <w:rPr>
          <w:lang w:val="fr-FR"/>
        </w:rPr>
        <w:t>’</w:t>
      </w:r>
      <w:r w:rsidRPr="00C80BF1">
        <w:rPr>
          <w:lang w:val="fr-FR"/>
        </w:rPr>
        <w:t>inter</w:t>
      </w:r>
      <w:r>
        <w:rPr>
          <w:lang w:val="fr-FR"/>
        </w:rPr>
        <w:t xml:space="preserve">prétation de ces exceptions le </w:t>
      </w:r>
      <w:r w:rsidRPr="00C80BF1">
        <w:rPr>
          <w:lang w:val="fr-FR"/>
        </w:rPr>
        <w:t>Comité a noté que de telles restrictions ne pouvaient</w:t>
      </w:r>
      <w:r w:rsidRPr="00C80BF1">
        <w:t xml:space="preserve"> «en aucun cas porter atteinte au droit lui-même</w:t>
      </w:r>
      <w:r w:rsidRPr="00C80BF1">
        <w:rPr>
          <w:lang w:val="fr-FR"/>
        </w:rPr>
        <w:t>»</w:t>
      </w:r>
      <w:r w:rsidRPr="00C42E14">
        <w:rPr>
          <w:rStyle w:val="FootnoteReference"/>
        </w:rPr>
        <w:footnoteReference w:id="5"/>
      </w:r>
      <w:r w:rsidRPr="00C80BF1">
        <w:rPr>
          <w:lang w:val="fr-FR"/>
        </w:rPr>
        <w:t>, et devaient «être rigoureusement justifiée[s]»</w:t>
      </w:r>
      <w:r w:rsidRPr="00C42E14">
        <w:rPr>
          <w:rStyle w:val="FootnoteReference"/>
        </w:rPr>
        <w:footnoteReference w:id="6"/>
      </w:r>
      <w:r w:rsidRPr="00C80BF1">
        <w:rPr>
          <w:lang w:val="fr-FR"/>
        </w:rPr>
        <w:t>. D</w:t>
      </w:r>
      <w:r>
        <w:rPr>
          <w:lang w:val="fr-FR"/>
        </w:rPr>
        <w:t>’</w:t>
      </w:r>
      <w:r w:rsidRPr="00C80BF1">
        <w:rPr>
          <w:lang w:val="fr-FR"/>
        </w:rPr>
        <w:t>après la jurisprudence du</w:t>
      </w:r>
      <w:r>
        <w:rPr>
          <w:lang w:val="fr-FR"/>
        </w:rPr>
        <w:t> </w:t>
      </w:r>
      <w:r w:rsidRPr="00C80BF1">
        <w:rPr>
          <w:lang w:val="fr-FR"/>
        </w:rPr>
        <w:t>Comité, une restriction du droit à la liberté d</w:t>
      </w:r>
      <w:r>
        <w:rPr>
          <w:lang w:val="fr-FR"/>
        </w:rPr>
        <w:t>’</w:t>
      </w:r>
      <w:r w:rsidRPr="00C80BF1">
        <w:rPr>
          <w:lang w:val="fr-FR"/>
        </w:rPr>
        <w:t>expr</w:t>
      </w:r>
      <w:r>
        <w:rPr>
          <w:lang w:val="fr-FR"/>
        </w:rPr>
        <w:t>ession doit, pour être légitime</w:t>
      </w:r>
      <w:r w:rsidRPr="00C80BF1">
        <w:rPr>
          <w:lang w:val="fr-FR"/>
        </w:rPr>
        <w:t>:</w:t>
      </w:r>
      <w:r>
        <w:rPr>
          <w:lang w:val="fr-FR"/>
        </w:rPr>
        <w:t xml:space="preserve"> a) </w:t>
      </w:r>
      <w:r w:rsidRPr="00C80BF1">
        <w:rPr>
          <w:lang w:val="fr-FR"/>
        </w:rPr>
        <w:t>être prévue par la loi</w:t>
      </w:r>
      <w:r>
        <w:rPr>
          <w:lang w:val="fr-FR"/>
        </w:rPr>
        <w:t>; b) </w:t>
      </w:r>
      <w:r w:rsidRPr="00C80BF1">
        <w:rPr>
          <w:lang w:val="fr-FR"/>
        </w:rPr>
        <w:t>avoir pour objet la protection de l</w:t>
      </w:r>
      <w:r>
        <w:rPr>
          <w:lang w:val="fr-FR"/>
        </w:rPr>
        <w:t>’</w:t>
      </w:r>
      <w:r w:rsidRPr="00C80BF1">
        <w:rPr>
          <w:lang w:val="fr-FR"/>
        </w:rPr>
        <w:t>une des fins énumérées</w:t>
      </w:r>
      <w:r>
        <w:rPr>
          <w:lang w:val="fr-FR"/>
        </w:rPr>
        <w:t>;</w:t>
      </w:r>
      <w:r w:rsidRPr="00C80BF1">
        <w:rPr>
          <w:lang w:val="fr-FR"/>
        </w:rPr>
        <w:t xml:space="preserve"> </w:t>
      </w:r>
      <w:r>
        <w:rPr>
          <w:lang w:val="fr-FR"/>
        </w:rPr>
        <w:t>et c) </w:t>
      </w:r>
      <w:r w:rsidRPr="00C80BF1">
        <w:rPr>
          <w:lang w:val="fr-FR"/>
        </w:rPr>
        <w:t>être nécessaire pour atteindre cette fin</w:t>
      </w:r>
      <w:r w:rsidRPr="00C80BF1">
        <w:rPr>
          <w:vertAlign w:val="superscript"/>
        </w:rPr>
        <w:footnoteReference w:id="7"/>
      </w:r>
      <w:r w:rsidRPr="00C80BF1">
        <w:rPr>
          <w:lang w:val="fr-FR"/>
        </w:rPr>
        <w:t>. L</w:t>
      </w:r>
      <w:r>
        <w:rPr>
          <w:lang w:val="fr-FR"/>
        </w:rPr>
        <w:t>’auteur</w:t>
      </w:r>
      <w:r w:rsidRPr="00C80BF1">
        <w:rPr>
          <w:lang w:val="fr-FR"/>
        </w:rPr>
        <w:t xml:space="preserve"> </w:t>
      </w:r>
      <w:r>
        <w:rPr>
          <w:lang w:val="fr-FR"/>
        </w:rPr>
        <w:t>ajoute</w:t>
      </w:r>
      <w:r w:rsidRPr="00C80BF1">
        <w:rPr>
          <w:lang w:val="fr-FR"/>
        </w:rPr>
        <w:t xml:space="preserve"> que le Comité a toujours estimé que «</w:t>
      </w:r>
      <w:r w:rsidRPr="00C80BF1">
        <w:t>l</w:t>
      </w:r>
      <w:r>
        <w:t>’</w:t>
      </w:r>
      <w:r w:rsidRPr="00C80BF1">
        <w:t>État partie doit démontrer de manière spécifique la nature précise de la menace que la conduite de l</w:t>
      </w:r>
      <w:r>
        <w:t>’</w:t>
      </w:r>
      <w:r w:rsidRPr="00C80BF1">
        <w:t xml:space="preserve">auteur </w:t>
      </w:r>
      <w:r>
        <w:t xml:space="preserve">[d’une communication] </w:t>
      </w:r>
      <w:r w:rsidRPr="00C80BF1">
        <w:t>représente pour l</w:t>
      </w:r>
      <w:r>
        <w:t>’</w:t>
      </w:r>
      <w:r w:rsidRPr="00C80BF1">
        <w:t>une quelconque des fins spécifiées</w:t>
      </w:r>
      <w:r w:rsidRPr="00C80BF1">
        <w:rPr>
          <w:lang w:val="fr-FR"/>
        </w:rPr>
        <w:t>»</w:t>
      </w:r>
      <w:r w:rsidRPr="00C42E14">
        <w:rPr>
          <w:rStyle w:val="FootnoteReference"/>
        </w:rPr>
        <w:footnoteReference w:id="8"/>
      </w:r>
      <w:r w:rsidRPr="00C80BF1">
        <w:rPr>
          <w:lang w:val="fr-FR"/>
        </w:rPr>
        <w:t xml:space="preserve">, </w:t>
      </w:r>
      <w:r>
        <w:rPr>
          <w:lang w:val="fr-FR"/>
        </w:rPr>
        <w:t xml:space="preserve">et que, </w:t>
      </w:r>
      <w:r w:rsidRPr="00C80BF1">
        <w:rPr>
          <w:lang w:val="fr-FR"/>
        </w:rPr>
        <w:t>dans son cas</w:t>
      </w:r>
      <w:r>
        <w:rPr>
          <w:lang w:val="fr-FR"/>
        </w:rPr>
        <w:t>,</w:t>
      </w:r>
      <w:r w:rsidRPr="00C80BF1">
        <w:rPr>
          <w:lang w:val="fr-FR"/>
        </w:rPr>
        <w:t xml:space="preserve"> la limitation imposée </w:t>
      </w:r>
      <w:r>
        <w:rPr>
          <w:lang w:val="fr-FR"/>
        </w:rPr>
        <w:t>au</w:t>
      </w:r>
      <w:r w:rsidRPr="00C80BF1">
        <w:rPr>
          <w:lang w:val="fr-FR"/>
        </w:rPr>
        <w:t xml:space="preserve"> droit à la liberté d</w:t>
      </w:r>
      <w:r>
        <w:rPr>
          <w:lang w:val="fr-FR"/>
        </w:rPr>
        <w:t>’</w:t>
      </w:r>
      <w:r w:rsidRPr="00C80BF1">
        <w:rPr>
          <w:lang w:val="fr-FR"/>
        </w:rPr>
        <w:t>expression n</w:t>
      </w:r>
      <w:r>
        <w:rPr>
          <w:lang w:val="fr-FR"/>
        </w:rPr>
        <w:t>’</w:t>
      </w:r>
      <w:r w:rsidRPr="00C80BF1">
        <w:rPr>
          <w:lang w:val="fr-FR"/>
        </w:rPr>
        <w:t>était motivée ni par les besoins de la sécurité nationale ni par la protection des droits et de la réputation d</w:t>
      </w:r>
      <w:r>
        <w:rPr>
          <w:lang w:val="fr-FR"/>
        </w:rPr>
        <w:t>’</w:t>
      </w:r>
      <w:r w:rsidRPr="00C80BF1">
        <w:rPr>
          <w:lang w:val="fr-FR"/>
        </w:rPr>
        <w:t>autrui. Si la restriction découlait d</w:t>
      </w:r>
      <w:r>
        <w:rPr>
          <w:lang w:val="fr-FR"/>
        </w:rPr>
        <w:t>’</w:t>
      </w:r>
      <w:r w:rsidRPr="00C80BF1">
        <w:rPr>
          <w:lang w:val="fr-FR"/>
        </w:rPr>
        <w:t>une menace pour la sécurité nationale, l</w:t>
      </w:r>
      <w:r>
        <w:rPr>
          <w:lang w:val="fr-FR"/>
        </w:rPr>
        <w:t>’</w:t>
      </w:r>
      <w:r w:rsidRPr="00C80BF1">
        <w:rPr>
          <w:lang w:val="fr-FR"/>
        </w:rPr>
        <w:t>État partie aurait dû fournir une justification détaillée et exposer la nature précise de la menace. L</w:t>
      </w:r>
      <w:r>
        <w:rPr>
          <w:lang w:val="fr-FR"/>
        </w:rPr>
        <w:t>’auteur</w:t>
      </w:r>
      <w:r w:rsidRPr="00C80BF1">
        <w:rPr>
          <w:lang w:val="fr-FR"/>
        </w:rPr>
        <w:t xml:space="preserve"> affirme en outre que son intervention publique avait trait à la méfiance que la population kazakhe est susceptible d</w:t>
      </w:r>
      <w:r>
        <w:rPr>
          <w:lang w:val="fr-FR"/>
        </w:rPr>
        <w:t>’</w:t>
      </w:r>
      <w:r w:rsidRPr="00C80BF1">
        <w:rPr>
          <w:lang w:val="fr-FR"/>
        </w:rPr>
        <w:t>éprouver envers les responsables politiques, que la question faisait l</w:t>
      </w:r>
      <w:r>
        <w:rPr>
          <w:lang w:val="fr-FR"/>
        </w:rPr>
        <w:t>’</w:t>
      </w:r>
      <w:r w:rsidRPr="00C80BF1">
        <w:rPr>
          <w:lang w:val="fr-FR"/>
        </w:rPr>
        <w:t xml:space="preserve">objet de débats </w:t>
      </w:r>
      <w:r>
        <w:rPr>
          <w:lang w:val="fr-FR"/>
        </w:rPr>
        <w:t>publics constants au Kazakhstan</w:t>
      </w:r>
      <w:r w:rsidRPr="00C80BF1">
        <w:rPr>
          <w:lang w:val="fr-FR"/>
        </w:rPr>
        <w:t xml:space="preserve"> et que, par conséqu</w:t>
      </w:r>
      <w:r>
        <w:rPr>
          <w:lang w:val="fr-FR"/>
        </w:rPr>
        <w:t xml:space="preserve">ent, le Gouvernement ne pouvait </w:t>
      </w:r>
      <w:r w:rsidRPr="00C80BF1">
        <w:rPr>
          <w:lang w:val="fr-FR"/>
        </w:rPr>
        <w:t>pas prétendre que la restriction de son droit à la liberté d</w:t>
      </w:r>
      <w:r>
        <w:rPr>
          <w:lang w:val="fr-FR"/>
        </w:rPr>
        <w:t>’</w:t>
      </w:r>
      <w:r w:rsidRPr="00C80BF1">
        <w:rPr>
          <w:lang w:val="fr-FR"/>
        </w:rPr>
        <w:t xml:space="preserve">expression avait pour but de protéger les droits </w:t>
      </w:r>
      <w:r>
        <w:rPr>
          <w:lang w:val="fr-FR"/>
        </w:rPr>
        <w:t xml:space="preserve">ou </w:t>
      </w:r>
      <w:r w:rsidRPr="00C80BF1">
        <w:rPr>
          <w:lang w:val="fr-FR"/>
        </w:rPr>
        <w:t>la réputation d</w:t>
      </w:r>
      <w:r>
        <w:rPr>
          <w:lang w:val="fr-FR"/>
        </w:rPr>
        <w:t>’</w:t>
      </w:r>
      <w:r w:rsidRPr="00C80BF1">
        <w:rPr>
          <w:lang w:val="fr-FR"/>
        </w:rPr>
        <w:t>autru</w:t>
      </w:r>
      <w:r>
        <w:rPr>
          <w:lang w:val="fr-FR"/>
        </w:rPr>
        <w:t>i</w:t>
      </w:r>
      <w:r w:rsidRPr="00C80BF1">
        <w:rPr>
          <w:lang w:val="fr-FR"/>
        </w:rPr>
        <w:t>. L</w:t>
      </w:r>
      <w:r>
        <w:rPr>
          <w:lang w:val="fr-FR"/>
        </w:rPr>
        <w:t>’auteur</w:t>
      </w:r>
      <w:r w:rsidRPr="00C80BF1">
        <w:rPr>
          <w:lang w:val="fr-FR"/>
        </w:rPr>
        <w:t xml:space="preserve"> soutient enfin que, même s</w:t>
      </w:r>
      <w:r>
        <w:rPr>
          <w:lang w:val="fr-FR"/>
        </w:rPr>
        <w:t>’</w:t>
      </w:r>
      <w:r w:rsidRPr="00C80BF1">
        <w:rPr>
          <w:lang w:val="fr-FR"/>
        </w:rPr>
        <w:t>il établit l</w:t>
      </w:r>
      <w:r>
        <w:rPr>
          <w:lang w:val="fr-FR"/>
        </w:rPr>
        <w:t>’</w:t>
      </w:r>
      <w:r w:rsidRPr="00C80BF1">
        <w:rPr>
          <w:lang w:val="fr-FR"/>
        </w:rPr>
        <w:t>existence d</w:t>
      </w:r>
      <w:r>
        <w:rPr>
          <w:lang w:val="fr-FR"/>
        </w:rPr>
        <w:t>’</w:t>
      </w:r>
      <w:r w:rsidRPr="00C80BF1">
        <w:rPr>
          <w:lang w:val="fr-FR"/>
        </w:rPr>
        <w:t>une fin légitime justifiant la limitation, l</w:t>
      </w:r>
      <w:r>
        <w:rPr>
          <w:lang w:val="fr-FR"/>
        </w:rPr>
        <w:t>’</w:t>
      </w:r>
      <w:r w:rsidRPr="00C80BF1">
        <w:rPr>
          <w:lang w:val="fr-FR"/>
        </w:rPr>
        <w:t>État partie doit aussi démontrer que les mesures prises étaient nécessaires</w:t>
      </w:r>
      <w:r w:rsidRPr="00C42E14">
        <w:rPr>
          <w:rStyle w:val="FootnoteReference"/>
        </w:rPr>
        <w:footnoteReference w:id="9"/>
      </w:r>
      <w:r w:rsidRPr="00C80BF1">
        <w:rPr>
          <w:lang w:val="fr-FR"/>
        </w:rPr>
        <w:t xml:space="preserve"> pour servir cette fin. Elle fait valoir que le Comité a toujours observé que «le critère de nécessité implique la proportionnalité, c</w:t>
      </w:r>
      <w:r>
        <w:rPr>
          <w:lang w:val="fr-FR"/>
        </w:rPr>
        <w:t>’</w:t>
      </w:r>
      <w:r w:rsidRPr="00C80BF1">
        <w:rPr>
          <w:lang w:val="fr-FR"/>
        </w:rPr>
        <w:t>est-à-dire que l</w:t>
      </w:r>
      <w:r>
        <w:rPr>
          <w:lang w:val="fr-FR"/>
        </w:rPr>
        <w:t>’</w:t>
      </w:r>
      <w:r w:rsidRPr="00C80BF1">
        <w:rPr>
          <w:lang w:val="fr-FR"/>
        </w:rPr>
        <w:t>ampleur des restrictions imposées à la liberté d</w:t>
      </w:r>
      <w:r>
        <w:rPr>
          <w:lang w:val="fr-FR"/>
        </w:rPr>
        <w:t>’</w:t>
      </w:r>
      <w:r w:rsidRPr="00C80BF1">
        <w:rPr>
          <w:lang w:val="fr-FR"/>
        </w:rPr>
        <w:t>expression doit être en rapport avec la valeur que ces restrictions visent à protéger»</w:t>
      </w:r>
      <w:r w:rsidRPr="00C42E14">
        <w:rPr>
          <w:rStyle w:val="FootnoteReference"/>
        </w:rPr>
        <w:footnoteReference w:id="10"/>
      </w:r>
      <w:r w:rsidRPr="00C80BF1">
        <w:rPr>
          <w:lang w:val="fr-FR"/>
        </w:rPr>
        <w:t>. L</w:t>
      </w:r>
      <w:r>
        <w:rPr>
          <w:lang w:val="fr-FR"/>
        </w:rPr>
        <w:t>’</w:t>
      </w:r>
      <w:r w:rsidRPr="00C80BF1">
        <w:rPr>
          <w:lang w:val="fr-FR"/>
        </w:rPr>
        <w:t>État partie n</w:t>
      </w:r>
      <w:r>
        <w:rPr>
          <w:lang w:val="fr-FR"/>
        </w:rPr>
        <w:t>’</w:t>
      </w:r>
      <w:r w:rsidRPr="00C80BF1">
        <w:rPr>
          <w:lang w:val="fr-FR"/>
        </w:rPr>
        <w:t>ayant pas clairement expliqué, à travers les décisions de justice, quelle valeur il cherchait à protéger en imposant des restrictions à la liberté d</w:t>
      </w:r>
      <w:r>
        <w:rPr>
          <w:lang w:val="fr-FR"/>
        </w:rPr>
        <w:t>’</w:t>
      </w:r>
      <w:r w:rsidRPr="00C80BF1">
        <w:rPr>
          <w:lang w:val="fr-FR"/>
        </w:rPr>
        <w:t>expression de l</w:t>
      </w:r>
      <w:r>
        <w:rPr>
          <w:lang w:val="fr-FR"/>
        </w:rPr>
        <w:t>’auteur</w:t>
      </w:r>
      <w:r w:rsidRPr="00C80BF1">
        <w:rPr>
          <w:lang w:val="fr-FR"/>
        </w:rPr>
        <w:t>, les sanctions administratives infligées à cette dernière constituent une limitation de son droit à la liberté d</w:t>
      </w:r>
      <w:r>
        <w:rPr>
          <w:lang w:val="fr-FR"/>
        </w:rPr>
        <w:t>’</w:t>
      </w:r>
      <w:r w:rsidRPr="00C80BF1">
        <w:rPr>
          <w:lang w:val="fr-FR"/>
        </w:rPr>
        <w:t>expression tel qu</w:t>
      </w:r>
      <w:r>
        <w:rPr>
          <w:lang w:val="fr-FR"/>
        </w:rPr>
        <w:t>’</w:t>
      </w:r>
      <w:r w:rsidRPr="00C80BF1">
        <w:rPr>
          <w:lang w:val="fr-FR"/>
        </w:rPr>
        <w:t>i</w:t>
      </w:r>
      <w:r>
        <w:rPr>
          <w:lang w:val="fr-FR"/>
        </w:rPr>
        <w:t>l est protégé par le paragraphe 2 de l’article </w:t>
      </w:r>
      <w:r w:rsidRPr="00C80BF1">
        <w:rPr>
          <w:lang w:val="fr-FR"/>
        </w:rPr>
        <w:t>19</w:t>
      </w:r>
      <w:r>
        <w:rPr>
          <w:lang w:val="fr-FR"/>
        </w:rPr>
        <w:t xml:space="preserve"> du Pacte</w:t>
      </w:r>
      <w:r w:rsidRPr="00C80BF1">
        <w:rPr>
          <w:lang w:val="fr-FR"/>
        </w:rPr>
        <w:t>. L</w:t>
      </w:r>
      <w:r>
        <w:rPr>
          <w:lang w:val="fr-FR"/>
        </w:rPr>
        <w:t>’auteur</w:t>
      </w:r>
      <w:r w:rsidRPr="00C80BF1">
        <w:rPr>
          <w:lang w:val="fr-FR"/>
        </w:rPr>
        <w:t xml:space="preserve"> </w:t>
      </w:r>
      <w:r>
        <w:rPr>
          <w:lang w:val="fr-FR"/>
        </w:rPr>
        <w:t>affirme</w:t>
      </w:r>
      <w:r w:rsidRPr="00C80BF1">
        <w:rPr>
          <w:lang w:val="fr-FR"/>
        </w:rPr>
        <w:t xml:space="preserve"> qu</w:t>
      </w:r>
      <w:r>
        <w:rPr>
          <w:lang w:val="fr-FR"/>
        </w:rPr>
        <w:t>’</w:t>
      </w:r>
      <w:r w:rsidRPr="00C80BF1">
        <w:rPr>
          <w:lang w:val="fr-FR"/>
        </w:rPr>
        <w:t>étant donné que les exceptions</w:t>
      </w:r>
      <w:r>
        <w:rPr>
          <w:lang w:val="fr-FR"/>
        </w:rPr>
        <w:t xml:space="preserve"> étroites énoncées au paragraphe </w:t>
      </w:r>
      <w:r w:rsidRPr="00C80BF1">
        <w:rPr>
          <w:lang w:val="fr-FR"/>
        </w:rPr>
        <w:t>3 du même article ne s</w:t>
      </w:r>
      <w:r>
        <w:rPr>
          <w:lang w:val="fr-FR"/>
        </w:rPr>
        <w:t>’</w:t>
      </w:r>
      <w:r w:rsidRPr="00C80BF1">
        <w:rPr>
          <w:lang w:val="fr-FR"/>
        </w:rPr>
        <w:t>appliquent pas à son cas, les restrictions en question constituent une violation du Pacte.</w:t>
      </w:r>
    </w:p>
    <w:p w:rsidR="002D25F9" w:rsidRPr="00C80BF1" w:rsidRDefault="002D25F9" w:rsidP="002D25F9">
      <w:pPr>
        <w:pStyle w:val="SingleTxtG"/>
        <w:rPr>
          <w:lang w:val="fr-FR"/>
        </w:rPr>
      </w:pPr>
      <w:r w:rsidRPr="00C80BF1">
        <w:rPr>
          <w:lang w:val="fr-FR"/>
        </w:rPr>
        <w:t>3.5</w:t>
      </w:r>
      <w:r>
        <w:rPr>
          <w:lang w:val="fr-FR"/>
        </w:rPr>
        <w:tab/>
      </w:r>
      <w:r w:rsidRPr="00C80BF1">
        <w:rPr>
          <w:lang w:val="fr-FR"/>
        </w:rPr>
        <w:t>L</w:t>
      </w:r>
      <w:r>
        <w:rPr>
          <w:lang w:val="fr-FR"/>
        </w:rPr>
        <w:t>’auteur</w:t>
      </w:r>
      <w:r w:rsidRPr="00C80BF1">
        <w:rPr>
          <w:lang w:val="fr-FR"/>
        </w:rPr>
        <w:t xml:space="preserve"> affirme que, dans son cas, la déclaration de culpabilité et les sanctions administratives découlaient du fait qu</w:t>
      </w:r>
      <w:r>
        <w:rPr>
          <w:lang w:val="fr-FR"/>
        </w:rPr>
        <w:t>’</w:t>
      </w:r>
      <w:r w:rsidRPr="00C80BF1">
        <w:rPr>
          <w:lang w:val="fr-FR"/>
        </w:rPr>
        <w:t>elle avait organisé une réunion publique non autorisée par les autorités locales. D</w:t>
      </w:r>
      <w:r>
        <w:rPr>
          <w:lang w:val="fr-FR"/>
        </w:rPr>
        <w:t xml:space="preserve">ans de telles circonstances, sa </w:t>
      </w:r>
      <w:r w:rsidRPr="00C80BF1">
        <w:rPr>
          <w:lang w:val="fr-FR"/>
        </w:rPr>
        <w:t xml:space="preserve">condamnation et </w:t>
      </w:r>
      <w:r>
        <w:rPr>
          <w:lang w:val="fr-FR"/>
        </w:rPr>
        <w:t xml:space="preserve">le risque </w:t>
      </w:r>
      <w:r w:rsidRPr="00C80BF1">
        <w:rPr>
          <w:lang w:val="fr-FR"/>
        </w:rPr>
        <w:t>que toute réunion puisse à l</w:t>
      </w:r>
      <w:r>
        <w:rPr>
          <w:lang w:val="fr-FR"/>
        </w:rPr>
        <w:t>’</w:t>
      </w:r>
      <w:r w:rsidRPr="00C80BF1">
        <w:rPr>
          <w:lang w:val="fr-FR"/>
        </w:rPr>
        <w:t>avenir faire l</w:t>
      </w:r>
      <w:r>
        <w:rPr>
          <w:lang w:val="fr-FR"/>
        </w:rPr>
        <w:t>’</w:t>
      </w:r>
      <w:r w:rsidRPr="00C80BF1">
        <w:rPr>
          <w:lang w:val="fr-FR"/>
        </w:rPr>
        <w:t xml:space="preserve">objet de sanctions similaires </w:t>
      </w:r>
      <w:r>
        <w:rPr>
          <w:lang w:val="fr-FR"/>
        </w:rPr>
        <w:t>constituent des restrictions à l</w:t>
      </w:r>
      <w:r w:rsidRPr="00C80BF1">
        <w:rPr>
          <w:lang w:val="fr-FR"/>
        </w:rPr>
        <w:t xml:space="preserve">a liberté de réunion. Elle soutient que les restrictions </w:t>
      </w:r>
      <w:r>
        <w:rPr>
          <w:lang w:val="fr-FR"/>
        </w:rPr>
        <w:t>mentionnées sont contraires à l’article </w:t>
      </w:r>
      <w:r w:rsidRPr="00C80BF1">
        <w:rPr>
          <w:lang w:val="fr-FR"/>
        </w:rPr>
        <w:t>21 du Pacte.</w:t>
      </w:r>
    </w:p>
    <w:p w:rsidR="002D25F9" w:rsidRPr="00C80BF1" w:rsidRDefault="002D25F9" w:rsidP="002D25F9">
      <w:pPr>
        <w:pStyle w:val="SingleTxtG"/>
        <w:rPr>
          <w:lang w:val="fr-FR"/>
        </w:rPr>
      </w:pPr>
      <w:r>
        <w:rPr>
          <w:lang w:val="fr-FR"/>
        </w:rPr>
        <w:t>3.6</w:t>
      </w:r>
      <w:r>
        <w:rPr>
          <w:lang w:val="fr-FR"/>
        </w:rPr>
        <w:tab/>
      </w:r>
      <w:r w:rsidRPr="00C80BF1">
        <w:rPr>
          <w:lang w:val="fr-FR"/>
        </w:rPr>
        <w:t>L</w:t>
      </w:r>
      <w:r>
        <w:rPr>
          <w:lang w:val="fr-FR"/>
        </w:rPr>
        <w:t>’auteur</w:t>
      </w:r>
      <w:r w:rsidRPr="00C80BF1">
        <w:rPr>
          <w:lang w:val="fr-FR"/>
        </w:rPr>
        <w:t xml:space="preserve"> note que, selon la jurisprudence du Comité, les restrictions imposées </w:t>
      </w:r>
      <w:r>
        <w:rPr>
          <w:lang w:val="fr-FR"/>
        </w:rPr>
        <w:t xml:space="preserve">au droit </w:t>
      </w:r>
      <w:r w:rsidRPr="00C80BF1">
        <w:rPr>
          <w:lang w:val="fr-FR"/>
        </w:rPr>
        <w:t>à la liberté de réunion doivent s</w:t>
      </w:r>
      <w:r>
        <w:rPr>
          <w:lang w:val="fr-FR"/>
        </w:rPr>
        <w:t>’</w:t>
      </w:r>
      <w:r w:rsidRPr="00C80BF1">
        <w:rPr>
          <w:lang w:val="fr-FR"/>
        </w:rPr>
        <w:t>inscrire dans les l</w:t>
      </w:r>
      <w:r>
        <w:rPr>
          <w:lang w:val="fr-FR"/>
        </w:rPr>
        <w:t>imites autorisées par l’article </w:t>
      </w:r>
      <w:r w:rsidRPr="00C80BF1">
        <w:rPr>
          <w:lang w:val="fr-FR"/>
        </w:rPr>
        <w:t>21</w:t>
      </w:r>
      <w:r>
        <w:rPr>
          <w:lang w:val="fr-FR"/>
        </w:rPr>
        <w:t xml:space="preserve"> du Pacte</w:t>
      </w:r>
      <w:r w:rsidRPr="00C42E14">
        <w:rPr>
          <w:rStyle w:val="FootnoteReference"/>
        </w:rPr>
        <w:footnoteReference w:id="11"/>
      </w:r>
      <w:r w:rsidRPr="00C80BF1">
        <w:rPr>
          <w:lang w:val="fr-FR"/>
        </w:rPr>
        <w:t>. Elle fait valoir que l</w:t>
      </w:r>
      <w:r>
        <w:rPr>
          <w:lang w:val="fr-FR"/>
        </w:rPr>
        <w:t>’</w:t>
      </w:r>
      <w:r w:rsidRPr="00C80BF1">
        <w:rPr>
          <w:lang w:val="fr-FR"/>
        </w:rPr>
        <w:t>exigence d</w:t>
      </w:r>
      <w:r>
        <w:rPr>
          <w:lang w:val="fr-FR"/>
        </w:rPr>
        <w:t>’</w:t>
      </w:r>
      <w:r w:rsidRPr="00C80BF1">
        <w:rPr>
          <w:lang w:val="fr-FR"/>
        </w:rPr>
        <w:t>une autorisation préalable par les autorités loca</w:t>
      </w:r>
      <w:r>
        <w:rPr>
          <w:lang w:val="fr-FR"/>
        </w:rPr>
        <w:t xml:space="preserve">les pour le déroulement de toute manifestation publique </w:t>
      </w:r>
      <w:r w:rsidRPr="00C80BF1">
        <w:rPr>
          <w:lang w:val="fr-FR"/>
        </w:rPr>
        <w:t>constitue une telle restriction. Elle explique</w:t>
      </w:r>
      <w:r>
        <w:rPr>
          <w:lang w:val="fr-FR"/>
        </w:rPr>
        <w:t xml:space="preserve"> aussi</w:t>
      </w:r>
      <w:r w:rsidRPr="00C80BF1">
        <w:rPr>
          <w:lang w:val="fr-FR"/>
        </w:rPr>
        <w:t xml:space="preserve"> que la </w:t>
      </w:r>
      <w:r w:rsidRPr="00C80BF1">
        <w:t>loi relative à l</w:t>
      </w:r>
      <w:r>
        <w:t>’</w:t>
      </w:r>
      <w:r w:rsidRPr="00C80BF1">
        <w:t>organisation de réunions, assemblées, cortèges, piquets et autres</w:t>
      </w:r>
      <w:r>
        <w:t xml:space="preserve"> </w:t>
      </w:r>
      <w:r w:rsidRPr="00C80BF1">
        <w:t>manifestations pacifiques dans la République du Kazakhstan</w:t>
      </w:r>
      <w:r w:rsidRPr="00C80BF1">
        <w:rPr>
          <w:lang w:val="fr-FR"/>
        </w:rPr>
        <w:t xml:space="preserve"> prévoit </w:t>
      </w:r>
      <w:r>
        <w:rPr>
          <w:lang w:val="fr-FR"/>
        </w:rPr>
        <w:t xml:space="preserve">que, pour tenir </w:t>
      </w:r>
      <w:r w:rsidRPr="00C80BF1">
        <w:rPr>
          <w:lang w:val="fr-FR"/>
        </w:rPr>
        <w:t>toute réunion dans un lieu public en plein air</w:t>
      </w:r>
      <w:r>
        <w:rPr>
          <w:lang w:val="fr-FR"/>
        </w:rPr>
        <w:t xml:space="preserve">, </w:t>
      </w:r>
      <w:r w:rsidRPr="00C80BF1">
        <w:rPr>
          <w:lang w:val="fr-FR"/>
        </w:rPr>
        <w:t xml:space="preserve">une demande préalable doit </w:t>
      </w:r>
      <w:r>
        <w:rPr>
          <w:lang w:val="fr-FR"/>
        </w:rPr>
        <w:t xml:space="preserve">avoir été </w:t>
      </w:r>
      <w:r w:rsidRPr="00C80BF1">
        <w:rPr>
          <w:lang w:val="fr-FR"/>
        </w:rPr>
        <w:t>adressée aux autorités locales (</w:t>
      </w:r>
      <w:proofErr w:type="spellStart"/>
      <w:r w:rsidRPr="00C80BF1">
        <w:rPr>
          <w:lang w:val="fr-FR"/>
        </w:rPr>
        <w:t>Akimat</w:t>
      </w:r>
      <w:proofErr w:type="spellEnd"/>
      <w:r w:rsidRPr="00C80BF1">
        <w:rPr>
          <w:lang w:val="fr-FR"/>
        </w:rPr>
        <w:t xml:space="preserve">) au moins dix jours avant la date prévue et </w:t>
      </w:r>
      <w:r>
        <w:rPr>
          <w:lang w:val="fr-FR"/>
        </w:rPr>
        <w:t xml:space="preserve">une </w:t>
      </w:r>
      <w:r w:rsidRPr="00C80BF1">
        <w:rPr>
          <w:lang w:val="fr-FR"/>
        </w:rPr>
        <w:t xml:space="preserve">autorisation </w:t>
      </w:r>
      <w:r>
        <w:rPr>
          <w:lang w:val="fr-FR"/>
        </w:rPr>
        <w:t xml:space="preserve">obtenue </w:t>
      </w:r>
      <w:r w:rsidRPr="00C80BF1">
        <w:rPr>
          <w:lang w:val="fr-FR"/>
        </w:rPr>
        <w:t>au moins cinq jours avant</w:t>
      </w:r>
      <w:r>
        <w:rPr>
          <w:lang w:val="fr-FR"/>
        </w:rPr>
        <w:t xml:space="preserve"> cette même date</w:t>
      </w:r>
      <w:r w:rsidRPr="00C80BF1">
        <w:rPr>
          <w:lang w:val="fr-FR"/>
        </w:rPr>
        <w:t>. L</w:t>
      </w:r>
      <w:r>
        <w:rPr>
          <w:lang w:val="fr-FR"/>
        </w:rPr>
        <w:t>’auteur</w:t>
      </w:r>
      <w:r w:rsidRPr="00C80BF1">
        <w:rPr>
          <w:lang w:val="fr-FR"/>
        </w:rPr>
        <w:t xml:space="preserve"> </w:t>
      </w:r>
      <w:r>
        <w:rPr>
          <w:lang w:val="fr-FR"/>
        </w:rPr>
        <w:t>fait valoir</w:t>
      </w:r>
      <w:r w:rsidRPr="00C80BF1">
        <w:rPr>
          <w:lang w:val="fr-FR"/>
        </w:rPr>
        <w:t xml:space="preserve"> en outre que les décisions de justice n</w:t>
      </w:r>
      <w:r>
        <w:rPr>
          <w:lang w:val="fr-FR"/>
        </w:rPr>
        <w:t>’</w:t>
      </w:r>
      <w:r w:rsidRPr="00C80BF1">
        <w:rPr>
          <w:lang w:val="fr-FR"/>
        </w:rPr>
        <w:t xml:space="preserve">ont </w:t>
      </w:r>
      <w:r>
        <w:rPr>
          <w:lang w:val="fr-FR"/>
        </w:rPr>
        <w:t xml:space="preserve">donné </w:t>
      </w:r>
      <w:r w:rsidRPr="00C80BF1">
        <w:rPr>
          <w:lang w:val="fr-FR"/>
        </w:rPr>
        <w:t>aucune justification concernant l</w:t>
      </w:r>
      <w:r>
        <w:rPr>
          <w:lang w:val="fr-FR"/>
        </w:rPr>
        <w:t>es valeurs protégées par l’imposition de restrictions à l</w:t>
      </w:r>
      <w:r w:rsidRPr="00C80BF1">
        <w:rPr>
          <w:lang w:val="fr-FR"/>
        </w:rPr>
        <w:t>a liberté</w:t>
      </w:r>
      <w:r>
        <w:rPr>
          <w:lang w:val="fr-FR"/>
        </w:rPr>
        <w:t xml:space="preserve"> de réunion et que par conséquent</w:t>
      </w:r>
      <w:r w:rsidRPr="00C80BF1">
        <w:rPr>
          <w:lang w:val="fr-FR"/>
        </w:rPr>
        <w:t xml:space="preserve"> les sanctions administratives </w:t>
      </w:r>
      <w:r>
        <w:rPr>
          <w:lang w:val="fr-FR"/>
        </w:rPr>
        <w:t>prononcées</w:t>
      </w:r>
      <w:r w:rsidRPr="00C80BF1">
        <w:rPr>
          <w:lang w:val="fr-FR"/>
        </w:rPr>
        <w:t xml:space="preserve"> constituent une limitation </w:t>
      </w:r>
      <w:r>
        <w:rPr>
          <w:lang w:val="fr-FR"/>
        </w:rPr>
        <w:t>du</w:t>
      </w:r>
      <w:r w:rsidRPr="00C80BF1">
        <w:rPr>
          <w:lang w:val="fr-FR"/>
        </w:rPr>
        <w:t xml:space="preserve"> droit à la liberté de réunion tel </w:t>
      </w:r>
      <w:r>
        <w:rPr>
          <w:lang w:val="fr-FR"/>
        </w:rPr>
        <w:t>qu’il est protégé par l’article </w:t>
      </w:r>
      <w:r w:rsidRPr="00C80BF1">
        <w:rPr>
          <w:lang w:val="fr-FR"/>
        </w:rPr>
        <w:t>21 du Pacte.</w:t>
      </w:r>
    </w:p>
    <w:p w:rsidR="002D25F9" w:rsidRPr="00C80BF1" w:rsidRDefault="002D25F9" w:rsidP="002D25F9">
      <w:pPr>
        <w:pStyle w:val="H23G"/>
      </w:pPr>
      <w:r>
        <w:tab/>
      </w:r>
      <w:r>
        <w:tab/>
      </w:r>
      <w:r w:rsidRPr="00C80BF1">
        <w:t>Observations de l</w:t>
      </w:r>
      <w:r>
        <w:t>’</w:t>
      </w:r>
      <w:r w:rsidRPr="00C80BF1">
        <w:t>État partie sur le fond</w:t>
      </w:r>
    </w:p>
    <w:p w:rsidR="002D25F9" w:rsidRPr="00C80BF1" w:rsidRDefault="002D25F9" w:rsidP="002D25F9">
      <w:pPr>
        <w:pStyle w:val="SingleTxtG"/>
        <w:rPr>
          <w:lang w:val="fr-FR"/>
        </w:rPr>
      </w:pPr>
      <w:r w:rsidRPr="00C80BF1">
        <w:rPr>
          <w:lang w:val="fr-FR"/>
        </w:rPr>
        <w:t>4.1</w:t>
      </w:r>
      <w:r>
        <w:rPr>
          <w:lang w:val="fr-FR"/>
        </w:rPr>
        <w:tab/>
        <w:t>Dans une note en date du 31 </w:t>
      </w:r>
      <w:r w:rsidRPr="00C80BF1">
        <w:rPr>
          <w:lang w:val="fr-FR"/>
        </w:rPr>
        <w:t xml:space="preserve">mai 2012, </w:t>
      </w:r>
      <w:r>
        <w:rPr>
          <w:lang w:val="fr-FR"/>
        </w:rPr>
        <w:t>l’État partie indique que le 16 </w:t>
      </w:r>
      <w:r w:rsidRPr="00C80BF1">
        <w:rPr>
          <w:lang w:val="fr-FR"/>
        </w:rPr>
        <w:t>mars 2010 l</w:t>
      </w:r>
      <w:r>
        <w:rPr>
          <w:lang w:val="fr-FR"/>
        </w:rPr>
        <w:t>’auteur</w:t>
      </w:r>
      <w:r w:rsidRPr="00C80BF1">
        <w:rPr>
          <w:lang w:val="fr-FR"/>
        </w:rPr>
        <w:t xml:space="preserve"> a été</w:t>
      </w:r>
      <w:r>
        <w:rPr>
          <w:lang w:val="fr-FR"/>
        </w:rPr>
        <w:t xml:space="preserve"> </w:t>
      </w:r>
      <w:r w:rsidRPr="00C80BF1">
        <w:rPr>
          <w:lang w:val="fr-FR"/>
        </w:rPr>
        <w:t>reconnue coupable d</w:t>
      </w:r>
      <w:r>
        <w:rPr>
          <w:lang w:val="fr-FR"/>
        </w:rPr>
        <w:t>’</w:t>
      </w:r>
      <w:r w:rsidRPr="00C80BF1">
        <w:rPr>
          <w:lang w:val="fr-FR"/>
        </w:rPr>
        <w:t>une infraction admini</w:t>
      </w:r>
      <w:r>
        <w:rPr>
          <w:lang w:val="fr-FR"/>
        </w:rPr>
        <w:t>strative relevant du paragraphe 3 de l’article </w:t>
      </w:r>
      <w:r w:rsidRPr="00C80BF1">
        <w:rPr>
          <w:lang w:val="fr-FR"/>
        </w:rPr>
        <w:t xml:space="preserve">373 du Code des infractions administratives de la République du Kazakhstan </w:t>
      </w:r>
      <w:r>
        <w:rPr>
          <w:lang w:val="fr-FR"/>
        </w:rPr>
        <w:t>et condamnée à une amende de 56 520 </w:t>
      </w:r>
      <w:proofErr w:type="spellStart"/>
      <w:r w:rsidRPr="00C80BF1">
        <w:rPr>
          <w:lang w:val="fr-FR"/>
        </w:rPr>
        <w:t>tenge</w:t>
      </w:r>
      <w:proofErr w:type="spellEnd"/>
      <w:r w:rsidRPr="00C80BF1">
        <w:rPr>
          <w:lang w:val="fr-FR"/>
        </w:rPr>
        <w:t xml:space="preserve"> par le </w:t>
      </w:r>
      <w:r w:rsidRPr="00C80BF1">
        <w:t>tribunal administratif spécialisé d</w:t>
      </w:r>
      <w:r>
        <w:t>’</w:t>
      </w:r>
      <w:r w:rsidRPr="00C80BF1">
        <w:t>Almaty</w:t>
      </w:r>
      <w:r w:rsidRPr="00C80BF1">
        <w:rPr>
          <w:lang w:val="fr-FR"/>
        </w:rPr>
        <w:t xml:space="preserve">, dont la décision a été confirmée en appel </w:t>
      </w:r>
      <w:r>
        <w:rPr>
          <w:lang w:val="fr-FR"/>
        </w:rPr>
        <w:t>le 6 </w:t>
      </w:r>
      <w:r w:rsidRPr="00C80BF1">
        <w:rPr>
          <w:lang w:val="fr-FR"/>
        </w:rPr>
        <w:t>avril 2010</w:t>
      </w:r>
      <w:r>
        <w:rPr>
          <w:lang w:val="fr-FR"/>
        </w:rPr>
        <w:t xml:space="preserve"> </w:t>
      </w:r>
      <w:r w:rsidRPr="00C80BF1">
        <w:rPr>
          <w:lang w:val="fr-FR"/>
        </w:rPr>
        <w:t>par le t</w:t>
      </w:r>
      <w:r>
        <w:rPr>
          <w:lang w:val="fr-FR"/>
        </w:rPr>
        <w:t>ribunal municipal d’Almaty</w:t>
      </w:r>
      <w:r w:rsidRPr="00C80BF1">
        <w:rPr>
          <w:lang w:val="fr-FR"/>
        </w:rPr>
        <w:t>. L</w:t>
      </w:r>
      <w:r>
        <w:rPr>
          <w:lang w:val="fr-FR"/>
        </w:rPr>
        <w:t>’</w:t>
      </w:r>
      <w:r w:rsidRPr="00C80BF1">
        <w:rPr>
          <w:lang w:val="fr-FR"/>
        </w:rPr>
        <w:t>État partie rappelle brièvement le contenu des décisions de justice.</w:t>
      </w:r>
    </w:p>
    <w:p w:rsidR="002D25F9" w:rsidRPr="00C80BF1" w:rsidRDefault="002D25F9" w:rsidP="002D25F9">
      <w:pPr>
        <w:pStyle w:val="SingleTxtG"/>
        <w:rPr>
          <w:lang w:val="fr-FR"/>
        </w:rPr>
      </w:pPr>
      <w:r w:rsidRPr="00C80BF1">
        <w:rPr>
          <w:lang w:val="fr-FR"/>
        </w:rPr>
        <w:t>4.2</w:t>
      </w:r>
      <w:r>
        <w:rPr>
          <w:lang w:val="fr-FR"/>
        </w:rPr>
        <w:tab/>
      </w:r>
      <w:r w:rsidRPr="00C80BF1">
        <w:rPr>
          <w:lang w:val="fr-FR"/>
        </w:rPr>
        <w:t>L</w:t>
      </w:r>
      <w:r>
        <w:rPr>
          <w:lang w:val="fr-FR"/>
        </w:rPr>
        <w:t>’</w:t>
      </w:r>
      <w:r w:rsidRPr="00C80BF1">
        <w:rPr>
          <w:lang w:val="fr-FR"/>
        </w:rPr>
        <w:t>État partie rappell</w:t>
      </w:r>
      <w:r>
        <w:rPr>
          <w:lang w:val="fr-FR"/>
        </w:rPr>
        <w:t>e les dispositions de l’article 19 (par. </w:t>
      </w:r>
      <w:r w:rsidRPr="00C80BF1">
        <w:rPr>
          <w:lang w:val="fr-FR"/>
        </w:rPr>
        <w:t>3) et de</w:t>
      </w:r>
      <w:r>
        <w:rPr>
          <w:lang w:val="fr-FR"/>
        </w:rPr>
        <w:t xml:space="preserve"> l’article </w:t>
      </w:r>
      <w:r w:rsidRPr="00C80BF1">
        <w:rPr>
          <w:lang w:val="fr-FR"/>
        </w:rPr>
        <w:t>21 du</w:t>
      </w:r>
      <w:r>
        <w:rPr>
          <w:lang w:val="fr-FR"/>
        </w:rPr>
        <w:t> </w:t>
      </w:r>
      <w:r w:rsidRPr="00C80BF1">
        <w:rPr>
          <w:lang w:val="fr-FR"/>
        </w:rPr>
        <w:t>Pacte. Il soutient que les allégations de l</w:t>
      </w:r>
      <w:r>
        <w:rPr>
          <w:lang w:val="fr-FR"/>
        </w:rPr>
        <w:t>’auteur</w:t>
      </w:r>
      <w:r w:rsidRPr="00C80BF1">
        <w:rPr>
          <w:lang w:val="fr-FR"/>
        </w:rPr>
        <w:t xml:space="preserve"> selon lesquelles les dr</w:t>
      </w:r>
      <w:r>
        <w:rPr>
          <w:lang w:val="fr-FR"/>
        </w:rPr>
        <w:t>oits qu’elle tire du paragraphe 1 de l’article 9, du paragraphe 2 de l’article 19 et du paragraphe 1 de l’article </w:t>
      </w:r>
      <w:r w:rsidRPr="00C80BF1">
        <w:rPr>
          <w:lang w:val="fr-FR"/>
        </w:rPr>
        <w:t>21 du Pacte ont été violés ne sont pas fondées. Il explique que la manière dont peuvent être exprimés les intérêts de la société, d</w:t>
      </w:r>
      <w:r>
        <w:rPr>
          <w:lang w:val="fr-FR"/>
        </w:rPr>
        <w:t>’</w:t>
      </w:r>
      <w:r w:rsidRPr="00C80BF1">
        <w:rPr>
          <w:lang w:val="fr-FR"/>
        </w:rPr>
        <w:t>un groupe ou de personnes dans les lieux publics, ainsi que la forme que peut revêtir cette expression et les restrictions qui peuvent y</w:t>
      </w:r>
      <w:r>
        <w:rPr>
          <w:lang w:val="fr-FR"/>
        </w:rPr>
        <w:t> </w:t>
      </w:r>
      <w:r w:rsidRPr="00C80BF1">
        <w:rPr>
          <w:lang w:val="fr-FR"/>
        </w:rPr>
        <w:t xml:space="preserve">être imposées sont définies par la loi </w:t>
      </w:r>
      <w:r w:rsidRPr="00C42E14">
        <w:rPr>
          <w:rFonts w:eastAsia="MS Mincho"/>
          <w:lang w:val="fr-FR"/>
        </w:rPr>
        <w:t>n</w:t>
      </w:r>
      <w:r w:rsidRPr="00C42E14">
        <w:rPr>
          <w:rFonts w:eastAsia="MS Mincho"/>
          <w:vertAlign w:val="superscript"/>
          <w:lang w:val="fr-FR"/>
        </w:rPr>
        <w:t>o</w:t>
      </w:r>
      <w:r>
        <w:rPr>
          <w:lang w:val="fr-FR"/>
        </w:rPr>
        <w:t> 2126 du 17 </w:t>
      </w:r>
      <w:r w:rsidRPr="00C80BF1">
        <w:rPr>
          <w:lang w:val="fr-FR"/>
        </w:rPr>
        <w:t xml:space="preserve">mars 1997 </w:t>
      </w:r>
      <w:r w:rsidRPr="00C80BF1">
        <w:t>relative à l</w:t>
      </w:r>
      <w:r>
        <w:t>’</w:t>
      </w:r>
      <w:r w:rsidRPr="00C80BF1">
        <w:t>organisation de réunions, assemblées, cortèges, piquets et</w:t>
      </w:r>
      <w:r>
        <w:t xml:space="preserve"> </w:t>
      </w:r>
      <w:r w:rsidRPr="00C80BF1">
        <w:t>autres manifestations pacifiques dans la</w:t>
      </w:r>
      <w:r>
        <w:t> </w:t>
      </w:r>
      <w:r w:rsidRPr="00C80BF1">
        <w:t>République du Kazakhstan</w:t>
      </w:r>
      <w:r>
        <w:rPr>
          <w:lang w:val="fr-FR"/>
        </w:rPr>
        <w:t>. Conformément à l’article </w:t>
      </w:r>
      <w:r w:rsidRPr="00C80BF1">
        <w:rPr>
          <w:lang w:val="fr-FR"/>
        </w:rPr>
        <w:t>2 de cette loi, une demande doit être présentée aux autorités exécutives locales pour l</w:t>
      </w:r>
      <w:r>
        <w:rPr>
          <w:lang w:val="fr-FR"/>
        </w:rPr>
        <w:t>’</w:t>
      </w:r>
      <w:r w:rsidRPr="00C80BF1">
        <w:rPr>
          <w:lang w:val="fr-FR"/>
        </w:rPr>
        <w:t>organisation d</w:t>
      </w:r>
      <w:r>
        <w:rPr>
          <w:lang w:val="fr-FR"/>
        </w:rPr>
        <w:t>’</w:t>
      </w:r>
      <w:r w:rsidRPr="00C80BF1">
        <w:rPr>
          <w:lang w:val="fr-FR"/>
        </w:rPr>
        <w:t>une assemblée, d</w:t>
      </w:r>
      <w:r>
        <w:rPr>
          <w:lang w:val="fr-FR"/>
        </w:rPr>
        <w:t>’</w:t>
      </w:r>
      <w:r w:rsidRPr="00C80BF1">
        <w:rPr>
          <w:lang w:val="fr-FR"/>
        </w:rPr>
        <w:t>une réunion, d</w:t>
      </w:r>
      <w:r>
        <w:rPr>
          <w:lang w:val="fr-FR"/>
        </w:rPr>
        <w:t>’</w:t>
      </w:r>
      <w:r w:rsidRPr="00C80BF1">
        <w:rPr>
          <w:lang w:val="fr-FR"/>
        </w:rPr>
        <w:t>un cortège, d</w:t>
      </w:r>
      <w:r>
        <w:rPr>
          <w:lang w:val="fr-FR"/>
        </w:rPr>
        <w:t>’</w:t>
      </w:r>
      <w:r w:rsidRPr="00C80BF1">
        <w:rPr>
          <w:lang w:val="fr-FR"/>
        </w:rPr>
        <w:t>un piquet ou d</w:t>
      </w:r>
      <w:r>
        <w:rPr>
          <w:lang w:val="fr-FR"/>
        </w:rPr>
        <w:t>’</w:t>
      </w:r>
      <w:r w:rsidRPr="00C80BF1">
        <w:rPr>
          <w:lang w:val="fr-FR"/>
        </w:rPr>
        <w:t>une manifest</w:t>
      </w:r>
      <w:r>
        <w:rPr>
          <w:lang w:val="fr-FR"/>
        </w:rPr>
        <w:t>ation. Conformément à l’article </w:t>
      </w:r>
      <w:r w:rsidRPr="00C80BF1">
        <w:rPr>
          <w:lang w:val="fr-FR"/>
        </w:rPr>
        <w:t xml:space="preserve">3, la demande </w:t>
      </w:r>
      <w:r>
        <w:rPr>
          <w:lang w:val="fr-FR"/>
        </w:rPr>
        <w:t>doit</w:t>
      </w:r>
      <w:r w:rsidRPr="00C80BF1">
        <w:rPr>
          <w:lang w:val="fr-FR"/>
        </w:rPr>
        <w:t xml:space="preserve"> contenir tous les éléments requis par la loi et être soumise au plus tard dix jours avant la date prévue de l</w:t>
      </w:r>
      <w:r>
        <w:rPr>
          <w:lang w:val="fr-FR"/>
        </w:rPr>
        <w:t>’</w:t>
      </w:r>
      <w:r w:rsidRPr="00C80BF1">
        <w:rPr>
          <w:lang w:val="fr-FR"/>
        </w:rPr>
        <w:t>événement. L</w:t>
      </w:r>
      <w:r>
        <w:rPr>
          <w:lang w:val="fr-FR"/>
        </w:rPr>
        <w:t>’auteur</w:t>
      </w:r>
      <w:r w:rsidRPr="00C80BF1">
        <w:rPr>
          <w:lang w:val="fr-FR"/>
        </w:rPr>
        <w:t xml:space="preserve"> n</w:t>
      </w:r>
      <w:r>
        <w:rPr>
          <w:lang w:val="fr-FR"/>
        </w:rPr>
        <w:t>’</w:t>
      </w:r>
      <w:r w:rsidRPr="00C80BF1">
        <w:rPr>
          <w:lang w:val="fr-FR"/>
        </w:rPr>
        <w:t>avait pas adressé de demande aux autorités exécutives et n</w:t>
      </w:r>
      <w:r>
        <w:rPr>
          <w:lang w:val="fr-FR"/>
        </w:rPr>
        <w:t>’</w:t>
      </w:r>
      <w:r w:rsidRPr="00C80BF1">
        <w:rPr>
          <w:lang w:val="fr-FR"/>
        </w:rPr>
        <w:t>avait pas reçu de réponse positive. Par conséquent, le grief de l</w:t>
      </w:r>
      <w:r>
        <w:rPr>
          <w:lang w:val="fr-FR"/>
        </w:rPr>
        <w:t>’auteur</w:t>
      </w:r>
      <w:r w:rsidRPr="00C80BF1">
        <w:rPr>
          <w:lang w:val="fr-FR"/>
        </w:rPr>
        <w:t xml:space="preserve"> </w:t>
      </w:r>
      <w:r>
        <w:rPr>
          <w:lang w:val="fr-FR"/>
        </w:rPr>
        <w:t xml:space="preserve">qui </w:t>
      </w:r>
      <w:r w:rsidRPr="002D25F9">
        <w:rPr>
          <w:spacing w:val="-2"/>
          <w:lang w:val="fr-FR"/>
        </w:rPr>
        <w:t>prétend que ses droits au titre des articles 19 et 21 ont été violés est dépourvu de fondement, l’intéressée ayant exercé ces droits en violation des restrictions prévues par la loi.</w:t>
      </w:r>
    </w:p>
    <w:p w:rsidR="002D25F9" w:rsidRPr="00C80BF1" w:rsidRDefault="002D25F9" w:rsidP="002D25F9">
      <w:pPr>
        <w:pStyle w:val="SingleTxtG"/>
        <w:rPr>
          <w:lang w:val="fr-FR"/>
        </w:rPr>
      </w:pPr>
      <w:r w:rsidRPr="00C80BF1">
        <w:rPr>
          <w:lang w:val="fr-FR"/>
        </w:rPr>
        <w:t>4.3</w:t>
      </w:r>
      <w:r>
        <w:rPr>
          <w:lang w:val="fr-FR"/>
        </w:rPr>
        <w:tab/>
      </w:r>
      <w:r w:rsidRPr="00C80BF1">
        <w:rPr>
          <w:lang w:val="fr-FR"/>
        </w:rPr>
        <w:t>L</w:t>
      </w:r>
      <w:r>
        <w:rPr>
          <w:lang w:val="fr-FR"/>
        </w:rPr>
        <w:t>’</w:t>
      </w:r>
      <w:r w:rsidRPr="00C80BF1">
        <w:rPr>
          <w:lang w:val="fr-FR"/>
        </w:rPr>
        <w:t xml:space="preserve">État partie </w:t>
      </w:r>
      <w:r>
        <w:rPr>
          <w:lang w:val="fr-FR"/>
        </w:rPr>
        <w:t>fait valoir</w:t>
      </w:r>
      <w:r w:rsidRPr="00C80BF1">
        <w:rPr>
          <w:lang w:val="fr-FR"/>
        </w:rPr>
        <w:t xml:space="preserve"> en outr</w:t>
      </w:r>
      <w:r>
        <w:rPr>
          <w:lang w:val="fr-FR"/>
        </w:rPr>
        <w:t>e que, conformément à l’article </w:t>
      </w:r>
      <w:r w:rsidRPr="00C80BF1">
        <w:rPr>
          <w:lang w:val="fr-FR"/>
        </w:rPr>
        <w:t>618 du Code de procédure administrative, afin de garantir qu</w:t>
      </w:r>
      <w:r>
        <w:rPr>
          <w:lang w:val="fr-FR"/>
        </w:rPr>
        <w:t>’</w:t>
      </w:r>
      <w:r w:rsidRPr="00C80BF1">
        <w:rPr>
          <w:lang w:val="fr-FR"/>
        </w:rPr>
        <w:t xml:space="preserve">une procédure se déroule </w:t>
      </w:r>
      <w:r>
        <w:rPr>
          <w:lang w:val="fr-FR"/>
        </w:rPr>
        <w:t>correctement et dans les délais prescrits</w:t>
      </w:r>
      <w:r w:rsidRPr="00C80BF1">
        <w:rPr>
          <w:lang w:val="fr-FR"/>
        </w:rPr>
        <w:t xml:space="preserve"> et que la décision rendue soit</w:t>
      </w:r>
      <w:r>
        <w:rPr>
          <w:lang w:val="fr-FR"/>
        </w:rPr>
        <w:t xml:space="preserve"> exécutée, certaines mesures, y </w:t>
      </w:r>
      <w:r w:rsidRPr="00C80BF1">
        <w:rPr>
          <w:lang w:val="fr-FR"/>
        </w:rPr>
        <w:t>compris le placement en détention administrative, peuvent être prises à l</w:t>
      </w:r>
      <w:r>
        <w:rPr>
          <w:lang w:val="fr-FR"/>
        </w:rPr>
        <w:t>’</w:t>
      </w:r>
      <w:r w:rsidRPr="00C80BF1">
        <w:rPr>
          <w:lang w:val="fr-FR"/>
        </w:rPr>
        <w:t>égard de personnes physiques. La détention administrative de l</w:t>
      </w:r>
      <w:r>
        <w:rPr>
          <w:lang w:val="fr-FR"/>
        </w:rPr>
        <w:t>’auteur</w:t>
      </w:r>
      <w:r w:rsidRPr="00C80BF1">
        <w:rPr>
          <w:lang w:val="fr-FR"/>
        </w:rPr>
        <w:t xml:space="preserve"> a eu lieu conformément à la loi et dans le but d</w:t>
      </w:r>
      <w:r>
        <w:rPr>
          <w:lang w:val="fr-FR"/>
        </w:rPr>
        <w:t>’</w:t>
      </w:r>
      <w:r w:rsidRPr="00C80BF1">
        <w:rPr>
          <w:lang w:val="fr-FR"/>
        </w:rPr>
        <w:t>assurer le déroulement de la procédure en l</w:t>
      </w:r>
      <w:r>
        <w:rPr>
          <w:lang w:val="fr-FR"/>
        </w:rPr>
        <w:t>’</w:t>
      </w:r>
      <w:r w:rsidRPr="00C80BF1">
        <w:rPr>
          <w:lang w:val="fr-FR"/>
        </w:rPr>
        <w:t>espèce. L</w:t>
      </w:r>
      <w:r>
        <w:rPr>
          <w:lang w:val="fr-FR"/>
        </w:rPr>
        <w:t>’</w:t>
      </w:r>
      <w:r w:rsidRPr="00C80BF1">
        <w:rPr>
          <w:lang w:val="fr-FR"/>
        </w:rPr>
        <w:t>État partie considère dès lors que les allégations de l</w:t>
      </w:r>
      <w:r>
        <w:rPr>
          <w:lang w:val="fr-FR"/>
        </w:rPr>
        <w:t>’auteur</w:t>
      </w:r>
      <w:r w:rsidRPr="00C80BF1">
        <w:rPr>
          <w:lang w:val="fr-FR"/>
        </w:rPr>
        <w:t xml:space="preserve"> </w:t>
      </w:r>
      <w:r>
        <w:rPr>
          <w:lang w:val="fr-FR"/>
        </w:rPr>
        <w:t>qui affirme que</w:t>
      </w:r>
      <w:r w:rsidRPr="00C80BF1">
        <w:rPr>
          <w:lang w:val="fr-FR"/>
        </w:rPr>
        <w:t xml:space="preserve"> les droits qu</w:t>
      </w:r>
      <w:r>
        <w:rPr>
          <w:lang w:val="fr-FR"/>
        </w:rPr>
        <w:t>’</w:t>
      </w:r>
      <w:r w:rsidRPr="00C80BF1">
        <w:rPr>
          <w:lang w:val="fr-FR"/>
        </w:rPr>
        <w:t xml:space="preserve">elle </w:t>
      </w:r>
      <w:r>
        <w:rPr>
          <w:lang w:val="fr-FR"/>
        </w:rPr>
        <w:t>tient du paragraphe </w:t>
      </w:r>
      <w:r w:rsidRPr="00C80BF1">
        <w:rPr>
          <w:lang w:val="fr-FR"/>
        </w:rPr>
        <w:t>1 de l</w:t>
      </w:r>
      <w:r>
        <w:rPr>
          <w:lang w:val="fr-FR"/>
        </w:rPr>
        <w:t>’</w:t>
      </w:r>
      <w:r w:rsidRPr="00C80BF1">
        <w:rPr>
          <w:lang w:val="fr-FR"/>
        </w:rPr>
        <w:t>article</w:t>
      </w:r>
      <w:r>
        <w:rPr>
          <w:lang w:val="fr-FR"/>
        </w:rPr>
        <w:t> </w:t>
      </w:r>
      <w:r w:rsidRPr="00C80BF1">
        <w:rPr>
          <w:lang w:val="fr-FR"/>
        </w:rPr>
        <w:t>9 du Pacte ont été violés ne sont pas fondées.</w:t>
      </w:r>
    </w:p>
    <w:p w:rsidR="002D25F9" w:rsidRPr="00C80BF1" w:rsidRDefault="002D25F9" w:rsidP="002D25F9">
      <w:pPr>
        <w:pStyle w:val="H23G"/>
        <w:rPr>
          <w:lang w:val="fr-FR"/>
        </w:rPr>
      </w:pPr>
      <w:r>
        <w:rPr>
          <w:lang w:val="fr-FR"/>
        </w:rPr>
        <w:tab/>
      </w:r>
      <w:r>
        <w:rPr>
          <w:lang w:val="fr-FR"/>
        </w:rPr>
        <w:tab/>
      </w:r>
      <w:r w:rsidRPr="00C80BF1">
        <w:rPr>
          <w:lang w:val="fr-FR"/>
        </w:rPr>
        <w:t>Commentaires de l</w:t>
      </w:r>
      <w:r>
        <w:rPr>
          <w:lang w:val="fr-FR"/>
        </w:rPr>
        <w:t>’auteur</w:t>
      </w:r>
      <w:r w:rsidRPr="00C80BF1">
        <w:rPr>
          <w:lang w:val="fr-FR"/>
        </w:rPr>
        <w:t xml:space="preserve"> sur les observations de l</w:t>
      </w:r>
      <w:r>
        <w:rPr>
          <w:lang w:val="fr-FR"/>
        </w:rPr>
        <w:t>’</w:t>
      </w:r>
      <w:r w:rsidRPr="00C80BF1">
        <w:rPr>
          <w:lang w:val="fr-FR"/>
        </w:rPr>
        <w:t>État partie</w:t>
      </w:r>
    </w:p>
    <w:p w:rsidR="002D25F9" w:rsidRPr="00C80BF1" w:rsidRDefault="002D25F9" w:rsidP="002D25F9">
      <w:pPr>
        <w:pStyle w:val="SingleTxtG"/>
        <w:rPr>
          <w:lang w:val="fr-FR"/>
        </w:rPr>
      </w:pPr>
      <w:r w:rsidRPr="00C80BF1">
        <w:rPr>
          <w:lang w:val="fr-FR"/>
        </w:rPr>
        <w:t>5.1</w:t>
      </w:r>
      <w:r>
        <w:rPr>
          <w:lang w:val="fr-FR"/>
        </w:rPr>
        <w:tab/>
        <w:t>Dans une lettre en date du 4 </w:t>
      </w:r>
      <w:r w:rsidRPr="00C80BF1">
        <w:rPr>
          <w:lang w:val="fr-FR"/>
        </w:rPr>
        <w:t>juillet 2012, l</w:t>
      </w:r>
      <w:r>
        <w:rPr>
          <w:lang w:val="fr-FR"/>
        </w:rPr>
        <w:t>’auteur</w:t>
      </w:r>
      <w:r w:rsidRPr="00C80BF1">
        <w:rPr>
          <w:lang w:val="fr-FR"/>
        </w:rPr>
        <w:t xml:space="preserve"> relève que l</w:t>
      </w:r>
      <w:r>
        <w:rPr>
          <w:lang w:val="fr-FR"/>
        </w:rPr>
        <w:t>’</w:t>
      </w:r>
      <w:r w:rsidRPr="00C80BF1">
        <w:rPr>
          <w:lang w:val="fr-FR"/>
        </w:rPr>
        <w:t xml:space="preserve">État partie, pour contester </w:t>
      </w:r>
      <w:r>
        <w:rPr>
          <w:lang w:val="fr-FR"/>
        </w:rPr>
        <w:t>ses</w:t>
      </w:r>
      <w:r w:rsidRPr="00C80BF1">
        <w:rPr>
          <w:lang w:val="fr-FR"/>
        </w:rPr>
        <w:t xml:space="preserve"> griefs </w:t>
      </w:r>
      <w:r>
        <w:rPr>
          <w:lang w:val="fr-FR"/>
        </w:rPr>
        <w:t>de violation</w:t>
      </w:r>
      <w:r w:rsidRPr="00C80BF1">
        <w:rPr>
          <w:lang w:val="fr-FR"/>
        </w:rPr>
        <w:t xml:space="preserve"> de l</w:t>
      </w:r>
      <w:r>
        <w:rPr>
          <w:lang w:val="fr-FR"/>
        </w:rPr>
        <w:t>’</w:t>
      </w:r>
      <w:r w:rsidRPr="00C80BF1">
        <w:rPr>
          <w:lang w:val="fr-FR"/>
        </w:rPr>
        <w:t>article</w:t>
      </w:r>
      <w:r>
        <w:rPr>
          <w:lang w:val="fr-FR"/>
        </w:rPr>
        <w:t> 19 du Pacte, cite les dispositions du paragraphe </w:t>
      </w:r>
      <w:r w:rsidRPr="00C80BF1">
        <w:rPr>
          <w:lang w:val="fr-FR"/>
        </w:rPr>
        <w:t xml:space="preserve">3 de ce même article. Or elle </w:t>
      </w:r>
      <w:r>
        <w:rPr>
          <w:lang w:val="fr-FR"/>
        </w:rPr>
        <w:t>maintient</w:t>
      </w:r>
      <w:r w:rsidRPr="00C80BF1">
        <w:rPr>
          <w:lang w:val="fr-FR"/>
        </w:rPr>
        <w:t xml:space="preserve"> que </w:t>
      </w:r>
      <w:r>
        <w:rPr>
          <w:lang w:val="fr-FR"/>
        </w:rPr>
        <w:t xml:space="preserve">ces </w:t>
      </w:r>
      <w:r w:rsidRPr="00C80BF1">
        <w:rPr>
          <w:lang w:val="fr-FR"/>
        </w:rPr>
        <w:t>dispos</w:t>
      </w:r>
      <w:r>
        <w:rPr>
          <w:lang w:val="fr-FR"/>
        </w:rPr>
        <w:t xml:space="preserve">itions ne lui sont pas applicables car </w:t>
      </w:r>
      <w:r w:rsidRPr="00C80BF1">
        <w:rPr>
          <w:lang w:val="fr-FR"/>
        </w:rPr>
        <w:t>l</w:t>
      </w:r>
      <w:r>
        <w:rPr>
          <w:lang w:val="fr-FR"/>
        </w:rPr>
        <w:t>’</w:t>
      </w:r>
      <w:r w:rsidRPr="00C80BF1">
        <w:rPr>
          <w:lang w:val="fr-FR"/>
        </w:rPr>
        <w:t xml:space="preserve">État partie </w:t>
      </w:r>
      <w:r>
        <w:rPr>
          <w:lang w:val="fr-FR"/>
        </w:rPr>
        <w:t xml:space="preserve">n’a </w:t>
      </w:r>
      <w:r w:rsidRPr="00C80BF1">
        <w:rPr>
          <w:lang w:val="fr-FR"/>
        </w:rPr>
        <w:t>pas expliqué de quelle manière elle aurait violé les droits ou la réputation d</w:t>
      </w:r>
      <w:r>
        <w:rPr>
          <w:lang w:val="fr-FR"/>
        </w:rPr>
        <w:t>’</w:t>
      </w:r>
      <w:r w:rsidRPr="00C80BF1">
        <w:rPr>
          <w:lang w:val="fr-FR"/>
        </w:rPr>
        <w:t>autrui, ou mis en danger la sécurité nationale ou l</w:t>
      </w:r>
      <w:r>
        <w:rPr>
          <w:lang w:val="fr-FR"/>
        </w:rPr>
        <w:t>’</w:t>
      </w:r>
      <w:r w:rsidRPr="00C80BF1">
        <w:rPr>
          <w:lang w:val="fr-FR"/>
        </w:rPr>
        <w:t>ordre public, ou la santé ou la moralité publiques. Elle</w:t>
      </w:r>
      <w:r>
        <w:rPr>
          <w:lang w:val="fr-FR"/>
        </w:rPr>
        <w:t> </w:t>
      </w:r>
      <w:r w:rsidRPr="00C80BF1">
        <w:rPr>
          <w:lang w:val="fr-FR"/>
        </w:rPr>
        <w:t>affirme qu</w:t>
      </w:r>
      <w:r>
        <w:rPr>
          <w:lang w:val="fr-FR"/>
        </w:rPr>
        <w:t>’</w:t>
      </w:r>
      <w:r w:rsidRPr="00C80BF1">
        <w:rPr>
          <w:lang w:val="fr-FR"/>
        </w:rPr>
        <w:t>elle n</w:t>
      </w:r>
      <w:r>
        <w:rPr>
          <w:lang w:val="fr-FR"/>
        </w:rPr>
        <w:t>’</w:t>
      </w:r>
      <w:r w:rsidRPr="00C80BF1">
        <w:rPr>
          <w:lang w:val="fr-FR"/>
        </w:rPr>
        <w:t>a offensé aucun représentant de l</w:t>
      </w:r>
      <w:r>
        <w:rPr>
          <w:lang w:val="fr-FR"/>
        </w:rPr>
        <w:t>’</w:t>
      </w:r>
      <w:r w:rsidRPr="00C80BF1">
        <w:rPr>
          <w:lang w:val="fr-FR"/>
        </w:rPr>
        <w:t>État, étant donné qu</w:t>
      </w:r>
      <w:r>
        <w:rPr>
          <w:lang w:val="fr-FR"/>
        </w:rPr>
        <w:t>’</w:t>
      </w:r>
      <w:r w:rsidRPr="00C80BF1">
        <w:rPr>
          <w:lang w:val="fr-FR"/>
        </w:rPr>
        <w:t>aucun terme offensant pouvant nuire à la réputation n</w:t>
      </w:r>
      <w:r>
        <w:rPr>
          <w:lang w:val="fr-FR"/>
        </w:rPr>
        <w:t>’</w:t>
      </w:r>
      <w:r w:rsidRPr="00C80BF1">
        <w:rPr>
          <w:lang w:val="fr-FR"/>
        </w:rPr>
        <w:t>a été employé à l</w:t>
      </w:r>
      <w:r>
        <w:rPr>
          <w:lang w:val="fr-FR"/>
        </w:rPr>
        <w:t>’</w:t>
      </w:r>
      <w:r w:rsidRPr="00C80BF1">
        <w:rPr>
          <w:lang w:val="fr-FR"/>
        </w:rPr>
        <w:t>égard de l</w:t>
      </w:r>
      <w:r>
        <w:rPr>
          <w:lang w:val="fr-FR"/>
        </w:rPr>
        <w:t>’</w:t>
      </w:r>
      <w:r w:rsidRPr="00C80BF1">
        <w:rPr>
          <w:lang w:val="fr-FR"/>
        </w:rPr>
        <w:t>un d</w:t>
      </w:r>
      <w:r>
        <w:rPr>
          <w:lang w:val="fr-FR"/>
        </w:rPr>
        <w:t>’</w:t>
      </w:r>
      <w:r w:rsidRPr="00C80BF1">
        <w:rPr>
          <w:lang w:val="fr-FR"/>
        </w:rPr>
        <w:t>eux personnellement, et que l</w:t>
      </w:r>
      <w:r>
        <w:rPr>
          <w:lang w:val="fr-FR"/>
        </w:rPr>
        <w:t>’</w:t>
      </w:r>
      <w:r w:rsidRPr="00C80BF1">
        <w:rPr>
          <w:i/>
          <w:lang w:val="fr-FR"/>
        </w:rPr>
        <w:t>art-mob</w:t>
      </w:r>
      <w:r w:rsidRPr="00C80BF1">
        <w:rPr>
          <w:lang w:val="fr-FR"/>
        </w:rPr>
        <w:t>, qui</w:t>
      </w:r>
      <w:r>
        <w:rPr>
          <w:lang w:val="fr-FR"/>
        </w:rPr>
        <w:t xml:space="preserve"> </w:t>
      </w:r>
      <w:r w:rsidRPr="00C80BF1">
        <w:rPr>
          <w:lang w:val="fr-FR"/>
        </w:rPr>
        <w:t>a duré dix minutes, avait un caractère pacifique et ne menaçait pas l</w:t>
      </w:r>
      <w:r>
        <w:rPr>
          <w:lang w:val="fr-FR"/>
        </w:rPr>
        <w:t>’</w:t>
      </w:r>
      <w:r w:rsidRPr="00C80BF1">
        <w:rPr>
          <w:lang w:val="fr-FR"/>
        </w:rPr>
        <w:t>ordre public ou la sécurité nationale du Kazakhstan. Elle souligne qu</w:t>
      </w:r>
      <w:r>
        <w:rPr>
          <w:lang w:val="fr-FR"/>
        </w:rPr>
        <w:t>’</w:t>
      </w:r>
      <w:r w:rsidRPr="00C80BF1">
        <w:rPr>
          <w:lang w:val="fr-FR"/>
        </w:rPr>
        <w:t>elle n</w:t>
      </w:r>
      <w:r>
        <w:rPr>
          <w:lang w:val="fr-FR"/>
        </w:rPr>
        <w:t>’</w:t>
      </w:r>
      <w:r w:rsidRPr="00C80BF1">
        <w:rPr>
          <w:lang w:val="fr-FR"/>
        </w:rPr>
        <w:t>a pas été déclarée coupable d</w:t>
      </w:r>
      <w:r>
        <w:rPr>
          <w:lang w:val="fr-FR"/>
        </w:rPr>
        <w:t>’</w:t>
      </w:r>
      <w:r w:rsidRPr="00C80BF1">
        <w:rPr>
          <w:lang w:val="fr-FR"/>
        </w:rPr>
        <w:t>atteinte aux droits ou à la réputation d</w:t>
      </w:r>
      <w:r>
        <w:rPr>
          <w:lang w:val="fr-FR"/>
        </w:rPr>
        <w:t>’</w:t>
      </w:r>
      <w:r w:rsidRPr="00C80BF1">
        <w:rPr>
          <w:lang w:val="fr-FR"/>
        </w:rPr>
        <w:t>autrui, à la sécurité nationale, à l</w:t>
      </w:r>
      <w:r>
        <w:rPr>
          <w:lang w:val="fr-FR"/>
        </w:rPr>
        <w:t>’</w:t>
      </w:r>
      <w:r w:rsidRPr="00C80BF1">
        <w:rPr>
          <w:lang w:val="fr-FR"/>
        </w:rPr>
        <w:t xml:space="preserve">ordre public ou à la santé ou la moralité publiques, mais de la tenue </w:t>
      </w:r>
      <w:r>
        <w:rPr>
          <w:lang w:val="fr-FR"/>
        </w:rPr>
        <w:t>d’une manifestation</w:t>
      </w:r>
      <w:r w:rsidRPr="00C80BF1">
        <w:rPr>
          <w:lang w:val="fr-FR"/>
        </w:rPr>
        <w:t xml:space="preserve"> </w:t>
      </w:r>
      <w:r>
        <w:rPr>
          <w:lang w:val="fr-FR"/>
        </w:rPr>
        <w:t xml:space="preserve">publique </w:t>
      </w:r>
      <w:r w:rsidRPr="00C80BF1">
        <w:rPr>
          <w:lang w:val="fr-FR"/>
        </w:rPr>
        <w:t>sans l</w:t>
      </w:r>
      <w:r>
        <w:rPr>
          <w:lang w:val="fr-FR"/>
        </w:rPr>
        <w:t>’</w:t>
      </w:r>
      <w:r w:rsidRPr="00C80BF1">
        <w:rPr>
          <w:lang w:val="fr-FR"/>
        </w:rPr>
        <w:t>aval des autorités.</w:t>
      </w:r>
    </w:p>
    <w:p w:rsidR="002D25F9" w:rsidRPr="00C80BF1" w:rsidRDefault="002D25F9" w:rsidP="002D25F9">
      <w:pPr>
        <w:pStyle w:val="SingleTxtG"/>
        <w:rPr>
          <w:lang w:val="fr-FR"/>
        </w:rPr>
      </w:pPr>
      <w:r w:rsidRPr="00C80BF1">
        <w:rPr>
          <w:lang w:val="fr-FR"/>
        </w:rPr>
        <w:t>5.2</w:t>
      </w:r>
      <w:r>
        <w:rPr>
          <w:lang w:val="fr-FR"/>
        </w:rPr>
        <w:tab/>
        <w:t>En ce qui concerne ses</w:t>
      </w:r>
      <w:r w:rsidRPr="00C80BF1">
        <w:rPr>
          <w:lang w:val="fr-FR"/>
        </w:rPr>
        <w:t xml:space="preserve"> griefs </w:t>
      </w:r>
      <w:r>
        <w:rPr>
          <w:lang w:val="fr-FR"/>
        </w:rPr>
        <w:t>au titre de l’article </w:t>
      </w:r>
      <w:r w:rsidRPr="00C80BF1">
        <w:rPr>
          <w:lang w:val="fr-FR"/>
        </w:rPr>
        <w:t>21 du Pacte, l</w:t>
      </w:r>
      <w:r>
        <w:rPr>
          <w:lang w:val="fr-FR"/>
        </w:rPr>
        <w:t>’auteur</w:t>
      </w:r>
      <w:r w:rsidRPr="00C80BF1">
        <w:rPr>
          <w:lang w:val="fr-FR"/>
        </w:rPr>
        <w:t xml:space="preserve"> souligne que ses actions consistaient en un </w:t>
      </w:r>
      <w:r w:rsidRPr="00C80BF1">
        <w:rPr>
          <w:i/>
          <w:lang w:val="fr-FR"/>
        </w:rPr>
        <w:t>art-mob</w:t>
      </w:r>
      <w:r w:rsidRPr="00C80BF1">
        <w:rPr>
          <w:lang w:val="fr-FR"/>
        </w:rPr>
        <w:t>, réalisé a</w:t>
      </w:r>
      <w:r>
        <w:rPr>
          <w:lang w:val="fr-FR"/>
        </w:rPr>
        <w:t xml:space="preserve">vec l’aide de trois collègues, </w:t>
      </w:r>
      <w:r w:rsidRPr="00C80BF1">
        <w:rPr>
          <w:lang w:val="fr-FR"/>
        </w:rPr>
        <w:t xml:space="preserve">que cet </w:t>
      </w:r>
      <w:proofErr w:type="spellStart"/>
      <w:r>
        <w:rPr>
          <w:i/>
          <w:lang w:val="fr-FR"/>
        </w:rPr>
        <w:t>art</w:t>
      </w:r>
      <w:r>
        <w:rPr>
          <w:i/>
          <w:lang w:val="fr-FR"/>
        </w:rPr>
        <w:noBreakHyphen/>
      </w:r>
      <w:r w:rsidRPr="00C80BF1">
        <w:rPr>
          <w:i/>
          <w:lang w:val="fr-FR"/>
        </w:rPr>
        <w:t>mob</w:t>
      </w:r>
      <w:proofErr w:type="spellEnd"/>
      <w:r w:rsidRPr="00C80BF1">
        <w:rPr>
          <w:lang w:val="fr-FR"/>
        </w:rPr>
        <w:t xml:space="preserve"> s</w:t>
      </w:r>
      <w:r>
        <w:rPr>
          <w:lang w:val="fr-FR"/>
        </w:rPr>
        <w:t>’</w:t>
      </w:r>
      <w:r w:rsidRPr="00C80BF1">
        <w:rPr>
          <w:lang w:val="fr-FR"/>
        </w:rPr>
        <w:t>adressait aux visiteurs du parc «Mahatma Gandhi»</w:t>
      </w:r>
      <w:r>
        <w:rPr>
          <w:lang w:val="fr-FR"/>
        </w:rPr>
        <w:t xml:space="preserve"> qui se trouvaient à côté</w:t>
      </w:r>
      <w:r w:rsidRPr="00C80BF1">
        <w:rPr>
          <w:lang w:val="fr-FR"/>
        </w:rPr>
        <w:t xml:space="preserve"> du monument dédié</w:t>
      </w:r>
      <w:r>
        <w:rPr>
          <w:lang w:val="fr-FR"/>
        </w:rPr>
        <w:t xml:space="preserve"> à cette personnalité. Une quinzaine de personnes, en majorité des journalistes et des policiers, y assistaient. Ce n’était ni un cortège</w:t>
      </w:r>
      <w:r w:rsidRPr="00C80BF1">
        <w:rPr>
          <w:lang w:val="fr-FR"/>
        </w:rPr>
        <w:t xml:space="preserve"> ni un piquet </w:t>
      </w:r>
      <w:r>
        <w:rPr>
          <w:lang w:val="fr-FR"/>
        </w:rPr>
        <w:t xml:space="preserve">ni une manifestation et </w:t>
      </w:r>
      <w:r w:rsidRPr="00C80BF1">
        <w:rPr>
          <w:lang w:val="fr-FR"/>
        </w:rPr>
        <w:t>elle n</w:t>
      </w:r>
      <w:r>
        <w:rPr>
          <w:lang w:val="fr-FR"/>
        </w:rPr>
        <w:t>’</w:t>
      </w:r>
      <w:r w:rsidRPr="00C80BF1">
        <w:rPr>
          <w:lang w:val="fr-FR"/>
        </w:rPr>
        <w:t xml:space="preserve">avait </w:t>
      </w:r>
      <w:r>
        <w:rPr>
          <w:lang w:val="fr-FR"/>
        </w:rPr>
        <w:t>donc</w:t>
      </w:r>
      <w:r w:rsidRPr="00C80BF1">
        <w:rPr>
          <w:lang w:val="fr-FR"/>
        </w:rPr>
        <w:t xml:space="preserve"> pas besoin de l</w:t>
      </w:r>
      <w:r>
        <w:rPr>
          <w:lang w:val="fr-FR"/>
        </w:rPr>
        <w:t>’</w:t>
      </w:r>
      <w:r w:rsidRPr="00C80BF1">
        <w:rPr>
          <w:lang w:val="fr-FR"/>
        </w:rPr>
        <w:t>aval des autorités pour l</w:t>
      </w:r>
      <w:r>
        <w:rPr>
          <w:lang w:val="fr-FR"/>
        </w:rPr>
        <w:t>’</w:t>
      </w:r>
      <w:r w:rsidRPr="00C80BF1">
        <w:rPr>
          <w:lang w:val="fr-FR"/>
        </w:rPr>
        <w:t xml:space="preserve">organiser. Elle </w:t>
      </w:r>
      <w:r>
        <w:rPr>
          <w:lang w:val="fr-FR"/>
        </w:rPr>
        <w:t>fait valoir</w:t>
      </w:r>
      <w:r w:rsidRPr="00C80BF1">
        <w:rPr>
          <w:lang w:val="fr-FR"/>
        </w:rPr>
        <w:t xml:space="preserve"> en outre que les autorités kazakhes donnent de la notion de réunion pacifique une interprétation qui va au-delà du</w:t>
      </w:r>
      <w:r>
        <w:rPr>
          <w:lang w:val="fr-FR"/>
        </w:rPr>
        <w:t> </w:t>
      </w:r>
      <w:r w:rsidRPr="00C80BF1">
        <w:rPr>
          <w:lang w:val="fr-FR"/>
        </w:rPr>
        <w:t>champ d</w:t>
      </w:r>
      <w:r>
        <w:rPr>
          <w:lang w:val="fr-FR"/>
        </w:rPr>
        <w:t>’</w:t>
      </w:r>
      <w:r w:rsidRPr="00C80BF1">
        <w:rPr>
          <w:lang w:val="fr-FR"/>
        </w:rPr>
        <w:t>app</w:t>
      </w:r>
      <w:r>
        <w:rPr>
          <w:lang w:val="fr-FR"/>
        </w:rPr>
        <w:t>lication prévu par la loi du 17 mars 1997, y </w:t>
      </w:r>
      <w:r w:rsidRPr="00C80BF1">
        <w:rPr>
          <w:lang w:val="fr-FR"/>
        </w:rPr>
        <w:t xml:space="preserve">incluant les </w:t>
      </w:r>
      <w:r w:rsidRPr="00C80BF1">
        <w:rPr>
          <w:i/>
          <w:lang w:val="fr-FR"/>
        </w:rPr>
        <w:t>art-mob</w:t>
      </w:r>
      <w:r w:rsidRPr="00C80BF1">
        <w:rPr>
          <w:lang w:val="fr-FR"/>
        </w:rPr>
        <w:t xml:space="preserve">s, les </w:t>
      </w:r>
      <w:proofErr w:type="spellStart"/>
      <w:r>
        <w:rPr>
          <w:i/>
          <w:lang w:val="fr-FR"/>
        </w:rPr>
        <w:t>flash</w:t>
      </w:r>
      <w:r>
        <w:rPr>
          <w:i/>
          <w:lang w:val="fr-FR"/>
        </w:rPr>
        <w:noBreakHyphen/>
      </w:r>
      <w:r w:rsidRPr="00C80BF1">
        <w:rPr>
          <w:i/>
          <w:lang w:val="fr-FR"/>
        </w:rPr>
        <w:t>mobs</w:t>
      </w:r>
      <w:proofErr w:type="spellEnd"/>
      <w:r w:rsidRPr="00C80BF1">
        <w:rPr>
          <w:lang w:val="fr-FR"/>
        </w:rPr>
        <w:t xml:space="preserve"> et même les actes de protestation accomplis par une personne seule. En raison de cette interprétation</w:t>
      </w:r>
      <w:r>
        <w:rPr>
          <w:lang w:val="fr-FR"/>
        </w:rPr>
        <w:t xml:space="preserve"> élargie</w:t>
      </w:r>
      <w:r w:rsidRPr="00C80BF1">
        <w:rPr>
          <w:lang w:val="fr-FR"/>
        </w:rPr>
        <w:t>, toutes les actions menées en public sont considérées comme des réunions publiques illégales et les organisateurs sont déclarés coupables d</w:t>
      </w:r>
      <w:r>
        <w:rPr>
          <w:lang w:val="fr-FR"/>
        </w:rPr>
        <w:t>’</w:t>
      </w:r>
      <w:r w:rsidRPr="00C80BF1">
        <w:rPr>
          <w:lang w:val="fr-FR"/>
        </w:rPr>
        <w:t>une infraction administrative pour avoir tenu une réunion publique sans l</w:t>
      </w:r>
      <w:r>
        <w:rPr>
          <w:lang w:val="fr-FR"/>
        </w:rPr>
        <w:t>’</w:t>
      </w:r>
      <w:r w:rsidRPr="00C80BF1">
        <w:rPr>
          <w:lang w:val="fr-FR"/>
        </w:rPr>
        <w:t>aval des autorités, ce qui est contraire au Pacte.</w:t>
      </w:r>
    </w:p>
    <w:p w:rsidR="002D25F9" w:rsidRPr="00C80BF1" w:rsidRDefault="002D25F9" w:rsidP="002D25F9">
      <w:pPr>
        <w:pStyle w:val="H23G"/>
      </w:pPr>
      <w:r>
        <w:tab/>
      </w:r>
      <w:r>
        <w:tab/>
      </w:r>
      <w:r w:rsidRPr="00C80BF1">
        <w:t>Délibérations du Comité</w:t>
      </w:r>
    </w:p>
    <w:p w:rsidR="002D25F9" w:rsidRPr="00C80BF1" w:rsidRDefault="002D25F9" w:rsidP="002D25F9">
      <w:pPr>
        <w:pStyle w:val="H4G"/>
      </w:pPr>
      <w:r>
        <w:tab/>
      </w:r>
      <w:r>
        <w:tab/>
      </w:r>
      <w:r w:rsidRPr="00C80BF1">
        <w:t>Examen de la recevabilité</w:t>
      </w:r>
    </w:p>
    <w:p w:rsidR="002D25F9" w:rsidRPr="00C80BF1" w:rsidRDefault="002D25F9" w:rsidP="002D25F9">
      <w:pPr>
        <w:pStyle w:val="SingleTxtG"/>
      </w:pPr>
      <w:r w:rsidRPr="00C80BF1">
        <w:t>6.1</w:t>
      </w:r>
      <w:r w:rsidRPr="00C80BF1">
        <w:tab/>
        <w:t>Avant d</w:t>
      </w:r>
      <w:r>
        <w:t>’</w:t>
      </w:r>
      <w:r w:rsidRPr="00C80BF1">
        <w:t>examiner toute plainte soumise dans une communication, le Comité des droits de l</w:t>
      </w:r>
      <w:r>
        <w:t>’</w:t>
      </w:r>
      <w:r w:rsidRPr="00C80BF1">
        <w:t>homme doit, conformément à l</w:t>
      </w:r>
      <w:r>
        <w:t>’</w:t>
      </w:r>
      <w:r w:rsidRPr="00C80BF1">
        <w:t>article</w:t>
      </w:r>
      <w:r>
        <w:t> </w:t>
      </w:r>
      <w:r w:rsidRPr="00C80BF1">
        <w:t>93 de son règlement intérieur, déterminer si la communication est recevable en vertu du Protocole facultatif se rapportant au Pacte.</w:t>
      </w:r>
    </w:p>
    <w:p w:rsidR="002D25F9" w:rsidRPr="00C80BF1" w:rsidRDefault="002D25F9" w:rsidP="002D25F9">
      <w:pPr>
        <w:pStyle w:val="SingleTxtG"/>
      </w:pPr>
      <w:r w:rsidRPr="00C80BF1">
        <w:t>6.2</w:t>
      </w:r>
      <w:r w:rsidRPr="00C80BF1">
        <w:tab/>
        <w:t>Le Comité s</w:t>
      </w:r>
      <w:r>
        <w:t>’</w:t>
      </w:r>
      <w:r w:rsidRPr="00C80BF1">
        <w:t>est assuré, comme il est tenu de le f</w:t>
      </w:r>
      <w:r>
        <w:t>aire conformément au paragraphe 2 a) de l’article </w:t>
      </w:r>
      <w:r w:rsidRPr="00C80BF1">
        <w:t>5 du Protocole facultatif, que la même question n</w:t>
      </w:r>
      <w:r>
        <w:t>’</w:t>
      </w:r>
      <w:r w:rsidRPr="00C80BF1">
        <w:t>était pas déjà en cours d</w:t>
      </w:r>
      <w:r>
        <w:t>’</w:t>
      </w:r>
      <w:r w:rsidRPr="00C80BF1">
        <w:t>examen devant une autre instance internationale d</w:t>
      </w:r>
      <w:r>
        <w:t>’</w:t>
      </w:r>
      <w:r w:rsidRPr="00C80BF1">
        <w:t>enquête ou de règlement.</w:t>
      </w:r>
    </w:p>
    <w:p w:rsidR="002D25F9" w:rsidRDefault="002D25F9" w:rsidP="002D25F9">
      <w:pPr>
        <w:pStyle w:val="SingleTxtG"/>
      </w:pPr>
      <w:r w:rsidRPr="00C80BF1">
        <w:t>6.3</w:t>
      </w:r>
      <w:r w:rsidRPr="00C80BF1">
        <w:tab/>
        <w:t xml:space="preserve">Le Comité observe que </w:t>
      </w:r>
      <w:r w:rsidRPr="00C80BF1">
        <w:rPr>
          <w:lang w:val="fr-FR"/>
        </w:rPr>
        <w:t>l</w:t>
      </w:r>
      <w:r>
        <w:rPr>
          <w:lang w:val="fr-FR"/>
        </w:rPr>
        <w:t>’</w:t>
      </w:r>
      <w:r w:rsidRPr="00C80BF1">
        <w:rPr>
          <w:lang w:val="fr-FR"/>
        </w:rPr>
        <w:t>État partie</w:t>
      </w:r>
      <w:r w:rsidRPr="00C80BF1">
        <w:t xml:space="preserve"> ne conteste pas la recevabilité et ne fournit pas d</w:t>
      </w:r>
      <w:r>
        <w:t>’</w:t>
      </w:r>
      <w:r w:rsidRPr="00C80BF1">
        <w:t>informations sur les recours utiles disponibles.</w:t>
      </w:r>
      <w:r>
        <w:t xml:space="preserve"> En conséquence, le Comité conclut que rien ne s’oppose à ce qu’il examine la communication conformément au paragraphe 2 b) de l’article 5 du Protocole facultatif.</w:t>
      </w:r>
    </w:p>
    <w:p w:rsidR="002D25F9" w:rsidRPr="00C80BF1" w:rsidRDefault="002D25F9" w:rsidP="002D25F9">
      <w:pPr>
        <w:pStyle w:val="SingleTxtG"/>
      </w:pPr>
      <w:r w:rsidRPr="00C80BF1">
        <w:t>6.4</w:t>
      </w:r>
      <w:r w:rsidRPr="00C80BF1">
        <w:tab/>
        <w:t>Le Comité relève que l</w:t>
      </w:r>
      <w:r>
        <w:t>’auteur</w:t>
      </w:r>
      <w:r w:rsidRPr="00C80BF1">
        <w:t xml:space="preserve"> invoque une violation des droits qu</w:t>
      </w:r>
      <w:r>
        <w:t>’</w:t>
      </w:r>
      <w:r w:rsidRPr="00C80BF1">
        <w:t xml:space="preserve">elle tient du </w:t>
      </w:r>
      <w:r w:rsidRPr="00C80BF1">
        <w:rPr>
          <w:lang w:val="fr-FR"/>
        </w:rPr>
        <w:t>paragraphe</w:t>
      </w:r>
      <w:r>
        <w:t> </w:t>
      </w:r>
      <w:r w:rsidRPr="00C80BF1">
        <w:t xml:space="preserve">1 de </w:t>
      </w:r>
      <w:r w:rsidRPr="00C80BF1">
        <w:rPr>
          <w:lang w:val="fr-FR"/>
        </w:rPr>
        <w:t>l</w:t>
      </w:r>
      <w:r>
        <w:rPr>
          <w:lang w:val="fr-FR"/>
        </w:rPr>
        <w:t>’</w:t>
      </w:r>
      <w:r w:rsidRPr="00C80BF1">
        <w:rPr>
          <w:lang w:val="fr-FR"/>
        </w:rPr>
        <w:t>article</w:t>
      </w:r>
      <w:r>
        <w:t> </w:t>
      </w:r>
      <w:r w:rsidRPr="00C80BF1">
        <w:t>12 du Pacte, au motif qu</w:t>
      </w:r>
      <w:r>
        <w:t>’</w:t>
      </w:r>
      <w:r w:rsidRPr="00C80BF1">
        <w:t>elle a été arrêtée pour une infraction administrative. En l</w:t>
      </w:r>
      <w:r>
        <w:t>’</w:t>
      </w:r>
      <w:r w:rsidRPr="00C80BF1">
        <w:t>absence de toute autre information pertinente, le Comité considère néanmoins que l</w:t>
      </w:r>
      <w:r>
        <w:t>’auteur</w:t>
      </w:r>
      <w:r w:rsidRPr="00C80BF1">
        <w:t xml:space="preserve"> n</w:t>
      </w:r>
      <w:r>
        <w:t>’</w:t>
      </w:r>
      <w:r w:rsidRPr="00C80BF1">
        <w:t xml:space="preserve">a pas suffisamment étayé ce grief </w:t>
      </w:r>
      <w:r>
        <w:t>aux fins de la recevabilité. En </w:t>
      </w:r>
      <w:r w:rsidRPr="00C80BF1">
        <w:t>conséquence, il conclut que cette partie de la communication est ir</w:t>
      </w:r>
      <w:r>
        <w:t>recevable en vertu de l’article </w:t>
      </w:r>
      <w:r w:rsidRPr="00C80BF1">
        <w:t>2 du Protocole facultatif.</w:t>
      </w:r>
    </w:p>
    <w:p w:rsidR="002D25F9" w:rsidRPr="00C80BF1" w:rsidRDefault="002D25F9" w:rsidP="002D25F9">
      <w:pPr>
        <w:pStyle w:val="SingleTxtG"/>
      </w:pPr>
      <w:r w:rsidRPr="00C80BF1">
        <w:t>6.5</w:t>
      </w:r>
      <w:r w:rsidRPr="00C80BF1">
        <w:tab/>
      </w:r>
      <w:r>
        <w:t xml:space="preserve">En ce qui concerne le grief de </w:t>
      </w:r>
      <w:r w:rsidRPr="00C80BF1">
        <w:t>l</w:t>
      </w:r>
      <w:r>
        <w:t xml:space="preserve">’auteur affirmant que les droits </w:t>
      </w:r>
      <w:r w:rsidRPr="00C80BF1">
        <w:t>qu</w:t>
      </w:r>
      <w:r>
        <w:t>’</w:t>
      </w:r>
      <w:r w:rsidRPr="00C80BF1">
        <w:t xml:space="preserve">elle tient du </w:t>
      </w:r>
      <w:r w:rsidRPr="00C80BF1">
        <w:rPr>
          <w:lang w:val="fr-FR"/>
        </w:rPr>
        <w:t>paragraphe</w:t>
      </w:r>
      <w:r>
        <w:t> </w:t>
      </w:r>
      <w:r w:rsidRPr="00C80BF1">
        <w:t xml:space="preserve">1 de </w:t>
      </w:r>
      <w:r w:rsidRPr="00C80BF1">
        <w:rPr>
          <w:lang w:val="fr-FR"/>
        </w:rPr>
        <w:t>l</w:t>
      </w:r>
      <w:r>
        <w:rPr>
          <w:lang w:val="fr-FR"/>
        </w:rPr>
        <w:t>’</w:t>
      </w:r>
      <w:r w:rsidRPr="00C80BF1">
        <w:rPr>
          <w:lang w:val="fr-FR"/>
        </w:rPr>
        <w:t>article</w:t>
      </w:r>
      <w:r>
        <w:t> </w:t>
      </w:r>
      <w:r w:rsidRPr="00C80BF1">
        <w:t>9 du Pacte</w:t>
      </w:r>
      <w:r>
        <w:t xml:space="preserve"> ont été violés du fait</w:t>
      </w:r>
      <w:r w:rsidRPr="00C80BF1">
        <w:t xml:space="preserve"> </w:t>
      </w:r>
      <w:r>
        <w:t xml:space="preserve">de son arrestation, le </w:t>
      </w:r>
      <w:r w:rsidRPr="00C80BF1">
        <w:t xml:space="preserve">Comité prend note </w:t>
      </w:r>
      <w:r>
        <w:t xml:space="preserve">de </w:t>
      </w:r>
      <w:r w:rsidRPr="00C80BF1">
        <w:t>l</w:t>
      </w:r>
      <w:r>
        <w:t>’</w:t>
      </w:r>
      <w:r w:rsidRPr="00C80BF1">
        <w:t>argument de l</w:t>
      </w:r>
      <w:r>
        <w:t>’</w:t>
      </w:r>
      <w:r w:rsidRPr="00C80BF1">
        <w:t>État partie selon lequel l</w:t>
      </w:r>
      <w:r>
        <w:t>’</w:t>
      </w:r>
      <w:r w:rsidRPr="00C80BF1">
        <w:t xml:space="preserve">arrestation était licite au regard de </w:t>
      </w:r>
      <w:r w:rsidRPr="00C80BF1">
        <w:rPr>
          <w:lang w:val="fr-FR"/>
        </w:rPr>
        <w:t>l</w:t>
      </w:r>
      <w:r>
        <w:rPr>
          <w:lang w:val="fr-FR"/>
        </w:rPr>
        <w:t>’</w:t>
      </w:r>
      <w:r w:rsidRPr="00C80BF1">
        <w:rPr>
          <w:lang w:val="fr-FR"/>
        </w:rPr>
        <w:t>article</w:t>
      </w:r>
      <w:r>
        <w:t> </w:t>
      </w:r>
      <w:r w:rsidRPr="00C80BF1">
        <w:t xml:space="preserve">618 du </w:t>
      </w:r>
      <w:r>
        <w:t>C</w:t>
      </w:r>
      <w:r w:rsidRPr="00C80BF1">
        <w:t>ode</w:t>
      </w:r>
      <w:r>
        <w:t xml:space="preserve"> des infractions administratives. Il observe, toutefois, que cela pose la question du caractère arbitraire de l’arrestation de l’auteur. Il considère donc que le grief soulevé par l’auteur au titre du paragraphe 1 de l’article 9 a été suffisamment étayé aux fins de la recevabilité, et le déclare recevable. Le </w:t>
      </w:r>
      <w:r w:rsidRPr="00C80BF1">
        <w:t xml:space="preserve">Comité considère </w:t>
      </w:r>
      <w:r>
        <w:t xml:space="preserve">en outre </w:t>
      </w:r>
      <w:r w:rsidRPr="00C80BF1">
        <w:t>que l</w:t>
      </w:r>
      <w:r>
        <w:t>’auteur</w:t>
      </w:r>
      <w:r w:rsidRPr="00C80BF1">
        <w:t xml:space="preserve"> a suffisamment étayé, aux fins de la recevabilité, les griefs qu</w:t>
      </w:r>
      <w:r>
        <w:t>’</w:t>
      </w:r>
      <w:r w:rsidRPr="00C80BF1">
        <w:t>ell</w:t>
      </w:r>
      <w:r>
        <w:t>e soulève au titre des articles </w:t>
      </w:r>
      <w:r w:rsidRPr="00C80BF1">
        <w:t>19 et 21 du Pacte. En conséquence, il déclare ces griefs recevables et procède à leur examen quant au fond.</w:t>
      </w:r>
    </w:p>
    <w:p w:rsidR="002D25F9" w:rsidRPr="00C80BF1" w:rsidRDefault="002D25F9" w:rsidP="002D25F9">
      <w:pPr>
        <w:pStyle w:val="H4G"/>
      </w:pPr>
      <w:r>
        <w:tab/>
      </w:r>
      <w:r>
        <w:tab/>
      </w:r>
      <w:r w:rsidRPr="00C80BF1">
        <w:t>Examen au fond</w:t>
      </w:r>
    </w:p>
    <w:p w:rsidR="002D25F9" w:rsidRPr="00C80BF1" w:rsidRDefault="002D25F9" w:rsidP="002D25F9">
      <w:pPr>
        <w:pStyle w:val="SingleTxtG"/>
      </w:pPr>
      <w:r>
        <w:t>7.1</w:t>
      </w:r>
      <w:r>
        <w:tab/>
        <w:t>Conformément au paragraphe 1 de l’article </w:t>
      </w:r>
      <w:r w:rsidRPr="00C80BF1">
        <w:t>5 du Protocole facultatif, le Comité des droits de l</w:t>
      </w:r>
      <w:r>
        <w:t>’</w:t>
      </w:r>
      <w:r w:rsidRPr="00C80BF1">
        <w:t>homme a examiné la présente communication en tenant compte de toutes les informations qui lui ont é</w:t>
      </w:r>
      <w:r>
        <w:t>té communiquées par les parties</w:t>
      </w:r>
      <w:r w:rsidRPr="00C80BF1">
        <w:t>.</w:t>
      </w:r>
    </w:p>
    <w:p w:rsidR="002D25F9" w:rsidRDefault="002D25F9" w:rsidP="002D25F9">
      <w:pPr>
        <w:pStyle w:val="SingleTxtG"/>
      </w:pPr>
      <w:r w:rsidRPr="00C80BF1">
        <w:t>7.2</w:t>
      </w:r>
      <w:r w:rsidRPr="00C80BF1">
        <w:tab/>
      </w:r>
      <w:r>
        <w:t>En ce qui concerne le grief de l’auteur au titre de l’article 9 du Pacte, le Comité observe qu’il y a désaccord entre les parties quant au fondement juridique de l’arrestation de l’auteur, mais que le fait que, le 16 mars 2010, la police a fait irruption dans le bureau de l’auteur et l’a arrêtée n’est pas contesté. Le Comité rappelle qu’une arrestation, pour être conforme au paragraphe 1 de l’article 9, doit être non seulement légale, mais également raisonnable et nécessaire en toutes circonstances</w:t>
      </w:r>
      <w:r>
        <w:rPr>
          <w:rStyle w:val="FootnoteReference"/>
        </w:rPr>
        <w:footnoteReference w:id="12"/>
      </w:r>
      <w:r>
        <w:t>. Le Comité observe que l’État partie n’a aucunement justifié en quoi l’arrestation de l’auteur en vertu du Code de procédure administrative était raisonnable et nécessaire. Le Comité considère que l’État partie n’a pas montré pourquoi il était nécessaire d’arrêter l’auteur. Dans ces conditions, le Comité estime que l’arrestation de l’auteur n’était pas raisonnable et a constitué une violation du paragraphe 1 de l’article 9 du Pacte.</w:t>
      </w:r>
    </w:p>
    <w:p w:rsidR="002D25F9" w:rsidRPr="00C80BF1" w:rsidRDefault="002D25F9" w:rsidP="002D25F9">
      <w:pPr>
        <w:pStyle w:val="SingleTxtG"/>
      </w:pPr>
      <w:r>
        <w:t>7.3</w:t>
      </w:r>
      <w:r>
        <w:tab/>
      </w:r>
      <w:r w:rsidRPr="00C80BF1">
        <w:t xml:space="preserve">Le Comité </w:t>
      </w:r>
      <w:r>
        <w:t>relève que l’auteur affirme que</w:t>
      </w:r>
      <w:r w:rsidRPr="00C80BF1">
        <w:t xml:space="preserve"> les autorités ont violé les dr</w:t>
      </w:r>
      <w:r>
        <w:t>oits qu’elle tient de l’article </w:t>
      </w:r>
      <w:r w:rsidRPr="00C80BF1">
        <w:t>19 du Pacte. Il ressort des éléments d</w:t>
      </w:r>
      <w:r>
        <w:t>’</w:t>
      </w:r>
      <w:r w:rsidRPr="00C80BF1">
        <w:t>information dont le Comité est saisi que l</w:t>
      </w:r>
      <w:r>
        <w:t>’auteur</w:t>
      </w:r>
      <w:r w:rsidRPr="00C80BF1">
        <w:t xml:space="preserve"> a été arrêtée puis déclarée coupable d</w:t>
      </w:r>
      <w:r>
        <w:t>’</w:t>
      </w:r>
      <w:r w:rsidRPr="00C80BF1">
        <w:t xml:space="preserve">avoir organisé un </w:t>
      </w:r>
      <w:r w:rsidRPr="00C80BF1">
        <w:rPr>
          <w:i/>
        </w:rPr>
        <w:t>art-mob</w:t>
      </w:r>
      <w:r w:rsidRPr="00C80BF1">
        <w:t xml:space="preserve"> et d</w:t>
      </w:r>
      <w:r>
        <w:t>’</w:t>
      </w:r>
      <w:r w:rsidRPr="00C80BF1">
        <w:t xml:space="preserve">y avoir participé sans </w:t>
      </w:r>
      <w:r>
        <w:t xml:space="preserve">avoir demandé </w:t>
      </w:r>
      <w:r w:rsidRPr="00C80BF1">
        <w:t>l</w:t>
      </w:r>
      <w:r>
        <w:t>’</w:t>
      </w:r>
      <w:r w:rsidRPr="00C80BF1">
        <w:t xml:space="preserve">autorisation préalable </w:t>
      </w:r>
      <w:r>
        <w:t xml:space="preserve">des </w:t>
      </w:r>
      <w:r w:rsidRPr="00C80BF1">
        <w:t>autorités exécutives locales, et a été sanctionnée d</w:t>
      </w:r>
      <w:r>
        <w:t>’</w:t>
      </w:r>
      <w:r w:rsidRPr="00C80BF1">
        <w:t>une amende. De l</w:t>
      </w:r>
      <w:r>
        <w:t>’</w:t>
      </w:r>
      <w:r w:rsidRPr="00C80BF1">
        <w:t>avis du Comité, ces mesures des autorités entravent l</w:t>
      </w:r>
      <w:r>
        <w:t>’</w:t>
      </w:r>
      <w:r w:rsidRPr="00C80BF1">
        <w:t xml:space="preserve">exercice </w:t>
      </w:r>
      <w:r>
        <w:t>du</w:t>
      </w:r>
      <w:r w:rsidRPr="00C80BF1">
        <w:t xml:space="preserve"> droit de s</w:t>
      </w:r>
      <w:r>
        <w:t>’</w:t>
      </w:r>
      <w:r w:rsidRPr="00C80BF1">
        <w:t xml:space="preserve">exprimer et de partager </w:t>
      </w:r>
      <w:r>
        <w:t xml:space="preserve">librement </w:t>
      </w:r>
      <w:r w:rsidRPr="00C80BF1">
        <w:t>des informations et des idées de toute nature, droit qu</w:t>
      </w:r>
      <w:r>
        <w:t>i est protégé par le paragraphe 2 de l’article </w:t>
      </w:r>
      <w:r w:rsidRPr="00C80BF1">
        <w:t>19 du Pacte.</w:t>
      </w:r>
    </w:p>
    <w:p w:rsidR="002D25F9" w:rsidRPr="00C80BF1" w:rsidRDefault="002D25F9" w:rsidP="002D25F9">
      <w:pPr>
        <w:pStyle w:val="SingleTxtG"/>
      </w:pPr>
      <w:r w:rsidRPr="00C80BF1">
        <w:t>7.</w:t>
      </w:r>
      <w:r>
        <w:t>4</w:t>
      </w:r>
      <w:r w:rsidRPr="00C80BF1">
        <w:tab/>
        <w:t>Le Comité doit ensuite déterminer si les restrictions apportées à la liberté de l</w:t>
      </w:r>
      <w:r>
        <w:t>’auteur</w:t>
      </w:r>
      <w:r w:rsidRPr="00C80BF1">
        <w:t xml:space="preserve"> de répandre des informations et des idées sont justifiées au regard</w:t>
      </w:r>
      <w:r>
        <w:t xml:space="preserve"> </w:t>
      </w:r>
      <w:r w:rsidRPr="00C80BF1">
        <w:t>de l</w:t>
      </w:r>
      <w:r>
        <w:t>’</w:t>
      </w:r>
      <w:r w:rsidRPr="00C80BF1">
        <w:t>un quelconque des critères énonc</w:t>
      </w:r>
      <w:r>
        <w:t>és au paragraphe 3 de l’article </w:t>
      </w:r>
      <w:r w:rsidRPr="00C80BF1">
        <w:t xml:space="preserve">19 du Pacte. </w:t>
      </w:r>
      <w:r>
        <w:t>Il</w:t>
      </w:r>
      <w:r w:rsidRPr="00C80BF1">
        <w:t xml:space="preserve"> renvoie à ce sujet à son Observation générale </w:t>
      </w:r>
      <w:r>
        <w:rPr>
          <w:rFonts w:eastAsia="MS Mincho"/>
        </w:rPr>
        <w:t>n</w:t>
      </w:r>
      <w:r>
        <w:rPr>
          <w:rFonts w:eastAsia="MS Mincho"/>
          <w:vertAlign w:val="superscript"/>
        </w:rPr>
        <w:t>o</w:t>
      </w:r>
      <w:r>
        <w:t> </w:t>
      </w:r>
      <w:r w:rsidRPr="00C80BF1">
        <w:t>34, dans laquelle il affirme notamment que la liberté d</w:t>
      </w:r>
      <w:r>
        <w:t>’</w:t>
      </w:r>
      <w:r w:rsidRPr="00C80BF1">
        <w:t>expression est essentielle pour toute société et constitue le fondement de toute société libre et démocratique</w:t>
      </w:r>
      <w:r w:rsidRPr="00C42E14">
        <w:rPr>
          <w:rStyle w:val="FootnoteReference"/>
        </w:rPr>
        <w:footnoteReference w:id="13"/>
      </w:r>
      <w:r>
        <w:t>. Il note que le paragraphe 3 de l’article </w:t>
      </w:r>
      <w:r w:rsidRPr="00C80BF1">
        <w:t>19 du Pacte autorise l</w:t>
      </w:r>
      <w:r>
        <w:t>’</w:t>
      </w:r>
      <w:r w:rsidRPr="00C80BF1">
        <w:t>application de restrictions à la liberté d</w:t>
      </w:r>
      <w:r>
        <w:t>’</w:t>
      </w:r>
      <w:r w:rsidRPr="00C80BF1">
        <w:t>expression, y compris la liberté de répandre des informations et des idées, dans la seule mesure où ces restrictions sont fixées par</w:t>
      </w:r>
      <w:r>
        <w:t xml:space="preserve"> la loi et sont nécessaires: a) </w:t>
      </w:r>
      <w:r w:rsidRPr="00C80BF1">
        <w:t>au respect des droits ou d</w:t>
      </w:r>
      <w:r>
        <w:t>e la réputation d’autrui; ou b) </w:t>
      </w:r>
      <w:r w:rsidRPr="00C80BF1">
        <w:t>à la sauvegarde de la sécurité nationale</w:t>
      </w:r>
      <w:r>
        <w:t xml:space="preserve"> ou</w:t>
      </w:r>
      <w:r w:rsidRPr="00C80BF1">
        <w:t xml:space="preserve"> de l</w:t>
      </w:r>
      <w:r>
        <w:t>’</w:t>
      </w:r>
      <w:r w:rsidRPr="00C80BF1">
        <w:t xml:space="preserve">ordre public, </w:t>
      </w:r>
      <w:r>
        <w:t xml:space="preserve">ou </w:t>
      </w:r>
      <w:r w:rsidRPr="00C80BF1">
        <w:t>de la santé ou la moralité publiques. Enfin, aucune restriction de la liberté d</w:t>
      </w:r>
      <w:r>
        <w:t>’</w:t>
      </w:r>
      <w:r w:rsidRPr="00C80BF1">
        <w:t>expression ne doit avoir une portée trop large: elle doit constituer le moyen le moins perturbateur parmi ceux qui pourraient permettre d</w:t>
      </w:r>
      <w:r>
        <w:t>’</w:t>
      </w:r>
      <w:r w:rsidRPr="00C80BF1">
        <w:t>obtenir le résultat recherché et doit être proportionnée à l</w:t>
      </w:r>
      <w:r>
        <w:t>’</w:t>
      </w:r>
      <w:r w:rsidRPr="00C80BF1">
        <w:t>intérêt à protéger</w:t>
      </w:r>
      <w:r w:rsidRPr="00C42E14">
        <w:rPr>
          <w:rStyle w:val="FootnoteReference"/>
        </w:rPr>
        <w:footnoteReference w:id="14"/>
      </w:r>
      <w:r w:rsidRPr="00C80BF1">
        <w:t>.</w:t>
      </w:r>
    </w:p>
    <w:p w:rsidR="002D25F9" w:rsidRPr="00C80BF1" w:rsidRDefault="002D25F9" w:rsidP="002D25F9">
      <w:pPr>
        <w:pStyle w:val="SingleTxtG"/>
      </w:pPr>
      <w:r w:rsidRPr="00C80BF1">
        <w:t>7.</w:t>
      </w:r>
      <w:r>
        <w:t>5</w:t>
      </w:r>
      <w:r w:rsidRPr="00C80BF1">
        <w:tab/>
        <w:t>Le Comité constate qu</w:t>
      </w:r>
      <w:r>
        <w:t>’</w:t>
      </w:r>
      <w:r w:rsidRPr="00C80BF1">
        <w:t>en l</w:t>
      </w:r>
      <w:r>
        <w:t>’espèce</w:t>
      </w:r>
      <w:r w:rsidRPr="00C80BF1">
        <w:t xml:space="preserve"> l</w:t>
      </w:r>
      <w:r>
        <w:t>’</w:t>
      </w:r>
      <w:r w:rsidRPr="00C80BF1">
        <w:t>arrestation de l</w:t>
      </w:r>
      <w:r>
        <w:t>’auteur</w:t>
      </w:r>
      <w:r w:rsidRPr="00C80BF1">
        <w:t xml:space="preserve"> et sa condamnation à une amende importante soulève</w:t>
      </w:r>
      <w:r>
        <w:t>nt</w:t>
      </w:r>
      <w:r w:rsidRPr="00C80BF1">
        <w:t xml:space="preserve"> des doutes sérieux quant à la nécessité et à la proportionnalité des restrictions imposées à l</w:t>
      </w:r>
      <w:r>
        <w:t>’</w:t>
      </w:r>
      <w:r w:rsidRPr="00C80BF1">
        <w:t>exercice de ses droits. Le Comité constate en outre que l</w:t>
      </w:r>
      <w:r>
        <w:t>’</w:t>
      </w:r>
      <w:r w:rsidRPr="00C80BF1">
        <w:t>État partie n</w:t>
      </w:r>
      <w:r>
        <w:t>’</w:t>
      </w:r>
      <w:r w:rsidRPr="00C80BF1">
        <w:t xml:space="preserve">a </w:t>
      </w:r>
      <w:r>
        <w:t>avancé</w:t>
      </w:r>
      <w:r w:rsidRPr="00C80BF1">
        <w:t xml:space="preserve"> aucun motif précis justifiant la nécessité des restrictions imposées à l</w:t>
      </w:r>
      <w:r>
        <w:t>’auteur</w:t>
      </w:r>
      <w:r w:rsidRPr="00C80BF1">
        <w:t>, comme l</w:t>
      </w:r>
      <w:r>
        <w:t>’</w:t>
      </w:r>
      <w:r w:rsidRPr="00C80BF1">
        <w:t>exi</w:t>
      </w:r>
      <w:r>
        <w:t>ge le paragraphe 3 de l’article </w:t>
      </w:r>
      <w:r w:rsidRPr="00C80BF1">
        <w:t>19 du Pacte</w:t>
      </w:r>
      <w:r w:rsidRPr="00C42E14">
        <w:rPr>
          <w:rStyle w:val="FootnoteReference"/>
        </w:rPr>
        <w:footnoteReference w:id="15"/>
      </w:r>
      <w:r w:rsidRPr="00C80BF1">
        <w:t>. L</w:t>
      </w:r>
      <w:r>
        <w:t>’</w:t>
      </w:r>
      <w:r w:rsidRPr="00C80BF1">
        <w:t>État partie n</w:t>
      </w:r>
      <w:r>
        <w:t>’</w:t>
      </w:r>
      <w:r w:rsidRPr="00C80BF1">
        <w:t>a pas non plus montré que les mesures choisies constituaient le moyen le moins perturbateur d</w:t>
      </w:r>
      <w:r>
        <w:t>’</w:t>
      </w:r>
      <w:r w:rsidRPr="00C80BF1">
        <w:t>obtenir le résultat recherché ou étaient proportionnées à l</w:t>
      </w:r>
      <w:r>
        <w:t>’</w:t>
      </w:r>
      <w:r w:rsidRPr="00C80BF1">
        <w:t>intérêt à protéger. Le Comité considère que, dans les circonstances de l</w:t>
      </w:r>
      <w:r>
        <w:t>’</w:t>
      </w:r>
      <w:r w:rsidRPr="00C80BF1">
        <w:t xml:space="preserve">espèce, </w:t>
      </w:r>
      <w:r>
        <w:t xml:space="preserve">il n’a pas été démontré que </w:t>
      </w:r>
      <w:r w:rsidRPr="00C80BF1">
        <w:t>les restrictions imposées à l</w:t>
      </w:r>
      <w:r>
        <w:t>’auteur</w:t>
      </w:r>
      <w:r w:rsidRPr="00C80BF1">
        <w:t>, bien que fondé</w:t>
      </w:r>
      <w:r>
        <w:t xml:space="preserve">es sur la législation interne, </w:t>
      </w:r>
      <w:r w:rsidRPr="00C80BF1">
        <w:t xml:space="preserve">étaient justifiées </w:t>
      </w:r>
      <w:r>
        <w:t xml:space="preserve">et proportionnées </w:t>
      </w:r>
      <w:r w:rsidRPr="00C80BF1">
        <w:t>au</w:t>
      </w:r>
      <w:r>
        <w:t> </w:t>
      </w:r>
      <w:r w:rsidRPr="00C80BF1">
        <w:t>regard des conditions énoncées au paragraphe</w:t>
      </w:r>
      <w:r>
        <w:t> </w:t>
      </w:r>
      <w:r w:rsidRPr="00C80BF1">
        <w:t>3 de l</w:t>
      </w:r>
      <w:r>
        <w:t>’</w:t>
      </w:r>
      <w:r w:rsidRPr="00C80BF1">
        <w:t>a</w:t>
      </w:r>
      <w:r>
        <w:t>rticle </w:t>
      </w:r>
      <w:r w:rsidRPr="00C80BF1">
        <w:t>19 du Pacte. Il conclut par</w:t>
      </w:r>
      <w:r>
        <w:t> </w:t>
      </w:r>
      <w:r w:rsidRPr="00C80BF1">
        <w:t>conséquent que les droits qu</w:t>
      </w:r>
      <w:r>
        <w:t>e l’auteur tient du paragraphe 2 de l’article </w:t>
      </w:r>
      <w:r w:rsidRPr="00C80BF1">
        <w:t>19 du Pacte ont été violés</w:t>
      </w:r>
      <w:r w:rsidRPr="00AA2531">
        <w:rPr>
          <w:rStyle w:val="FootnoteReference"/>
        </w:rPr>
        <w:footnoteReference w:id="16"/>
      </w:r>
      <w:r w:rsidRPr="00C80BF1">
        <w:t>.</w:t>
      </w:r>
    </w:p>
    <w:p w:rsidR="002D25F9" w:rsidRPr="00C80BF1" w:rsidRDefault="002D25F9" w:rsidP="002D25F9">
      <w:pPr>
        <w:pStyle w:val="SingleTxtG"/>
      </w:pPr>
      <w:r>
        <w:t>7.6</w:t>
      </w:r>
      <w:r w:rsidRPr="00C80BF1">
        <w:tab/>
        <w:t xml:space="preserve">En ce qui concerne le </w:t>
      </w:r>
      <w:r>
        <w:t>grief de violation de l’article </w:t>
      </w:r>
      <w:r w:rsidRPr="00C80BF1">
        <w:t xml:space="preserve">21 du Pacte, le Comité considère </w:t>
      </w:r>
      <w:r>
        <w:t xml:space="preserve">de même </w:t>
      </w:r>
      <w:r w:rsidRPr="00C80BF1">
        <w:t>que l</w:t>
      </w:r>
      <w:r>
        <w:t>’</w:t>
      </w:r>
      <w:r w:rsidRPr="00C80BF1">
        <w:t>État partie n</w:t>
      </w:r>
      <w:r>
        <w:t>’</w:t>
      </w:r>
      <w:r w:rsidRPr="00C80BF1">
        <w:t xml:space="preserve">a pas démontré que les restrictions imposées </w:t>
      </w:r>
      <w:r>
        <w:t xml:space="preserve">aux droits de l’auteur, à savoir son arrestation et sa condamnation à une amende importante, </w:t>
      </w:r>
      <w:r w:rsidRPr="00C80BF1">
        <w:t>étaient nécessaires pour maintenir la sécurité nationale, la sûreté publique ou l</w:t>
      </w:r>
      <w:r>
        <w:t>’</w:t>
      </w:r>
      <w:r w:rsidRPr="00C80BF1">
        <w:t>ordre public ou pour protéger la santé et la moralité publiques ou sauvegarder les droits et libertés d</w:t>
      </w:r>
      <w:r>
        <w:t>’autrui. En </w:t>
      </w:r>
      <w:r w:rsidRPr="00C80BF1">
        <w:t>conséquence, le Comité conclut que les faits dont il est saisi emportent également une violation des droits gar</w:t>
      </w:r>
      <w:r>
        <w:t>antis à l’auteur par l’article </w:t>
      </w:r>
      <w:r w:rsidRPr="00C80BF1">
        <w:t>21 du Pacte</w:t>
      </w:r>
      <w:r w:rsidRPr="00AA2531">
        <w:rPr>
          <w:rStyle w:val="FootnoteReference"/>
        </w:rPr>
        <w:footnoteReference w:id="17"/>
      </w:r>
      <w:r w:rsidRPr="00C80BF1">
        <w:t>.</w:t>
      </w:r>
    </w:p>
    <w:p w:rsidR="002D25F9" w:rsidRPr="00C80BF1" w:rsidRDefault="002D25F9" w:rsidP="002D25F9">
      <w:pPr>
        <w:pStyle w:val="SingleTxtG"/>
      </w:pPr>
      <w:r w:rsidRPr="00C80BF1">
        <w:t>8.</w:t>
      </w:r>
      <w:r w:rsidRPr="00C80BF1">
        <w:tab/>
        <w:t>Le Comité des droits de l</w:t>
      </w:r>
      <w:r>
        <w:t>’</w:t>
      </w:r>
      <w:r w:rsidRPr="00C80BF1">
        <w:t xml:space="preserve">homme, </w:t>
      </w:r>
      <w:r>
        <w:t>agissant en vertu du paragraphe </w:t>
      </w:r>
      <w:r w:rsidRPr="00C80BF1">
        <w:t>4 de l</w:t>
      </w:r>
      <w:r>
        <w:t>’article </w:t>
      </w:r>
      <w:r w:rsidRPr="00C80BF1">
        <w:t>5 du</w:t>
      </w:r>
      <w:r>
        <w:t> </w:t>
      </w:r>
      <w:r w:rsidRPr="00C80BF1">
        <w:t>Protocole facultatif se rapportant au Pacte international relatif aux droits civils et politiques, constate que les faits dont il est saisi font apparaître une violation par le</w:t>
      </w:r>
      <w:r>
        <w:t> </w:t>
      </w:r>
      <w:r w:rsidRPr="00C80BF1">
        <w:t>Kazakhstan des droits q</w:t>
      </w:r>
      <w:r>
        <w:t>ue tient l’auteur des articles </w:t>
      </w:r>
      <w:r w:rsidRPr="00C80BF1">
        <w:t>19 et 21 du Pacte.</w:t>
      </w:r>
    </w:p>
    <w:p w:rsidR="002D25F9" w:rsidRPr="00C80BF1" w:rsidRDefault="002D25F9" w:rsidP="002D25F9">
      <w:pPr>
        <w:pStyle w:val="SingleTxtG"/>
      </w:pPr>
      <w:r>
        <w:t>9.</w:t>
      </w:r>
      <w:r>
        <w:tab/>
      </w:r>
      <w:r w:rsidRPr="002D25F9">
        <w:rPr>
          <w:spacing w:val="-2"/>
        </w:rPr>
        <w:t>Conformément au paragraphe 3 a) de l’article 2 du Pacte, l’État partie est tenu d’assurer à l’auteur un recours utile, y compris sous la forme d’un réexamen de sa condamnation et d’une indemnisation adéquate comprenant le remboursement de ses frais de justice. L’État partie est en outre tenu de veiller à ce que des violations analogues ne se reproduisent pas. L’État partie devrait réviser sa législation, en particulier la loi relative à l’organisation de réunions, assemblées, cortèges, piquets et manifestations pacifiques dans la République du Kazakhstan telle qu’elle a été appliquée en l’espèce, afin que les droits consacrés par les articles 19 et 21 du Pacte puissent être pleinement exercés sur son territoire.</w:t>
      </w:r>
    </w:p>
    <w:p w:rsidR="00E849E1" w:rsidRDefault="002D25F9" w:rsidP="002D25F9">
      <w:pPr>
        <w:pStyle w:val="SingleTxtG"/>
        <w:rPr>
          <w:lang w:val="fr-FR"/>
        </w:rPr>
      </w:pPr>
      <w:r w:rsidRPr="00C80BF1">
        <w:t>10.</w:t>
      </w:r>
      <w:r w:rsidRPr="00C80BF1">
        <w:tab/>
      </w:r>
      <w:r w:rsidRPr="002D25F9">
        <w:rPr>
          <w:spacing w:val="-2"/>
        </w:rPr>
        <w:t xml:space="preserve">Étant donné qu’en adhérant au Protocole facultatif, l’État partie a reconnu que le Comité a compétence pour déterminer s’il y a ou non violation du Pacte et que, conformément à l’article 2 du Pacte, il s’est engagé à garantir à tous les individus se trouvant sur son territoire et relevant de sa juridiction les droits reconnus dans le Pacte et à assurer un recours utile et exécutoire lorsqu’une violation a été établie, le Comité souhaite recevoir de l’État partie, dans un délai de cent quatre-vingts jours, des renseignements sur les mesures prises pour donner effet aux présentes constatations. L’État partie est invité en outre à rendre celles-ci publiques, à les faire traduire dans ses langues officielles et à </w:t>
      </w:r>
      <w:r w:rsidRPr="002D25F9">
        <w:rPr>
          <w:spacing w:val="-2"/>
          <w:lang w:val="fr-FR"/>
        </w:rPr>
        <w:t>les diffuser largement.</w:t>
      </w:r>
    </w:p>
    <w:p w:rsidR="002D25F9" w:rsidRPr="002D25F9" w:rsidRDefault="002D25F9" w:rsidP="002D25F9">
      <w:pPr>
        <w:pStyle w:val="SingleTxtG"/>
        <w:spacing w:before="240" w:after="0"/>
        <w:jc w:val="center"/>
        <w:rPr>
          <w:u w:val="single"/>
        </w:rPr>
      </w:pPr>
      <w:r>
        <w:rPr>
          <w:u w:val="single"/>
        </w:rPr>
        <w:tab/>
      </w:r>
      <w:r>
        <w:rPr>
          <w:u w:val="single"/>
        </w:rPr>
        <w:tab/>
      </w:r>
      <w:r>
        <w:rPr>
          <w:u w:val="single"/>
        </w:rPr>
        <w:tab/>
      </w:r>
    </w:p>
    <w:sectPr w:rsidR="002D25F9" w:rsidRPr="002D25F9" w:rsidSect="00B1608C">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E9A" w:rsidRDefault="00960E9A"/>
  </w:endnote>
  <w:endnote w:type="continuationSeparator" w:id="0">
    <w:p w:rsidR="00960E9A" w:rsidRDefault="00960E9A"/>
  </w:endnote>
  <w:endnote w:type="continuationNotice" w:id="1">
    <w:p w:rsidR="00960E9A" w:rsidRPr="00AE2643" w:rsidRDefault="00960E9A" w:rsidP="00AE2643">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E9A" w:rsidRPr="00B1608C" w:rsidRDefault="00960E9A" w:rsidP="00B1608C">
    <w:pPr>
      <w:pStyle w:val="Footer"/>
      <w:tabs>
        <w:tab w:val="right" w:pos="9638"/>
      </w:tabs>
    </w:pPr>
    <w:r w:rsidRPr="00B1608C">
      <w:rPr>
        <w:b/>
        <w:sz w:val="18"/>
      </w:rPr>
      <w:fldChar w:fldCharType="begin"/>
    </w:r>
    <w:r w:rsidRPr="00B1608C">
      <w:rPr>
        <w:b/>
        <w:sz w:val="18"/>
      </w:rPr>
      <w:instrText xml:space="preserve"> PAGE  \* MERGEFORMAT </w:instrText>
    </w:r>
    <w:r w:rsidRPr="00B1608C">
      <w:rPr>
        <w:b/>
        <w:sz w:val="18"/>
      </w:rPr>
      <w:fldChar w:fldCharType="separate"/>
    </w:r>
    <w:r>
      <w:rPr>
        <w:b/>
        <w:noProof/>
        <w:sz w:val="18"/>
      </w:rPr>
      <w:t>8</w:t>
    </w:r>
    <w:r w:rsidRPr="00B1608C">
      <w:rPr>
        <w:b/>
        <w:sz w:val="18"/>
      </w:rPr>
      <w:fldChar w:fldCharType="end"/>
    </w:r>
    <w:r>
      <w:rPr>
        <w:b/>
        <w:sz w:val="18"/>
      </w:rPr>
      <w:tab/>
    </w:r>
    <w:r>
      <w:t>GE.14-22461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E9A" w:rsidRPr="00B1608C" w:rsidRDefault="00960E9A" w:rsidP="00B1608C">
    <w:pPr>
      <w:pStyle w:val="Footer"/>
      <w:tabs>
        <w:tab w:val="right" w:pos="9638"/>
      </w:tabs>
      <w:rPr>
        <w:b/>
        <w:sz w:val="18"/>
      </w:rPr>
    </w:pPr>
    <w:r>
      <w:t>GE.14-22461</w:t>
    </w:r>
    <w:r>
      <w:tab/>
    </w:r>
    <w:r w:rsidRPr="00B1608C">
      <w:rPr>
        <w:b/>
        <w:sz w:val="18"/>
      </w:rPr>
      <w:fldChar w:fldCharType="begin"/>
    </w:r>
    <w:r w:rsidRPr="00B1608C">
      <w:rPr>
        <w:b/>
        <w:sz w:val="18"/>
      </w:rPr>
      <w:instrText xml:space="preserve"> PAGE  \* MERGEFORMAT </w:instrText>
    </w:r>
    <w:r w:rsidRPr="00B1608C">
      <w:rPr>
        <w:b/>
        <w:sz w:val="18"/>
      </w:rPr>
      <w:fldChar w:fldCharType="separate"/>
    </w:r>
    <w:r>
      <w:rPr>
        <w:b/>
        <w:noProof/>
        <w:sz w:val="18"/>
      </w:rPr>
      <w:t>7</w:t>
    </w:r>
    <w:r w:rsidRPr="00B1608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E9A" w:rsidRDefault="00960E9A" w:rsidP="00B1608C">
    <w:pPr>
      <w:pStyle w:val="Footer"/>
      <w:spacing w:before="120"/>
    </w:pPr>
    <w:r>
      <w:rPr>
        <w:sz w:val="20"/>
      </w:rPr>
      <w:t>GE.14-22461</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  (F)    081214    081214</w:t>
    </w:r>
    <w:r>
      <w:rPr>
        <w:sz w:val="20"/>
      </w:rPr>
      <w:br/>
    </w:r>
    <w:r w:rsidRPr="00B1608C">
      <w:rPr>
        <w:rFonts w:ascii="C39T30Lfz" w:hAnsi="C39T30Lfz"/>
        <w:sz w:val="56"/>
      </w:rPr>
      <w:t></w:t>
    </w:r>
    <w:r w:rsidRPr="00B1608C">
      <w:rPr>
        <w:rFonts w:ascii="C39T30Lfz" w:hAnsi="C39T30Lfz"/>
        <w:sz w:val="56"/>
      </w:rPr>
      <w:t></w:t>
    </w:r>
    <w:r w:rsidRPr="00B1608C">
      <w:rPr>
        <w:rFonts w:ascii="C39T30Lfz" w:hAnsi="C39T30Lfz"/>
        <w:sz w:val="56"/>
      </w:rPr>
      <w:t></w:t>
    </w:r>
    <w:r w:rsidRPr="00B1608C">
      <w:rPr>
        <w:rFonts w:ascii="C39T30Lfz" w:hAnsi="C39T30Lfz"/>
        <w:sz w:val="56"/>
      </w:rPr>
      <w:t></w:t>
    </w:r>
    <w:r w:rsidRPr="00B1608C">
      <w:rPr>
        <w:rFonts w:ascii="C39T30Lfz" w:hAnsi="C39T30Lfz"/>
        <w:sz w:val="56"/>
      </w:rPr>
      <w:t></w:t>
    </w:r>
    <w:r w:rsidRPr="00B1608C">
      <w:rPr>
        <w:rFonts w:ascii="C39T30Lfz" w:hAnsi="C39T30Lfz"/>
        <w:sz w:val="56"/>
      </w:rPr>
      <w:t></w:t>
    </w:r>
    <w:r w:rsidRPr="00B1608C">
      <w:rPr>
        <w:rFonts w:ascii="C39T30Lfz" w:hAnsi="C39T30Lfz"/>
        <w:sz w:val="56"/>
      </w:rPr>
      <w:t></w:t>
    </w:r>
    <w:r w:rsidRPr="00B1608C">
      <w:rPr>
        <w:rFonts w:ascii="C39T30Lfz" w:hAnsi="C39T30Lfz"/>
        <w:sz w:val="56"/>
      </w:rPr>
      <w:t></w:t>
    </w:r>
    <w:r w:rsidRPr="00B1608C">
      <w:rPr>
        <w:rFonts w:ascii="C39T30Lfz" w:hAnsi="C39T30Lfz"/>
        <w:sz w:val="56"/>
      </w:rPr>
      <w:t></w:t>
    </w:r>
    <w:r>
      <w:rPr>
        <w:noProof/>
        <w:lang w:val="fr-FR" w:eastAsia="fr-FR"/>
      </w:rPr>
      <w:pict>
        <v:shape id="_x0000_s2050" type="#_x0000_t75" style="position:absolute;margin-left:432.25pt;margin-top:632.1pt;width:50.25pt;height:50.25pt;z-index:2;mso-position-horizontal-relative:margin;mso-position-vertical-relative:margin">
          <v:imagedata r:id="rId2" o:title="2012&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E9A" w:rsidRPr="00D27D5E" w:rsidRDefault="00960E9A" w:rsidP="00D27D5E">
      <w:pPr>
        <w:tabs>
          <w:tab w:val="right" w:pos="2155"/>
        </w:tabs>
        <w:spacing w:after="80"/>
        <w:ind w:left="680"/>
        <w:rPr>
          <w:u w:val="single"/>
        </w:rPr>
      </w:pPr>
      <w:r>
        <w:rPr>
          <w:u w:val="single"/>
        </w:rPr>
        <w:tab/>
      </w:r>
    </w:p>
  </w:footnote>
  <w:footnote w:type="continuationSeparator" w:id="0">
    <w:p w:rsidR="00960E9A" w:rsidRPr="00A821B8" w:rsidRDefault="00960E9A" w:rsidP="00A821B8">
      <w:pPr>
        <w:tabs>
          <w:tab w:val="right" w:pos="2155"/>
        </w:tabs>
        <w:spacing w:after="80"/>
        <w:ind w:left="680"/>
        <w:rPr>
          <w:u w:val="single"/>
        </w:rPr>
      </w:pPr>
      <w:r w:rsidRPr="00A821B8">
        <w:rPr>
          <w:u w:val="single"/>
        </w:rPr>
        <w:tab/>
      </w:r>
    </w:p>
  </w:footnote>
  <w:footnote w:type="continuationNotice" w:id="1">
    <w:p w:rsidR="00960E9A" w:rsidRPr="00AE2643" w:rsidRDefault="00960E9A" w:rsidP="00AE2643">
      <w:pPr>
        <w:spacing w:line="240" w:lineRule="auto"/>
        <w:rPr>
          <w:sz w:val="2"/>
          <w:szCs w:val="2"/>
        </w:rPr>
      </w:pPr>
    </w:p>
  </w:footnote>
  <w:footnote w:id="2">
    <w:p w:rsidR="00960E9A" w:rsidRPr="00C93014" w:rsidRDefault="00960E9A">
      <w:pPr>
        <w:pStyle w:val="FootnoteText"/>
      </w:pPr>
      <w:r>
        <w:tab/>
      </w:r>
      <w:r w:rsidRPr="00C93014">
        <w:rPr>
          <w:rStyle w:val="FootnoteReference"/>
          <w:sz w:val="20"/>
          <w:vertAlign w:val="baseline"/>
        </w:rPr>
        <w:t>*</w:t>
      </w:r>
      <w:r>
        <w:rPr>
          <w:sz w:val="20"/>
        </w:rPr>
        <w:tab/>
      </w:r>
      <w:r w:rsidRPr="0028227F">
        <w:rPr>
          <w:szCs w:val="18"/>
        </w:rPr>
        <w:t>Les membres du Comité dont le nom suit ont participé à</w:t>
      </w:r>
      <w:r>
        <w:rPr>
          <w:szCs w:val="18"/>
        </w:rPr>
        <w:t xml:space="preserve"> l’examen de la communication: </w:t>
      </w:r>
      <w:r w:rsidRPr="0028227F">
        <w:rPr>
          <w:szCs w:val="18"/>
          <w:lang/>
        </w:rPr>
        <w:t xml:space="preserve">Yadh Ben Achour, </w:t>
      </w:r>
      <w:r w:rsidRPr="0028227F">
        <w:rPr>
          <w:bCs/>
          <w:szCs w:val="18"/>
          <w:lang w:val="en-US"/>
        </w:rPr>
        <w:t xml:space="preserve">Christine Chanet, Ahmed Amin Fathalla, Yuji Iwasawa, </w:t>
      </w:r>
      <w:r w:rsidRPr="0028227F">
        <w:rPr>
          <w:bCs/>
          <w:szCs w:val="18"/>
          <w:lang/>
        </w:rPr>
        <w:t xml:space="preserve">Cornelis Flinterman, </w:t>
      </w:r>
      <w:r w:rsidRPr="0028227F">
        <w:rPr>
          <w:bCs/>
          <w:szCs w:val="18"/>
        </w:rPr>
        <w:t>Zonke Zanele Majodina,</w:t>
      </w:r>
      <w:r w:rsidRPr="0028227F">
        <w:rPr>
          <w:bCs/>
          <w:szCs w:val="18"/>
          <w:lang/>
        </w:rPr>
        <w:t xml:space="preserve"> Gerald Neuman, Victor Manuel Rodríguez-Rescia</w:t>
      </w:r>
      <w:r w:rsidRPr="0028227F">
        <w:rPr>
          <w:bCs/>
          <w:szCs w:val="18"/>
        </w:rPr>
        <w:t>,</w:t>
      </w:r>
      <w:r w:rsidRPr="0028227F">
        <w:rPr>
          <w:bCs/>
          <w:szCs w:val="18"/>
          <w:lang w:val="en-US"/>
        </w:rPr>
        <w:t xml:space="preserve"> </w:t>
      </w:r>
      <w:r w:rsidRPr="0028227F">
        <w:rPr>
          <w:bCs/>
          <w:szCs w:val="18"/>
          <w:lang/>
        </w:rPr>
        <w:t>Margo Waterval</w:t>
      </w:r>
      <w:r w:rsidRPr="0028227F">
        <w:rPr>
          <w:bCs/>
          <w:szCs w:val="18"/>
        </w:rPr>
        <w:t>,</w:t>
      </w:r>
      <w:r w:rsidRPr="0028227F">
        <w:rPr>
          <w:bCs/>
          <w:szCs w:val="18"/>
          <w:lang/>
        </w:rPr>
        <w:t xml:space="preserve"> Konstantine V</w:t>
      </w:r>
      <w:r w:rsidRPr="0028227F">
        <w:rPr>
          <w:bCs/>
          <w:szCs w:val="18"/>
        </w:rPr>
        <w:t>ardzelashvili,</w:t>
      </w:r>
      <w:r w:rsidRPr="0028227F">
        <w:rPr>
          <w:bCs/>
          <w:szCs w:val="18"/>
          <w:lang/>
        </w:rPr>
        <w:t xml:space="preserve"> Yuval S</w:t>
      </w:r>
      <w:r w:rsidRPr="0028227F">
        <w:rPr>
          <w:bCs/>
          <w:szCs w:val="18"/>
        </w:rPr>
        <w:t>hany,</w:t>
      </w:r>
      <w:r w:rsidRPr="0028227F">
        <w:rPr>
          <w:bCs/>
          <w:szCs w:val="18"/>
          <w:lang/>
        </w:rPr>
        <w:t xml:space="preserve"> Fabián Omar S</w:t>
      </w:r>
      <w:r w:rsidRPr="0028227F">
        <w:rPr>
          <w:bCs/>
          <w:szCs w:val="18"/>
        </w:rPr>
        <w:t>alvioli,</w:t>
      </w:r>
      <w:r w:rsidRPr="0028227F">
        <w:rPr>
          <w:bCs/>
          <w:szCs w:val="18"/>
          <w:lang/>
        </w:rPr>
        <w:t xml:space="preserve"> Anja S</w:t>
      </w:r>
      <w:r w:rsidRPr="0028227F">
        <w:rPr>
          <w:bCs/>
          <w:szCs w:val="18"/>
        </w:rPr>
        <w:t>eibert</w:t>
      </w:r>
      <w:r w:rsidRPr="0028227F">
        <w:rPr>
          <w:bCs/>
          <w:szCs w:val="18"/>
          <w:lang/>
        </w:rPr>
        <w:t>-F</w:t>
      </w:r>
      <w:r w:rsidRPr="0028227F">
        <w:rPr>
          <w:bCs/>
          <w:szCs w:val="18"/>
        </w:rPr>
        <w:t>ohr, Andrei Paul Zlatescu, Lazhari</w:t>
      </w:r>
      <w:r>
        <w:rPr>
          <w:bCs/>
          <w:szCs w:val="18"/>
        </w:rPr>
        <w:t> </w:t>
      </w:r>
      <w:r w:rsidRPr="0028227F">
        <w:rPr>
          <w:bCs/>
          <w:szCs w:val="18"/>
        </w:rPr>
        <w:t>Bouzid et Dheerujlall Seetulsingh</w:t>
      </w:r>
      <w:r w:rsidRPr="0028227F">
        <w:rPr>
          <w:bCs/>
          <w:szCs w:val="18"/>
          <w:lang/>
        </w:rPr>
        <w:t>.</w:t>
      </w:r>
    </w:p>
  </w:footnote>
  <w:footnote w:id="3">
    <w:p w:rsidR="00960E9A" w:rsidRDefault="00960E9A">
      <w:pPr>
        <w:pStyle w:val="FootnoteText"/>
      </w:pPr>
      <w:r>
        <w:tab/>
      </w:r>
      <w:r>
        <w:rPr>
          <w:rStyle w:val="FootnoteReference"/>
        </w:rPr>
        <w:footnoteRef/>
      </w:r>
      <w:r>
        <w:tab/>
      </w:r>
      <w:r w:rsidRPr="002D25F9">
        <w:t>Le Protocole facultatif est entré en vigueur pour le Kazakhstan le 30 septembre 2009.</w:t>
      </w:r>
    </w:p>
  </w:footnote>
  <w:footnote w:id="4">
    <w:p w:rsidR="00960E9A" w:rsidRPr="00CD25DE" w:rsidRDefault="00960E9A" w:rsidP="002D25F9">
      <w:pPr>
        <w:pStyle w:val="FootnoteText"/>
        <w:rPr>
          <w:szCs w:val="18"/>
        </w:rPr>
      </w:pPr>
      <w:r w:rsidRPr="00CD25DE">
        <w:rPr>
          <w:szCs w:val="18"/>
        </w:rPr>
        <w:tab/>
      </w:r>
      <w:r w:rsidRPr="00CD25DE">
        <w:rPr>
          <w:rStyle w:val="FootnoteReference"/>
          <w:szCs w:val="18"/>
        </w:rPr>
        <w:footnoteRef/>
      </w:r>
      <w:r w:rsidRPr="00CD25DE">
        <w:rPr>
          <w:szCs w:val="18"/>
        </w:rPr>
        <w:tab/>
      </w:r>
      <w:r>
        <w:rPr>
          <w:szCs w:val="18"/>
        </w:rPr>
        <w:t xml:space="preserve">Voir </w:t>
      </w:r>
      <w:r w:rsidRPr="00CD25DE">
        <w:rPr>
          <w:szCs w:val="18"/>
          <w:lang w:val="fr-FR"/>
        </w:rPr>
        <w:t xml:space="preserve">la communication </w:t>
      </w:r>
      <w:r w:rsidRPr="00CD25DE">
        <w:rPr>
          <w:rFonts w:eastAsia="MS Mincho"/>
          <w:szCs w:val="18"/>
          <w:lang w:val="fr-FR"/>
        </w:rPr>
        <w:t>n</w:t>
      </w:r>
      <w:r w:rsidRPr="00CD25DE">
        <w:rPr>
          <w:rFonts w:eastAsia="MS Mincho"/>
          <w:szCs w:val="18"/>
          <w:vertAlign w:val="superscript"/>
          <w:lang w:val="fr-FR"/>
        </w:rPr>
        <w:t>o</w:t>
      </w:r>
      <w:r w:rsidRPr="00CD25DE">
        <w:rPr>
          <w:szCs w:val="18"/>
          <w:lang w:val="fr-FR"/>
        </w:rPr>
        <w:t xml:space="preserve"> 1128/2002, </w:t>
      </w:r>
      <w:r w:rsidRPr="00CD25DE">
        <w:rPr>
          <w:i/>
          <w:szCs w:val="18"/>
          <w:lang w:val="fr-FR"/>
        </w:rPr>
        <w:t>Marques</w:t>
      </w:r>
      <w:r>
        <w:rPr>
          <w:i/>
          <w:szCs w:val="18"/>
          <w:lang w:val="fr-FR"/>
        </w:rPr>
        <w:t> </w:t>
      </w:r>
      <w:r w:rsidRPr="00CD25DE">
        <w:rPr>
          <w:i/>
          <w:szCs w:val="18"/>
          <w:lang w:val="fr-FR"/>
        </w:rPr>
        <w:t>de</w:t>
      </w:r>
      <w:r>
        <w:rPr>
          <w:i/>
          <w:szCs w:val="18"/>
          <w:lang w:val="fr-FR"/>
        </w:rPr>
        <w:t> </w:t>
      </w:r>
      <w:r w:rsidRPr="00CD25DE">
        <w:rPr>
          <w:i/>
          <w:szCs w:val="18"/>
          <w:lang w:val="fr-FR"/>
        </w:rPr>
        <w:t xml:space="preserve">Morais </w:t>
      </w:r>
      <w:r w:rsidRPr="00CD25DE">
        <w:rPr>
          <w:szCs w:val="18"/>
          <w:lang w:val="fr-FR"/>
        </w:rPr>
        <w:t>c</w:t>
      </w:r>
      <w:r w:rsidRPr="00CD25DE">
        <w:rPr>
          <w:i/>
          <w:szCs w:val="18"/>
          <w:lang w:val="fr-FR"/>
        </w:rPr>
        <w:t>. Angola</w:t>
      </w:r>
      <w:r w:rsidRPr="00CD25DE">
        <w:rPr>
          <w:szCs w:val="18"/>
          <w:lang w:val="fr-FR"/>
        </w:rPr>
        <w:t xml:space="preserve">, </w:t>
      </w:r>
      <w:r>
        <w:rPr>
          <w:szCs w:val="18"/>
          <w:lang w:val="fr-FR"/>
        </w:rPr>
        <w:t xml:space="preserve">constatations </w:t>
      </w:r>
      <w:r w:rsidRPr="00CD25DE">
        <w:rPr>
          <w:szCs w:val="18"/>
          <w:lang w:val="fr-FR"/>
        </w:rPr>
        <w:t>adoptées le 29 mars 2005</w:t>
      </w:r>
      <w:r>
        <w:rPr>
          <w:szCs w:val="18"/>
          <w:lang w:val="fr-FR"/>
        </w:rPr>
        <w:t>, par. 6.7</w:t>
      </w:r>
      <w:r w:rsidRPr="00CD25DE">
        <w:rPr>
          <w:szCs w:val="18"/>
          <w:lang w:val="fr-FR"/>
        </w:rPr>
        <w:t>.</w:t>
      </w:r>
    </w:p>
  </w:footnote>
  <w:footnote w:id="5">
    <w:p w:rsidR="00960E9A" w:rsidRPr="00CD25DE" w:rsidRDefault="00960E9A" w:rsidP="002D25F9">
      <w:pPr>
        <w:pStyle w:val="FootnoteText"/>
        <w:rPr>
          <w:szCs w:val="18"/>
        </w:rPr>
      </w:pPr>
      <w:r w:rsidRPr="00CD25DE">
        <w:rPr>
          <w:szCs w:val="18"/>
        </w:rPr>
        <w:tab/>
      </w:r>
      <w:r w:rsidRPr="00CD25DE">
        <w:rPr>
          <w:rStyle w:val="FootnoteReference"/>
          <w:szCs w:val="18"/>
        </w:rPr>
        <w:footnoteRef/>
      </w:r>
      <w:r w:rsidRPr="00CD25DE">
        <w:rPr>
          <w:szCs w:val="18"/>
        </w:rPr>
        <w:tab/>
      </w:r>
      <w:r>
        <w:rPr>
          <w:szCs w:val="18"/>
        </w:rPr>
        <w:t>Voir l’</w:t>
      </w:r>
      <w:r w:rsidRPr="00CD25DE">
        <w:rPr>
          <w:szCs w:val="18"/>
          <w:lang w:val="fr-FR"/>
        </w:rPr>
        <w:t xml:space="preserve">Observation générale </w:t>
      </w:r>
      <w:r w:rsidRPr="00CD25DE">
        <w:rPr>
          <w:rFonts w:eastAsia="MS Mincho"/>
          <w:szCs w:val="18"/>
          <w:lang w:val="fr-FR"/>
        </w:rPr>
        <w:t>n</w:t>
      </w:r>
      <w:r w:rsidRPr="00CD25DE">
        <w:rPr>
          <w:rFonts w:eastAsia="MS Mincho"/>
          <w:szCs w:val="18"/>
          <w:vertAlign w:val="superscript"/>
          <w:lang w:val="fr-FR"/>
        </w:rPr>
        <w:t>o</w:t>
      </w:r>
      <w:r w:rsidRPr="00CD25DE">
        <w:rPr>
          <w:szCs w:val="18"/>
          <w:lang w:val="fr-FR"/>
        </w:rPr>
        <w:t> 10</w:t>
      </w:r>
      <w:r>
        <w:rPr>
          <w:szCs w:val="18"/>
          <w:lang w:val="fr-FR"/>
        </w:rPr>
        <w:t xml:space="preserve"> (1983) du Comité concernant la liberté d’opinion et d’expression</w:t>
      </w:r>
      <w:r w:rsidRPr="00CD25DE">
        <w:rPr>
          <w:szCs w:val="18"/>
          <w:lang w:val="fr-FR"/>
        </w:rPr>
        <w:t>, par. 4.</w:t>
      </w:r>
    </w:p>
  </w:footnote>
  <w:footnote w:id="6">
    <w:p w:rsidR="00960E9A" w:rsidRPr="00CD25DE" w:rsidRDefault="00960E9A" w:rsidP="002D25F9">
      <w:pPr>
        <w:pStyle w:val="FootnoteText"/>
        <w:rPr>
          <w:szCs w:val="18"/>
        </w:rPr>
      </w:pPr>
      <w:r w:rsidRPr="00CD25DE">
        <w:rPr>
          <w:szCs w:val="18"/>
        </w:rPr>
        <w:tab/>
      </w:r>
      <w:r w:rsidRPr="00CD25DE">
        <w:rPr>
          <w:rStyle w:val="FootnoteReference"/>
          <w:szCs w:val="18"/>
        </w:rPr>
        <w:footnoteRef/>
      </w:r>
      <w:r w:rsidRPr="00CD25DE">
        <w:rPr>
          <w:szCs w:val="18"/>
        </w:rPr>
        <w:tab/>
      </w:r>
      <w:r>
        <w:rPr>
          <w:szCs w:val="18"/>
        </w:rPr>
        <w:t xml:space="preserve">Voir </w:t>
      </w:r>
      <w:r w:rsidRPr="00CD25DE">
        <w:rPr>
          <w:szCs w:val="18"/>
          <w:lang w:val="fr-FR"/>
        </w:rPr>
        <w:t xml:space="preserve">la communication </w:t>
      </w:r>
      <w:r w:rsidRPr="00CD25DE">
        <w:rPr>
          <w:rFonts w:eastAsia="MS Mincho"/>
          <w:szCs w:val="18"/>
          <w:lang w:val="fr-FR"/>
        </w:rPr>
        <w:t>n</w:t>
      </w:r>
      <w:r w:rsidRPr="00CD25DE">
        <w:rPr>
          <w:rFonts w:eastAsia="MS Mincho"/>
          <w:szCs w:val="18"/>
          <w:vertAlign w:val="superscript"/>
          <w:lang w:val="fr-FR"/>
        </w:rPr>
        <w:t>o</w:t>
      </w:r>
      <w:r w:rsidRPr="00CD25DE">
        <w:rPr>
          <w:szCs w:val="18"/>
          <w:lang w:val="fr-FR"/>
        </w:rPr>
        <w:t xml:space="preserve"> 628/1995, </w:t>
      </w:r>
      <w:r w:rsidRPr="00CD25DE">
        <w:rPr>
          <w:i/>
          <w:szCs w:val="18"/>
          <w:lang w:val="fr-FR"/>
        </w:rPr>
        <w:t>Park</w:t>
      </w:r>
      <w:r>
        <w:rPr>
          <w:i/>
          <w:szCs w:val="18"/>
          <w:lang w:val="fr-FR"/>
        </w:rPr>
        <w:t> </w:t>
      </w:r>
      <w:r w:rsidRPr="00CD25DE">
        <w:rPr>
          <w:szCs w:val="18"/>
          <w:lang w:val="fr-FR"/>
        </w:rPr>
        <w:t>c</w:t>
      </w:r>
      <w:r w:rsidRPr="00CD25DE">
        <w:rPr>
          <w:i/>
          <w:szCs w:val="18"/>
          <w:lang w:val="fr-FR"/>
        </w:rPr>
        <w:t>.</w:t>
      </w:r>
      <w:r>
        <w:rPr>
          <w:i/>
          <w:szCs w:val="18"/>
          <w:lang w:val="fr-FR"/>
        </w:rPr>
        <w:t> </w:t>
      </w:r>
      <w:r w:rsidRPr="00CD25DE">
        <w:rPr>
          <w:i/>
          <w:szCs w:val="18"/>
          <w:lang w:val="fr-FR"/>
        </w:rPr>
        <w:t>République de Corée</w:t>
      </w:r>
      <w:r w:rsidRPr="00CD25DE">
        <w:rPr>
          <w:szCs w:val="18"/>
          <w:lang w:val="fr-FR"/>
        </w:rPr>
        <w:t>, constatations adoptées le 20 octobre 1998, par. 10.3.</w:t>
      </w:r>
    </w:p>
  </w:footnote>
  <w:footnote w:id="7">
    <w:p w:rsidR="00960E9A" w:rsidRPr="00CD25DE" w:rsidRDefault="00960E9A" w:rsidP="002D25F9">
      <w:pPr>
        <w:pStyle w:val="FootnoteText"/>
        <w:rPr>
          <w:szCs w:val="18"/>
        </w:rPr>
      </w:pPr>
      <w:r w:rsidRPr="00CD25DE">
        <w:rPr>
          <w:szCs w:val="18"/>
        </w:rPr>
        <w:tab/>
      </w:r>
      <w:r w:rsidRPr="00CD25DE">
        <w:rPr>
          <w:rStyle w:val="FootnoteReference"/>
          <w:szCs w:val="18"/>
        </w:rPr>
        <w:footnoteRef/>
      </w:r>
      <w:r w:rsidRPr="00CD25DE">
        <w:rPr>
          <w:szCs w:val="18"/>
        </w:rPr>
        <w:tab/>
      </w:r>
      <w:r>
        <w:rPr>
          <w:szCs w:val="18"/>
        </w:rPr>
        <w:t xml:space="preserve">Voir </w:t>
      </w:r>
      <w:r w:rsidRPr="00CD25DE">
        <w:rPr>
          <w:szCs w:val="18"/>
          <w:lang w:val="fr-FR"/>
        </w:rPr>
        <w:t xml:space="preserve">la communication </w:t>
      </w:r>
      <w:r w:rsidRPr="00CD25DE">
        <w:rPr>
          <w:rFonts w:eastAsia="MS Mincho"/>
          <w:szCs w:val="18"/>
          <w:lang w:val="fr-FR"/>
        </w:rPr>
        <w:t>n</w:t>
      </w:r>
      <w:r w:rsidRPr="00CD25DE">
        <w:rPr>
          <w:rFonts w:eastAsia="MS Mincho"/>
          <w:szCs w:val="18"/>
          <w:vertAlign w:val="superscript"/>
          <w:lang w:val="fr-FR"/>
        </w:rPr>
        <w:t>o</w:t>
      </w:r>
      <w:r w:rsidRPr="00CD25DE">
        <w:rPr>
          <w:szCs w:val="18"/>
          <w:lang w:val="fr-FR"/>
        </w:rPr>
        <w:t xml:space="preserve"> 926/2000, </w:t>
      </w:r>
      <w:r w:rsidRPr="00CD25DE">
        <w:rPr>
          <w:i/>
          <w:szCs w:val="18"/>
          <w:lang w:val="fr-FR"/>
        </w:rPr>
        <w:t>Shin</w:t>
      </w:r>
      <w:r>
        <w:rPr>
          <w:i/>
          <w:szCs w:val="18"/>
          <w:lang w:val="fr-FR"/>
        </w:rPr>
        <w:t> </w:t>
      </w:r>
      <w:r w:rsidRPr="00CD25DE">
        <w:rPr>
          <w:szCs w:val="18"/>
          <w:lang w:val="fr-FR"/>
        </w:rPr>
        <w:t>c</w:t>
      </w:r>
      <w:r w:rsidRPr="00CD25DE">
        <w:rPr>
          <w:i/>
          <w:szCs w:val="18"/>
          <w:lang w:val="fr-FR"/>
        </w:rPr>
        <w:t>.</w:t>
      </w:r>
      <w:r>
        <w:rPr>
          <w:i/>
          <w:szCs w:val="18"/>
          <w:lang w:val="fr-FR"/>
        </w:rPr>
        <w:t> </w:t>
      </w:r>
      <w:r w:rsidRPr="00CD25DE">
        <w:rPr>
          <w:i/>
          <w:szCs w:val="18"/>
          <w:lang w:val="fr-FR"/>
        </w:rPr>
        <w:t>République de Corée</w:t>
      </w:r>
      <w:r w:rsidRPr="00CD25DE">
        <w:rPr>
          <w:szCs w:val="18"/>
          <w:lang w:val="fr-FR"/>
        </w:rPr>
        <w:t>, constatations adoptées le 16 mars 2004, par. 7.3.</w:t>
      </w:r>
    </w:p>
  </w:footnote>
  <w:footnote w:id="8">
    <w:p w:rsidR="00960E9A" w:rsidRPr="00CD25DE" w:rsidRDefault="00960E9A" w:rsidP="002D25F9">
      <w:pPr>
        <w:pStyle w:val="FootnoteText"/>
        <w:rPr>
          <w:szCs w:val="18"/>
          <w:lang w:val="fr-FR"/>
        </w:rPr>
      </w:pPr>
      <w:r w:rsidRPr="00CD25DE">
        <w:rPr>
          <w:szCs w:val="18"/>
        </w:rPr>
        <w:tab/>
      </w:r>
      <w:r w:rsidRPr="00CD25DE">
        <w:rPr>
          <w:rStyle w:val="FootnoteReference"/>
          <w:szCs w:val="18"/>
        </w:rPr>
        <w:footnoteRef/>
      </w:r>
      <w:r w:rsidRPr="00CD25DE">
        <w:rPr>
          <w:szCs w:val="18"/>
        </w:rPr>
        <w:tab/>
      </w:r>
      <w:r>
        <w:rPr>
          <w:szCs w:val="18"/>
        </w:rPr>
        <w:t>Ibid.</w:t>
      </w:r>
    </w:p>
  </w:footnote>
  <w:footnote w:id="9">
    <w:p w:rsidR="00960E9A" w:rsidRPr="00CD25DE" w:rsidRDefault="00960E9A" w:rsidP="002D25F9">
      <w:pPr>
        <w:pStyle w:val="FootnoteText"/>
        <w:rPr>
          <w:szCs w:val="18"/>
        </w:rPr>
      </w:pPr>
      <w:r w:rsidRPr="00CD25DE">
        <w:rPr>
          <w:szCs w:val="18"/>
        </w:rPr>
        <w:tab/>
      </w:r>
      <w:r w:rsidRPr="00CD25DE">
        <w:rPr>
          <w:rStyle w:val="FootnoteReference"/>
          <w:szCs w:val="18"/>
        </w:rPr>
        <w:footnoteRef/>
      </w:r>
      <w:r w:rsidRPr="00CD25DE">
        <w:rPr>
          <w:szCs w:val="18"/>
        </w:rPr>
        <w:tab/>
      </w:r>
      <w:r>
        <w:rPr>
          <w:szCs w:val="18"/>
        </w:rPr>
        <w:t>Ibid</w:t>
      </w:r>
      <w:r w:rsidRPr="00CD25DE">
        <w:rPr>
          <w:szCs w:val="18"/>
          <w:lang w:val="fr-FR"/>
        </w:rPr>
        <w:t>.</w:t>
      </w:r>
    </w:p>
  </w:footnote>
  <w:footnote w:id="10">
    <w:p w:rsidR="00960E9A" w:rsidRPr="00CD25DE" w:rsidRDefault="00960E9A" w:rsidP="002D25F9">
      <w:pPr>
        <w:pStyle w:val="FootnoteText"/>
        <w:rPr>
          <w:szCs w:val="18"/>
        </w:rPr>
      </w:pPr>
      <w:r w:rsidRPr="00CD25DE">
        <w:rPr>
          <w:szCs w:val="18"/>
        </w:rPr>
        <w:tab/>
      </w:r>
      <w:r w:rsidRPr="00CD25DE">
        <w:rPr>
          <w:rStyle w:val="FootnoteReference"/>
          <w:szCs w:val="18"/>
        </w:rPr>
        <w:footnoteRef/>
      </w:r>
      <w:r w:rsidRPr="00CD25DE">
        <w:rPr>
          <w:szCs w:val="18"/>
        </w:rPr>
        <w:tab/>
      </w:r>
      <w:r>
        <w:rPr>
          <w:szCs w:val="18"/>
        </w:rPr>
        <w:t xml:space="preserve">Voir </w:t>
      </w:r>
      <w:r w:rsidRPr="00CD25DE">
        <w:rPr>
          <w:i/>
          <w:szCs w:val="18"/>
          <w:lang w:val="fr-FR"/>
        </w:rPr>
        <w:t>Marques</w:t>
      </w:r>
      <w:r>
        <w:rPr>
          <w:i/>
          <w:szCs w:val="18"/>
          <w:lang w:val="fr-FR"/>
        </w:rPr>
        <w:t> </w:t>
      </w:r>
      <w:r w:rsidRPr="00CD25DE">
        <w:rPr>
          <w:i/>
          <w:szCs w:val="18"/>
          <w:lang w:val="fr-FR"/>
        </w:rPr>
        <w:t>de</w:t>
      </w:r>
      <w:r>
        <w:rPr>
          <w:i/>
          <w:szCs w:val="18"/>
          <w:lang w:val="fr-FR"/>
        </w:rPr>
        <w:t> </w:t>
      </w:r>
      <w:r w:rsidRPr="00CD25DE">
        <w:rPr>
          <w:i/>
          <w:szCs w:val="18"/>
          <w:lang w:val="fr-FR"/>
        </w:rPr>
        <w:t xml:space="preserve">Morais </w:t>
      </w:r>
      <w:r w:rsidRPr="00CD25DE">
        <w:rPr>
          <w:szCs w:val="18"/>
          <w:lang w:val="fr-FR"/>
        </w:rPr>
        <w:t>c.</w:t>
      </w:r>
      <w:r w:rsidRPr="00CD25DE">
        <w:rPr>
          <w:i/>
          <w:szCs w:val="18"/>
          <w:lang w:val="fr-FR"/>
        </w:rPr>
        <w:t xml:space="preserve"> Angola</w:t>
      </w:r>
      <w:r w:rsidRPr="00CD25DE">
        <w:rPr>
          <w:szCs w:val="18"/>
          <w:lang w:val="fr-FR"/>
        </w:rPr>
        <w:t xml:space="preserve"> </w:t>
      </w:r>
      <w:r>
        <w:rPr>
          <w:szCs w:val="18"/>
          <w:lang w:val="fr-FR"/>
        </w:rPr>
        <w:t>(note 2 ci-dessus)</w:t>
      </w:r>
      <w:r w:rsidRPr="00CD25DE">
        <w:rPr>
          <w:szCs w:val="18"/>
          <w:lang w:val="fr-FR"/>
        </w:rPr>
        <w:t>, par. 6.8.</w:t>
      </w:r>
    </w:p>
  </w:footnote>
  <w:footnote w:id="11">
    <w:p w:rsidR="00960E9A" w:rsidRPr="00CD25DE" w:rsidRDefault="00960E9A" w:rsidP="002D25F9">
      <w:pPr>
        <w:pStyle w:val="FootnoteText"/>
        <w:rPr>
          <w:szCs w:val="18"/>
          <w:lang w:val="fr-FR"/>
        </w:rPr>
      </w:pPr>
      <w:r w:rsidRPr="00CD25DE">
        <w:rPr>
          <w:szCs w:val="18"/>
        </w:rPr>
        <w:tab/>
      </w:r>
      <w:r w:rsidRPr="00CD25DE">
        <w:rPr>
          <w:rStyle w:val="FootnoteReference"/>
          <w:szCs w:val="18"/>
        </w:rPr>
        <w:footnoteRef/>
      </w:r>
      <w:r w:rsidRPr="00CD25DE">
        <w:rPr>
          <w:szCs w:val="18"/>
        </w:rPr>
        <w:tab/>
      </w:r>
      <w:r>
        <w:rPr>
          <w:szCs w:val="18"/>
        </w:rPr>
        <w:t xml:space="preserve">Voir </w:t>
      </w:r>
      <w:r w:rsidRPr="00CD25DE">
        <w:rPr>
          <w:szCs w:val="18"/>
          <w:lang w:val="fr-FR"/>
        </w:rPr>
        <w:t xml:space="preserve">la communication </w:t>
      </w:r>
      <w:r w:rsidRPr="00CD25DE">
        <w:rPr>
          <w:rFonts w:eastAsia="MS Mincho"/>
          <w:szCs w:val="18"/>
          <w:lang w:val="fr-FR"/>
        </w:rPr>
        <w:t>n</w:t>
      </w:r>
      <w:r w:rsidRPr="00CD25DE">
        <w:rPr>
          <w:rFonts w:eastAsia="MS Mincho"/>
          <w:szCs w:val="18"/>
          <w:vertAlign w:val="superscript"/>
          <w:lang w:val="fr-FR"/>
        </w:rPr>
        <w:t>o</w:t>
      </w:r>
      <w:r w:rsidRPr="00CD25DE">
        <w:rPr>
          <w:szCs w:val="18"/>
          <w:lang w:val="fr-FR"/>
        </w:rPr>
        <w:t xml:space="preserve"> 412/1990, </w:t>
      </w:r>
      <w:r w:rsidRPr="00CD25DE">
        <w:rPr>
          <w:i/>
          <w:szCs w:val="18"/>
          <w:lang w:val="fr-FR"/>
        </w:rPr>
        <w:t xml:space="preserve">Kivenmaa </w:t>
      </w:r>
      <w:r w:rsidRPr="00CD25DE">
        <w:rPr>
          <w:szCs w:val="18"/>
          <w:lang w:val="fr-FR"/>
        </w:rPr>
        <w:t>c.</w:t>
      </w:r>
      <w:r w:rsidRPr="00CD25DE">
        <w:rPr>
          <w:i/>
          <w:szCs w:val="18"/>
          <w:lang w:val="fr-FR"/>
        </w:rPr>
        <w:t xml:space="preserve"> Finlande</w:t>
      </w:r>
      <w:r w:rsidRPr="00CD25DE">
        <w:rPr>
          <w:szCs w:val="18"/>
          <w:lang w:val="fr-FR"/>
        </w:rPr>
        <w:t>, constatations adoptées le</w:t>
      </w:r>
      <w:r>
        <w:rPr>
          <w:szCs w:val="18"/>
          <w:lang w:val="fr-FR"/>
        </w:rPr>
        <w:t> </w:t>
      </w:r>
      <w:r w:rsidRPr="00CD25DE">
        <w:rPr>
          <w:szCs w:val="18"/>
          <w:lang w:val="fr-FR"/>
        </w:rPr>
        <w:t>31 mars 1994.</w:t>
      </w:r>
    </w:p>
  </w:footnote>
  <w:footnote w:id="12">
    <w:p w:rsidR="00960E9A" w:rsidRPr="001F72B5" w:rsidRDefault="00960E9A" w:rsidP="002D25F9">
      <w:pPr>
        <w:pStyle w:val="FootnoteText"/>
        <w:rPr>
          <w:lang w:val="fr-FR"/>
        </w:rPr>
      </w:pPr>
      <w:r>
        <w:tab/>
      </w:r>
      <w:r>
        <w:rPr>
          <w:rStyle w:val="FootnoteReference"/>
        </w:rPr>
        <w:footnoteRef/>
      </w:r>
      <w:r>
        <w:t xml:space="preserve"> </w:t>
      </w:r>
      <w:r>
        <w:tab/>
        <w:t>Voir les communications n</w:t>
      </w:r>
      <w:r w:rsidRPr="002E2C05">
        <w:rPr>
          <w:vertAlign w:val="superscript"/>
        </w:rPr>
        <w:t>o</w:t>
      </w:r>
      <w:r>
        <w:t xml:space="preserve"> 305/1988, </w:t>
      </w:r>
      <w:r>
        <w:rPr>
          <w:i/>
        </w:rPr>
        <w:t>Van Alphen</w:t>
      </w:r>
      <w:r>
        <w:t xml:space="preserve"> c. </w:t>
      </w:r>
      <w:r>
        <w:rPr>
          <w:i/>
        </w:rPr>
        <w:t>Pays-Bas</w:t>
      </w:r>
      <w:r>
        <w:t>, constatations adoptées le 23 juillet 1990, par. 5.8; et n</w:t>
      </w:r>
      <w:r w:rsidRPr="002E2C05">
        <w:rPr>
          <w:vertAlign w:val="superscript"/>
        </w:rPr>
        <w:t>o</w:t>
      </w:r>
      <w:r>
        <w:t xml:space="preserve"> 631/1995, </w:t>
      </w:r>
      <w:r>
        <w:rPr>
          <w:i/>
        </w:rPr>
        <w:t>Spakmo</w:t>
      </w:r>
      <w:r>
        <w:t xml:space="preserve"> c. </w:t>
      </w:r>
      <w:r>
        <w:rPr>
          <w:i/>
        </w:rPr>
        <w:t>Norvège</w:t>
      </w:r>
      <w:r>
        <w:t>, constatations adoptées le 5 novembre 1999, par. 6.3.</w:t>
      </w:r>
    </w:p>
  </w:footnote>
  <w:footnote w:id="13">
    <w:p w:rsidR="00960E9A" w:rsidRPr="00CD25DE" w:rsidRDefault="00960E9A" w:rsidP="002D25F9">
      <w:pPr>
        <w:pStyle w:val="FootnoteText"/>
        <w:rPr>
          <w:szCs w:val="18"/>
        </w:rPr>
      </w:pPr>
      <w:r w:rsidRPr="00CD25DE">
        <w:rPr>
          <w:szCs w:val="18"/>
        </w:rPr>
        <w:tab/>
      </w:r>
      <w:r w:rsidRPr="00CD25DE">
        <w:rPr>
          <w:rStyle w:val="FootnoteReference"/>
          <w:szCs w:val="18"/>
        </w:rPr>
        <w:footnoteRef/>
      </w:r>
      <w:r w:rsidRPr="00CD25DE">
        <w:rPr>
          <w:szCs w:val="18"/>
        </w:rPr>
        <w:tab/>
        <w:t>Voir l</w:t>
      </w:r>
      <w:r>
        <w:rPr>
          <w:szCs w:val="18"/>
        </w:rPr>
        <w:t>’</w:t>
      </w:r>
      <w:r w:rsidRPr="00CD25DE">
        <w:rPr>
          <w:szCs w:val="18"/>
        </w:rPr>
        <w:t xml:space="preserve">Observation générale </w:t>
      </w:r>
      <w:r w:rsidRPr="00CD25DE">
        <w:rPr>
          <w:rFonts w:eastAsia="MS Mincho"/>
          <w:szCs w:val="18"/>
        </w:rPr>
        <w:t>n</w:t>
      </w:r>
      <w:r w:rsidRPr="00CD25DE">
        <w:rPr>
          <w:rFonts w:eastAsia="MS Mincho"/>
          <w:szCs w:val="18"/>
          <w:vertAlign w:val="superscript"/>
        </w:rPr>
        <w:t>o</w:t>
      </w:r>
      <w:r w:rsidRPr="00CD25DE">
        <w:rPr>
          <w:szCs w:val="18"/>
        </w:rPr>
        <w:t> 34 (2011)</w:t>
      </w:r>
      <w:r>
        <w:rPr>
          <w:szCs w:val="18"/>
        </w:rPr>
        <w:t xml:space="preserve"> du Comité concernant la liberté d’opinion et d’expression</w:t>
      </w:r>
      <w:r w:rsidRPr="00CD25DE">
        <w:rPr>
          <w:szCs w:val="18"/>
        </w:rPr>
        <w:t>, par. 2.</w:t>
      </w:r>
    </w:p>
  </w:footnote>
  <w:footnote w:id="14">
    <w:p w:rsidR="00960E9A" w:rsidRPr="00CD25DE" w:rsidRDefault="00960E9A" w:rsidP="002D25F9">
      <w:pPr>
        <w:pStyle w:val="FootnoteText"/>
        <w:rPr>
          <w:szCs w:val="18"/>
        </w:rPr>
      </w:pPr>
      <w:r w:rsidRPr="00CD25DE">
        <w:rPr>
          <w:szCs w:val="18"/>
        </w:rPr>
        <w:tab/>
      </w:r>
      <w:r w:rsidRPr="00CD25DE">
        <w:rPr>
          <w:rStyle w:val="FootnoteReference"/>
          <w:szCs w:val="18"/>
        </w:rPr>
        <w:footnoteRef/>
      </w:r>
      <w:r w:rsidRPr="00CD25DE">
        <w:rPr>
          <w:szCs w:val="18"/>
        </w:rPr>
        <w:tab/>
      </w:r>
      <w:r>
        <w:rPr>
          <w:szCs w:val="18"/>
        </w:rPr>
        <w:t>Ibid., par. 34.</w:t>
      </w:r>
    </w:p>
  </w:footnote>
  <w:footnote w:id="15">
    <w:p w:rsidR="00960E9A" w:rsidRPr="00CD25DE" w:rsidRDefault="00960E9A" w:rsidP="002D25F9">
      <w:pPr>
        <w:pStyle w:val="FootnoteText"/>
        <w:rPr>
          <w:szCs w:val="18"/>
        </w:rPr>
      </w:pPr>
      <w:r w:rsidRPr="00CD25DE">
        <w:rPr>
          <w:szCs w:val="18"/>
        </w:rPr>
        <w:tab/>
      </w:r>
      <w:r w:rsidRPr="00CD25DE">
        <w:rPr>
          <w:rStyle w:val="FootnoteReference"/>
          <w:szCs w:val="18"/>
        </w:rPr>
        <w:footnoteRef/>
      </w:r>
      <w:r w:rsidRPr="00CD25DE">
        <w:rPr>
          <w:szCs w:val="18"/>
        </w:rPr>
        <w:tab/>
        <w:t xml:space="preserve">Voir la communication </w:t>
      </w:r>
      <w:r w:rsidRPr="00CD25DE">
        <w:rPr>
          <w:rFonts w:eastAsia="MS Mincho"/>
          <w:szCs w:val="18"/>
        </w:rPr>
        <w:t>n</w:t>
      </w:r>
      <w:r w:rsidRPr="00CD25DE">
        <w:rPr>
          <w:rFonts w:eastAsia="MS Mincho"/>
          <w:szCs w:val="18"/>
          <w:vertAlign w:val="superscript"/>
        </w:rPr>
        <w:t>o</w:t>
      </w:r>
      <w:r w:rsidRPr="00CD25DE">
        <w:rPr>
          <w:szCs w:val="18"/>
        </w:rPr>
        <w:t xml:space="preserve"> 1604/2007, </w:t>
      </w:r>
      <w:r w:rsidRPr="00CD25DE">
        <w:rPr>
          <w:i/>
          <w:szCs w:val="18"/>
          <w:lang w:eastAsia="en-GB"/>
        </w:rPr>
        <w:t xml:space="preserve">Zalesskaya </w:t>
      </w:r>
      <w:r w:rsidRPr="00CD25DE">
        <w:rPr>
          <w:szCs w:val="18"/>
          <w:lang w:eastAsia="en-GB"/>
        </w:rPr>
        <w:t>c.</w:t>
      </w:r>
      <w:r w:rsidRPr="00CD25DE">
        <w:rPr>
          <w:i/>
          <w:szCs w:val="18"/>
          <w:lang w:eastAsia="en-GB"/>
        </w:rPr>
        <w:t xml:space="preserve"> Bélarus</w:t>
      </w:r>
      <w:r w:rsidRPr="00CD25DE">
        <w:rPr>
          <w:szCs w:val="18"/>
          <w:lang w:eastAsia="en-GB"/>
        </w:rPr>
        <w:t>, constatations adoptées le</w:t>
      </w:r>
      <w:r>
        <w:rPr>
          <w:szCs w:val="18"/>
          <w:lang w:eastAsia="en-GB"/>
        </w:rPr>
        <w:t> </w:t>
      </w:r>
      <w:r w:rsidRPr="00CD25DE">
        <w:rPr>
          <w:szCs w:val="18"/>
          <w:lang w:eastAsia="en-GB"/>
        </w:rPr>
        <w:t>28 mars 2011, par. 10.5.</w:t>
      </w:r>
    </w:p>
  </w:footnote>
  <w:footnote w:id="16">
    <w:p w:rsidR="00960E9A" w:rsidRPr="00CD25DE" w:rsidRDefault="00960E9A" w:rsidP="002D25F9">
      <w:pPr>
        <w:pStyle w:val="FootnoteText"/>
        <w:rPr>
          <w:szCs w:val="18"/>
          <w:lang w:val="fr-FR"/>
        </w:rPr>
      </w:pPr>
      <w:r w:rsidRPr="00CD25DE">
        <w:rPr>
          <w:szCs w:val="18"/>
        </w:rPr>
        <w:tab/>
      </w:r>
      <w:r w:rsidRPr="00CD25DE">
        <w:rPr>
          <w:rStyle w:val="FootnoteReference"/>
          <w:szCs w:val="18"/>
        </w:rPr>
        <w:footnoteRef/>
      </w:r>
      <w:r w:rsidRPr="00CD25DE">
        <w:rPr>
          <w:szCs w:val="18"/>
        </w:rPr>
        <w:tab/>
        <w:t xml:space="preserve">Voir les communications </w:t>
      </w:r>
      <w:r w:rsidRPr="00CD25DE">
        <w:rPr>
          <w:rFonts w:eastAsia="MS Mincho"/>
          <w:szCs w:val="18"/>
        </w:rPr>
        <w:t>n</w:t>
      </w:r>
      <w:r w:rsidRPr="00CD25DE">
        <w:rPr>
          <w:rFonts w:eastAsia="MS Mincho"/>
          <w:szCs w:val="18"/>
          <w:vertAlign w:val="superscript"/>
        </w:rPr>
        <w:t>o</w:t>
      </w:r>
      <w:r w:rsidRPr="00CD25DE">
        <w:rPr>
          <w:szCs w:val="18"/>
        </w:rPr>
        <w:t xml:space="preserve"> 927/2000, </w:t>
      </w:r>
      <w:r w:rsidRPr="00CD25DE">
        <w:rPr>
          <w:i/>
          <w:iCs/>
          <w:szCs w:val="18"/>
        </w:rPr>
        <w:t xml:space="preserve">Svetik </w:t>
      </w:r>
      <w:r w:rsidRPr="00CD25DE">
        <w:rPr>
          <w:szCs w:val="18"/>
        </w:rPr>
        <w:t xml:space="preserve">c. </w:t>
      </w:r>
      <w:r w:rsidRPr="00CD25DE">
        <w:rPr>
          <w:i/>
          <w:iCs/>
          <w:szCs w:val="18"/>
        </w:rPr>
        <w:t>Bélarus</w:t>
      </w:r>
      <w:r w:rsidRPr="00CD25DE">
        <w:rPr>
          <w:szCs w:val="18"/>
        </w:rPr>
        <w:t xml:space="preserve">, constatations adoptées le 8 juillet 2004, par. 7.3, et </w:t>
      </w:r>
      <w:r w:rsidRPr="00CD25DE">
        <w:rPr>
          <w:rFonts w:eastAsia="MS Mincho"/>
          <w:szCs w:val="18"/>
        </w:rPr>
        <w:t>n</w:t>
      </w:r>
      <w:r w:rsidRPr="00CD25DE">
        <w:rPr>
          <w:rFonts w:eastAsia="MS Mincho"/>
          <w:szCs w:val="18"/>
          <w:vertAlign w:val="superscript"/>
        </w:rPr>
        <w:t>o</w:t>
      </w:r>
      <w:r w:rsidRPr="00CD25DE">
        <w:rPr>
          <w:szCs w:val="18"/>
        </w:rPr>
        <w:t xml:space="preserve"> 1009/2001, </w:t>
      </w:r>
      <w:r w:rsidRPr="00CD25DE">
        <w:rPr>
          <w:i/>
          <w:iCs/>
          <w:szCs w:val="18"/>
        </w:rPr>
        <w:t xml:space="preserve">Shchetko </w:t>
      </w:r>
      <w:r w:rsidRPr="00CD25DE">
        <w:rPr>
          <w:szCs w:val="18"/>
        </w:rPr>
        <w:t xml:space="preserve">c. </w:t>
      </w:r>
      <w:r w:rsidRPr="00CD25DE">
        <w:rPr>
          <w:i/>
          <w:iCs/>
          <w:szCs w:val="18"/>
        </w:rPr>
        <w:t>Bélarus</w:t>
      </w:r>
      <w:r w:rsidRPr="00CD25DE">
        <w:rPr>
          <w:szCs w:val="18"/>
        </w:rPr>
        <w:t>, constatations adoptées le 11 juillet 2006, par. 7.5.</w:t>
      </w:r>
    </w:p>
  </w:footnote>
  <w:footnote w:id="17">
    <w:p w:rsidR="00960E9A" w:rsidRPr="00CD25DE" w:rsidRDefault="00960E9A" w:rsidP="002D25F9">
      <w:pPr>
        <w:pStyle w:val="FootnoteText"/>
        <w:rPr>
          <w:szCs w:val="18"/>
        </w:rPr>
      </w:pPr>
      <w:r w:rsidRPr="00CD25DE">
        <w:rPr>
          <w:szCs w:val="18"/>
        </w:rPr>
        <w:tab/>
      </w:r>
      <w:r w:rsidRPr="00CD25DE">
        <w:rPr>
          <w:rStyle w:val="FootnoteReference"/>
          <w:szCs w:val="18"/>
        </w:rPr>
        <w:footnoteRef/>
      </w:r>
      <w:r w:rsidRPr="00CD25DE">
        <w:rPr>
          <w:szCs w:val="18"/>
        </w:rPr>
        <w:tab/>
        <w:t xml:space="preserve">Voir </w:t>
      </w:r>
      <w:r w:rsidRPr="00CD25DE">
        <w:rPr>
          <w:i/>
          <w:szCs w:val="18"/>
          <w:lang w:eastAsia="en-GB"/>
        </w:rPr>
        <w:t xml:space="preserve">Zalesskaya </w:t>
      </w:r>
      <w:r w:rsidRPr="00CD25DE">
        <w:rPr>
          <w:szCs w:val="18"/>
          <w:lang w:eastAsia="en-GB"/>
        </w:rPr>
        <w:t>c.</w:t>
      </w:r>
      <w:r w:rsidRPr="00CD25DE">
        <w:rPr>
          <w:i/>
          <w:szCs w:val="18"/>
          <w:lang w:eastAsia="en-GB"/>
        </w:rPr>
        <w:t xml:space="preserve"> Bélarus</w:t>
      </w:r>
      <w:r>
        <w:rPr>
          <w:szCs w:val="18"/>
          <w:lang w:eastAsia="en-GB"/>
        </w:rPr>
        <w:t xml:space="preserve"> (note 13 ci-dessus)</w:t>
      </w:r>
      <w:r w:rsidRPr="00CD25DE">
        <w:rPr>
          <w:szCs w:val="18"/>
          <w:lang w:eastAsia="en-GB"/>
        </w:rPr>
        <w:t>, par. 10.6.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E9A" w:rsidRPr="00B1608C" w:rsidRDefault="00960E9A">
    <w:pPr>
      <w:pStyle w:val="Header"/>
    </w:pPr>
    <w:r>
      <w:t>CCPR/C/112/D/2137/2012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E9A" w:rsidRPr="00B1608C" w:rsidRDefault="00960E9A" w:rsidP="00B1608C">
    <w:pPr>
      <w:pStyle w:val="Header"/>
      <w:jc w:val="right"/>
    </w:pPr>
    <w:r>
      <w:t>CCPR/C/112/D/2137/2012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1ABA70"/>
    <w:lvl w:ilvl="0">
      <w:start w:val="1"/>
      <w:numFmt w:val="decimal"/>
      <w:lvlText w:val="%1."/>
      <w:lvlJc w:val="left"/>
      <w:pPr>
        <w:tabs>
          <w:tab w:val="num" w:pos="1492"/>
        </w:tabs>
        <w:ind w:left="1492" w:hanging="360"/>
      </w:pPr>
    </w:lvl>
  </w:abstractNum>
  <w:abstractNum w:abstractNumId="1">
    <w:nsid w:val="FFFFFF7D"/>
    <w:multiLevelType w:val="singleLevel"/>
    <w:tmpl w:val="EC4A8802"/>
    <w:lvl w:ilvl="0">
      <w:start w:val="1"/>
      <w:numFmt w:val="decimal"/>
      <w:lvlText w:val="%1."/>
      <w:lvlJc w:val="left"/>
      <w:pPr>
        <w:tabs>
          <w:tab w:val="num" w:pos="1209"/>
        </w:tabs>
        <w:ind w:left="1209" w:hanging="360"/>
      </w:pPr>
    </w:lvl>
  </w:abstractNum>
  <w:abstractNum w:abstractNumId="2">
    <w:nsid w:val="FFFFFF7E"/>
    <w:multiLevelType w:val="singleLevel"/>
    <w:tmpl w:val="B2E8F836"/>
    <w:lvl w:ilvl="0">
      <w:start w:val="1"/>
      <w:numFmt w:val="decimal"/>
      <w:lvlText w:val="%1."/>
      <w:lvlJc w:val="left"/>
      <w:pPr>
        <w:tabs>
          <w:tab w:val="num" w:pos="926"/>
        </w:tabs>
        <w:ind w:left="926" w:hanging="360"/>
      </w:pPr>
    </w:lvl>
  </w:abstractNum>
  <w:abstractNum w:abstractNumId="3">
    <w:nsid w:val="FFFFFF7F"/>
    <w:multiLevelType w:val="singleLevel"/>
    <w:tmpl w:val="168C4E0C"/>
    <w:lvl w:ilvl="0">
      <w:start w:val="1"/>
      <w:numFmt w:val="decimal"/>
      <w:lvlText w:val="%1."/>
      <w:lvlJc w:val="left"/>
      <w:pPr>
        <w:tabs>
          <w:tab w:val="num" w:pos="643"/>
        </w:tabs>
        <w:ind w:left="643" w:hanging="360"/>
      </w:pPr>
    </w:lvl>
  </w:abstractNum>
  <w:abstractNum w:abstractNumId="4">
    <w:nsid w:val="FFFFFF88"/>
    <w:multiLevelType w:val="singleLevel"/>
    <w:tmpl w:val="3CC6C676"/>
    <w:lvl w:ilvl="0">
      <w:start w:val="1"/>
      <w:numFmt w:val="decimal"/>
      <w:lvlText w:val="%1."/>
      <w:lvlJc w:val="left"/>
      <w:pPr>
        <w:tabs>
          <w:tab w:val="num" w:pos="360"/>
        </w:tabs>
        <w:ind w:left="360" w:hanging="360"/>
      </w:pPr>
    </w:lvl>
  </w:abstractNum>
  <w:abstractNum w:abstractNumId="5">
    <w:nsid w:val="FFFFFF89"/>
    <w:multiLevelType w:val="singleLevel"/>
    <w:tmpl w:val="EFDC5A04"/>
    <w:lvl w:ilvl="0">
      <w:start w:val="1"/>
      <w:numFmt w:val="bullet"/>
      <w:lvlText w:val=""/>
      <w:lvlJc w:val="left"/>
      <w:pPr>
        <w:tabs>
          <w:tab w:val="num" w:pos="360"/>
        </w:tabs>
        <w:ind w:left="360" w:hanging="360"/>
      </w:pPr>
      <w:rPr>
        <w:rFonts w:ascii="Symbol" w:hAnsi="Symbol" w:hint="default"/>
      </w:rPr>
    </w:lvl>
  </w:abstractNum>
  <w:abstractNum w:abstractNumId="6">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8"/>
  </w:num>
  <w:num w:numId="2">
    <w:abstractNumId w:val="7"/>
  </w:num>
  <w:num w:numId="3">
    <w:abstractNumId w:val="8"/>
  </w:num>
  <w:num w:numId="4">
    <w:abstractNumId w:val="7"/>
  </w:num>
  <w:num w:numId="5">
    <w:abstractNumId w:val="8"/>
  </w:num>
  <w:num w:numId="6">
    <w:abstractNumId w:val="7"/>
  </w:num>
  <w:num w:numId="7">
    <w:abstractNumId w:val="4"/>
  </w:num>
  <w:num w:numId="8">
    <w:abstractNumId w:val="3"/>
  </w:num>
  <w:num w:numId="9">
    <w:abstractNumId w:val="2"/>
  </w:num>
  <w:num w:numId="10">
    <w:abstractNumId w:val="1"/>
  </w:num>
  <w:num w:numId="11">
    <w:abstractNumId w:val="0"/>
  </w:num>
  <w:num w:numId="12">
    <w:abstractNumId w:val="5"/>
  </w:num>
  <w:num w:numId="13">
    <w:abstractNumId w:val="8"/>
  </w:num>
  <w:num w:numId="14">
    <w:abstractNumId w:val="7"/>
  </w:num>
  <w:num w:numId="15">
    <w:abstractNumId w:val="6"/>
  </w:num>
  <w:num w:numId="16">
    <w:abstractNumId w:val="8"/>
  </w:num>
  <w:num w:numId="17">
    <w:abstractNumId w:val="7"/>
  </w:num>
  <w:num w:numId="18">
    <w:abstractNumId w:val="6"/>
  </w:num>
  <w:num w:numId="19">
    <w:abstractNumId w:val="8"/>
  </w:num>
  <w:num w:numId="20">
    <w:abstractNumId w:val="7"/>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GB" w:vendorID="64" w:dllVersion="131077" w:nlCheck="1" w:checkStyle="1"/>
  <w:activeWritingStyle w:appName="MSWord" w:lang="fr-CH" w:vendorID="64" w:dllVersion="131078" w:nlCheck="1" w:checkStyle="1"/>
  <w:proofState w:spelling="clean"/>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2728"/>
    <w:rsid w:val="00016AC5"/>
    <w:rsid w:val="00054EE9"/>
    <w:rsid w:val="00065ECB"/>
    <w:rsid w:val="0007545B"/>
    <w:rsid w:val="000A4C4D"/>
    <w:rsid w:val="000C461C"/>
    <w:rsid w:val="000D53BF"/>
    <w:rsid w:val="000D680E"/>
    <w:rsid w:val="000F41F2"/>
    <w:rsid w:val="00103C1A"/>
    <w:rsid w:val="00111689"/>
    <w:rsid w:val="00143AF1"/>
    <w:rsid w:val="00160540"/>
    <w:rsid w:val="00192EEB"/>
    <w:rsid w:val="001A20FB"/>
    <w:rsid w:val="001A51A8"/>
    <w:rsid w:val="001A723B"/>
    <w:rsid w:val="001E3FEB"/>
    <w:rsid w:val="001E4A02"/>
    <w:rsid w:val="001F4675"/>
    <w:rsid w:val="002659F1"/>
    <w:rsid w:val="0028227F"/>
    <w:rsid w:val="00287E79"/>
    <w:rsid w:val="002928F9"/>
    <w:rsid w:val="002A5D07"/>
    <w:rsid w:val="002A7B15"/>
    <w:rsid w:val="002D25F9"/>
    <w:rsid w:val="002E2C05"/>
    <w:rsid w:val="003016B7"/>
    <w:rsid w:val="0034214E"/>
    <w:rsid w:val="003515AA"/>
    <w:rsid w:val="0036430E"/>
    <w:rsid w:val="0036726B"/>
    <w:rsid w:val="00374106"/>
    <w:rsid w:val="00386A99"/>
    <w:rsid w:val="003976D5"/>
    <w:rsid w:val="003A14F1"/>
    <w:rsid w:val="003B4CBD"/>
    <w:rsid w:val="003C6783"/>
    <w:rsid w:val="003C77CF"/>
    <w:rsid w:val="003D6C68"/>
    <w:rsid w:val="003E5291"/>
    <w:rsid w:val="003F2D41"/>
    <w:rsid w:val="003F3055"/>
    <w:rsid w:val="00414794"/>
    <w:rsid w:val="004159D0"/>
    <w:rsid w:val="004460A3"/>
    <w:rsid w:val="00455974"/>
    <w:rsid w:val="00457435"/>
    <w:rsid w:val="00481EC5"/>
    <w:rsid w:val="0049596A"/>
    <w:rsid w:val="004F2C80"/>
    <w:rsid w:val="00571F41"/>
    <w:rsid w:val="00572B3F"/>
    <w:rsid w:val="005753C4"/>
    <w:rsid w:val="005757D2"/>
    <w:rsid w:val="005A0AF5"/>
    <w:rsid w:val="005A3ACA"/>
    <w:rsid w:val="005D29C8"/>
    <w:rsid w:val="005E5D1F"/>
    <w:rsid w:val="00612D48"/>
    <w:rsid w:val="00616B45"/>
    <w:rsid w:val="006312C9"/>
    <w:rsid w:val="00631953"/>
    <w:rsid w:val="0063439D"/>
    <w:rsid w:val="00642728"/>
    <w:rsid w:val="006439EC"/>
    <w:rsid w:val="00644659"/>
    <w:rsid w:val="00650E01"/>
    <w:rsid w:val="00663CB6"/>
    <w:rsid w:val="00675ACB"/>
    <w:rsid w:val="00676F17"/>
    <w:rsid w:val="006923B4"/>
    <w:rsid w:val="006959F5"/>
    <w:rsid w:val="006B1379"/>
    <w:rsid w:val="006B4590"/>
    <w:rsid w:val="006C340C"/>
    <w:rsid w:val="006D4E6F"/>
    <w:rsid w:val="006D69DF"/>
    <w:rsid w:val="0070347C"/>
    <w:rsid w:val="00757D82"/>
    <w:rsid w:val="007829EA"/>
    <w:rsid w:val="007A6548"/>
    <w:rsid w:val="007B0586"/>
    <w:rsid w:val="007C59BA"/>
    <w:rsid w:val="0080765D"/>
    <w:rsid w:val="00812DDF"/>
    <w:rsid w:val="008131F4"/>
    <w:rsid w:val="00817A26"/>
    <w:rsid w:val="00844750"/>
    <w:rsid w:val="00862CCC"/>
    <w:rsid w:val="00880372"/>
    <w:rsid w:val="00886128"/>
    <w:rsid w:val="00886D12"/>
    <w:rsid w:val="008B7F10"/>
    <w:rsid w:val="008E1B41"/>
    <w:rsid w:val="008E7FAE"/>
    <w:rsid w:val="009033FB"/>
    <w:rsid w:val="00911BF7"/>
    <w:rsid w:val="00960E9A"/>
    <w:rsid w:val="009717AD"/>
    <w:rsid w:val="00977EC8"/>
    <w:rsid w:val="009C3909"/>
    <w:rsid w:val="009D3A8C"/>
    <w:rsid w:val="009E7956"/>
    <w:rsid w:val="009F7F79"/>
    <w:rsid w:val="00A224D5"/>
    <w:rsid w:val="00A2492E"/>
    <w:rsid w:val="00A73631"/>
    <w:rsid w:val="00A821B8"/>
    <w:rsid w:val="00A85799"/>
    <w:rsid w:val="00AC2A67"/>
    <w:rsid w:val="00AC7977"/>
    <w:rsid w:val="00AD41FE"/>
    <w:rsid w:val="00AE2643"/>
    <w:rsid w:val="00AE352C"/>
    <w:rsid w:val="00B00515"/>
    <w:rsid w:val="00B0649A"/>
    <w:rsid w:val="00B07328"/>
    <w:rsid w:val="00B1608C"/>
    <w:rsid w:val="00B22B0B"/>
    <w:rsid w:val="00B32E2D"/>
    <w:rsid w:val="00B37D92"/>
    <w:rsid w:val="00B510C0"/>
    <w:rsid w:val="00B57784"/>
    <w:rsid w:val="00B61990"/>
    <w:rsid w:val="00B955CB"/>
    <w:rsid w:val="00B95D70"/>
    <w:rsid w:val="00BA1175"/>
    <w:rsid w:val="00BA405E"/>
    <w:rsid w:val="00BB3246"/>
    <w:rsid w:val="00BB46FB"/>
    <w:rsid w:val="00BB6E96"/>
    <w:rsid w:val="00BE0659"/>
    <w:rsid w:val="00BF0556"/>
    <w:rsid w:val="00C261F8"/>
    <w:rsid w:val="00C93014"/>
    <w:rsid w:val="00C9305C"/>
    <w:rsid w:val="00CB2BAF"/>
    <w:rsid w:val="00CB6686"/>
    <w:rsid w:val="00CB6C7A"/>
    <w:rsid w:val="00CC03BE"/>
    <w:rsid w:val="00CC207F"/>
    <w:rsid w:val="00CC5A68"/>
    <w:rsid w:val="00CD1A71"/>
    <w:rsid w:val="00CD1FBB"/>
    <w:rsid w:val="00D0026F"/>
    <w:rsid w:val="00D016B5"/>
    <w:rsid w:val="00D034F1"/>
    <w:rsid w:val="00D20FA9"/>
    <w:rsid w:val="00D27D5E"/>
    <w:rsid w:val="00D41315"/>
    <w:rsid w:val="00D534FE"/>
    <w:rsid w:val="00D652C8"/>
    <w:rsid w:val="00D71692"/>
    <w:rsid w:val="00D77E85"/>
    <w:rsid w:val="00D8028C"/>
    <w:rsid w:val="00D80BC5"/>
    <w:rsid w:val="00DB3741"/>
    <w:rsid w:val="00DB681C"/>
    <w:rsid w:val="00DC2F07"/>
    <w:rsid w:val="00DC75BA"/>
    <w:rsid w:val="00DE6D90"/>
    <w:rsid w:val="00DF002F"/>
    <w:rsid w:val="00DF5248"/>
    <w:rsid w:val="00DF5D80"/>
    <w:rsid w:val="00E0244D"/>
    <w:rsid w:val="00E10B1F"/>
    <w:rsid w:val="00E20B62"/>
    <w:rsid w:val="00E24896"/>
    <w:rsid w:val="00E45984"/>
    <w:rsid w:val="00E5485D"/>
    <w:rsid w:val="00E66657"/>
    <w:rsid w:val="00E81E94"/>
    <w:rsid w:val="00E82607"/>
    <w:rsid w:val="00E83B6D"/>
    <w:rsid w:val="00E849E1"/>
    <w:rsid w:val="00EA5BC9"/>
    <w:rsid w:val="00EB3164"/>
    <w:rsid w:val="00EC181F"/>
    <w:rsid w:val="00ED00F2"/>
    <w:rsid w:val="00F52DCD"/>
    <w:rsid w:val="00FA5A79"/>
    <w:rsid w:val="00FB0BFE"/>
    <w:rsid w:val="00FB33B3"/>
    <w:rsid w:val="00FB4C51"/>
    <w:rsid w:val="00FB4F81"/>
    <w:rsid w:val="00FB7502"/>
    <w:rsid w:val="00FD511F"/>
    <w:rsid w:val="00FE1C57"/>
    <w:rsid w:val="00FE6EBB"/>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A99"/>
    <w:pPr>
      <w:suppressAutoHyphens/>
      <w:spacing w:line="240" w:lineRule="atLeast"/>
    </w:pPr>
    <w:rPr>
      <w:lang w:val="fr-CH"/>
    </w:rPr>
  </w:style>
  <w:style w:type="paragraph" w:styleId="Heading1">
    <w:name w:val="heading 1"/>
    <w:aliases w:val="Table_G"/>
    <w:basedOn w:val="SingleTxtG"/>
    <w:next w:val="SingleTxtG"/>
    <w:qFormat/>
    <w:rsid w:val="00386A99"/>
    <w:pPr>
      <w:keepNext/>
      <w:keepLines/>
      <w:spacing w:after="0" w:line="240" w:lineRule="auto"/>
      <w:ind w:right="0"/>
      <w:jc w:val="left"/>
      <w:outlineLvl w:val="0"/>
    </w:pPr>
  </w:style>
  <w:style w:type="paragraph" w:styleId="Heading2">
    <w:name w:val="heading 2"/>
    <w:basedOn w:val="Normal"/>
    <w:next w:val="Normal"/>
    <w:qFormat/>
    <w:rsid w:val="00386A99"/>
    <w:pPr>
      <w:outlineLvl w:val="1"/>
    </w:pPr>
  </w:style>
  <w:style w:type="paragraph" w:styleId="Heading3">
    <w:name w:val="heading 3"/>
    <w:basedOn w:val="Normal"/>
    <w:next w:val="Normal"/>
    <w:qFormat/>
    <w:rsid w:val="00386A99"/>
    <w:pPr>
      <w:outlineLvl w:val="2"/>
    </w:pPr>
  </w:style>
  <w:style w:type="paragraph" w:styleId="Heading4">
    <w:name w:val="heading 4"/>
    <w:basedOn w:val="Normal"/>
    <w:next w:val="Normal"/>
    <w:qFormat/>
    <w:rsid w:val="00386A99"/>
    <w:pPr>
      <w:outlineLvl w:val="3"/>
    </w:pPr>
  </w:style>
  <w:style w:type="paragraph" w:styleId="Heading5">
    <w:name w:val="heading 5"/>
    <w:basedOn w:val="Normal"/>
    <w:next w:val="Normal"/>
    <w:qFormat/>
    <w:rsid w:val="00386A99"/>
    <w:pPr>
      <w:outlineLvl w:val="4"/>
    </w:pPr>
  </w:style>
  <w:style w:type="paragraph" w:styleId="Heading6">
    <w:name w:val="heading 6"/>
    <w:basedOn w:val="Normal"/>
    <w:next w:val="Normal"/>
    <w:qFormat/>
    <w:rsid w:val="00386A99"/>
    <w:pPr>
      <w:outlineLvl w:val="5"/>
    </w:pPr>
  </w:style>
  <w:style w:type="paragraph" w:styleId="Heading7">
    <w:name w:val="heading 7"/>
    <w:basedOn w:val="Normal"/>
    <w:next w:val="Normal"/>
    <w:qFormat/>
    <w:rsid w:val="00386A99"/>
    <w:pPr>
      <w:outlineLvl w:val="6"/>
    </w:pPr>
  </w:style>
  <w:style w:type="paragraph" w:styleId="Heading8">
    <w:name w:val="heading 8"/>
    <w:basedOn w:val="Normal"/>
    <w:next w:val="Normal"/>
    <w:qFormat/>
    <w:rsid w:val="00386A99"/>
    <w:pPr>
      <w:outlineLvl w:val="7"/>
    </w:pPr>
  </w:style>
  <w:style w:type="paragraph" w:styleId="Heading9">
    <w:name w:val="heading 9"/>
    <w:basedOn w:val="Normal"/>
    <w:next w:val="Normal"/>
    <w:qFormat/>
    <w:rsid w:val="00386A99"/>
    <w:pPr>
      <w:outlineLvl w:val="8"/>
    </w:pPr>
  </w:style>
  <w:style w:type="character" w:default="1" w:styleId="DefaultParagraphFont">
    <w:name w:val="Default Paragraph Font"/>
    <w:semiHidden/>
    <w:rsid w:val="00386A9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86A99"/>
  </w:style>
  <w:style w:type="paragraph" w:customStyle="1" w:styleId="HMG">
    <w:name w:val="_ H __M_G"/>
    <w:basedOn w:val="Normal"/>
    <w:next w:val="Normal"/>
    <w:rsid w:val="00386A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86A9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386A9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86A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86A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86A9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386A99"/>
    <w:pPr>
      <w:spacing w:after="120"/>
      <w:ind w:left="1134" w:right="1134"/>
      <w:jc w:val="both"/>
    </w:pPr>
  </w:style>
  <w:style w:type="paragraph" w:customStyle="1" w:styleId="SLG">
    <w:name w:val="__S_L_G"/>
    <w:basedOn w:val="Normal"/>
    <w:next w:val="Normal"/>
    <w:rsid w:val="00386A99"/>
    <w:pPr>
      <w:keepNext/>
      <w:keepLines/>
      <w:spacing w:before="240" w:after="240" w:line="580" w:lineRule="exact"/>
      <w:ind w:left="1134" w:right="1134"/>
    </w:pPr>
    <w:rPr>
      <w:b/>
      <w:sz w:val="56"/>
    </w:rPr>
  </w:style>
  <w:style w:type="paragraph" w:customStyle="1" w:styleId="SMG">
    <w:name w:val="__S_M_G"/>
    <w:basedOn w:val="Normal"/>
    <w:next w:val="Normal"/>
    <w:rsid w:val="00386A99"/>
    <w:pPr>
      <w:keepNext/>
      <w:keepLines/>
      <w:spacing w:before="240" w:after="240" w:line="420" w:lineRule="exact"/>
      <w:ind w:left="1134" w:right="1134"/>
    </w:pPr>
    <w:rPr>
      <w:b/>
      <w:sz w:val="40"/>
    </w:rPr>
  </w:style>
  <w:style w:type="paragraph" w:customStyle="1" w:styleId="SSG">
    <w:name w:val="__S_S_G"/>
    <w:basedOn w:val="Normal"/>
    <w:next w:val="Normal"/>
    <w:rsid w:val="00386A99"/>
    <w:pPr>
      <w:keepNext/>
      <w:keepLines/>
      <w:spacing w:before="240" w:after="240" w:line="300" w:lineRule="exact"/>
      <w:ind w:left="1134" w:right="1134"/>
    </w:pPr>
    <w:rPr>
      <w:b/>
      <w:sz w:val="28"/>
    </w:rPr>
  </w:style>
  <w:style w:type="paragraph" w:customStyle="1" w:styleId="XLargeG">
    <w:name w:val="__XLarge_G"/>
    <w:basedOn w:val="Normal"/>
    <w:next w:val="Normal"/>
    <w:rsid w:val="00386A99"/>
    <w:pPr>
      <w:keepNext/>
      <w:keepLines/>
      <w:spacing w:before="240" w:after="240" w:line="420" w:lineRule="exact"/>
      <w:ind w:left="1134" w:right="1134"/>
    </w:pPr>
    <w:rPr>
      <w:b/>
      <w:sz w:val="40"/>
    </w:rPr>
  </w:style>
  <w:style w:type="paragraph" w:customStyle="1" w:styleId="Bullet1G">
    <w:name w:val="_Bullet 1_G"/>
    <w:basedOn w:val="Normal"/>
    <w:rsid w:val="00386A99"/>
    <w:pPr>
      <w:numPr>
        <w:numId w:val="19"/>
      </w:numPr>
      <w:spacing w:after="120"/>
      <w:ind w:right="1134"/>
      <w:jc w:val="both"/>
    </w:pPr>
  </w:style>
  <w:style w:type="paragraph" w:customStyle="1" w:styleId="Bullet2G">
    <w:name w:val="_Bullet 2_G"/>
    <w:basedOn w:val="Normal"/>
    <w:rsid w:val="00386A99"/>
    <w:pPr>
      <w:numPr>
        <w:numId w:val="20"/>
      </w:numPr>
      <w:spacing w:after="120"/>
      <w:ind w:right="1134"/>
      <w:jc w:val="both"/>
    </w:pPr>
  </w:style>
  <w:style w:type="character" w:styleId="FootnoteReference">
    <w:name w:val="footnote reference"/>
    <w:aliases w:val="4_G"/>
    <w:basedOn w:val="DefaultParagraphFont"/>
    <w:rsid w:val="00386A99"/>
    <w:rPr>
      <w:rFonts w:ascii="Times New Roman" w:hAnsi="Times New Roman"/>
      <w:sz w:val="18"/>
      <w:vertAlign w:val="superscript"/>
      <w:lang w:val="fr-CH"/>
    </w:rPr>
  </w:style>
  <w:style w:type="character" w:styleId="EndnoteReference">
    <w:name w:val="endnote reference"/>
    <w:aliases w:val="1_G"/>
    <w:basedOn w:val="FootnoteReference"/>
    <w:rsid w:val="00386A99"/>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rsid w:val="00386A99"/>
    <w:pPr>
      <w:tabs>
        <w:tab w:val="right" w:pos="1021"/>
      </w:tabs>
      <w:spacing w:line="220" w:lineRule="exact"/>
      <w:ind w:left="1134" w:right="1134" w:hanging="1134"/>
    </w:pPr>
    <w:rPr>
      <w:sz w:val="18"/>
    </w:rPr>
  </w:style>
  <w:style w:type="paragraph" w:styleId="EndnoteText">
    <w:name w:val="endnote text"/>
    <w:aliases w:val="2_G"/>
    <w:basedOn w:val="FootnoteText"/>
    <w:rsid w:val="00386A99"/>
  </w:style>
  <w:style w:type="character" w:styleId="PageNumber">
    <w:name w:val="page number"/>
    <w:aliases w:val="7_G"/>
    <w:basedOn w:val="DefaultParagraphFont"/>
    <w:rsid w:val="00386A99"/>
    <w:rPr>
      <w:rFonts w:ascii="Times New Roman" w:hAnsi="Times New Roman"/>
      <w:b/>
      <w:sz w:val="18"/>
      <w:lang w:val="fr-CH"/>
    </w:rPr>
  </w:style>
  <w:style w:type="paragraph" w:styleId="Footer">
    <w:name w:val="footer"/>
    <w:aliases w:val="3_G"/>
    <w:basedOn w:val="Normal"/>
    <w:next w:val="Normal"/>
    <w:rsid w:val="00386A99"/>
    <w:pPr>
      <w:spacing w:line="240" w:lineRule="auto"/>
    </w:pPr>
    <w:rPr>
      <w:sz w:val="16"/>
    </w:rPr>
  </w:style>
  <w:style w:type="paragraph" w:customStyle="1" w:styleId="ParNoG">
    <w:name w:val="_ParNo_G"/>
    <w:basedOn w:val="SingleTxtG"/>
    <w:rsid w:val="00386A99"/>
    <w:pPr>
      <w:numPr>
        <w:numId w:val="21"/>
      </w:numPr>
    </w:pPr>
  </w:style>
  <w:style w:type="paragraph" w:styleId="Header">
    <w:name w:val="header"/>
    <w:aliases w:val="6_G"/>
    <w:basedOn w:val="Normal"/>
    <w:next w:val="Normal"/>
    <w:rsid w:val="00386A99"/>
    <w:pPr>
      <w:pBdr>
        <w:bottom w:val="single" w:sz="4" w:space="4" w:color="auto"/>
      </w:pBdr>
      <w:spacing w:line="240" w:lineRule="auto"/>
    </w:pPr>
    <w:rPr>
      <w:b/>
      <w:sz w:val="18"/>
    </w:rPr>
  </w:style>
  <w:style w:type="table" w:styleId="TableGrid">
    <w:name w:val="Table Grid"/>
    <w:basedOn w:val="TableNormal"/>
    <w:semiHidden/>
    <w:rsid w:val="00386A9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386A99"/>
    <w:rPr>
      <w:color w:val="0000FF"/>
      <w:u w:val="none"/>
    </w:rPr>
  </w:style>
  <w:style w:type="character" w:styleId="FollowedHyperlink">
    <w:name w:val="FollowedHyperlink"/>
    <w:basedOn w:val="DefaultParagraphFont"/>
    <w:semiHidden/>
    <w:rsid w:val="00386A99"/>
    <w:rPr>
      <w:color w:val="0000FF"/>
      <w:u w:val="none"/>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rsid w:val="002D25F9"/>
    <w:rPr>
      <w:sz w:val="18"/>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4047</Words>
  <Characters>21589</Characters>
  <Application>Microsoft Office Outlook</Application>
  <DocSecurity>4</DocSecurity>
  <Lines>347</Lines>
  <Paragraphs>87</Paragraphs>
  <ScaleCrop>false</ScaleCrop>
  <HeadingPairs>
    <vt:vector size="2" baseType="variant">
      <vt:variant>
        <vt:lpstr>Titre</vt:lpstr>
      </vt:variant>
      <vt:variant>
        <vt:i4>1</vt:i4>
      </vt:variant>
    </vt:vector>
  </HeadingPairs>
  <TitlesOfParts>
    <vt:vector size="1" baseType="lpstr">
      <vt:lpstr>CCPR/C/112/D/2137/2012</vt:lpstr>
    </vt:vector>
  </TitlesOfParts>
  <Company>CSD</Company>
  <LinksUpToDate>false</LinksUpToDate>
  <CharactersWithSpaces>25566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CCPR/C/112/D/2137/2012</dc:title>
  <dc:subject/>
  <dc:creator>Vu</dc:creator>
  <cp:keywords/>
  <dc:description/>
  <cp:lastModifiedBy>Vu</cp:lastModifiedBy>
  <cp:revision>2</cp:revision>
  <cp:lastPrinted>2014-12-08T08:53:00Z</cp:lastPrinted>
  <dcterms:created xsi:type="dcterms:W3CDTF">2014-12-08T09:17:00Z</dcterms:created>
  <dcterms:modified xsi:type="dcterms:W3CDTF">2014-12-08T09:17:00Z</dcterms:modified>
</cp:coreProperties>
</file>