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2E5141" w:rsidP="002E5141">
            <w:pPr>
              <w:bidi w:val="0"/>
              <w:spacing w:after="20"/>
              <w:jc w:val="left"/>
              <w:rPr>
                <w:szCs w:val="20"/>
              </w:rPr>
            </w:pPr>
            <w:r w:rsidRPr="002E5141">
              <w:rPr>
                <w:sz w:val="40"/>
                <w:szCs w:val="20"/>
              </w:rPr>
              <w:t>CCPR</w:t>
            </w:r>
            <w:r>
              <w:rPr>
                <w:szCs w:val="20"/>
              </w:rPr>
              <w:t>/C/105/D/1784/2008</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2E5141" w:rsidRDefault="002E5141" w:rsidP="002E5141">
            <w:pPr>
              <w:bidi w:val="0"/>
              <w:spacing w:before="240"/>
              <w:jc w:val="left"/>
            </w:pPr>
            <w:r>
              <w:t>Distr.: General</w:t>
            </w:r>
          </w:p>
          <w:p w:rsidR="002E5141" w:rsidRDefault="002E5141" w:rsidP="002E5141">
            <w:pPr>
              <w:bidi w:val="0"/>
              <w:jc w:val="left"/>
            </w:pPr>
            <w:r>
              <w:t>5 September 2012</w:t>
            </w:r>
          </w:p>
          <w:p w:rsidR="002E5141" w:rsidRDefault="002E5141" w:rsidP="002E5141">
            <w:pPr>
              <w:bidi w:val="0"/>
              <w:jc w:val="left"/>
            </w:pPr>
            <w:r>
              <w:t>Arabic</w:t>
            </w:r>
          </w:p>
          <w:p w:rsidR="00257225" w:rsidRPr="008B4BC6" w:rsidRDefault="002E5141" w:rsidP="002E5141">
            <w:pPr>
              <w:bidi w:val="0"/>
              <w:jc w:val="left"/>
            </w:pPr>
            <w:r>
              <w:t>Original: English</w:t>
            </w:r>
          </w:p>
        </w:tc>
      </w:tr>
    </w:tbl>
    <w:p w:rsidR="002E5141" w:rsidRPr="008F0034" w:rsidRDefault="002E5141" w:rsidP="002E5141">
      <w:pPr>
        <w:spacing w:before="120" w:after="120" w:line="380" w:lineRule="exact"/>
        <w:rPr>
          <w:b/>
          <w:bCs/>
          <w:sz w:val="26"/>
          <w:szCs w:val="36"/>
          <w:rtl/>
        </w:rPr>
      </w:pPr>
      <w:r w:rsidRPr="008F0034">
        <w:rPr>
          <w:b/>
          <w:bCs/>
          <w:sz w:val="26"/>
          <w:szCs w:val="36"/>
          <w:rtl/>
        </w:rPr>
        <w:t>اللجنة المعنية بحقوق الإنسان</w:t>
      </w:r>
    </w:p>
    <w:p w:rsidR="002E5141" w:rsidRDefault="002E5141" w:rsidP="002E5141">
      <w:pPr>
        <w:pStyle w:val="HChGA"/>
        <w:rPr>
          <w:rtl/>
        </w:rPr>
      </w:pPr>
      <w:r>
        <w:rPr>
          <w:rtl/>
        </w:rPr>
        <w:tab/>
      </w:r>
      <w:r>
        <w:rPr>
          <w:rtl/>
        </w:rPr>
        <w:tab/>
        <w:t>البلاغ رقم 17</w:t>
      </w:r>
      <w:r>
        <w:rPr>
          <w:rFonts w:hint="cs"/>
          <w:rtl/>
        </w:rPr>
        <w:t>84</w:t>
      </w:r>
      <w:r>
        <w:rPr>
          <w:rtl/>
        </w:rPr>
        <w:t>/2008</w:t>
      </w:r>
    </w:p>
    <w:p w:rsidR="002E5141" w:rsidRPr="008F0034" w:rsidRDefault="002E5141" w:rsidP="002E5141">
      <w:pPr>
        <w:pStyle w:val="H1GA"/>
        <w:rPr>
          <w:spacing w:val="-6"/>
          <w:rtl/>
        </w:rPr>
      </w:pPr>
      <w:r w:rsidRPr="008F0034">
        <w:rPr>
          <w:spacing w:val="-6"/>
          <w:rtl/>
        </w:rPr>
        <w:tab/>
      </w:r>
      <w:r w:rsidRPr="008F0034">
        <w:rPr>
          <w:spacing w:val="-6"/>
          <w:rtl/>
        </w:rPr>
        <w:tab/>
        <w:t xml:space="preserve">آراء اعتمدتها اللجنة في دورتها </w:t>
      </w:r>
      <w:r>
        <w:rPr>
          <w:rFonts w:hint="cs"/>
          <w:spacing w:val="-6"/>
          <w:rtl/>
        </w:rPr>
        <w:t>الخامسة</w:t>
      </w:r>
      <w:r w:rsidRPr="008F0034">
        <w:rPr>
          <w:spacing w:val="-6"/>
          <w:rtl/>
        </w:rPr>
        <w:t xml:space="preserve"> بعد المائة (</w:t>
      </w:r>
      <w:r>
        <w:rPr>
          <w:rFonts w:hint="cs"/>
          <w:spacing w:val="-6"/>
          <w:rtl/>
        </w:rPr>
        <w:t>9</w:t>
      </w:r>
      <w:r w:rsidRPr="008F0034">
        <w:rPr>
          <w:spacing w:val="-6"/>
          <w:rtl/>
        </w:rPr>
        <w:t xml:space="preserve"> إلى </w:t>
      </w:r>
      <w:r>
        <w:rPr>
          <w:rFonts w:hint="cs"/>
          <w:spacing w:val="-6"/>
          <w:rtl/>
        </w:rPr>
        <w:t>27</w:t>
      </w:r>
      <w:r w:rsidRPr="008F0034">
        <w:rPr>
          <w:spacing w:val="-6"/>
          <w:rtl/>
        </w:rPr>
        <w:t xml:space="preserve"> </w:t>
      </w:r>
      <w:r>
        <w:rPr>
          <w:rFonts w:hint="cs"/>
          <w:spacing w:val="-6"/>
          <w:rtl/>
        </w:rPr>
        <w:t>تموز</w:t>
      </w:r>
      <w:r w:rsidRPr="008F0034">
        <w:rPr>
          <w:spacing w:val="-6"/>
          <w:rtl/>
        </w:rPr>
        <w:t>/</w:t>
      </w:r>
      <w:r>
        <w:rPr>
          <w:rFonts w:hint="cs"/>
          <w:spacing w:val="-6"/>
          <w:rtl/>
        </w:rPr>
        <w:t>يوليه</w:t>
      </w:r>
      <w:r w:rsidRPr="008F0034">
        <w:rPr>
          <w:spacing w:val="-6"/>
          <w:rtl/>
        </w:rPr>
        <w:t xml:space="preserve"> 2012)</w:t>
      </w:r>
    </w:p>
    <w:p w:rsidR="002E5141" w:rsidRDefault="002E5141" w:rsidP="002E5141">
      <w:pPr>
        <w:pStyle w:val="SingleTxtGA"/>
        <w:tabs>
          <w:tab w:val="clear" w:pos="2608"/>
          <w:tab w:val="clear" w:pos="3289"/>
          <w:tab w:val="clear" w:pos="3969"/>
          <w:tab w:val="clear" w:pos="4649"/>
          <w:tab w:val="left" w:pos="4318"/>
        </w:tabs>
        <w:ind w:left="1928"/>
        <w:rPr>
          <w:rtl/>
        </w:rPr>
      </w:pPr>
      <w:r w:rsidRPr="008F0034">
        <w:rPr>
          <w:i/>
          <w:iCs/>
          <w:rtl/>
        </w:rPr>
        <w:t>المقدم من:</w:t>
      </w:r>
      <w:r>
        <w:rPr>
          <w:rtl/>
        </w:rPr>
        <w:tab/>
      </w:r>
      <w:r>
        <w:rPr>
          <w:rFonts w:hint="cs"/>
          <w:rtl/>
        </w:rPr>
        <w:t xml:space="preserve">فلاديمير </w:t>
      </w:r>
      <w:proofErr w:type="spellStart"/>
      <w:r>
        <w:rPr>
          <w:rFonts w:hint="cs"/>
          <w:rtl/>
        </w:rPr>
        <w:t>شوميلين</w:t>
      </w:r>
      <w:proofErr w:type="spellEnd"/>
      <w:r>
        <w:rPr>
          <w:rtl/>
        </w:rPr>
        <w:t xml:space="preserve"> (لا يمثله محام)</w:t>
      </w:r>
    </w:p>
    <w:p w:rsidR="002E5141" w:rsidRDefault="002E5141" w:rsidP="002E5141">
      <w:pPr>
        <w:pStyle w:val="SingleTxtGA"/>
        <w:tabs>
          <w:tab w:val="clear" w:pos="4649"/>
          <w:tab w:val="left" w:pos="4318"/>
        </w:tabs>
        <w:ind w:left="1928"/>
        <w:rPr>
          <w:rtl/>
        </w:rPr>
      </w:pPr>
      <w:r w:rsidRPr="008F0034">
        <w:rPr>
          <w:i/>
          <w:iCs/>
          <w:rtl/>
        </w:rPr>
        <w:t>الشخص المدعي أنه ضحية:</w:t>
      </w:r>
      <w:r>
        <w:rPr>
          <w:rtl/>
        </w:rPr>
        <w:tab/>
        <w:t>صاحب البلاغ</w:t>
      </w:r>
    </w:p>
    <w:p w:rsidR="002E5141" w:rsidRDefault="002E5141" w:rsidP="002E5141">
      <w:pPr>
        <w:pStyle w:val="SingleTxtGA"/>
        <w:tabs>
          <w:tab w:val="clear" w:pos="2608"/>
          <w:tab w:val="clear" w:pos="3289"/>
          <w:tab w:val="clear" w:pos="3969"/>
          <w:tab w:val="clear" w:pos="4649"/>
          <w:tab w:val="left" w:pos="4318"/>
        </w:tabs>
        <w:ind w:left="1928"/>
        <w:rPr>
          <w:rtl/>
        </w:rPr>
      </w:pPr>
      <w:r w:rsidRPr="008F0034">
        <w:rPr>
          <w:i/>
          <w:iCs/>
          <w:rtl/>
        </w:rPr>
        <w:t>الدولة الطرف:</w:t>
      </w:r>
      <w:r>
        <w:rPr>
          <w:rtl/>
        </w:rPr>
        <w:tab/>
      </w:r>
      <w:proofErr w:type="spellStart"/>
      <w:r>
        <w:rPr>
          <w:rtl/>
        </w:rPr>
        <w:t>بيلاروس</w:t>
      </w:r>
      <w:proofErr w:type="spellEnd"/>
    </w:p>
    <w:p w:rsidR="002E5141" w:rsidRDefault="002E5141" w:rsidP="002E5141">
      <w:pPr>
        <w:pStyle w:val="SingleTxtGA"/>
        <w:tabs>
          <w:tab w:val="clear" w:pos="2608"/>
          <w:tab w:val="clear" w:pos="3289"/>
          <w:tab w:val="clear" w:pos="3969"/>
          <w:tab w:val="clear" w:pos="4649"/>
          <w:tab w:val="left" w:pos="4318"/>
        </w:tabs>
        <w:ind w:left="1928"/>
        <w:rPr>
          <w:rtl/>
        </w:rPr>
      </w:pPr>
      <w:r w:rsidRPr="008F0034">
        <w:rPr>
          <w:i/>
          <w:iCs/>
          <w:rtl/>
        </w:rPr>
        <w:t>تاريخ</w:t>
      </w:r>
      <w:r>
        <w:rPr>
          <w:rFonts w:hint="cs"/>
          <w:i/>
          <w:iCs/>
          <w:rtl/>
        </w:rPr>
        <w:t xml:space="preserve"> تقديم</w:t>
      </w:r>
      <w:r w:rsidRPr="008F0034">
        <w:rPr>
          <w:i/>
          <w:iCs/>
          <w:rtl/>
        </w:rPr>
        <w:t xml:space="preserve"> البلاغ:</w:t>
      </w:r>
      <w:r>
        <w:rPr>
          <w:rtl/>
        </w:rPr>
        <w:tab/>
        <w:t>17 آذار/مارس 200</w:t>
      </w:r>
      <w:r>
        <w:rPr>
          <w:rFonts w:hint="cs"/>
          <w:rtl/>
        </w:rPr>
        <w:t>8</w:t>
      </w:r>
      <w:r>
        <w:rPr>
          <w:rtl/>
        </w:rPr>
        <w:t xml:space="preserve"> (تاريخ تقديم الرسالة الأولى)</w:t>
      </w:r>
    </w:p>
    <w:p w:rsidR="002E5141" w:rsidRDefault="002E5141" w:rsidP="002E5141">
      <w:pPr>
        <w:pStyle w:val="SingleTxtGA"/>
        <w:tabs>
          <w:tab w:val="clear" w:pos="1928"/>
          <w:tab w:val="clear" w:pos="2608"/>
          <w:tab w:val="clear" w:pos="3289"/>
          <w:tab w:val="clear" w:pos="3969"/>
          <w:tab w:val="clear" w:pos="4649"/>
          <w:tab w:val="left" w:pos="4318"/>
        </w:tabs>
        <w:ind w:left="4290" w:hanging="2362"/>
        <w:rPr>
          <w:rtl/>
        </w:rPr>
      </w:pPr>
      <w:r w:rsidRPr="008F0034">
        <w:rPr>
          <w:i/>
          <w:iCs/>
          <w:rtl/>
        </w:rPr>
        <w:t>الوثائق المرجعية:</w:t>
      </w:r>
      <w:r>
        <w:rPr>
          <w:rtl/>
        </w:rPr>
        <w:tab/>
        <w:t>قرار المقرر الخاص المتخذ بموجب المادة 97 الذي أحيل إلى الدولة الطرف في 2</w:t>
      </w:r>
      <w:r>
        <w:rPr>
          <w:rFonts w:hint="cs"/>
          <w:rtl/>
        </w:rPr>
        <w:t>9</w:t>
      </w:r>
      <w:r>
        <w:rPr>
          <w:rtl/>
        </w:rPr>
        <w:t xml:space="preserve"> </w:t>
      </w:r>
      <w:r>
        <w:rPr>
          <w:rFonts w:hint="cs"/>
          <w:rtl/>
        </w:rPr>
        <w:t>نيسان</w:t>
      </w:r>
      <w:r>
        <w:rPr>
          <w:rtl/>
        </w:rPr>
        <w:t>/</w:t>
      </w:r>
      <w:r>
        <w:rPr>
          <w:rFonts w:hint="cs"/>
          <w:rtl/>
        </w:rPr>
        <w:t>أبريل</w:t>
      </w:r>
      <w:r>
        <w:rPr>
          <w:rtl/>
        </w:rPr>
        <w:t xml:space="preserve"> 2008 (لم يصدر في شكل وثيقة)</w:t>
      </w:r>
    </w:p>
    <w:p w:rsidR="002E5141" w:rsidRDefault="002E5141" w:rsidP="002E5141">
      <w:pPr>
        <w:pStyle w:val="SingleTxtGA"/>
        <w:tabs>
          <w:tab w:val="clear" w:pos="2608"/>
          <w:tab w:val="clear" w:pos="3289"/>
          <w:tab w:val="clear" w:pos="3969"/>
          <w:tab w:val="clear" w:pos="4649"/>
          <w:tab w:val="left" w:pos="4318"/>
        </w:tabs>
        <w:ind w:left="1928"/>
        <w:rPr>
          <w:rtl/>
        </w:rPr>
      </w:pPr>
      <w:r w:rsidRPr="008F0034">
        <w:rPr>
          <w:i/>
          <w:iCs/>
          <w:rtl/>
        </w:rPr>
        <w:t>تاريخ اعتماد الآراء:</w:t>
      </w:r>
      <w:r>
        <w:rPr>
          <w:rtl/>
        </w:rPr>
        <w:tab/>
      </w:r>
      <w:r>
        <w:rPr>
          <w:rFonts w:hint="cs"/>
          <w:rtl/>
        </w:rPr>
        <w:t>23</w:t>
      </w:r>
      <w:r>
        <w:rPr>
          <w:rtl/>
        </w:rPr>
        <w:t xml:space="preserve"> </w:t>
      </w:r>
      <w:r>
        <w:rPr>
          <w:rFonts w:hint="cs"/>
          <w:spacing w:val="-6"/>
          <w:rtl/>
        </w:rPr>
        <w:t>تموز</w:t>
      </w:r>
      <w:r w:rsidRPr="008F0034">
        <w:rPr>
          <w:spacing w:val="-6"/>
          <w:rtl/>
        </w:rPr>
        <w:t>/</w:t>
      </w:r>
      <w:r>
        <w:rPr>
          <w:rFonts w:hint="cs"/>
          <w:spacing w:val="-6"/>
          <w:rtl/>
        </w:rPr>
        <w:t>يوليه</w:t>
      </w:r>
      <w:r w:rsidRPr="008F0034">
        <w:rPr>
          <w:spacing w:val="-6"/>
          <w:rtl/>
        </w:rPr>
        <w:t xml:space="preserve"> 2012</w:t>
      </w:r>
    </w:p>
    <w:p w:rsidR="002E5141" w:rsidRDefault="002E5141" w:rsidP="00923FB7">
      <w:pPr>
        <w:pStyle w:val="SingleTxtGA"/>
        <w:tabs>
          <w:tab w:val="clear" w:pos="2608"/>
          <w:tab w:val="clear" w:pos="3289"/>
          <w:tab w:val="clear" w:pos="3969"/>
          <w:tab w:val="clear" w:pos="4649"/>
          <w:tab w:val="left" w:pos="4318"/>
        </w:tabs>
        <w:ind w:left="4318" w:hanging="2390"/>
        <w:rPr>
          <w:rFonts w:hint="cs"/>
          <w:rtl/>
        </w:rPr>
      </w:pPr>
      <w:r w:rsidRPr="008F0034">
        <w:rPr>
          <w:i/>
          <w:iCs/>
          <w:rtl/>
        </w:rPr>
        <w:t>الموضوع:</w:t>
      </w:r>
      <w:r>
        <w:rPr>
          <w:rtl/>
        </w:rPr>
        <w:tab/>
      </w:r>
      <w:r w:rsidRPr="00923FB7">
        <w:rPr>
          <w:rFonts w:hint="cs"/>
          <w:spacing w:val="-4"/>
          <w:rtl/>
        </w:rPr>
        <w:t>معاقبة (تغريم) فر</w:t>
      </w:r>
      <w:r w:rsidR="00923FB7" w:rsidRPr="00923FB7">
        <w:rPr>
          <w:rFonts w:hint="cs"/>
          <w:spacing w:val="-4"/>
          <w:rtl/>
        </w:rPr>
        <w:t>د</w:t>
      </w:r>
      <w:r w:rsidRPr="00923FB7">
        <w:rPr>
          <w:rFonts w:hint="cs"/>
          <w:spacing w:val="-4"/>
          <w:rtl/>
        </w:rPr>
        <w:t xml:space="preserve"> بسبب توزيعه </w:t>
      </w:r>
      <w:r w:rsidRPr="00923FB7">
        <w:rPr>
          <w:rFonts w:hint="cs"/>
          <w:spacing w:val="-4"/>
          <w:rtl/>
          <w:lang w:bidi="ar-LB"/>
        </w:rPr>
        <w:t>مناشير</w:t>
      </w:r>
      <w:r w:rsidRPr="00923FB7">
        <w:rPr>
          <w:rFonts w:hint="cs"/>
          <w:spacing w:val="-4"/>
          <w:rtl/>
        </w:rPr>
        <w:t xml:space="preserve">، مما يشكل </w:t>
      </w:r>
      <w:r w:rsidRPr="00923FB7">
        <w:rPr>
          <w:spacing w:val="-4"/>
          <w:rtl/>
        </w:rPr>
        <w:t>انتهاك</w:t>
      </w:r>
      <w:r w:rsidRPr="00923FB7">
        <w:rPr>
          <w:rFonts w:hint="cs"/>
          <w:spacing w:val="-4"/>
          <w:rtl/>
        </w:rPr>
        <w:t>اً</w:t>
      </w:r>
      <w:r w:rsidRPr="00923FB7">
        <w:rPr>
          <w:spacing w:val="-4"/>
          <w:rtl/>
        </w:rPr>
        <w:t xml:space="preserve"> للحق في نشر المعلومات دون قيود</w:t>
      </w:r>
      <w:r w:rsidR="00923FB7" w:rsidRPr="00923FB7">
        <w:rPr>
          <w:rFonts w:hint="cs"/>
          <w:spacing w:val="-4"/>
          <w:rtl/>
        </w:rPr>
        <w:t xml:space="preserve"> غير معقولة</w:t>
      </w:r>
    </w:p>
    <w:p w:rsidR="002E5141" w:rsidRDefault="002E5141" w:rsidP="002E5141">
      <w:pPr>
        <w:pStyle w:val="SingleTxtGA"/>
        <w:tabs>
          <w:tab w:val="clear" w:pos="2608"/>
          <w:tab w:val="clear" w:pos="3289"/>
          <w:tab w:val="clear" w:pos="3969"/>
          <w:tab w:val="clear" w:pos="4649"/>
          <w:tab w:val="left" w:pos="4318"/>
        </w:tabs>
        <w:ind w:left="4318" w:hanging="2390"/>
        <w:rPr>
          <w:rtl/>
        </w:rPr>
      </w:pPr>
      <w:r w:rsidRPr="008F0034">
        <w:rPr>
          <w:i/>
          <w:iCs/>
          <w:rtl/>
        </w:rPr>
        <w:t>المسائل الموضوعية:</w:t>
      </w:r>
      <w:r>
        <w:rPr>
          <w:rtl/>
        </w:rPr>
        <w:tab/>
        <w:t>الحق في نشر المعلومات؛ والقيود الجائزة</w:t>
      </w:r>
    </w:p>
    <w:p w:rsidR="002E5141" w:rsidRDefault="002E5141" w:rsidP="002E5141">
      <w:pPr>
        <w:pStyle w:val="SingleTxtGA"/>
        <w:tabs>
          <w:tab w:val="clear" w:pos="2608"/>
          <w:tab w:val="clear" w:pos="3289"/>
          <w:tab w:val="clear" w:pos="3969"/>
          <w:tab w:val="clear" w:pos="4649"/>
          <w:tab w:val="left" w:pos="4318"/>
        </w:tabs>
        <w:ind w:left="1928"/>
        <w:rPr>
          <w:rtl/>
        </w:rPr>
      </w:pPr>
      <w:r w:rsidRPr="008F0034">
        <w:rPr>
          <w:i/>
          <w:iCs/>
          <w:rtl/>
        </w:rPr>
        <w:t>المسائل الإجرائية:</w:t>
      </w:r>
      <w:r>
        <w:rPr>
          <w:rtl/>
        </w:rPr>
        <w:tab/>
        <w:t>استنفاد سبل الانتصاف المحلية</w:t>
      </w:r>
    </w:p>
    <w:p w:rsidR="002E5141" w:rsidRDefault="002E5141" w:rsidP="002E5141">
      <w:pPr>
        <w:pStyle w:val="SingleTxtGA"/>
        <w:tabs>
          <w:tab w:val="clear" w:pos="3289"/>
          <w:tab w:val="clear" w:pos="3969"/>
          <w:tab w:val="clear" w:pos="4649"/>
          <w:tab w:val="left" w:pos="4318"/>
        </w:tabs>
        <w:ind w:left="1928"/>
        <w:rPr>
          <w:rtl/>
        </w:rPr>
      </w:pPr>
      <w:r w:rsidRPr="008F0034">
        <w:rPr>
          <w:i/>
          <w:iCs/>
          <w:rtl/>
        </w:rPr>
        <w:t>مواد العهد:</w:t>
      </w:r>
      <w:r>
        <w:rPr>
          <w:rtl/>
        </w:rPr>
        <w:t xml:space="preserve"> </w:t>
      </w:r>
      <w:r>
        <w:rPr>
          <w:rtl/>
        </w:rPr>
        <w:tab/>
      </w:r>
      <w:r>
        <w:rPr>
          <w:rFonts w:hint="cs"/>
          <w:rtl/>
        </w:rPr>
        <w:t>ا</w:t>
      </w:r>
      <w:r>
        <w:rPr>
          <w:rtl/>
        </w:rPr>
        <w:t>لفقر</w:t>
      </w:r>
      <w:r>
        <w:rPr>
          <w:rFonts w:hint="cs"/>
          <w:rtl/>
        </w:rPr>
        <w:t>تان</w:t>
      </w:r>
      <w:r>
        <w:rPr>
          <w:rtl/>
        </w:rPr>
        <w:t xml:space="preserve"> 2 </w:t>
      </w:r>
      <w:r>
        <w:rPr>
          <w:rFonts w:hint="cs"/>
          <w:rtl/>
        </w:rPr>
        <w:t xml:space="preserve">و 3 </w:t>
      </w:r>
      <w:r>
        <w:rPr>
          <w:rtl/>
        </w:rPr>
        <w:t>من المادة 19</w:t>
      </w:r>
    </w:p>
    <w:p w:rsidR="002E5141" w:rsidRDefault="002E5141" w:rsidP="002E5141">
      <w:pPr>
        <w:pStyle w:val="SingleTxtGA"/>
        <w:tabs>
          <w:tab w:val="clear" w:pos="4649"/>
          <w:tab w:val="left" w:pos="4318"/>
        </w:tabs>
        <w:ind w:left="1928"/>
        <w:rPr>
          <w:rtl/>
        </w:rPr>
      </w:pPr>
      <w:r w:rsidRPr="008F0034">
        <w:rPr>
          <w:i/>
          <w:iCs/>
          <w:rtl/>
        </w:rPr>
        <w:t>مواد البروتوكول الاختياري:</w:t>
      </w:r>
      <w:r>
        <w:rPr>
          <w:rtl/>
        </w:rPr>
        <w:tab/>
        <w:t>الفقرة 2(ب) من المادة 5</w:t>
      </w:r>
    </w:p>
    <w:p w:rsidR="002E5141" w:rsidRDefault="002E5141" w:rsidP="002E5141">
      <w:pPr>
        <w:pStyle w:val="HChGA"/>
        <w:pageBreakBefore/>
        <w:spacing w:before="120"/>
        <w:rPr>
          <w:rtl/>
        </w:rPr>
      </w:pPr>
      <w:r>
        <w:rPr>
          <w:rtl/>
        </w:rPr>
        <w:t>مرفق</w:t>
      </w:r>
    </w:p>
    <w:p w:rsidR="002E5141" w:rsidRDefault="002E5141" w:rsidP="002E5141">
      <w:pPr>
        <w:pStyle w:val="HChGA"/>
        <w:rPr>
          <w:rtl/>
        </w:rPr>
      </w:pPr>
      <w:r>
        <w:rPr>
          <w:rtl/>
        </w:rPr>
        <w:tab/>
      </w:r>
      <w:r>
        <w:rPr>
          <w:rtl/>
        </w:rPr>
        <w:tab/>
        <w:t xml:space="preserve">آراء اللجنة المعنية بحقوق الإنسان بموجب الفقرة 4 من المادة 5 من البروتوكول الاختياري الملحق بالعهد الدولي الخاص بالحقوق المدنية والسياسية </w:t>
      </w:r>
      <w:r w:rsidRPr="008F0034">
        <w:rPr>
          <w:b w:val="0"/>
          <w:bCs w:val="0"/>
          <w:rtl/>
        </w:rPr>
        <w:t xml:space="preserve">(الدورة </w:t>
      </w:r>
      <w:r>
        <w:rPr>
          <w:rFonts w:hint="cs"/>
          <w:b w:val="0"/>
          <w:bCs w:val="0"/>
          <w:rtl/>
        </w:rPr>
        <w:t>الخامسة</w:t>
      </w:r>
      <w:r w:rsidRPr="008F0034">
        <w:rPr>
          <w:b w:val="0"/>
          <w:bCs w:val="0"/>
          <w:rtl/>
        </w:rPr>
        <w:t xml:space="preserve"> بعد المائة)</w:t>
      </w:r>
    </w:p>
    <w:p w:rsidR="002E5141" w:rsidRDefault="002E5141" w:rsidP="002E5141">
      <w:pPr>
        <w:pStyle w:val="SingleTxtGA"/>
        <w:rPr>
          <w:rtl/>
        </w:rPr>
      </w:pPr>
      <w:r>
        <w:rPr>
          <w:rtl/>
        </w:rPr>
        <w:t>بشأن</w:t>
      </w:r>
    </w:p>
    <w:p w:rsidR="002E5141" w:rsidRDefault="002E5141" w:rsidP="002E5141">
      <w:pPr>
        <w:pStyle w:val="H1GA"/>
        <w:rPr>
          <w:rFonts w:hint="cs"/>
          <w:rtl/>
        </w:rPr>
      </w:pPr>
      <w:r>
        <w:rPr>
          <w:rtl/>
        </w:rPr>
        <w:tab/>
      </w:r>
      <w:r>
        <w:rPr>
          <w:rtl/>
        </w:rPr>
        <w:tab/>
        <w:t>البلاغ رقم 17</w:t>
      </w:r>
      <w:r>
        <w:rPr>
          <w:rFonts w:hint="cs"/>
          <w:rtl/>
        </w:rPr>
        <w:t>84</w:t>
      </w:r>
      <w:r>
        <w:rPr>
          <w:rtl/>
        </w:rPr>
        <w:t>/2008</w:t>
      </w:r>
      <w:r w:rsidRPr="008F0034">
        <w:rPr>
          <w:rStyle w:val="FootnoteReference"/>
          <w:sz w:val="20"/>
          <w:rtl/>
        </w:rPr>
        <w:footnoteReference w:customMarkFollows="1" w:id="1"/>
        <w:t>*</w:t>
      </w:r>
    </w:p>
    <w:p w:rsidR="002E5141" w:rsidRPr="008F0034" w:rsidRDefault="002E5141" w:rsidP="002E5141">
      <w:pPr>
        <w:pStyle w:val="SingleTxtGA"/>
        <w:tabs>
          <w:tab w:val="clear" w:pos="1928"/>
          <w:tab w:val="clear" w:pos="2608"/>
          <w:tab w:val="clear" w:pos="3289"/>
          <w:tab w:val="clear" w:pos="3969"/>
          <w:tab w:val="clear" w:pos="4649"/>
          <w:tab w:val="left" w:pos="4418"/>
        </w:tabs>
        <w:ind w:left="4598" w:hanging="2670"/>
        <w:rPr>
          <w:rtl/>
        </w:rPr>
      </w:pPr>
      <w:r w:rsidRPr="008F0034">
        <w:rPr>
          <w:i/>
          <w:iCs/>
          <w:rtl/>
        </w:rPr>
        <w:t>المقدم من:</w:t>
      </w:r>
      <w:r w:rsidRPr="008F0034">
        <w:rPr>
          <w:i/>
          <w:iCs/>
          <w:rtl/>
        </w:rPr>
        <w:tab/>
      </w:r>
      <w:r>
        <w:rPr>
          <w:rFonts w:hint="cs"/>
          <w:rtl/>
        </w:rPr>
        <w:t xml:space="preserve">فلاديمير </w:t>
      </w:r>
      <w:proofErr w:type="spellStart"/>
      <w:r>
        <w:rPr>
          <w:rFonts w:hint="cs"/>
          <w:rtl/>
        </w:rPr>
        <w:t>شوميلين</w:t>
      </w:r>
      <w:proofErr w:type="spellEnd"/>
      <w:r>
        <w:rPr>
          <w:rtl/>
        </w:rPr>
        <w:t xml:space="preserve"> </w:t>
      </w:r>
      <w:r w:rsidRPr="008F0034">
        <w:rPr>
          <w:rtl/>
        </w:rPr>
        <w:t>(لا يمثله محام)</w:t>
      </w:r>
    </w:p>
    <w:p w:rsidR="002E5141" w:rsidRPr="008F0034" w:rsidRDefault="002E5141" w:rsidP="002E5141">
      <w:pPr>
        <w:pStyle w:val="SingleTxtGA"/>
        <w:tabs>
          <w:tab w:val="clear" w:pos="1928"/>
          <w:tab w:val="clear" w:pos="2608"/>
          <w:tab w:val="clear" w:pos="3289"/>
          <w:tab w:val="clear" w:pos="3969"/>
          <w:tab w:val="clear" w:pos="4649"/>
          <w:tab w:val="left" w:pos="4418"/>
        </w:tabs>
        <w:ind w:left="4598" w:hanging="2670"/>
        <w:rPr>
          <w:rtl/>
        </w:rPr>
      </w:pPr>
      <w:r w:rsidRPr="008F0034">
        <w:rPr>
          <w:i/>
          <w:iCs/>
          <w:rtl/>
        </w:rPr>
        <w:t>الشخص المدعي أنه ضحية:</w:t>
      </w:r>
      <w:r w:rsidRPr="008F0034">
        <w:rPr>
          <w:i/>
          <w:iCs/>
          <w:rtl/>
        </w:rPr>
        <w:tab/>
      </w:r>
      <w:r w:rsidRPr="008F0034">
        <w:rPr>
          <w:rtl/>
        </w:rPr>
        <w:t>صاحب البلاغ</w:t>
      </w:r>
    </w:p>
    <w:p w:rsidR="002E5141" w:rsidRPr="008F0034" w:rsidRDefault="002E5141" w:rsidP="002E5141">
      <w:pPr>
        <w:pStyle w:val="SingleTxtGA"/>
        <w:tabs>
          <w:tab w:val="clear" w:pos="1928"/>
          <w:tab w:val="clear" w:pos="2608"/>
          <w:tab w:val="clear" w:pos="3289"/>
          <w:tab w:val="clear" w:pos="3969"/>
          <w:tab w:val="clear" w:pos="4649"/>
          <w:tab w:val="left" w:pos="4418"/>
        </w:tabs>
        <w:ind w:left="4598" w:hanging="2670"/>
        <w:rPr>
          <w:rtl/>
        </w:rPr>
      </w:pPr>
      <w:r w:rsidRPr="008F0034">
        <w:rPr>
          <w:i/>
          <w:iCs/>
          <w:rtl/>
        </w:rPr>
        <w:t>الدولة الطرف:</w:t>
      </w:r>
      <w:r w:rsidRPr="008F0034">
        <w:rPr>
          <w:i/>
          <w:iCs/>
          <w:rtl/>
        </w:rPr>
        <w:tab/>
      </w:r>
      <w:proofErr w:type="spellStart"/>
      <w:r w:rsidRPr="008F0034">
        <w:rPr>
          <w:rtl/>
        </w:rPr>
        <w:t>بيلاروس</w:t>
      </w:r>
      <w:proofErr w:type="spellEnd"/>
    </w:p>
    <w:p w:rsidR="002E5141" w:rsidRPr="008F0034" w:rsidRDefault="002E5141" w:rsidP="002E5141">
      <w:pPr>
        <w:pStyle w:val="SingleTxtGA"/>
        <w:tabs>
          <w:tab w:val="clear" w:pos="1928"/>
          <w:tab w:val="clear" w:pos="2608"/>
          <w:tab w:val="clear" w:pos="3289"/>
          <w:tab w:val="clear" w:pos="3969"/>
          <w:tab w:val="clear" w:pos="4649"/>
          <w:tab w:val="left" w:pos="4418"/>
        </w:tabs>
        <w:ind w:left="4418" w:hanging="2490"/>
        <w:rPr>
          <w:rtl/>
        </w:rPr>
      </w:pPr>
      <w:r w:rsidRPr="008F0034">
        <w:rPr>
          <w:i/>
          <w:iCs/>
          <w:rtl/>
        </w:rPr>
        <w:t>تاريخ</w:t>
      </w:r>
      <w:r w:rsidR="00923FB7">
        <w:rPr>
          <w:rFonts w:hint="cs"/>
          <w:i/>
          <w:iCs/>
          <w:rtl/>
        </w:rPr>
        <w:t xml:space="preserve"> تقديم</w:t>
      </w:r>
      <w:r w:rsidRPr="008F0034">
        <w:rPr>
          <w:i/>
          <w:iCs/>
          <w:rtl/>
        </w:rPr>
        <w:t xml:space="preserve"> البلاغ:</w:t>
      </w:r>
      <w:r w:rsidRPr="008F0034">
        <w:rPr>
          <w:i/>
          <w:iCs/>
          <w:rtl/>
        </w:rPr>
        <w:tab/>
      </w:r>
      <w:r>
        <w:rPr>
          <w:rtl/>
        </w:rPr>
        <w:t>17 آذار/مارس 200</w:t>
      </w:r>
      <w:r>
        <w:rPr>
          <w:rFonts w:hint="cs"/>
          <w:rtl/>
        </w:rPr>
        <w:t>5</w:t>
      </w:r>
      <w:r>
        <w:rPr>
          <w:rtl/>
        </w:rPr>
        <w:t xml:space="preserve"> (تاريخ تقديم الرسالة الأولى)</w:t>
      </w:r>
    </w:p>
    <w:p w:rsidR="002E5141" w:rsidRDefault="002E5141" w:rsidP="002E5141">
      <w:pPr>
        <w:pStyle w:val="SingleTxtGA"/>
        <w:rPr>
          <w:rtl/>
        </w:rPr>
      </w:pPr>
      <w:r>
        <w:rPr>
          <w:rtl/>
        </w:rPr>
        <w:tab/>
      </w:r>
      <w:r w:rsidRPr="008F0034">
        <w:rPr>
          <w:i/>
          <w:iCs/>
          <w:rtl/>
        </w:rPr>
        <w:t>إن اللجنة المعنية بحقوق الإنسان،</w:t>
      </w:r>
      <w:r>
        <w:rPr>
          <w:rtl/>
        </w:rPr>
        <w:t xml:space="preserve"> المُنشأة بموجب المادة 28 من العهد الدولي الخاص بالحقوق المدنية والسياسية،</w:t>
      </w:r>
    </w:p>
    <w:p w:rsidR="002E5141" w:rsidRDefault="002E5141" w:rsidP="002E5141">
      <w:pPr>
        <w:pStyle w:val="SingleTxtGA"/>
        <w:rPr>
          <w:rtl/>
        </w:rPr>
      </w:pPr>
      <w:r>
        <w:rPr>
          <w:rtl/>
        </w:rPr>
        <w:tab/>
      </w:r>
      <w:r w:rsidRPr="008F0034">
        <w:rPr>
          <w:i/>
          <w:iCs/>
          <w:rtl/>
        </w:rPr>
        <w:t>وقد اجتمعت</w:t>
      </w:r>
      <w:r>
        <w:rPr>
          <w:rtl/>
        </w:rPr>
        <w:t xml:space="preserve"> في </w:t>
      </w:r>
      <w:r w:rsidRPr="00DD4318">
        <w:rPr>
          <w:rtl/>
        </w:rPr>
        <w:t>23 تموز/يوليه 2012</w:t>
      </w:r>
      <w:r>
        <w:rPr>
          <w:rtl/>
        </w:rPr>
        <w:t>،</w:t>
      </w:r>
    </w:p>
    <w:p w:rsidR="002E5141" w:rsidRDefault="002E5141" w:rsidP="002E5141">
      <w:pPr>
        <w:pStyle w:val="SingleTxtGA"/>
        <w:rPr>
          <w:rtl/>
        </w:rPr>
      </w:pPr>
      <w:r>
        <w:rPr>
          <w:rtl/>
        </w:rPr>
        <w:tab/>
      </w:r>
      <w:r w:rsidRPr="008F0034">
        <w:rPr>
          <w:i/>
          <w:iCs/>
          <w:rtl/>
        </w:rPr>
        <w:t>وقد فرغت من النظر</w:t>
      </w:r>
      <w:r>
        <w:rPr>
          <w:rtl/>
        </w:rPr>
        <w:t xml:space="preserve"> في البلاغ رقم 17</w:t>
      </w:r>
      <w:r>
        <w:rPr>
          <w:rFonts w:hint="cs"/>
          <w:rtl/>
        </w:rPr>
        <w:t>84</w:t>
      </w:r>
      <w:r>
        <w:rPr>
          <w:rtl/>
        </w:rPr>
        <w:t xml:space="preserve">/2008، المقدم إليها من </w:t>
      </w:r>
      <w:r>
        <w:rPr>
          <w:rFonts w:hint="cs"/>
          <w:rtl/>
        </w:rPr>
        <w:t xml:space="preserve">فلاديمير </w:t>
      </w:r>
      <w:proofErr w:type="spellStart"/>
      <w:r>
        <w:rPr>
          <w:rFonts w:hint="cs"/>
          <w:rtl/>
        </w:rPr>
        <w:t>شوميلين</w:t>
      </w:r>
      <w:proofErr w:type="spellEnd"/>
      <w:r>
        <w:rPr>
          <w:rtl/>
        </w:rPr>
        <w:t xml:space="preserve"> بموجب البروتوكول الاختياري الملحق بالعهد الدولي الخاص بالحقوق المدنية والسياسية،</w:t>
      </w:r>
    </w:p>
    <w:p w:rsidR="002E5141" w:rsidRDefault="002E5141" w:rsidP="002E5141">
      <w:pPr>
        <w:pStyle w:val="SingleTxtGA"/>
        <w:rPr>
          <w:rtl/>
        </w:rPr>
      </w:pPr>
      <w:r>
        <w:rPr>
          <w:rtl/>
        </w:rPr>
        <w:tab/>
      </w:r>
      <w:r w:rsidRPr="008F0034">
        <w:rPr>
          <w:i/>
          <w:iCs/>
          <w:rtl/>
        </w:rPr>
        <w:t>وقد وضعت في اعتبارها</w:t>
      </w:r>
      <w:r>
        <w:rPr>
          <w:rtl/>
        </w:rPr>
        <w:t xml:space="preserve"> كل المعلومات الكتابية التي أتاحها لها صاحب البلاغ والدولة الطرف،</w:t>
      </w:r>
    </w:p>
    <w:p w:rsidR="002E5141" w:rsidRDefault="002E5141" w:rsidP="002E5141">
      <w:pPr>
        <w:pStyle w:val="SingleTxtGA"/>
        <w:rPr>
          <w:rtl/>
        </w:rPr>
      </w:pPr>
      <w:r>
        <w:rPr>
          <w:rtl/>
        </w:rPr>
        <w:tab/>
      </w:r>
      <w:r w:rsidRPr="008F0034">
        <w:rPr>
          <w:i/>
          <w:iCs/>
          <w:rtl/>
        </w:rPr>
        <w:t>تعتمد</w:t>
      </w:r>
      <w:r>
        <w:rPr>
          <w:rtl/>
        </w:rPr>
        <w:t xml:space="preserve"> ما يلي:</w:t>
      </w:r>
    </w:p>
    <w:p w:rsidR="002E5141" w:rsidRDefault="002E5141" w:rsidP="002E5141">
      <w:pPr>
        <w:pStyle w:val="H1GA"/>
        <w:spacing w:before="120"/>
        <w:rPr>
          <w:rtl/>
        </w:rPr>
      </w:pPr>
      <w:r>
        <w:rPr>
          <w:rtl/>
        </w:rPr>
        <w:tab/>
      </w:r>
      <w:r>
        <w:rPr>
          <w:rtl/>
        </w:rPr>
        <w:tab/>
        <w:t>آراء بموجب الفقرة 4 من المادة 5 من البروتوكول الاختياري</w:t>
      </w:r>
    </w:p>
    <w:p w:rsidR="002E5141" w:rsidRDefault="002E5141" w:rsidP="00923FB7">
      <w:pPr>
        <w:pStyle w:val="SingleTxtGA"/>
        <w:rPr>
          <w:rtl/>
        </w:rPr>
      </w:pPr>
      <w:r>
        <w:rPr>
          <w:rtl/>
        </w:rPr>
        <w:t>1-</w:t>
      </w:r>
      <w:r>
        <w:rPr>
          <w:rtl/>
        </w:rPr>
        <w:tab/>
        <w:t xml:space="preserve">صاحب البلاغ هو السيد </w:t>
      </w:r>
      <w:r>
        <w:rPr>
          <w:rFonts w:hint="cs"/>
          <w:rtl/>
        </w:rPr>
        <w:t xml:space="preserve">فلاديمير </w:t>
      </w:r>
      <w:proofErr w:type="spellStart"/>
      <w:r>
        <w:rPr>
          <w:rFonts w:hint="cs"/>
          <w:rtl/>
        </w:rPr>
        <w:t>شوميلين</w:t>
      </w:r>
      <w:proofErr w:type="spellEnd"/>
      <w:r>
        <w:rPr>
          <w:rtl/>
        </w:rPr>
        <w:t xml:space="preserve">، وهو مواطن </w:t>
      </w:r>
      <w:proofErr w:type="spellStart"/>
      <w:r>
        <w:rPr>
          <w:rtl/>
        </w:rPr>
        <w:t>بيلاروسي</w:t>
      </w:r>
      <w:proofErr w:type="spellEnd"/>
      <w:r>
        <w:rPr>
          <w:rtl/>
        </w:rPr>
        <w:t xml:space="preserve"> مولود عام</w:t>
      </w:r>
      <w:r>
        <w:rPr>
          <w:rFonts w:hint="cs"/>
          <w:rtl/>
        </w:rPr>
        <w:t> </w:t>
      </w:r>
      <w:r>
        <w:rPr>
          <w:rtl/>
        </w:rPr>
        <w:t>19</w:t>
      </w:r>
      <w:r>
        <w:rPr>
          <w:rFonts w:hint="cs"/>
          <w:rtl/>
        </w:rPr>
        <w:t>73</w:t>
      </w:r>
      <w:r>
        <w:rPr>
          <w:rtl/>
        </w:rPr>
        <w:t>. و</w:t>
      </w:r>
      <w:r>
        <w:rPr>
          <w:rFonts w:hint="cs"/>
          <w:rtl/>
        </w:rPr>
        <w:t xml:space="preserve">هو </w:t>
      </w:r>
      <w:r>
        <w:rPr>
          <w:rtl/>
        </w:rPr>
        <w:t xml:space="preserve">يدعي أنه ضحية انتهاك </w:t>
      </w:r>
      <w:proofErr w:type="spellStart"/>
      <w:r>
        <w:rPr>
          <w:rtl/>
        </w:rPr>
        <w:t>بيلاروس</w:t>
      </w:r>
      <w:proofErr w:type="spellEnd"/>
      <w:r>
        <w:rPr>
          <w:rtl/>
        </w:rPr>
        <w:t xml:space="preserve"> أحكام الفقرة 2 من المادة 19 من العهد الدولي الخاص بالحقوق المدنية والسياسية. و</w:t>
      </w:r>
      <w:r>
        <w:rPr>
          <w:rFonts w:hint="cs"/>
          <w:rtl/>
        </w:rPr>
        <w:t xml:space="preserve">قد </w:t>
      </w:r>
      <w:r>
        <w:rPr>
          <w:rtl/>
        </w:rPr>
        <w:t>دخل البروتوكول الاختياري حيز النفاذ في الدولة الطرف في 30 كانون الأول/ديسمبر 1992.</w:t>
      </w:r>
      <w:r>
        <w:rPr>
          <w:rFonts w:hint="cs"/>
          <w:rtl/>
        </w:rPr>
        <w:t xml:space="preserve"> ولا يمثل صاحب البلاغ أي محامٍ. </w:t>
      </w:r>
    </w:p>
    <w:p w:rsidR="002E5141" w:rsidRDefault="002E5141" w:rsidP="002E5141">
      <w:pPr>
        <w:pStyle w:val="H23GA"/>
        <w:rPr>
          <w:rtl/>
        </w:rPr>
      </w:pPr>
      <w:r>
        <w:rPr>
          <w:rtl/>
        </w:rPr>
        <w:tab/>
      </w:r>
      <w:r>
        <w:rPr>
          <w:rtl/>
        </w:rPr>
        <w:tab/>
        <w:t>الوقائع</w:t>
      </w:r>
      <w:r>
        <w:rPr>
          <w:rFonts w:hint="cs"/>
          <w:rtl/>
        </w:rPr>
        <w:t xml:space="preserve"> كما عرضها صاحب البلاغ</w:t>
      </w:r>
    </w:p>
    <w:p w:rsidR="002E5141" w:rsidRDefault="002E5141" w:rsidP="00923FB7">
      <w:pPr>
        <w:pStyle w:val="SingleTxtGA"/>
        <w:rPr>
          <w:rtl/>
        </w:rPr>
      </w:pPr>
      <w:r>
        <w:rPr>
          <w:rtl/>
        </w:rPr>
        <w:t>2-1</w:t>
      </w:r>
      <w:r>
        <w:rPr>
          <w:rFonts w:hint="cs"/>
          <w:rtl/>
        </w:rPr>
        <w:tab/>
        <w:t xml:space="preserve">وزّع </w:t>
      </w:r>
      <w:r>
        <w:rPr>
          <w:rtl/>
        </w:rPr>
        <w:t xml:space="preserve">صاحب البلاغ </w:t>
      </w:r>
      <w:r>
        <w:rPr>
          <w:rFonts w:hint="cs"/>
          <w:rtl/>
        </w:rPr>
        <w:t>في 12 شباط/فبراير 2008 مناشير</w:t>
      </w:r>
      <w:r>
        <w:rPr>
          <w:vertAlign w:val="superscript"/>
          <w:rtl/>
        </w:rPr>
        <w:t>(</w:t>
      </w:r>
      <w:r>
        <w:rPr>
          <w:rStyle w:val="FootnoteReference"/>
          <w:rtl/>
        </w:rPr>
        <w:footnoteReference w:id="2"/>
      </w:r>
      <w:r>
        <w:rPr>
          <w:vertAlign w:val="superscript"/>
          <w:rtl/>
        </w:rPr>
        <w:t>)</w:t>
      </w:r>
      <w:r>
        <w:rPr>
          <w:rtl/>
        </w:rPr>
        <w:t xml:space="preserve"> </w:t>
      </w:r>
      <w:r>
        <w:rPr>
          <w:rFonts w:hint="cs"/>
          <w:rtl/>
        </w:rPr>
        <w:t xml:space="preserve">تتضمن معلومات بشأن عقد اجتماع في مدينة </w:t>
      </w:r>
      <w:proofErr w:type="spellStart"/>
      <w:r>
        <w:rPr>
          <w:rFonts w:hint="cs"/>
          <w:rtl/>
        </w:rPr>
        <w:t>غوميل</w:t>
      </w:r>
      <w:proofErr w:type="spellEnd"/>
      <w:r>
        <w:rPr>
          <w:rFonts w:hint="cs"/>
          <w:rtl/>
        </w:rPr>
        <w:t xml:space="preserve"> مع السيد </w:t>
      </w:r>
      <w:proofErr w:type="spellStart"/>
      <w:r>
        <w:rPr>
          <w:rFonts w:hint="cs"/>
          <w:rtl/>
        </w:rPr>
        <w:t>ميليكيفيتش</w:t>
      </w:r>
      <w:proofErr w:type="spellEnd"/>
      <w:r>
        <w:rPr>
          <w:rFonts w:hint="cs"/>
          <w:rtl/>
        </w:rPr>
        <w:t xml:space="preserve">، وهو مرشح سابق لمنصب رئيس الجمهورية. وفي اليوم نفسه، أوقفته الشرطة وسجلت محضراً بارتكابه مخالفة إدارية بموجب </w:t>
      </w:r>
      <w:r>
        <w:rPr>
          <w:rtl/>
          <w:lang w:val="fr-CH"/>
        </w:rPr>
        <w:t>المادة 23-</w:t>
      </w:r>
      <w:r>
        <w:rPr>
          <w:rFonts w:hint="cs"/>
          <w:rtl/>
          <w:lang w:val="fr-CH"/>
        </w:rPr>
        <w:t>2</w:t>
      </w:r>
      <w:r>
        <w:rPr>
          <w:rtl/>
          <w:lang w:val="fr-CH"/>
        </w:rPr>
        <w:t xml:space="preserve">4 </w:t>
      </w:r>
      <w:r>
        <w:rPr>
          <w:rFonts w:hint="cs"/>
          <w:rtl/>
          <w:lang w:val="fr-CH"/>
        </w:rPr>
        <w:t xml:space="preserve">(الجزء 1) </w:t>
      </w:r>
      <w:r>
        <w:rPr>
          <w:rtl/>
          <w:lang w:val="fr-CH"/>
        </w:rPr>
        <w:t>من قانون المخالفات الإدارية</w:t>
      </w:r>
      <w:r>
        <w:rPr>
          <w:rFonts w:hint="cs"/>
          <w:rtl/>
          <w:lang w:val="fr-CH"/>
        </w:rPr>
        <w:t xml:space="preserve">. </w:t>
      </w:r>
      <w:proofErr w:type="spellStart"/>
      <w:r>
        <w:rPr>
          <w:rtl/>
          <w:lang w:val="fr-CH"/>
        </w:rPr>
        <w:t>و</w:t>
      </w:r>
      <w:r>
        <w:rPr>
          <w:rFonts w:hint="cs"/>
          <w:rtl/>
          <w:lang w:val="fr-CH"/>
        </w:rPr>
        <w:t>ت</w:t>
      </w:r>
      <w:r>
        <w:rPr>
          <w:rtl/>
          <w:lang w:val="fr-CH"/>
        </w:rPr>
        <w:t>نصّ</w:t>
      </w:r>
      <w:proofErr w:type="spellEnd"/>
      <w:r>
        <w:rPr>
          <w:rtl/>
          <w:lang w:val="fr-CH"/>
        </w:rPr>
        <w:t xml:space="preserve"> هذ</w:t>
      </w:r>
      <w:r>
        <w:rPr>
          <w:rFonts w:hint="cs"/>
          <w:rtl/>
          <w:lang w:val="fr-CH"/>
        </w:rPr>
        <w:t>ه</w:t>
      </w:r>
      <w:r>
        <w:rPr>
          <w:rtl/>
          <w:lang w:val="fr-CH"/>
        </w:rPr>
        <w:t xml:space="preserve"> </w:t>
      </w:r>
      <w:r>
        <w:rPr>
          <w:rFonts w:hint="cs"/>
          <w:rtl/>
          <w:lang w:val="fr-CH"/>
        </w:rPr>
        <w:t>المادة</w:t>
      </w:r>
      <w:r>
        <w:rPr>
          <w:rtl/>
          <w:lang w:val="fr-CH"/>
        </w:rPr>
        <w:t xml:space="preserve"> على المسؤولية الإدارية عن انتهاك </w:t>
      </w:r>
      <w:r>
        <w:rPr>
          <w:rFonts w:hint="cs"/>
          <w:rtl/>
          <w:lang w:val="fr-CH"/>
        </w:rPr>
        <w:t>لوائح</w:t>
      </w:r>
      <w:r>
        <w:rPr>
          <w:rtl/>
          <w:lang w:val="fr-CH"/>
        </w:rPr>
        <w:t xml:space="preserve"> تنظيم أو عقد اجتماعات </w:t>
      </w:r>
      <w:r>
        <w:rPr>
          <w:rFonts w:hint="cs"/>
          <w:rtl/>
          <w:lang w:val="fr-CH"/>
        </w:rPr>
        <w:t xml:space="preserve">ومسيرات </w:t>
      </w:r>
      <w:r>
        <w:rPr>
          <w:rtl/>
          <w:lang w:val="fr-CH"/>
        </w:rPr>
        <w:t>ومظاهرات وغيرها من التظاهرات الجماهيرية</w:t>
      </w:r>
      <w:r w:rsidR="00923FB7">
        <w:rPr>
          <w:rFonts w:hint="cs"/>
          <w:rtl/>
          <w:lang w:val="fr-CH"/>
        </w:rPr>
        <w:t xml:space="preserve"> أو الإض</w:t>
      </w:r>
      <w:r>
        <w:rPr>
          <w:rFonts w:hint="cs"/>
          <w:rtl/>
          <w:lang w:val="fr-CH"/>
        </w:rPr>
        <w:t>رابات</w:t>
      </w:r>
      <w:r>
        <w:rPr>
          <w:rtl/>
          <w:lang w:val="fr-CH"/>
        </w:rPr>
        <w:t xml:space="preserve">. </w:t>
      </w:r>
      <w:r>
        <w:rPr>
          <w:rFonts w:hint="cs"/>
          <w:rtl/>
          <w:lang w:val="fr-CH"/>
        </w:rPr>
        <w:t xml:space="preserve">واللوائح المذكورة يحددها قانون خاص بالتظاهرات الجماهيرية تنص المادة </w:t>
      </w:r>
      <w:r>
        <w:rPr>
          <w:rtl/>
          <w:lang w:val="fr-CH"/>
        </w:rPr>
        <w:t>8 من</w:t>
      </w:r>
      <w:r>
        <w:rPr>
          <w:rFonts w:hint="cs"/>
          <w:rtl/>
          <w:lang w:val="fr-CH"/>
        </w:rPr>
        <w:t>ه</w:t>
      </w:r>
      <w:r>
        <w:rPr>
          <w:rtl/>
          <w:lang w:val="fr-CH"/>
        </w:rPr>
        <w:t xml:space="preserve"> </w:t>
      </w:r>
      <w:r>
        <w:rPr>
          <w:rFonts w:hint="cs"/>
          <w:rtl/>
          <w:lang w:val="fr-CH"/>
        </w:rPr>
        <w:t xml:space="preserve">على أنه </w:t>
      </w:r>
      <w:r>
        <w:rPr>
          <w:rtl/>
          <w:lang w:val="fr-CH"/>
        </w:rPr>
        <w:t>لا ي</w:t>
      </w:r>
      <w:r>
        <w:rPr>
          <w:rFonts w:hint="cs"/>
          <w:rtl/>
          <w:lang w:val="fr-CH"/>
        </w:rPr>
        <w:t>جوز</w:t>
      </w:r>
      <w:r>
        <w:rPr>
          <w:rtl/>
          <w:lang w:val="fr-CH"/>
        </w:rPr>
        <w:t xml:space="preserve"> إعداد وتوزيع </w:t>
      </w:r>
      <w:r w:rsidRPr="001201EE">
        <w:rPr>
          <w:rtl/>
          <w:lang w:val="fr-CH"/>
        </w:rPr>
        <w:t>مناشير</w:t>
      </w:r>
      <w:r>
        <w:rPr>
          <w:rtl/>
          <w:lang w:val="fr-CH"/>
        </w:rPr>
        <w:t xml:space="preserve"> وملصقات وغيرها من المواد لهذا الغرض </w:t>
      </w:r>
      <w:r>
        <w:rPr>
          <w:rFonts w:hint="cs"/>
          <w:rtl/>
          <w:lang w:val="fr-CH"/>
        </w:rPr>
        <w:t>إذا كان</w:t>
      </w:r>
      <w:r>
        <w:rPr>
          <w:rtl/>
          <w:lang w:val="fr-CH"/>
        </w:rPr>
        <w:t xml:space="preserve"> </w:t>
      </w:r>
      <w:r>
        <w:rPr>
          <w:rFonts w:hint="cs"/>
          <w:rtl/>
          <w:lang w:val="fr-CH"/>
        </w:rPr>
        <w:t>التصريح</w:t>
      </w:r>
      <w:r>
        <w:rPr>
          <w:rtl/>
          <w:lang w:val="fr-CH"/>
        </w:rPr>
        <w:t xml:space="preserve"> بتنظيم هذه التظاهرة</w:t>
      </w:r>
      <w:r>
        <w:rPr>
          <w:rFonts w:hint="cs"/>
          <w:rtl/>
          <w:lang w:val="fr-CH"/>
        </w:rPr>
        <w:t xml:space="preserve"> لا يزال قيد النظر.</w:t>
      </w:r>
    </w:p>
    <w:p w:rsidR="002E5141" w:rsidRDefault="002E5141" w:rsidP="002E5141">
      <w:pPr>
        <w:pStyle w:val="SingleTxtGA"/>
        <w:rPr>
          <w:rtl/>
        </w:rPr>
      </w:pPr>
      <w:r>
        <w:rPr>
          <w:rtl/>
        </w:rPr>
        <w:t>2-2</w:t>
      </w:r>
      <w:r>
        <w:rPr>
          <w:rFonts w:hint="cs"/>
          <w:rtl/>
        </w:rPr>
        <w:tab/>
        <w:t xml:space="preserve">ونظراً إلى أن صاحب البلاغ وزّع </w:t>
      </w:r>
      <w:r>
        <w:rPr>
          <w:rtl/>
          <w:lang w:val="fr-CH"/>
        </w:rPr>
        <w:t>مناشير</w:t>
      </w:r>
      <w:r>
        <w:rPr>
          <w:rFonts w:hint="cs"/>
          <w:rtl/>
          <w:lang w:val="fr-CH"/>
        </w:rPr>
        <w:t xml:space="preserve"> تتضمن معلومات بشأن عقد لقاء بين رجل سياسة وعدد من المواطنين، فقد اعتبرت الشرطة أنه يخالف القانون. وفي اليوم نفسه، مثل صاحب البلاغ أمام محكمة </w:t>
      </w:r>
      <w:r>
        <w:rPr>
          <w:rFonts w:hint="cs"/>
          <w:rtl/>
          <w:lang w:bidi="ar"/>
        </w:rPr>
        <w:t xml:space="preserve">دائرة </w:t>
      </w:r>
      <w:proofErr w:type="spellStart"/>
      <w:r>
        <w:rPr>
          <w:rFonts w:hint="cs"/>
          <w:rtl/>
          <w:lang w:bidi="ar"/>
        </w:rPr>
        <w:t>غوميل</w:t>
      </w:r>
      <w:proofErr w:type="spellEnd"/>
      <w:r>
        <w:rPr>
          <w:rFonts w:hint="cs"/>
          <w:rtl/>
          <w:lang w:bidi="ar"/>
        </w:rPr>
        <w:t xml:space="preserve"> </w:t>
      </w:r>
      <w:proofErr w:type="spellStart"/>
      <w:r>
        <w:rPr>
          <w:rFonts w:hint="cs"/>
          <w:rtl/>
          <w:lang w:bidi="ar"/>
        </w:rPr>
        <w:t>السوفياتية</w:t>
      </w:r>
      <w:proofErr w:type="spellEnd"/>
      <w:r>
        <w:rPr>
          <w:rFonts w:hint="cs"/>
          <w:rtl/>
          <w:lang w:bidi="ar"/>
        </w:rPr>
        <w:t>. وعلى الفور أصدرت المحكمة  حكماً يقضي بأن صاحب البلاغ، بتوزيعه لمناشير تخص اجتماعاً غير مصرّح به، يكون قد انتهك أحكام المادة 23-24 (الجزء1)</w:t>
      </w:r>
      <w:r w:rsidR="00923FB7">
        <w:rPr>
          <w:rFonts w:hint="cs"/>
          <w:rtl/>
          <w:lang w:bidi="ar"/>
        </w:rPr>
        <w:t xml:space="preserve"> </w:t>
      </w:r>
      <w:r>
        <w:rPr>
          <w:rFonts w:hint="cs"/>
          <w:rtl/>
          <w:lang w:bidi="ar"/>
        </w:rPr>
        <w:t xml:space="preserve">من قانون المخلفات الإدارية </w:t>
      </w:r>
      <w:r>
        <w:rPr>
          <w:rtl/>
          <w:lang w:val="fr-CH"/>
        </w:rPr>
        <w:t xml:space="preserve">وحكمت عليه بغرامة تبلغ </w:t>
      </w:r>
      <w:r>
        <w:rPr>
          <w:rFonts w:hint="cs"/>
          <w:rtl/>
          <w:lang w:val="fr-CH"/>
        </w:rPr>
        <w:t>1.05 مليون</w:t>
      </w:r>
      <w:r>
        <w:rPr>
          <w:rtl/>
          <w:lang w:val="fr-CH"/>
        </w:rPr>
        <w:t xml:space="preserve"> روبل</w:t>
      </w:r>
      <w:r>
        <w:rPr>
          <w:rFonts w:hint="cs"/>
          <w:rtl/>
          <w:lang w:val="fr-CH"/>
        </w:rPr>
        <w:t xml:space="preserve"> </w:t>
      </w:r>
      <w:proofErr w:type="spellStart"/>
      <w:r>
        <w:rPr>
          <w:rFonts w:hint="cs"/>
          <w:rtl/>
          <w:lang w:val="fr-CH"/>
        </w:rPr>
        <w:t>بيلاروسي</w:t>
      </w:r>
      <w:proofErr w:type="spellEnd"/>
      <w:r>
        <w:rPr>
          <w:rFonts w:hint="cs"/>
          <w:rtl/>
          <w:lang w:val="fr-CH"/>
        </w:rPr>
        <w:t xml:space="preserve"> (ما يعادل 488 دولاراً أمريكياً في ذلك الحين). وأشار صاحب البلاغ إلى أن قيمة الغرامة كانت تفوق متوسط الأجر الشهري في </w:t>
      </w:r>
      <w:proofErr w:type="spellStart"/>
      <w:r>
        <w:rPr>
          <w:rFonts w:hint="cs"/>
          <w:rtl/>
          <w:lang w:val="fr-CH"/>
        </w:rPr>
        <w:t>بيلاروس</w:t>
      </w:r>
      <w:proofErr w:type="spellEnd"/>
      <w:r>
        <w:rPr>
          <w:rFonts w:hint="cs"/>
          <w:rtl/>
          <w:lang w:val="fr-CH"/>
        </w:rPr>
        <w:t xml:space="preserve">.  </w:t>
      </w:r>
    </w:p>
    <w:p w:rsidR="002E5141" w:rsidRDefault="002E5141" w:rsidP="00923FB7">
      <w:pPr>
        <w:pStyle w:val="SingleTxtGA"/>
        <w:rPr>
          <w:rFonts w:hint="cs"/>
          <w:rtl/>
          <w:lang w:val="fr-CH"/>
        </w:rPr>
      </w:pPr>
      <w:r>
        <w:rPr>
          <w:rtl/>
        </w:rPr>
        <w:t>2-3</w:t>
      </w:r>
      <w:r>
        <w:rPr>
          <w:rFonts w:hint="cs"/>
          <w:rtl/>
        </w:rPr>
        <w:tab/>
      </w:r>
      <w:r>
        <w:rPr>
          <w:rtl/>
          <w:lang w:val="fr-CH"/>
        </w:rPr>
        <w:t>و</w:t>
      </w:r>
      <w:r>
        <w:rPr>
          <w:rFonts w:hint="cs"/>
          <w:rtl/>
          <w:lang w:val="fr-CH"/>
        </w:rPr>
        <w:t>ي</w:t>
      </w:r>
      <w:r>
        <w:rPr>
          <w:rtl/>
          <w:lang w:val="fr-CH"/>
        </w:rPr>
        <w:t xml:space="preserve">دّعي صاحب البلاغ أن </w:t>
      </w:r>
      <w:r>
        <w:rPr>
          <w:rFonts w:hint="cs"/>
          <w:rtl/>
          <w:lang w:val="fr-CH"/>
        </w:rPr>
        <w:t xml:space="preserve">ملف القضية الإداري لا يتضمن ما يدّل على أن </w:t>
      </w:r>
      <w:r>
        <w:rPr>
          <w:rtl/>
          <w:lang w:val="fr-CH"/>
        </w:rPr>
        <w:t xml:space="preserve">المحكمة </w:t>
      </w:r>
      <w:r w:rsidR="00A71FF4">
        <w:rPr>
          <w:rFonts w:hint="cs"/>
          <w:rtl/>
          <w:lang w:val="fr-CH"/>
        </w:rPr>
        <w:t xml:space="preserve">قد </w:t>
      </w:r>
      <w:r>
        <w:rPr>
          <w:rFonts w:hint="cs"/>
          <w:rtl/>
          <w:lang w:val="fr-CH"/>
        </w:rPr>
        <w:t>استندت</w:t>
      </w:r>
      <w:r>
        <w:rPr>
          <w:rtl/>
          <w:lang w:val="fr-CH"/>
        </w:rPr>
        <w:t xml:space="preserve"> في </w:t>
      </w:r>
      <w:r w:rsidR="00A71FF4">
        <w:rPr>
          <w:rFonts w:hint="cs"/>
          <w:rtl/>
          <w:lang w:val="fr-CH"/>
        </w:rPr>
        <w:t xml:space="preserve">استنتاجها إلى أي </w:t>
      </w:r>
      <w:r>
        <w:rPr>
          <w:rFonts w:hint="cs"/>
          <w:rtl/>
          <w:lang w:val="fr-CH"/>
        </w:rPr>
        <w:t>عنصر آخر</w:t>
      </w:r>
      <w:r>
        <w:rPr>
          <w:rtl/>
          <w:lang w:val="fr-CH"/>
        </w:rPr>
        <w:t xml:space="preserve"> </w:t>
      </w:r>
      <w:r>
        <w:rPr>
          <w:rFonts w:hint="cs"/>
          <w:rtl/>
          <w:lang w:val="fr-CH"/>
        </w:rPr>
        <w:t>غير</w:t>
      </w:r>
      <w:r>
        <w:rPr>
          <w:rtl/>
          <w:lang w:val="fr-CH"/>
        </w:rPr>
        <w:t xml:space="preserve"> محضر الشرطة </w:t>
      </w:r>
      <w:r>
        <w:rPr>
          <w:rFonts w:hint="cs"/>
          <w:rtl/>
          <w:lang w:val="fr-CH"/>
        </w:rPr>
        <w:t>المتعلق بتوزيعه للمناشير</w:t>
      </w:r>
      <w:r w:rsidR="00A71FF4">
        <w:rPr>
          <w:rFonts w:hint="cs"/>
          <w:rtl/>
          <w:lang w:val="fr-CH"/>
        </w:rPr>
        <w:t xml:space="preserve">، وأن المسألة </w:t>
      </w:r>
      <w:r>
        <w:rPr>
          <w:rFonts w:hint="cs"/>
          <w:rtl/>
          <w:lang w:val="fr-CH"/>
        </w:rPr>
        <w:t>الوحيدة ال</w:t>
      </w:r>
      <w:r w:rsidR="00A71FF4">
        <w:rPr>
          <w:rFonts w:hint="cs"/>
          <w:rtl/>
          <w:lang w:val="fr-CH"/>
        </w:rPr>
        <w:t>ت</w:t>
      </w:r>
      <w:r>
        <w:rPr>
          <w:rFonts w:hint="cs"/>
          <w:rtl/>
          <w:lang w:val="fr-CH"/>
        </w:rPr>
        <w:t xml:space="preserve">ي كان ينبغي أن تنظر </w:t>
      </w:r>
      <w:r w:rsidR="00A71FF4">
        <w:rPr>
          <w:rFonts w:hint="cs"/>
          <w:rtl/>
          <w:lang w:val="fr-CH"/>
        </w:rPr>
        <w:t>في</w:t>
      </w:r>
      <w:r>
        <w:rPr>
          <w:rFonts w:hint="cs"/>
          <w:rtl/>
          <w:lang w:val="fr-CH"/>
        </w:rPr>
        <w:t xml:space="preserve">ها المحكمة هي ما إذا كان توزيع المناشير بشأن اجتماع مقبل يُعتبر انتهاكاً من قبل صاحب البلاغ </w:t>
      </w:r>
      <w:r w:rsidR="00A71FF4">
        <w:rPr>
          <w:rFonts w:hint="cs"/>
          <w:rtl/>
          <w:lang w:val="fr-CH"/>
        </w:rPr>
        <w:t>لل</w:t>
      </w:r>
      <w:r w:rsidR="00923FB7">
        <w:rPr>
          <w:rFonts w:hint="cs"/>
          <w:rtl/>
          <w:lang w:val="fr-CH"/>
        </w:rPr>
        <w:t>ّ</w:t>
      </w:r>
      <w:r w:rsidR="00A71FF4">
        <w:rPr>
          <w:rFonts w:hint="cs"/>
          <w:rtl/>
          <w:lang w:val="fr-CH"/>
        </w:rPr>
        <w:t>وائح</w:t>
      </w:r>
      <w:r>
        <w:rPr>
          <w:rFonts w:hint="cs"/>
          <w:rtl/>
          <w:lang w:val="fr-CH"/>
        </w:rPr>
        <w:t xml:space="preserve"> التي تنظ</w:t>
      </w:r>
      <w:r w:rsidR="00923FB7">
        <w:rPr>
          <w:rFonts w:hint="cs"/>
          <w:rtl/>
          <w:lang w:val="fr-CH"/>
        </w:rPr>
        <w:t>ّ</w:t>
      </w:r>
      <w:r>
        <w:rPr>
          <w:rFonts w:hint="cs"/>
          <w:rtl/>
          <w:lang w:val="fr-CH"/>
        </w:rPr>
        <w:t xml:space="preserve">م عقد تجمعات سلمية. </w:t>
      </w:r>
      <w:r>
        <w:rPr>
          <w:rtl/>
          <w:lang w:val="fr-CH"/>
        </w:rPr>
        <w:t>و</w:t>
      </w:r>
      <w:r>
        <w:rPr>
          <w:rFonts w:hint="cs"/>
          <w:rtl/>
          <w:lang w:val="fr-CH"/>
        </w:rPr>
        <w:t>رأى صاحب البلاغ أن</w:t>
      </w:r>
      <w:r w:rsidR="00A71FF4">
        <w:rPr>
          <w:rFonts w:hint="cs"/>
          <w:rtl/>
          <w:lang w:val="fr-CH"/>
        </w:rPr>
        <w:t>ه</w:t>
      </w:r>
      <w:r>
        <w:rPr>
          <w:rFonts w:hint="cs"/>
          <w:rtl/>
          <w:lang w:val="fr-CH"/>
        </w:rPr>
        <w:t xml:space="preserve"> لا الشرطة ولا المحكمة بذلتا الجهد الكافي لتوضيح السبب الذي يجعل من </w:t>
      </w:r>
      <w:r w:rsidR="00A71FF4">
        <w:rPr>
          <w:rFonts w:hint="cs"/>
          <w:rtl/>
          <w:lang w:val="fr-CH"/>
        </w:rPr>
        <w:t xml:space="preserve">تقييد </w:t>
      </w:r>
      <w:r>
        <w:rPr>
          <w:rtl/>
          <w:lang w:val="fr-CH"/>
        </w:rPr>
        <w:t>حقه</w:t>
      </w:r>
      <w:r>
        <w:rPr>
          <w:rFonts w:hint="cs"/>
          <w:rtl/>
          <w:lang w:val="fr-CH"/>
        </w:rPr>
        <w:t xml:space="preserve"> </w:t>
      </w:r>
      <w:r>
        <w:rPr>
          <w:rtl/>
          <w:lang w:val="fr-CH"/>
        </w:rPr>
        <w:t xml:space="preserve">في نقل المعلومات </w:t>
      </w:r>
      <w:r>
        <w:rPr>
          <w:rFonts w:hint="cs"/>
          <w:rtl/>
          <w:lang w:val="fr-CH"/>
        </w:rPr>
        <w:t>ضرورياً</w:t>
      </w:r>
      <w:r>
        <w:rPr>
          <w:rtl/>
          <w:lang w:val="fr-CH"/>
        </w:rPr>
        <w:t xml:space="preserve"> لأغراض المادة 19 من العهد. </w:t>
      </w:r>
    </w:p>
    <w:p w:rsidR="002E5141" w:rsidRDefault="002E5141" w:rsidP="00923FB7">
      <w:pPr>
        <w:pStyle w:val="SingleTxtGA"/>
        <w:rPr>
          <w:rFonts w:hint="cs"/>
          <w:spacing w:val="4"/>
          <w:rtl/>
        </w:rPr>
      </w:pPr>
      <w:r w:rsidRPr="00645E84">
        <w:rPr>
          <w:spacing w:val="4"/>
          <w:rtl/>
        </w:rPr>
        <w:t>2-4</w:t>
      </w:r>
      <w:r w:rsidRPr="00645E84">
        <w:rPr>
          <w:rFonts w:hint="cs"/>
          <w:spacing w:val="4"/>
          <w:rtl/>
        </w:rPr>
        <w:tab/>
      </w:r>
      <w:r>
        <w:rPr>
          <w:rFonts w:hint="cs"/>
          <w:spacing w:val="4"/>
          <w:rtl/>
        </w:rPr>
        <w:t xml:space="preserve">وفي 29 شباط/فبراير 2008، اكتفت محكمة </w:t>
      </w:r>
      <w:proofErr w:type="spellStart"/>
      <w:r>
        <w:rPr>
          <w:rFonts w:hint="cs"/>
          <w:spacing w:val="4"/>
          <w:rtl/>
        </w:rPr>
        <w:t>غوميل</w:t>
      </w:r>
      <w:proofErr w:type="spellEnd"/>
      <w:r>
        <w:rPr>
          <w:rFonts w:hint="cs"/>
          <w:spacing w:val="4"/>
          <w:rtl/>
        </w:rPr>
        <w:t xml:space="preserve"> الإقليمية، </w:t>
      </w:r>
      <w:r w:rsidR="00923FB7">
        <w:rPr>
          <w:rFonts w:hint="cs"/>
          <w:spacing w:val="4"/>
          <w:rtl/>
        </w:rPr>
        <w:t>ل</w:t>
      </w:r>
      <w:r w:rsidR="00A71FF4">
        <w:rPr>
          <w:rFonts w:hint="cs"/>
          <w:spacing w:val="4"/>
          <w:rtl/>
        </w:rPr>
        <w:t xml:space="preserve">دى نظرها </w:t>
      </w:r>
      <w:r>
        <w:rPr>
          <w:rFonts w:hint="cs"/>
          <w:spacing w:val="4"/>
          <w:rtl/>
        </w:rPr>
        <w:t xml:space="preserve">في دعوى الاستئناف، </w:t>
      </w:r>
      <w:r w:rsidR="00A71FF4">
        <w:rPr>
          <w:rFonts w:hint="cs"/>
          <w:spacing w:val="4"/>
          <w:rtl/>
        </w:rPr>
        <w:t>بتأكيد</w:t>
      </w:r>
      <w:r>
        <w:rPr>
          <w:rFonts w:hint="cs"/>
          <w:spacing w:val="4"/>
          <w:rtl/>
        </w:rPr>
        <w:t xml:space="preserve"> القرار الصادر عن محكمة الدائرة </w:t>
      </w:r>
      <w:proofErr w:type="spellStart"/>
      <w:r>
        <w:rPr>
          <w:rFonts w:hint="cs"/>
          <w:spacing w:val="4"/>
          <w:rtl/>
        </w:rPr>
        <w:t>السوفي</w:t>
      </w:r>
      <w:r w:rsidR="00923FB7">
        <w:rPr>
          <w:rFonts w:hint="cs"/>
          <w:spacing w:val="4"/>
          <w:rtl/>
        </w:rPr>
        <w:t>ا</w:t>
      </w:r>
      <w:r>
        <w:rPr>
          <w:rFonts w:hint="cs"/>
          <w:spacing w:val="4"/>
          <w:rtl/>
        </w:rPr>
        <w:t>تية</w:t>
      </w:r>
      <w:proofErr w:type="spellEnd"/>
      <w:r>
        <w:rPr>
          <w:rFonts w:hint="cs"/>
          <w:spacing w:val="4"/>
          <w:rtl/>
        </w:rPr>
        <w:t>، من دون أن توص</w:t>
      </w:r>
      <w:r w:rsidR="00923FB7">
        <w:rPr>
          <w:rFonts w:hint="cs"/>
          <w:spacing w:val="4"/>
          <w:rtl/>
        </w:rPr>
        <w:t>فّ</w:t>
      </w:r>
      <w:r>
        <w:rPr>
          <w:rFonts w:hint="cs"/>
          <w:spacing w:val="4"/>
          <w:rtl/>
        </w:rPr>
        <w:t xml:space="preserve"> أفعال صاحب البلاغ على ضوء أحكام العهد، وذلك على الرغم من الطلب الصريح الذي تقدم به صاحب البلاغ </w:t>
      </w:r>
      <w:r w:rsidR="00A71FF4">
        <w:rPr>
          <w:rFonts w:hint="cs"/>
          <w:spacing w:val="4"/>
          <w:rtl/>
        </w:rPr>
        <w:t>في هذا</w:t>
      </w:r>
      <w:r>
        <w:rPr>
          <w:rFonts w:hint="cs"/>
          <w:spacing w:val="4"/>
          <w:rtl/>
        </w:rPr>
        <w:t xml:space="preserve"> الشأن في </w:t>
      </w:r>
      <w:r w:rsidR="00A71FF4">
        <w:rPr>
          <w:rFonts w:hint="cs"/>
          <w:spacing w:val="4"/>
          <w:rtl/>
        </w:rPr>
        <w:t xml:space="preserve">دعوى </w:t>
      </w:r>
      <w:r>
        <w:rPr>
          <w:rFonts w:hint="cs"/>
          <w:spacing w:val="4"/>
          <w:rtl/>
        </w:rPr>
        <w:t>الاستئناف</w:t>
      </w:r>
      <w:r w:rsidR="00A71FF4">
        <w:rPr>
          <w:rFonts w:hint="cs"/>
          <w:spacing w:val="4"/>
          <w:rtl/>
        </w:rPr>
        <w:t xml:space="preserve"> التي</w:t>
      </w:r>
      <w:r>
        <w:rPr>
          <w:rFonts w:hint="cs"/>
          <w:spacing w:val="4"/>
          <w:rtl/>
        </w:rPr>
        <w:t xml:space="preserve"> ذكّر </w:t>
      </w:r>
      <w:r w:rsidR="00A71FF4">
        <w:rPr>
          <w:rFonts w:hint="cs"/>
          <w:spacing w:val="4"/>
          <w:rtl/>
        </w:rPr>
        <w:t>فيها</w:t>
      </w:r>
      <w:r>
        <w:rPr>
          <w:rFonts w:hint="cs"/>
          <w:spacing w:val="4"/>
          <w:rtl/>
        </w:rPr>
        <w:t xml:space="preserve"> المحكمة تحديداً بأن أحكام المعاهدات الدولية السارية في </w:t>
      </w:r>
      <w:proofErr w:type="spellStart"/>
      <w:r>
        <w:rPr>
          <w:rFonts w:hint="cs"/>
          <w:spacing w:val="4"/>
          <w:rtl/>
        </w:rPr>
        <w:t>بيلاروس</w:t>
      </w:r>
      <w:proofErr w:type="spellEnd"/>
      <w:r>
        <w:rPr>
          <w:rFonts w:hint="cs"/>
          <w:spacing w:val="4"/>
          <w:rtl/>
        </w:rPr>
        <w:t xml:space="preserve"> لها الأسبقية في حال تضاربت مع معايير القوانين المحلية، وأن </w:t>
      </w:r>
      <w:r>
        <w:rPr>
          <w:rFonts w:hint="cs"/>
          <w:rtl/>
          <w:lang w:bidi="ar"/>
        </w:rPr>
        <w:t>اتفاقية فيينا لقانون المعاهدات تنص على أنه لا يجوز ال</w:t>
      </w:r>
      <w:r w:rsidR="00A71FF4">
        <w:rPr>
          <w:rFonts w:hint="cs"/>
          <w:rtl/>
          <w:lang w:bidi="ar"/>
        </w:rPr>
        <w:t>احتجاج</w:t>
      </w:r>
      <w:r>
        <w:rPr>
          <w:rFonts w:hint="cs"/>
          <w:rtl/>
          <w:lang w:bidi="ar"/>
        </w:rPr>
        <w:t xml:space="preserve"> بالقانون الوطني لتبرير عدم تطبيق أحكام القانون الدولي؛ </w:t>
      </w:r>
      <w:r>
        <w:rPr>
          <w:rFonts w:hint="cs"/>
          <w:rtl/>
          <w:lang w:val="fr-CH"/>
        </w:rPr>
        <w:t>ف</w:t>
      </w:r>
      <w:r>
        <w:rPr>
          <w:rtl/>
          <w:lang w:val="fr-CH"/>
        </w:rPr>
        <w:t xml:space="preserve">المادة 15 من قانون المعاهدات الدولية تنص على أن المبادئ المُعترف بها عالمياً للقانون الدولي والمعاهدات الدولية التي </w:t>
      </w:r>
      <w:r w:rsidR="002A3AA4">
        <w:rPr>
          <w:rFonts w:hint="cs"/>
          <w:rtl/>
          <w:lang w:val="fr-CH"/>
        </w:rPr>
        <w:t>دخلت</w:t>
      </w:r>
      <w:r>
        <w:rPr>
          <w:rtl/>
          <w:lang w:val="fr-CH"/>
        </w:rPr>
        <w:t xml:space="preserve"> </w:t>
      </w:r>
      <w:proofErr w:type="spellStart"/>
      <w:r>
        <w:rPr>
          <w:rtl/>
          <w:lang w:val="fr-CH"/>
        </w:rPr>
        <w:t>بيلاروس</w:t>
      </w:r>
      <w:proofErr w:type="spellEnd"/>
      <w:r>
        <w:rPr>
          <w:rtl/>
          <w:lang w:val="fr-CH"/>
        </w:rPr>
        <w:t xml:space="preserve"> طرفاً </w:t>
      </w:r>
      <w:r w:rsidR="002A3AA4">
        <w:rPr>
          <w:rFonts w:hint="cs"/>
          <w:rtl/>
          <w:lang w:val="fr-CH"/>
        </w:rPr>
        <w:t xml:space="preserve">فيها </w:t>
      </w:r>
      <w:r>
        <w:rPr>
          <w:rtl/>
          <w:lang w:val="fr-CH"/>
        </w:rPr>
        <w:t>هي جزء من القانون المحلي</w:t>
      </w:r>
      <w:r>
        <w:rPr>
          <w:rFonts w:hint="cs"/>
          <w:rtl/>
          <w:lang w:val="fr-CH"/>
        </w:rPr>
        <w:t xml:space="preserve">. </w:t>
      </w:r>
      <w:proofErr w:type="spellStart"/>
      <w:r>
        <w:rPr>
          <w:rFonts w:hint="cs"/>
          <w:rtl/>
          <w:lang w:val="fr-CH"/>
        </w:rPr>
        <w:t>وتنص</w:t>
      </w:r>
      <w:proofErr w:type="spellEnd"/>
      <w:r>
        <w:rPr>
          <w:rFonts w:hint="cs"/>
          <w:rtl/>
          <w:lang w:val="fr-CH"/>
        </w:rPr>
        <w:t xml:space="preserve"> المادة 19 من كل من الإعلان العالمي لحقوق الإنسان والعهد على حرية نشر المعلومات. </w:t>
      </w:r>
    </w:p>
    <w:p w:rsidR="002E5141" w:rsidRDefault="002E5141" w:rsidP="00923FB7">
      <w:pPr>
        <w:pStyle w:val="SingleTxtGA"/>
        <w:rPr>
          <w:rFonts w:hint="cs"/>
          <w:rtl/>
        </w:rPr>
      </w:pPr>
      <w:r>
        <w:rPr>
          <w:rtl/>
        </w:rPr>
        <w:t>2-5</w:t>
      </w:r>
      <w:r>
        <w:rPr>
          <w:rFonts w:hint="cs"/>
          <w:rtl/>
        </w:rPr>
        <w:tab/>
        <w:t xml:space="preserve">وأشار صاحب البلاغ إلى اجتهادات اللجنة الفقهية في حالات مشابهة وشدد على أن </w:t>
      </w:r>
      <w:r w:rsidR="002A3AA4">
        <w:rPr>
          <w:rFonts w:hint="cs"/>
          <w:rtl/>
        </w:rPr>
        <w:t>تقييد</w:t>
      </w:r>
      <w:r>
        <w:rPr>
          <w:rFonts w:hint="cs"/>
          <w:rtl/>
        </w:rPr>
        <w:t xml:space="preserve"> حقه </w:t>
      </w:r>
      <w:r>
        <w:rPr>
          <w:rtl/>
          <w:lang w:val="fr-CH"/>
        </w:rPr>
        <w:t xml:space="preserve">لا تبرره ضرورة صيانة الأمن القومي أو النظام العام، أو </w:t>
      </w:r>
      <w:r>
        <w:rPr>
          <w:rFonts w:hint="cs"/>
          <w:rtl/>
          <w:lang w:val="fr-CH"/>
        </w:rPr>
        <w:t xml:space="preserve">المحافظة على </w:t>
      </w:r>
      <w:r>
        <w:rPr>
          <w:rtl/>
          <w:lang w:val="fr-CH"/>
        </w:rPr>
        <w:t xml:space="preserve">الآداب </w:t>
      </w:r>
      <w:r>
        <w:rPr>
          <w:rFonts w:hint="cs"/>
          <w:rtl/>
          <w:lang w:val="fr-CH"/>
        </w:rPr>
        <w:t xml:space="preserve">العامة أو </w:t>
      </w:r>
      <w:r>
        <w:rPr>
          <w:rtl/>
          <w:lang w:val="fr-CH"/>
        </w:rPr>
        <w:t xml:space="preserve">الصحة العامة أو احترام </w:t>
      </w:r>
      <w:r>
        <w:rPr>
          <w:rFonts w:hint="cs"/>
          <w:rtl/>
          <w:lang w:val="fr-CH"/>
        </w:rPr>
        <w:t>حريات</w:t>
      </w:r>
      <w:r>
        <w:rPr>
          <w:rtl/>
          <w:lang w:val="fr-CH"/>
        </w:rPr>
        <w:t xml:space="preserve"> الآخرين</w:t>
      </w:r>
      <w:r w:rsidR="002A3AA4">
        <w:rPr>
          <w:vertAlign w:val="superscript"/>
          <w:rtl/>
          <w:lang w:val="fr-CH"/>
        </w:rPr>
        <w:t>(</w:t>
      </w:r>
      <w:r w:rsidR="002A3AA4">
        <w:rPr>
          <w:rStyle w:val="FootnoteReference"/>
          <w:rtl/>
          <w:lang w:val="fr-CH"/>
        </w:rPr>
        <w:footnoteReference w:id="3"/>
      </w:r>
      <w:r w:rsidR="002A3AA4">
        <w:rPr>
          <w:vertAlign w:val="superscript"/>
          <w:rtl/>
          <w:lang w:val="fr-CH"/>
        </w:rPr>
        <w:t>)</w:t>
      </w:r>
      <w:r w:rsidR="002A3AA4">
        <w:rPr>
          <w:rtl/>
          <w:lang w:val="fr-CH"/>
        </w:rPr>
        <w:t xml:space="preserve"> </w:t>
      </w:r>
      <w:r>
        <w:rPr>
          <w:rFonts w:hint="cs"/>
          <w:rtl/>
          <w:lang w:val="fr-CH"/>
        </w:rPr>
        <w:t>. وأقرّ بأن الحقوق المنصوص عليها في المادة 19 ليست حقوقاً مطلقة وهي قابلة للتقييد، لكنه أضاف أن أحكام قانون الدولة الطرف المتعلق</w:t>
      </w:r>
      <w:r w:rsidR="00923FB7">
        <w:rPr>
          <w:rFonts w:hint="cs"/>
          <w:rtl/>
          <w:lang w:val="fr-CH"/>
        </w:rPr>
        <w:t>ة</w:t>
      </w:r>
      <w:r>
        <w:rPr>
          <w:rFonts w:hint="cs"/>
          <w:rtl/>
          <w:lang w:val="fr-CH"/>
        </w:rPr>
        <w:t xml:space="preserve"> </w:t>
      </w:r>
      <w:r w:rsidRPr="00566AE1">
        <w:rPr>
          <w:rFonts w:hint="cs"/>
          <w:rtl/>
          <w:lang w:val="fr-CH"/>
        </w:rPr>
        <w:t>بالتظاهرات</w:t>
      </w:r>
      <w:r>
        <w:rPr>
          <w:rFonts w:hint="cs"/>
          <w:rtl/>
          <w:lang w:val="fr-CH"/>
        </w:rPr>
        <w:t xml:space="preserve"> الجماهيرية ال</w:t>
      </w:r>
      <w:r w:rsidR="002A3AA4">
        <w:rPr>
          <w:rFonts w:hint="cs"/>
          <w:rtl/>
          <w:lang w:val="fr-CH"/>
        </w:rPr>
        <w:t>ت</w:t>
      </w:r>
      <w:r>
        <w:rPr>
          <w:rFonts w:hint="cs"/>
          <w:rtl/>
          <w:lang w:val="fr-CH"/>
        </w:rPr>
        <w:t xml:space="preserve">ي </w:t>
      </w:r>
      <w:r w:rsidR="002A3AA4">
        <w:rPr>
          <w:rFonts w:hint="cs"/>
          <w:rtl/>
          <w:lang w:val="fr-CH"/>
        </w:rPr>
        <w:t>تُقيّد</w:t>
      </w:r>
      <w:r>
        <w:rPr>
          <w:rFonts w:hint="cs"/>
          <w:rtl/>
          <w:lang w:val="fr-CH"/>
        </w:rPr>
        <w:t xml:space="preserve"> حق نشر المعلومات لا يمكن </w:t>
      </w:r>
      <w:r w:rsidR="00923FB7">
        <w:rPr>
          <w:rFonts w:hint="cs"/>
          <w:rtl/>
          <w:lang w:val="fr-CH"/>
        </w:rPr>
        <w:t>أ</w:t>
      </w:r>
      <w:r>
        <w:rPr>
          <w:rFonts w:hint="cs"/>
          <w:rtl/>
          <w:lang w:val="fr-CH"/>
        </w:rPr>
        <w:t xml:space="preserve">ن </w:t>
      </w:r>
      <w:r w:rsidR="002A3AA4">
        <w:rPr>
          <w:rFonts w:hint="cs"/>
          <w:rtl/>
          <w:lang w:val="fr-CH"/>
        </w:rPr>
        <w:t>تكون متماشية</w:t>
      </w:r>
      <w:r>
        <w:rPr>
          <w:rFonts w:hint="cs"/>
          <w:rtl/>
          <w:lang w:val="fr-CH"/>
        </w:rPr>
        <w:t xml:space="preserve"> مع التزامات الدولة الطرف بموجب العهد، </w:t>
      </w:r>
      <w:r w:rsidR="002A3AA4">
        <w:rPr>
          <w:rFonts w:hint="cs"/>
          <w:rtl/>
          <w:lang w:val="fr-CH"/>
        </w:rPr>
        <w:t xml:space="preserve">ذلك </w:t>
      </w:r>
      <w:r>
        <w:rPr>
          <w:rFonts w:hint="cs"/>
          <w:rtl/>
          <w:lang w:val="fr-CH"/>
        </w:rPr>
        <w:t xml:space="preserve">لأنها لا تهدف إلى </w:t>
      </w:r>
      <w:r>
        <w:rPr>
          <w:rtl/>
          <w:lang w:val="fr-CH"/>
        </w:rPr>
        <w:t xml:space="preserve">صيانة الأمن القومي أو النظام العام، </w:t>
      </w:r>
      <w:r>
        <w:rPr>
          <w:rFonts w:hint="cs"/>
          <w:rtl/>
          <w:lang w:val="fr-CH"/>
        </w:rPr>
        <w:t>وليست ضرورية لحماية</w:t>
      </w:r>
      <w:r>
        <w:rPr>
          <w:rtl/>
          <w:lang w:val="fr-CH"/>
        </w:rPr>
        <w:t xml:space="preserve"> الصحة العامة أو الآداب العامة أو احترام حقوق الآخرين </w:t>
      </w:r>
      <w:r w:rsidR="002A3AA4">
        <w:rPr>
          <w:rFonts w:hint="cs"/>
          <w:rtl/>
          <w:lang w:val="fr-CH"/>
        </w:rPr>
        <w:t>وحرياتهم.</w:t>
      </w:r>
    </w:p>
    <w:p w:rsidR="002E5141" w:rsidRDefault="002E5141" w:rsidP="00923FB7">
      <w:pPr>
        <w:pStyle w:val="SingleTxtGA"/>
        <w:rPr>
          <w:rtl/>
        </w:rPr>
      </w:pPr>
      <w:r>
        <w:rPr>
          <w:rtl/>
        </w:rPr>
        <w:t>2-6</w:t>
      </w:r>
      <w:r>
        <w:rPr>
          <w:rtl/>
        </w:rPr>
        <w:tab/>
      </w:r>
      <w:r>
        <w:rPr>
          <w:rtl/>
          <w:lang w:val="fr-CH"/>
        </w:rPr>
        <w:t>و</w:t>
      </w:r>
      <w:r>
        <w:rPr>
          <w:rFonts w:hint="cs"/>
          <w:rtl/>
          <w:lang w:val="fr-CH"/>
        </w:rPr>
        <w:t>ي</w:t>
      </w:r>
      <w:r>
        <w:rPr>
          <w:rtl/>
          <w:lang w:val="fr-CH"/>
        </w:rPr>
        <w:t>دعي صاحب البلاغ أنه استنفد جميع سبل الانتصاف المحلية</w:t>
      </w:r>
      <w:r>
        <w:rPr>
          <w:rFonts w:hint="cs"/>
          <w:rtl/>
          <w:lang w:val="fr-CH"/>
        </w:rPr>
        <w:t xml:space="preserve"> </w:t>
      </w:r>
      <w:r w:rsidR="002A3AA4">
        <w:rPr>
          <w:rFonts w:hint="cs"/>
          <w:rtl/>
          <w:lang w:val="fr-CH"/>
        </w:rPr>
        <w:t xml:space="preserve">المتاحة والفعالة </w:t>
      </w:r>
      <w:r>
        <w:rPr>
          <w:rFonts w:hint="cs"/>
          <w:rtl/>
          <w:lang w:val="fr-CH"/>
        </w:rPr>
        <w:t xml:space="preserve">من دون أن يقدم أي استئناف </w:t>
      </w:r>
      <w:r w:rsidR="00923FB7">
        <w:rPr>
          <w:rFonts w:hint="cs"/>
          <w:rtl/>
          <w:lang w:val="fr-CH"/>
        </w:rPr>
        <w:t xml:space="preserve">في إطار </w:t>
      </w:r>
      <w:r>
        <w:rPr>
          <w:rFonts w:hint="cs"/>
          <w:rtl/>
          <w:lang w:val="fr-CH"/>
        </w:rPr>
        <w:t>إجراءا</w:t>
      </w:r>
      <w:r>
        <w:rPr>
          <w:rFonts w:hint="eastAsia"/>
          <w:rtl/>
          <w:lang w:val="fr-CH"/>
        </w:rPr>
        <w:t>ت</w:t>
      </w:r>
      <w:r>
        <w:rPr>
          <w:rFonts w:hint="cs"/>
          <w:rtl/>
          <w:lang w:val="fr-CH"/>
        </w:rPr>
        <w:t xml:space="preserve"> المراجعة القضائية التي </w:t>
      </w:r>
      <w:r w:rsidR="002A3AA4">
        <w:rPr>
          <w:rFonts w:hint="cs"/>
          <w:rtl/>
          <w:lang w:val="fr-CH"/>
        </w:rPr>
        <w:t xml:space="preserve">تثبت منهجياً أنها </w:t>
      </w:r>
      <w:r>
        <w:rPr>
          <w:rFonts w:hint="cs"/>
          <w:rtl/>
          <w:lang w:val="fr-CH"/>
        </w:rPr>
        <w:t xml:space="preserve">لا تقود إلى مراجعة القضية ولا تتسم بالتالي بالفعالية. </w:t>
      </w:r>
    </w:p>
    <w:p w:rsidR="002E5141" w:rsidRDefault="002A3AA4" w:rsidP="002E5141">
      <w:pPr>
        <w:pStyle w:val="H23GA"/>
        <w:rPr>
          <w:rtl/>
        </w:rPr>
      </w:pPr>
      <w:r>
        <w:rPr>
          <w:rtl/>
        </w:rPr>
        <w:br w:type="page"/>
      </w:r>
      <w:r w:rsidR="002E5141">
        <w:rPr>
          <w:rtl/>
        </w:rPr>
        <w:tab/>
      </w:r>
      <w:r w:rsidR="002E5141">
        <w:rPr>
          <w:rtl/>
        </w:rPr>
        <w:tab/>
        <w:t>الشكوى</w:t>
      </w:r>
    </w:p>
    <w:p w:rsidR="002E5141" w:rsidRDefault="002E5141" w:rsidP="00923FB7">
      <w:pPr>
        <w:pStyle w:val="SingleTxtGA"/>
        <w:rPr>
          <w:lang w:val="fr-CH"/>
        </w:rPr>
      </w:pPr>
      <w:r>
        <w:rPr>
          <w:rFonts w:hint="cs"/>
          <w:rtl/>
        </w:rPr>
        <w:t>3-</w:t>
      </w:r>
      <w:r>
        <w:rPr>
          <w:rFonts w:hint="cs"/>
          <w:rtl/>
        </w:rPr>
        <w:tab/>
      </w:r>
      <w:r>
        <w:rPr>
          <w:rtl/>
        </w:rPr>
        <w:t xml:space="preserve">يدعي صاحب البلاغ أن </w:t>
      </w:r>
      <w:r>
        <w:rPr>
          <w:rFonts w:hint="cs"/>
          <w:rtl/>
        </w:rPr>
        <w:t>تطبيق قانون التظاهرات الجماهيرية في قضيته</w:t>
      </w:r>
      <w:r w:rsidR="002A3AA4">
        <w:rPr>
          <w:rFonts w:hint="cs"/>
          <w:rtl/>
        </w:rPr>
        <w:t xml:space="preserve"> قد</w:t>
      </w:r>
      <w:r>
        <w:rPr>
          <w:rFonts w:hint="cs"/>
          <w:rtl/>
        </w:rPr>
        <w:t xml:space="preserve"> أدى إلى تقييد غير مبرر لحقه </w:t>
      </w:r>
      <w:r>
        <w:rPr>
          <w:rtl/>
          <w:lang w:val="fr-CH"/>
        </w:rPr>
        <w:t>في نقل المعلومات بموجب الفقرة 2 من المادة 19</w:t>
      </w:r>
      <w:r>
        <w:rPr>
          <w:rFonts w:hint="cs"/>
          <w:rtl/>
          <w:lang w:val="fr-CH"/>
        </w:rPr>
        <w:t xml:space="preserve"> من العهد</w:t>
      </w:r>
      <w:r>
        <w:rPr>
          <w:rtl/>
          <w:lang w:val="fr-CH"/>
        </w:rPr>
        <w:t xml:space="preserve">. </w:t>
      </w:r>
    </w:p>
    <w:p w:rsidR="002E5141" w:rsidRDefault="002E5141" w:rsidP="002E5141">
      <w:pPr>
        <w:pStyle w:val="H23GA"/>
        <w:rPr>
          <w:rtl/>
        </w:rPr>
      </w:pPr>
      <w:r>
        <w:rPr>
          <w:rtl/>
        </w:rPr>
        <w:tab/>
      </w:r>
      <w:r>
        <w:rPr>
          <w:rtl/>
        </w:rPr>
        <w:tab/>
        <w:t xml:space="preserve">ملاحظات الدولة الطرف بشأن </w:t>
      </w:r>
      <w:proofErr w:type="spellStart"/>
      <w:r>
        <w:rPr>
          <w:rtl/>
        </w:rPr>
        <w:t>مقبولية</w:t>
      </w:r>
      <w:proofErr w:type="spellEnd"/>
      <w:r>
        <w:rPr>
          <w:rtl/>
        </w:rPr>
        <w:t xml:space="preserve"> البلاغ وأسسه الموضوعية</w:t>
      </w:r>
    </w:p>
    <w:p w:rsidR="002E5141" w:rsidRDefault="002E5141" w:rsidP="007E0D5A">
      <w:pPr>
        <w:pStyle w:val="SingleTxtGA"/>
        <w:rPr>
          <w:rFonts w:hint="cs"/>
          <w:rtl/>
        </w:rPr>
      </w:pPr>
      <w:r>
        <w:rPr>
          <w:rtl/>
        </w:rPr>
        <w:t>4-1</w:t>
      </w:r>
      <w:r>
        <w:rPr>
          <w:rtl/>
        </w:rPr>
        <w:tab/>
        <w:t xml:space="preserve">في 2 </w:t>
      </w:r>
      <w:r>
        <w:rPr>
          <w:rFonts w:hint="cs"/>
          <w:rtl/>
        </w:rPr>
        <w:t>حزيران</w:t>
      </w:r>
      <w:r>
        <w:rPr>
          <w:rtl/>
        </w:rPr>
        <w:t>/</w:t>
      </w:r>
      <w:r>
        <w:rPr>
          <w:rFonts w:hint="cs"/>
          <w:rtl/>
        </w:rPr>
        <w:t>يونيه و4 آب/أغسطس</w:t>
      </w:r>
      <w:r>
        <w:rPr>
          <w:rtl/>
        </w:rPr>
        <w:t xml:space="preserve"> 2008، قدمت الدولة الطرف ملاحظاتها على </w:t>
      </w:r>
      <w:proofErr w:type="spellStart"/>
      <w:r>
        <w:rPr>
          <w:rtl/>
        </w:rPr>
        <w:t>مقبولية</w:t>
      </w:r>
      <w:proofErr w:type="spellEnd"/>
      <w:r>
        <w:rPr>
          <w:rtl/>
        </w:rPr>
        <w:t xml:space="preserve"> البلاغ وأسسه الموضوعية. </w:t>
      </w:r>
      <w:r w:rsidR="002A3AA4">
        <w:rPr>
          <w:rFonts w:hint="cs"/>
          <w:rtl/>
        </w:rPr>
        <w:t>وأوضحت</w:t>
      </w:r>
      <w:r>
        <w:rPr>
          <w:rFonts w:hint="cs"/>
          <w:rtl/>
        </w:rPr>
        <w:t xml:space="preserve"> الدولة الطرف أن محكمة دائرة </w:t>
      </w:r>
      <w:proofErr w:type="spellStart"/>
      <w:r>
        <w:rPr>
          <w:rFonts w:hint="cs"/>
          <w:rtl/>
        </w:rPr>
        <w:t>غوميل</w:t>
      </w:r>
      <w:proofErr w:type="spellEnd"/>
      <w:r>
        <w:rPr>
          <w:rFonts w:hint="cs"/>
          <w:rtl/>
        </w:rPr>
        <w:t xml:space="preserve"> </w:t>
      </w:r>
      <w:proofErr w:type="spellStart"/>
      <w:r>
        <w:rPr>
          <w:rFonts w:hint="cs"/>
          <w:rtl/>
        </w:rPr>
        <w:t>السوفي</w:t>
      </w:r>
      <w:r w:rsidR="007E0D5A">
        <w:rPr>
          <w:rFonts w:hint="cs"/>
          <w:rtl/>
        </w:rPr>
        <w:t>ا</w:t>
      </w:r>
      <w:r>
        <w:rPr>
          <w:rFonts w:hint="cs"/>
          <w:rtl/>
        </w:rPr>
        <w:t>تية</w:t>
      </w:r>
      <w:proofErr w:type="spellEnd"/>
      <w:r>
        <w:rPr>
          <w:rFonts w:hint="cs"/>
          <w:rtl/>
        </w:rPr>
        <w:t xml:space="preserve"> </w:t>
      </w:r>
      <w:r w:rsidR="002A3AA4">
        <w:rPr>
          <w:rFonts w:hint="cs"/>
          <w:rtl/>
        </w:rPr>
        <w:t xml:space="preserve">قد </w:t>
      </w:r>
      <w:r>
        <w:rPr>
          <w:rtl/>
        </w:rPr>
        <w:t xml:space="preserve">أدانت </w:t>
      </w:r>
      <w:r w:rsidR="002A3AA4">
        <w:rPr>
          <w:rFonts w:hint="cs"/>
          <w:rtl/>
        </w:rPr>
        <w:t xml:space="preserve">صاحب البلاغ </w:t>
      </w:r>
      <w:r>
        <w:rPr>
          <w:rtl/>
        </w:rPr>
        <w:t>في 1</w:t>
      </w:r>
      <w:r>
        <w:rPr>
          <w:rFonts w:hint="cs"/>
          <w:rtl/>
        </w:rPr>
        <w:t>2</w:t>
      </w:r>
      <w:r>
        <w:rPr>
          <w:rtl/>
        </w:rPr>
        <w:t xml:space="preserve"> </w:t>
      </w:r>
      <w:r>
        <w:rPr>
          <w:rFonts w:hint="cs"/>
          <w:rtl/>
        </w:rPr>
        <w:t>شباط</w:t>
      </w:r>
      <w:r>
        <w:rPr>
          <w:rtl/>
        </w:rPr>
        <w:t>/</w:t>
      </w:r>
      <w:r>
        <w:rPr>
          <w:rFonts w:hint="cs"/>
          <w:rtl/>
        </w:rPr>
        <w:t>فبراير</w:t>
      </w:r>
      <w:r>
        <w:rPr>
          <w:rtl/>
        </w:rPr>
        <w:t xml:space="preserve"> 200</w:t>
      </w:r>
      <w:r>
        <w:rPr>
          <w:rFonts w:hint="cs"/>
          <w:rtl/>
        </w:rPr>
        <w:t>8</w:t>
      </w:r>
      <w:r>
        <w:rPr>
          <w:rtl/>
        </w:rPr>
        <w:t xml:space="preserve"> </w:t>
      </w:r>
      <w:r>
        <w:rPr>
          <w:rFonts w:hint="cs"/>
          <w:rtl/>
        </w:rPr>
        <w:t xml:space="preserve">بموجب المادة 23-24 </w:t>
      </w:r>
      <w:r w:rsidR="002A3AA4">
        <w:rPr>
          <w:rFonts w:hint="cs"/>
          <w:rtl/>
        </w:rPr>
        <w:t xml:space="preserve">(الجزء الأول) </w:t>
      </w:r>
      <w:r>
        <w:rPr>
          <w:rFonts w:hint="cs"/>
          <w:rtl/>
        </w:rPr>
        <w:t xml:space="preserve">من قانون المخالفات الإدارية </w:t>
      </w:r>
      <w:r>
        <w:rPr>
          <w:rtl/>
        </w:rPr>
        <w:t>وحكمت عليه بغرامة</w:t>
      </w:r>
      <w:r>
        <w:rPr>
          <w:rFonts w:hint="cs"/>
          <w:rtl/>
        </w:rPr>
        <w:t xml:space="preserve">. ورأت المحكمة </w:t>
      </w:r>
      <w:r>
        <w:rPr>
          <w:rtl/>
        </w:rPr>
        <w:t>في 1</w:t>
      </w:r>
      <w:r>
        <w:rPr>
          <w:rFonts w:hint="cs"/>
          <w:rtl/>
        </w:rPr>
        <w:t>2</w:t>
      </w:r>
      <w:r>
        <w:rPr>
          <w:rtl/>
        </w:rPr>
        <w:t xml:space="preserve"> </w:t>
      </w:r>
      <w:r>
        <w:rPr>
          <w:rFonts w:hint="cs"/>
          <w:rtl/>
        </w:rPr>
        <w:t>شباط</w:t>
      </w:r>
      <w:r>
        <w:rPr>
          <w:rtl/>
        </w:rPr>
        <w:t>/</w:t>
      </w:r>
      <w:r>
        <w:rPr>
          <w:rFonts w:hint="cs"/>
          <w:rtl/>
        </w:rPr>
        <w:t>فبراير</w:t>
      </w:r>
      <w:r>
        <w:rPr>
          <w:rtl/>
        </w:rPr>
        <w:t xml:space="preserve"> 200</w:t>
      </w:r>
      <w:r>
        <w:rPr>
          <w:rFonts w:hint="cs"/>
          <w:rtl/>
        </w:rPr>
        <w:t>8</w:t>
      </w:r>
      <w:r>
        <w:rPr>
          <w:rtl/>
        </w:rPr>
        <w:t xml:space="preserve"> </w:t>
      </w:r>
      <w:r>
        <w:rPr>
          <w:rFonts w:hint="cs"/>
          <w:rtl/>
        </w:rPr>
        <w:t>أن صاحب البلاغ وزّع مع شخص آخر مناشير تدعو المواطنين إلى حضور اجتماع غير مصرح به سيعقد في 15 شباط/فبراير 2008. وضبطت الشرطة بحوزتهما 933</w:t>
      </w:r>
      <w:r w:rsidR="002A3AA4">
        <w:rPr>
          <w:rFonts w:hint="cs"/>
          <w:rtl/>
        </w:rPr>
        <w:t xml:space="preserve"> 1</w:t>
      </w:r>
      <w:r>
        <w:rPr>
          <w:rFonts w:hint="cs"/>
          <w:rtl/>
        </w:rPr>
        <w:t xml:space="preserve"> منشوراً. و</w:t>
      </w:r>
      <w:r w:rsidR="002A3AA4">
        <w:rPr>
          <w:rFonts w:hint="cs"/>
          <w:rtl/>
        </w:rPr>
        <w:t>أوضح</w:t>
      </w:r>
      <w:r>
        <w:rPr>
          <w:rFonts w:hint="cs"/>
          <w:rtl/>
        </w:rPr>
        <w:t xml:space="preserve">ت الدولة الطرف أن السيد </w:t>
      </w:r>
      <w:proofErr w:type="spellStart"/>
      <w:r>
        <w:rPr>
          <w:rFonts w:hint="cs"/>
          <w:rtl/>
        </w:rPr>
        <w:t>شوميلين</w:t>
      </w:r>
      <w:proofErr w:type="spellEnd"/>
      <w:r>
        <w:rPr>
          <w:rFonts w:hint="cs"/>
          <w:rtl/>
        </w:rPr>
        <w:t xml:space="preserve"> اعترف بذنبه </w:t>
      </w:r>
      <w:r w:rsidR="00364F11">
        <w:rPr>
          <w:rFonts w:hint="cs"/>
          <w:rtl/>
        </w:rPr>
        <w:t xml:space="preserve">    </w:t>
      </w:r>
      <w:r>
        <w:rPr>
          <w:rFonts w:hint="cs"/>
          <w:rtl/>
        </w:rPr>
        <w:t xml:space="preserve">أمام المحكمة ولم </w:t>
      </w:r>
      <w:r w:rsidR="002A3AA4">
        <w:rPr>
          <w:rFonts w:hint="cs"/>
          <w:rtl/>
        </w:rPr>
        <w:t>يقدم</w:t>
      </w:r>
      <w:r>
        <w:rPr>
          <w:rFonts w:hint="cs"/>
          <w:rtl/>
        </w:rPr>
        <w:t xml:space="preserve"> شكوى </w:t>
      </w:r>
      <w:r w:rsidR="002A3AA4">
        <w:rPr>
          <w:rFonts w:hint="cs"/>
          <w:rtl/>
        </w:rPr>
        <w:t>إلى</w:t>
      </w:r>
      <w:r>
        <w:rPr>
          <w:rFonts w:hint="cs"/>
          <w:rtl/>
        </w:rPr>
        <w:t xml:space="preserve"> المدعي العام بشأن قضيته الإدارية. وقد </w:t>
      </w:r>
      <w:r w:rsidR="002A3AA4">
        <w:rPr>
          <w:rFonts w:hint="cs"/>
          <w:rtl/>
        </w:rPr>
        <w:t>أكدت</w:t>
      </w:r>
      <w:r>
        <w:rPr>
          <w:rFonts w:hint="cs"/>
          <w:rtl/>
        </w:rPr>
        <w:t xml:space="preserve"> محكمة </w:t>
      </w:r>
      <w:proofErr w:type="spellStart"/>
      <w:r>
        <w:rPr>
          <w:rFonts w:hint="cs"/>
          <w:rtl/>
        </w:rPr>
        <w:t>غوميل</w:t>
      </w:r>
      <w:proofErr w:type="spellEnd"/>
      <w:r>
        <w:rPr>
          <w:rFonts w:hint="cs"/>
          <w:rtl/>
        </w:rPr>
        <w:t xml:space="preserve"> الإقليمية في 29 شباط/فبراير 2008 القرار الصادر عن المحكمة. وصار القرار </w:t>
      </w:r>
      <w:r w:rsidR="00364F11">
        <w:rPr>
          <w:rFonts w:hint="cs"/>
          <w:rtl/>
        </w:rPr>
        <w:t xml:space="preserve">    </w:t>
      </w:r>
      <w:r>
        <w:rPr>
          <w:rFonts w:hint="cs"/>
          <w:rtl/>
        </w:rPr>
        <w:t>نافذاً بشكل فوري ولم يكن بإمكان صاحب البلاغ الاستئناف إل</w:t>
      </w:r>
      <w:r w:rsidR="002A3AA4">
        <w:rPr>
          <w:rFonts w:hint="cs"/>
          <w:rtl/>
        </w:rPr>
        <w:t>ا</w:t>
      </w:r>
      <w:r>
        <w:rPr>
          <w:rFonts w:hint="cs"/>
          <w:rtl/>
        </w:rPr>
        <w:t xml:space="preserve"> من خل</w:t>
      </w:r>
      <w:r w:rsidR="002A3AA4">
        <w:rPr>
          <w:rFonts w:hint="cs"/>
          <w:rtl/>
        </w:rPr>
        <w:t>ال إجراءات المراجعة القضائية.</w:t>
      </w:r>
    </w:p>
    <w:p w:rsidR="002E5141" w:rsidRDefault="002E5141" w:rsidP="007E0D5A">
      <w:pPr>
        <w:pStyle w:val="SingleTxtGA"/>
        <w:rPr>
          <w:rFonts w:hint="cs"/>
          <w:rtl/>
          <w:lang w:val="fr-CH"/>
        </w:rPr>
      </w:pPr>
      <w:r>
        <w:rPr>
          <w:rtl/>
        </w:rPr>
        <w:t>4-2</w:t>
      </w:r>
      <w:r>
        <w:rPr>
          <w:rtl/>
        </w:rPr>
        <w:tab/>
      </w:r>
      <w:r>
        <w:rPr>
          <w:rFonts w:hint="cs"/>
          <w:rtl/>
        </w:rPr>
        <w:t xml:space="preserve">وتطعن الدولة الطرف في </w:t>
      </w:r>
      <w:proofErr w:type="spellStart"/>
      <w:r>
        <w:rPr>
          <w:rFonts w:hint="cs"/>
          <w:rtl/>
        </w:rPr>
        <w:t>مقبولية</w:t>
      </w:r>
      <w:proofErr w:type="spellEnd"/>
      <w:r>
        <w:rPr>
          <w:rFonts w:hint="cs"/>
          <w:rtl/>
        </w:rPr>
        <w:t xml:space="preserve"> البلاغ، </w:t>
      </w:r>
      <w:r>
        <w:rPr>
          <w:rFonts w:hint="cs"/>
          <w:rtl/>
          <w:lang w:val="fr-CH"/>
        </w:rPr>
        <w:t>ب</w:t>
      </w:r>
      <w:r w:rsidR="002A3AA4">
        <w:rPr>
          <w:rFonts w:hint="cs"/>
          <w:rtl/>
          <w:lang w:val="fr-CH"/>
        </w:rPr>
        <w:t>اعتبار</w:t>
      </w:r>
      <w:r>
        <w:rPr>
          <w:rtl/>
          <w:lang w:val="fr-CH"/>
        </w:rPr>
        <w:t xml:space="preserve"> أنه كان بوسع </w:t>
      </w:r>
      <w:r>
        <w:rPr>
          <w:rFonts w:hint="cs"/>
          <w:rtl/>
          <w:lang w:val="fr-CH"/>
        </w:rPr>
        <w:t>صاحب البلاغ</w:t>
      </w:r>
      <w:r>
        <w:rPr>
          <w:rtl/>
          <w:lang w:val="fr-CH"/>
        </w:rPr>
        <w:t xml:space="preserve"> بموجب </w:t>
      </w:r>
      <w:r w:rsidR="003703E4">
        <w:rPr>
          <w:rFonts w:hint="cs"/>
          <w:rtl/>
          <w:lang w:val="fr-CH"/>
        </w:rPr>
        <w:t xml:space="preserve">أحكام </w:t>
      </w:r>
      <w:r>
        <w:rPr>
          <w:rtl/>
          <w:lang w:val="fr-CH"/>
        </w:rPr>
        <w:t xml:space="preserve">قانون الإجراءات التنفيذية </w:t>
      </w:r>
      <w:r w:rsidR="003703E4">
        <w:rPr>
          <w:rFonts w:hint="cs"/>
          <w:rtl/>
          <w:lang w:val="fr-CH"/>
        </w:rPr>
        <w:t>المتعلقة با</w:t>
      </w:r>
      <w:r>
        <w:rPr>
          <w:rtl/>
          <w:lang w:val="fr-CH"/>
        </w:rPr>
        <w:t xml:space="preserve">لمخالفات الإدارية، </w:t>
      </w:r>
      <w:r>
        <w:rPr>
          <w:rFonts w:hint="cs"/>
          <w:rtl/>
          <w:lang w:val="fr-CH"/>
        </w:rPr>
        <w:t xml:space="preserve">تقديم طلب مراجعة قضائية لقرار محكمة </w:t>
      </w:r>
      <w:proofErr w:type="spellStart"/>
      <w:r>
        <w:rPr>
          <w:rFonts w:hint="cs"/>
          <w:rtl/>
          <w:lang w:val="fr-CH"/>
        </w:rPr>
        <w:t>غوميل</w:t>
      </w:r>
      <w:proofErr w:type="spellEnd"/>
      <w:r>
        <w:rPr>
          <w:rFonts w:hint="cs"/>
          <w:rtl/>
          <w:lang w:val="fr-CH"/>
        </w:rPr>
        <w:t xml:space="preserve"> الإقليمية إلى رئيس السلطة القضائية الأعلى، أي إلى رئيس المحكمة العليا في هذه الحالة، وهو ما لم يفعله صاحب البلاغ. </w:t>
      </w:r>
    </w:p>
    <w:p w:rsidR="002E5141" w:rsidRDefault="002E5141" w:rsidP="007E0D5A">
      <w:pPr>
        <w:pStyle w:val="SingleTxtGA"/>
        <w:rPr>
          <w:rFonts w:hint="cs"/>
          <w:rtl/>
          <w:lang w:val="fr-CH"/>
        </w:rPr>
      </w:pPr>
      <w:r>
        <w:rPr>
          <w:rtl/>
        </w:rPr>
        <w:t>4-3</w:t>
      </w:r>
      <w:r>
        <w:rPr>
          <w:rFonts w:hint="cs"/>
          <w:rtl/>
        </w:rPr>
        <w:tab/>
        <w:t xml:space="preserve">وتوضح الدولة الطرف أن الطعون المقدمة بموجب إجراءات المراجعة القضائية التي تنص عليها المادة 12-14 </w:t>
      </w:r>
      <w:r w:rsidR="003703E4">
        <w:rPr>
          <w:rFonts w:hint="cs"/>
          <w:rtl/>
        </w:rPr>
        <w:t xml:space="preserve">من </w:t>
      </w:r>
      <w:r>
        <w:rPr>
          <w:rtl/>
          <w:lang w:val="fr-CH"/>
        </w:rPr>
        <w:t>قانون الإجراءات التنفيذية</w:t>
      </w:r>
      <w:r w:rsidR="003703E4">
        <w:rPr>
          <w:rFonts w:hint="cs"/>
          <w:rtl/>
          <w:lang w:val="fr-CH"/>
        </w:rPr>
        <w:t xml:space="preserve"> المتعلقة با</w:t>
      </w:r>
      <w:r>
        <w:rPr>
          <w:rtl/>
          <w:lang w:val="fr-CH"/>
        </w:rPr>
        <w:t>لمخالفات الإدارية</w:t>
      </w:r>
      <w:r>
        <w:rPr>
          <w:rFonts w:hint="cs"/>
          <w:rtl/>
          <w:lang w:val="fr-CH"/>
        </w:rPr>
        <w:t xml:space="preserve"> تفترض التحقق من قانونية القرارات المطعون بها وأسس القرار و</w:t>
      </w:r>
      <w:r w:rsidR="003703E4">
        <w:rPr>
          <w:rFonts w:hint="cs"/>
          <w:rtl/>
          <w:lang w:val="fr-CH"/>
        </w:rPr>
        <w:t>إ</w:t>
      </w:r>
      <w:r>
        <w:rPr>
          <w:rFonts w:hint="cs"/>
          <w:rtl/>
          <w:lang w:val="fr-CH"/>
        </w:rPr>
        <w:t xml:space="preserve">نصافه على ضوء الحجج الواردة في الطعن. وإن </w:t>
      </w:r>
      <w:r w:rsidR="007E0D5A">
        <w:rPr>
          <w:rFonts w:hint="cs"/>
          <w:rtl/>
          <w:lang w:val="fr-CH"/>
        </w:rPr>
        <w:t>وجد</w:t>
      </w:r>
      <w:r>
        <w:rPr>
          <w:rFonts w:hint="cs"/>
          <w:rtl/>
          <w:lang w:val="fr-CH"/>
        </w:rPr>
        <w:t>ت المحكمة أسساً تسمح بتحسين وضع الشخص المعني، فقد تعيد النظر في القرار جزئياً، حتى وإن كان الشخص</w:t>
      </w:r>
      <w:r w:rsidR="003703E4">
        <w:rPr>
          <w:rFonts w:hint="cs"/>
          <w:rtl/>
          <w:lang w:val="fr-CH"/>
        </w:rPr>
        <w:t xml:space="preserve"> المعني</w:t>
      </w:r>
      <w:r>
        <w:rPr>
          <w:rFonts w:hint="cs"/>
          <w:rtl/>
          <w:lang w:val="fr-CH"/>
        </w:rPr>
        <w:t xml:space="preserve"> لم يطلب ذلك تحديداً في الطعن. لذلك تعتبر الدولة الطرف أن ادعاء صاحب البلاغ بأن إجراءات المراجعة القضائية غير فعالة</w:t>
      </w:r>
      <w:r w:rsidR="003703E4">
        <w:rPr>
          <w:rFonts w:hint="cs"/>
          <w:rtl/>
          <w:lang w:val="fr-CH"/>
        </w:rPr>
        <w:t xml:space="preserve"> هو إدعاء </w:t>
      </w:r>
      <w:r w:rsidR="00364F11">
        <w:rPr>
          <w:rFonts w:hint="cs"/>
          <w:rtl/>
          <w:lang w:val="fr-CH"/>
        </w:rPr>
        <w:t xml:space="preserve"> </w:t>
      </w:r>
      <w:r>
        <w:rPr>
          <w:rFonts w:hint="cs"/>
          <w:rtl/>
          <w:lang w:val="fr-CH"/>
        </w:rPr>
        <w:t xml:space="preserve">لا أساس له. وتضيف الدولة الطرف </w:t>
      </w:r>
      <w:r w:rsidR="003703E4">
        <w:rPr>
          <w:rFonts w:hint="cs"/>
          <w:rtl/>
          <w:lang w:val="fr-CH"/>
        </w:rPr>
        <w:t>ب</w:t>
      </w:r>
      <w:r>
        <w:rPr>
          <w:rFonts w:hint="cs"/>
          <w:rtl/>
          <w:lang w:val="fr-CH"/>
        </w:rPr>
        <w:t>أن</w:t>
      </w:r>
      <w:r w:rsidR="003703E4">
        <w:rPr>
          <w:rFonts w:hint="cs"/>
          <w:rtl/>
          <w:lang w:val="fr-CH"/>
        </w:rPr>
        <w:t>ه</w:t>
      </w:r>
      <w:r>
        <w:rPr>
          <w:rFonts w:hint="cs"/>
          <w:rtl/>
          <w:lang w:val="fr-CH"/>
        </w:rPr>
        <w:t xml:space="preserve"> لا يزال بإمكان صاحب البلاغ </w:t>
      </w:r>
      <w:r w:rsidR="003703E4">
        <w:rPr>
          <w:rFonts w:hint="cs"/>
          <w:rtl/>
          <w:lang w:val="fr-CH"/>
        </w:rPr>
        <w:t>تقديم</w:t>
      </w:r>
      <w:r>
        <w:rPr>
          <w:rFonts w:hint="cs"/>
          <w:rtl/>
          <w:lang w:val="fr-CH"/>
        </w:rPr>
        <w:t xml:space="preserve"> طعن لدى المحكمة العليا لطلب مراجعة قضائية.</w:t>
      </w:r>
    </w:p>
    <w:p w:rsidR="002E5141" w:rsidRPr="00B5685C" w:rsidRDefault="002E5141" w:rsidP="007E0D5A">
      <w:pPr>
        <w:pStyle w:val="SingleTxtGA"/>
        <w:rPr>
          <w:rFonts w:hint="cs"/>
          <w:rtl/>
          <w:lang w:val="fr-CH"/>
        </w:rPr>
      </w:pPr>
      <w:r>
        <w:rPr>
          <w:rFonts w:hint="cs"/>
          <w:rtl/>
          <w:lang w:val="fr-CH"/>
        </w:rPr>
        <w:t>4-4</w:t>
      </w:r>
      <w:r>
        <w:rPr>
          <w:rFonts w:hint="cs"/>
          <w:rtl/>
          <w:lang w:val="fr-CH"/>
        </w:rPr>
        <w:tab/>
        <w:t>وفيما يتعلق بالأسس الموضوعية، ترفض الدولة الطرف ادعاءات صاحب البلاغ باعتبارها غير قائمة على أسس موضوعية. وت</w:t>
      </w:r>
      <w:r w:rsidR="003703E4">
        <w:rPr>
          <w:rFonts w:hint="cs"/>
          <w:rtl/>
          <w:lang w:val="fr-CH"/>
        </w:rPr>
        <w:t>وض</w:t>
      </w:r>
      <w:r>
        <w:rPr>
          <w:rFonts w:hint="cs"/>
          <w:rtl/>
          <w:lang w:val="fr-CH"/>
        </w:rPr>
        <w:t xml:space="preserve">ح الدولة الطرف أن المادة </w:t>
      </w:r>
      <w:r w:rsidR="003703E4">
        <w:rPr>
          <w:rFonts w:hint="cs"/>
          <w:rtl/>
          <w:lang w:val="fr-CH"/>
        </w:rPr>
        <w:t>23-24</w:t>
      </w:r>
      <w:r>
        <w:rPr>
          <w:rFonts w:hint="cs"/>
          <w:rtl/>
          <w:lang w:val="fr-CH"/>
        </w:rPr>
        <w:t xml:space="preserve"> من قانون المخالفات الإدارية تنص على أن انتهاك ا</w:t>
      </w:r>
      <w:r w:rsidR="003703E4">
        <w:rPr>
          <w:rFonts w:hint="cs"/>
          <w:rtl/>
          <w:lang w:val="fr-CH"/>
        </w:rPr>
        <w:t>للوائح</w:t>
      </w:r>
      <w:r>
        <w:rPr>
          <w:rFonts w:hint="cs"/>
          <w:rtl/>
          <w:lang w:val="fr-CH"/>
        </w:rPr>
        <w:t xml:space="preserve"> المتعلقة بتنظيم </w:t>
      </w:r>
      <w:r>
        <w:rPr>
          <w:rtl/>
          <w:lang w:val="fr-CH"/>
        </w:rPr>
        <w:t>أو عقد</w:t>
      </w:r>
      <w:r w:rsidR="001B3609">
        <w:rPr>
          <w:rFonts w:hint="cs"/>
          <w:rtl/>
          <w:lang w:val="fr-CH"/>
        </w:rPr>
        <w:br/>
      </w:r>
      <w:r>
        <w:rPr>
          <w:rFonts w:hint="cs"/>
          <w:rtl/>
          <w:lang w:val="fr-CH"/>
        </w:rPr>
        <w:t xml:space="preserve">تجمعات أو </w:t>
      </w:r>
      <w:r>
        <w:rPr>
          <w:rtl/>
          <w:lang w:val="fr-CH"/>
        </w:rPr>
        <w:t xml:space="preserve">اجتماعات </w:t>
      </w:r>
      <w:r>
        <w:rPr>
          <w:rFonts w:hint="cs"/>
          <w:rtl/>
          <w:lang w:val="fr-CH"/>
        </w:rPr>
        <w:t>أ</w:t>
      </w:r>
      <w:r>
        <w:rPr>
          <w:rtl/>
          <w:lang w:val="fr-CH"/>
        </w:rPr>
        <w:t>و</w:t>
      </w:r>
      <w:r>
        <w:rPr>
          <w:rFonts w:hint="cs"/>
          <w:rtl/>
          <w:lang w:val="fr-CH"/>
        </w:rPr>
        <w:t xml:space="preserve"> </w:t>
      </w:r>
      <w:r>
        <w:rPr>
          <w:rtl/>
          <w:lang w:val="fr-CH"/>
        </w:rPr>
        <w:t xml:space="preserve">مظاهرات </w:t>
      </w:r>
      <w:r>
        <w:rPr>
          <w:rFonts w:hint="cs"/>
          <w:rtl/>
          <w:lang w:val="fr-CH"/>
        </w:rPr>
        <w:t>أو</w:t>
      </w:r>
      <w:r>
        <w:rPr>
          <w:rtl/>
          <w:lang w:val="fr-CH"/>
        </w:rPr>
        <w:t xml:space="preserve"> تظاهرات جماهيرية</w:t>
      </w:r>
      <w:r>
        <w:rPr>
          <w:rFonts w:hint="cs"/>
          <w:rtl/>
          <w:lang w:val="fr-CH"/>
        </w:rPr>
        <w:t xml:space="preserve"> يشكّل مخالفة إدارية عقوبتها الإنذار</w:t>
      </w:r>
      <w:r w:rsidR="001B3609">
        <w:rPr>
          <w:rFonts w:hint="cs"/>
          <w:rtl/>
          <w:lang w:val="fr-CH"/>
        </w:rPr>
        <w:t xml:space="preserve"> </w:t>
      </w:r>
      <w:r>
        <w:rPr>
          <w:rFonts w:hint="cs"/>
          <w:rtl/>
          <w:lang w:val="fr-CH"/>
        </w:rPr>
        <w:t xml:space="preserve">أو التغريم. والمواد الموجودة في الملف، بما فيها المناشير موضوع القضية، تُظهر </w:t>
      </w:r>
      <w:r w:rsidR="001B3609">
        <w:rPr>
          <w:rFonts w:hint="cs"/>
          <w:rtl/>
          <w:lang w:val="fr-CH"/>
        </w:rPr>
        <w:t xml:space="preserve"> </w:t>
      </w:r>
      <w:r>
        <w:rPr>
          <w:rFonts w:hint="cs"/>
          <w:rtl/>
          <w:lang w:val="fr-CH"/>
        </w:rPr>
        <w:t xml:space="preserve">بوضوح أن الاجتماع لم يكن مصرحاً به. وهي تتضمن كذلك دعوة إلى المواطنين لحضور الاجتماع. ونظراً إلى أن الاجتماع المذكور لم </w:t>
      </w:r>
      <w:r w:rsidR="003703E4">
        <w:rPr>
          <w:rFonts w:hint="cs"/>
          <w:rtl/>
          <w:lang w:val="fr-CH"/>
        </w:rPr>
        <w:t xml:space="preserve">يُصرّح به على النحو </w:t>
      </w:r>
      <w:r>
        <w:rPr>
          <w:rFonts w:hint="cs"/>
          <w:rtl/>
          <w:lang w:val="fr-CH"/>
        </w:rPr>
        <w:t xml:space="preserve">اللازم، فلا يمكن </w:t>
      </w:r>
      <w:r w:rsidR="001B3609">
        <w:rPr>
          <w:rFonts w:hint="cs"/>
          <w:rtl/>
          <w:lang w:val="fr-CH"/>
        </w:rPr>
        <w:t xml:space="preserve">   </w:t>
      </w:r>
      <w:r>
        <w:rPr>
          <w:rFonts w:hint="cs"/>
          <w:rtl/>
          <w:lang w:val="fr-CH"/>
        </w:rPr>
        <w:t xml:space="preserve">اعتبار أعمال صاحب البلاغ </w:t>
      </w:r>
      <w:r w:rsidR="003703E4">
        <w:rPr>
          <w:rFonts w:hint="cs"/>
          <w:rtl/>
          <w:lang w:val="fr-CH"/>
        </w:rPr>
        <w:t xml:space="preserve">إلا خرقاً للوائح التي تنظم </w:t>
      </w:r>
      <w:r>
        <w:rPr>
          <w:rFonts w:hint="cs"/>
          <w:rtl/>
          <w:lang w:val="fr-CH"/>
        </w:rPr>
        <w:t xml:space="preserve">التظاهرات الجماهيرية. وصاحب البلاغ </w:t>
      </w:r>
      <w:r w:rsidR="007E0D5A">
        <w:rPr>
          <w:rFonts w:hint="cs"/>
          <w:rtl/>
          <w:lang w:val="fr-CH"/>
        </w:rPr>
        <w:t xml:space="preserve">قد </w:t>
      </w:r>
      <w:r>
        <w:rPr>
          <w:rFonts w:hint="cs"/>
          <w:rtl/>
          <w:lang w:val="fr-CH"/>
        </w:rPr>
        <w:t>انتهك المادة 8 من قانون التظاهرات الجماهيرية التي يحظر بموجبها على أي شخص دون استثناء إعداد مواد إعلامية ونشرها بشأن تنظيم تظاهرة جماهيرية قبل</w:t>
      </w:r>
      <w:r w:rsidR="003703E4">
        <w:rPr>
          <w:rFonts w:hint="cs"/>
          <w:rtl/>
          <w:lang w:val="fr-CH"/>
        </w:rPr>
        <w:t xml:space="preserve"> الحصول على التصريح اللازم.</w:t>
      </w:r>
    </w:p>
    <w:p w:rsidR="002E5141" w:rsidRDefault="002E5141" w:rsidP="002E5141">
      <w:pPr>
        <w:pStyle w:val="H23GA"/>
        <w:rPr>
          <w:rtl/>
        </w:rPr>
      </w:pPr>
      <w:r>
        <w:rPr>
          <w:rtl/>
        </w:rPr>
        <w:tab/>
      </w:r>
      <w:r>
        <w:rPr>
          <w:rtl/>
        </w:rPr>
        <w:tab/>
        <w:t>تعليقات صاحب البلاغ على ملاحظات الدولة الطرف</w:t>
      </w:r>
    </w:p>
    <w:p w:rsidR="002E5141" w:rsidRDefault="002E5141" w:rsidP="003703E4">
      <w:pPr>
        <w:pStyle w:val="SingleTxtGA"/>
      </w:pPr>
      <w:r>
        <w:rPr>
          <w:rtl/>
        </w:rPr>
        <w:t>5-1</w:t>
      </w:r>
      <w:r>
        <w:rPr>
          <w:rtl/>
        </w:rPr>
        <w:tab/>
      </w:r>
      <w:r>
        <w:rPr>
          <w:rFonts w:hint="cs"/>
          <w:rtl/>
          <w:lang w:bidi="ar-LB"/>
        </w:rPr>
        <w:t>في 22 أيلول/سبتمبر 2008</w:t>
      </w:r>
      <w:r>
        <w:rPr>
          <w:rtl/>
        </w:rPr>
        <w:t xml:space="preserve">، </w:t>
      </w:r>
      <w:r w:rsidR="003703E4">
        <w:rPr>
          <w:rFonts w:hint="cs"/>
          <w:rtl/>
        </w:rPr>
        <w:t xml:space="preserve">أوضح </w:t>
      </w:r>
      <w:r>
        <w:rPr>
          <w:rtl/>
        </w:rPr>
        <w:t xml:space="preserve">صاحب البلاغ </w:t>
      </w:r>
      <w:r>
        <w:rPr>
          <w:rFonts w:hint="cs"/>
          <w:rtl/>
        </w:rPr>
        <w:t>أ</w:t>
      </w:r>
      <w:r>
        <w:rPr>
          <w:rtl/>
        </w:rPr>
        <w:t xml:space="preserve">نه لم يستخدم حقه في تقديم شكوى إلى </w:t>
      </w:r>
      <w:r>
        <w:rPr>
          <w:rFonts w:hint="cs"/>
          <w:rtl/>
        </w:rPr>
        <w:t xml:space="preserve">مكتب المدعي العام </w:t>
      </w:r>
      <w:r>
        <w:rPr>
          <w:rtl/>
        </w:rPr>
        <w:t xml:space="preserve">لأن مثل هذه الشكوى لا </w:t>
      </w:r>
      <w:r w:rsidR="003703E4">
        <w:rPr>
          <w:rFonts w:hint="cs"/>
          <w:rtl/>
        </w:rPr>
        <w:t xml:space="preserve">تؤدي إلى </w:t>
      </w:r>
      <w:r>
        <w:rPr>
          <w:rtl/>
        </w:rPr>
        <w:t xml:space="preserve">إعادة النظر في القضية </w:t>
      </w:r>
      <w:r>
        <w:rPr>
          <w:rFonts w:hint="cs"/>
          <w:rtl/>
        </w:rPr>
        <w:t xml:space="preserve">لأن هذا الطعن غير فعّال ولا يؤدي إلى دراسة القضية </w:t>
      </w:r>
      <w:r w:rsidR="003703E4">
        <w:rPr>
          <w:rFonts w:hint="cs"/>
          <w:rtl/>
        </w:rPr>
        <w:t>من حيث</w:t>
      </w:r>
      <w:r>
        <w:rPr>
          <w:rFonts w:hint="cs"/>
          <w:rtl/>
        </w:rPr>
        <w:t xml:space="preserve"> الأسس الموضوعية</w:t>
      </w:r>
      <w:r>
        <w:rPr>
          <w:rtl/>
        </w:rPr>
        <w:t xml:space="preserve">. </w:t>
      </w:r>
      <w:r w:rsidR="003703E4">
        <w:rPr>
          <w:rFonts w:hint="cs"/>
          <w:rtl/>
        </w:rPr>
        <w:t xml:space="preserve">وهو </w:t>
      </w:r>
      <w:r>
        <w:rPr>
          <w:rtl/>
        </w:rPr>
        <w:t xml:space="preserve">يشير إلى </w:t>
      </w:r>
      <w:r>
        <w:rPr>
          <w:rFonts w:hint="cs"/>
          <w:rtl/>
        </w:rPr>
        <w:t xml:space="preserve">أنه ينبغي استنفاد سبل </w:t>
      </w:r>
      <w:r>
        <w:rPr>
          <w:rtl/>
        </w:rPr>
        <w:t>الانتصاف</w:t>
      </w:r>
      <w:r>
        <w:rPr>
          <w:rFonts w:hint="cs"/>
          <w:rtl/>
        </w:rPr>
        <w:t xml:space="preserve"> الفعالة</w:t>
      </w:r>
      <w:r>
        <w:rPr>
          <w:rtl/>
        </w:rPr>
        <w:t xml:space="preserve"> </w:t>
      </w:r>
      <w:r>
        <w:rPr>
          <w:rFonts w:hint="cs"/>
          <w:rtl/>
        </w:rPr>
        <w:t>وال</w:t>
      </w:r>
      <w:r>
        <w:rPr>
          <w:rtl/>
        </w:rPr>
        <w:t>متاحة</w:t>
      </w:r>
      <w:r>
        <w:rPr>
          <w:rFonts w:hint="cs"/>
          <w:rtl/>
        </w:rPr>
        <w:t xml:space="preserve"> فقط. </w:t>
      </w:r>
    </w:p>
    <w:p w:rsidR="002E5141" w:rsidRPr="00364F11" w:rsidRDefault="002E5141" w:rsidP="007E0D5A">
      <w:pPr>
        <w:pStyle w:val="SingleTxtGA"/>
        <w:rPr>
          <w:rtl/>
        </w:rPr>
      </w:pPr>
      <w:r w:rsidRPr="00364F11">
        <w:rPr>
          <w:rtl/>
        </w:rPr>
        <w:t>5-2</w:t>
      </w:r>
      <w:r w:rsidRPr="00364F11">
        <w:rPr>
          <w:rtl/>
        </w:rPr>
        <w:tab/>
      </w:r>
      <w:r w:rsidRPr="00364F11">
        <w:rPr>
          <w:rFonts w:hint="cs"/>
          <w:rtl/>
        </w:rPr>
        <w:t xml:space="preserve">وفيما يخص ادعاء الدولة الطرف بأنه وزّع مناشير تدعو إلى اجتماع قبل الحصول على </w:t>
      </w:r>
      <w:r w:rsidR="003703E4" w:rsidRPr="00364F11">
        <w:rPr>
          <w:rFonts w:hint="cs"/>
          <w:rtl/>
        </w:rPr>
        <w:t>إذن بذلك</w:t>
      </w:r>
      <w:r w:rsidRPr="00364F11">
        <w:rPr>
          <w:rFonts w:hint="cs"/>
          <w:rtl/>
        </w:rPr>
        <w:t xml:space="preserve">، أشار صاحب البلاغ إلى أن العهد يسري بشكل مباشر في الدولة الطرف ويكفل حرية الجميع في نشر جميع أنواع المعلومات. وإن لم يكن هذا الحق مطلقاً، فلا يجوز تقييده إلا لأغراض القيود الواردة في الفقرة 3 من المادة 19 من العهد. وبما أن تقييد حقوقه لم يندرج في إطار أي من القيود التي يجيزها العهد، فإن سلطات الدولة الطرف </w:t>
      </w:r>
      <w:r w:rsidR="003703E4" w:rsidRPr="00364F11">
        <w:rPr>
          <w:rFonts w:hint="cs"/>
          <w:rtl/>
        </w:rPr>
        <w:t xml:space="preserve">تكون قد </w:t>
      </w:r>
      <w:r w:rsidRPr="00364F11">
        <w:rPr>
          <w:rFonts w:hint="cs"/>
          <w:rtl/>
        </w:rPr>
        <w:t>انتهكت حقوقه التي تكفلها ال</w:t>
      </w:r>
      <w:r w:rsidR="003703E4" w:rsidRPr="00364F11">
        <w:rPr>
          <w:rFonts w:hint="cs"/>
          <w:rtl/>
        </w:rPr>
        <w:t>فقرة 2 من المادة 19 من العهد.</w:t>
      </w:r>
    </w:p>
    <w:p w:rsidR="002E5141" w:rsidRPr="00CA6F94" w:rsidRDefault="002E5141" w:rsidP="007E0D5A">
      <w:pPr>
        <w:pStyle w:val="SingleTxtGA"/>
        <w:rPr>
          <w:rFonts w:hint="cs"/>
          <w:rtl/>
          <w:lang w:val="fr-CH"/>
        </w:rPr>
      </w:pPr>
      <w:r w:rsidRPr="00645E84">
        <w:rPr>
          <w:spacing w:val="2"/>
          <w:rtl/>
        </w:rPr>
        <w:t>5-3</w:t>
      </w:r>
      <w:r w:rsidRPr="00645E84">
        <w:rPr>
          <w:rFonts w:hint="cs"/>
          <w:spacing w:val="2"/>
          <w:rtl/>
        </w:rPr>
        <w:tab/>
      </w:r>
      <w:r>
        <w:rPr>
          <w:rtl/>
        </w:rPr>
        <w:t>و</w:t>
      </w:r>
      <w:r>
        <w:rPr>
          <w:rFonts w:hint="cs"/>
          <w:rtl/>
        </w:rPr>
        <w:t>يضيف صاحب البلاغ أنه و</w:t>
      </w:r>
      <w:r>
        <w:rPr>
          <w:rtl/>
        </w:rPr>
        <w:t xml:space="preserve">فقاً للمادة 8 من الدستور، تعترف </w:t>
      </w:r>
      <w:proofErr w:type="spellStart"/>
      <w:r>
        <w:rPr>
          <w:rtl/>
        </w:rPr>
        <w:t>بيلاروس</w:t>
      </w:r>
      <w:proofErr w:type="spellEnd"/>
      <w:r>
        <w:rPr>
          <w:rtl/>
        </w:rPr>
        <w:t xml:space="preserve"> بأسبقية مبادئ القانون الدولي المعترف بها عالمياً ويتعين عليها أن تكفل امتثال قوانينها لهذه المبادئ. </w:t>
      </w:r>
      <w:r>
        <w:rPr>
          <w:rFonts w:hint="cs"/>
          <w:rtl/>
        </w:rPr>
        <w:t>و</w:t>
      </w:r>
      <w:r w:rsidR="003703E4">
        <w:rPr>
          <w:rFonts w:hint="cs"/>
          <w:rtl/>
        </w:rPr>
        <w:t xml:space="preserve">هو </w:t>
      </w:r>
      <w:r>
        <w:rPr>
          <w:rFonts w:hint="cs"/>
          <w:rtl/>
        </w:rPr>
        <w:t>يشير إلى أنه يت</w:t>
      </w:r>
      <w:r w:rsidR="007E0D5A">
        <w:rPr>
          <w:rFonts w:hint="cs"/>
          <w:rtl/>
        </w:rPr>
        <w:t>ع</w:t>
      </w:r>
      <w:r>
        <w:rPr>
          <w:rFonts w:hint="cs"/>
          <w:rtl/>
        </w:rPr>
        <w:t>ين على الدول الأ</w:t>
      </w:r>
      <w:r w:rsidR="003703E4">
        <w:rPr>
          <w:rFonts w:hint="cs"/>
          <w:rtl/>
        </w:rPr>
        <w:t>طراف</w:t>
      </w:r>
      <w:r>
        <w:rPr>
          <w:rFonts w:hint="cs"/>
          <w:rtl/>
        </w:rPr>
        <w:t xml:space="preserve"> الوفاء بالتزاماتها الدولية بحسن نية، وأن </w:t>
      </w:r>
      <w:r w:rsidR="007E0D5A">
        <w:rPr>
          <w:rFonts w:hint="cs"/>
          <w:spacing w:val="4"/>
          <w:rtl/>
        </w:rPr>
        <w:t xml:space="preserve">  </w:t>
      </w:r>
      <w:r>
        <w:rPr>
          <w:rFonts w:hint="cs"/>
          <w:spacing w:val="4"/>
          <w:rtl/>
        </w:rPr>
        <w:t xml:space="preserve">المادتين 26 و27 من </w:t>
      </w:r>
      <w:r>
        <w:rPr>
          <w:rFonts w:hint="cs"/>
          <w:rtl/>
          <w:lang w:bidi="ar"/>
        </w:rPr>
        <w:t xml:space="preserve">اتفاقية فيينا لقانون المعاهدات </w:t>
      </w:r>
      <w:proofErr w:type="spellStart"/>
      <w:r>
        <w:rPr>
          <w:rFonts w:hint="cs"/>
          <w:rtl/>
          <w:lang w:bidi="ar"/>
        </w:rPr>
        <w:t>تنصان</w:t>
      </w:r>
      <w:proofErr w:type="spellEnd"/>
      <w:r>
        <w:rPr>
          <w:rFonts w:hint="cs"/>
          <w:rtl/>
          <w:lang w:bidi="ar"/>
        </w:rPr>
        <w:t xml:space="preserve"> على أنه لا يجوز لدولة طرف في اتفاق دولي </w:t>
      </w:r>
      <w:r w:rsidR="003703E4">
        <w:rPr>
          <w:rFonts w:hint="cs"/>
          <w:rtl/>
          <w:lang w:bidi="ar"/>
        </w:rPr>
        <w:t xml:space="preserve">الاحتجاج </w:t>
      </w:r>
      <w:r>
        <w:rPr>
          <w:rFonts w:hint="cs"/>
          <w:rtl/>
          <w:lang w:bidi="ar"/>
        </w:rPr>
        <w:t xml:space="preserve">بالقانون الوطني لتبرير عدم تطبيق أحكام القانون الدولي. </w:t>
      </w:r>
      <w:r>
        <w:rPr>
          <w:rtl/>
          <w:lang w:val="fr-CH"/>
        </w:rPr>
        <w:t xml:space="preserve">وذكَّر </w:t>
      </w:r>
      <w:r>
        <w:rPr>
          <w:rFonts w:hint="cs"/>
          <w:rtl/>
          <w:lang w:val="fr-CH"/>
        </w:rPr>
        <w:t>ب</w:t>
      </w:r>
      <w:r>
        <w:rPr>
          <w:rtl/>
          <w:lang w:val="fr-CH"/>
        </w:rPr>
        <w:t xml:space="preserve">أن المادة 15 من قانون المعاهدات الدولية تنص على أن المبادئ المُعترف بها عالمياً للقانون الدولي والمعاهدات الدولية التي </w:t>
      </w:r>
      <w:r w:rsidR="003703E4">
        <w:rPr>
          <w:rFonts w:hint="cs"/>
          <w:rtl/>
          <w:lang w:val="fr-CH"/>
        </w:rPr>
        <w:t>دخلت</w:t>
      </w:r>
      <w:r>
        <w:rPr>
          <w:rtl/>
          <w:lang w:val="fr-CH"/>
        </w:rPr>
        <w:t xml:space="preserve"> </w:t>
      </w:r>
      <w:proofErr w:type="spellStart"/>
      <w:r>
        <w:rPr>
          <w:rtl/>
          <w:lang w:val="fr-CH"/>
        </w:rPr>
        <w:t>بيلاروس</w:t>
      </w:r>
      <w:proofErr w:type="spellEnd"/>
      <w:r>
        <w:rPr>
          <w:rtl/>
          <w:lang w:val="fr-CH"/>
        </w:rPr>
        <w:t xml:space="preserve"> طرفاً </w:t>
      </w:r>
      <w:r w:rsidR="003703E4">
        <w:rPr>
          <w:rFonts w:hint="cs"/>
          <w:rtl/>
          <w:lang w:val="fr-CH"/>
        </w:rPr>
        <w:t xml:space="preserve">فيها </w:t>
      </w:r>
      <w:r>
        <w:rPr>
          <w:rtl/>
          <w:lang w:val="fr-CH"/>
        </w:rPr>
        <w:t>هي جزء من القانون المحلي.</w:t>
      </w:r>
      <w:r>
        <w:rPr>
          <w:rFonts w:hint="cs"/>
          <w:rtl/>
          <w:lang w:val="fr-CH"/>
        </w:rPr>
        <w:t xml:space="preserve"> </w:t>
      </w:r>
      <w:r>
        <w:rPr>
          <w:rFonts w:hint="cs"/>
          <w:rtl/>
          <w:lang w:bidi="ar"/>
        </w:rPr>
        <w:t>كما تكفل الفقرة 2 من المادة 19 من العهد حرية التعبير، بما في ذلك حرية نشر المعلومات. ولا يمكن تقييد هذا الحق إلا للأغراض المبينة في الفقرة 3 من المادة 19 من العهد. ويعتبر صاحب البلاغ أن الأسس الموضوعية التي استندت إليها المحاكم للحكم في مسؤوليته الإدارية لا يبررها، فيما يخص</w:t>
      </w:r>
      <w:r w:rsidR="001B3609">
        <w:rPr>
          <w:rFonts w:hint="cs"/>
          <w:rtl/>
          <w:lang w:bidi="ar"/>
        </w:rPr>
        <w:t xml:space="preserve"> قضيته، أي من القيود الجائزة.</w:t>
      </w:r>
    </w:p>
    <w:p w:rsidR="002E5141" w:rsidRDefault="001B3609" w:rsidP="002E5141">
      <w:pPr>
        <w:pStyle w:val="H23GA"/>
        <w:rPr>
          <w:rtl/>
        </w:rPr>
      </w:pPr>
      <w:r>
        <w:rPr>
          <w:rtl/>
        </w:rPr>
        <w:br w:type="page"/>
      </w:r>
      <w:r w:rsidR="002E5141">
        <w:rPr>
          <w:rtl/>
        </w:rPr>
        <w:tab/>
      </w:r>
      <w:r w:rsidR="002E5141">
        <w:rPr>
          <w:rtl/>
        </w:rPr>
        <w:tab/>
        <w:t xml:space="preserve">تعليقات إضافية </w:t>
      </w:r>
      <w:r w:rsidR="002E5141">
        <w:rPr>
          <w:rFonts w:hint="cs"/>
          <w:rtl/>
        </w:rPr>
        <w:t xml:space="preserve">مقدمة </w:t>
      </w:r>
      <w:r w:rsidR="002E5141">
        <w:rPr>
          <w:rtl/>
        </w:rPr>
        <w:t>من الدولة الطرف</w:t>
      </w:r>
    </w:p>
    <w:p w:rsidR="002E5141" w:rsidRDefault="002E5141" w:rsidP="00FB5B79">
      <w:pPr>
        <w:pStyle w:val="SingleTxtGA"/>
        <w:rPr>
          <w:rFonts w:hint="cs"/>
          <w:rtl/>
        </w:rPr>
      </w:pPr>
      <w:r>
        <w:rPr>
          <w:rtl/>
        </w:rPr>
        <w:t>6-1</w:t>
      </w:r>
      <w:r>
        <w:rPr>
          <w:rFonts w:hint="cs"/>
          <w:rtl/>
        </w:rPr>
        <w:tab/>
        <w:t xml:space="preserve">قدمت الدولة الطرف في 26 آذار/مارس 2009 معلومات إضافية، فأشارت أولاً إلى أن صاحب البلاغ غير محق </w:t>
      </w:r>
      <w:r w:rsidR="00FB5B79">
        <w:rPr>
          <w:rFonts w:hint="cs"/>
          <w:rtl/>
        </w:rPr>
        <w:t>إذ</w:t>
      </w:r>
      <w:r>
        <w:rPr>
          <w:rFonts w:hint="cs"/>
          <w:rtl/>
        </w:rPr>
        <w:t xml:space="preserve"> يعلن أن تقديم طعن إلى مكتب المدعي العام لا يقود إلى إعادة النظر في القضية وأن الطعن القضائي </w:t>
      </w:r>
      <w:r w:rsidR="00FB5B79">
        <w:rPr>
          <w:rFonts w:hint="cs"/>
          <w:rtl/>
        </w:rPr>
        <w:t xml:space="preserve">أمام </w:t>
      </w:r>
      <w:r>
        <w:rPr>
          <w:rFonts w:hint="cs"/>
          <w:rtl/>
        </w:rPr>
        <w:t>المحكمة العليا غير فعّال. وقدمت الدولة الطرف</w:t>
      </w:r>
      <w:r w:rsidR="00FB5B79">
        <w:rPr>
          <w:rFonts w:hint="cs"/>
          <w:rtl/>
        </w:rPr>
        <w:t>،</w:t>
      </w:r>
      <w:r>
        <w:rPr>
          <w:rFonts w:hint="cs"/>
          <w:rtl/>
        </w:rPr>
        <w:t xml:space="preserve"> لدعم موقفها</w:t>
      </w:r>
      <w:r w:rsidR="00FB5B79">
        <w:rPr>
          <w:rFonts w:hint="cs"/>
          <w:rtl/>
        </w:rPr>
        <w:t>،</w:t>
      </w:r>
      <w:r>
        <w:rPr>
          <w:rFonts w:hint="cs"/>
          <w:rtl/>
        </w:rPr>
        <w:t xml:space="preserve"> بيانات إحصائية تُظهر أن المحكمة العليا </w:t>
      </w:r>
      <w:r w:rsidR="00FB5B79">
        <w:rPr>
          <w:rFonts w:hint="cs"/>
          <w:rtl/>
        </w:rPr>
        <w:t xml:space="preserve">قد نظرت عام 2007 </w:t>
      </w:r>
      <w:r>
        <w:rPr>
          <w:rFonts w:hint="cs"/>
          <w:rtl/>
        </w:rPr>
        <w:t xml:space="preserve">في طعون قدمت في 733 قضية إدارية، بما في ذلك بطلب من مكتب المدعي العام. ونظرت المحكمة العليا عام 2008 </w:t>
      </w:r>
      <w:r w:rsidR="00FB5B79">
        <w:rPr>
          <w:rFonts w:hint="cs"/>
          <w:sz w:val="30"/>
          <w:rtl/>
        </w:rPr>
        <w:t>في 071 1</w:t>
      </w:r>
      <w:r>
        <w:rPr>
          <w:rFonts w:hint="cs"/>
          <w:rtl/>
        </w:rPr>
        <w:t xml:space="preserve"> قضية إدارية. و</w:t>
      </w:r>
      <w:r w:rsidR="00FB5B79">
        <w:rPr>
          <w:rFonts w:hint="cs"/>
          <w:rtl/>
        </w:rPr>
        <w:t>ألغ</w:t>
      </w:r>
      <w:r>
        <w:rPr>
          <w:rFonts w:hint="cs"/>
          <w:rtl/>
        </w:rPr>
        <w:t>ت المحكمة العليا أو عدّلت</w:t>
      </w:r>
      <w:r w:rsidR="00FB5B79">
        <w:rPr>
          <w:rFonts w:hint="cs"/>
          <w:rtl/>
        </w:rPr>
        <w:t xml:space="preserve"> </w:t>
      </w:r>
      <w:r w:rsidR="00FB5B79">
        <w:rPr>
          <w:rtl/>
        </w:rPr>
        <w:br/>
      </w:r>
      <w:r w:rsidR="00FB5B79">
        <w:rPr>
          <w:rFonts w:hint="cs"/>
          <w:rtl/>
        </w:rPr>
        <w:t>ما نسبته</w:t>
      </w:r>
      <w:r>
        <w:rPr>
          <w:rFonts w:hint="cs"/>
          <w:rtl/>
        </w:rPr>
        <w:t xml:space="preserve"> 24.4 </w:t>
      </w:r>
      <w:r w:rsidR="00FB5B79">
        <w:rPr>
          <w:rFonts w:hint="cs"/>
          <w:rtl/>
        </w:rPr>
        <w:t xml:space="preserve">في </w:t>
      </w:r>
      <w:r>
        <w:rPr>
          <w:rFonts w:hint="cs"/>
          <w:rtl/>
        </w:rPr>
        <w:t xml:space="preserve">المائة من القرارات المتخذة في قضايا إدارية مطعون بها، </w:t>
      </w:r>
      <w:r w:rsidR="00FB5B79">
        <w:rPr>
          <w:rFonts w:hint="cs"/>
          <w:rtl/>
        </w:rPr>
        <w:t>و</w:t>
      </w:r>
      <w:r>
        <w:rPr>
          <w:rFonts w:hint="cs"/>
          <w:rtl/>
        </w:rPr>
        <w:t xml:space="preserve">وصلت هذه النسبة إلى 29.6 </w:t>
      </w:r>
      <w:r w:rsidR="00FB5B79">
        <w:rPr>
          <w:rFonts w:hint="cs"/>
          <w:rtl/>
        </w:rPr>
        <w:t>في المائة عام 2008.</w:t>
      </w:r>
    </w:p>
    <w:p w:rsidR="002E5141" w:rsidRDefault="002E5141" w:rsidP="00FB5B79">
      <w:pPr>
        <w:pStyle w:val="SingleTxtGA"/>
        <w:rPr>
          <w:rFonts w:hint="cs"/>
          <w:rtl/>
          <w:lang w:val="fr-CH"/>
        </w:rPr>
      </w:pPr>
      <w:r>
        <w:rPr>
          <w:rtl/>
        </w:rPr>
        <w:t>6-2</w:t>
      </w:r>
      <w:r>
        <w:rPr>
          <w:rtl/>
        </w:rPr>
        <w:tab/>
      </w:r>
      <w:r>
        <w:rPr>
          <w:rFonts w:hint="cs"/>
          <w:rtl/>
        </w:rPr>
        <w:t xml:space="preserve">وتدعي الدولة الطرف أن قول صاحب البلاغ أن الحكم بمسؤوليته الإدارية غير مبرر بموجب الفقرة 3 من المادة 19 من العهد، لا أساس له. </w:t>
      </w:r>
      <w:r>
        <w:rPr>
          <w:rFonts w:hint="cs"/>
          <w:rtl/>
          <w:lang w:val="fr-CH"/>
        </w:rPr>
        <w:t>فالقانون الخاص بالتظاهرات الجماهيرية</w:t>
      </w:r>
      <w:r>
        <w:rPr>
          <w:rtl/>
          <w:lang w:val="fr-CH"/>
        </w:rPr>
        <w:t xml:space="preserve"> يحكم تنظيم التجمعات </w:t>
      </w:r>
      <w:r>
        <w:rPr>
          <w:rFonts w:hint="cs"/>
          <w:rtl/>
          <w:lang w:val="fr-CH"/>
        </w:rPr>
        <w:t xml:space="preserve">والاجتماعات </w:t>
      </w:r>
      <w:r>
        <w:rPr>
          <w:rtl/>
          <w:lang w:val="fr-CH"/>
        </w:rPr>
        <w:t>والمظاهرات والمسيرات والإضرابات</w:t>
      </w:r>
      <w:r>
        <w:rPr>
          <w:rFonts w:hint="cs"/>
          <w:rtl/>
          <w:lang w:val="fr-CH"/>
        </w:rPr>
        <w:t>، الخ</w:t>
      </w:r>
      <w:r>
        <w:rPr>
          <w:rtl/>
          <w:lang w:val="fr-CH"/>
        </w:rPr>
        <w:t xml:space="preserve">. </w:t>
      </w:r>
      <w:r>
        <w:rPr>
          <w:rFonts w:hint="cs"/>
          <w:rtl/>
          <w:lang w:val="fr-CH"/>
        </w:rPr>
        <w:t>وتوضّح ديباجة القانون أن الهدف من وضع هذا الإطار هو تحديد شروط إعمال حقوق المواطنين الدستورية وحرياتهم و</w:t>
      </w:r>
      <w:r>
        <w:rPr>
          <w:rtl/>
          <w:lang w:val="fr-CH"/>
        </w:rPr>
        <w:t xml:space="preserve">صيانة السلامة العامة </w:t>
      </w:r>
      <w:r>
        <w:rPr>
          <w:rFonts w:hint="cs"/>
          <w:rtl/>
          <w:lang w:val="fr-CH"/>
        </w:rPr>
        <w:t>و</w:t>
      </w:r>
      <w:r>
        <w:rPr>
          <w:rtl/>
          <w:lang w:val="fr-CH"/>
        </w:rPr>
        <w:t xml:space="preserve">النظام العام </w:t>
      </w:r>
      <w:r>
        <w:rPr>
          <w:rFonts w:hint="cs"/>
          <w:rtl/>
          <w:lang w:val="fr-CH"/>
        </w:rPr>
        <w:t>حين تجري هذه التظاهرات في الطرقات أو الساحات أو أماكن عامة أخرى</w:t>
      </w:r>
      <w:r>
        <w:rPr>
          <w:rtl/>
          <w:lang w:val="fr-CH"/>
        </w:rPr>
        <w:t xml:space="preserve">. </w:t>
      </w:r>
      <w:r>
        <w:rPr>
          <w:rFonts w:hint="cs"/>
          <w:rtl/>
          <w:lang w:val="fr-CH"/>
        </w:rPr>
        <w:t>وقد خرق صاحب البلاغ القيود التي تفرضها</w:t>
      </w:r>
      <w:r>
        <w:rPr>
          <w:rtl/>
          <w:lang w:val="fr-CH"/>
        </w:rPr>
        <w:t xml:space="preserve"> المادة 23-34 من قانون المخالفات الإدارية في </w:t>
      </w:r>
      <w:proofErr w:type="spellStart"/>
      <w:r>
        <w:rPr>
          <w:rtl/>
          <w:lang w:val="fr-CH"/>
        </w:rPr>
        <w:t>بيلاروس</w:t>
      </w:r>
      <w:proofErr w:type="spellEnd"/>
      <w:r>
        <w:rPr>
          <w:rtl/>
          <w:lang w:val="fr-CH"/>
        </w:rPr>
        <w:t xml:space="preserve"> والمادة 8 من القانون المتعلق بالتظاهرات الجماهيرية</w:t>
      </w:r>
      <w:r>
        <w:rPr>
          <w:rFonts w:hint="cs"/>
          <w:rtl/>
          <w:lang w:val="fr-CH"/>
        </w:rPr>
        <w:t xml:space="preserve">، </w:t>
      </w:r>
      <w:r w:rsidR="00FB5B79">
        <w:rPr>
          <w:rFonts w:hint="cs"/>
          <w:rtl/>
          <w:lang w:val="fr-CH"/>
        </w:rPr>
        <w:t>و</w:t>
      </w:r>
      <w:r>
        <w:rPr>
          <w:rFonts w:hint="cs"/>
          <w:rtl/>
          <w:lang w:val="fr-CH"/>
        </w:rPr>
        <w:t xml:space="preserve">هما ضروريتان لحفظ السلامة والنظام العامين خلال التجمعات والاجتماعات والمسيرات، الخ. </w:t>
      </w:r>
    </w:p>
    <w:p w:rsidR="002E5141" w:rsidRDefault="002E5141" w:rsidP="007E0D5A">
      <w:pPr>
        <w:pStyle w:val="SingleTxtGA"/>
        <w:rPr>
          <w:rFonts w:hint="cs"/>
          <w:rtl/>
          <w:lang w:val="fr-CH"/>
        </w:rPr>
      </w:pPr>
      <w:r>
        <w:rPr>
          <w:rFonts w:hint="cs"/>
          <w:rtl/>
          <w:lang w:val="fr-CH"/>
        </w:rPr>
        <w:t>6-3</w:t>
      </w:r>
      <w:r>
        <w:rPr>
          <w:rFonts w:hint="cs"/>
          <w:rtl/>
          <w:lang w:val="fr-CH"/>
        </w:rPr>
        <w:tab/>
      </w:r>
      <w:r w:rsidRPr="00364F11">
        <w:rPr>
          <w:rFonts w:hint="cs"/>
          <w:spacing w:val="-4"/>
          <w:rtl/>
          <w:lang w:val="fr-CH"/>
        </w:rPr>
        <w:t>وتضيف الدولة الطرف أن المادة 19 من العهد تكفل لجميع مواطني الدول الأ</w:t>
      </w:r>
      <w:r w:rsidR="00FB5B79" w:rsidRPr="00364F11">
        <w:rPr>
          <w:rFonts w:hint="cs"/>
          <w:spacing w:val="-4"/>
          <w:rtl/>
          <w:lang w:val="fr-CH"/>
        </w:rPr>
        <w:t>طراف</w:t>
      </w:r>
      <w:r w:rsidRPr="00364F11">
        <w:rPr>
          <w:rFonts w:hint="cs"/>
          <w:spacing w:val="-4"/>
          <w:rtl/>
          <w:lang w:val="fr-CH"/>
        </w:rPr>
        <w:t xml:space="preserve"> التعبير بحرية عن رأيهم. </w:t>
      </w:r>
      <w:proofErr w:type="spellStart"/>
      <w:r w:rsidRPr="00364F11">
        <w:rPr>
          <w:rFonts w:hint="cs"/>
          <w:spacing w:val="-4"/>
          <w:rtl/>
          <w:lang w:val="fr-CH"/>
        </w:rPr>
        <w:t>وتنص</w:t>
      </w:r>
      <w:proofErr w:type="spellEnd"/>
      <w:r w:rsidRPr="00364F11">
        <w:rPr>
          <w:rFonts w:hint="cs"/>
          <w:spacing w:val="-4"/>
          <w:rtl/>
          <w:lang w:val="fr-CH"/>
        </w:rPr>
        <w:t xml:space="preserve"> المادة على أن الدولة الطرف تقرّ إقراراً تاماً بالتزاماتها بموجب العهد وتمتثل لها. وتضمن المادة 33 من الدستور حرية الرأي والمعتقد وحرية التعبير عنهما. </w:t>
      </w:r>
      <w:r w:rsidR="00364F11">
        <w:rPr>
          <w:rFonts w:hint="cs"/>
          <w:spacing w:val="-4"/>
          <w:rtl/>
          <w:lang w:val="fr-CH"/>
        </w:rPr>
        <w:t xml:space="preserve">   </w:t>
      </w:r>
      <w:r w:rsidRPr="00364F11">
        <w:rPr>
          <w:rFonts w:hint="cs"/>
          <w:spacing w:val="-4"/>
          <w:rtl/>
          <w:lang w:val="fr-CH"/>
        </w:rPr>
        <w:t xml:space="preserve">وإن كان الحق في حرية التعبير يُعدّ واحداً من أهم حقوق الإنسان، فهو ليس حقاً مطلقاً. </w:t>
      </w:r>
      <w:r w:rsidR="00364F11">
        <w:rPr>
          <w:rFonts w:hint="cs"/>
          <w:spacing w:val="-4"/>
          <w:rtl/>
          <w:lang w:val="fr-CH"/>
        </w:rPr>
        <w:t xml:space="preserve">      </w:t>
      </w:r>
      <w:r w:rsidRPr="00364F11">
        <w:rPr>
          <w:rFonts w:hint="cs"/>
          <w:spacing w:val="-4"/>
          <w:rtl/>
          <w:lang w:val="fr-CH"/>
        </w:rPr>
        <w:t xml:space="preserve">فالمادة 19 ليست مدرجة على لائحة المواد التي لا </w:t>
      </w:r>
      <w:r w:rsidR="00FB5B79" w:rsidRPr="00364F11">
        <w:rPr>
          <w:rFonts w:hint="cs"/>
          <w:spacing w:val="-4"/>
          <w:rtl/>
          <w:lang w:val="fr-CH"/>
        </w:rPr>
        <w:t>يجوز</w:t>
      </w:r>
      <w:r w:rsidRPr="00364F11">
        <w:rPr>
          <w:rFonts w:hint="cs"/>
          <w:spacing w:val="-4"/>
          <w:rtl/>
          <w:lang w:val="fr-CH"/>
        </w:rPr>
        <w:t xml:space="preserve"> عدم التقيد</w:t>
      </w:r>
      <w:r w:rsidR="007E0D5A">
        <w:rPr>
          <w:rFonts w:hint="cs"/>
          <w:spacing w:val="-4"/>
          <w:rtl/>
          <w:lang w:val="fr-CH"/>
        </w:rPr>
        <w:t>ّ</w:t>
      </w:r>
      <w:r w:rsidRPr="00364F11">
        <w:rPr>
          <w:rFonts w:hint="cs"/>
          <w:spacing w:val="-4"/>
          <w:rtl/>
          <w:lang w:val="fr-CH"/>
        </w:rPr>
        <w:t xml:space="preserve"> بها أياً كانت الظروف، والمضمنة في المادة 4 من العهد. ويجوز بالتالي للدولة </w:t>
      </w:r>
      <w:r w:rsidR="00FB5B79" w:rsidRPr="00364F11">
        <w:rPr>
          <w:rFonts w:hint="cs"/>
          <w:spacing w:val="-4"/>
          <w:rtl/>
          <w:lang w:val="fr-CH"/>
        </w:rPr>
        <w:t xml:space="preserve">الطرف </w:t>
      </w:r>
      <w:r w:rsidRPr="00364F11">
        <w:rPr>
          <w:rFonts w:hint="cs"/>
          <w:spacing w:val="-4"/>
          <w:rtl/>
          <w:lang w:val="fr-CH"/>
        </w:rPr>
        <w:t xml:space="preserve">تقييد التمتع بهذه الحقوق شرط أن ينص القانون على القيود المفروضة وأن يكون الهدف منها مشروعاً، وهي </w:t>
      </w:r>
      <w:r w:rsidR="00FB5B79" w:rsidRPr="00364F11">
        <w:rPr>
          <w:rFonts w:hint="cs"/>
          <w:spacing w:val="-4"/>
          <w:rtl/>
          <w:lang w:val="fr-CH"/>
        </w:rPr>
        <w:t xml:space="preserve">قيود </w:t>
      </w:r>
      <w:r w:rsidRPr="00364F11">
        <w:rPr>
          <w:rFonts w:hint="cs"/>
          <w:spacing w:val="-4"/>
          <w:rtl/>
          <w:lang w:val="fr-CH"/>
        </w:rPr>
        <w:t>ضرورية في</w:t>
      </w:r>
      <w:r w:rsidR="00364F11">
        <w:rPr>
          <w:rFonts w:hint="cs"/>
          <w:spacing w:val="-4"/>
          <w:rtl/>
          <w:lang w:val="fr-CH"/>
        </w:rPr>
        <w:t xml:space="preserve"> </w:t>
      </w:r>
      <w:r w:rsidRPr="00364F11">
        <w:rPr>
          <w:rFonts w:hint="cs"/>
          <w:spacing w:val="-4"/>
          <w:rtl/>
          <w:lang w:val="fr-CH"/>
        </w:rPr>
        <w:t xml:space="preserve"> مجتمع ديمقراطي</w:t>
      </w:r>
      <w:r>
        <w:rPr>
          <w:rFonts w:hint="cs"/>
          <w:rtl/>
          <w:lang w:val="fr-CH"/>
        </w:rPr>
        <w:t xml:space="preserve">. </w:t>
      </w:r>
    </w:p>
    <w:p w:rsidR="00364F11" w:rsidRDefault="002E5141" w:rsidP="00364F11">
      <w:pPr>
        <w:pStyle w:val="SingleTxtGA"/>
        <w:rPr>
          <w:rFonts w:hint="cs"/>
          <w:rtl/>
          <w:lang w:val="fr-CH"/>
        </w:rPr>
      </w:pPr>
      <w:r>
        <w:rPr>
          <w:rFonts w:hint="cs"/>
          <w:rtl/>
          <w:lang w:val="fr-CH"/>
        </w:rPr>
        <w:t>6-4</w:t>
      </w:r>
      <w:r>
        <w:rPr>
          <w:rFonts w:hint="cs"/>
          <w:rtl/>
          <w:lang w:val="fr-CH"/>
        </w:rPr>
        <w:tab/>
      </w:r>
      <w:r>
        <w:rPr>
          <w:rtl/>
          <w:lang w:val="fr-CH"/>
        </w:rPr>
        <w:t xml:space="preserve">ووفقاً للمادة 23 من الدستور، لا يسمح </w:t>
      </w:r>
      <w:r w:rsidR="00FB5B79">
        <w:rPr>
          <w:rFonts w:hint="cs"/>
          <w:rtl/>
          <w:lang w:val="fr-CH"/>
        </w:rPr>
        <w:t xml:space="preserve">بتقييد </w:t>
      </w:r>
      <w:r>
        <w:rPr>
          <w:rtl/>
          <w:lang w:val="fr-CH"/>
        </w:rPr>
        <w:t xml:space="preserve">حقوق الأفراد وحرياتهم إلا في الظروف التي يحددها القانون، لصيانة الأمن القومي أو النظام العام أو حماية الصحة العامة </w:t>
      </w:r>
      <w:r w:rsidR="007E0D5A">
        <w:rPr>
          <w:rFonts w:hint="cs"/>
          <w:rtl/>
          <w:lang w:val="fr-CH"/>
        </w:rPr>
        <w:t xml:space="preserve">  </w:t>
      </w:r>
      <w:r>
        <w:rPr>
          <w:rtl/>
          <w:lang w:val="fr-CH"/>
        </w:rPr>
        <w:t>أو الآداب العامة أو حماية حقوق الآخرين وحرياتهم أيضاً.</w:t>
      </w:r>
      <w:r>
        <w:rPr>
          <w:rFonts w:hint="cs"/>
          <w:rtl/>
          <w:lang w:val="fr-CH"/>
        </w:rPr>
        <w:t xml:space="preserve"> </w:t>
      </w:r>
      <w:r w:rsidR="00FB5B79">
        <w:rPr>
          <w:rFonts w:hint="cs"/>
          <w:rtl/>
          <w:lang w:val="fr-CH"/>
        </w:rPr>
        <w:t xml:space="preserve">كما أن </w:t>
      </w:r>
      <w:r>
        <w:rPr>
          <w:rFonts w:hint="cs"/>
          <w:rtl/>
          <w:lang w:val="fr-CH"/>
        </w:rPr>
        <w:t>الفقرة 3 من المادة 19 من العهد تنص على أن الحقوق الواردة في الفقرة 2 من المادة نفسها تنطوي على التزامات خاصة ومسؤولية محددة. ويمكن بالتالي إخضاع ممارسة هذه الحقوق لبعض القيود ولكن شريطة أن تكون محددة بنص القانون وأن تكون ضرورية لاحترام حقوق الآخرين أو سمعتهم أو لحماية الأمن القومي أو النظام العام أو الصحة العامة أو الآداب العامة</w:t>
      </w:r>
      <w:r w:rsidR="00364F11">
        <w:rPr>
          <w:vertAlign w:val="superscript"/>
          <w:rtl/>
          <w:lang w:val="fr-CH"/>
        </w:rPr>
        <w:t>(</w:t>
      </w:r>
      <w:r w:rsidR="00364F11">
        <w:rPr>
          <w:rStyle w:val="FootnoteReference"/>
          <w:rtl/>
          <w:lang w:val="fr-CH"/>
        </w:rPr>
        <w:footnoteReference w:id="4"/>
      </w:r>
      <w:r w:rsidR="00364F11">
        <w:rPr>
          <w:vertAlign w:val="superscript"/>
          <w:rtl/>
          <w:lang w:val="fr-CH"/>
        </w:rPr>
        <w:t>)</w:t>
      </w:r>
      <w:r w:rsidR="00364F11">
        <w:rPr>
          <w:rFonts w:hint="cs"/>
          <w:rtl/>
          <w:lang w:val="fr-CH"/>
        </w:rPr>
        <w:t>.</w:t>
      </w:r>
      <w:r>
        <w:rPr>
          <w:rFonts w:hint="cs"/>
          <w:rtl/>
          <w:lang w:val="fr-CH"/>
        </w:rPr>
        <w:t xml:space="preserve"> </w:t>
      </w:r>
    </w:p>
    <w:p w:rsidR="002E5141" w:rsidRDefault="002E5141" w:rsidP="001B3609">
      <w:pPr>
        <w:pStyle w:val="SingleTxtGA"/>
        <w:rPr>
          <w:rFonts w:hint="cs"/>
          <w:rtl/>
          <w:lang w:val="fr-CH"/>
        </w:rPr>
      </w:pPr>
      <w:r>
        <w:rPr>
          <w:rFonts w:hint="cs"/>
          <w:rtl/>
          <w:lang w:val="fr-CH"/>
        </w:rPr>
        <w:t>6-5</w:t>
      </w:r>
      <w:r>
        <w:rPr>
          <w:rFonts w:hint="cs"/>
          <w:rtl/>
          <w:lang w:val="fr-CH"/>
        </w:rPr>
        <w:tab/>
        <w:t xml:space="preserve">وتعتبر الدولة الطرف أن ما ورد آنفاً يتيح لها أن تخلص إلى أن إعمال حق تلقي المعلومات ونشرها لا يمكن </w:t>
      </w:r>
      <w:r w:rsidR="001B3609">
        <w:rPr>
          <w:rFonts w:hint="cs"/>
          <w:rtl/>
          <w:lang w:val="fr-CH"/>
        </w:rPr>
        <w:t xml:space="preserve">أن يتحقق </w:t>
      </w:r>
      <w:r>
        <w:rPr>
          <w:rFonts w:hint="cs"/>
          <w:rtl/>
          <w:lang w:val="fr-CH"/>
        </w:rPr>
        <w:t xml:space="preserve">إلا بطريقة قانونية؛ أي ضمن إطار التشريعات السارية في الدولة الطرف في العهد. والتشريعات السارية حالياً في </w:t>
      </w:r>
      <w:proofErr w:type="spellStart"/>
      <w:r>
        <w:rPr>
          <w:rFonts w:hint="cs"/>
          <w:rtl/>
          <w:lang w:val="fr-CH"/>
        </w:rPr>
        <w:t>بيلاروس</w:t>
      </w:r>
      <w:proofErr w:type="spellEnd"/>
      <w:r>
        <w:rPr>
          <w:rFonts w:hint="cs"/>
          <w:rtl/>
          <w:lang w:val="fr-CH"/>
        </w:rPr>
        <w:t xml:space="preserve"> تكفل الشروط اللازمة لحرية تعبير المواطنين عن آرائهم ولتلقي ونشر المعلومات. </w:t>
      </w:r>
    </w:p>
    <w:p w:rsidR="002E5141" w:rsidRPr="0053286B" w:rsidRDefault="002E5141" w:rsidP="001B3609">
      <w:pPr>
        <w:pStyle w:val="SingleTxtGA"/>
        <w:rPr>
          <w:rFonts w:hint="cs"/>
          <w:rtl/>
          <w:lang w:val="fr-CH" w:bidi="ar-LB"/>
        </w:rPr>
      </w:pPr>
      <w:r>
        <w:rPr>
          <w:rFonts w:hint="cs"/>
          <w:rtl/>
          <w:lang w:val="fr-CH"/>
        </w:rPr>
        <w:t>6-6</w:t>
      </w:r>
      <w:r>
        <w:rPr>
          <w:rFonts w:hint="cs"/>
          <w:rtl/>
          <w:lang w:val="fr-CH"/>
        </w:rPr>
        <w:tab/>
        <w:t xml:space="preserve">وتدعي الدولة الطرف أن صاحب البلاغ </w:t>
      </w:r>
      <w:r w:rsidR="001B3609">
        <w:rPr>
          <w:rFonts w:hint="cs"/>
          <w:rtl/>
          <w:lang w:val="fr-CH"/>
        </w:rPr>
        <w:t xml:space="preserve">قد </w:t>
      </w:r>
      <w:r>
        <w:rPr>
          <w:rFonts w:hint="cs"/>
          <w:rtl/>
          <w:lang w:val="fr-CH"/>
        </w:rPr>
        <w:t xml:space="preserve">ضلّل اللجنة بشأن التشريعات السارية. فالفقرة 7 من الجزء 2 من المادة 2-15 من قانون </w:t>
      </w:r>
      <w:r w:rsidR="001B3609">
        <w:rPr>
          <w:rFonts w:hint="cs"/>
          <w:rtl/>
          <w:lang w:val="fr-CH"/>
        </w:rPr>
        <w:t>الإجراءات التنفيذية المتعلقة بالمخالفات</w:t>
      </w:r>
      <w:r>
        <w:rPr>
          <w:rFonts w:hint="cs"/>
          <w:rtl/>
          <w:lang w:val="fr-CH"/>
        </w:rPr>
        <w:t xml:space="preserve"> الإدارية </w:t>
      </w:r>
      <w:r w:rsidR="001B3609">
        <w:rPr>
          <w:rFonts w:hint="cs"/>
          <w:rtl/>
          <w:lang w:val="fr-CH"/>
        </w:rPr>
        <w:t>ت</w:t>
      </w:r>
      <w:r>
        <w:rPr>
          <w:rFonts w:hint="cs"/>
          <w:rtl/>
          <w:lang w:val="fr-CH"/>
        </w:rPr>
        <w:t xml:space="preserve">نص على أنه يجوز للمدعي العام، </w:t>
      </w:r>
      <w:r w:rsidR="001B3609">
        <w:rPr>
          <w:rFonts w:hint="cs"/>
          <w:rtl/>
          <w:lang w:val="fr-CH"/>
        </w:rPr>
        <w:t xml:space="preserve">في إطار ممارسة </w:t>
      </w:r>
      <w:r>
        <w:rPr>
          <w:rFonts w:hint="cs"/>
          <w:rtl/>
          <w:lang w:val="fr-CH"/>
        </w:rPr>
        <w:t xml:space="preserve">صلاحياته، </w:t>
      </w:r>
      <w:r w:rsidR="001B3609">
        <w:rPr>
          <w:rFonts w:hint="cs"/>
          <w:rtl/>
          <w:lang w:val="fr-CH"/>
        </w:rPr>
        <w:t xml:space="preserve">أن يعترض على الأحكام الصادرة عن </w:t>
      </w:r>
      <w:r>
        <w:rPr>
          <w:rFonts w:hint="cs"/>
          <w:rtl/>
          <w:lang w:val="fr-CH"/>
        </w:rPr>
        <w:t xml:space="preserve">المحاكم في قضايا إدارية </w:t>
      </w:r>
      <w:r w:rsidR="001B3609">
        <w:rPr>
          <w:rFonts w:hint="cs"/>
          <w:rtl/>
          <w:lang w:val="fr-CH"/>
        </w:rPr>
        <w:t>إذا كانت متعارضة مع ا</w:t>
      </w:r>
      <w:r>
        <w:rPr>
          <w:rFonts w:hint="cs"/>
          <w:rtl/>
          <w:lang w:val="fr-CH"/>
        </w:rPr>
        <w:t xml:space="preserve">لتشريعات السارية. </w:t>
      </w:r>
      <w:proofErr w:type="spellStart"/>
      <w:r>
        <w:rPr>
          <w:rFonts w:hint="cs"/>
          <w:rtl/>
          <w:lang w:val="fr-CH"/>
        </w:rPr>
        <w:t>وتنص</w:t>
      </w:r>
      <w:proofErr w:type="spellEnd"/>
      <w:r>
        <w:rPr>
          <w:rFonts w:hint="cs"/>
          <w:rtl/>
          <w:lang w:val="fr-CH"/>
        </w:rPr>
        <w:t xml:space="preserve"> الفقرة 1 من المادة 2-15 من القانون </w:t>
      </w:r>
      <w:r w:rsidR="001B3609">
        <w:rPr>
          <w:rFonts w:hint="cs"/>
          <w:rtl/>
          <w:lang w:val="fr-CH"/>
        </w:rPr>
        <w:t xml:space="preserve">نفسه </w:t>
      </w:r>
      <w:r>
        <w:rPr>
          <w:rFonts w:hint="cs"/>
          <w:rtl/>
          <w:lang w:val="fr-CH"/>
        </w:rPr>
        <w:t xml:space="preserve">على أن الأحكام </w:t>
      </w:r>
      <w:r w:rsidR="001B3609">
        <w:rPr>
          <w:rFonts w:hint="cs"/>
          <w:rtl/>
          <w:lang w:val="fr-CH"/>
        </w:rPr>
        <w:t>النافذة الصادرة عن المحاكم بشأن قضايا إدارية</w:t>
      </w:r>
      <w:r>
        <w:rPr>
          <w:rFonts w:hint="cs"/>
          <w:rtl/>
          <w:lang w:val="fr-CH"/>
        </w:rPr>
        <w:t xml:space="preserve">، يمكن أن تخضع للمراجعة، لا سيما بعد تقديم المدعي العام لمذكرة اعتراض. </w:t>
      </w:r>
      <w:proofErr w:type="spellStart"/>
      <w:r>
        <w:rPr>
          <w:rFonts w:hint="cs"/>
          <w:rtl/>
          <w:lang w:val="fr-CH"/>
        </w:rPr>
        <w:t>وتنص</w:t>
      </w:r>
      <w:proofErr w:type="spellEnd"/>
      <w:r>
        <w:rPr>
          <w:rFonts w:hint="cs"/>
          <w:rtl/>
          <w:lang w:val="fr-CH"/>
        </w:rPr>
        <w:t xml:space="preserve"> الفقرة 2 من المادة 12-14 من القانون على أنه عقب دراسة مذكرة الاعتراض، قد يُلغى الحكم المطعون به جزئياً أو كلياً وقد تُعاد إحالة القضية للنظر فيها مجدداً. وتحدد الفقرة 3 من المادة 12-11 مهلة ستة أشهر لتقديم مذكرة الاعتراض، ابتداءً من تاريخ بدء نفاذ الحكم المطعون فيه. وعليه فإن إيداع طعن لدى مكتب المدعي العام قد يقود إلى إعادة النظر في الأسس الموضوعية للقضية الإدارية. وفي القضية الراهنة، تعمد صاحب البلاغ عدم اللجوء إلى جميع سبل </w:t>
      </w:r>
      <w:r w:rsidR="001B3609">
        <w:rPr>
          <w:rFonts w:hint="cs"/>
          <w:rtl/>
          <w:lang w:val="fr-CH"/>
        </w:rPr>
        <w:t>الانتصاف المحلية المتاحة له.</w:t>
      </w:r>
    </w:p>
    <w:p w:rsidR="002E5141" w:rsidRDefault="002E5141" w:rsidP="002E5141">
      <w:pPr>
        <w:pStyle w:val="H23GA"/>
        <w:rPr>
          <w:rtl/>
        </w:rPr>
      </w:pPr>
      <w:r>
        <w:rPr>
          <w:rtl/>
        </w:rPr>
        <w:tab/>
      </w:r>
      <w:r>
        <w:rPr>
          <w:rtl/>
        </w:rPr>
        <w:tab/>
        <w:t xml:space="preserve">تعليقات إضافية </w:t>
      </w:r>
      <w:r>
        <w:rPr>
          <w:rFonts w:hint="cs"/>
          <w:rtl/>
        </w:rPr>
        <w:t xml:space="preserve">مقدمة </w:t>
      </w:r>
      <w:r>
        <w:rPr>
          <w:rtl/>
        </w:rPr>
        <w:t>من صاحب البلاغ</w:t>
      </w:r>
    </w:p>
    <w:p w:rsidR="002E5141" w:rsidRPr="00645E84" w:rsidRDefault="002E5141" w:rsidP="001B3609">
      <w:pPr>
        <w:pStyle w:val="SingleTxtGA"/>
        <w:rPr>
          <w:spacing w:val="2"/>
          <w:rtl/>
        </w:rPr>
      </w:pPr>
      <w:r w:rsidRPr="00645E84">
        <w:rPr>
          <w:spacing w:val="2"/>
          <w:rtl/>
        </w:rPr>
        <w:t>7-1</w:t>
      </w:r>
      <w:r w:rsidRPr="00645E84">
        <w:rPr>
          <w:spacing w:val="2"/>
          <w:rtl/>
        </w:rPr>
        <w:tab/>
        <w:t xml:space="preserve">في </w:t>
      </w:r>
      <w:r>
        <w:rPr>
          <w:rFonts w:hint="cs"/>
          <w:spacing w:val="2"/>
          <w:rtl/>
        </w:rPr>
        <w:t>9</w:t>
      </w:r>
      <w:r w:rsidRPr="00645E84">
        <w:rPr>
          <w:spacing w:val="2"/>
          <w:rtl/>
        </w:rPr>
        <w:t xml:space="preserve"> </w:t>
      </w:r>
      <w:r>
        <w:rPr>
          <w:rFonts w:hint="cs"/>
          <w:spacing w:val="2"/>
          <w:rtl/>
        </w:rPr>
        <w:t>آذار</w:t>
      </w:r>
      <w:r w:rsidRPr="00645E84">
        <w:rPr>
          <w:spacing w:val="2"/>
          <w:rtl/>
        </w:rPr>
        <w:t>/</w:t>
      </w:r>
      <w:r>
        <w:rPr>
          <w:rFonts w:hint="cs"/>
          <w:spacing w:val="2"/>
          <w:rtl/>
        </w:rPr>
        <w:t>مارس</w:t>
      </w:r>
      <w:r w:rsidRPr="00645E84">
        <w:rPr>
          <w:spacing w:val="2"/>
          <w:rtl/>
        </w:rPr>
        <w:t xml:space="preserve"> 2011، </w:t>
      </w:r>
      <w:r w:rsidR="001B3609">
        <w:rPr>
          <w:rFonts w:hint="cs"/>
          <w:spacing w:val="2"/>
          <w:rtl/>
        </w:rPr>
        <w:t>أكد</w:t>
      </w:r>
      <w:r w:rsidRPr="00645E84">
        <w:rPr>
          <w:spacing w:val="2"/>
          <w:rtl/>
        </w:rPr>
        <w:t xml:space="preserve"> صاحب البلاغ </w:t>
      </w:r>
      <w:r w:rsidR="001B3609">
        <w:rPr>
          <w:rFonts w:hint="cs"/>
          <w:spacing w:val="2"/>
          <w:rtl/>
        </w:rPr>
        <w:t xml:space="preserve">مرة أخرى </w:t>
      </w:r>
      <w:r>
        <w:rPr>
          <w:rFonts w:hint="cs"/>
          <w:spacing w:val="2"/>
          <w:rtl/>
        </w:rPr>
        <w:t>اعتقاده</w:t>
      </w:r>
      <w:r w:rsidRPr="00645E84">
        <w:rPr>
          <w:spacing w:val="2"/>
          <w:rtl/>
        </w:rPr>
        <w:t xml:space="preserve"> بعدم فعالية </w:t>
      </w:r>
      <w:r>
        <w:rPr>
          <w:rFonts w:hint="cs"/>
          <w:spacing w:val="2"/>
          <w:rtl/>
        </w:rPr>
        <w:t>طعون</w:t>
      </w:r>
      <w:r w:rsidRPr="00645E84">
        <w:rPr>
          <w:spacing w:val="2"/>
          <w:rtl/>
        </w:rPr>
        <w:t xml:space="preserve"> المراجعة </w:t>
      </w:r>
      <w:r>
        <w:rPr>
          <w:rFonts w:hint="cs"/>
          <w:spacing w:val="2"/>
          <w:rtl/>
        </w:rPr>
        <w:t xml:space="preserve">القضائية لأن البت فيها متروك لتقدير </w:t>
      </w:r>
      <w:proofErr w:type="spellStart"/>
      <w:r>
        <w:rPr>
          <w:rFonts w:hint="cs"/>
          <w:spacing w:val="2"/>
          <w:rtl/>
        </w:rPr>
        <w:t>مسؤول</w:t>
      </w:r>
      <w:proofErr w:type="spellEnd"/>
      <w:r>
        <w:rPr>
          <w:rFonts w:hint="cs"/>
          <w:spacing w:val="2"/>
          <w:rtl/>
        </w:rPr>
        <w:t xml:space="preserve"> واحد. وفي حال قبول الطعن فهو لا يقود إلى دراسة الوقائع والأدلة. وأشار صاحب البلاغ إلى أن اللجنة قد تناولت </w:t>
      </w:r>
      <w:r w:rsidR="001B3609">
        <w:rPr>
          <w:rFonts w:hint="cs"/>
          <w:spacing w:val="2"/>
          <w:rtl/>
        </w:rPr>
        <w:t xml:space="preserve"> </w:t>
      </w:r>
      <w:r>
        <w:rPr>
          <w:rFonts w:hint="cs"/>
          <w:spacing w:val="2"/>
          <w:rtl/>
        </w:rPr>
        <w:t xml:space="preserve">هذا الموضوع في مناسبات عدة وخلصت إلى أنه من غير الضروري الطعن بموجب إجراءات المراجعة القضائية لأغراض الفقرة 2(ب) من المادة 5 من البروتوكول الاختياري. </w:t>
      </w:r>
      <w:r w:rsidR="001B3609">
        <w:rPr>
          <w:rFonts w:hint="cs"/>
          <w:spacing w:val="2"/>
          <w:rtl/>
        </w:rPr>
        <w:t>وأشار</w:t>
      </w:r>
      <w:r>
        <w:rPr>
          <w:rFonts w:hint="cs"/>
          <w:spacing w:val="2"/>
          <w:rtl/>
        </w:rPr>
        <w:t xml:space="preserve"> صاحب البلاغ أيضاً إلى أن </w:t>
      </w:r>
      <w:r w:rsidRPr="00645E84">
        <w:rPr>
          <w:spacing w:val="2"/>
          <w:rtl/>
        </w:rPr>
        <w:t xml:space="preserve">قوانين الدولة الطرف </w:t>
      </w:r>
      <w:r w:rsidRPr="00645E84">
        <w:rPr>
          <w:rFonts w:hint="cs"/>
          <w:spacing w:val="2"/>
          <w:rtl/>
        </w:rPr>
        <w:t xml:space="preserve">لا تجيز </w:t>
      </w:r>
      <w:r>
        <w:rPr>
          <w:rFonts w:hint="cs"/>
          <w:spacing w:val="2"/>
          <w:rtl/>
        </w:rPr>
        <w:t>للأفراد</w:t>
      </w:r>
      <w:r w:rsidRPr="00645E84">
        <w:rPr>
          <w:spacing w:val="2"/>
          <w:rtl/>
        </w:rPr>
        <w:t xml:space="preserve"> تقديم طعن </w:t>
      </w:r>
      <w:r w:rsidRPr="00645E84">
        <w:rPr>
          <w:rFonts w:hint="cs"/>
          <w:spacing w:val="2"/>
          <w:rtl/>
        </w:rPr>
        <w:t xml:space="preserve">إلى </w:t>
      </w:r>
      <w:r w:rsidRPr="00645E84">
        <w:rPr>
          <w:spacing w:val="2"/>
          <w:rtl/>
        </w:rPr>
        <w:t xml:space="preserve">المحكمة الدستورية. </w:t>
      </w:r>
    </w:p>
    <w:p w:rsidR="002E5141" w:rsidRDefault="002E5141" w:rsidP="004B5B71">
      <w:pPr>
        <w:pStyle w:val="SingleTxtGA"/>
        <w:rPr>
          <w:rFonts w:hint="cs"/>
          <w:rtl/>
        </w:rPr>
      </w:pPr>
      <w:r>
        <w:rPr>
          <w:rtl/>
        </w:rPr>
        <w:t>7-2</w:t>
      </w:r>
      <w:r>
        <w:rPr>
          <w:rFonts w:hint="cs"/>
          <w:rtl/>
        </w:rPr>
        <w:tab/>
        <w:t xml:space="preserve">ولا </w:t>
      </w:r>
      <w:r w:rsidR="004B5B71">
        <w:rPr>
          <w:rFonts w:hint="cs"/>
          <w:rtl/>
        </w:rPr>
        <w:t>يتفق</w:t>
      </w:r>
      <w:r>
        <w:rPr>
          <w:rFonts w:hint="cs"/>
          <w:rtl/>
        </w:rPr>
        <w:t xml:space="preserve"> صاحب البلاغ </w:t>
      </w:r>
      <w:r w:rsidR="004B5B71">
        <w:rPr>
          <w:rFonts w:hint="cs"/>
          <w:rtl/>
        </w:rPr>
        <w:t xml:space="preserve">مع </w:t>
      </w:r>
      <w:r>
        <w:rPr>
          <w:rFonts w:hint="cs"/>
          <w:rtl/>
        </w:rPr>
        <w:t xml:space="preserve">الدولة الطرف في رفضها لادعائه بأن قضيته الإدارية </w:t>
      </w:r>
      <w:r w:rsidR="004B5B71">
        <w:rPr>
          <w:rFonts w:hint="cs"/>
          <w:rtl/>
        </w:rPr>
        <w:t xml:space="preserve">  لا تستند إلى </w:t>
      </w:r>
      <w:r>
        <w:rPr>
          <w:rFonts w:hint="cs"/>
          <w:rtl/>
        </w:rPr>
        <w:t xml:space="preserve">أي من القيود التي تجيزها الفقرة 3 من المادة 19 من العهد وأوضح أن قراري المحكمتين المتعلقين بالقضية لا يتضمنان حجة كهذه. وأشار إلى أن القضاة الذين </w:t>
      </w:r>
      <w:r w:rsidR="004B5B71">
        <w:rPr>
          <w:rFonts w:hint="cs"/>
          <w:rtl/>
        </w:rPr>
        <w:t xml:space="preserve">نظروا </w:t>
      </w:r>
      <w:r w:rsidR="007E0D5A">
        <w:rPr>
          <w:rFonts w:hint="cs"/>
          <w:rtl/>
        </w:rPr>
        <w:t>ف</w:t>
      </w:r>
      <w:r w:rsidR="004B5B71">
        <w:rPr>
          <w:rFonts w:hint="cs"/>
          <w:rtl/>
        </w:rPr>
        <w:t xml:space="preserve">ي قضيته قد </w:t>
      </w:r>
      <w:r>
        <w:rPr>
          <w:rFonts w:hint="cs"/>
          <w:rtl/>
        </w:rPr>
        <w:t xml:space="preserve">استندوا </w:t>
      </w:r>
      <w:r>
        <w:rPr>
          <w:rtl/>
        </w:rPr>
        <w:t>حصرا</w:t>
      </w:r>
      <w:r>
        <w:rPr>
          <w:rFonts w:hint="cs"/>
          <w:rtl/>
        </w:rPr>
        <w:t>ً</w:t>
      </w:r>
      <w:r>
        <w:rPr>
          <w:rtl/>
        </w:rPr>
        <w:t xml:space="preserve"> إلى القانون المحلي </w:t>
      </w:r>
      <w:r>
        <w:rPr>
          <w:rFonts w:hint="cs"/>
          <w:rtl/>
        </w:rPr>
        <w:t xml:space="preserve">في قراراتهم </w:t>
      </w:r>
      <w:r>
        <w:rPr>
          <w:rtl/>
        </w:rPr>
        <w:t>ولم يأخذ</w:t>
      </w:r>
      <w:r>
        <w:rPr>
          <w:rFonts w:hint="cs"/>
          <w:rtl/>
        </w:rPr>
        <w:t>وا</w:t>
      </w:r>
      <w:r>
        <w:rPr>
          <w:rtl/>
        </w:rPr>
        <w:t xml:space="preserve"> في الاعتبار التزامات الدولة الطرف بموجب </w:t>
      </w:r>
      <w:r>
        <w:rPr>
          <w:rFonts w:hint="cs"/>
          <w:rtl/>
        </w:rPr>
        <w:t>القانون الدولي</w:t>
      </w:r>
      <w:r>
        <w:rPr>
          <w:rtl/>
        </w:rPr>
        <w:t xml:space="preserve">. ويشير </w:t>
      </w:r>
      <w:r>
        <w:rPr>
          <w:rFonts w:hint="cs"/>
          <w:rtl/>
        </w:rPr>
        <w:t xml:space="preserve">صاحب البلاغ </w:t>
      </w:r>
      <w:r>
        <w:rPr>
          <w:rtl/>
        </w:rPr>
        <w:t>إلى</w:t>
      </w:r>
      <w:r>
        <w:rPr>
          <w:rFonts w:hint="cs"/>
          <w:rtl/>
        </w:rPr>
        <w:t xml:space="preserve"> أن اللجنة</w:t>
      </w:r>
      <w:r>
        <w:rPr>
          <w:rtl/>
        </w:rPr>
        <w:t xml:space="preserve"> </w:t>
      </w:r>
      <w:r>
        <w:rPr>
          <w:rFonts w:hint="cs"/>
          <w:rtl/>
        </w:rPr>
        <w:t xml:space="preserve">قررت في أحكام </w:t>
      </w:r>
      <w:r>
        <w:rPr>
          <w:rtl/>
        </w:rPr>
        <w:t>سابقة</w:t>
      </w:r>
      <w:r w:rsidR="004B5B71">
        <w:rPr>
          <w:vertAlign w:val="superscript"/>
          <w:rtl/>
        </w:rPr>
        <w:t>(</w:t>
      </w:r>
      <w:r w:rsidR="004B5B71">
        <w:rPr>
          <w:rStyle w:val="FootnoteReference"/>
          <w:rtl/>
        </w:rPr>
        <w:footnoteReference w:id="5"/>
      </w:r>
      <w:r w:rsidR="004B5B71">
        <w:rPr>
          <w:vertAlign w:val="superscript"/>
          <w:rtl/>
        </w:rPr>
        <w:t>)</w:t>
      </w:r>
      <w:r w:rsidR="004B5B71">
        <w:rPr>
          <w:rtl/>
        </w:rPr>
        <w:t xml:space="preserve"> </w:t>
      </w:r>
      <w:r w:rsidRPr="00C73C96">
        <w:rPr>
          <w:rFonts w:hint="cs"/>
          <w:rtl/>
        </w:rPr>
        <w:t xml:space="preserve">أن </w:t>
      </w:r>
      <w:r>
        <w:rPr>
          <w:rFonts w:hint="cs"/>
          <w:rtl/>
        </w:rPr>
        <w:t>إعطاء القانون المحلي</w:t>
      </w:r>
      <w:r>
        <w:rPr>
          <w:rtl/>
        </w:rPr>
        <w:t xml:space="preserve"> </w:t>
      </w:r>
      <w:r>
        <w:rPr>
          <w:rFonts w:hint="cs"/>
          <w:rtl/>
        </w:rPr>
        <w:t>ال</w:t>
      </w:r>
      <w:r w:rsidRPr="00C73C96">
        <w:rPr>
          <w:rtl/>
        </w:rPr>
        <w:t>أسبقية</w:t>
      </w:r>
      <w:r>
        <w:rPr>
          <w:rFonts w:hint="cs"/>
          <w:rtl/>
        </w:rPr>
        <w:t xml:space="preserve"> على</w:t>
      </w:r>
      <w:r w:rsidRPr="00C73C96">
        <w:rPr>
          <w:rtl/>
        </w:rPr>
        <w:t xml:space="preserve"> </w:t>
      </w:r>
      <w:r w:rsidR="004B5B71">
        <w:rPr>
          <w:rFonts w:hint="cs"/>
          <w:rtl/>
        </w:rPr>
        <w:t xml:space="preserve">أحكام </w:t>
      </w:r>
      <w:r w:rsidRPr="00C73C96">
        <w:rPr>
          <w:rtl/>
        </w:rPr>
        <w:t xml:space="preserve">العهد </w:t>
      </w:r>
      <w:r>
        <w:rPr>
          <w:rFonts w:hint="cs"/>
          <w:rtl/>
        </w:rPr>
        <w:t>لا يتماشى مع التزامات الدولة الطرف بموجب العهد</w:t>
      </w:r>
      <w:r w:rsidRPr="00C73C96">
        <w:rPr>
          <w:rtl/>
        </w:rPr>
        <w:t>.</w:t>
      </w:r>
      <w:r>
        <w:rPr>
          <w:rFonts w:hint="cs"/>
          <w:rtl/>
        </w:rPr>
        <w:t xml:space="preserve"> وأضاف أنه بموجب الجزء 1 من المادة 8 من دستور الدولة الطرف، كان </w:t>
      </w:r>
      <w:r w:rsidR="004B5B71">
        <w:rPr>
          <w:rFonts w:hint="cs"/>
          <w:rtl/>
        </w:rPr>
        <w:t>يتعين</w:t>
      </w:r>
      <w:r>
        <w:rPr>
          <w:rFonts w:hint="cs"/>
          <w:rtl/>
        </w:rPr>
        <w:t xml:space="preserve"> على المحاكم خلال البت في قضيته مراعاة </w:t>
      </w:r>
      <w:r>
        <w:rPr>
          <w:rtl/>
        </w:rPr>
        <w:t>أسبقية التزامات الدولة الطرف بموجب العهد على القانون المحلي.</w:t>
      </w:r>
    </w:p>
    <w:p w:rsidR="002E5141" w:rsidRDefault="002E5141" w:rsidP="004B5B71">
      <w:pPr>
        <w:pStyle w:val="SingleTxtGA"/>
        <w:rPr>
          <w:rFonts w:hint="cs"/>
          <w:rtl/>
        </w:rPr>
      </w:pPr>
      <w:r>
        <w:rPr>
          <w:rFonts w:hint="cs"/>
          <w:rtl/>
        </w:rPr>
        <w:t>7-3</w:t>
      </w:r>
      <w:r>
        <w:rPr>
          <w:rFonts w:hint="cs"/>
          <w:rtl/>
        </w:rPr>
        <w:tab/>
        <w:t xml:space="preserve">وأعاد صاحب البلاغ التذكير بأن لأحكام العهد الأسبقية على القانون المحلي وأنها </w:t>
      </w:r>
      <w:r w:rsidR="004B5B71">
        <w:rPr>
          <w:rFonts w:hint="cs"/>
          <w:rtl/>
        </w:rPr>
        <w:t xml:space="preserve">تشكل </w:t>
      </w:r>
      <w:r>
        <w:rPr>
          <w:rFonts w:hint="cs"/>
          <w:rtl/>
        </w:rPr>
        <w:t>جزء</w:t>
      </w:r>
      <w:r w:rsidR="004B5B71">
        <w:rPr>
          <w:rFonts w:hint="cs"/>
          <w:rtl/>
        </w:rPr>
        <w:t>اً</w:t>
      </w:r>
      <w:r>
        <w:rPr>
          <w:rFonts w:hint="cs"/>
          <w:rtl/>
        </w:rPr>
        <w:t xml:space="preserve"> من هذا القانون. وشدد على أن تقييد الحق في نشر المعلومات ينبغي أن تبرره أسباب ترد في الفقرة 3 من المادة 19 من العهد، وهذا ما لم يحصل في قضيته </w:t>
      </w:r>
      <w:r w:rsidR="004B5B71">
        <w:rPr>
          <w:rFonts w:hint="cs"/>
          <w:rtl/>
        </w:rPr>
        <w:t xml:space="preserve">وبالتالي فقد </w:t>
      </w:r>
      <w:r>
        <w:rPr>
          <w:rFonts w:hint="cs"/>
          <w:rtl/>
        </w:rPr>
        <w:t>فُرضت على حقه في</w:t>
      </w:r>
      <w:r w:rsidR="004B5B71">
        <w:rPr>
          <w:rFonts w:hint="cs"/>
          <w:rtl/>
        </w:rPr>
        <w:t xml:space="preserve"> حرية التعبير قيود غير مبررة.</w:t>
      </w:r>
    </w:p>
    <w:p w:rsidR="002E5141" w:rsidRDefault="002E5141" w:rsidP="002E5141">
      <w:pPr>
        <w:pStyle w:val="H23GA"/>
        <w:rPr>
          <w:rtl/>
        </w:rPr>
      </w:pPr>
      <w:r>
        <w:rPr>
          <w:rtl/>
        </w:rPr>
        <w:tab/>
      </w:r>
      <w:r>
        <w:rPr>
          <w:rtl/>
        </w:rPr>
        <w:tab/>
        <w:t>المسائل والإجراءات المعروضة على اللجنة</w:t>
      </w:r>
    </w:p>
    <w:p w:rsidR="002E5141" w:rsidRDefault="002E5141" w:rsidP="002E5141">
      <w:pPr>
        <w:pStyle w:val="H4GA"/>
        <w:rPr>
          <w:rtl/>
        </w:rPr>
      </w:pPr>
      <w:r>
        <w:rPr>
          <w:rtl/>
        </w:rPr>
        <w:tab/>
      </w:r>
      <w:r>
        <w:rPr>
          <w:rtl/>
        </w:rPr>
        <w:tab/>
        <w:t xml:space="preserve">النظر في </w:t>
      </w:r>
      <w:proofErr w:type="spellStart"/>
      <w:r>
        <w:rPr>
          <w:rtl/>
        </w:rPr>
        <w:t>المقبولية</w:t>
      </w:r>
      <w:proofErr w:type="spellEnd"/>
    </w:p>
    <w:p w:rsidR="002E5141" w:rsidRDefault="002E5141" w:rsidP="002E5141">
      <w:pPr>
        <w:pStyle w:val="SingleTxtGA"/>
        <w:rPr>
          <w:rtl/>
        </w:rPr>
      </w:pPr>
      <w:r>
        <w:rPr>
          <w:rFonts w:hint="cs"/>
          <w:rtl/>
        </w:rPr>
        <w:t>8</w:t>
      </w:r>
      <w:r>
        <w:rPr>
          <w:rtl/>
        </w:rPr>
        <w:t>-1</w:t>
      </w:r>
      <w:r>
        <w:rPr>
          <w:rFonts w:hint="cs"/>
          <w:rtl/>
        </w:rPr>
        <w:tab/>
      </w:r>
      <w:r>
        <w:rPr>
          <w:rtl/>
        </w:rPr>
        <w:t>قبل النظر في أي ادعاء</w:t>
      </w:r>
      <w:r>
        <w:rPr>
          <w:rFonts w:hint="cs"/>
          <w:rtl/>
        </w:rPr>
        <w:t>ات</w:t>
      </w:r>
      <w:r>
        <w:rPr>
          <w:rtl/>
        </w:rPr>
        <w:t xml:space="preserve"> </w:t>
      </w:r>
      <w:r>
        <w:rPr>
          <w:rFonts w:hint="cs"/>
          <w:rtl/>
        </w:rPr>
        <w:t>ت</w:t>
      </w:r>
      <w:r>
        <w:rPr>
          <w:rtl/>
        </w:rPr>
        <w:t>رد في بلاغ ما، يجب على اللجنة المعنية بحقوق الإنسان، وفقاً للمادة 93 من نظامها الداخلي، أن تبت في ما إذا كان البلاغ مقبولاً أم لا بموجب البروتوكول الاختياري الملحق بالعهد.</w:t>
      </w:r>
    </w:p>
    <w:p w:rsidR="002E5141" w:rsidRDefault="002E5141" w:rsidP="007E0D5A">
      <w:pPr>
        <w:pStyle w:val="SingleTxtGA"/>
        <w:rPr>
          <w:rtl/>
        </w:rPr>
      </w:pPr>
      <w:r>
        <w:rPr>
          <w:rtl/>
        </w:rPr>
        <w:t>8-2</w:t>
      </w:r>
      <w:r>
        <w:rPr>
          <w:rFonts w:hint="cs"/>
          <w:rtl/>
        </w:rPr>
        <w:tab/>
        <w:t>وتحيط اللجنة علماً</w:t>
      </w:r>
      <w:r>
        <w:rPr>
          <w:rtl/>
        </w:rPr>
        <w:t xml:space="preserve">، وفقاً لما تقتضيه الفقرة 2(أ) </w:t>
      </w:r>
      <w:r w:rsidR="007E0D5A">
        <w:rPr>
          <w:rFonts w:hint="cs"/>
          <w:rtl/>
        </w:rPr>
        <w:t xml:space="preserve">من </w:t>
      </w:r>
      <w:r>
        <w:rPr>
          <w:rtl/>
        </w:rPr>
        <w:t xml:space="preserve">المادة 5 من البروتوكول الاختياري، </w:t>
      </w:r>
      <w:r>
        <w:rPr>
          <w:rFonts w:hint="cs"/>
          <w:rtl/>
        </w:rPr>
        <w:t>ب</w:t>
      </w:r>
      <w:r>
        <w:rPr>
          <w:rtl/>
        </w:rPr>
        <w:t xml:space="preserve">أن </w:t>
      </w:r>
      <w:r>
        <w:rPr>
          <w:rFonts w:hint="cs"/>
          <w:rtl/>
        </w:rPr>
        <w:t>القضية</w:t>
      </w:r>
      <w:r>
        <w:rPr>
          <w:rtl/>
        </w:rPr>
        <w:t xml:space="preserve"> نفسها ليست قيد البحث في إطار </w:t>
      </w:r>
      <w:r w:rsidR="007E0D5A">
        <w:rPr>
          <w:rFonts w:hint="cs"/>
          <w:rtl/>
        </w:rPr>
        <w:t xml:space="preserve">أي </w:t>
      </w:r>
      <w:r>
        <w:rPr>
          <w:rtl/>
        </w:rPr>
        <w:t>إجراء آخر من إجراءات التحقيق الدولي أو التسوية الدولية.</w:t>
      </w:r>
    </w:p>
    <w:p w:rsidR="002E5141" w:rsidRDefault="002E5141" w:rsidP="007E0D5A">
      <w:pPr>
        <w:pStyle w:val="SingleTxtGA"/>
        <w:rPr>
          <w:rFonts w:hint="cs"/>
          <w:spacing w:val="1"/>
          <w:rtl/>
        </w:rPr>
      </w:pPr>
      <w:r w:rsidRPr="00645E84">
        <w:rPr>
          <w:spacing w:val="1"/>
          <w:rtl/>
        </w:rPr>
        <w:t>8-3</w:t>
      </w:r>
      <w:r w:rsidRPr="00645E84">
        <w:rPr>
          <w:rFonts w:hint="cs"/>
          <w:spacing w:val="1"/>
          <w:rtl/>
        </w:rPr>
        <w:tab/>
      </w:r>
      <w:r w:rsidRPr="00645E84">
        <w:rPr>
          <w:spacing w:val="1"/>
          <w:rtl/>
        </w:rPr>
        <w:t xml:space="preserve">وفيما يتعلق </w:t>
      </w:r>
      <w:r>
        <w:rPr>
          <w:rFonts w:hint="cs"/>
          <w:spacing w:val="1"/>
          <w:rtl/>
        </w:rPr>
        <w:t xml:space="preserve">باستنفاد سبل الانتصاف المحلية، أحاطت اللجنة علماً بما أوضحه </w:t>
      </w:r>
      <w:r w:rsidRPr="007E0D5A">
        <w:rPr>
          <w:rFonts w:hint="cs"/>
          <w:rtl/>
        </w:rPr>
        <w:t xml:space="preserve">صاحب البلاغ حول عدم سعيه إلى أن يُنظر في قرار محكمة الدائرة </w:t>
      </w:r>
      <w:proofErr w:type="spellStart"/>
      <w:r w:rsidRPr="007E0D5A">
        <w:rPr>
          <w:rFonts w:hint="cs"/>
          <w:rtl/>
        </w:rPr>
        <w:t>السوفي</w:t>
      </w:r>
      <w:r w:rsidR="007E0D5A" w:rsidRPr="007E0D5A">
        <w:rPr>
          <w:rFonts w:hint="cs"/>
          <w:rtl/>
        </w:rPr>
        <w:t>ا</w:t>
      </w:r>
      <w:r w:rsidRPr="007E0D5A">
        <w:rPr>
          <w:rFonts w:hint="cs"/>
          <w:rtl/>
        </w:rPr>
        <w:t>تية</w:t>
      </w:r>
      <w:proofErr w:type="spellEnd"/>
      <w:r w:rsidRPr="007E0D5A">
        <w:rPr>
          <w:rFonts w:hint="cs"/>
          <w:rtl/>
        </w:rPr>
        <w:t xml:space="preserve"> الصادر في</w:t>
      </w:r>
      <w:r>
        <w:rPr>
          <w:rFonts w:hint="cs"/>
          <w:spacing w:val="1"/>
          <w:rtl/>
        </w:rPr>
        <w:t xml:space="preserve"> 12 </w:t>
      </w:r>
      <w:r w:rsidRPr="007E0D5A">
        <w:rPr>
          <w:rFonts w:hint="cs"/>
          <w:spacing w:val="-4"/>
          <w:rtl/>
        </w:rPr>
        <w:t xml:space="preserve">شباط/فبراير 2008 ولا في قرار محكمة </w:t>
      </w:r>
      <w:proofErr w:type="spellStart"/>
      <w:r w:rsidRPr="007E0D5A">
        <w:rPr>
          <w:rFonts w:hint="cs"/>
          <w:spacing w:val="-4"/>
          <w:rtl/>
        </w:rPr>
        <w:t>غوميل</w:t>
      </w:r>
      <w:proofErr w:type="spellEnd"/>
      <w:r w:rsidRPr="007E0D5A">
        <w:rPr>
          <w:rFonts w:hint="cs"/>
          <w:spacing w:val="-4"/>
          <w:rtl/>
        </w:rPr>
        <w:t xml:space="preserve"> الإقليمية الصادر في 29 شباط/فبراير</w:t>
      </w:r>
      <w:r w:rsidRPr="007E0D5A">
        <w:rPr>
          <w:rFonts w:hint="cs"/>
          <w:rtl/>
        </w:rPr>
        <w:t xml:space="preserve"> 2008، </w:t>
      </w:r>
      <w:r w:rsidR="004B5B71" w:rsidRPr="007E0D5A">
        <w:rPr>
          <w:rFonts w:hint="cs"/>
          <w:rtl/>
        </w:rPr>
        <w:t>و</w:t>
      </w:r>
      <w:r w:rsidRPr="007E0D5A">
        <w:rPr>
          <w:rFonts w:hint="cs"/>
          <w:rtl/>
        </w:rPr>
        <w:t>في إطار إجراءات المراجعة القضائية، لأن سبيل الانتصاف هذا غير فعّال وغير</w:t>
      </w:r>
      <w:r>
        <w:rPr>
          <w:rFonts w:hint="cs"/>
          <w:spacing w:val="1"/>
          <w:rtl/>
        </w:rPr>
        <w:t xml:space="preserve"> متاح. كما تحيط اللجنة علماً كذلك باعتراض الدولة الطرف على هذا الادعاء، ولا سيما البيانات الإحصائية التي قدمتها لدعم وجهة نظرها والتي تبيّن أن المراجعة القضائية قد تكون فعالة في عدد من الحالات. لكن الدولة الطرف لم تبيّن ما إذا كانت إجراءات المراجعة القضائية قد طبقت في قضايا تتعلق بحرية التعبير </w:t>
      </w:r>
      <w:r w:rsidR="004B5B71">
        <w:rPr>
          <w:rFonts w:hint="cs"/>
          <w:spacing w:val="1"/>
          <w:rtl/>
        </w:rPr>
        <w:t xml:space="preserve">ولم تحدد عدد الحالات التي   </w:t>
      </w:r>
      <w:r>
        <w:rPr>
          <w:rFonts w:hint="cs"/>
          <w:spacing w:val="1"/>
          <w:rtl/>
        </w:rPr>
        <w:t>طبقت</w:t>
      </w:r>
      <w:r w:rsidR="004B5B71">
        <w:rPr>
          <w:rFonts w:hint="cs"/>
          <w:spacing w:val="1"/>
          <w:rtl/>
        </w:rPr>
        <w:t xml:space="preserve"> فيها</w:t>
      </w:r>
      <w:r>
        <w:rPr>
          <w:rFonts w:hint="cs"/>
          <w:spacing w:val="1"/>
          <w:rtl/>
        </w:rPr>
        <w:t>. وتذكّر</w:t>
      </w:r>
      <w:r w:rsidRPr="00645E84">
        <w:rPr>
          <w:spacing w:val="1"/>
          <w:rtl/>
        </w:rPr>
        <w:t xml:space="preserve"> اللجنة، في هذا الصدد، </w:t>
      </w:r>
      <w:r w:rsidR="004B5B71">
        <w:rPr>
          <w:rFonts w:hint="cs"/>
          <w:spacing w:val="1"/>
          <w:rtl/>
        </w:rPr>
        <w:t>بآرائها السابقة</w:t>
      </w:r>
      <w:r>
        <w:rPr>
          <w:rFonts w:hint="cs"/>
          <w:spacing w:val="1"/>
          <w:rtl/>
        </w:rPr>
        <w:t xml:space="preserve"> </w:t>
      </w:r>
      <w:r w:rsidRPr="00645E84">
        <w:rPr>
          <w:spacing w:val="1"/>
          <w:rtl/>
        </w:rPr>
        <w:t xml:space="preserve">التي اعتبرت أن </w:t>
      </w:r>
      <w:r w:rsidRPr="00D50946">
        <w:rPr>
          <w:spacing w:val="1"/>
          <w:rtl/>
        </w:rPr>
        <w:t xml:space="preserve">إجراءات المراجعة </w:t>
      </w:r>
      <w:r w:rsidRPr="00D50946">
        <w:rPr>
          <w:rFonts w:hint="cs"/>
          <w:spacing w:val="1"/>
          <w:rtl/>
        </w:rPr>
        <w:t>القضائية</w:t>
      </w:r>
      <w:r w:rsidRPr="00645E84">
        <w:rPr>
          <w:rFonts w:hint="cs"/>
          <w:spacing w:val="1"/>
          <w:rtl/>
        </w:rPr>
        <w:t xml:space="preserve"> </w:t>
      </w:r>
      <w:r w:rsidRPr="00645E84">
        <w:rPr>
          <w:spacing w:val="1"/>
          <w:rtl/>
        </w:rPr>
        <w:t xml:space="preserve">ضد قرارات </w:t>
      </w:r>
      <w:r w:rsidR="004B5B71">
        <w:rPr>
          <w:rFonts w:hint="cs"/>
          <w:spacing w:val="1"/>
          <w:rtl/>
        </w:rPr>
        <w:t xml:space="preserve">المحاكم النافذة </w:t>
      </w:r>
      <w:r>
        <w:rPr>
          <w:rFonts w:hint="cs"/>
          <w:spacing w:val="1"/>
          <w:rtl/>
        </w:rPr>
        <w:t xml:space="preserve">لا </w:t>
      </w:r>
      <w:r w:rsidRPr="00645E84">
        <w:rPr>
          <w:spacing w:val="1"/>
          <w:rtl/>
        </w:rPr>
        <w:t xml:space="preserve">تشكل </w:t>
      </w:r>
      <w:r>
        <w:rPr>
          <w:rFonts w:hint="cs"/>
          <w:spacing w:val="1"/>
          <w:rtl/>
        </w:rPr>
        <w:t>سبيلاً للانتصاف ينبغي استنفاده</w:t>
      </w:r>
      <w:r w:rsidRPr="00645E84">
        <w:rPr>
          <w:spacing w:val="1"/>
          <w:rtl/>
        </w:rPr>
        <w:t xml:space="preserve"> بموجب الفقرة 2(ب) من المادة 5 من البروتوكول الاختياري</w:t>
      </w:r>
      <w:r w:rsidR="004B5B71">
        <w:rPr>
          <w:spacing w:val="1"/>
          <w:vertAlign w:val="superscript"/>
          <w:rtl/>
        </w:rPr>
        <w:t>(</w:t>
      </w:r>
      <w:r w:rsidR="004B5B71">
        <w:rPr>
          <w:rStyle w:val="FootnoteReference"/>
          <w:spacing w:val="1"/>
          <w:rtl/>
        </w:rPr>
        <w:footnoteReference w:id="6"/>
      </w:r>
      <w:r w:rsidR="004B5B71">
        <w:rPr>
          <w:spacing w:val="1"/>
          <w:vertAlign w:val="superscript"/>
          <w:rtl/>
        </w:rPr>
        <w:t>)</w:t>
      </w:r>
      <w:r w:rsidR="004B5B71">
        <w:rPr>
          <w:rFonts w:hint="cs"/>
          <w:spacing w:val="1"/>
          <w:rtl/>
        </w:rPr>
        <w:t>.</w:t>
      </w:r>
      <w:r w:rsidRPr="00645E84">
        <w:rPr>
          <w:spacing w:val="1"/>
          <w:rtl/>
        </w:rPr>
        <w:t xml:space="preserve"> </w:t>
      </w:r>
      <w:r>
        <w:rPr>
          <w:rFonts w:hint="cs"/>
          <w:rtl/>
          <w:lang w:bidi="ar"/>
        </w:rPr>
        <w:t>وبناءً على ذلك، اعتبرت اللجنة أنه لا يوجد ما يمنعها من النظر في البلاغ بموجب الفقرة 2(ب) من المادة 5 من البروتوكول الاختياري.</w:t>
      </w:r>
    </w:p>
    <w:p w:rsidR="002E5141" w:rsidRDefault="002E5141" w:rsidP="002E5141">
      <w:pPr>
        <w:pStyle w:val="SingleTxtGA"/>
        <w:rPr>
          <w:lang w:val="fr-CH"/>
        </w:rPr>
      </w:pPr>
      <w:r>
        <w:rPr>
          <w:rtl/>
        </w:rPr>
        <w:t>8-4</w:t>
      </w:r>
      <w:r>
        <w:rPr>
          <w:rFonts w:hint="cs"/>
          <w:rtl/>
        </w:rPr>
        <w:tab/>
      </w:r>
      <w:r>
        <w:rPr>
          <w:rtl/>
          <w:lang w:val="fr-CH"/>
        </w:rPr>
        <w:t>وترى اللجنة أن صاحب البلاغ أي</w:t>
      </w:r>
      <w:r>
        <w:rPr>
          <w:rFonts w:hint="cs"/>
          <w:rtl/>
          <w:lang w:val="fr-CH"/>
        </w:rPr>
        <w:t>ّ</w:t>
      </w:r>
      <w:r>
        <w:rPr>
          <w:rtl/>
          <w:lang w:val="fr-CH"/>
        </w:rPr>
        <w:t>د ادعاءاته</w:t>
      </w:r>
      <w:r>
        <w:rPr>
          <w:rFonts w:hint="cs"/>
          <w:rtl/>
          <w:lang w:val="fr-CH"/>
        </w:rPr>
        <w:t xml:space="preserve"> </w:t>
      </w:r>
      <w:r>
        <w:rPr>
          <w:rtl/>
          <w:lang w:val="fr-CH"/>
        </w:rPr>
        <w:t xml:space="preserve">بأدلة كافية </w:t>
      </w:r>
      <w:r>
        <w:rPr>
          <w:rFonts w:hint="cs"/>
          <w:rtl/>
          <w:lang w:val="fr-CH"/>
        </w:rPr>
        <w:t xml:space="preserve">لإثبات انتهاك حقوقه بموجب </w:t>
      </w:r>
      <w:r>
        <w:rPr>
          <w:rtl/>
          <w:lang w:val="fr-CH"/>
        </w:rPr>
        <w:t xml:space="preserve">الفقرة 2 من المادة 19 من العهد. </w:t>
      </w:r>
      <w:r>
        <w:rPr>
          <w:rFonts w:hint="cs"/>
          <w:rtl/>
          <w:lang w:val="fr-CH"/>
        </w:rPr>
        <w:t xml:space="preserve">وعليه، </w:t>
      </w:r>
      <w:r>
        <w:rPr>
          <w:rtl/>
          <w:lang w:val="fr-CH"/>
        </w:rPr>
        <w:t>ترى اللجنة أن البلاغ مقبول وتمضي من ثم إلى النظر في أسسه الموضوعية.</w:t>
      </w:r>
    </w:p>
    <w:p w:rsidR="002E5141" w:rsidRPr="003A7F8C" w:rsidRDefault="002E5141" w:rsidP="002E5141">
      <w:pPr>
        <w:pStyle w:val="SingleTxtGA"/>
        <w:rPr>
          <w:i/>
          <w:iCs/>
          <w:rtl/>
        </w:rPr>
      </w:pPr>
      <w:r w:rsidRPr="003A7F8C">
        <w:rPr>
          <w:i/>
          <w:iCs/>
          <w:rtl/>
        </w:rPr>
        <w:t>النظر في الأسس الموضوعية</w:t>
      </w:r>
    </w:p>
    <w:p w:rsidR="002E5141" w:rsidRDefault="002E5141" w:rsidP="002E5141">
      <w:pPr>
        <w:pStyle w:val="SingleTxtGA"/>
        <w:rPr>
          <w:rtl/>
        </w:rPr>
      </w:pPr>
      <w:r>
        <w:rPr>
          <w:rFonts w:hint="cs"/>
          <w:rtl/>
        </w:rPr>
        <w:t>9-1</w:t>
      </w:r>
      <w:r>
        <w:rPr>
          <w:rFonts w:hint="cs"/>
          <w:rtl/>
        </w:rPr>
        <w:tab/>
      </w:r>
      <w:r>
        <w:rPr>
          <w:rtl/>
        </w:rPr>
        <w:t xml:space="preserve">نظرت اللجنة المعنية بحقوق الإنسان في البلاغ في ضوء </w:t>
      </w:r>
      <w:r>
        <w:rPr>
          <w:rFonts w:hint="cs"/>
          <w:rtl/>
        </w:rPr>
        <w:t xml:space="preserve">جميع </w:t>
      </w:r>
      <w:r>
        <w:rPr>
          <w:rtl/>
        </w:rPr>
        <w:t xml:space="preserve">المعلومات التي </w:t>
      </w:r>
      <w:r>
        <w:rPr>
          <w:rFonts w:hint="cs"/>
          <w:rtl/>
        </w:rPr>
        <w:t>وردتها</w:t>
      </w:r>
      <w:r>
        <w:rPr>
          <w:rtl/>
        </w:rPr>
        <w:t>، على النحو المنصوص عليه في الفقرة 1 من المادة 5 من البروتوكول الاختياري.</w:t>
      </w:r>
    </w:p>
    <w:p w:rsidR="002E5141" w:rsidRDefault="002E5141" w:rsidP="002E5141">
      <w:pPr>
        <w:pStyle w:val="SingleTxtGA"/>
        <w:rPr>
          <w:rtl/>
        </w:rPr>
      </w:pPr>
      <w:r w:rsidRPr="00563A57">
        <w:rPr>
          <w:spacing w:val="-2"/>
          <w:rtl/>
        </w:rPr>
        <w:t>9-2</w:t>
      </w:r>
      <w:r w:rsidRPr="00563A57">
        <w:rPr>
          <w:rFonts w:hint="cs"/>
          <w:spacing w:val="-2"/>
          <w:rtl/>
        </w:rPr>
        <w:tab/>
      </w:r>
      <w:r>
        <w:rPr>
          <w:spacing w:val="-2"/>
          <w:rtl/>
        </w:rPr>
        <w:t>و</w:t>
      </w:r>
      <w:r w:rsidRPr="00563A57">
        <w:rPr>
          <w:spacing w:val="-2"/>
          <w:rtl/>
        </w:rPr>
        <w:t xml:space="preserve">القضية المعروضة على اللجنة هي ما إذا كان </w:t>
      </w:r>
      <w:r>
        <w:rPr>
          <w:rFonts w:hint="cs"/>
          <w:rtl/>
        </w:rPr>
        <w:t xml:space="preserve">تغريم صاحب البلاغ بسبب توزيعه مناشير تتعلق باجتماعين لم يُصرح </w:t>
      </w:r>
      <w:proofErr w:type="spellStart"/>
      <w:r>
        <w:rPr>
          <w:rFonts w:hint="cs"/>
          <w:rtl/>
        </w:rPr>
        <w:t>بهما</w:t>
      </w:r>
      <w:proofErr w:type="spellEnd"/>
      <w:r>
        <w:rPr>
          <w:rFonts w:hint="cs"/>
          <w:rtl/>
        </w:rPr>
        <w:t xml:space="preserve"> لسكان من </w:t>
      </w:r>
      <w:r w:rsidR="002C3006">
        <w:rPr>
          <w:rFonts w:hint="cs"/>
          <w:rtl/>
        </w:rPr>
        <w:t xml:space="preserve">مدينة </w:t>
      </w:r>
      <w:proofErr w:type="spellStart"/>
      <w:r>
        <w:rPr>
          <w:rFonts w:hint="cs"/>
          <w:rtl/>
        </w:rPr>
        <w:t>غوميل</w:t>
      </w:r>
      <w:proofErr w:type="spellEnd"/>
      <w:r>
        <w:rPr>
          <w:rFonts w:hint="cs"/>
          <w:rtl/>
        </w:rPr>
        <w:t xml:space="preserve"> مع معارض سياسي</w:t>
      </w:r>
      <w:r>
        <w:rPr>
          <w:rtl/>
        </w:rPr>
        <w:t xml:space="preserve">، </w:t>
      </w:r>
      <w:r>
        <w:rPr>
          <w:rFonts w:hint="cs"/>
          <w:rtl/>
        </w:rPr>
        <w:t xml:space="preserve">يشكل انتهاكاً لحقوقه بموجب </w:t>
      </w:r>
      <w:r>
        <w:rPr>
          <w:rtl/>
        </w:rPr>
        <w:t>الفقرة 2 من المادة 19 من العهد.</w:t>
      </w:r>
    </w:p>
    <w:p w:rsidR="002E5141" w:rsidRDefault="002E5141" w:rsidP="002C3006">
      <w:pPr>
        <w:pStyle w:val="SingleTxtGA"/>
        <w:rPr>
          <w:rtl/>
        </w:rPr>
      </w:pPr>
      <w:r>
        <w:rPr>
          <w:rtl/>
        </w:rPr>
        <w:t>9-3</w:t>
      </w:r>
      <w:r>
        <w:rPr>
          <w:rtl/>
        </w:rPr>
        <w:tab/>
      </w:r>
      <w:r>
        <w:rPr>
          <w:rFonts w:hint="cs"/>
          <w:rtl/>
        </w:rPr>
        <w:t>وتذكّر</w:t>
      </w:r>
      <w:r>
        <w:rPr>
          <w:rtl/>
        </w:rPr>
        <w:t xml:space="preserve"> اللجنة </w:t>
      </w:r>
      <w:r w:rsidR="002C3006">
        <w:rPr>
          <w:rFonts w:hint="cs"/>
          <w:rtl/>
        </w:rPr>
        <w:t xml:space="preserve">في هذا الصدد </w:t>
      </w:r>
      <w:r>
        <w:rPr>
          <w:rFonts w:hint="cs"/>
          <w:rtl/>
        </w:rPr>
        <w:t>ب</w:t>
      </w:r>
      <w:r>
        <w:rPr>
          <w:rtl/>
        </w:rPr>
        <w:t>تعليقها العام رقم 34</w:t>
      </w:r>
      <w:r>
        <w:rPr>
          <w:rFonts w:hint="cs"/>
          <w:rtl/>
        </w:rPr>
        <w:t xml:space="preserve"> الذي اعتبرت فيه، </w:t>
      </w:r>
      <w:r w:rsidR="007E0D5A">
        <w:rPr>
          <w:rFonts w:hint="cs"/>
          <w:rtl/>
        </w:rPr>
        <w:t>و</w:t>
      </w:r>
      <w:r>
        <w:rPr>
          <w:rFonts w:hint="cs"/>
          <w:rtl/>
        </w:rPr>
        <w:t>ضمن أمور أخرى،</w:t>
      </w:r>
      <w:r>
        <w:rPr>
          <w:rtl/>
        </w:rPr>
        <w:t xml:space="preserve"> أن حرية الرأي وحرية التعبير شرطان لا غنى عنهما لتحقيق النمو الكامل للفرد، وأنهما عنصران أساسيان في أي مجتمع، وأنهما </w:t>
      </w:r>
      <w:r w:rsidR="002C3006">
        <w:rPr>
          <w:rFonts w:hint="cs"/>
          <w:rtl/>
        </w:rPr>
        <w:t>ت</w:t>
      </w:r>
      <w:r>
        <w:rPr>
          <w:rtl/>
        </w:rPr>
        <w:t>شكلان حجر الزاوية في كل مجتمع حر وديمقراطي</w:t>
      </w:r>
      <w:r w:rsidR="002C3006">
        <w:rPr>
          <w:rFonts w:hint="cs"/>
          <w:rtl/>
        </w:rPr>
        <w:t xml:space="preserve">، وأن </w:t>
      </w:r>
      <w:r>
        <w:rPr>
          <w:rFonts w:hint="cs"/>
          <w:rtl/>
        </w:rPr>
        <w:t xml:space="preserve">فرض </w:t>
      </w:r>
      <w:r>
        <w:rPr>
          <w:rtl/>
        </w:rPr>
        <w:t xml:space="preserve">أية قيود على ممارستهما يجب أن </w:t>
      </w:r>
      <w:r>
        <w:rPr>
          <w:rFonts w:hint="cs"/>
          <w:rtl/>
        </w:rPr>
        <w:t xml:space="preserve">يتم وفقاً </w:t>
      </w:r>
      <w:r w:rsidR="002C3006">
        <w:rPr>
          <w:rFonts w:hint="cs"/>
          <w:rtl/>
        </w:rPr>
        <w:t>لمعايير</w:t>
      </w:r>
      <w:r>
        <w:rPr>
          <w:rtl/>
        </w:rPr>
        <w:t xml:space="preserve"> صارمة تتعلق بالضرورة والتناسب </w:t>
      </w:r>
      <w:r w:rsidR="002C3006">
        <w:rPr>
          <w:rFonts w:hint="cs"/>
          <w:rtl/>
        </w:rPr>
        <w:t>"</w:t>
      </w:r>
      <w:r>
        <w:rPr>
          <w:rtl/>
        </w:rPr>
        <w:t>ولا يجوز تطبيق القيود إلا للأغراض التي وضعت من أجلها</w:t>
      </w:r>
      <w:r w:rsidR="002C3006">
        <w:rPr>
          <w:rFonts w:hint="cs"/>
          <w:rtl/>
        </w:rPr>
        <w:t>،</w:t>
      </w:r>
      <w:r>
        <w:rPr>
          <w:rtl/>
        </w:rPr>
        <w:t xml:space="preserve"> كما </w:t>
      </w:r>
      <w:r w:rsidR="002C3006">
        <w:rPr>
          <w:rFonts w:hint="cs"/>
          <w:rtl/>
        </w:rPr>
        <w:t xml:space="preserve">أنها </w:t>
      </w:r>
      <w:r>
        <w:rPr>
          <w:rtl/>
        </w:rPr>
        <w:t>يجب أن ت</w:t>
      </w:r>
      <w:r w:rsidR="002C3006">
        <w:rPr>
          <w:rFonts w:hint="cs"/>
          <w:rtl/>
        </w:rPr>
        <w:t>كون مرتبطة ارتباطاً مباشراً بالحاجة المحددة التي تستدعي فرضها</w:t>
      </w:r>
      <w:r>
        <w:rPr>
          <w:rtl/>
        </w:rPr>
        <w:t>".</w:t>
      </w:r>
    </w:p>
    <w:p w:rsidR="002E5141" w:rsidRDefault="002E5141" w:rsidP="007E0D5A">
      <w:pPr>
        <w:pStyle w:val="SingleTxtGA"/>
        <w:rPr>
          <w:rFonts w:hint="cs"/>
          <w:rtl/>
        </w:rPr>
      </w:pPr>
      <w:r>
        <w:rPr>
          <w:rtl/>
        </w:rPr>
        <w:t>9-4</w:t>
      </w:r>
      <w:r>
        <w:rPr>
          <w:rFonts w:hint="cs"/>
          <w:rtl/>
        </w:rPr>
        <w:tab/>
        <w:t xml:space="preserve">وأحاطت اللجنة علماً </w:t>
      </w:r>
      <w:r w:rsidR="002C3006">
        <w:rPr>
          <w:rFonts w:hint="cs"/>
          <w:rtl/>
        </w:rPr>
        <w:t>بتوضيح</w:t>
      </w:r>
      <w:r>
        <w:rPr>
          <w:rFonts w:hint="cs"/>
          <w:rtl/>
        </w:rPr>
        <w:t xml:space="preserve"> الدولة الطرف أن قانونها المتعلق بالمظاهرات الجماهيرية يحظر نشر أية معلومات حول اجتماعات محتملة قبل الحصول من السلطات المختصة على التصريح الرسمي بعقد الاجتماع المعني وأن ما قام به صاحب البلاغ يشكل مخالفة إدارية. وأقرت الدولة الطرف بأن</w:t>
      </w:r>
      <w:r w:rsidR="002C3006">
        <w:rPr>
          <w:rFonts w:hint="cs"/>
          <w:rtl/>
        </w:rPr>
        <w:t>ه</w:t>
      </w:r>
      <w:r>
        <w:rPr>
          <w:rFonts w:hint="cs"/>
          <w:rtl/>
        </w:rPr>
        <w:t xml:space="preserve"> لا يمكن تقييد الحق في حرية التعبير إلا وفقاً لمتطلبات الفقرة 3 من المادة 19 من العهد. لكن الدولة الطرف لم توضح كيف أثّرت أفعال صاحب البلاغ عملياً، في هذه الحالة بالذات، على احترام حقوق الآخرين أو سمعتهم، </w:t>
      </w:r>
      <w:r w:rsidR="002C3006">
        <w:rPr>
          <w:rFonts w:hint="cs"/>
          <w:rtl/>
        </w:rPr>
        <w:t xml:space="preserve">     </w:t>
      </w:r>
      <w:r>
        <w:rPr>
          <w:rFonts w:hint="cs"/>
          <w:rtl/>
        </w:rPr>
        <w:t xml:space="preserve">أو شكلت خطراً على حماية الأمن القومي أو النظام العام، أو الصحة أو الآداب العامة. وتذكّر اللجنة بأنه يقع على عاتق الدولة الطرف </w:t>
      </w:r>
      <w:r w:rsidR="002C3006">
        <w:rPr>
          <w:rFonts w:hint="cs"/>
          <w:rtl/>
        </w:rPr>
        <w:t xml:space="preserve">إثبات </w:t>
      </w:r>
      <w:r>
        <w:rPr>
          <w:rFonts w:hint="cs"/>
          <w:rtl/>
        </w:rPr>
        <w:t xml:space="preserve">أن القيود المفروضة على حق صاحب البلاغ بموجب المادة 19 ضرورية، وأنه </w:t>
      </w:r>
      <w:r>
        <w:rPr>
          <w:rtl/>
        </w:rPr>
        <w:t xml:space="preserve">حتى إذا جاز للدولة الطرف أن </w:t>
      </w:r>
      <w:r w:rsidR="002C3006">
        <w:rPr>
          <w:rFonts w:hint="cs"/>
          <w:rtl/>
        </w:rPr>
        <w:t>تطبق نظاماً</w:t>
      </w:r>
      <w:r w:rsidR="007E0D5A">
        <w:rPr>
          <w:rFonts w:hint="cs"/>
          <w:rtl/>
        </w:rPr>
        <w:t xml:space="preserve"> </w:t>
      </w:r>
      <w:r>
        <w:rPr>
          <w:rtl/>
        </w:rPr>
        <w:t xml:space="preserve">لإصدار التصاريح الغرض منه إيجاد توازن بين حرية الفرد في التعبير وبين المصلحة العامة المتمثلة في الحفاظ على النظام العام في منطقة بعينها، فإن هذا النظام يجب أن يُستخدم </w:t>
      </w:r>
      <w:r w:rsidR="002C3006">
        <w:rPr>
          <w:rFonts w:hint="cs"/>
          <w:rtl/>
        </w:rPr>
        <w:t xml:space="preserve"> </w:t>
      </w:r>
      <w:r>
        <w:rPr>
          <w:rtl/>
        </w:rPr>
        <w:t>بطريقة متوافقة مع المادة 19 من العهد.</w:t>
      </w:r>
      <w:r>
        <w:rPr>
          <w:rFonts w:hint="cs"/>
          <w:rtl/>
        </w:rPr>
        <w:t xml:space="preserve"> وفي ضوء رفض محكمة </w:t>
      </w:r>
      <w:proofErr w:type="spellStart"/>
      <w:r>
        <w:rPr>
          <w:rFonts w:hint="cs"/>
          <w:rtl/>
        </w:rPr>
        <w:t>غوميل</w:t>
      </w:r>
      <w:proofErr w:type="spellEnd"/>
      <w:r>
        <w:rPr>
          <w:rFonts w:hint="cs"/>
          <w:rtl/>
        </w:rPr>
        <w:t xml:space="preserve"> النظر في ما إذا كان تقييد حق صاحب البلاغ ضرورياً</w:t>
      </w:r>
      <w:r w:rsidR="002C3006">
        <w:rPr>
          <w:rFonts w:hint="cs"/>
          <w:rtl/>
        </w:rPr>
        <w:t>،</w:t>
      </w:r>
      <w:r>
        <w:rPr>
          <w:rFonts w:hint="cs"/>
          <w:rtl/>
        </w:rPr>
        <w:t xml:space="preserve"> و</w:t>
      </w:r>
      <w:r w:rsidR="002C3006">
        <w:rPr>
          <w:rFonts w:hint="cs"/>
          <w:rtl/>
        </w:rPr>
        <w:t xml:space="preserve">نظراً لعدم توفر </w:t>
      </w:r>
      <w:r>
        <w:rPr>
          <w:rFonts w:hint="cs"/>
          <w:rtl/>
        </w:rPr>
        <w:t xml:space="preserve">أية معلومات في الملف تبرر قرارات السلطات بموجب الفقرة 3 من المادة 19، تعتبر اللجنة أن القيود المفروضة على حقوق صاحب البلاغ في هذه القضية لا تتماشى مع شروط هذا الحكم من العهد. وتخلص اللجنة بالتالي إلى أن </w:t>
      </w:r>
      <w:r w:rsidRPr="007E0D5A">
        <w:rPr>
          <w:rFonts w:hint="cs"/>
          <w:spacing w:val="-2"/>
          <w:rtl/>
        </w:rPr>
        <w:t xml:space="preserve">صاحب البلاغ </w:t>
      </w:r>
      <w:r w:rsidR="002C3006" w:rsidRPr="007E0D5A">
        <w:rPr>
          <w:rFonts w:hint="cs"/>
          <w:spacing w:val="-2"/>
          <w:rtl/>
        </w:rPr>
        <w:t xml:space="preserve">قد </w:t>
      </w:r>
      <w:r w:rsidRPr="007E0D5A">
        <w:rPr>
          <w:rFonts w:hint="cs"/>
          <w:spacing w:val="-2"/>
          <w:rtl/>
        </w:rPr>
        <w:t>تعرض لانتهاك الدولة الطرف لحقه المكفول بموجب الفقرة 2 من المادة</w:t>
      </w:r>
      <w:r>
        <w:rPr>
          <w:rFonts w:hint="cs"/>
          <w:rtl/>
        </w:rPr>
        <w:t xml:space="preserve"> 19 من العهد. </w:t>
      </w:r>
    </w:p>
    <w:p w:rsidR="002E5141" w:rsidRDefault="002E5141" w:rsidP="002E5141">
      <w:pPr>
        <w:pStyle w:val="SingleTxtGA"/>
        <w:rPr>
          <w:rtl/>
        </w:rPr>
      </w:pPr>
      <w:r>
        <w:rPr>
          <w:rtl/>
        </w:rPr>
        <w:t>10-</w:t>
      </w:r>
      <w:r>
        <w:rPr>
          <w:rtl/>
        </w:rPr>
        <w:tab/>
        <w:t xml:space="preserve">واللجنة المعنية بحقوق الإنسان، إذ تتصرف بموجب الفقرة 4 من المادة 5 من البروتوكول الاختياري الملحق بالعهد الدولي الخاص بالحقوق المدنية والسياسية، ترى أن الوقائع المعروضة عليها تكشف عن انتهاك </w:t>
      </w:r>
      <w:proofErr w:type="spellStart"/>
      <w:r>
        <w:rPr>
          <w:rtl/>
        </w:rPr>
        <w:t>بيلاروس</w:t>
      </w:r>
      <w:proofErr w:type="spellEnd"/>
      <w:r>
        <w:rPr>
          <w:rFonts w:hint="cs"/>
          <w:rtl/>
        </w:rPr>
        <w:t xml:space="preserve"> لحقوق صاحب البلاغ بموجب</w:t>
      </w:r>
      <w:r>
        <w:rPr>
          <w:rtl/>
        </w:rPr>
        <w:t xml:space="preserve"> </w:t>
      </w:r>
      <w:r>
        <w:rPr>
          <w:rFonts w:hint="cs"/>
          <w:rtl/>
        </w:rPr>
        <w:t>ا</w:t>
      </w:r>
      <w:r>
        <w:rPr>
          <w:rtl/>
        </w:rPr>
        <w:t>لفقرة 2 من المادة 19 من العهد.</w:t>
      </w:r>
    </w:p>
    <w:p w:rsidR="002E5141" w:rsidRDefault="002E5141" w:rsidP="002E5141">
      <w:pPr>
        <w:pStyle w:val="SingleTxtGA"/>
        <w:rPr>
          <w:rtl/>
        </w:rPr>
      </w:pPr>
      <w:r>
        <w:rPr>
          <w:rtl/>
        </w:rPr>
        <w:t>11-</w:t>
      </w:r>
      <w:r>
        <w:rPr>
          <w:rtl/>
        </w:rPr>
        <w:tab/>
        <w:t xml:space="preserve">ووفقاً للفقرة 3(أ) من المادة 2 من العهد، فإن الدولة الطرف ملزمة بتوفير سبيل انتصاف فعال لصاحب البلاغ، بما في ذلك </w:t>
      </w:r>
      <w:r>
        <w:rPr>
          <w:rFonts w:hint="cs"/>
          <w:rtl/>
        </w:rPr>
        <w:t xml:space="preserve">بسداد قيمة </w:t>
      </w:r>
      <w:r>
        <w:rPr>
          <w:rtl/>
        </w:rPr>
        <w:t xml:space="preserve">الغرامة وأية مصاريف قانونية تحملها صاحب البلاغ، إضافة إلى تعويضه. ويقع على عاتق الدولة الطرف أيضاً التزام باتخاذ تدابير لمنع تكرار </w:t>
      </w:r>
      <w:r w:rsidR="002C3006">
        <w:rPr>
          <w:rFonts w:hint="cs"/>
          <w:rtl/>
        </w:rPr>
        <w:t xml:space="preserve">حدوث </w:t>
      </w:r>
      <w:r>
        <w:rPr>
          <w:rtl/>
        </w:rPr>
        <w:t>انتهاكات مشابهة في المستقبل.</w:t>
      </w:r>
      <w:r>
        <w:rPr>
          <w:rFonts w:hint="cs"/>
          <w:rtl/>
        </w:rPr>
        <w:t xml:space="preserve"> وترى اللجنة في هذا الصدد أن على الدولة الطرف مراجعة تشريعاتها، لا سيما القانون المتعلق بالتظاهرات الجماهيرية وتطبيقه، لضمان تماشيه مع شروط المادة 19 من العهد. </w:t>
      </w:r>
    </w:p>
    <w:p w:rsidR="002E5141" w:rsidRDefault="002E5141" w:rsidP="002E5141">
      <w:pPr>
        <w:pStyle w:val="SingleTxtGA"/>
        <w:rPr>
          <w:rtl/>
        </w:rPr>
      </w:pPr>
      <w:r>
        <w:rPr>
          <w:rtl/>
        </w:rPr>
        <w:t>12-</w:t>
      </w:r>
      <w:r>
        <w:rPr>
          <w:rtl/>
        </w:rPr>
        <w:tab/>
        <w:t xml:space="preserve">وإذ تضع اللجنة في اعتبارها أن الدولة الطرف قد اعترفت، عندما أصبحت طرفاً في البروتوكول الاختياري، باختصاص اللجنة في تحديد ما إذا كان قد حدث انتهاك لأحكام العهد أم لا وأنها قد تعهدت، عملاً بالمادة 2 من العهد، بأن تضمن تمتع جميع الأفراد الموجودين في إقليمها أو الخاضعين لولايتها بالحقوق المعترف بها في العهد وأن توفر سبيل انتصاف فعالاً ونافذاً في حالة ثبوت حدوث انتهاك، فإنها تعرب عن رغبتها في أن تتلقى من الدولة الطرف، في غضون 180 يوماً، معلومات عن التدابير المتخذة لتنفيذ آرائها. كما تطلب اللجنة إلى الدولة الطرف نشر هذه الآراء على نطاق واسع في إقليمها باللغتين </w:t>
      </w:r>
      <w:proofErr w:type="spellStart"/>
      <w:r>
        <w:rPr>
          <w:rtl/>
        </w:rPr>
        <w:t>البيلاروسية</w:t>
      </w:r>
      <w:proofErr w:type="spellEnd"/>
      <w:r>
        <w:rPr>
          <w:rtl/>
        </w:rPr>
        <w:t xml:space="preserve"> والروسية.</w:t>
      </w:r>
    </w:p>
    <w:p w:rsidR="002E5141" w:rsidRPr="00563A57" w:rsidRDefault="002E5141" w:rsidP="002E5141">
      <w:pPr>
        <w:pStyle w:val="SingleTxtGA"/>
        <w:rPr>
          <w:rFonts w:hint="cs"/>
          <w:spacing w:val="-4"/>
          <w:rtl/>
        </w:rPr>
      </w:pPr>
      <w:r w:rsidRPr="00563A57">
        <w:rPr>
          <w:spacing w:val="-4"/>
          <w:rtl/>
        </w:rPr>
        <w:t>[اعتُمدت بالإسبانية والإنكليزية والفرنسية، علماً بأن النص الإنكليزي هو النص الأصلي. وستصدر لاحقاً بالروسية والصينية والعربية كجزء من تقرير اللجنة السنوي إلى الجمعية العامة.]</w:t>
      </w:r>
    </w:p>
    <w:p w:rsidR="008B4BC6" w:rsidRPr="002E5141" w:rsidRDefault="002E5141" w:rsidP="002E5141">
      <w:pPr>
        <w:spacing w:before="120"/>
        <w:jc w:val="center"/>
        <w:rPr>
          <w:rFonts w:hint="cs"/>
          <w:u w:val="single"/>
          <w:rtl/>
        </w:rPr>
      </w:pPr>
      <w:r>
        <w:rPr>
          <w:u w:val="single"/>
          <w:rtl/>
        </w:rPr>
        <w:tab/>
      </w:r>
      <w:r>
        <w:rPr>
          <w:u w:val="single"/>
          <w:rtl/>
        </w:rPr>
        <w:tab/>
      </w:r>
      <w:r>
        <w:rPr>
          <w:u w:val="single"/>
          <w:rtl/>
        </w:rPr>
        <w:tab/>
      </w:r>
    </w:p>
    <w:sectPr w:rsidR="008B4BC6" w:rsidRPr="002E514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2E" w:rsidRPr="00FE6865" w:rsidRDefault="0025382E" w:rsidP="00FE6865">
      <w:pPr>
        <w:pStyle w:val="Footer"/>
      </w:pPr>
    </w:p>
  </w:endnote>
  <w:endnote w:type="continuationSeparator" w:id="0">
    <w:p w:rsidR="0025382E" w:rsidRDefault="0025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41" w:rsidRPr="002E5141" w:rsidRDefault="002E5141" w:rsidP="002E5141">
    <w:pPr>
      <w:pStyle w:val="Footer"/>
      <w:tabs>
        <w:tab w:val="right" w:pos="9598"/>
      </w:tabs>
    </w:pPr>
    <w:r>
      <w:t>GE.12-45675</w:t>
    </w:r>
    <w:r>
      <w:tab/>
    </w:r>
    <w:r w:rsidRPr="002E5141">
      <w:rPr>
        <w:b/>
        <w:sz w:val="18"/>
      </w:rPr>
      <w:fldChar w:fldCharType="begin"/>
    </w:r>
    <w:r w:rsidRPr="002E5141">
      <w:rPr>
        <w:b/>
        <w:sz w:val="18"/>
      </w:rPr>
      <w:instrText xml:space="preserve"> PAGE  \* MERGEFORMAT </w:instrText>
    </w:r>
    <w:r w:rsidRPr="002E5141">
      <w:rPr>
        <w:b/>
        <w:sz w:val="18"/>
      </w:rPr>
      <w:fldChar w:fldCharType="separate"/>
    </w:r>
    <w:r w:rsidR="007E0D5A">
      <w:rPr>
        <w:b/>
        <w:noProof/>
        <w:sz w:val="18"/>
      </w:rPr>
      <w:t>10</w:t>
    </w:r>
    <w:r w:rsidRPr="002E514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41" w:rsidRPr="002E5141" w:rsidRDefault="002E5141" w:rsidP="002E5141">
    <w:pPr>
      <w:pStyle w:val="Footer"/>
      <w:tabs>
        <w:tab w:val="right" w:pos="9598"/>
      </w:tabs>
      <w:rPr>
        <w:b/>
        <w:sz w:val="18"/>
      </w:rPr>
    </w:pPr>
    <w:r w:rsidRPr="002E5141">
      <w:rPr>
        <w:b/>
        <w:sz w:val="18"/>
      </w:rPr>
      <w:fldChar w:fldCharType="begin"/>
    </w:r>
    <w:r w:rsidRPr="002E5141">
      <w:rPr>
        <w:b/>
        <w:sz w:val="18"/>
      </w:rPr>
      <w:instrText xml:space="preserve"> PAGE  \* MERGEFORMAT </w:instrText>
    </w:r>
    <w:r w:rsidRPr="002E5141">
      <w:rPr>
        <w:b/>
        <w:sz w:val="18"/>
      </w:rPr>
      <w:fldChar w:fldCharType="separate"/>
    </w:r>
    <w:r w:rsidR="007E0D5A">
      <w:rPr>
        <w:b/>
        <w:noProof/>
        <w:sz w:val="18"/>
      </w:rPr>
      <w:t>11</w:t>
    </w:r>
    <w:r w:rsidRPr="002E5141">
      <w:rPr>
        <w:b/>
        <w:sz w:val="18"/>
      </w:rPr>
      <w:fldChar w:fldCharType="end"/>
    </w:r>
    <w:r>
      <w:rPr>
        <w:b/>
        <w:sz w:val="18"/>
      </w:rPr>
      <w:tab/>
    </w:r>
    <w:r>
      <w:t>GE.12-45675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FA" w:rsidRDefault="002E5141" w:rsidP="00923FB7">
    <w:pPr>
      <w:pStyle w:val="Footer"/>
      <w:jc w:val="right"/>
    </w:pPr>
    <w:r>
      <w:rPr>
        <w:sz w:val="20"/>
      </w:rPr>
      <w:t>(A)   GE.12-45675</w:t>
    </w:r>
    <w:r w:rsidR="00C23BF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2C3006">
      <w:rPr>
        <w:sz w:val="20"/>
      </w:rPr>
      <w:t xml:space="preserve">    </w:t>
    </w:r>
    <w:r w:rsidR="00923FB7">
      <w:rPr>
        <w:sz w:val="20"/>
      </w:rPr>
      <w:t>10</w:t>
    </w:r>
    <w:r w:rsidR="002C3006">
      <w:rPr>
        <w:sz w:val="20"/>
      </w:rPr>
      <w:t xml:space="preserve">1012    </w:t>
    </w:r>
    <w:r w:rsidR="000D7501">
      <w:rPr>
        <w:sz w:val="20"/>
      </w:rPr>
      <w:t>1</w:t>
    </w:r>
    <w:r w:rsidR="00923FB7">
      <w:rPr>
        <w:sz w:val="20"/>
      </w:rPr>
      <w:t>5</w:t>
    </w:r>
    <w:r w:rsidR="000D7501">
      <w:rPr>
        <w:sz w:val="20"/>
      </w:rPr>
      <w:t>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2E" w:rsidRDefault="0025382E" w:rsidP="007E4686">
      <w:pPr>
        <w:pStyle w:val="Footer"/>
        <w:bidi/>
        <w:spacing w:after="80" w:line="200" w:lineRule="exact"/>
        <w:ind w:left="680"/>
      </w:pPr>
      <w:r>
        <w:rPr>
          <w:rFonts w:hint="cs"/>
          <w:rtl/>
        </w:rPr>
        <w:t>__________</w:t>
      </w:r>
    </w:p>
  </w:footnote>
  <w:footnote w:type="continuationSeparator" w:id="0">
    <w:p w:rsidR="0025382E" w:rsidRDefault="0025382E" w:rsidP="007E4686">
      <w:pPr>
        <w:pStyle w:val="Footer"/>
        <w:bidi/>
        <w:spacing w:after="80" w:line="200" w:lineRule="exact"/>
        <w:ind w:left="680"/>
      </w:pPr>
      <w:r>
        <w:rPr>
          <w:rFonts w:hint="cs"/>
          <w:rtl/>
        </w:rPr>
        <w:t>__________</w:t>
      </w:r>
    </w:p>
  </w:footnote>
  <w:footnote w:id="1">
    <w:p w:rsidR="002E5141" w:rsidRPr="008F0034" w:rsidRDefault="002E5141" w:rsidP="00923FB7">
      <w:pPr>
        <w:pStyle w:val="footnoteText0"/>
      </w:pPr>
      <w:r>
        <w:rPr>
          <w:rtl/>
        </w:rPr>
        <w:tab/>
      </w:r>
      <w:r w:rsidRPr="002E5141">
        <w:rPr>
          <w:rStyle w:val="FootnoteReference"/>
          <w:sz w:val="20"/>
          <w:vertAlign w:val="baseline"/>
          <w:rtl/>
        </w:rPr>
        <w:t>*</w:t>
      </w:r>
      <w:r>
        <w:rPr>
          <w:rtl/>
        </w:rPr>
        <w:tab/>
      </w:r>
      <w:r w:rsidRPr="00763C9C">
        <w:rPr>
          <w:rFonts w:hint="cs"/>
          <w:rtl/>
        </w:rPr>
        <w:t>شارك أعضاء اللجنة التالية أسماؤهم في دراسة هذا البلاغ:</w:t>
      </w:r>
      <w:r>
        <w:rPr>
          <w:rFonts w:hint="cs"/>
          <w:rtl/>
        </w:rPr>
        <w:t xml:space="preserve"> السيد عياض بن عاشور،</w:t>
      </w:r>
      <w:r w:rsidRPr="00763C9C">
        <w:rPr>
          <w:rFonts w:hint="cs"/>
          <w:rtl/>
        </w:rPr>
        <w:t xml:space="preserve"> </w:t>
      </w:r>
      <w:r w:rsidRPr="00763C9C">
        <w:rPr>
          <w:rtl/>
        </w:rPr>
        <w:t xml:space="preserve">والسيد </w:t>
      </w:r>
      <w:r w:rsidR="00923FB7">
        <w:rPr>
          <w:rFonts w:hint="cs"/>
          <w:rtl/>
        </w:rPr>
        <w:t>لزهاد</w:t>
      </w:r>
      <w:r w:rsidRPr="00763C9C">
        <w:rPr>
          <w:rtl/>
        </w:rPr>
        <w:t xml:space="preserve">ي بوزيد، والسيدة كريستين شانيه، </w:t>
      </w:r>
      <w:r>
        <w:rPr>
          <w:rFonts w:hint="cs"/>
          <w:rtl/>
        </w:rPr>
        <w:t>و</w:t>
      </w:r>
      <w:r w:rsidRPr="00763C9C">
        <w:rPr>
          <w:rtl/>
        </w:rPr>
        <w:t>السيد كورنيليس فلينترمان</w:t>
      </w:r>
      <w:r>
        <w:rPr>
          <w:rFonts w:hint="cs"/>
          <w:rtl/>
        </w:rPr>
        <w:t xml:space="preserve">، </w:t>
      </w:r>
      <w:r w:rsidRPr="00763C9C">
        <w:rPr>
          <w:rtl/>
        </w:rPr>
        <w:t xml:space="preserve">والسيد يوجي إواساوا، </w:t>
      </w:r>
      <w:r>
        <w:rPr>
          <w:rFonts w:hint="cs"/>
          <w:rtl/>
        </w:rPr>
        <w:t xml:space="preserve">والسيد </w:t>
      </w:r>
      <w:r w:rsidR="00923FB7">
        <w:rPr>
          <w:rFonts w:hint="cs"/>
          <w:rtl/>
        </w:rPr>
        <w:t>ف</w:t>
      </w:r>
      <w:r>
        <w:rPr>
          <w:rFonts w:hint="cs"/>
          <w:rtl/>
        </w:rPr>
        <w:t>التر ك</w:t>
      </w:r>
      <w:r w:rsidR="00923FB7">
        <w:rPr>
          <w:rFonts w:hint="cs"/>
          <w:rtl/>
        </w:rPr>
        <w:t>ا</w:t>
      </w:r>
      <w:r>
        <w:rPr>
          <w:rFonts w:hint="cs"/>
          <w:rtl/>
        </w:rPr>
        <w:t xml:space="preserve">لين، </w:t>
      </w:r>
      <w:r w:rsidRPr="00763C9C">
        <w:rPr>
          <w:rtl/>
        </w:rPr>
        <w:t>والسيدة زونكي زانيل</w:t>
      </w:r>
      <w:r w:rsidR="00923FB7">
        <w:rPr>
          <w:rFonts w:hint="cs"/>
          <w:rtl/>
        </w:rPr>
        <w:t>ي</w:t>
      </w:r>
      <w:r w:rsidRPr="00763C9C">
        <w:rPr>
          <w:rtl/>
        </w:rPr>
        <w:t xml:space="preserve"> ماجودينا،</w:t>
      </w:r>
      <w:r>
        <w:rPr>
          <w:rFonts w:hint="cs"/>
          <w:rtl/>
        </w:rPr>
        <w:t xml:space="preserve"> </w:t>
      </w:r>
      <w:r w:rsidRPr="00763C9C">
        <w:rPr>
          <w:rtl/>
        </w:rPr>
        <w:t xml:space="preserve">والسيدة يوليا </w:t>
      </w:r>
      <w:r>
        <w:rPr>
          <w:rtl/>
        </w:rPr>
        <w:t>أنطوانيلا موتوك</w:t>
      </w:r>
      <w:r w:rsidRPr="00763C9C">
        <w:rPr>
          <w:rtl/>
        </w:rPr>
        <w:t xml:space="preserve">، والسيد مايكل أوفلاهرتي، والسيد رافائيل ريفاس بوسادا، والسير نايجل رودلي، والسيد فابيان عمر سالفيولي، </w:t>
      </w:r>
      <w:r>
        <w:rPr>
          <w:rFonts w:hint="cs"/>
          <w:rtl/>
        </w:rPr>
        <w:t xml:space="preserve">والسيد مارات </w:t>
      </w:r>
      <w:r>
        <w:rPr>
          <w:rtl/>
        </w:rPr>
        <w:t>سارسيمباييف</w:t>
      </w:r>
      <w:r>
        <w:rPr>
          <w:rFonts w:hint="cs"/>
          <w:rtl/>
        </w:rPr>
        <w:t xml:space="preserve">، </w:t>
      </w:r>
      <w:r w:rsidRPr="00763C9C">
        <w:rPr>
          <w:rtl/>
        </w:rPr>
        <w:t xml:space="preserve">والسيد كريستر </w:t>
      </w:r>
      <w:r w:rsidR="00923FB7">
        <w:rPr>
          <w:rFonts w:hint="cs"/>
          <w:rtl/>
        </w:rPr>
        <w:t>ت</w:t>
      </w:r>
      <w:r w:rsidRPr="00763C9C">
        <w:rPr>
          <w:rtl/>
        </w:rPr>
        <w:t>يلين</w:t>
      </w:r>
      <w:r>
        <w:rPr>
          <w:rFonts w:hint="cs"/>
          <w:rtl/>
        </w:rPr>
        <w:t xml:space="preserve">، والسيدة مارغو واترفال.  </w:t>
      </w:r>
    </w:p>
  </w:footnote>
  <w:footnote w:id="2">
    <w:p w:rsidR="002E5141" w:rsidRDefault="002E5141" w:rsidP="00923FB7">
      <w:pPr>
        <w:pStyle w:val="FootnoteText"/>
        <w:numPr>
          <w:ilvl w:val="0"/>
          <w:numId w:val="40"/>
        </w:numPr>
        <w:tabs>
          <w:tab w:val="clear" w:pos="1292"/>
        </w:tabs>
        <w:spacing w:after="60" w:line="300" w:lineRule="exact"/>
        <w:ind w:left="1247" w:right="1247"/>
        <w:rPr>
          <w:rFonts w:hint="cs"/>
        </w:rPr>
      </w:pPr>
      <w:r w:rsidRPr="002E5141">
        <w:rPr>
          <w:rFonts w:hint="cs"/>
          <w:sz w:val="26"/>
          <w:szCs w:val="26"/>
          <w:rtl/>
        </w:rPr>
        <w:t xml:space="preserve">قدم صاحب البلاغ نسخة من المناشير المذكورة. ويتضمن المنشور صورة السيد ميليكيفيتش، ونصاً يشرح لسكان </w:t>
      </w:r>
      <w:r w:rsidR="00A71FF4">
        <w:rPr>
          <w:rFonts w:hint="cs"/>
          <w:sz w:val="26"/>
          <w:szCs w:val="26"/>
          <w:rtl/>
        </w:rPr>
        <w:t xml:space="preserve">مدينة </w:t>
      </w:r>
      <w:r w:rsidRPr="002E5141">
        <w:rPr>
          <w:rFonts w:hint="cs"/>
          <w:sz w:val="26"/>
          <w:szCs w:val="26"/>
          <w:rtl/>
        </w:rPr>
        <w:t xml:space="preserve">غوميل أن طلباً قدّم منذ شهر إلى اللجنة التنفيذية في المدينة لمنح إذن بعقد اجتماع مع السيد ميليكيفيتش في قاعة "فستيفالني". وأشير إلى </w:t>
      </w:r>
      <w:r w:rsidR="00923FB7">
        <w:rPr>
          <w:rFonts w:hint="cs"/>
          <w:sz w:val="26"/>
          <w:szCs w:val="26"/>
          <w:rtl/>
        </w:rPr>
        <w:t xml:space="preserve">أن </w:t>
      </w:r>
      <w:r w:rsidRPr="002E5141">
        <w:rPr>
          <w:rFonts w:hint="cs"/>
          <w:sz w:val="26"/>
          <w:szCs w:val="26"/>
          <w:rtl/>
        </w:rPr>
        <w:t xml:space="preserve">هذا الطلب حظي بدعم أكثر من 300 شخص من سكان غوميل وأن سلطات المدينة رفضت منح إذن بعقد الاجتماع بذريعة "مختلقة". </w:t>
      </w:r>
      <w:r w:rsidR="00A71FF4">
        <w:rPr>
          <w:rFonts w:hint="cs"/>
          <w:sz w:val="26"/>
          <w:szCs w:val="26"/>
          <w:rtl/>
        </w:rPr>
        <w:t>ثم يشير</w:t>
      </w:r>
      <w:r w:rsidRPr="002E5141">
        <w:rPr>
          <w:rFonts w:hint="cs"/>
          <w:sz w:val="26"/>
          <w:szCs w:val="26"/>
          <w:rtl/>
        </w:rPr>
        <w:t xml:space="preserve"> النص إلى أن الاجتماع مع السيد ميليكيفيتش سيعقد ع</w:t>
      </w:r>
      <w:r w:rsidR="00923FB7">
        <w:rPr>
          <w:rFonts w:hint="cs"/>
          <w:sz w:val="26"/>
          <w:szCs w:val="26"/>
          <w:rtl/>
        </w:rPr>
        <w:t>لى</w:t>
      </w:r>
      <w:r w:rsidRPr="002E5141">
        <w:rPr>
          <w:rFonts w:hint="cs"/>
          <w:sz w:val="26"/>
          <w:szCs w:val="26"/>
          <w:rtl/>
        </w:rPr>
        <w:t xml:space="preserve"> أية حال في 15 شباط/فبراير 2008، في تمام الساعة الرابعة بعد الظهر في مكان بين المباني الواقعة في 94-98 شارع باريكين، وفي الساعة الخامسة والنصف بعد الظهر في ساحة ياناكي كوبالي. ويشير النص إلى أن السيد ميليكيفيتش سيعرض برنامجه بشأن سبل تخطي المشاكل الاجتماعي</w:t>
      </w:r>
      <w:r w:rsidRPr="002E5141">
        <w:rPr>
          <w:rFonts w:hint="eastAsia"/>
          <w:sz w:val="26"/>
          <w:szCs w:val="26"/>
          <w:rtl/>
        </w:rPr>
        <w:t>ة</w:t>
      </w:r>
      <w:r w:rsidRPr="002E5141">
        <w:rPr>
          <w:rFonts w:hint="cs"/>
          <w:sz w:val="26"/>
          <w:szCs w:val="26"/>
          <w:rtl/>
        </w:rPr>
        <w:t xml:space="preserve"> والاقتصادية الناجمة عن "قصر النظر" في سياسيات "الإدارة الحالية"، وسيجيب ع</w:t>
      </w:r>
      <w:r w:rsidR="00A71FF4">
        <w:rPr>
          <w:rFonts w:hint="cs"/>
          <w:sz w:val="26"/>
          <w:szCs w:val="26"/>
          <w:rtl/>
        </w:rPr>
        <w:t>ن</w:t>
      </w:r>
      <w:r w:rsidRPr="002E5141">
        <w:rPr>
          <w:rFonts w:hint="cs"/>
          <w:sz w:val="26"/>
          <w:szCs w:val="26"/>
          <w:rtl/>
        </w:rPr>
        <w:t xml:space="preserve"> الأسئلة التي تُطرح عليه. ويتضمن المنشور أخيراً رقم هاتف الجهة التي يمكن الاتصال بها للحصول على المزيد من المعلوما</w:t>
      </w:r>
      <w:r w:rsidRPr="002E5141">
        <w:rPr>
          <w:rFonts w:hint="eastAsia"/>
          <w:sz w:val="26"/>
          <w:szCs w:val="26"/>
          <w:rtl/>
        </w:rPr>
        <w:t>ت</w:t>
      </w:r>
      <w:r>
        <w:rPr>
          <w:rFonts w:hint="cs"/>
          <w:rtl/>
        </w:rPr>
        <w:t>.</w:t>
      </w:r>
    </w:p>
  </w:footnote>
  <w:footnote w:id="3">
    <w:p w:rsidR="002A3AA4" w:rsidRDefault="002A3AA4" w:rsidP="002A3AA4">
      <w:pPr>
        <w:pStyle w:val="FootnoteText"/>
        <w:numPr>
          <w:ilvl w:val="0"/>
          <w:numId w:val="40"/>
        </w:numPr>
        <w:tabs>
          <w:tab w:val="clear" w:pos="1292"/>
        </w:tabs>
        <w:spacing w:after="60" w:line="300" w:lineRule="exact"/>
        <w:ind w:left="1247" w:right="1247"/>
        <w:rPr>
          <w:rFonts w:hint="cs"/>
        </w:rPr>
      </w:pPr>
      <w:r w:rsidRPr="002A3AA4">
        <w:rPr>
          <w:rFonts w:hint="cs"/>
          <w:sz w:val="26"/>
          <w:szCs w:val="26"/>
          <w:rtl/>
        </w:rPr>
        <w:t xml:space="preserve">يشير صاحب البلاغ على وجه الخصوص إلى القضية رقم 780/1997، </w:t>
      </w:r>
      <w:r w:rsidRPr="002A3AA4">
        <w:rPr>
          <w:i/>
          <w:iCs/>
          <w:sz w:val="26"/>
          <w:szCs w:val="26"/>
          <w:rtl/>
          <w:lang w:val="fr-CH"/>
        </w:rPr>
        <w:t>لابتسيفيتش ضد بيلاروس</w:t>
      </w:r>
      <w:r w:rsidRPr="002A3AA4">
        <w:rPr>
          <w:rFonts w:hint="cs"/>
          <w:i/>
          <w:iCs/>
          <w:sz w:val="26"/>
          <w:szCs w:val="26"/>
          <w:rtl/>
          <w:lang w:val="fr-CH"/>
        </w:rPr>
        <w:t xml:space="preserve">، </w:t>
      </w:r>
      <w:r w:rsidRPr="002A3AA4">
        <w:rPr>
          <w:rFonts w:hint="cs"/>
          <w:sz w:val="26"/>
          <w:szCs w:val="26"/>
          <w:rtl/>
          <w:lang w:val="fr-CH"/>
        </w:rPr>
        <w:t>الآراء المعتمدة في 20 آذار/مارس 2000.</w:t>
      </w:r>
    </w:p>
  </w:footnote>
  <w:footnote w:id="4">
    <w:p w:rsidR="00364F11" w:rsidRDefault="00364F11" w:rsidP="001B3609">
      <w:pPr>
        <w:pStyle w:val="FootnoteText"/>
        <w:numPr>
          <w:ilvl w:val="0"/>
          <w:numId w:val="40"/>
        </w:numPr>
        <w:tabs>
          <w:tab w:val="clear" w:pos="1292"/>
        </w:tabs>
        <w:spacing w:after="60" w:line="300" w:lineRule="exact"/>
        <w:ind w:left="1247" w:right="1247"/>
        <w:rPr>
          <w:rFonts w:hint="cs"/>
        </w:rPr>
      </w:pPr>
      <w:r w:rsidRPr="00364F11">
        <w:rPr>
          <w:rFonts w:hint="cs"/>
          <w:sz w:val="26"/>
          <w:szCs w:val="26"/>
          <w:rtl/>
        </w:rPr>
        <w:t>تشير الدولة الطرف في هذا الصدد إلى أن المادة 29 من الإعلان العالمي لحقوق الإنسان تنص على ما يلي: (1) "على كل فرد واجبات إزاء الجماعة، التي فيها وحدها يمكن أن تنمو شخصيته النمو الحر الكامل" و(2) "لا يخضع أي فرد في ممارسة حقوقه وحرياته، إلا للقيود التي يقررها القانون مستهدف</w:t>
      </w:r>
      <w:r>
        <w:rPr>
          <w:rFonts w:hint="cs"/>
          <w:sz w:val="26"/>
          <w:szCs w:val="26"/>
          <w:rtl/>
        </w:rPr>
        <w:t>ا</w:t>
      </w:r>
      <w:r w:rsidRPr="00364F11">
        <w:rPr>
          <w:rFonts w:hint="cs"/>
          <w:sz w:val="26"/>
          <w:szCs w:val="26"/>
          <w:rtl/>
        </w:rPr>
        <w:t>ً منها، حصراً، ضمان الاعتراف الواجب بحقوق وحريات الآخرين واحترامها، والوفاء بالعادل من مقتضيات الفضيلة والنظام العام ورفاه الجميع في مجتمع ديمقراطي"</w:t>
      </w:r>
      <w:r w:rsidR="001B3609">
        <w:rPr>
          <w:rFonts w:hint="cs"/>
          <w:sz w:val="26"/>
          <w:szCs w:val="26"/>
          <w:rtl/>
        </w:rPr>
        <w:t>.</w:t>
      </w:r>
    </w:p>
  </w:footnote>
  <w:footnote w:id="5">
    <w:p w:rsidR="004B5B71" w:rsidRDefault="004B5B71" w:rsidP="004B5B71">
      <w:pPr>
        <w:pStyle w:val="FootnoteText"/>
        <w:numPr>
          <w:ilvl w:val="0"/>
          <w:numId w:val="40"/>
        </w:numPr>
        <w:tabs>
          <w:tab w:val="clear" w:pos="1292"/>
        </w:tabs>
        <w:spacing w:after="60" w:line="300" w:lineRule="exact"/>
        <w:ind w:left="1247" w:right="1247"/>
        <w:rPr>
          <w:rFonts w:hint="cs"/>
        </w:rPr>
      </w:pPr>
      <w:r w:rsidRPr="004B5B71">
        <w:rPr>
          <w:rFonts w:hint="cs"/>
          <w:sz w:val="26"/>
          <w:szCs w:val="26"/>
          <w:rtl/>
        </w:rPr>
        <w:t xml:space="preserve">يشير صاحب البلاغ تحديداً إلى الآراء التي اعتمدتها اللجنة </w:t>
      </w:r>
      <w:r>
        <w:rPr>
          <w:rFonts w:hint="cs"/>
          <w:sz w:val="26"/>
          <w:szCs w:val="26"/>
          <w:rtl/>
        </w:rPr>
        <w:t xml:space="preserve">بشأن </w:t>
      </w:r>
      <w:r w:rsidRPr="004B5B71">
        <w:rPr>
          <w:rFonts w:hint="cs"/>
          <w:sz w:val="26"/>
          <w:szCs w:val="26"/>
          <w:rtl/>
        </w:rPr>
        <w:t xml:space="preserve">البلاغ رقم 628/1995، </w:t>
      </w:r>
      <w:r w:rsidRPr="004B5B71">
        <w:rPr>
          <w:rFonts w:hint="cs"/>
          <w:i/>
          <w:iCs/>
          <w:sz w:val="26"/>
          <w:szCs w:val="26"/>
          <w:rtl/>
        </w:rPr>
        <w:t>باك ضد جمهورية كوريا</w:t>
      </w:r>
      <w:r w:rsidRPr="004B5B71">
        <w:rPr>
          <w:rFonts w:hint="cs"/>
          <w:sz w:val="26"/>
          <w:szCs w:val="26"/>
          <w:rtl/>
        </w:rPr>
        <w:t>.</w:t>
      </w:r>
    </w:p>
  </w:footnote>
  <w:footnote w:id="6">
    <w:p w:rsidR="004B5B71" w:rsidRDefault="004B5B71" w:rsidP="004B5B71">
      <w:pPr>
        <w:pStyle w:val="FootnoteText"/>
        <w:numPr>
          <w:ilvl w:val="0"/>
          <w:numId w:val="40"/>
        </w:numPr>
        <w:tabs>
          <w:tab w:val="clear" w:pos="1292"/>
        </w:tabs>
        <w:spacing w:after="60" w:line="300" w:lineRule="exact"/>
        <w:ind w:left="1247" w:right="1247"/>
        <w:rPr>
          <w:rFonts w:hint="cs"/>
        </w:rPr>
      </w:pPr>
      <w:r w:rsidRPr="004B5B71">
        <w:rPr>
          <w:rFonts w:hint="cs"/>
          <w:sz w:val="26"/>
          <w:szCs w:val="26"/>
          <w:rtl/>
        </w:rPr>
        <w:t xml:space="preserve">انظر على سبيل المثال، البلاغ رقم 1814/2008، </w:t>
      </w:r>
      <w:r w:rsidRPr="004B5B71">
        <w:rPr>
          <w:rFonts w:hint="cs"/>
          <w:i/>
          <w:iCs/>
          <w:sz w:val="26"/>
          <w:szCs w:val="26"/>
          <w:rtl/>
        </w:rPr>
        <w:t>ب.ل. ضد بيلاروس</w:t>
      </w:r>
      <w:r w:rsidRPr="004B5B71">
        <w:rPr>
          <w:rFonts w:hint="cs"/>
          <w:sz w:val="26"/>
          <w:szCs w:val="26"/>
          <w:rtl/>
        </w:rPr>
        <w:t>، قرار عدم المقبولية الصادر في 26 تموز/يوليه 2011، الفقرة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41" w:rsidRPr="002E5141" w:rsidRDefault="002E5141" w:rsidP="002E5141">
    <w:pPr>
      <w:pStyle w:val="Header"/>
      <w:jc w:val="right"/>
    </w:pPr>
    <w:r w:rsidRPr="002E5141">
      <w:t>CCPR/C/105/D/1784/2008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FA" w:rsidRPr="002E5141" w:rsidRDefault="002E5141" w:rsidP="002E5141">
    <w:pPr>
      <w:pStyle w:val="Header"/>
      <w:jc w:val="left"/>
    </w:pPr>
    <w:r w:rsidRPr="002E5141">
      <w:t>CCPR/C/105/D/1784/2008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FA" w:rsidRDefault="00C23BFA"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2" o:allowincell="f" filled="f" stroked="f">
          <v:textbox inset="0,0,0,0">
            <w:txbxContent>
              <w:p w:rsidR="00C23BFA" w:rsidRPr="008F6743" w:rsidRDefault="00C23BFA"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312D16"/>
    <w:multiLevelType w:val="hybridMultilevel"/>
    <w:tmpl w:val="03CE35CA"/>
    <w:lvl w:ilvl="0" w:tplc="BE16E52E">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A8B4B362">
      <w:start w:val="1"/>
      <w:numFmt w:val="decimal"/>
      <w:lvlRestart w:val="0"/>
      <w:lvlText w:val="(%2)"/>
      <w:lvlJc w:val="right"/>
      <w:pPr>
        <w:tabs>
          <w:tab w:val="num" w:pos="1352"/>
        </w:tabs>
        <w:ind w:left="1352" w:hanging="227"/>
      </w:pPr>
      <w:rPr>
        <w:rFonts w:hint="default"/>
        <w:sz w:val="26"/>
        <w:szCs w:val="26"/>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4"/>
  </w:num>
  <w:num w:numId="13">
    <w:abstractNumId w:val="11"/>
  </w:num>
  <w:num w:numId="14">
    <w:abstractNumId w:val="8"/>
  </w:num>
  <w:num w:numId="15">
    <w:abstractNumId w:val="21"/>
  </w:num>
  <w:num w:numId="16">
    <w:abstractNumId w:val="1"/>
  </w:num>
  <w:num w:numId="17">
    <w:abstractNumId w:val="14"/>
  </w:num>
  <w:num w:numId="18">
    <w:abstractNumId w:val="11"/>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BFA"/>
    <w:rsid w:val="00040E25"/>
    <w:rsid w:val="00042149"/>
    <w:rsid w:val="000648EA"/>
    <w:rsid w:val="000957C8"/>
    <w:rsid w:val="00097049"/>
    <w:rsid w:val="000A04D5"/>
    <w:rsid w:val="000B52F2"/>
    <w:rsid w:val="000D0EAE"/>
    <w:rsid w:val="000D5380"/>
    <w:rsid w:val="000D6654"/>
    <w:rsid w:val="000D7501"/>
    <w:rsid w:val="000E103D"/>
    <w:rsid w:val="000F0264"/>
    <w:rsid w:val="000F2EBF"/>
    <w:rsid w:val="000F3A9F"/>
    <w:rsid w:val="000F5FF6"/>
    <w:rsid w:val="001022B5"/>
    <w:rsid w:val="00113FA5"/>
    <w:rsid w:val="001455A0"/>
    <w:rsid w:val="001602A3"/>
    <w:rsid w:val="001A5161"/>
    <w:rsid w:val="001A60BD"/>
    <w:rsid w:val="001B3609"/>
    <w:rsid w:val="001C6D53"/>
    <w:rsid w:val="00232277"/>
    <w:rsid w:val="0023736D"/>
    <w:rsid w:val="0025382E"/>
    <w:rsid w:val="00257225"/>
    <w:rsid w:val="002A3AA4"/>
    <w:rsid w:val="002C3006"/>
    <w:rsid w:val="002E5141"/>
    <w:rsid w:val="00310160"/>
    <w:rsid w:val="00341A8C"/>
    <w:rsid w:val="003519E6"/>
    <w:rsid w:val="00355F81"/>
    <w:rsid w:val="00364F11"/>
    <w:rsid w:val="003703E4"/>
    <w:rsid w:val="003B4356"/>
    <w:rsid w:val="003F08A8"/>
    <w:rsid w:val="004250E3"/>
    <w:rsid w:val="00472A81"/>
    <w:rsid w:val="004A20A6"/>
    <w:rsid w:val="004B2C92"/>
    <w:rsid w:val="004B5B71"/>
    <w:rsid w:val="004D6A3A"/>
    <w:rsid w:val="004F4AD7"/>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31815"/>
    <w:rsid w:val="00731B84"/>
    <w:rsid w:val="00734AE7"/>
    <w:rsid w:val="0079344E"/>
    <w:rsid w:val="007E0D5A"/>
    <w:rsid w:val="007E197F"/>
    <w:rsid w:val="007E2786"/>
    <w:rsid w:val="007E4686"/>
    <w:rsid w:val="007F68C4"/>
    <w:rsid w:val="008153DE"/>
    <w:rsid w:val="00852A10"/>
    <w:rsid w:val="00862634"/>
    <w:rsid w:val="00866C59"/>
    <w:rsid w:val="00877306"/>
    <w:rsid w:val="00885524"/>
    <w:rsid w:val="008A450D"/>
    <w:rsid w:val="008A6242"/>
    <w:rsid w:val="008B4BC6"/>
    <w:rsid w:val="008F6743"/>
    <w:rsid w:val="00901E57"/>
    <w:rsid w:val="009070DF"/>
    <w:rsid w:val="00923FB7"/>
    <w:rsid w:val="00935F0E"/>
    <w:rsid w:val="0095208F"/>
    <w:rsid w:val="00977B3F"/>
    <w:rsid w:val="009814AE"/>
    <w:rsid w:val="009901D3"/>
    <w:rsid w:val="00996BBE"/>
    <w:rsid w:val="009B2C03"/>
    <w:rsid w:val="009D17B9"/>
    <w:rsid w:val="009D1DD5"/>
    <w:rsid w:val="009F722C"/>
    <w:rsid w:val="00A26157"/>
    <w:rsid w:val="00A265C3"/>
    <w:rsid w:val="00A43F9A"/>
    <w:rsid w:val="00A53F38"/>
    <w:rsid w:val="00A543D4"/>
    <w:rsid w:val="00A71FF4"/>
    <w:rsid w:val="00AD0014"/>
    <w:rsid w:val="00AD4CF2"/>
    <w:rsid w:val="00AF0BBA"/>
    <w:rsid w:val="00B25159"/>
    <w:rsid w:val="00B30468"/>
    <w:rsid w:val="00B44E31"/>
    <w:rsid w:val="00BA4F7E"/>
    <w:rsid w:val="00BB2C41"/>
    <w:rsid w:val="00BC55C8"/>
    <w:rsid w:val="00BC5C10"/>
    <w:rsid w:val="00BE2964"/>
    <w:rsid w:val="00C21623"/>
    <w:rsid w:val="00C23BFA"/>
    <w:rsid w:val="00C24FBD"/>
    <w:rsid w:val="00C473BA"/>
    <w:rsid w:val="00C611ED"/>
    <w:rsid w:val="00C6490A"/>
    <w:rsid w:val="00C64FE1"/>
    <w:rsid w:val="00C726D2"/>
    <w:rsid w:val="00C74296"/>
    <w:rsid w:val="00C8345E"/>
    <w:rsid w:val="00CA5F7C"/>
    <w:rsid w:val="00D51067"/>
    <w:rsid w:val="00D75657"/>
    <w:rsid w:val="00D960AD"/>
    <w:rsid w:val="00DA0E0E"/>
    <w:rsid w:val="00DB0885"/>
    <w:rsid w:val="00DB0C39"/>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1727A"/>
    <w:rsid w:val="00F34764"/>
    <w:rsid w:val="00F54E3C"/>
    <w:rsid w:val="00F874BD"/>
    <w:rsid w:val="00FB1D0B"/>
    <w:rsid w:val="00FB5B79"/>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3014</Words>
  <Characters>17185</Characters>
  <Application>Microsoft Office Word</Application>
  <DocSecurity>4</DocSecurity>
  <Lines>143</Lines>
  <Paragraphs>40</Paragraphs>
  <ScaleCrop>false</ScaleCrop>
  <HeadingPairs>
    <vt:vector size="2" baseType="variant">
      <vt:variant>
        <vt:lpstr>العنوان</vt:lpstr>
      </vt:variant>
      <vt:variant>
        <vt:i4>1</vt:i4>
      </vt:variant>
    </vt:vector>
  </HeadingPairs>
  <TitlesOfParts>
    <vt:vector size="1" baseType="lpstr">
      <vt:lpstr>CCPR/C/105/D/1784/2008</vt:lpstr>
    </vt:vector>
  </TitlesOfParts>
  <Company>CSD</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CCPR/C/105/D/1784/2008</dc:title>
  <dc:subject/>
  <dc:creator>Malek</dc:creator>
  <cp:keywords/>
  <dc:description/>
  <cp:lastModifiedBy>Malek</cp:lastModifiedBy>
  <cp:revision>2</cp:revision>
  <cp:lastPrinted>2012-10-15T09:34:00Z</cp:lastPrinted>
  <dcterms:created xsi:type="dcterms:W3CDTF">2012-10-15T09:48:00Z</dcterms:created>
  <dcterms:modified xsi:type="dcterms:W3CDTF">2012-10-15T09:48:00Z</dcterms:modified>
</cp:coreProperties>
</file>