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D26A9F">
            <w:bookmarkStart w:id="0" w:name="_GoBack"/>
            <w:bookmarkEnd w:id="0"/>
          </w:p>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BD2ED0" w:rsidP="00BD2ED0">
            <w:pPr>
              <w:jc w:val="right"/>
            </w:pPr>
            <w:r w:rsidRPr="00BD2ED0">
              <w:rPr>
                <w:sz w:val="40"/>
              </w:rPr>
              <w:t>CAT</w:t>
            </w:r>
            <w:r>
              <w:t>/C/COL/QPR/6</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BD2ED0" w:rsidP="00A704A8">
            <w:pPr>
              <w:spacing w:before="240"/>
            </w:pPr>
            <w:proofErr w:type="spellStart"/>
            <w:r>
              <w:t>Distr</w:t>
            </w:r>
            <w:proofErr w:type="spellEnd"/>
            <w:r>
              <w:t>. générale</w:t>
            </w:r>
          </w:p>
          <w:p w:rsidR="00BD2ED0" w:rsidRDefault="00BD2ED0" w:rsidP="00BD2ED0">
            <w:pPr>
              <w:spacing w:line="240" w:lineRule="exact"/>
            </w:pPr>
            <w:r>
              <w:t>1</w:t>
            </w:r>
            <w:r w:rsidRPr="00BD2ED0">
              <w:rPr>
                <w:vertAlign w:val="superscript"/>
              </w:rPr>
              <w:t>er</w:t>
            </w:r>
            <w:r>
              <w:t xml:space="preserve"> juin 2017</w:t>
            </w:r>
          </w:p>
          <w:p w:rsidR="00BD2ED0" w:rsidRDefault="00BD2ED0" w:rsidP="00BD2ED0">
            <w:pPr>
              <w:spacing w:line="240" w:lineRule="exact"/>
            </w:pPr>
            <w:r>
              <w:t>Français</w:t>
            </w:r>
          </w:p>
          <w:p w:rsidR="00BD2ED0" w:rsidRDefault="00BD2ED0" w:rsidP="00BD2ED0">
            <w:pPr>
              <w:spacing w:line="240" w:lineRule="exact"/>
            </w:pPr>
            <w:r>
              <w:t>Original : espagnol</w:t>
            </w:r>
          </w:p>
          <w:p w:rsidR="00AB0052" w:rsidRPr="00DB58B5" w:rsidRDefault="00980BD1" w:rsidP="00B06AFF">
            <w:pPr>
              <w:spacing w:line="240" w:lineRule="exact"/>
            </w:pPr>
            <w:r>
              <w:t xml:space="preserve">Anglais, </w:t>
            </w:r>
            <w:r w:rsidR="00B06AFF">
              <w:t xml:space="preserve">espagnol et </w:t>
            </w:r>
            <w:r>
              <w:t xml:space="preserve">français </w:t>
            </w:r>
            <w:r w:rsidR="00AB0052">
              <w:t>seulement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725A71" w:rsidRPr="00725A71" w:rsidRDefault="00725A71" w:rsidP="00725A71">
      <w:pPr>
        <w:pStyle w:val="HChG"/>
        <w:rPr>
          <w:b w:val="0"/>
          <w:lang w:val="fr-FR" w:eastAsia="es-ES"/>
        </w:rPr>
      </w:pPr>
      <w:r>
        <w:rPr>
          <w:lang w:val="fr-FR" w:eastAsia="es-ES"/>
        </w:rPr>
        <w:tab/>
      </w:r>
      <w:r>
        <w:rPr>
          <w:lang w:val="fr-FR" w:eastAsia="es-ES"/>
        </w:rPr>
        <w:tab/>
      </w:r>
      <w:r w:rsidRPr="00B85BF2">
        <w:rPr>
          <w:lang w:val="fr-FR" w:eastAsia="es-ES"/>
        </w:rPr>
        <w:t>Liste de points établie avant la soumission du sixième rapport périodique de la Colombie, attendu en 2019</w:t>
      </w:r>
      <w:r w:rsidRPr="00725A71">
        <w:rPr>
          <w:b w:val="0"/>
          <w:lang w:val="fr-FR" w:eastAsia="es-ES"/>
        </w:rPr>
        <w:footnoteReference w:customMarkFollows="1" w:id="2"/>
        <w:t>*</w:t>
      </w:r>
    </w:p>
    <w:p w:rsidR="00725A71" w:rsidRPr="003D4C4E" w:rsidRDefault="00725A71" w:rsidP="00725A71">
      <w:pPr>
        <w:pStyle w:val="H1G"/>
        <w:rPr>
          <w:lang w:val="fr-FR" w:eastAsia="es-ES"/>
        </w:rPr>
      </w:pPr>
      <w:r w:rsidRPr="002A219D">
        <w:rPr>
          <w:lang w:val="fr-FR" w:eastAsia="es-ES"/>
        </w:rPr>
        <w:tab/>
      </w:r>
      <w:r w:rsidRPr="002A219D">
        <w:rPr>
          <w:lang w:val="fr-FR" w:eastAsia="es-ES"/>
        </w:rPr>
        <w:tab/>
        <w:t>Renseignements concernant spécifiquement la</w:t>
      </w:r>
      <w:r w:rsidR="00AB0052">
        <w:rPr>
          <w:lang w:val="fr-FR" w:eastAsia="es-ES"/>
        </w:rPr>
        <w:t xml:space="preserve"> mise en œuvre</w:t>
      </w:r>
      <w:r w:rsidR="00AB0052">
        <w:rPr>
          <w:lang w:val="fr-FR" w:eastAsia="es-ES"/>
        </w:rPr>
        <w:br/>
      </w:r>
      <w:r w:rsidR="002A2DA2">
        <w:rPr>
          <w:lang w:val="fr-FR" w:eastAsia="es-ES"/>
        </w:rPr>
        <w:t>des articles 1</w:t>
      </w:r>
      <w:r w:rsidR="002A2DA2" w:rsidRPr="002A2DA2">
        <w:rPr>
          <w:vertAlign w:val="superscript"/>
          <w:lang w:val="fr-FR" w:eastAsia="es-ES"/>
        </w:rPr>
        <w:t>er</w:t>
      </w:r>
      <w:r w:rsidR="002A2DA2">
        <w:rPr>
          <w:lang w:val="fr-FR" w:eastAsia="es-ES"/>
        </w:rPr>
        <w:t xml:space="preserve"> </w:t>
      </w:r>
      <w:r w:rsidRPr="002A219D">
        <w:rPr>
          <w:lang w:val="fr-FR" w:eastAsia="es-ES"/>
        </w:rPr>
        <w:t xml:space="preserve">à 16 de la </w:t>
      </w:r>
      <w:r w:rsidR="00AB0052">
        <w:rPr>
          <w:lang w:val="fr-FR" w:eastAsia="es-ES"/>
        </w:rPr>
        <w:t>Convention, y compris au regard</w:t>
      </w:r>
      <w:r w:rsidR="00AB0052">
        <w:rPr>
          <w:lang w:val="fr-FR" w:eastAsia="es-ES"/>
        </w:rPr>
        <w:br/>
      </w:r>
      <w:r w:rsidRPr="002A219D">
        <w:rPr>
          <w:lang w:val="fr-FR" w:eastAsia="es-ES"/>
        </w:rPr>
        <w:t>des précédentes recommandations du Comité</w:t>
      </w:r>
    </w:p>
    <w:p w:rsidR="00725A71" w:rsidRPr="003D4C4E" w:rsidRDefault="00725A71" w:rsidP="00725A71">
      <w:pPr>
        <w:pStyle w:val="H23G"/>
        <w:rPr>
          <w:lang w:val="fr-FR" w:eastAsia="es-ES"/>
        </w:rPr>
      </w:pPr>
      <w:r w:rsidRPr="002A219D">
        <w:rPr>
          <w:lang w:val="fr-FR" w:eastAsia="es-ES"/>
        </w:rPr>
        <w:tab/>
      </w:r>
      <w:r w:rsidRPr="002A219D">
        <w:rPr>
          <w:lang w:val="fr-FR" w:eastAsia="es-ES"/>
        </w:rPr>
        <w:tab/>
        <w:t>Renseignements sur la suite donnée à certaines des recommandations figurant</w:t>
      </w:r>
      <w:r w:rsidR="00B85A65">
        <w:rPr>
          <w:lang w:val="fr-FR" w:eastAsia="es-ES"/>
        </w:rPr>
        <w:br/>
      </w:r>
      <w:r w:rsidRPr="002A219D">
        <w:rPr>
          <w:lang w:val="fr-FR" w:eastAsia="es-ES"/>
        </w:rPr>
        <w:t>dans les précédentes observations finales</w:t>
      </w:r>
    </w:p>
    <w:p w:rsidR="00725A71" w:rsidRPr="003D4C4E" w:rsidRDefault="00725A71" w:rsidP="00725A71">
      <w:pPr>
        <w:pStyle w:val="SingleTxtG"/>
        <w:rPr>
          <w:lang w:val="fr-FR" w:eastAsia="es-ES"/>
        </w:rPr>
      </w:pPr>
      <w:r w:rsidRPr="002A219D">
        <w:rPr>
          <w:lang w:val="fr-FR" w:eastAsia="es-ES"/>
        </w:rPr>
        <w:t>1.</w:t>
      </w:r>
      <w:r w:rsidRPr="002A219D">
        <w:rPr>
          <w:lang w:val="fr-FR" w:eastAsia="es-ES"/>
        </w:rPr>
        <w:tab/>
        <w:t>Dans ses précédentes observations finales (CAT/C/COL/CO/5), le Comité a demandé à l</w:t>
      </w:r>
      <w:r w:rsidR="00D26A9F">
        <w:rPr>
          <w:lang w:val="fr-FR" w:eastAsia="es-ES"/>
        </w:rPr>
        <w:t>’</w:t>
      </w:r>
      <w:r w:rsidRPr="002A219D">
        <w:rPr>
          <w:lang w:val="fr-FR" w:eastAsia="es-ES"/>
        </w:rPr>
        <w:t>État partie de lui faire parvenir des renseignements sur la suite donnée aux recommandations suivantes : a) l</w:t>
      </w:r>
      <w:r w:rsidR="00D26A9F">
        <w:rPr>
          <w:lang w:val="fr-FR" w:eastAsia="es-ES"/>
        </w:rPr>
        <w:t>’</w:t>
      </w:r>
      <w:r w:rsidRPr="002A219D">
        <w:rPr>
          <w:lang w:val="fr-FR" w:eastAsia="es-ES"/>
        </w:rPr>
        <w:t>usage excessif de la force par des agents des forces de l</w:t>
      </w:r>
      <w:r w:rsidR="00D26A9F">
        <w:rPr>
          <w:lang w:val="fr-FR" w:eastAsia="es-ES"/>
        </w:rPr>
        <w:t>’</w:t>
      </w:r>
      <w:r w:rsidRPr="002A219D">
        <w:rPr>
          <w:lang w:val="fr-FR" w:eastAsia="es-ES"/>
        </w:rPr>
        <w:t>or</w:t>
      </w:r>
      <w:r w:rsidR="002A2DA2">
        <w:rPr>
          <w:lang w:val="fr-FR" w:eastAsia="es-ES"/>
        </w:rPr>
        <w:t>dre et des militaires (par. 16)</w:t>
      </w:r>
      <w:r w:rsidRPr="003D4C4E">
        <w:rPr>
          <w:rStyle w:val="Appelnotedebasdep"/>
        </w:rPr>
        <w:footnoteReference w:id="3"/>
      </w:r>
      <w:r w:rsidR="002A2DA2">
        <w:rPr>
          <w:lang w:val="fr-FR" w:eastAsia="es-ES"/>
        </w:rPr>
        <w:t> </w:t>
      </w:r>
      <w:r w:rsidR="002A2DA2">
        <w:rPr>
          <w:lang w:eastAsia="es-ES"/>
        </w:rPr>
        <w:t>;</w:t>
      </w:r>
      <w:r w:rsidRPr="002A219D">
        <w:rPr>
          <w:lang w:val="fr-FR" w:eastAsia="es-ES"/>
        </w:rPr>
        <w:t xml:space="preserve"> b) les conditions de détention dans les établissements pénitentiaires (par. 17) ; et c) les réparations accordées aux victimes d</w:t>
      </w:r>
      <w:r w:rsidR="00D26A9F">
        <w:rPr>
          <w:lang w:val="fr-FR" w:eastAsia="es-ES"/>
        </w:rPr>
        <w:t>’</w:t>
      </w:r>
      <w:r w:rsidRPr="002A219D">
        <w:rPr>
          <w:lang w:val="fr-FR" w:eastAsia="es-ES"/>
        </w:rPr>
        <w:t>actes de torture et de mauvais traitements (par.</w:t>
      </w:r>
      <w:r w:rsidR="002A2DA2">
        <w:rPr>
          <w:lang w:val="fr-FR" w:eastAsia="es-ES"/>
        </w:rPr>
        <w:t> </w:t>
      </w:r>
      <w:r w:rsidRPr="002A219D">
        <w:rPr>
          <w:lang w:val="fr-FR" w:eastAsia="es-ES"/>
        </w:rPr>
        <w:t>22). Le Comité prend note des réponses de l</w:t>
      </w:r>
      <w:r w:rsidR="00D26A9F">
        <w:rPr>
          <w:lang w:val="fr-FR" w:eastAsia="es-ES"/>
        </w:rPr>
        <w:t>’</w:t>
      </w:r>
      <w:r w:rsidRPr="002A219D">
        <w:rPr>
          <w:lang w:val="fr-FR" w:eastAsia="es-ES"/>
        </w:rPr>
        <w:t>État partie aux observations finales, soumises le 22 septembre 2016 (CAT/C/COL/CO/5/Add.1), et accueille avec satisfaction les renseignements qui y figurent. Il considère toutefois que les recommandations énoncées aux paragraphes 16, 17 et 22 des précédentes observations finales n</w:t>
      </w:r>
      <w:r w:rsidR="00D26A9F">
        <w:rPr>
          <w:lang w:val="fr-FR" w:eastAsia="es-ES"/>
        </w:rPr>
        <w:t>’</w:t>
      </w:r>
      <w:r w:rsidRPr="002A219D">
        <w:rPr>
          <w:lang w:val="fr-FR" w:eastAsia="es-ES"/>
        </w:rPr>
        <w:t>ont pas encore été appliquées (voir, respectivement, les paragraphes 24, 17 et 26 ci-après).</w:t>
      </w:r>
    </w:p>
    <w:p w:rsidR="00725A71" w:rsidRPr="003D4C4E" w:rsidRDefault="00643D72" w:rsidP="00643D72">
      <w:pPr>
        <w:pStyle w:val="H23G"/>
        <w:rPr>
          <w:lang w:val="fr-FR" w:eastAsia="es-ES"/>
        </w:rPr>
      </w:pPr>
      <w:r>
        <w:rPr>
          <w:lang w:val="fr-FR" w:eastAsia="es-ES"/>
        </w:rPr>
        <w:tab/>
      </w:r>
      <w:r>
        <w:rPr>
          <w:lang w:val="fr-FR" w:eastAsia="es-ES"/>
        </w:rPr>
        <w:tab/>
        <w:t>Articles 1</w:t>
      </w:r>
      <w:r w:rsidRPr="00643D72">
        <w:rPr>
          <w:vertAlign w:val="superscript"/>
          <w:lang w:val="fr-FR" w:eastAsia="es-ES"/>
        </w:rPr>
        <w:t>er</w:t>
      </w:r>
      <w:r>
        <w:rPr>
          <w:lang w:val="fr-FR" w:eastAsia="es-ES"/>
        </w:rPr>
        <w:t xml:space="preserve"> </w:t>
      </w:r>
      <w:r w:rsidR="00725A71" w:rsidRPr="002A219D">
        <w:rPr>
          <w:lang w:val="fr-FR" w:eastAsia="es-ES"/>
        </w:rPr>
        <w:t>et 4</w:t>
      </w:r>
    </w:p>
    <w:p w:rsidR="00725A71" w:rsidRPr="003D4C4E" w:rsidRDefault="00725A71" w:rsidP="00643D72">
      <w:pPr>
        <w:pStyle w:val="SingleTxtG"/>
        <w:rPr>
          <w:lang w:val="fr-FR" w:eastAsia="es-ES"/>
        </w:rPr>
      </w:pPr>
      <w:r w:rsidRPr="002A219D">
        <w:rPr>
          <w:lang w:val="fr-FR" w:eastAsia="es-ES"/>
        </w:rPr>
        <w:t>2.</w:t>
      </w:r>
      <w:r w:rsidRPr="002A219D">
        <w:rPr>
          <w:lang w:val="fr-FR" w:eastAsia="es-ES"/>
        </w:rPr>
        <w:tab/>
        <w:t>Compte tenu des précédentes observations finales du Comité (par. 7), donner des informations à jour sur les mesures adoptées par l</w:t>
      </w:r>
      <w:r w:rsidR="00D26A9F">
        <w:rPr>
          <w:lang w:val="fr-FR" w:eastAsia="es-ES"/>
        </w:rPr>
        <w:t>’</w:t>
      </w:r>
      <w:r w:rsidRPr="002A219D">
        <w:rPr>
          <w:lang w:val="fr-FR" w:eastAsia="es-ES"/>
        </w:rPr>
        <w:t>État partie pour aligner le libellé des articles 137 et 138 du Code pénal sur les dispositions de l</w:t>
      </w:r>
      <w:r w:rsidR="00D26A9F">
        <w:rPr>
          <w:lang w:val="fr-FR" w:eastAsia="es-ES"/>
        </w:rPr>
        <w:t>’</w:t>
      </w:r>
      <w:r w:rsidRPr="002A219D">
        <w:rPr>
          <w:lang w:val="fr-FR" w:eastAsia="es-ES"/>
        </w:rPr>
        <w:t xml:space="preserve">article premier de la Convention, de </w:t>
      </w:r>
      <w:r>
        <w:rPr>
          <w:lang w:val="fr-FR" w:eastAsia="es-ES"/>
        </w:rPr>
        <w:t xml:space="preserve">sorte </w:t>
      </w:r>
      <w:r w:rsidRPr="002A219D">
        <w:rPr>
          <w:lang w:val="fr-FR" w:eastAsia="es-ES"/>
        </w:rPr>
        <w:t>que la définition de la torture inclue les actes de torture commis pour intimider une tierce personne ou faire pression sur elle.</w:t>
      </w:r>
    </w:p>
    <w:p w:rsidR="00725A71" w:rsidRPr="003D4C4E" w:rsidRDefault="00725A71" w:rsidP="002A2DA2">
      <w:pPr>
        <w:pStyle w:val="H23G"/>
        <w:rPr>
          <w:lang w:val="fr-FR" w:eastAsia="es-ES"/>
        </w:rPr>
      </w:pPr>
      <w:r w:rsidRPr="002A219D">
        <w:rPr>
          <w:lang w:val="fr-FR" w:eastAsia="es-ES"/>
        </w:rPr>
        <w:lastRenderedPageBreak/>
        <w:tab/>
      </w:r>
      <w:r w:rsidRPr="002A219D">
        <w:rPr>
          <w:lang w:val="fr-FR" w:eastAsia="es-ES"/>
        </w:rPr>
        <w:tab/>
        <w:t>Article 2</w:t>
      </w:r>
      <w:r w:rsidRPr="00A85498">
        <w:rPr>
          <w:rStyle w:val="Appelnotedebasdep"/>
          <w:b w:val="0"/>
        </w:rPr>
        <w:footnoteReference w:id="4"/>
      </w:r>
    </w:p>
    <w:p w:rsidR="00725A71" w:rsidRPr="002A2DA2" w:rsidRDefault="00725A71" w:rsidP="00643D72">
      <w:pPr>
        <w:pStyle w:val="SingleTxtG"/>
        <w:rPr>
          <w:lang w:eastAsia="es-ES"/>
        </w:rPr>
      </w:pPr>
      <w:r w:rsidRPr="002A219D">
        <w:rPr>
          <w:lang w:val="fr-FR" w:eastAsia="es-ES"/>
        </w:rPr>
        <w:t>3.</w:t>
      </w:r>
      <w:r w:rsidRPr="002A219D">
        <w:rPr>
          <w:lang w:val="fr-FR" w:eastAsia="es-ES"/>
        </w:rPr>
        <w:tab/>
        <w:t>Eu égard aux précédentes observations finales (par. 8), décrire en détail les mesures adoptées pour que toutes les personnes privées de liberté jouissent dans la pratique, dès le moment où elles sont privées de liberté, de toutes les garanties fondamentales, par exemple le fait qu</w:t>
      </w:r>
      <w:r w:rsidR="00D26A9F">
        <w:rPr>
          <w:lang w:val="fr-FR" w:eastAsia="es-ES"/>
        </w:rPr>
        <w:t>’</w:t>
      </w:r>
      <w:r w:rsidRPr="002A219D">
        <w:rPr>
          <w:lang w:val="fr-FR" w:eastAsia="es-ES"/>
        </w:rPr>
        <w:t>elles soient inscrites dans un registre officiel des détenus et qu</w:t>
      </w:r>
      <w:r w:rsidR="00D26A9F">
        <w:rPr>
          <w:lang w:val="fr-FR" w:eastAsia="es-ES"/>
        </w:rPr>
        <w:t>’</w:t>
      </w:r>
      <w:r w:rsidRPr="002A219D">
        <w:rPr>
          <w:lang w:val="fr-FR" w:eastAsia="es-ES"/>
        </w:rPr>
        <w:t>elles bénéficient du droit d</w:t>
      </w:r>
      <w:r w:rsidR="00D26A9F">
        <w:rPr>
          <w:lang w:val="fr-FR" w:eastAsia="es-ES"/>
        </w:rPr>
        <w:t>’</w:t>
      </w:r>
      <w:r w:rsidRPr="002A219D">
        <w:rPr>
          <w:lang w:val="fr-FR" w:eastAsia="es-ES"/>
        </w:rPr>
        <w:t>être assistées sans tarder</w:t>
      </w:r>
      <w:r w:rsidR="00BF54FD">
        <w:rPr>
          <w:lang w:val="fr-FR" w:eastAsia="es-ES"/>
        </w:rPr>
        <w:t xml:space="preserve"> </w:t>
      </w:r>
      <w:r>
        <w:rPr>
          <w:lang w:val="fr-FR" w:eastAsia="es-ES"/>
        </w:rPr>
        <w:t xml:space="preserve">par </w:t>
      </w:r>
      <w:r w:rsidRPr="002A219D">
        <w:rPr>
          <w:lang w:val="fr-FR" w:eastAsia="es-ES"/>
        </w:rPr>
        <w:t>un avocat, du droit d</w:t>
      </w:r>
      <w:r w:rsidR="00D26A9F">
        <w:rPr>
          <w:lang w:val="fr-FR" w:eastAsia="es-ES"/>
        </w:rPr>
        <w:t>’</w:t>
      </w:r>
      <w:r w:rsidRPr="002A219D">
        <w:rPr>
          <w:lang w:val="fr-FR" w:eastAsia="es-ES"/>
        </w:rPr>
        <w:t>informer une personne de leur choix de leur détention, et du droit d</w:t>
      </w:r>
      <w:r w:rsidR="00D26A9F">
        <w:rPr>
          <w:lang w:val="fr-FR" w:eastAsia="es-ES"/>
        </w:rPr>
        <w:t>’</w:t>
      </w:r>
      <w:r w:rsidRPr="002A219D">
        <w:rPr>
          <w:lang w:val="fr-FR" w:eastAsia="es-ES"/>
        </w:rPr>
        <w:t>être examinées par le médecin de leur choix, indépendamment de tout examen médical réalisé à la demande des autorités</w:t>
      </w:r>
      <w:r w:rsidRPr="003D4C4E">
        <w:rPr>
          <w:rStyle w:val="Appelnotedebasdep"/>
        </w:rPr>
        <w:footnoteReference w:id="5"/>
      </w:r>
      <w:r w:rsidR="002A2DA2">
        <w:rPr>
          <w:lang w:eastAsia="es-ES"/>
        </w:rPr>
        <w:t>.</w:t>
      </w:r>
    </w:p>
    <w:p w:rsidR="00725A71" w:rsidRPr="003D4C4E" w:rsidRDefault="00725A71" w:rsidP="00643D72">
      <w:pPr>
        <w:pStyle w:val="SingleTxtG"/>
        <w:rPr>
          <w:rFonts w:eastAsia="Times New Roman"/>
          <w:lang w:val="fr-FR" w:eastAsia="es-ES"/>
        </w:rPr>
      </w:pPr>
      <w:r w:rsidRPr="002A219D">
        <w:rPr>
          <w:rFonts w:eastAsia="Times New Roman"/>
          <w:lang w:val="fr-FR" w:eastAsia="es-ES"/>
        </w:rPr>
        <w:t>4.</w:t>
      </w:r>
      <w:r w:rsidRPr="002A219D">
        <w:rPr>
          <w:rFonts w:eastAsia="Times New Roman"/>
          <w:lang w:val="fr-FR" w:eastAsia="es-ES"/>
        </w:rPr>
        <w:tab/>
        <w:t>Compte tenu des précéde</w:t>
      </w:r>
      <w:r w:rsidR="002A2DA2">
        <w:rPr>
          <w:rFonts w:eastAsia="Times New Roman"/>
          <w:lang w:val="fr-FR" w:eastAsia="es-ES"/>
        </w:rPr>
        <w:t>ntes observations finales (par. </w:t>
      </w:r>
      <w:r w:rsidRPr="002A219D">
        <w:rPr>
          <w:rFonts w:eastAsia="Times New Roman"/>
          <w:lang w:val="fr-FR" w:eastAsia="es-ES"/>
        </w:rPr>
        <w:t>25), donner des informations détaillées sur les mesures prises pour garantir la protection des juges et des procureurs contre les menaces et les agressions. Indiquer le nombre de plaintes enregistrées, d</w:t>
      </w:r>
      <w:r w:rsidR="00D26A9F">
        <w:rPr>
          <w:rFonts w:eastAsia="Times New Roman"/>
          <w:lang w:val="fr-FR" w:eastAsia="es-ES"/>
        </w:rPr>
        <w:t>’</w:t>
      </w:r>
      <w:r w:rsidRPr="002A219D">
        <w:rPr>
          <w:rFonts w:eastAsia="Times New Roman"/>
          <w:lang w:val="fr-FR" w:eastAsia="es-ES"/>
        </w:rPr>
        <w:t>enquêtes ouvertes, de poursuites engagées, de condamnations prononcées et de peines imposées dans ce type d</w:t>
      </w:r>
      <w:r w:rsidR="00D26A9F">
        <w:rPr>
          <w:rFonts w:eastAsia="Times New Roman"/>
          <w:lang w:val="fr-FR" w:eastAsia="es-ES"/>
        </w:rPr>
        <w:t>’</w:t>
      </w:r>
      <w:r w:rsidRPr="002A219D">
        <w:rPr>
          <w:rFonts w:eastAsia="Times New Roman"/>
          <w:lang w:val="fr-FR" w:eastAsia="es-ES"/>
        </w:rPr>
        <w:t>affaires.</w:t>
      </w:r>
    </w:p>
    <w:p w:rsidR="00725A71" w:rsidRPr="003D4C4E" w:rsidRDefault="00725A71" w:rsidP="00643D72">
      <w:pPr>
        <w:pStyle w:val="SingleTxtG"/>
        <w:rPr>
          <w:rFonts w:eastAsia="Times New Roman"/>
          <w:lang w:val="fr-FR" w:eastAsia="es-ES"/>
        </w:rPr>
      </w:pPr>
      <w:r w:rsidRPr="002A219D">
        <w:rPr>
          <w:rFonts w:eastAsia="Times New Roman"/>
          <w:lang w:val="fr-FR" w:eastAsia="es-ES"/>
        </w:rPr>
        <w:t>5.</w:t>
      </w:r>
      <w:r w:rsidRPr="002A219D">
        <w:rPr>
          <w:rFonts w:eastAsia="Times New Roman"/>
          <w:lang w:val="fr-FR" w:eastAsia="es-ES"/>
        </w:rPr>
        <w:tab/>
        <w:t>Fournir des renseignements détaillés sur la réforme du système de justice militaire (par. 11). Indiquer les mesures concrètes prises pour que les violations graves des droits de l</w:t>
      </w:r>
      <w:r w:rsidR="00D26A9F">
        <w:rPr>
          <w:rFonts w:eastAsia="Times New Roman"/>
          <w:lang w:val="fr-FR" w:eastAsia="es-ES"/>
        </w:rPr>
        <w:t>’</w:t>
      </w:r>
      <w:r w:rsidRPr="002A219D">
        <w:rPr>
          <w:rFonts w:eastAsia="Times New Roman"/>
          <w:lang w:val="fr-FR" w:eastAsia="es-ES"/>
        </w:rPr>
        <w:t>homme et les autres abus commis contre des civils par du personnel militaire demeurent exclus de la compétence des tribunaux militaires.</w:t>
      </w:r>
    </w:p>
    <w:p w:rsidR="00725A71" w:rsidRPr="003D4C4E" w:rsidRDefault="00725A71" w:rsidP="00643D72">
      <w:pPr>
        <w:pStyle w:val="SingleTxtG"/>
        <w:rPr>
          <w:rFonts w:eastAsia="Times New Roman"/>
          <w:lang w:val="fr-FR" w:eastAsia="es-ES"/>
        </w:rPr>
      </w:pPr>
      <w:r w:rsidRPr="002A219D">
        <w:rPr>
          <w:rFonts w:eastAsia="Times New Roman"/>
          <w:lang w:val="fr-FR" w:eastAsia="es-ES"/>
        </w:rPr>
        <w:t>6.</w:t>
      </w:r>
      <w:r w:rsidRPr="002A219D">
        <w:rPr>
          <w:rFonts w:eastAsia="Times New Roman"/>
          <w:lang w:val="fr-FR" w:eastAsia="es-ES"/>
        </w:rPr>
        <w:tab/>
        <w:t>Compte tenu des précéde</w:t>
      </w:r>
      <w:r w:rsidR="002A2DA2">
        <w:rPr>
          <w:rFonts w:eastAsia="Times New Roman"/>
          <w:lang w:val="fr-FR" w:eastAsia="es-ES"/>
        </w:rPr>
        <w:t>ntes observations finales (par. </w:t>
      </w:r>
      <w:r w:rsidRPr="002A219D">
        <w:rPr>
          <w:rFonts w:eastAsia="Times New Roman"/>
          <w:lang w:val="fr-FR" w:eastAsia="es-ES"/>
        </w:rPr>
        <w:t>13), fournir des données statistiques, ventilées par âge, origine ethnique ou nationalité des victimes, sur le nombre de plaintes, d</w:t>
      </w:r>
      <w:r w:rsidR="00D26A9F">
        <w:rPr>
          <w:rFonts w:eastAsia="Times New Roman"/>
          <w:lang w:val="fr-FR" w:eastAsia="es-ES"/>
        </w:rPr>
        <w:t>’</w:t>
      </w:r>
      <w:r w:rsidRPr="002A219D">
        <w:rPr>
          <w:rFonts w:eastAsia="Times New Roman"/>
          <w:lang w:val="fr-FR" w:eastAsia="es-ES"/>
        </w:rPr>
        <w:t>enquêtes, de poursuites, de condamnations et de peines prononcées dans des affaires de violence sexiste, y compris de violence intrafamiliale, depuis l</w:t>
      </w:r>
      <w:r w:rsidR="00D26A9F">
        <w:rPr>
          <w:rFonts w:eastAsia="Times New Roman"/>
          <w:lang w:val="fr-FR" w:eastAsia="es-ES"/>
        </w:rPr>
        <w:t>’</w:t>
      </w:r>
      <w:r w:rsidRPr="002A219D">
        <w:rPr>
          <w:rFonts w:eastAsia="Times New Roman"/>
          <w:lang w:val="fr-FR" w:eastAsia="es-ES"/>
        </w:rPr>
        <w:t>examen du cinquième rapport périodique de l</w:t>
      </w:r>
      <w:r w:rsidR="00D26A9F">
        <w:rPr>
          <w:rFonts w:eastAsia="Times New Roman"/>
          <w:lang w:val="fr-FR" w:eastAsia="es-ES"/>
        </w:rPr>
        <w:t>’</w:t>
      </w:r>
      <w:r w:rsidRPr="002A219D">
        <w:rPr>
          <w:rFonts w:eastAsia="Times New Roman"/>
          <w:lang w:val="fr-FR" w:eastAsia="es-ES"/>
        </w:rPr>
        <w:t>État partie, lors de la session d</w:t>
      </w:r>
      <w:r w:rsidR="00D26A9F">
        <w:rPr>
          <w:rFonts w:eastAsia="Times New Roman"/>
          <w:lang w:val="fr-FR" w:eastAsia="es-ES"/>
        </w:rPr>
        <w:t>’</w:t>
      </w:r>
      <w:r w:rsidRPr="002A219D">
        <w:rPr>
          <w:rFonts w:eastAsia="Times New Roman"/>
          <w:lang w:val="fr-FR" w:eastAsia="es-ES"/>
        </w:rPr>
        <w:t>avril-mai 2015</w:t>
      </w:r>
      <w:r w:rsidRPr="003D4C4E">
        <w:rPr>
          <w:rStyle w:val="Appelnotedebasdep"/>
        </w:rPr>
        <w:footnoteReference w:id="6"/>
      </w:r>
      <w:r w:rsidR="002A2DA2">
        <w:rPr>
          <w:rFonts w:eastAsia="Times New Roman"/>
          <w:lang w:val="fr-FR" w:eastAsia="es-ES"/>
        </w:rPr>
        <w:t>.</w:t>
      </w:r>
      <w:r w:rsidRPr="002A219D">
        <w:rPr>
          <w:rFonts w:eastAsia="Times New Roman"/>
          <w:lang w:val="fr-FR" w:eastAsia="es-ES"/>
        </w:rPr>
        <w:t xml:space="preserve"> Donner des informations sur les réparations accordées aux victimes et les services d</w:t>
      </w:r>
      <w:r w:rsidR="00D26A9F">
        <w:rPr>
          <w:rFonts w:eastAsia="Times New Roman"/>
          <w:lang w:val="fr-FR" w:eastAsia="es-ES"/>
        </w:rPr>
        <w:t>’</w:t>
      </w:r>
      <w:r w:rsidRPr="002A219D">
        <w:rPr>
          <w:rFonts w:eastAsia="Times New Roman"/>
          <w:lang w:val="fr-FR" w:eastAsia="es-ES"/>
        </w:rPr>
        <w:t>appui à leur disposition. Indiquer les mesures prises par l</w:t>
      </w:r>
      <w:r w:rsidR="00D26A9F">
        <w:rPr>
          <w:rFonts w:eastAsia="Times New Roman"/>
          <w:lang w:val="fr-FR" w:eastAsia="es-ES"/>
        </w:rPr>
        <w:t>’</w:t>
      </w:r>
      <w:r w:rsidRPr="002A219D">
        <w:rPr>
          <w:rFonts w:eastAsia="Times New Roman"/>
          <w:lang w:val="fr-FR" w:eastAsia="es-ES"/>
        </w:rPr>
        <w:t>État partie pour assurer l</w:t>
      </w:r>
      <w:r w:rsidR="00D26A9F">
        <w:rPr>
          <w:rFonts w:eastAsia="Times New Roman"/>
          <w:lang w:val="fr-FR" w:eastAsia="es-ES"/>
        </w:rPr>
        <w:t>’</w:t>
      </w:r>
      <w:r w:rsidRPr="002A219D">
        <w:rPr>
          <w:rFonts w:eastAsia="Times New Roman"/>
          <w:lang w:val="fr-FR" w:eastAsia="es-ES"/>
        </w:rPr>
        <w:t>indemnisation des victimes d</w:t>
      </w:r>
      <w:r w:rsidR="00D26A9F">
        <w:rPr>
          <w:rFonts w:eastAsia="Times New Roman"/>
          <w:lang w:val="fr-FR" w:eastAsia="es-ES"/>
        </w:rPr>
        <w:t>’</w:t>
      </w:r>
      <w:r w:rsidRPr="002A219D">
        <w:rPr>
          <w:rFonts w:eastAsia="Times New Roman"/>
          <w:lang w:val="fr-FR" w:eastAsia="es-ES"/>
        </w:rPr>
        <w:t>actes de violence sexuelle commis par des groupes armés et des membres des forces de sécurité dans le contexte du conflit armé (</w:t>
      </w:r>
      <w:r w:rsidR="002A2DA2">
        <w:rPr>
          <w:rFonts w:eastAsia="Times New Roman"/>
          <w:lang w:val="fr-FR" w:eastAsia="es-ES"/>
        </w:rPr>
        <w:t>par. </w:t>
      </w:r>
      <w:r w:rsidRPr="002A219D">
        <w:rPr>
          <w:rFonts w:eastAsia="Times New Roman"/>
          <w:lang w:val="fr-FR" w:eastAsia="es-ES"/>
        </w:rPr>
        <w:t>14)</w:t>
      </w:r>
      <w:r w:rsidRPr="003D4C4E">
        <w:rPr>
          <w:rStyle w:val="Appelnotedebasdep"/>
        </w:rPr>
        <w:footnoteReference w:id="7"/>
      </w:r>
      <w:r w:rsidR="002A2DA2">
        <w:rPr>
          <w:rFonts w:eastAsia="Times New Roman"/>
          <w:lang w:eastAsia="es-ES"/>
        </w:rPr>
        <w:t>.</w:t>
      </w:r>
      <w:r w:rsidRPr="002A219D">
        <w:rPr>
          <w:rFonts w:eastAsia="Times New Roman"/>
          <w:lang w:val="fr-FR" w:eastAsia="es-ES"/>
        </w:rPr>
        <w:t xml:space="preserve"> Donner également des renseignements su</w:t>
      </w:r>
      <w:r w:rsidR="002A2DA2">
        <w:rPr>
          <w:rFonts w:eastAsia="Times New Roman"/>
          <w:lang w:val="fr-FR" w:eastAsia="es-ES"/>
        </w:rPr>
        <w:t xml:space="preserve">r la mise en œuvre de la loi </w:t>
      </w:r>
      <w:r w:rsidR="002A2DA2" w:rsidRPr="002A2DA2">
        <w:rPr>
          <w:rFonts w:eastAsia="MS Mincho"/>
          <w:lang w:val="fr-FR" w:eastAsia="es-ES"/>
        </w:rPr>
        <w:t>n</w:t>
      </w:r>
      <w:r w:rsidR="002A2DA2" w:rsidRPr="002A2DA2">
        <w:rPr>
          <w:rFonts w:eastAsia="MS Mincho"/>
          <w:vertAlign w:val="superscript"/>
          <w:lang w:val="fr-FR" w:eastAsia="es-ES"/>
        </w:rPr>
        <w:t>o</w:t>
      </w:r>
      <w:r w:rsidR="002A2DA2">
        <w:rPr>
          <w:rFonts w:eastAsia="Times New Roman"/>
          <w:lang w:val="fr-FR" w:eastAsia="es-ES"/>
        </w:rPr>
        <w:t> </w:t>
      </w:r>
      <w:r w:rsidRPr="002A219D">
        <w:rPr>
          <w:rFonts w:eastAsia="Times New Roman"/>
          <w:lang w:val="fr-FR" w:eastAsia="es-ES"/>
        </w:rPr>
        <w:t xml:space="preserve">1761 de 2015 qui incrimine le </w:t>
      </w:r>
      <w:proofErr w:type="spellStart"/>
      <w:r w:rsidRPr="002A219D">
        <w:rPr>
          <w:rFonts w:eastAsia="Times New Roman"/>
          <w:lang w:val="fr-FR" w:eastAsia="es-ES"/>
        </w:rPr>
        <w:t>féminicide</w:t>
      </w:r>
      <w:proofErr w:type="spellEnd"/>
      <w:r w:rsidRPr="002A219D">
        <w:rPr>
          <w:rFonts w:eastAsia="Times New Roman"/>
          <w:lang w:val="fr-FR" w:eastAsia="es-ES"/>
        </w:rPr>
        <w:t>.</w:t>
      </w:r>
    </w:p>
    <w:p w:rsidR="00725A71" w:rsidRPr="002A2DA2" w:rsidRDefault="00725A71" w:rsidP="00643D72">
      <w:pPr>
        <w:pStyle w:val="SingleTxtG"/>
        <w:rPr>
          <w:rFonts w:eastAsia="Times New Roman"/>
          <w:lang w:eastAsia="es-ES"/>
        </w:rPr>
      </w:pPr>
      <w:r w:rsidRPr="002A219D">
        <w:rPr>
          <w:rFonts w:eastAsia="Times New Roman"/>
          <w:lang w:val="fr-FR" w:eastAsia="es-ES"/>
        </w:rPr>
        <w:t>7.</w:t>
      </w:r>
      <w:r w:rsidRPr="002A219D">
        <w:rPr>
          <w:rFonts w:eastAsia="Times New Roman"/>
          <w:lang w:val="fr-FR" w:eastAsia="es-ES"/>
        </w:rPr>
        <w:tab/>
        <w:t>Fournir des données à jour, ventilées par âge, sexe et origine ethnique ou nationalité des victimes, sur le nombre de plaintes formées, d</w:t>
      </w:r>
      <w:r w:rsidR="00D26A9F">
        <w:rPr>
          <w:rFonts w:eastAsia="Times New Roman"/>
          <w:lang w:val="fr-FR" w:eastAsia="es-ES"/>
        </w:rPr>
        <w:t>’</w:t>
      </w:r>
      <w:r w:rsidRPr="002A219D">
        <w:rPr>
          <w:rFonts w:eastAsia="Times New Roman"/>
          <w:lang w:val="fr-FR" w:eastAsia="es-ES"/>
        </w:rPr>
        <w:t>enquêtes ouvertes, de poursuites engagées, de condamnations prononcées et de peines imposées dans des affaires de traite depuis l</w:t>
      </w:r>
      <w:r w:rsidR="00D26A9F">
        <w:rPr>
          <w:rFonts w:eastAsia="Times New Roman"/>
          <w:lang w:val="fr-FR" w:eastAsia="es-ES"/>
        </w:rPr>
        <w:t>’</w:t>
      </w:r>
      <w:r w:rsidRPr="002A219D">
        <w:rPr>
          <w:rFonts w:eastAsia="Times New Roman"/>
          <w:lang w:val="fr-FR" w:eastAsia="es-ES"/>
        </w:rPr>
        <w:t>examen du précédent rapport périodique. Ajouter des renseignements sur : a) la législation applicable et toute autre mesure ayant été adoptée pour prévenir, combattre et réprimer la traite des personnes ; b) les mesures adoptées pour que les victimes de la traite aient accès à des services d</w:t>
      </w:r>
      <w:r w:rsidR="00D26A9F">
        <w:rPr>
          <w:rFonts w:eastAsia="Times New Roman"/>
          <w:lang w:val="fr-FR" w:eastAsia="es-ES"/>
        </w:rPr>
        <w:t>’</w:t>
      </w:r>
      <w:r w:rsidRPr="002A219D">
        <w:rPr>
          <w:rFonts w:eastAsia="Times New Roman"/>
          <w:lang w:val="fr-FR" w:eastAsia="es-ES"/>
        </w:rPr>
        <w:t>appui et d</w:t>
      </w:r>
      <w:r w:rsidR="00D26A9F">
        <w:rPr>
          <w:rFonts w:eastAsia="Times New Roman"/>
          <w:lang w:val="fr-FR" w:eastAsia="es-ES"/>
        </w:rPr>
        <w:t>’</w:t>
      </w:r>
      <w:r w:rsidRPr="002A219D">
        <w:rPr>
          <w:rFonts w:eastAsia="Times New Roman"/>
          <w:lang w:val="fr-FR" w:eastAsia="es-ES"/>
        </w:rPr>
        <w:t>assistance essentiels (logement, soins médicaux et soutien psychologique, entre autres) ainsi qu</w:t>
      </w:r>
      <w:r w:rsidR="00D26A9F">
        <w:rPr>
          <w:rFonts w:eastAsia="Times New Roman"/>
          <w:lang w:val="fr-FR" w:eastAsia="es-ES"/>
        </w:rPr>
        <w:t>’</w:t>
      </w:r>
      <w:r w:rsidRPr="002A219D">
        <w:rPr>
          <w:rFonts w:eastAsia="Times New Roman"/>
          <w:lang w:val="fr-FR" w:eastAsia="es-ES"/>
        </w:rPr>
        <w:t>à des recours judiciaires efficaces et à des réparation</w:t>
      </w:r>
      <w:r w:rsidR="00607D03">
        <w:rPr>
          <w:rFonts w:eastAsia="Times New Roman"/>
          <w:lang w:val="fr-FR" w:eastAsia="es-ES"/>
        </w:rPr>
        <w:t>s</w:t>
      </w:r>
      <w:r w:rsidRPr="002A219D">
        <w:rPr>
          <w:rFonts w:eastAsia="Times New Roman"/>
          <w:lang w:val="fr-FR" w:eastAsia="es-ES"/>
        </w:rPr>
        <w:t xml:space="preserve"> ; c) la signature d</w:t>
      </w:r>
      <w:r w:rsidR="00D26A9F">
        <w:rPr>
          <w:rFonts w:eastAsia="Times New Roman"/>
          <w:lang w:val="fr-FR" w:eastAsia="es-ES"/>
        </w:rPr>
        <w:t>’</w:t>
      </w:r>
      <w:r w:rsidRPr="002A219D">
        <w:rPr>
          <w:rFonts w:eastAsia="Times New Roman"/>
          <w:lang w:val="fr-FR" w:eastAsia="es-ES"/>
        </w:rPr>
        <w:t xml:space="preserve">accords bilatéraux et </w:t>
      </w:r>
      <w:proofErr w:type="spellStart"/>
      <w:r w:rsidRPr="002A219D">
        <w:rPr>
          <w:rFonts w:eastAsia="Times New Roman"/>
          <w:lang w:val="fr-FR" w:eastAsia="es-ES"/>
        </w:rPr>
        <w:t>sous-régionaux</w:t>
      </w:r>
      <w:proofErr w:type="spellEnd"/>
      <w:r w:rsidRPr="002A219D">
        <w:rPr>
          <w:rFonts w:eastAsia="Times New Roman"/>
          <w:lang w:val="fr-FR" w:eastAsia="es-ES"/>
        </w:rPr>
        <w:t xml:space="preserve"> avec d</w:t>
      </w:r>
      <w:r w:rsidR="00D26A9F">
        <w:rPr>
          <w:rFonts w:eastAsia="Times New Roman"/>
          <w:lang w:val="fr-FR" w:eastAsia="es-ES"/>
        </w:rPr>
        <w:t>’</w:t>
      </w:r>
      <w:r w:rsidRPr="002A219D">
        <w:rPr>
          <w:rFonts w:eastAsia="Times New Roman"/>
          <w:lang w:val="fr-FR" w:eastAsia="es-ES"/>
        </w:rPr>
        <w:t>autres pays pour prévenir et combattre la traite des personnes</w:t>
      </w:r>
      <w:r w:rsidRPr="003D4C4E">
        <w:rPr>
          <w:rStyle w:val="Appelnotedebasdep"/>
        </w:rPr>
        <w:footnoteReference w:id="8"/>
      </w:r>
      <w:r w:rsidR="002A2DA2">
        <w:rPr>
          <w:rFonts w:eastAsia="Times New Roman"/>
          <w:lang w:eastAsia="es-ES"/>
        </w:rPr>
        <w:t>.</w:t>
      </w:r>
    </w:p>
    <w:p w:rsidR="00725A71" w:rsidRPr="003D4C4E" w:rsidRDefault="00725A71" w:rsidP="00643D72">
      <w:pPr>
        <w:pStyle w:val="H23G"/>
        <w:rPr>
          <w:rFonts w:eastAsia="Times New Roman"/>
          <w:lang w:val="fr-FR" w:eastAsia="es-ES"/>
        </w:rPr>
      </w:pPr>
      <w:r w:rsidRPr="002A219D">
        <w:rPr>
          <w:rFonts w:eastAsia="Times New Roman"/>
          <w:lang w:val="fr-FR" w:eastAsia="es-ES"/>
        </w:rPr>
        <w:tab/>
      </w:r>
      <w:r w:rsidRPr="002A219D">
        <w:rPr>
          <w:rFonts w:eastAsia="Times New Roman"/>
          <w:lang w:val="fr-FR" w:eastAsia="es-ES"/>
        </w:rPr>
        <w:tab/>
      </w:r>
      <w:r w:rsidRPr="002A219D">
        <w:rPr>
          <w:rFonts w:eastAsia="Times New Roman"/>
          <w:bCs/>
          <w:lang w:val="fr-FR" w:eastAsia="es-ES"/>
        </w:rPr>
        <w:t>Article 3</w:t>
      </w:r>
    </w:p>
    <w:p w:rsidR="00725A71" w:rsidRPr="003D4C4E" w:rsidRDefault="00725A71" w:rsidP="00643D72">
      <w:pPr>
        <w:pStyle w:val="SingleTxtG"/>
        <w:rPr>
          <w:rFonts w:eastAsia="Times New Roman"/>
          <w:lang w:val="fr-FR" w:eastAsia="es-ES"/>
        </w:rPr>
      </w:pPr>
      <w:r w:rsidRPr="002A219D">
        <w:rPr>
          <w:rFonts w:eastAsia="Times New Roman"/>
          <w:lang w:val="fr-FR" w:eastAsia="es-ES"/>
        </w:rPr>
        <w:t>8.</w:t>
      </w:r>
      <w:r w:rsidRPr="002A219D">
        <w:rPr>
          <w:rFonts w:eastAsia="Times New Roman"/>
          <w:lang w:val="fr-FR" w:eastAsia="es-ES"/>
        </w:rPr>
        <w:tab/>
        <w:t>Indiquer, avec précision, toute nouvelle mesure prise aux niveaux normatif et institutionnel en matière d</w:t>
      </w:r>
      <w:r w:rsidR="00D26A9F">
        <w:rPr>
          <w:rFonts w:eastAsia="Times New Roman"/>
          <w:lang w:val="fr-FR" w:eastAsia="es-ES"/>
        </w:rPr>
        <w:t>’</w:t>
      </w:r>
      <w:r w:rsidRPr="002A219D">
        <w:rPr>
          <w:rFonts w:eastAsia="Times New Roman"/>
          <w:lang w:val="fr-FR" w:eastAsia="es-ES"/>
        </w:rPr>
        <w:t>asile et de protection des réfugiés. Compte tenu des précéde</w:t>
      </w:r>
      <w:r w:rsidR="002A2DA2">
        <w:rPr>
          <w:rFonts w:eastAsia="Times New Roman"/>
          <w:lang w:val="fr-FR" w:eastAsia="es-ES"/>
        </w:rPr>
        <w:t>ntes observations finales (par. </w:t>
      </w:r>
      <w:r w:rsidRPr="002A219D">
        <w:rPr>
          <w:rFonts w:eastAsia="Times New Roman"/>
          <w:lang w:val="fr-FR" w:eastAsia="es-ES"/>
        </w:rPr>
        <w:t xml:space="preserve">15), indiquer les mesures adoptées pour veiller à ce que nul ne </w:t>
      </w:r>
      <w:r w:rsidRPr="002A219D">
        <w:rPr>
          <w:rFonts w:eastAsia="Times New Roman"/>
          <w:lang w:val="fr-FR" w:eastAsia="es-ES"/>
        </w:rPr>
        <w:lastRenderedPageBreak/>
        <w:t>puisse être expulsé, refoulé ou extradé vers un autre pays lorsqu</w:t>
      </w:r>
      <w:r w:rsidR="00D26A9F">
        <w:rPr>
          <w:rFonts w:eastAsia="Times New Roman"/>
          <w:lang w:val="fr-FR" w:eastAsia="es-ES"/>
        </w:rPr>
        <w:t>’</w:t>
      </w:r>
      <w:r w:rsidRPr="002A219D">
        <w:rPr>
          <w:rFonts w:eastAsia="Times New Roman"/>
          <w:lang w:val="fr-FR" w:eastAsia="es-ES"/>
        </w:rPr>
        <w:t>il existe des raisons fondées de croire que l</w:t>
      </w:r>
      <w:r w:rsidR="00D26A9F">
        <w:rPr>
          <w:rFonts w:eastAsia="Times New Roman"/>
          <w:lang w:val="fr-FR" w:eastAsia="es-ES"/>
        </w:rPr>
        <w:t>’</w:t>
      </w:r>
      <w:r w:rsidRPr="002A219D">
        <w:rPr>
          <w:rFonts w:eastAsia="Times New Roman"/>
          <w:lang w:val="fr-FR" w:eastAsia="es-ES"/>
        </w:rPr>
        <w:t>intéressé courrait un risque personnel et prévisible d</w:t>
      </w:r>
      <w:r w:rsidR="00D26A9F">
        <w:rPr>
          <w:rFonts w:eastAsia="Times New Roman"/>
          <w:lang w:val="fr-FR" w:eastAsia="es-ES"/>
        </w:rPr>
        <w:t>’</w:t>
      </w:r>
      <w:r w:rsidRPr="002A219D">
        <w:rPr>
          <w:rFonts w:eastAsia="Times New Roman"/>
          <w:lang w:val="fr-FR" w:eastAsia="es-ES"/>
        </w:rPr>
        <w:t xml:space="preserve">y être soumis à la torture. Indiquer </w:t>
      </w:r>
      <w:r>
        <w:rPr>
          <w:rFonts w:eastAsia="Times New Roman"/>
          <w:lang w:val="fr-FR" w:eastAsia="es-ES"/>
        </w:rPr>
        <w:t>quelle procédure est suivie lorsqu</w:t>
      </w:r>
      <w:r w:rsidR="00D26A9F">
        <w:rPr>
          <w:rFonts w:eastAsia="Times New Roman"/>
          <w:lang w:val="fr-FR" w:eastAsia="es-ES"/>
        </w:rPr>
        <w:t>’</w:t>
      </w:r>
      <w:r>
        <w:rPr>
          <w:rFonts w:eastAsia="Times New Roman"/>
          <w:lang w:val="fr-FR" w:eastAsia="es-ES"/>
        </w:rPr>
        <w:t xml:space="preserve">une personne invoque ce droit et </w:t>
      </w:r>
      <w:r w:rsidRPr="002A219D">
        <w:rPr>
          <w:rFonts w:eastAsia="Times New Roman"/>
          <w:lang w:val="fr-FR" w:eastAsia="es-ES"/>
        </w:rPr>
        <w:t>les mesures concrètes qui ont été prises pour abroger ou modifier les dispositions légales qui empêchent les personnes en transit de soumettre des demandes d</w:t>
      </w:r>
      <w:r w:rsidR="00D26A9F">
        <w:rPr>
          <w:rFonts w:eastAsia="Times New Roman"/>
          <w:lang w:val="fr-FR" w:eastAsia="es-ES"/>
        </w:rPr>
        <w:t>’</w:t>
      </w:r>
      <w:r w:rsidRPr="002A219D">
        <w:rPr>
          <w:rFonts w:eastAsia="Times New Roman"/>
          <w:lang w:val="fr-FR" w:eastAsia="es-ES"/>
        </w:rPr>
        <w:t>asile aux autorités migratoires aux postes de contrôle de l</w:t>
      </w:r>
      <w:r w:rsidR="00D26A9F">
        <w:rPr>
          <w:rFonts w:eastAsia="Times New Roman"/>
          <w:lang w:val="fr-FR" w:eastAsia="es-ES"/>
        </w:rPr>
        <w:t>’</w:t>
      </w:r>
      <w:r w:rsidRPr="002A219D">
        <w:rPr>
          <w:rFonts w:eastAsia="Times New Roman"/>
          <w:lang w:val="fr-FR" w:eastAsia="es-ES"/>
        </w:rPr>
        <w:t>immigration</w:t>
      </w:r>
      <w:r>
        <w:rPr>
          <w:rFonts w:eastAsia="Times New Roman"/>
          <w:lang w:val="fr-FR" w:eastAsia="es-ES"/>
        </w:rPr>
        <w:t>.</w:t>
      </w:r>
      <w:r w:rsidRPr="002A219D">
        <w:rPr>
          <w:rFonts w:eastAsia="Times New Roman"/>
          <w:lang w:val="fr-FR" w:eastAsia="es-ES"/>
        </w:rPr>
        <w:t xml:space="preserve"> </w:t>
      </w:r>
      <w:r>
        <w:rPr>
          <w:rFonts w:eastAsia="Times New Roman"/>
          <w:lang w:val="fr-FR" w:eastAsia="es-ES"/>
        </w:rPr>
        <w:t>S</w:t>
      </w:r>
      <w:r w:rsidRPr="002A219D">
        <w:rPr>
          <w:rFonts w:eastAsia="Times New Roman"/>
          <w:lang w:val="fr-FR" w:eastAsia="es-ES"/>
        </w:rPr>
        <w:t>ignaler si les personnes qui font l</w:t>
      </w:r>
      <w:r w:rsidR="00D26A9F">
        <w:rPr>
          <w:rFonts w:eastAsia="Times New Roman"/>
          <w:lang w:val="fr-FR" w:eastAsia="es-ES"/>
        </w:rPr>
        <w:t>’</w:t>
      </w:r>
      <w:r w:rsidRPr="002A219D">
        <w:rPr>
          <w:rFonts w:eastAsia="Times New Roman"/>
          <w:lang w:val="fr-FR" w:eastAsia="es-ES"/>
        </w:rPr>
        <w:t>objet d</w:t>
      </w:r>
      <w:r w:rsidR="00D26A9F">
        <w:rPr>
          <w:rFonts w:eastAsia="Times New Roman"/>
          <w:lang w:val="fr-FR" w:eastAsia="es-ES"/>
        </w:rPr>
        <w:t>’</w:t>
      </w:r>
      <w:r w:rsidRPr="002A219D">
        <w:rPr>
          <w:rFonts w:eastAsia="Times New Roman"/>
          <w:lang w:val="fr-FR" w:eastAsia="es-ES"/>
        </w:rPr>
        <w:t>une mesure d</w:t>
      </w:r>
      <w:r w:rsidR="00D26A9F">
        <w:rPr>
          <w:rFonts w:eastAsia="Times New Roman"/>
          <w:lang w:val="fr-FR" w:eastAsia="es-ES"/>
        </w:rPr>
        <w:t>’</w:t>
      </w:r>
      <w:r w:rsidRPr="002A219D">
        <w:rPr>
          <w:rFonts w:eastAsia="Times New Roman"/>
          <w:lang w:val="fr-FR" w:eastAsia="es-ES"/>
        </w:rPr>
        <w:t>expulsion, de refoulement ou d</w:t>
      </w:r>
      <w:r w:rsidR="00D26A9F">
        <w:rPr>
          <w:rFonts w:eastAsia="Times New Roman"/>
          <w:lang w:val="fr-FR" w:eastAsia="es-ES"/>
        </w:rPr>
        <w:t>’</w:t>
      </w:r>
      <w:r w:rsidRPr="002A219D">
        <w:rPr>
          <w:rFonts w:eastAsia="Times New Roman"/>
          <w:lang w:val="fr-FR" w:eastAsia="es-ES"/>
        </w:rPr>
        <w:t>extradition sont informées de leur droit de demander l</w:t>
      </w:r>
      <w:r w:rsidR="00D26A9F">
        <w:rPr>
          <w:rFonts w:eastAsia="Times New Roman"/>
          <w:lang w:val="fr-FR" w:eastAsia="es-ES"/>
        </w:rPr>
        <w:t>’</w:t>
      </w:r>
      <w:r w:rsidRPr="002A219D">
        <w:rPr>
          <w:rFonts w:eastAsia="Times New Roman"/>
          <w:lang w:val="fr-FR" w:eastAsia="es-ES"/>
        </w:rPr>
        <w:t>asile et de former un recours et, dans l</w:t>
      </w:r>
      <w:r w:rsidR="00D26A9F">
        <w:rPr>
          <w:rFonts w:eastAsia="Times New Roman"/>
          <w:lang w:val="fr-FR" w:eastAsia="es-ES"/>
        </w:rPr>
        <w:t>’</w:t>
      </w:r>
      <w:r w:rsidRPr="002A219D">
        <w:rPr>
          <w:rFonts w:eastAsia="Times New Roman"/>
          <w:lang w:val="fr-FR" w:eastAsia="es-ES"/>
        </w:rPr>
        <w:t>affirmative, préciser si le recours a un effet suspensif.</w:t>
      </w:r>
    </w:p>
    <w:p w:rsidR="00725A71" w:rsidRPr="003D4C4E" w:rsidRDefault="00725A71" w:rsidP="00643D72">
      <w:pPr>
        <w:pStyle w:val="SingleTxtG"/>
        <w:rPr>
          <w:rFonts w:eastAsia="Times New Roman"/>
          <w:lang w:val="fr-FR" w:eastAsia="es-ES"/>
        </w:rPr>
      </w:pPr>
      <w:r w:rsidRPr="002A219D">
        <w:rPr>
          <w:rFonts w:eastAsia="Times New Roman"/>
          <w:lang w:val="fr-FR" w:eastAsia="es-ES"/>
        </w:rPr>
        <w:t>9.</w:t>
      </w:r>
      <w:r w:rsidRPr="002A219D">
        <w:rPr>
          <w:rFonts w:eastAsia="Times New Roman"/>
          <w:lang w:val="fr-FR" w:eastAsia="es-ES"/>
        </w:rPr>
        <w:tab/>
        <w:t>Fournir des données statistiques détaillées sur le nombre de demandes d</w:t>
      </w:r>
      <w:r w:rsidR="00D26A9F">
        <w:rPr>
          <w:rFonts w:eastAsia="Times New Roman"/>
          <w:lang w:val="fr-FR" w:eastAsia="es-ES"/>
        </w:rPr>
        <w:t>’</w:t>
      </w:r>
      <w:r w:rsidRPr="002A219D">
        <w:rPr>
          <w:rFonts w:eastAsia="Times New Roman"/>
          <w:lang w:val="fr-FR" w:eastAsia="es-ES"/>
        </w:rPr>
        <w:t>asile reçues au cours de la période à l</w:t>
      </w:r>
      <w:r w:rsidR="00D26A9F">
        <w:rPr>
          <w:rFonts w:eastAsia="Times New Roman"/>
          <w:lang w:val="fr-FR" w:eastAsia="es-ES"/>
        </w:rPr>
        <w:t>’</w:t>
      </w:r>
      <w:r w:rsidRPr="002A219D">
        <w:rPr>
          <w:rFonts w:eastAsia="Times New Roman"/>
          <w:lang w:val="fr-FR" w:eastAsia="es-ES"/>
        </w:rPr>
        <w:t>examen, le nombre de demandes acceptées et le nombre de requérants dont la demande a été acceptée parce qu</w:t>
      </w:r>
      <w:r w:rsidR="00D26A9F">
        <w:rPr>
          <w:rFonts w:eastAsia="Times New Roman"/>
          <w:lang w:val="fr-FR" w:eastAsia="es-ES"/>
        </w:rPr>
        <w:t>’</w:t>
      </w:r>
      <w:r w:rsidRPr="002A219D">
        <w:rPr>
          <w:rFonts w:eastAsia="Times New Roman"/>
          <w:lang w:val="fr-FR" w:eastAsia="es-ES"/>
        </w:rPr>
        <w:t>ils avaient été torturés dans leur pays d</w:t>
      </w:r>
      <w:r w:rsidR="00D26A9F">
        <w:rPr>
          <w:rFonts w:eastAsia="Times New Roman"/>
          <w:lang w:val="fr-FR" w:eastAsia="es-ES"/>
        </w:rPr>
        <w:t>’</w:t>
      </w:r>
      <w:r w:rsidRPr="002A219D">
        <w:rPr>
          <w:rFonts w:eastAsia="Times New Roman"/>
          <w:lang w:val="fr-FR" w:eastAsia="es-ES"/>
        </w:rPr>
        <w:t>origine ou qu</w:t>
      </w:r>
      <w:r w:rsidR="00D26A9F">
        <w:rPr>
          <w:rFonts w:eastAsia="Times New Roman"/>
          <w:lang w:val="fr-FR" w:eastAsia="es-ES"/>
        </w:rPr>
        <w:t>’</w:t>
      </w:r>
      <w:r w:rsidRPr="002A219D">
        <w:rPr>
          <w:rFonts w:eastAsia="Times New Roman"/>
          <w:lang w:val="fr-FR" w:eastAsia="es-ES"/>
        </w:rPr>
        <w:t>ils risquaient de l</w:t>
      </w:r>
      <w:r w:rsidR="00D26A9F">
        <w:rPr>
          <w:rFonts w:eastAsia="Times New Roman"/>
          <w:lang w:val="fr-FR" w:eastAsia="es-ES"/>
        </w:rPr>
        <w:t>’</w:t>
      </w:r>
      <w:r w:rsidRPr="002A219D">
        <w:rPr>
          <w:rFonts w:eastAsia="Times New Roman"/>
          <w:lang w:val="fr-FR" w:eastAsia="es-ES"/>
        </w:rPr>
        <w:t>être s</w:t>
      </w:r>
      <w:r w:rsidR="00D26A9F">
        <w:rPr>
          <w:rFonts w:eastAsia="Times New Roman"/>
          <w:lang w:val="fr-FR" w:eastAsia="es-ES"/>
        </w:rPr>
        <w:t>’</w:t>
      </w:r>
      <w:r w:rsidRPr="002A219D">
        <w:rPr>
          <w:rFonts w:eastAsia="Times New Roman"/>
          <w:lang w:val="fr-FR" w:eastAsia="es-ES"/>
        </w:rPr>
        <w:t>ils y étaient renvoyés. Fournir des données ventilées par sexe, âge et pays d</w:t>
      </w:r>
      <w:r w:rsidR="00D26A9F">
        <w:rPr>
          <w:rFonts w:eastAsia="Times New Roman"/>
          <w:lang w:val="fr-FR" w:eastAsia="es-ES"/>
        </w:rPr>
        <w:t>’</w:t>
      </w:r>
      <w:r w:rsidRPr="002A219D">
        <w:rPr>
          <w:rFonts w:eastAsia="Times New Roman"/>
          <w:lang w:val="fr-FR" w:eastAsia="es-ES"/>
        </w:rPr>
        <w:t>origine, sur le nombre de personnes renvoyées, extradées ou expulsées depuis l</w:t>
      </w:r>
      <w:r w:rsidR="00D26A9F">
        <w:rPr>
          <w:rFonts w:eastAsia="Times New Roman"/>
          <w:lang w:val="fr-FR" w:eastAsia="es-ES"/>
        </w:rPr>
        <w:t>’</w:t>
      </w:r>
      <w:r w:rsidRPr="002A219D">
        <w:rPr>
          <w:rFonts w:eastAsia="Times New Roman"/>
          <w:lang w:val="fr-FR" w:eastAsia="es-ES"/>
        </w:rPr>
        <w:t>examen du précédent rapport périodique. Préciser les motifs du renvoi et donner la liste des pays de destination. Fournir des renseignements à jour sur les différents mécanismes de recours existants, les appels éventuellement formés et l</w:t>
      </w:r>
      <w:r w:rsidR="00D26A9F">
        <w:rPr>
          <w:rFonts w:eastAsia="Times New Roman"/>
          <w:lang w:val="fr-FR" w:eastAsia="es-ES"/>
        </w:rPr>
        <w:t>’</w:t>
      </w:r>
      <w:r w:rsidRPr="002A219D">
        <w:rPr>
          <w:rFonts w:eastAsia="Times New Roman"/>
          <w:lang w:val="fr-FR" w:eastAsia="es-ES"/>
        </w:rPr>
        <w:t xml:space="preserve">issue de ces derniers. </w:t>
      </w:r>
    </w:p>
    <w:p w:rsidR="00725A71" w:rsidRPr="003D4C4E" w:rsidRDefault="00725A71" w:rsidP="00643D72">
      <w:pPr>
        <w:pStyle w:val="SingleTxtG"/>
        <w:rPr>
          <w:rFonts w:eastAsia="Times New Roman"/>
          <w:lang w:val="fr-FR" w:eastAsia="es-ES"/>
        </w:rPr>
      </w:pPr>
      <w:r w:rsidRPr="002A219D">
        <w:rPr>
          <w:rFonts w:eastAsia="Times New Roman"/>
          <w:lang w:val="fr-FR" w:eastAsia="es-ES"/>
        </w:rPr>
        <w:t>10.</w:t>
      </w:r>
      <w:r w:rsidRPr="002A219D">
        <w:rPr>
          <w:rFonts w:eastAsia="Times New Roman"/>
          <w:lang w:val="fr-FR" w:eastAsia="es-ES"/>
        </w:rPr>
        <w:tab/>
        <w:t>Indiquer le nombre de cas de renvoi, d</w:t>
      </w:r>
      <w:r w:rsidR="00D26A9F">
        <w:rPr>
          <w:rFonts w:eastAsia="Times New Roman"/>
          <w:lang w:val="fr-FR" w:eastAsia="es-ES"/>
        </w:rPr>
        <w:t>’</w:t>
      </w:r>
      <w:r w:rsidRPr="002A219D">
        <w:rPr>
          <w:rFonts w:eastAsia="Times New Roman"/>
          <w:lang w:val="fr-FR" w:eastAsia="es-ES"/>
        </w:rPr>
        <w:t>extradition et d</w:t>
      </w:r>
      <w:r w:rsidR="00D26A9F">
        <w:rPr>
          <w:rFonts w:eastAsia="Times New Roman"/>
          <w:lang w:val="fr-FR" w:eastAsia="es-ES"/>
        </w:rPr>
        <w:t>’</w:t>
      </w:r>
      <w:r w:rsidRPr="002A219D">
        <w:rPr>
          <w:rFonts w:eastAsia="Times New Roman"/>
          <w:lang w:val="fr-FR" w:eastAsia="es-ES"/>
        </w:rPr>
        <w:t>expulsion auxquels il a été procédé pendant la période à l</w:t>
      </w:r>
      <w:r w:rsidR="00D26A9F">
        <w:rPr>
          <w:rFonts w:eastAsia="Times New Roman"/>
          <w:lang w:val="fr-FR" w:eastAsia="es-ES"/>
        </w:rPr>
        <w:t>’</w:t>
      </w:r>
      <w:r w:rsidRPr="002A219D">
        <w:rPr>
          <w:rFonts w:eastAsia="Times New Roman"/>
          <w:lang w:val="fr-FR" w:eastAsia="es-ES"/>
        </w:rPr>
        <w:t>examen après l</w:t>
      </w:r>
      <w:r w:rsidR="00D26A9F">
        <w:rPr>
          <w:rFonts w:eastAsia="Times New Roman"/>
          <w:lang w:val="fr-FR" w:eastAsia="es-ES"/>
        </w:rPr>
        <w:t>’</w:t>
      </w:r>
      <w:r w:rsidRPr="002A219D">
        <w:rPr>
          <w:rFonts w:eastAsia="Times New Roman"/>
          <w:lang w:val="fr-FR" w:eastAsia="es-ES"/>
        </w:rPr>
        <w:t>obtention de garanties diplomatiques ou d</w:t>
      </w:r>
      <w:r w:rsidR="00D26A9F">
        <w:rPr>
          <w:rFonts w:eastAsia="Times New Roman"/>
          <w:lang w:val="fr-FR" w:eastAsia="es-ES"/>
        </w:rPr>
        <w:t>’</w:t>
      </w:r>
      <w:r w:rsidRPr="002A219D">
        <w:rPr>
          <w:rFonts w:eastAsia="Times New Roman"/>
          <w:lang w:val="fr-FR" w:eastAsia="es-ES"/>
        </w:rPr>
        <w:t>assurances équivalentes, ainsi que les cas dans lesquels l</w:t>
      </w:r>
      <w:r w:rsidR="00D26A9F">
        <w:rPr>
          <w:rFonts w:eastAsia="Times New Roman"/>
          <w:lang w:val="fr-FR" w:eastAsia="es-ES"/>
        </w:rPr>
        <w:t>’</w:t>
      </w:r>
      <w:r w:rsidRPr="002A219D">
        <w:rPr>
          <w:rFonts w:eastAsia="Times New Roman"/>
          <w:lang w:val="fr-FR" w:eastAsia="es-ES"/>
        </w:rPr>
        <w:t>État partie a offert des garanties ou assurances diplomatiques. Indiquer quel est le minim</w:t>
      </w:r>
      <w:r>
        <w:rPr>
          <w:rFonts w:eastAsia="Times New Roman"/>
          <w:lang w:val="fr-FR" w:eastAsia="es-ES"/>
        </w:rPr>
        <w:t>um</w:t>
      </w:r>
      <w:r w:rsidR="00BF54FD">
        <w:rPr>
          <w:rFonts w:eastAsia="Times New Roman"/>
          <w:lang w:val="fr-FR" w:eastAsia="es-ES"/>
        </w:rPr>
        <w:t xml:space="preserve"> </w:t>
      </w:r>
      <w:r>
        <w:rPr>
          <w:rFonts w:eastAsia="Times New Roman"/>
          <w:lang w:val="fr-FR" w:eastAsia="es-ES"/>
        </w:rPr>
        <w:t>exigé</w:t>
      </w:r>
      <w:r w:rsidRPr="002A219D">
        <w:rPr>
          <w:rFonts w:eastAsia="Times New Roman"/>
          <w:lang w:val="fr-FR" w:eastAsia="es-ES"/>
        </w:rPr>
        <w:t xml:space="preserve"> de ces assurances et garanties, qu</w:t>
      </w:r>
      <w:r w:rsidR="00D26A9F">
        <w:rPr>
          <w:rFonts w:eastAsia="Times New Roman"/>
          <w:lang w:val="fr-FR" w:eastAsia="es-ES"/>
        </w:rPr>
        <w:t>’</w:t>
      </w:r>
      <w:r w:rsidRPr="002A219D">
        <w:rPr>
          <w:rFonts w:eastAsia="Times New Roman"/>
          <w:lang w:val="fr-FR" w:eastAsia="es-ES"/>
        </w:rPr>
        <w:t xml:space="preserve">elles soient offertes ou obtenues, et quelles mesures de suivi ont été prises dans de tels cas. </w:t>
      </w:r>
    </w:p>
    <w:p w:rsidR="00725A71" w:rsidRPr="003D4C4E" w:rsidRDefault="00725A71" w:rsidP="00643D72">
      <w:pPr>
        <w:pStyle w:val="H23G"/>
        <w:rPr>
          <w:rFonts w:eastAsia="Times New Roman"/>
          <w:lang w:val="fr-FR" w:eastAsia="es-ES"/>
        </w:rPr>
      </w:pPr>
      <w:r w:rsidRPr="002A219D">
        <w:rPr>
          <w:rFonts w:eastAsia="Times New Roman"/>
          <w:lang w:val="fr-FR" w:eastAsia="es-ES"/>
        </w:rPr>
        <w:tab/>
      </w:r>
      <w:r w:rsidRPr="002A219D">
        <w:rPr>
          <w:rFonts w:eastAsia="Times New Roman"/>
          <w:lang w:val="fr-FR" w:eastAsia="es-ES"/>
        </w:rPr>
        <w:tab/>
      </w:r>
      <w:r w:rsidRPr="002A219D">
        <w:rPr>
          <w:rFonts w:eastAsia="Times New Roman"/>
          <w:bCs/>
          <w:lang w:val="fr-FR" w:eastAsia="es-ES"/>
        </w:rPr>
        <w:t>Articles 5 à 9</w:t>
      </w:r>
    </w:p>
    <w:p w:rsidR="00725A71" w:rsidRPr="003D4C4E" w:rsidRDefault="00725A71" w:rsidP="00643D72">
      <w:pPr>
        <w:pStyle w:val="SingleTxtG"/>
        <w:rPr>
          <w:rFonts w:eastAsia="Times New Roman"/>
          <w:lang w:val="fr-FR" w:eastAsia="es-ES"/>
        </w:rPr>
      </w:pPr>
      <w:r w:rsidRPr="002A219D">
        <w:rPr>
          <w:rFonts w:eastAsia="Times New Roman"/>
          <w:lang w:val="fr-FR" w:eastAsia="es-ES"/>
        </w:rPr>
        <w:t>11.</w:t>
      </w:r>
      <w:r w:rsidRPr="002A219D">
        <w:rPr>
          <w:rFonts w:eastAsia="Times New Roman"/>
          <w:lang w:val="fr-FR" w:eastAsia="es-ES"/>
        </w:rPr>
        <w:tab/>
        <w:t>Indiquer les mesures législatives ou autres qui ont été adoptées au cours de la période à l</w:t>
      </w:r>
      <w:r w:rsidR="00D26A9F">
        <w:rPr>
          <w:rFonts w:eastAsia="Times New Roman"/>
          <w:lang w:val="fr-FR" w:eastAsia="es-ES"/>
        </w:rPr>
        <w:t>’</w:t>
      </w:r>
      <w:r w:rsidRPr="002A219D">
        <w:rPr>
          <w:rFonts w:eastAsia="Times New Roman"/>
          <w:lang w:val="fr-FR" w:eastAsia="es-ES"/>
        </w:rPr>
        <w:t>examen pour mettre en œuvre l</w:t>
      </w:r>
      <w:r w:rsidR="00D26A9F">
        <w:rPr>
          <w:rFonts w:eastAsia="Times New Roman"/>
          <w:lang w:val="fr-FR" w:eastAsia="es-ES"/>
        </w:rPr>
        <w:t>’</w:t>
      </w:r>
      <w:r w:rsidRPr="002A219D">
        <w:rPr>
          <w:rFonts w:eastAsia="Times New Roman"/>
          <w:lang w:val="fr-FR" w:eastAsia="es-ES"/>
        </w:rPr>
        <w:t>article 5 de la Convention. Préciser si, dans l</w:t>
      </w:r>
      <w:r w:rsidR="00D26A9F">
        <w:rPr>
          <w:rFonts w:eastAsia="Times New Roman"/>
          <w:lang w:val="fr-FR" w:eastAsia="es-ES"/>
        </w:rPr>
        <w:t>’</w:t>
      </w:r>
      <w:r w:rsidRPr="002A219D">
        <w:rPr>
          <w:rFonts w:eastAsia="Times New Roman"/>
          <w:lang w:val="fr-FR" w:eastAsia="es-ES"/>
        </w:rPr>
        <w:t>ordre juridique interne, les actes de torture sont considérés comme des crimes universels, où qu</w:t>
      </w:r>
      <w:r w:rsidR="00D26A9F">
        <w:rPr>
          <w:rFonts w:eastAsia="Times New Roman"/>
          <w:lang w:val="fr-FR" w:eastAsia="es-ES"/>
        </w:rPr>
        <w:t>’</w:t>
      </w:r>
      <w:r w:rsidRPr="002A219D">
        <w:rPr>
          <w:rFonts w:eastAsia="Times New Roman"/>
          <w:lang w:val="fr-FR" w:eastAsia="es-ES"/>
        </w:rPr>
        <w:t>ils soient commis et quelle que soit la nationalité de l</w:t>
      </w:r>
      <w:r w:rsidR="00D26A9F">
        <w:rPr>
          <w:rFonts w:eastAsia="Times New Roman"/>
          <w:lang w:val="fr-FR" w:eastAsia="es-ES"/>
        </w:rPr>
        <w:t>’</w:t>
      </w:r>
      <w:r w:rsidRPr="002A219D">
        <w:rPr>
          <w:rFonts w:eastAsia="Times New Roman"/>
          <w:lang w:val="fr-FR" w:eastAsia="es-ES"/>
        </w:rPr>
        <w:t>auteur ou de la victime. Donner des exemples de poursuites engagées à cet égard.</w:t>
      </w:r>
    </w:p>
    <w:p w:rsidR="00725A71" w:rsidRPr="003D4C4E" w:rsidRDefault="00725A71" w:rsidP="00643D72">
      <w:pPr>
        <w:pStyle w:val="SingleTxtG"/>
        <w:rPr>
          <w:rFonts w:eastAsia="Times New Roman"/>
          <w:lang w:val="fr-FR" w:eastAsia="es-ES"/>
        </w:rPr>
      </w:pPr>
      <w:r w:rsidRPr="002A219D">
        <w:rPr>
          <w:rFonts w:eastAsia="Times New Roman"/>
          <w:lang w:val="fr-FR" w:eastAsia="es-ES"/>
        </w:rPr>
        <w:t>12.</w:t>
      </w:r>
      <w:r w:rsidRPr="002A219D">
        <w:rPr>
          <w:rFonts w:eastAsia="Times New Roman"/>
          <w:lang w:val="fr-FR" w:eastAsia="es-ES"/>
        </w:rPr>
        <w:tab/>
        <w:t>Donner des précisions sur les traités d</w:t>
      </w:r>
      <w:r w:rsidR="00D26A9F">
        <w:rPr>
          <w:rFonts w:eastAsia="Times New Roman"/>
          <w:lang w:val="fr-FR" w:eastAsia="es-ES"/>
        </w:rPr>
        <w:t>’</w:t>
      </w:r>
      <w:r w:rsidRPr="002A219D">
        <w:rPr>
          <w:rFonts w:eastAsia="Times New Roman"/>
          <w:lang w:val="fr-FR" w:eastAsia="es-ES"/>
        </w:rPr>
        <w:t>extradition conclus avec d</w:t>
      </w:r>
      <w:r w:rsidR="00D26A9F">
        <w:rPr>
          <w:rFonts w:eastAsia="Times New Roman"/>
          <w:lang w:val="fr-FR" w:eastAsia="es-ES"/>
        </w:rPr>
        <w:t>’</w:t>
      </w:r>
      <w:r w:rsidRPr="002A219D">
        <w:rPr>
          <w:rFonts w:eastAsia="Times New Roman"/>
          <w:lang w:val="fr-FR" w:eastAsia="es-ES"/>
        </w:rPr>
        <w:t>autres États parties et indiquer s</w:t>
      </w:r>
      <w:r w:rsidR="00D26A9F">
        <w:rPr>
          <w:rFonts w:eastAsia="Times New Roman"/>
          <w:lang w:val="fr-FR" w:eastAsia="es-ES"/>
        </w:rPr>
        <w:t>’</w:t>
      </w:r>
      <w:r w:rsidRPr="002A219D">
        <w:rPr>
          <w:rFonts w:eastAsia="Times New Roman"/>
          <w:lang w:val="fr-FR" w:eastAsia="es-ES"/>
        </w:rPr>
        <w:t>ils prévoient que les infractions visées à l</w:t>
      </w:r>
      <w:r w:rsidR="00D26A9F">
        <w:rPr>
          <w:rFonts w:eastAsia="Times New Roman"/>
          <w:lang w:val="fr-FR" w:eastAsia="es-ES"/>
        </w:rPr>
        <w:t>’</w:t>
      </w:r>
      <w:r w:rsidRPr="002A219D">
        <w:rPr>
          <w:rFonts w:eastAsia="Times New Roman"/>
          <w:lang w:val="fr-FR" w:eastAsia="es-ES"/>
        </w:rPr>
        <w:t>article 4 de la Convention donnent lieu à extradition. Indiquer si l</w:t>
      </w:r>
      <w:r w:rsidR="00D26A9F">
        <w:rPr>
          <w:rFonts w:eastAsia="Times New Roman"/>
          <w:lang w:val="fr-FR" w:eastAsia="es-ES"/>
        </w:rPr>
        <w:t>’</w:t>
      </w:r>
      <w:r w:rsidRPr="002A219D">
        <w:rPr>
          <w:rFonts w:eastAsia="Times New Roman"/>
          <w:lang w:val="fr-FR" w:eastAsia="es-ES"/>
        </w:rPr>
        <w:t xml:space="preserve">État partie considère également que la Convention constitue la base légale </w:t>
      </w:r>
      <w:r>
        <w:rPr>
          <w:rFonts w:eastAsia="Times New Roman"/>
          <w:lang w:val="fr-FR" w:eastAsia="es-ES"/>
        </w:rPr>
        <w:t xml:space="preserve">nécessaire </w:t>
      </w:r>
      <w:r w:rsidRPr="002A219D">
        <w:rPr>
          <w:rFonts w:eastAsia="Times New Roman"/>
          <w:lang w:val="fr-FR" w:eastAsia="es-ES"/>
        </w:rPr>
        <w:t>pour procéder à l</w:t>
      </w:r>
      <w:r w:rsidR="00D26A9F">
        <w:rPr>
          <w:rFonts w:eastAsia="Times New Roman"/>
          <w:lang w:val="fr-FR" w:eastAsia="es-ES"/>
        </w:rPr>
        <w:t>’</w:t>
      </w:r>
      <w:r w:rsidRPr="002A219D">
        <w:rPr>
          <w:rFonts w:eastAsia="Times New Roman"/>
          <w:lang w:val="fr-FR" w:eastAsia="es-ES"/>
        </w:rPr>
        <w:t>extradition s</w:t>
      </w:r>
      <w:r w:rsidR="00D26A9F">
        <w:rPr>
          <w:rFonts w:eastAsia="Times New Roman"/>
          <w:lang w:val="fr-FR" w:eastAsia="es-ES"/>
        </w:rPr>
        <w:t>’</w:t>
      </w:r>
      <w:r w:rsidRPr="002A219D">
        <w:rPr>
          <w:rFonts w:eastAsia="Times New Roman"/>
          <w:lang w:val="fr-FR" w:eastAsia="es-ES"/>
        </w:rPr>
        <w:t xml:space="preserve">agissant de ces infractions. </w:t>
      </w:r>
    </w:p>
    <w:p w:rsidR="00725A71" w:rsidRPr="003D4C4E" w:rsidRDefault="00725A71" w:rsidP="00643D72">
      <w:pPr>
        <w:pStyle w:val="SingleTxtG"/>
        <w:rPr>
          <w:rFonts w:eastAsia="Times New Roman"/>
          <w:lang w:val="fr-FR" w:eastAsia="es-ES"/>
        </w:rPr>
      </w:pPr>
      <w:r w:rsidRPr="002A219D">
        <w:rPr>
          <w:rFonts w:eastAsia="Times New Roman"/>
          <w:lang w:val="fr-FR" w:eastAsia="es-ES"/>
        </w:rPr>
        <w:t>13.</w:t>
      </w:r>
      <w:r w:rsidRPr="002A219D">
        <w:rPr>
          <w:rFonts w:eastAsia="Times New Roman"/>
          <w:lang w:val="fr-FR" w:eastAsia="es-ES"/>
        </w:rPr>
        <w:tab/>
        <w:t>Indiquer les traités ou accords d</w:t>
      </w:r>
      <w:r w:rsidR="00D26A9F">
        <w:rPr>
          <w:rFonts w:eastAsia="Times New Roman"/>
          <w:lang w:val="fr-FR" w:eastAsia="es-ES"/>
        </w:rPr>
        <w:t>’</w:t>
      </w:r>
      <w:r w:rsidRPr="002A219D">
        <w:rPr>
          <w:rFonts w:eastAsia="Times New Roman"/>
          <w:lang w:val="fr-FR" w:eastAsia="es-ES"/>
        </w:rPr>
        <w:t>entraide judiciaire que la Colombie a conclus avec d</w:t>
      </w:r>
      <w:r w:rsidR="00D26A9F">
        <w:rPr>
          <w:rFonts w:eastAsia="Times New Roman"/>
          <w:lang w:val="fr-FR" w:eastAsia="es-ES"/>
        </w:rPr>
        <w:t>’</w:t>
      </w:r>
      <w:r w:rsidRPr="002A219D">
        <w:rPr>
          <w:rFonts w:eastAsia="Times New Roman"/>
          <w:lang w:val="fr-FR" w:eastAsia="es-ES"/>
        </w:rPr>
        <w:t xml:space="preserve">autres entités, pays, instances judiciaires ou institutions internationales et préciser si ces traités se sont accompagnés dans la pratique de la communication de preuves dans des procès pour torture ou mauvais traitements. Donner des exemples. </w:t>
      </w:r>
    </w:p>
    <w:p w:rsidR="00725A71" w:rsidRPr="003D4C4E" w:rsidRDefault="00725A71" w:rsidP="00643D72">
      <w:pPr>
        <w:pStyle w:val="H23G"/>
        <w:rPr>
          <w:rFonts w:eastAsia="Times New Roman"/>
          <w:lang w:val="fr-FR" w:eastAsia="es-ES"/>
        </w:rPr>
      </w:pPr>
      <w:r w:rsidRPr="002A219D">
        <w:rPr>
          <w:rFonts w:eastAsia="Times New Roman"/>
          <w:lang w:val="fr-FR" w:eastAsia="es-ES"/>
        </w:rPr>
        <w:tab/>
      </w:r>
      <w:r w:rsidRPr="002A219D">
        <w:rPr>
          <w:rFonts w:eastAsia="Times New Roman"/>
          <w:lang w:val="fr-FR" w:eastAsia="es-ES"/>
        </w:rPr>
        <w:tab/>
      </w:r>
      <w:r w:rsidRPr="002A219D">
        <w:rPr>
          <w:rFonts w:eastAsia="Times New Roman"/>
          <w:bCs/>
          <w:lang w:val="fr-FR" w:eastAsia="es-ES"/>
        </w:rPr>
        <w:t>Article 10</w:t>
      </w:r>
    </w:p>
    <w:p w:rsidR="00725A71" w:rsidRPr="003D4C4E" w:rsidRDefault="00725A71" w:rsidP="00643D72">
      <w:pPr>
        <w:pStyle w:val="SingleTxtG"/>
        <w:rPr>
          <w:rFonts w:eastAsia="Times New Roman"/>
          <w:lang w:val="fr-FR" w:eastAsia="es-ES"/>
        </w:rPr>
      </w:pPr>
      <w:r w:rsidRPr="002A219D">
        <w:rPr>
          <w:rFonts w:eastAsia="Times New Roman"/>
          <w:lang w:val="fr-FR" w:eastAsia="es-ES"/>
        </w:rPr>
        <w:t>14.</w:t>
      </w:r>
      <w:r w:rsidRPr="002A219D">
        <w:rPr>
          <w:rFonts w:eastAsia="Times New Roman"/>
          <w:lang w:val="fr-FR" w:eastAsia="es-ES"/>
        </w:rPr>
        <w:tab/>
        <w:t>S</w:t>
      </w:r>
      <w:r w:rsidR="00D26A9F">
        <w:rPr>
          <w:rFonts w:eastAsia="Times New Roman"/>
          <w:lang w:val="fr-FR" w:eastAsia="es-ES"/>
        </w:rPr>
        <w:t>’</w:t>
      </w:r>
      <w:r w:rsidRPr="002A219D">
        <w:rPr>
          <w:rFonts w:eastAsia="Times New Roman"/>
          <w:lang w:val="fr-FR" w:eastAsia="es-ES"/>
        </w:rPr>
        <w:t>agissant des précédentes obser</w:t>
      </w:r>
      <w:r w:rsidR="00301135">
        <w:rPr>
          <w:rFonts w:eastAsia="Times New Roman"/>
          <w:lang w:val="fr-FR" w:eastAsia="es-ES"/>
        </w:rPr>
        <w:t>vations finales du Comité (par. </w:t>
      </w:r>
      <w:r w:rsidRPr="002A219D">
        <w:rPr>
          <w:rFonts w:eastAsia="Times New Roman"/>
          <w:lang w:val="fr-FR" w:eastAsia="es-ES"/>
        </w:rPr>
        <w:t>24), donner des renseignements à jour sur les programmes de formation aux droits de l</w:t>
      </w:r>
      <w:r w:rsidR="00D26A9F">
        <w:rPr>
          <w:rFonts w:eastAsia="Times New Roman"/>
          <w:lang w:val="fr-FR" w:eastAsia="es-ES"/>
        </w:rPr>
        <w:t>’</w:t>
      </w:r>
      <w:r w:rsidRPr="002A219D">
        <w:rPr>
          <w:rFonts w:eastAsia="Times New Roman"/>
          <w:lang w:val="fr-FR" w:eastAsia="es-ES"/>
        </w:rPr>
        <w:t>homme et à l</w:t>
      </w:r>
      <w:r w:rsidR="00D26A9F">
        <w:rPr>
          <w:rFonts w:eastAsia="Times New Roman"/>
          <w:lang w:val="fr-FR" w:eastAsia="es-ES"/>
        </w:rPr>
        <w:t>’</w:t>
      </w:r>
      <w:r w:rsidRPr="002A219D">
        <w:rPr>
          <w:rFonts w:eastAsia="Times New Roman"/>
          <w:lang w:val="fr-FR" w:eastAsia="es-ES"/>
        </w:rPr>
        <w:t>interdiction de la torture élaborés par l</w:t>
      </w:r>
      <w:r w:rsidR="00D26A9F">
        <w:rPr>
          <w:rFonts w:eastAsia="Times New Roman"/>
          <w:lang w:val="fr-FR" w:eastAsia="es-ES"/>
        </w:rPr>
        <w:t>’</w:t>
      </w:r>
      <w:r w:rsidRPr="002A219D">
        <w:rPr>
          <w:rFonts w:eastAsia="Times New Roman"/>
          <w:lang w:val="fr-FR" w:eastAsia="es-ES"/>
        </w:rPr>
        <w:t>État partie pour s</w:t>
      </w:r>
      <w:r w:rsidR="00D26A9F">
        <w:rPr>
          <w:rFonts w:eastAsia="Times New Roman"/>
          <w:lang w:val="fr-FR" w:eastAsia="es-ES"/>
        </w:rPr>
        <w:t>’</w:t>
      </w:r>
      <w:r w:rsidRPr="002A219D">
        <w:rPr>
          <w:rFonts w:eastAsia="Times New Roman"/>
          <w:lang w:val="fr-FR" w:eastAsia="es-ES"/>
        </w:rPr>
        <w:t>assurer que tous les fonctionnaires, et en particulier les membres des forces armées, les policiers et autres agents des forces de l</w:t>
      </w:r>
      <w:r w:rsidR="00D26A9F">
        <w:rPr>
          <w:rFonts w:eastAsia="Times New Roman"/>
          <w:lang w:val="fr-FR" w:eastAsia="es-ES"/>
        </w:rPr>
        <w:t>’</w:t>
      </w:r>
      <w:r w:rsidRPr="002A219D">
        <w:rPr>
          <w:rFonts w:eastAsia="Times New Roman"/>
          <w:lang w:val="fr-FR" w:eastAsia="es-ES"/>
        </w:rPr>
        <w:t>ordre, ainsi que le personnel pénitentiaire, connaissent bien les dispositions de la Convention et savent qu</w:t>
      </w:r>
      <w:r w:rsidR="00D26A9F">
        <w:rPr>
          <w:rFonts w:eastAsia="Times New Roman"/>
          <w:lang w:val="fr-FR" w:eastAsia="es-ES"/>
        </w:rPr>
        <w:t>’</w:t>
      </w:r>
      <w:r w:rsidRPr="002A219D">
        <w:rPr>
          <w:rFonts w:eastAsia="Times New Roman"/>
          <w:lang w:val="fr-FR" w:eastAsia="es-ES"/>
        </w:rPr>
        <w:t>aucun manquement ne sera toléré, que toute violation donnera lieu à une enquête, et que les auteurs d</w:t>
      </w:r>
      <w:r w:rsidR="00D26A9F">
        <w:rPr>
          <w:rFonts w:eastAsia="Times New Roman"/>
          <w:lang w:val="fr-FR" w:eastAsia="es-ES"/>
        </w:rPr>
        <w:t>’</w:t>
      </w:r>
      <w:r w:rsidRPr="002A219D">
        <w:rPr>
          <w:rFonts w:eastAsia="Times New Roman"/>
          <w:lang w:val="fr-FR" w:eastAsia="es-ES"/>
        </w:rPr>
        <w:t>infraction seront traduits en justice. Indiquer en outre si l</w:t>
      </w:r>
      <w:r w:rsidR="00D26A9F">
        <w:rPr>
          <w:rFonts w:eastAsia="Times New Roman"/>
          <w:lang w:val="fr-FR" w:eastAsia="es-ES"/>
        </w:rPr>
        <w:t>’</w:t>
      </w:r>
      <w:r w:rsidRPr="002A219D">
        <w:rPr>
          <w:rFonts w:eastAsia="Times New Roman"/>
          <w:lang w:val="fr-FR" w:eastAsia="es-ES"/>
        </w:rPr>
        <w:t>État partie a élaboré une méthodologie permettant d</w:t>
      </w:r>
      <w:r w:rsidR="00D26A9F">
        <w:rPr>
          <w:rFonts w:eastAsia="Times New Roman"/>
          <w:lang w:val="fr-FR" w:eastAsia="es-ES"/>
        </w:rPr>
        <w:t>’</w:t>
      </w:r>
      <w:r w:rsidRPr="002A219D">
        <w:rPr>
          <w:rFonts w:eastAsia="Times New Roman"/>
          <w:lang w:val="fr-FR" w:eastAsia="es-ES"/>
        </w:rPr>
        <w:t>évaluer l</w:t>
      </w:r>
      <w:r w:rsidR="00D26A9F">
        <w:rPr>
          <w:rFonts w:eastAsia="Times New Roman"/>
          <w:lang w:val="fr-FR" w:eastAsia="es-ES"/>
        </w:rPr>
        <w:t>’</w:t>
      </w:r>
      <w:r w:rsidRPr="002A219D">
        <w:rPr>
          <w:rFonts w:eastAsia="Times New Roman"/>
          <w:lang w:val="fr-FR" w:eastAsia="es-ES"/>
        </w:rPr>
        <w:t>efficacité et l</w:t>
      </w:r>
      <w:r w:rsidR="00D26A9F">
        <w:rPr>
          <w:rFonts w:eastAsia="Times New Roman"/>
          <w:lang w:val="fr-FR" w:eastAsia="es-ES"/>
        </w:rPr>
        <w:t>’</w:t>
      </w:r>
      <w:r w:rsidRPr="002A219D">
        <w:rPr>
          <w:rFonts w:eastAsia="Times New Roman"/>
          <w:lang w:val="fr-FR" w:eastAsia="es-ES"/>
        </w:rPr>
        <w:t>incidence des programmes de formation sur la réduction du nombre de cas de torture, de mauvais traitements et de recours excessif à la force et, le cas échéant, fournir des informations sur le contenu et l</w:t>
      </w:r>
      <w:r w:rsidR="00D26A9F">
        <w:rPr>
          <w:rFonts w:eastAsia="Times New Roman"/>
          <w:lang w:val="fr-FR" w:eastAsia="es-ES"/>
        </w:rPr>
        <w:t>’</w:t>
      </w:r>
      <w:r w:rsidRPr="002A219D">
        <w:rPr>
          <w:rFonts w:eastAsia="Times New Roman"/>
          <w:lang w:val="fr-FR" w:eastAsia="es-ES"/>
        </w:rPr>
        <w:t>application de cette méthodologie</w:t>
      </w:r>
      <w:r w:rsidRPr="003D4C4E">
        <w:rPr>
          <w:rStyle w:val="Appelnotedebasdep"/>
        </w:rPr>
        <w:footnoteReference w:id="9"/>
      </w:r>
      <w:r w:rsidR="00301135">
        <w:rPr>
          <w:rFonts w:eastAsia="Times New Roman"/>
          <w:lang w:val="fr-FR" w:eastAsia="es-ES"/>
        </w:rPr>
        <w:t>.</w:t>
      </w:r>
    </w:p>
    <w:p w:rsidR="00725A71" w:rsidRPr="003D4C4E" w:rsidRDefault="00725A71" w:rsidP="00643D72">
      <w:pPr>
        <w:pStyle w:val="SingleTxtG"/>
        <w:rPr>
          <w:rFonts w:eastAsia="Times New Roman"/>
          <w:lang w:val="fr-FR" w:eastAsia="es-ES"/>
        </w:rPr>
      </w:pPr>
      <w:r w:rsidRPr="002A219D">
        <w:rPr>
          <w:rFonts w:eastAsia="Times New Roman"/>
          <w:lang w:val="fr-FR" w:eastAsia="es-ES"/>
        </w:rPr>
        <w:lastRenderedPageBreak/>
        <w:t>15.</w:t>
      </w:r>
      <w:r w:rsidRPr="002A219D">
        <w:rPr>
          <w:rFonts w:eastAsia="Times New Roman"/>
          <w:lang w:val="fr-FR" w:eastAsia="es-ES"/>
        </w:rPr>
        <w:tab/>
        <w:t>Donner des renseignements actualisés sur les programmes de formation des juges, des procureurs, ainsi que des médecins légistes et des personnels médicaux qui s</w:t>
      </w:r>
      <w:r w:rsidR="00D26A9F">
        <w:rPr>
          <w:rFonts w:eastAsia="Times New Roman"/>
          <w:lang w:val="fr-FR" w:eastAsia="es-ES"/>
        </w:rPr>
        <w:t>’</w:t>
      </w:r>
      <w:r w:rsidRPr="002A219D">
        <w:rPr>
          <w:rFonts w:eastAsia="Times New Roman"/>
          <w:lang w:val="fr-FR" w:eastAsia="es-ES"/>
        </w:rPr>
        <w:t>occupent des détenus pour leur permettre de déceler les séquelles physiques et psychologiques de la torture et établir la réalité des faits de torture. Indiquer si ces programmes prévoient une formation spécifique concernant le Manuel pour enquêter efficacement sur la torture et autres peines ou traitements cruels, inhumains ou dégradants (Protocole d</w:t>
      </w:r>
      <w:r w:rsidR="00D26A9F">
        <w:rPr>
          <w:rFonts w:eastAsia="Times New Roman"/>
          <w:lang w:val="fr-FR" w:eastAsia="es-ES"/>
        </w:rPr>
        <w:t>’</w:t>
      </w:r>
      <w:r w:rsidRPr="002A219D">
        <w:rPr>
          <w:rFonts w:eastAsia="Times New Roman"/>
          <w:lang w:val="fr-FR" w:eastAsia="es-ES"/>
        </w:rPr>
        <w:t xml:space="preserve">Istanbul). </w:t>
      </w:r>
    </w:p>
    <w:p w:rsidR="00725A71" w:rsidRPr="003D4C4E" w:rsidRDefault="00725A71" w:rsidP="00643D72">
      <w:pPr>
        <w:pStyle w:val="H23G"/>
        <w:rPr>
          <w:rFonts w:eastAsia="Times New Roman"/>
          <w:lang w:val="fr-FR" w:eastAsia="es-ES"/>
        </w:rPr>
      </w:pPr>
      <w:r w:rsidRPr="002A219D">
        <w:rPr>
          <w:rFonts w:eastAsia="Times New Roman"/>
          <w:lang w:val="fr-FR" w:eastAsia="es-ES"/>
        </w:rPr>
        <w:tab/>
      </w:r>
      <w:r w:rsidRPr="002A219D">
        <w:rPr>
          <w:rFonts w:eastAsia="Times New Roman"/>
          <w:lang w:val="fr-FR" w:eastAsia="es-ES"/>
        </w:rPr>
        <w:tab/>
      </w:r>
      <w:r w:rsidRPr="002A219D">
        <w:rPr>
          <w:rFonts w:eastAsia="Times New Roman"/>
          <w:bCs/>
          <w:lang w:val="fr-FR" w:eastAsia="es-ES"/>
        </w:rPr>
        <w:t>Article 11</w:t>
      </w:r>
    </w:p>
    <w:p w:rsidR="00725A71" w:rsidRPr="003D4C4E" w:rsidRDefault="00725A71" w:rsidP="00643D72">
      <w:pPr>
        <w:pStyle w:val="SingleTxtG"/>
        <w:rPr>
          <w:rFonts w:eastAsia="Times New Roman"/>
          <w:lang w:val="fr-FR" w:eastAsia="es-ES"/>
        </w:rPr>
      </w:pPr>
      <w:r w:rsidRPr="002A219D">
        <w:rPr>
          <w:rFonts w:eastAsia="Times New Roman"/>
          <w:lang w:val="fr-FR" w:eastAsia="es-ES"/>
        </w:rPr>
        <w:t>16.</w:t>
      </w:r>
      <w:r w:rsidRPr="002A219D">
        <w:rPr>
          <w:rFonts w:eastAsia="Times New Roman"/>
          <w:lang w:val="fr-FR" w:eastAsia="es-ES"/>
        </w:rPr>
        <w:tab/>
        <w:t>Décrire les procédures mises en place pour garantir le respect de l</w:t>
      </w:r>
      <w:r w:rsidR="00D26A9F">
        <w:rPr>
          <w:rFonts w:eastAsia="Times New Roman"/>
          <w:lang w:val="fr-FR" w:eastAsia="es-ES"/>
        </w:rPr>
        <w:t>’</w:t>
      </w:r>
      <w:r w:rsidRPr="002A219D">
        <w:rPr>
          <w:rFonts w:eastAsia="Times New Roman"/>
          <w:lang w:val="fr-FR" w:eastAsia="es-ES"/>
        </w:rPr>
        <w:t>article 11 de la Convention et donner des renseignements sur les règles, directives, méthodes et pratiques d</w:t>
      </w:r>
      <w:r w:rsidR="00D26A9F">
        <w:rPr>
          <w:rFonts w:eastAsia="Times New Roman"/>
          <w:lang w:val="fr-FR" w:eastAsia="es-ES"/>
        </w:rPr>
        <w:t>’</w:t>
      </w:r>
      <w:r w:rsidRPr="002A219D">
        <w:rPr>
          <w:rFonts w:eastAsia="Times New Roman"/>
          <w:lang w:val="fr-FR" w:eastAsia="es-ES"/>
        </w:rPr>
        <w:t>interrogatoire ainsi que sur les dispositions concernant la garde et le traitement des personnes arrêtées, détenues ou emprisonnées de quelque façon que ce soit sur toute partie du territoire placé sous la juridiction de l</w:t>
      </w:r>
      <w:r w:rsidR="00D26A9F">
        <w:rPr>
          <w:rFonts w:eastAsia="Times New Roman"/>
          <w:lang w:val="fr-FR" w:eastAsia="es-ES"/>
        </w:rPr>
        <w:t>’</w:t>
      </w:r>
      <w:r w:rsidRPr="002A219D">
        <w:rPr>
          <w:rFonts w:eastAsia="Times New Roman"/>
          <w:lang w:val="fr-FR" w:eastAsia="es-ES"/>
        </w:rPr>
        <w:t>État partie, adoptées depuis l</w:t>
      </w:r>
      <w:r w:rsidR="00D26A9F">
        <w:rPr>
          <w:rFonts w:eastAsia="Times New Roman"/>
          <w:lang w:val="fr-FR" w:eastAsia="es-ES"/>
        </w:rPr>
        <w:t>’</w:t>
      </w:r>
      <w:r w:rsidRPr="002A219D">
        <w:rPr>
          <w:rFonts w:eastAsia="Times New Roman"/>
          <w:lang w:val="fr-FR" w:eastAsia="es-ES"/>
        </w:rPr>
        <w:t>examen du précédent rapport périodique. Préciser la fréquence à laquelle ces textes sont révisés.</w:t>
      </w:r>
    </w:p>
    <w:p w:rsidR="00725A71" w:rsidRPr="003D4C4E" w:rsidRDefault="00725A71" w:rsidP="00643D72">
      <w:pPr>
        <w:pStyle w:val="SingleTxtG"/>
        <w:rPr>
          <w:rFonts w:eastAsia="Times New Roman"/>
          <w:lang w:val="fr-FR" w:eastAsia="es-ES"/>
        </w:rPr>
      </w:pPr>
      <w:r w:rsidRPr="002A219D">
        <w:rPr>
          <w:rFonts w:eastAsia="Times New Roman"/>
          <w:lang w:val="fr-FR" w:eastAsia="es-ES"/>
        </w:rPr>
        <w:t>17.</w:t>
      </w:r>
      <w:r w:rsidRPr="002A219D">
        <w:rPr>
          <w:rFonts w:eastAsia="Times New Roman"/>
          <w:lang w:val="fr-FR" w:eastAsia="es-ES"/>
        </w:rPr>
        <w:tab/>
        <w:t>S</w:t>
      </w:r>
      <w:r w:rsidR="00D26A9F">
        <w:rPr>
          <w:rFonts w:eastAsia="Times New Roman"/>
          <w:lang w:val="fr-FR" w:eastAsia="es-ES"/>
        </w:rPr>
        <w:t>’</w:t>
      </w:r>
      <w:r w:rsidRPr="002A219D">
        <w:rPr>
          <w:rFonts w:eastAsia="Times New Roman"/>
          <w:lang w:val="fr-FR" w:eastAsia="es-ES"/>
        </w:rPr>
        <w:t>agissant des précédentes observations finales (par. 17), fournir des données statistiques à jour, ventilées par sexe, groupe d</w:t>
      </w:r>
      <w:r w:rsidR="00D26A9F">
        <w:rPr>
          <w:rFonts w:eastAsia="Times New Roman"/>
          <w:lang w:val="fr-FR" w:eastAsia="es-ES"/>
        </w:rPr>
        <w:t>’</w:t>
      </w:r>
      <w:r w:rsidRPr="002A219D">
        <w:rPr>
          <w:rFonts w:eastAsia="Times New Roman"/>
          <w:lang w:val="fr-FR" w:eastAsia="es-ES"/>
        </w:rPr>
        <w:t>âge, origine ethnique ou nationalité, sur le nombre de personnes en détention provisoire et de personnes condamnées et sur le taux d</w:t>
      </w:r>
      <w:r w:rsidR="00D26A9F">
        <w:rPr>
          <w:rFonts w:eastAsia="Times New Roman"/>
          <w:lang w:val="fr-FR" w:eastAsia="es-ES"/>
        </w:rPr>
        <w:t>’</w:t>
      </w:r>
      <w:r w:rsidRPr="002A219D">
        <w:rPr>
          <w:rFonts w:eastAsia="Times New Roman"/>
          <w:lang w:val="fr-FR" w:eastAsia="es-ES"/>
        </w:rPr>
        <w:t>occupation de tous les lieux de détention. Compte tenu des renseignements fournis par l</w:t>
      </w:r>
      <w:r w:rsidR="00D26A9F">
        <w:rPr>
          <w:rFonts w:eastAsia="Times New Roman"/>
          <w:lang w:val="fr-FR" w:eastAsia="es-ES"/>
        </w:rPr>
        <w:t>’</w:t>
      </w:r>
      <w:r w:rsidRPr="002A219D">
        <w:rPr>
          <w:rFonts w:eastAsia="Times New Roman"/>
          <w:lang w:val="fr-FR" w:eastAsia="es-ES"/>
        </w:rPr>
        <w:t>État partie dans ses réponses aux observations finales</w:t>
      </w:r>
      <w:r w:rsidRPr="003D4C4E">
        <w:rPr>
          <w:rStyle w:val="Appelnotedebasdep"/>
        </w:rPr>
        <w:footnoteReference w:id="10"/>
      </w:r>
      <w:r w:rsidRPr="002A219D">
        <w:rPr>
          <w:rFonts w:eastAsia="Times New Roman"/>
          <w:lang w:val="fr-FR" w:eastAsia="es-ES"/>
        </w:rPr>
        <w:t>, évaluer l</w:t>
      </w:r>
      <w:r w:rsidR="00D26A9F">
        <w:rPr>
          <w:rFonts w:eastAsia="Times New Roman"/>
          <w:lang w:val="fr-FR" w:eastAsia="es-ES"/>
        </w:rPr>
        <w:t>’</w:t>
      </w:r>
      <w:r w:rsidRPr="002A219D">
        <w:rPr>
          <w:rFonts w:eastAsia="Times New Roman"/>
          <w:lang w:val="fr-FR" w:eastAsia="es-ES"/>
        </w:rPr>
        <w:t>efficacité des mesures prises pour remédier à la surpopulation carcérale et améliorer les conditions de détention dans les établissements pénitentiaires et les centres de détention provisoire</w:t>
      </w:r>
      <w:r w:rsidRPr="003D4C4E">
        <w:rPr>
          <w:rStyle w:val="Appelnotedebasdep"/>
        </w:rPr>
        <w:footnoteReference w:id="11"/>
      </w:r>
      <w:r w:rsidR="002A2DA2">
        <w:rPr>
          <w:rFonts w:eastAsia="Times New Roman"/>
          <w:lang w:eastAsia="es-ES"/>
        </w:rPr>
        <w:t>.</w:t>
      </w:r>
      <w:r w:rsidRPr="002A219D">
        <w:rPr>
          <w:rFonts w:eastAsia="Times New Roman"/>
          <w:lang w:val="fr-FR" w:eastAsia="es-ES"/>
        </w:rPr>
        <w:t xml:space="preserve"> Indiquer aussi les mesures prises pour améliorer les infrastructures des établissements pénitentiaires et autres lieux de détention, notamment pour faciliter l</w:t>
      </w:r>
      <w:r w:rsidR="00D26A9F">
        <w:rPr>
          <w:rFonts w:eastAsia="Times New Roman"/>
          <w:lang w:val="fr-FR" w:eastAsia="es-ES"/>
        </w:rPr>
        <w:t>’</w:t>
      </w:r>
      <w:r w:rsidRPr="002A219D">
        <w:rPr>
          <w:rFonts w:eastAsia="Times New Roman"/>
          <w:lang w:val="fr-FR" w:eastAsia="es-ES"/>
        </w:rPr>
        <w:t>accès à l</w:t>
      </w:r>
      <w:r w:rsidR="00D26A9F">
        <w:rPr>
          <w:rFonts w:eastAsia="Times New Roman"/>
          <w:lang w:val="fr-FR" w:eastAsia="es-ES"/>
        </w:rPr>
        <w:t>’</w:t>
      </w:r>
      <w:r w:rsidRPr="002A219D">
        <w:rPr>
          <w:rFonts w:eastAsia="Times New Roman"/>
          <w:lang w:val="fr-FR" w:eastAsia="es-ES"/>
        </w:rPr>
        <w:t>eau potable et aux réseaux d</w:t>
      </w:r>
      <w:r w:rsidR="00D26A9F">
        <w:rPr>
          <w:rFonts w:eastAsia="Times New Roman"/>
          <w:lang w:val="fr-FR" w:eastAsia="es-ES"/>
        </w:rPr>
        <w:t>’</w:t>
      </w:r>
      <w:r w:rsidRPr="002A219D">
        <w:rPr>
          <w:rFonts w:eastAsia="Times New Roman"/>
          <w:lang w:val="fr-FR" w:eastAsia="es-ES"/>
        </w:rPr>
        <w:t>assainissement. Commenter les informations communiquées par le Bureau du Défenseur du peuple selon lesquelles les services de santé offerts aux détenus présentent de graves lacunes. Indiquer les mesures concrètes qui ont été prises</w:t>
      </w:r>
      <w:r w:rsidR="00BF54FD">
        <w:rPr>
          <w:rFonts w:eastAsia="Times New Roman"/>
          <w:lang w:val="fr-FR" w:eastAsia="es-ES"/>
        </w:rPr>
        <w:t xml:space="preserve"> </w:t>
      </w:r>
      <w:r>
        <w:rPr>
          <w:rFonts w:eastAsia="Times New Roman"/>
          <w:lang w:val="fr-FR" w:eastAsia="es-ES"/>
        </w:rPr>
        <w:t>afin</w:t>
      </w:r>
      <w:r w:rsidRPr="002A219D">
        <w:rPr>
          <w:rFonts w:eastAsia="Times New Roman"/>
          <w:lang w:val="fr-FR" w:eastAsia="es-ES"/>
        </w:rPr>
        <w:t xml:space="preserve"> </w:t>
      </w:r>
      <w:r>
        <w:rPr>
          <w:rFonts w:eastAsia="Times New Roman"/>
          <w:lang w:val="fr-FR" w:eastAsia="es-ES"/>
        </w:rPr>
        <w:t>d</w:t>
      </w:r>
      <w:r w:rsidR="00D26A9F">
        <w:rPr>
          <w:rFonts w:eastAsia="Times New Roman"/>
          <w:lang w:val="fr-FR" w:eastAsia="es-ES"/>
        </w:rPr>
        <w:t>’</w:t>
      </w:r>
      <w:r w:rsidRPr="002A219D">
        <w:rPr>
          <w:rFonts w:eastAsia="Times New Roman"/>
          <w:lang w:val="fr-FR" w:eastAsia="es-ES"/>
        </w:rPr>
        <w:t>allouer aux centres pénitentiaires les ressources dont ils ont besoin pour fournir des services médicaux et des soins de santé adéquats, y compris des soins psychiatriques, en particulier depuis que le Ministre de la justice a déclaré l</w:t>
      </w:r>
      <w:r w:rsidR="00D26A9F">
        <w:rPr>
          <w:rFonts w:eastAsia="Times New Roman"/>
          <w:lang w:val="fr-FR" w:eastAsia="es-ES"/>
        </w:rPr>
        <w:t>’</w:t>
      </w:r>
      <w:r w:rsidRPr="002A219D">
        <w:rPr>
          <w:rFonts w:eastAsia="Times New Roman"/>
          <w:lang w:val="fr-FR" w:eastAsia="es-ES"/>
        </w:rPr>
        <w:t>état d</w:t>
      </w:r>
      <w:r w:rsidR="00D26A9F">
        <w:rPr>
          <w:rFonts w:eastAsia="Times New Roman"/>
          <w:lang w:val="fr-FR" w:eastAsia="es-ES"/>
        </w:rPr>
        <w:t>’</w:t>
      </w:r>
      <w:r w:rsidRPr="002A219D">
        <w:rPr>
          <w:rFonts w:eastAsia="Times New Roman"/>
          <w:lang w:val="fr-FR" w:eastAsia="es-ES"/>
        </w:rPr>
        <w:t>urgence dans les prisons, le 6 mai 2016</w:t>
      </w:r>
      <w:r w:rsidRPr="003D4C4E">
        <w:rPr>
          <w:rStyle w:val="Appelnotedebasdep"/>
        </w:rPr>
        <w:footnoteReference w:id="12"/>
      </w:r>
      <w:r w:rsidR="001C4817">
        <w:rPr>
          <w:rFonts w:eastAsia="Times New Roman"/>
          <w:lang w:val="fr-FR" w:eastAsia="es-ES"/>
        </w:rPr>
        <w:t>.</w:t>
      </w:r>
      <w:r w:rsidRPr="002A219D">
        <w:rPr>
          <w:rFonts w:eastAsia="Times New Roman"/>
          <w:lang w:val="fr-FR" w:eastAsia="es-ES"/>
        </w:rPr>
        <w:t xml:space="preserve"> Enfin, indiquer les mesures adoptées pour que les personnes placées en détention provisoire soient détenues séparément des personnes condamnées.</w:t>
      </w:r>
    </w:p>
    <w:p w:rsidR="00725A71" w:rsidRPr="003D4C4E" w:rsidRDefault="00725A71" w:rsidP="00643D72">
      <w:pPr>
        <w:pStyle w:val="SingleTxtG"/>
        <w:rPr>
          <w:rFonts w:eastAsia="Times New Roman"/>
          <w:lang w:val="fr-FR" w:eastAsia="es-ES"/>
        </w:rPr>
      </w:pPr>
      <w:r w:rsidRPr="002A219D">
        <w:rPr>
          <w:rFonts w:eastAsia="Times New Roman"/>
          <w:lang w:val="fr-FR" w:eastAsia="es-ES"/>
        </w:rPr>
        <w:t>18.</w:t>
      </w:r>
      <w:r w:rsidRPr="002A219D">
        <w:rPr>
          <w:rFonts w:eastAsia="Times New Roman"/>
          <w:lang w:val="fr-FR" w:eastAsia="es-ES"/>
        </w:rPr>
        <w:tab/>
        <w:t>Eu égard aux précédentes observations finales du Comité (par. 20), indiquer les mesures prises pour assurer le suivi des recommandations formulées par le Bureau du Défenseur du peuple dans le cadre de ses activités d</w:t>
      </w:r>
      <w:r w:rsidR="00D26A9F">
        <w:rPr>
          <w:rFonts w:eastAsia="Times New Roman"/>
          <w:lang w:val="fr-FR" w:eastAsia="es-ES"/>
        </w:rPr>
        <w:t>’</w:t>
      </w:r>
      <w:r w:rsidRPr="002A219D">
        <w:rPr>
          <w:rFonts w:eastAsia="Times New Roman"/>
          <w:lang w:val="fr-FR" w:eastAsia="es-ES"/>
        </w:rPr>
        <w:t>inspection des établissements pénitentiaires. Donner aussi des informations sur les mesures concrètes prises par l</w:t>
      </w:r>
      <w:r w:rsidR="00D26A9F">
        <w:rPr>
          <w:rFonts w:eastAsia="Times New Roman"/>
          <w:lang w:val="fr-FR" w:eastAsia="es-ES"/>
        </w:rPr>
        <w:t>’</w:t>
      </w:r>
      <w:r w:rsidRPr="002A219D">
        <w:rPr>
          <w:rFonts w:eastAsia="Times New Roman"/>
          <w:lang w:val="fr-FR" w:eastAsia="es-ES"/>
        </w:rPr>
        <w:t>État partie au sujet du rapport que les Services du Contrôleur général de la République ont remis en janvier 2017 à la Cour constitutionnelle, en applicatio</w:t>
      </w:r>
      <w:r w:rsidR="00301135">
        <w:rPr>
          <w:rFonts w:eastAsia="Times New Roman"/>
          <w:lang w:val="fr-FR" w:eastAsia="es-ES"/>
        </w:rPr>
        <w:t>n des arrêts T-388 de 2013 et T</w:t>
      </w:r>
      <w:r w:rsidR="00301135">
        <w:rPr>
          <w:rFonts w:eastAsia="Times New Roman"/>
          <w:lang w:val="fr-FR" w:eastAsia="es-ES"/>
        </w:rPr>
        <w:noBreakHyphen/>
      </w:r>
      <w:r w:rsidRPr="002A219D">
        <w:rPr>
          <w:rFonts w:eastAsia="Times New Roman"/>
          <w:lang w:val="fr-FR" w:eastAsia="es-ES"/>
        </w:rPr>
        <w:t>765 de 2015.</w:t>
      </w:r>
    </w:p>
    <w:p w:rsidR="00725A71" w:rsidRPr="003D4C4E" w:rsidRDefault="00725A71" w:rsidP="00643D72">
      <w:pPr>
        <w:pStyle w:val="SingleTxtG"/>
        <w:rPr>
          <w:rFonts w:eastAsia="Times New Roman"/>
          <w:lang w:val="fr-FR" w:eastAsia="es-ES"/>
        </w:rPr>
      </w:pPr>
      <w:r w:rsidRPr="002A219D">
        <w:rPr>
          <w:rFonts w:eastAsia="Times New Roman"/>
          <w:lang w:val="fr-FR" w:eastAsia="es-ES"/>
        </w:rPr>
        <w:t>19.</w:t>
      </w:r>
      <w:r w:rsidRPr="002A219D">
        <w:rPr>
          <w:rFonts w:eastAsia="Times New Roman"/>
          <w:lang w:val="fr-FR" w:eastAsia="es-ES"/>
        </w:rPr>
        <w:tab/>
        <w:t>À la lumière des précédentes observations finales (par. 18), donner des informations sur les mesures prises pour veiller à ce que la mise à l</w:t>
      </w:r>
      <w:r w:rsidR="00D26A9F">
        <w:rPr>
          <w:rFonts w:eastAsia="Times New Roman"/>
          <w:lang w:val="fr-FR" w:eastAsia="es-ES"/>
        </w:rPr>
        <w:t>’</w:t>
      </w:r>
      <w:r w:rsidRPr="002A219D">
        <w:rPr>
          <w:rFonts w:eastAsia="Times New Roman"/>
          <w:lang w:val="fr-FR" w:eastAsia="es-ES"/>
        </w:rPr>
        <w:t>isolement soit conforme à l</w:t>
      </w:r>
      <w:r w:rsidR="00D26A9F">
        <w:rPr>
          <w:rFonts w:eastAsia="Times New Roman"/>
          <w:lang w:val="fr-FR" w:eastAsia="es-ES"/>
        </w:rPr>
        <w:t>’</w:t>
      </w:r>
      <w:r w:rsidRPr="002A219D">
        <w:rPr>
          <w:rFonts w:eastAsia="Times New Roman"/>
          <w:lang w:val="fr-FR" w:eastAsia="es-ES"/>
        </w:rPr>
        <w:t xml:space="preserve">Ensemble de règles minima des Nations Unies pour le traitement des détenus (Règles Nelson Mandela). </w:t>
      </w:r>
    </w:p>
    <w:p w:rsidR="00725A71" w:rsidRPr="003D4C4E" w:rsidRDefault="00725A71" w:rsidP="00643D72">
      <w:pPr>
        <w:pStyle w:val="SingleTxtG"/>
        <w:rPr>
          <w:rFonts w:eastAsia="Times New Roman"/>
          <w:lang w:val="fr-FR" w:eastAsia="es-ES"/>
        </w:rPr>
      </w:pPr>
      <w:r w:rsidRPr="002A219D">
        <w:rPr>
          <w:rFonts w:eastAsia="Times New Roman"/>
          <w:lang w:val="fr-FR" w:eastAsia="es-ES"/>
        </w:rPr>
        <w:t>20.</w:t>
      </w:r>
      <w:r w:rsidRPr="002A219D">
        <w:rPr>
          <w:rFonts w:eastAsia="Times New Roman"/>
          <w:lang w:val="fr-FR" w:eastAsia="es-ES"/>
        </w:rPr>
        <w:tab/>
        <w:t xml:space="preserve">Donner des informations sur la fréquence des violences entre détenus, en particulier sur les cas dans lesquels le personnel pénitentiaire aurait pu être négligent, et indiquer le nombre de plaintes présentées pour de tels faits. </w:t>
      </w:r>
      <w:r>
        <w:rPr>
          <w:rFonts w:eastAsia="Times New Roman"/>
          <w:lang w:val="fr-FR" w:eastAsia="es-ES"/>
        </w:rPr>
        <w:t xml:space="preserve">Préciser </w:t>
      </w:r>
      <w:r w:rsidRPr="002A219D">
        <w:rPr>
          <w:rFonts w:eastAsia="Times New Roman"/>
          <w:lang w:val="fr-FR" w:eastAsia="es-ES"/>
        </w:rPr>
        <w:t>quelles mesures préventives ont été prises. Commenter les informations faisant état du recours à la médication forcée comme mesure coercitive à l</w:t>
      </w:r>
      <w:r w:rsidR="00D26A9F">
        <w:rPr>
          <w:rFonts w:eastAsia="Times New Roman"/>
          <w:lang w:val="fr-FR" w:eastAsia="es-ES"/>
        </w:rPr>
        <w:t>’</w:t>
      </w:r>
      <w:r w:rsidRPr="002A219D">
        <w:rPr>
          <w:rFonts w:eastAsia="Times New Roman"/>
          <w:lang w:val="fr-FR" w:eastAsia="es-ES"/>
        </w:rPr>
        <w:t>égard de mineurs placés</w:t>
      </w:r>
      <w:r w:rsidR="00AB0052">
        <w:rPr>
          <w:rFonts w:eastAsia="Times New Roman"/>
          <w:lang w:val="fr-FR" w:eastAsia="es-ES"/>
        </w:rPr>
        <w:t xml:space="preserve"> dans des centres de détention.</w:t>
      </w:r>
    </w:p>
    <w:p w:rsidR="00725A71" w:rsidRPr="003D4C4E" w:rsidRDefault="00725A71" w:rsidP="00643D72">
      <w:pPr>
        <w:pStyle w:val="SingleTxtG"/>
        <w:rPr>
          <w:rFonts w:eastAsia="Times New Roman"/>
          <w:lang w:val="fr-FR" w:eastAsia="es-ES"/>
        </w:rPr>
      </w:pPr>
      <w:r w:rsidRPr="002A219D">
        <w:rPr>
          <w:rFonts w:eastAsia="Times New Roman"/>
          <w:lang w:val="fr-FR" w:eastAsia="es-ES"/>
        </w:rPr>
        <w:t>21.</w:t>
      </w:r>
      <w:r w:rsidRPr="002A219D">
        <w:rPr>
          <w:rFonts w:eastAsia="Times New Roman"/>
          <w:lang w:val="fr-FR" w:eastAsia="es-ES"/>
        </w:rPr>
        <w:tab/>
        <w:t>Compte tenu des précédentes observations finales (par. 19), fournir des données statistiques sur le nombre de décès de détenus survenus pendant la période à l</w:t>
      </w:r>
      <w:r w:rsidR="00D26A9F">
        <w:rPr>
          <w:rFonts w:eastAsia="Times New Roman"/>
          <w:lang w:val="fr-FR" w:eastAsia="es-ES"/>
        </w:rPr>
        <w:t>’</w:t>
      </w:r>
      <w:r w:rsidRPr="002A219D">
        <w:rPr>
          <w:rFonts w:eastAsia="Times New Roman"/>
          <w:lang w:val="fr-FR" w:eastAsia="es-ES"/>
        </w:rPr>
        <w:t xml:space="preserve">examen, ventilées par lieu de détention, sexe, âge et origine ethnique ou nationalité du défunt et cause du décès. Donner des renseignements détaillés sur les résultats des enquêtes menées au sujet de ces décès, ainsi que sur les mesures prises pour éviter que de tels cas se </w:t>
      </w:r>
      <w:r w:rsidRPr="002A219D">
        <w:rPr>
          <w:rFonts w:eastAsia="Times New Roman"/>
          <w:lang w:val="fr-FR" w:eastAsia="es-ES"/>
        </w:rPr>
        <w:lastRenderedPageBreak/>
        <w:t xml:space="preserve">reproduisent. En particulier, indiquer le résultat des enquêtes ouvertes suite au décès des personnes suivantes : a) Pedro Luis </w:t>
      </w:r>
      <w:proofErr w:type="spellStart"/>
      <w:r w:rsidRPr="002A219D">
        <w:rPr>
          <w:rFonts w:eastAsia="Times New Roman"/>
          <w:lang w:val="fr-FR" w:eastAsia="es-ES"/>
        </w:rPr>
        <w:t>Lozano</w:t>
      </w:r>
      <w:proofErr w:type="spellEnd"/>
      <w:r w:rsidRPr="002A219D">
        <w:rPr>
          <w:rFonts w:eastAsia="Times New Roman"/>
          <w:lang w:val="fr-FR" w:eastAsia="es-ES"/>
        </w:rPr>
        <w:t>, dans l</w:t>
      </w:r>
      <w:r w:rsidR="00D26A9F">
        <w:rPr>
          <w:rFonts w:eastAsia="Times New Roman"/>
          <w:lang w:val="fr-FR" w:eastAsia="es-ES"/>
        </w:rPr>
        <w:t>’</w:t>
      </w:r>
      <w:r>
        <w:rPr>
          <w:rFonts w:eastAsia="Times New Roman"/>
          <w:lang w:val="fr-FR" w:eastAsia="es-ES"/>
        </w:rPr>
        <w:t>u</w:t>
      </w:r>
      <w:r w:rsidRPr="002A219D">
        <w:rPr>
          <w:rFonts w:eastAsia="Times New Roman"/>
          <w:lang w:val="fr-FR" w:eastAsia="es-ES"/>
        </w:rPr>
        <w:t xml:space="preserve">nité de traitement spécial de la prison de </w:t>
      </w:r>
      <w:proofErr w:type="spellStart"/>
      <w:r w:rsidRPr="002A219D">
        <w:rPr>
          <w:rFonts w:eastAsia="Times New Roman"/>
          <w:lang w:val="fr-FR" w:eastAsia="es-ES"/>
        </w:rPr>
        <w:t>Palogordo</w:t>
      </w:r>
      <w:proofErr w:type="spellEnd"/>
      <w:r w:rsidRPr="002A219D">
        <w:rPr>
          <w:rFonts w:eastAsia="Times New Roman"/>
          <w:lang w:val="fr-FR" w:eastAsia="es-ES"/>
        </w:rPr>
        <w:t xml:space="preserve"> le 21 août 2015 ; et b) Adriana Paola </w:t>
      </w:r>
      <w:proofErr w:type="spellStart"/>
      <w:r w:rsidRPr="002A219D">
        <w:rPr>
          <w:rFonts w:eastAsia="Times New Roman"/>
          <w:lang w:val="fr-FR" w:eastAsia="es-ES"/>
        </w:rPr>
        <w:t>Bernal</w:t>
      </w:r>
      <w:proofErr w:type="spellEnd"/>
      <w:r w:rsidRPr="002A219D">
        <w:rPr>
          <w:rFonts w:eastAsia="Times New Roman"/>
          <w:lang w:val="fr-FR" w:eastAsia="es-ES"/>
        </w:rPr>
        <w:t>, dans l</w:t>
      </w:r>
      <w:r w:rsidR="00D26A9F">
        <w:rPr>
          <w:rFonts w:eastAsia="Times New Roman"/>
          <w:lang w:val="fr-FR" w:eastAsia="es-ES"/>
        </w:rPr>
        <w:t>’</w:t>
      </w:r>
      <w:r>
        <w:rPr>
          <w:rFonts w:eastAsia="Times New Roman"/>
          <w:lang w:val="fr-FR" w:eastAsia="es-ES"/>
        </w:rPr>
        <w:t>u</w:t>
      </w:r>
      <w:r w:rsidRPr="002A219D">
        <w:rPr>
          <w:rFonts w:eastAsia="Times New Roman"/>
          <w:lang w:val="fr-FR" w:eastAsia="es-ES"/>
        </w:rPr>
        <w:t xml:space="preserve">nité de traitement spécial de la prison de </w:t>
      </w:r>
      <w:proofErr w:type="spellStart"/>
      <w:r w:rsidRPr="002A219D">
        <w:rPr>
          <w:rFonts w:eastAsia="Times New Roman"/>
          <w:lang w:val="fr-FR" w:eastAsia="es-ES"/>
        </w:rPr>
        <w:t>Jamundí</w:t>
      </w:r>
      <w:proofErr w:type="spellEnd"/>
      <w:r w:rsidRPr="002A219D">
        <w:rPr>
          <w:rFonts w:eastAsia="Times New Roman"/>
          <w:lang w:val="fr-FR" w:eastAsia="es-ES"/>
        </w:rPr>
        <w:t xml:space="preserve">, dans le département de Valle </w:t>
      </w:r>
      <w:proofErr w:type="spellStart"/>
      <w:r w:rsidRPr="002A219D">
        <w:rPr>
          <w:rFonts w:eastAsia="Times New Roman"/>
          <w:lang w:val="fr-FR" w:eastAsia="es-ES"/>
        </w:rPr>
        <w:t>del</w:t>
      </w:r>
      <w:proofErr w:type="spellEnd"/>
      <w:r w:rsidRPr="002A219D">
        <w:rPr>
          <w:rFonts w:eastAsia="Times New Roman"/>
          <w:lang w:val="fr-FR" w:eastAsia="es-ES"/>
        </w:rPr>
        <w:t xml:space="preserve"> Cauca. Préciser si les proches de détenus décédés ont été indemnisés.</w:t>
      </w:r>
    </w:p>
    <w:p w:rsidR="00725A71" w:rsidRPr="003D4C4E" w:rsidRDefault="00725A71" w:rsidP="00643D72">
      <w:pPr>
        <w:pStyle w:val="SingleTxtG"/>
        <w:rPr>
          <w:rFonts w:eastAsia="Times New Roman"/>
          <w:lang w:val="fr-FR" w:eastAsia="es-ES"/>
        </w:rPr>
      </w:pPr>
      <w:r w:rsidRPr="002A219D">
        <w:rPr>
          <w:rFonts w:eastAsia="Times New Roman"/>
          <w:lang w:val="fr-FR" w:eastAsia="es-ES"/>
        </w:rPr>
        <w:t>22.</w:t>
      </w:r>
      <w:r w:rsidRPr="002A219D">
        <w:rPr>
          <w:rFonts w:eastAsia="Times New Roman"/>
          <w:lang w:val="fr-FR" w:eastAsia="es-ES"/>
        </w:rPr>
        <w:tab/>
        <w:t>Donner des informations sur les garanties, tant au niveau de la procédure que du fond, qui s</w:t>
      </w:r>
      <w:r w:rsidR="00D26A9F">
        <w:rPr>
          <w:rFonts w:eastAsia="Times New Roman"/>
          <w:lang w:val="fr-FR" w:eastAsia="es-ES"/>
        </w:rPr>
        <w:t>’</w:t>
      </w:r>
      <w:r w:rsidRPr="002A219D">
        <w:rPr>
          <w:rFonts w:eastAsia="Times New Roman"/>
          <w:lang w:val="fr-FR" w:eastAsia="es-ES"/>
        </w:rPr>
        <w:t>appliquent en cas d</w:t>
      </w:r>
      <w:r w:rsidR="00D26A9F">
        <w:rPr>
          <w:rFonts w:eastAsia="Times New Roman"/>
          <w:lang w:val="fr-FR" w:eastAsia="es-ES"/>
        </w:rPr>
        <w:t>’</w:t>
      </w:r>
      <w:r w:rsidRPr="002A219D">
        <w:rPr>
          <w:rFonts w:eastAsia="Times New Roman"/>
          <w:lang w:val="fr-FR" w:eastAsia="es-ES"/>
        </w:rPr>
        <w:t>internement, sans leur consentement, de personnes souffrant d</w:t>
      </w:r>
      <w:r w:rsidR="00D26A9F">
        <w:rPr>
          <w:rFonts w:eastAsia="Times New Roman"/>
          <w:lang w:val="fr-FR" w:eastAsia="es-ES"/>
        </w:rPr>
        <w:t>’</w:t>
      </w:r>
      <w:r w:rsidRPr="002A219D">
        <w:rPr>
          <w:rFonts w:eastAsia="Times New Roman"/>
          <w:lang w:val="fr-FR" w:eastAsia="es-ES"/>
        </w:rPr>
        <w:t xml:space="preserve">un handicap </w:t>
      </w:r>
      <w:proofErr w:type="spellStart"/>
      <w:r w:rsidRPr="002A219D">
        <w:rPr>
          <w:rFonts w:eastAsia="Times New Roman"/>
          <w:lang w:val="fr-FR" w:eastAsia="es-ES"/>
        </w:rPr>
        <w:t>psychosocial</w:t>
      </w:r>
      <w:proofErr w:type="spellEnd"/>
      <w:r w:rsidRPr="002A219D">
        <w:rPr>
          <w:rFonts w:eastAsia="Times New Roman"/>
          <w:lang w:val="fr-FR" w:eastAsia="es-ES"/>
        </w:rPr>
        <w:t>. Indiquer quelle est la situation en ce qui concerne les autres formes de traitement, comme les services de réadaptation hors institution et autres programmes de traitement ambulatoire et combien de personnes bénéficient actuellement d</w:t>
      </w:r>
      <w:r w:rsidR="00DD256E">
        <w:rPr>
          <w:rFonts w:eastAsia="Times New Roman"/>
          <w:lang w:val="fr-FR" w:eastAsia="es-ES"/>
        </w:rPr>
        <w:t>e ces types de traitement</w:t>
      </w:r>
      <w:r w:rsidRPr="002A219D">
        <w:rPr>
          <w:rFonts w:eastAsia="Times New Roman"/>
          <w:lang w:val="fr-FR" w:eastAsia="es-ES"/>
        </w:rPr>
        <w:t>.</w:t>
      </w:r>
    </w:p>
    <w:p w:rsidR="00725A71" w:rsidRPr="003D4C4E" w:rsidRDefault="00725A71" w:rsidP="00643D72">
      <w:pPr>
        <w:pStyle w:val="H23G"/>
        <w:rPr>
          <w:rFonts w:eastAsia="Times New Roman"/>
          <w:lang w:val="fr-FR" w:eastAsia="es-ES"/>
        </w:rPr>
      </w:pPr>
      <w:r w:rsidRPr="002A219D">
        <w:rPr>
          <w:rFonts w:eastAsia="Times New Roman"/>
          <w:lang w:val="fr-FR" w:eastAsia="es-ES"/>
        </w:rPr>
        <w:tab/>
      </w:r>
      <w:r w:rsidRPr="002A219D">
        <w:rPr>
          <w:rFonts w:eastAsia="Times New Roman"/>
          <w:lang w:val="fr-FR" w:eastAsia="es-ES"/>
        </w:rPr>
        <w:tab/>
      </w:r>
      <w:r w:rsidRPr="002A219D">
        <w:rPr>
          <w:rFonts w:eastAsia="Times New Roman"/>
          <w:bCs/>
          <w:lang w:val="fr-FR" w:eastAsia="es-ES"/>
        </w:rPr>
        <w:t>Articles 12 et 13</w:t>
      </w:r>
    </w:p>
    <w:p w:rsidR="00725A71" w:rsidRPr="003D4C4E" w:rsidRDefault="00725A71" w:rsidP="00643D72">
      <w:pPr>
        <w:pStyle w:val="SingleTxtG"/>
        <w:rPr>
          <w:rFonts w:eastAsia="Times New Roman"/>
          <w:lang w:val="fr-FR" w:eastAsia="es-ES"/>
        </w:rPr>
      </w:pPr>
      <w:r w:rsidRPr="002A219D">
        <w:rPr>
          <w:rFonts w:eastAsia="Times New Roman"/>
          <w:lang w:val="fr-FR" w:eastAsia="es-ES"/>
        </w:rPr>
        <w:t>23.</w:t>
      </w:r>
      <w:r w:rsidRPr="002A219D">
        <w:rPr>
          <w:rFonts w:eastAsia="Times New Roman"/>
          <w:lang w:val="fr-FR" w:eastAsia="es-ES"/>
        </w:rPr>
        <w:tab/>
        <w:t>À la lumière des précédentes observations finales (par. 21), fournir des données ventilées par sexe, âge, origine ethnique ou nationalité et lieu de détention sur le nombre de plaintes pour actes de torture ou mauvais traitements enregistrées au cours de la période considérée</w:t>
      </w:r>
      <w:r w:rsidRPr="003D4C4E">
        <w:rPr>
          <w:rStyle w:val="Appelnotedebasdep"/>
        </w:rPr>
        <w:footnoteReference w:id="13"/>
      </w:r>
      <w:r w:rsidR="00301135">
        <w:rPr>
          <w:rFonts w:eastAsia="Times New Roman"/>
          <w:lang w:val="fr-FR" w:eastAsia="es-ES"/>
        </w:rPr>
        <w:t>.</w:t>
      </w:r>
      <w:r w:rsidRPr="002A219D">
        <w:rPr>
          <w:rFonts w:eastAsia="Times New Roman"/>
          <w:lang w:val="fr-FR" w:eastAsia="es-ES"/>
        </w:rPr>
        <w:t xml:space="preserve"> Indiquer combien d</w:t>
      </w:r>
      <w:r w:rsidR="00D26A9F">
        <w:rPr>
          <w:rFonts w:eastAsia="Times New Roman"/>
          <w:lang w:val="fr-FR" w:eastAsia="es-ES"/>
        </w:rPr>
        <w:t>’</w:t>
      </w:r>
      <w:r w:rsidRPr="002A219D">
        <w:rPr>
          <w:rFonts w:eastAsia="Times New Roman"/>
          <w:lang w:val="fr-FR" w:eastAsia="es-ES"/>
        </w:rPr>
        <w:t>enquêtes ont été ouvertes d</w:t>
      </w:r>
      <w:r w:rsidR="00D26A9F">
        <w:rPr>
          <w:rFonts w:eastAsia="Times New Roman"/>
          <w:lang w:val="fr-FR" w:eastAsia="es-ES"/>
        </w:rPr>
        <w:t>’</w:t>
      </w:r>
      <w:r w:rsidRPr="002A219D">
        <w:rPr>
          <w:rFonts w:eastAsia="Times New Roman"/>
          <w:lang w:val="fr-FR" w:eastAsia="es-ES"/>
        </w:rPr>
        <w:t>office pour allégation d</w:t>
      </w:r>
      <w:r w:rsidR="00D26A9F">
        <w:rPr>
          <w:rFonts w:eastAsia="Times New Roman"/>
          <w:lang w:val="fr-FR" w:eastAsia="es-ES"/>
        </w:rPr>
        <w:t>’</w:t>
      </w:r>
      <w:r w:rsidRPr="002A219D">
        <w:rPr>
          <w:rFonts w:eastAsia="Times New Roman"/>
          <w:lang w:val="fr-FR" w:eastAsia="es-ES"/>
        </w:rPr>
        <w:t>actes de torture ou de mauvais traitements. Donner des précisions sur les procédures judiciaires et disciplinaires engagées, ainsi que sur les condamnations prononcées, les sanctions pénales et les mesures disciplinaires imposées. Donner des exemples d</w:t>
      </w:r>
      <w:r w:rsidR="00D26A9F">
        <w:rPr>
          <w:rFonts w:eastAsia="Times New Roman"/>
          <w:lang w:val="fr-FR" w:eastAsia="es-ES"/>
        </w:rPr>
        <w:t>’</w:t>
      </w:r>
      <w:r w:rsidRPr="002A219D">
        <w:rPr>
          <w:rFonts w:eastAsia="Times New Roman"/>
          <w:lang w:val="fr-FR" w:eastAsia="es-ES"/>
        </w:rPr>
        <w:t xml:space="preserve">affaires ou de décisions judiciaires pertinentes. Indiquer si les </w:t>
      </w:r>
      <w:r>
        <w:rPr>
          <w:rFonts w:eastAsia="Times New Roman"/>
          <w:lang w:val="fr-FR" w:eastAsia="es-ES"/>
        </w:rPr>
        <w:t xml:space="preserve">mécanismes </w:t>
      </w:r>
      <w:r w:rsidR="00301135">
        <w:rPr>
          <w:rFonts w:eastAsia="Times New Roman"/>
          <w:lang w:val="fr-FR" w:eastAsia="es-ES"/>
        </w:rPr>
        <w:t>de plainte</w:t>
      </w:r>
      <w:r>
        <w:rPr>
          <w:rFonts w:eastAsia="Times New Roman"/>
          <w:lang w:val="fr-FR" w:eastAsia="es-ES"/>
        </w:rPr>
        <w:t xml:space="preserve"> auxquels peuvent s</w:t>
      </w:r>
      <w:r w:rsidR="00D26A9F">
        <w:rPr>
          <w:rFonts w:eastAsia="Times New Roman"/>
          <w:lang w:val="fr-FR" w:eastAsia="es-ES"/>
        </w:rPr>
        <w:t>’</w:t>
      </w:r>
      <w:r>
        <w:rPr>
          <w:rFonts w:eastAsia="Times New Roman"/>
          <w:lang w:val="fr-FR" w:eastAsia="es-ES"/>
        </w:rPr>
        <w:t>adresser l</w:t>
      </w:r>
      <w:r w:rsidRPr="002A219D">
        <w:rPr>
          <w:rFonts w:eastAsia="Times New Roman"/>
          <w:lang w:val="fr-FR" w:eastAsia="es-ES"/>
        </w:rPr>
        <w:t>es personnes privées de liberté ont fait l</w:t>
      </w:r>
      <w:r w:rsidR="00D26A9F">
        <w:rPr>
          <w:rFonts w:eastAsia="Times New Roman"/>
          <w:lang w:val="fr-FR" w:eastAsia="es-ES"/>
        </w:rPr>
        <w:t>’</w:t>
      </w:r>
      <w:r w:rsidRPr="002A219D">
        <w:rPr>
          <w:rFonts w:eastAsia="Times New Roman"/>
          <w:lang w:val="fr-FR" w:eastAsia="es-ES"/>
        </w:rPr>
        <w:t>objet d</w:t>
      </w:r>
      <w:r w:rsidR="00D26A9F">
        <w:rPr>
          <w:rFonts w:eastAsia="Times New Roman"/>
          <w:lang w:val="fr-FR" w:eastAsia="es-ES"/>
        </w:rPr>
        <w:t>’</w:t>
      </w:r>
      <w:r w:rsidR="00092EA1">
        <w:rPr>
          <w:rFonts w:eastAsia="Times New Roman"/>
          <w:lang w:val="fr-FR" w:eastAsia="es-ES"/>
        </w:rPr>
        <w:t>une évaluation.</w:t>
      </w:r>
    </w:p>
    <w:p w:rsidR="00725A71" w:rsidRPr="003D4C4E" w:rsidRDefault="00725A71" w:rsidP="00643D72">
      <w:pPr>
        <w:pStyle w:val="SingleTxtG"/>
        <w:rPr>
          <w:rFonts w:eastAsia="Times New Roman"/>
          <w:lang w:val="fr-FR" w:eastAsia="es-ES"/>
        </w:rPr>
      </w:pPr>
      <w:r w:rsidRPr="002A219D">
        <w:rPr>
          <w:rFonts w:eastAsia="Times New Roman"/>
          <w:lang w:val="fr-FR" w:eastAsia="es-ES"/>
        </w:rPr>
        <w:t>24.</w:t>
      </w:r>
      <w:r w:rsidRPr="002A219D">
        <w:rPr>
          <w:rFonts w:eastAsia="Times New Roman"/>
          <w:lang w:val="fr-FR" w:eastAsia="es-ES"/>
        </w:rPr>
        <w:tab/>
        <w:t>Compte tenu des précéde</w:t>
      </w:r>
      <w:r w:rsidR="002A2DA2">
        <w:rPr>
          <w:rFonts w:eastAsia="Times New Roman"/>
          <w:lang w:val="fr-FR" w:eastAsia="es-ES"/>
        </w:rPr>
        <w:t>ntes observations finales (par. </w:t>
      </w:r>
      <w:r w:rsidRPr="002A219D">
        <w:rPr>
          <w:rFonts w:eastAsia="Times New Roman"/>
          <w:lang w:val="fr-FR" w:eastAsia="es-ES"/>
        </w:rPr>
        <w:t>16) et des renseignements communiqués par l</w:t>
      </w:r>
      <w:r w:rsidR="00D26A9F">
        <w:rPr>
          <w:rFonts w:eastAsia="Times New Roman"/>
          <w:lang w:val="fr-FR" w:eastAsia="es-ES"/>
        </w:rPr>
        <w:t>’</w:t>
      </w:r>
      <w:r w:rsidRPr="002A219D">
        <w:rPr>
          <w:rFonts w:eastAsia="Times New Roman"/>
          <w:lang w:val="fr-FR" w:eastAsia="es-ES"/>
        </w:rPr>
        <w:t>État partie dans ses réponses aux observations finales concernant les allégations de recours excessif à la force par des agents des forces de l</w:t>
      </w:r>
      <w:r w:rsidR="00D26A9F">
        <w:rPr>
          <w:rFonts w:eastAsia="Times New Roman"/>
          <w:lang w:val="fr-FR" w:eastAsia="es-ES"/>
        </w:rPr>
        <w:t>’</w:t>
      </w:r>
      <w:r w:rsidRPr="002A219D">
        <w:rPr>
          <w:rFonts w:eastAsia="Times New Roman"/>
          <w:lang w:val="fr-FR" w:eastAsia="es-ES"/>
        </w:rPr>
        <w:t>ordre</w:t>
      </w:r>
      <w:r w:rsidRPr="003D4C4E">
        <w:rPr>
          <w:rStyle w:val="Appelnotedebasdep"/>
        </w:rPr>
        <w:footnoteReference w:id="14"/>
      </w:r>
      <w:r w:rsidRPr="002A219D">
        <w:rPr>
          <w:rFonts w:eastAsia="Times New Roman"/>
          <w:lang w:val="fr-FR" w:eastAsia="es-ES"/>
        </w:rPr>
        <w:t>, fournir des données statistiques actualisées, ventilées par âge, sexe, origine ethnique ou nationalité des victimes, sur le nombre de plaintes déposées, d</w:t>
      </w:r>
      <w:r w:rsidR="00D26A9F">
        <w:rPr>
          <w:rFonts w:eastAsia="Times New Roman"/>
          <w:lang w:val="fr-FR" w:eastAsia="es-ES"/>
        </w:rPr>
        <w:t>’</w:t>
      </w:r>
      <w:r w:rsidRPr="002A219D">
        <w:rPr>
          <w:rFonts w:eastAsia="Times New Roman"/>
          <w:lang w:val="fr-FR" w:eastAsia="es-ES"/>
        </w:rPr>
        <w:t>enquêtes menées, de poursuites engagées, de condamnations prononcées et de peines imposées dans des affaires de brutalités policières et d</w:t>
      </w:r>
      <w:r w:rsidR="00D26A9F">
        <w:rPr>
          <w:rFonts w:eastAsia="Times New Roman"/>
          <w:lang w:val="fr-FR" w:eastAsia="es-ES"/>
        </w:rPr>
        <w:t>’</w:t>
      </w:r>
      <w:r w:rsidRPr="002A219D">
        <w:rPr>
          <w:rFonts w:eastAsia="Times New Roman"/>
          <w:lang w:val="fr-FR" w:eastAsia="es-ES"/>
        </w:rPr>
        <w:t>usage excessif de la force, depuis l</w:t>
      </w:r>
      <w:r w:rsidR="00D26A9F">
        <w:rPr>
          <w:rFonts w:eastAsia="Times New Roman"/>
          <w:lang w:val="fr-FR" w:eastAsia="es-ES"/>
        </w:rPr>
        <w:t>’</w:t>
      </w:r>
      <w:r w:rsidRPr="002A219D">
        <w:rPr>
          <w:rFonts w:eastAsia="Times New Roman"/>
          <w:lang w:val="fr-FR" w:eastAsia="es-ES"/>
        </w:rPr>
        <w:t>examen du rapport périodique précédent. En particulier, donner des renseignements sur le résultat des enquêtes et sur les procédures disciplinaires et/ou pénales engagées concernant le décès des personnes suivantes : a) </w:t>
      </w:r>
      <w:proofErr w:type="spellStart"/>
      <w:r w:rsidRPr="002A219D">
        <w:rPr>
          <w:rFonts w:eastAsia="Times New Roman"/>
          <w:lang w:val="fr-FR" w:eastAsia="es-ES"/>
        </w:rPr>
        <w:t>Sibertón</w:t>
      </w:r>
      <w:proofErr w:type="spellEnd"/>
      <w:r w:rsidRPr="002A219D">
        <w:rPr>
          <w:rFonts w:eastAsia="Times New Roman"/>
          <w:lang w:val="fr-FR" w:eastAsia="es-ES"/>
        </w:rPr>
        <w:t xml:space="preserve"> </w:t>
      </w:r>
      <w:proofErr w:type="spellStart"/>
      <w:r w:rsidRPr="002A219D">
        <w:rPr>
          <w:rFonts w:eastAsia="Times New Roman"/>
          <w:lang w:val="fr-FR" w:eastAsia="es-ES"/>
        </w:rPr>
        <w:t>Paví</w:t>
      </w:r>
      <w:proofErr w:type="spellEnd"/>
      <w:r w:rsidRPr="002A219D">
        <w:rPr>
          <w:rFonts w:eastAsia="Times New Roman"/>
          <w:lang w:val="fr-FR" w:eastAsia="es-ES"/>
        </w:rPr>
        <w:t xml:space="preserve"> Ramos, le 3 avril 2016 ; b) </w:t>
      </w:r>
      <w:proofErr w:type="spellStart"/>
      <w:r w:rsidRPr="002A219D">
        <w:rPr>
          <w:rFonts w:eastAsia="Times New Roman"/>
          <w:lang w:val="fr-FR" w:eastAsia="es-ES"/>
        </w:rPr>
        <w:t>Willington</w:t>
      </w:r>
      <w:proofErr w:type="spellEnd"/>
      <w:r w:rsidRPr="002A219D">
        <w:rPr>
          <w:rFonts w:eastAsia="Times New Roman"/>
          <w:lang w:val="fr-FR" w:eastAsia="es-ES"/>
        </w:rPr>
        <w:t xml:space="preserve"> </w:t>
      </w:r>
      <w:proofErr w:type="spellStart"/>
      <w:r w:rsidRPr="002A219D">
        <w:rPr>
          <w:rFonts w:eastAsia="Times New Roman"/>
          <w:lang w:val="fr-FR" w:eastAsia="es-ES"/>
        </w:rPr>
        <w:t>Quibarecama</w:t>
      </w:r>
      <w:proofErr w:type="spellEnd"/>
      <w:r w:rsidRPr="002A219D">
        <w:rPr>
          <w:rFonts w:eastAsia="Times New Roman"/>
          <w:lang w:val="fr-FR" w:eastAsia="es-ES"/>
        </w:rPr>
        <w:t xml:space="preserve"> </w:t>
      </w:r>
      <w:proofErr w:type="spellStart"/>
      <w:r w:rsidRPr="002A219D">
        <w:rPr>
          <w:rFonts w:eastAsia="Times New Roman"/>
          <w:lang w:val="fr-FR" w:eastAsia="es-ES"/>
        </w:rPr>
        <w:t>Nequirucama</w:t>
      </w:r>
      <w:proofErr w:type="spellEnd"/>
      <w:r w:rsidRPr="002A219D">
        <w:rPr>
          <w:rFonts w:eastAsia="Times New Roman"/>
          <w:lang w:val="fr-FR" w:eastAsia="es-ES"/>
        </w:rPr>
        <w:t>, le 29 mai 2016 ; c) </w:t>
      </w:r>
      <w:proofErr w:type="spellStart"/>
      <w:r w:rsidRPr="002A219D">
        <w:rPr>
          <w:rFonts w:eastAsia="Times New Roman"/>
          <w:lang w:val="fr-FR" w:eastAsia="es-ES"/>
        </w:rPr>
        <w:t>Gersain</w:t>
      </w:r>
      <w:proofErr w:type="spellEnd"/>
      <w:r w:rsidRPr="002A219D">
        <w:rPr>
          <w:rFonts w:eastAsia="Times New Roman"/>
          <w:lang w:val="fr-FR" w:eastAsia="es-ES"/>
        </w:rPr>
        <w:t xml:space="preserve"> </w:t>
      </w:r>
      <w:proofErr w:type="spellStart"/>
      <w:r w:rsidRPr="002A219D">
        <w:rPr>
          <w:rFonts w:eastAsia="Times New Roman"/>
          <w:lang w:val="fr-FR" w:eastAsia="es-ES"/>
        </w:rPr>
        <w:t>Cerón</w:t>
      </w:r>
      <w:proofErr w:type="spellEnd"/>
      <w:r w:rsidRPr="002A219D">
        <w:rPr>
          <w:rFonts w:eastAsia="Times New Roman"/>
          <w:lang w:val="fr-FR" w:eastAsia="es-ES"/>
        </w:rPr>
        <w:t xml:space="preserve"> et Marco Aurelio </w:t>
      </w:r>
      <w:proofErr w:type="spellStart"/>
      <w:r w:rsidRPr="002A219D">
        <w:rPr>
          <w:rFonts w:eastAsia="Times New Roman"/>
          <w:lang w:val="fr-FR" w:eastAsia="es-ES"/>
        </w:rPr>
        <w:t>Díaz</w:t>
      </w:r>
      <w:proofErr w:type="spellEnd"/>
      <w:r w:rsidRPr="002A219D">
        <w:rPr>
          <w:rFonts w:eastAsia="Times New Roman"/>
          <w:lang w:val="fr-FR" w:eastAsia="es-ES"/>
        </w:rPr>
        <w:t xml:space="preserve">, le 2 juin 2016 ; et d) Luis Orlando </w:t>
      </w:r>
      <w:proofErr w:type="spellStart"/>
      <w:r w:rsidRPr="002A219D">
        <w:rPr>
          <w:rFonts w:eastAsia="Times New Roman"/>
          <w:lang w:val="fr-FR" w:eastAsia="es-ES"/>
        </w:rPr>
        <w:t>Saiz</w:t>
      </w:r>
      <w:proofErr w:type="spellEnd"/>
      <w:r w:rsidRPr="002A219D">
        <w:rPr>
          <w:rFonts w:eastAsia="Times New Roman"/>
          <w:lang w:val="fr-FR" w:eastAsia="es-ES"/>
        </w:rPr>
        <w:t>, le 12 juillet 2016. Donner des informations sur les plaintes pour torture et mauv</w:t>
      </w:r>
      <w:r w:rsidR="004E2C55">
        <w:rPr>
          <w:rFonts w:eastAsia="Times New Roman"/>
          <w:lang w:val="fr-FR" w:eastAsia="es-ES"/>
        </w:rPr>
        <w:t>ais traitements déposées par 10</w:t>
      </w:r>
      <w:r w:rsidRPr="002A219D">
        <w:rPr>
          <w:rFonts w:eastAsia="Times New Roman"/>
          <w:lang w:val="fr-FR" w:eastAsia="es-ES"/>
        </w:rPr>
        <w:t xml:space="preserve"> détenus après leur arrestation par des éléments de l</w:t>
      </w:r>
      <w:r w:rsidR="00D26A9F">
        <w:rPr>
          <w:rFonts w:eastAsia="Times New Roman"/>
          <w:lang w:val="fr-FR" w:eastAsia="es-ES"/>
        </w:rPr>
        <w:t>’</w:t>
      </w:r>
      <w:r w:rsidR="00BC4B6F">
        <w:rPr>
          <w:rFonts w:eastAsia="Times New Roman"/>
          <w:lang w:val="fr-FR" w:eastAsia="es-ES"/>
        </w:rPr>
        <w:t xml:space="preserve">escadron mobile </w:t>
      </w:r>
      <w:proofErr w:type="spellStart"/>
      <w:r w:rsidR="00BC4B6F">
        <w:rPr>
          <w:rFonts w:eastAsia="Times New Roman"/>
          <w:lang w:val="fr-FR" w:eastAsia="es-ES"/>
        </w:rPr>
        <w:t>anti</w:t>
      </w:r>
      <w:r w:rsidRPr="002A219D">
        <w:rPr>
          <w:rFonts w:eastAsia="Times New Roman"/>
          <w:lang w:val="fr-FR" w:eastAsia="es-ES"/>
        </w:rPr>
        <w:t>émeute</w:t>
      </w:r>
      <w:proofErr w:type="spellEnd"/>
      <w:r w:rsidRPr="002A219D">
        <w:rPr>
          <w:rFonts w:eastAsia="Times New Roman"/>
          <w:lang w:val="fr-FR" w:eastAsia="es-ES"/>
        </w:rPr>
        <w:t xml:space="preserve"> lors d</w:t>
      </w:r>
      <w:r w:rsidR="00D26A9F">
        <w:rPr>
          <w:rFonts w:eastAsia="Times New Roman"/>
          <w:lang w:val="fr-FR" w:eastAsia="es-ES"/>
        </w:rPr>
        <w:t>’</w:t>
      </w:r>
      <w:r w:rsidRPr="002A219D">
        <w:rPr>
          <w:rFonts w:eastAsia="Times New Roman"/>
          <w:lang w:val="fr-FR" w:eastAsia="es-ES"/>
        </w:rPr>
        <w:t>une manifestation de travaill</w:t>
      </w:r>
      <w:r w:rsidR="002A2DA2">
        <w:rPr>
          <w:rFonts w:eastAsia="Times New Roman"/>
          <w:lang w:val="fr-FR" w:eastAsia="es-ES"/>
        </w:rPr>
        <w:t>eurs du secteur agricole, le 29 </w:t>
      </w:r>
      <w:r w:rsidRPr="002A219D">
        <w:rPr>
          <w:rFonts w:eastAsia="Times New Roman"/>
          <w:lang w:val="fr-FR" w:eastAsia="es-ES"/>
        </w:rPr>
        <w:t>août 2013. Commenter également les informations faisant état de nombreux cas signalés de recours excessif à la force par des membres de l</w:t>
      </w:r>
      <w:r w:rsidR="00D26A9F">
        <w:rPr>
          <w:rFonts w:eastAsia="Times New Roman"/>
          <w:lang w:val="fr-FR" w:eastAsia="es-ES"/>
        </w:rPr>
        <w:t>’</w:t>
      </w:r>
      <w:r w:rsidRPr="002A219D">
        <w:rPr>
          <w:rFonts w:eastAsia="Times New Roman"/>
          <w:lang w:val="fr-FR" w:eastAsia="es-ES"/>
        </w:rPr>
        <w:t>escadron depuis l</w:t>
      </w:r>
      <w:r w:rsidR="00D26A9F">
        <w:rPr>
          <w:rFonts w:eastAsia="Times New Roman"/>
          <w:lang w:val="fr-FR" w:eastAsia="es-ES"/>
        </w:rPr>
        <w:t>’</w:t>
      </w:r>
      <w:r w:rsidRPr="002A219D">
        <w:rPr>
          <w:rFonts w:eastAsia="Times New Roman"/>
          <w:lang w:val="fr-FR" w:eastAsia="es-ES"/>
        </w:rPr>
        <w:t>examen du rapport périodique précédent.</w:t>
      </w:r>
    </w:p>
    <w:p w:rsidR="00725A71" w:rsidRPr="003D4C4E" w:rsidRDefault="00725A71" w:rsidP="00BF54FD">
      <w:pPr>
        <w:pStyle w:val="SingleTxtG"/>
        <w:rPr>
          <w:rFonts w:eastAsia="Times New Roman"/>
          <w:lang w:val="fr-FR" w:eastAsia="es-ES"/>
        </w:rPr>
      </w:pPr>
      <w:r w:rsidRPr="002A219D">
        <w:rPr>
          <w:rFonts w:eastAsia="Times New Roman"/>
          <w:lang w:val="fr-FR" w:eastAsia="es-ES"/>
        </w:rPr>
        <w:t>25.</w:t>
      </w:r>
      <w:r w:rsidRPr="002A219D">
        <w:rPr>
          <w:rFonts w:eastAsia="Times New Roman"/>
          <w:lang w:val="fr-FR" w:eastAsia="es-ES"/>
        </w:rPr>
        <w:tab/>
        <w:t xml:space="preserve">Décrire les mécanismes établis dans le cadre du processus de paix pour garantir que les actes de torture, les disparitions forcées, les exécutions </w:t>
      </w:r>
      <w:proofErr w:type="spellStart"/>
      <w:r w:rsidRPr="002A219D">
        <w:rPr>
          <w:rFonts w:eastAsia="Times New Roman"/>
          <w:lang w:val="fr-FR" w:eastAsia="es-ES"/>
        </w:rPr>
        <w:t>extrajudiciaires</w:t>
      </w:r>
      <w:proofErr w:type="spellEnd"/>
      <w:r w:rsidRPr="002A219D">
        <w:rPr>
          <w:rFonts w:eastAsia="Times New Roman"/>
          <w:lang w:val="fr-FR" w:eastAsia="es-ES"/>
        </w:rPr>
        <w:t xml:space="preserve"> et d</w:t>
      </w:r>
      <w:r w:rsidR="00D26A9F">
        <w:rPr>
          <w:rFonts w:eastAsia="Times New Roman"/>
          <w:lang w:val="fr-FR" w:eastAsia="es-ES"/>
        </w:rPr>
        <w:t>’</w:t>
      </w:r>
      <w:r w:rsidRPr="002A219D">
        <w:rPr>
          <w:rFonts w:eastAsia="Times New Roman"/>
          <w:lang w:val="fr-FR" w:eastAsia="es-ES"/>
        </w:rPr>
        <w:t>autres violations graves des droits de l</w:t>
      </w:r>
      <w:r w:rsidR="00D26A9F">
        <w:rPr>
          <w:rFonts w:eastAsia="Times New Roman"/>
          <w:lang w:val="fr-FR" w:eastAsia="es-ES"/>
        </w:rPr>
        <w:t>’</w:t>
      </w:r>
      <w:r w:rsidRPr="002A219D">
        <w:rPr>
          <w:rFonts w:eastAsia="Times New Roman"/>
          <w:lang w:val="fr-FR" w:eastAsia="es-ES"/>
        </w:rPr>
        <w:t xml:space="preserve">homme commis durant le conflit armé donneront lieu à des enquêtes et que les auteurs de ces </w:t>
      </w:r>
      <w:r w:rsidR="004150B9">
        <w:rPr>
          <w:rFonts w:eastAsia="Times New Roman"/>
          <w:lang w:val="fr-FR" w:eastAsia="es-ES"/>
        </w:rPr>
        <w:t>actes seront poursuivis (par. 10)</w:t>
      </w:r>
      <w:r w:rsidRPr="003D4C4E">
        <w:rPr>
          <w:rStyle w:val="Appelnotedebasdep"/>
        </w:rPr>
        <w:footnoteReference w:id="15"/>
      </w:r>
      <w:r w:rsidR="00301135">
        <w:rPr>
          <w:rFonts w:eastAsia="Times New Roman"/>
          <w:lang w:eastAsia="es-ES"/>
        </w:rPr>
        <w:t>.</w:t>
      </w:r>
      <w:r w:rsidRPr="002A219D">
        <w:rPr>
          <w:rFonts w:eastAsia="Times New Roman"/>
          <w:lang w:val="fr-FR" w:eastAsia="es-ES"/>
        </w:rPr>
        <w:t xml:space="preserve"> Fournir des renseignements sur les mesures législatives adoptées par l</w:t>
      </w:r>
      <w:r w:rsidR="00D26A9F">
        <w:rPr>
          <w:rFonts w:eastAsia="Times New Roman"/>
          <w:lang w:val="fr-FR" w:eastAsia="es-ES"/>
        </w:rPr>
        <w:t>’</w:t>
      </w:r>
      <w:r w:rsidRPr="002A219D">
        <w:rPr>
          <w:rFonts w:eastAsia="Times New Roman"/>
          <w:lang w:val="fr-FR" w:eastAsia="es-ES"/>
        </w:rPr>
        <w:t>État partie pour élaborer un « programme d</w:t>
      </w:r>
      <w:r w:rsidR="00D26A9F">
        <w:rPr>
          <w:rFonts w:eastAsia="Times New Roman"/>
          <w:lang w:val="fr-FR" w:eastAsia="es-ES"/>
        </w:rPr>
        <w:t>’</w:t>
      </w:r>
      <w:r w:rsidRPr="002A219D">
        <w:rPr>
          <w:rFonts w:eastAsia="Times New Roman"/>
          <w:lang w:val="fr-FR" w:eastAsia="es-ES"/>
        </w:rPr>
        <w:t>amnistie, de grâce et de traitement pénal spécial » qui soit conforme aux normes internationales relatives aux droits de l</w:t>
      </w:r>
      <w:r w:rsidR="00D26A9F">
        <w:rPr>
          <w:rFonts w:eastAsia="Times New Roman"/>
          <w:lang w:val="fr-FR" w:eastAsia="es-ES"/>
        </w:rPr>
        <w:t>’</w:t>
      </w:r>
      <w:r w:rsidRPr="002A219D">
        <w:rPr>
          <w:rFonts w:eastAsia="Times New Roman"/>
          <w:lang w:val="fr-FR" w:eastAsia="es-ES"/>
        </w:rPr>
        <w:t xml:space="preserve">homme. </w:t>
      </w:r>
    </w:p>
    <w:p w:rsidR="00725A71" w:rsidRPr="003D4C4E" w:rsidRDefault="00725A71" w:rsidP="00643D72">
      <w:pPr>
        <w:pStyle w:val="H23G"/>
        <w:rPr>
          <w:rFonts w:eastAsia="Times New Roman"/>
          <w:lang w:val="fr-FR" w:eastAsia="es-ES"/>
        </w:rPr>
      </w:pPr>
      <w:r w:rsidRPr="002A219D">
        <w:rPr>
          <w:rFonts w:eastAsia="Times New Roman"/>
          <w:lang w:val="fr-FR" w:eastAsia="es-ES"/>
        </w:rPr>
        <w:tab/>
      </w:r>
      <w:r w:rsidRPr="002A219D">
        <w:rPr>
          <w:rFonts w:eastAsia="Times New Roman"/>
          <w:lang w:val="fr-FR" w:eastAsia="es-ES"/>
        </w:rPr>
        <w:tab/>
      </w:r>
      <w:r w:rsidRPr="002A219D">
        <w:rPr>
          <w:rFonts w:eastAsia="Times New Roman"/>
          <w:bCs/>
          <w:lang w:val="fr-FR" w:eastAsia="es-ES"/>
        </w:rPr>
        <w:t>Article 14</w:t>
      </w:r>
    </w:p>
    <w:p w:rsidR="00725A71" w:rsidRPr="003D4C4E" w:rsidRDefault="00725A71" w:rsidP="00643D72">
      <w:pPr>
        <w:pStyle w:val="SingleTxtG"/>
        <w:rPr>
          <w:rFonts w:eastAsia="Times New Roman"/>
          <w:lang w:val="fr-FR" w:eastAsia="es-ES"/>
        </w:rPr>
      </w:pPr>
      <w:r w:rsidRPr="002A219D">
        <w:rPr>
          <w:rFonts w:eastAsia="Times New Roman"/>
          <w:lang w:val="fr-FR" w:eastAsia="es-ES"/>
        </w:rPr>
        <w:t>26.</w:t>
      </w:r>
      <w:r w:rsidRPr="002A219D">
        <w:rPr>
          <w:rFonts w:eastAsia="Times New Roman"/>
          <w:lang w:val="fr-FR" w:eastAsia="es-ES"/>
        </w:rPr>
        <w:tab/>
        <w:t>Compte tenu des renseignements communiqués par l</w:t>
      </w:r>
      <w:r w:rsidR="00D26A9F">
        <w:rPr>
          <w:rFonts w:eastAsia="Times New Roman"/>
          <w:lang w:val="fr-FR" w:eastAsia="es-ES"/>
        </w:rPr>
        <w:t>’</w:t>
      </w:r>
      <w:r w:rsidRPr="002A219D">
        <w:rPr>
          <w:rFonts w:eastAsia="Times New Roman"/>
          <w:lang w:val="fr-FR" w:eastAsia="es-ES"/>
        </w:rPr>
        <w:t>État partie dans ses réponses aux observations finales</w:t>
      </w:r>
      <w:r w:rsidRPr="003D4C4E">
        <w:rPr>
          <w:rStyle w:val="Appelnotedebasdep"/>
        </w:rPr>
        <w:footnoteReference w:id="16"/>
      </w:r>
      <w:r w:rsidRPr="002A219D">
        <w:rPr>
          <w:rFonts w:eastAsia="Times New Roman"/>
          <w:lang w:val="fr-FR" w:eastAsia="es-ES"/>
        </w:rPr>
        <w:t>, fournir des données à jour sur les mesures de réparation et d</w:t>
      </w:r>
      <w:r w:rsidR="00D26A9F">
        <w:rPr>
          <w:rFonts w:eastAsia="Times New Roman"/>
          <w:lang w:val="fr-FR" w:eastAsia="es-ES"/>
        </w:rPr>
        <w:t>’</w:t>
      </w:r>
      <w:r w:rsidRPr="002A219D">
        <w:rPr>
          <w:rFonts w:eastAsia="Times New Roman"/>
          <w:lang w:val="fr-FR" w:eastAsia="es-ES"/>
        </w:rPr>
        <w:t xml:space="preserve">indemnisation, y compris les moyens de réadaptation, ordonnées par les tribunaux dont </w:t>
      </w:r>
      <w:r w:rsidRPr="002A219D">
        <w:rPr>
          <w:rFonts w:eastAsia="Times New Roman"/>
          <w:lang w:val="fr-FR" w:eastAsia="es-ES"/>
        </w:rPr>
        <w:lastRenderedPageBreak/>
        <w:t>les victimes d</w:t>
      </w:r>
      <w:r w:rsidR="00D26A9F">
        <w:rPr>
          <w:rFonts w:eastAsia="Times New Roman"/>
          <w:lang w:val="fr-FR" w:eastAsia="es-ES"/>
        </w:rPr>
        <w:t>’</w:t>
      </w:r>
      <w:r w:rsidRPr="002A219D">
        <w:rPr>
          <w:rFonts w:eastAsia="Times New Roman"/>
          <w:lang w:val="fr-FR" w:eastAsia="es-ES"/>
        </w:rPr>
        <w:t>actes de torture ont effectivement bénéficié, depuis l</w:t>
      </w:r>
      <w:r w:rsidR="00D26A9F">
        <w:rPr>
          <w:rFonts w:eastAsia="Times New Roman"/>
          <w:lang w:val="fr-FR" w:eastAsia="es-ES"/>
        </w:rPr>
        <w:t>’</w:t>
      </w:r>
      <w:r w:rsidRPr="002A219D">
        <w:rPr>
          <w:rFonts w:eastAsia="Times New Roman"/>
          <w:lang w:val="fr-FR" w:eastAsia="es-ES"/>
        </w:rPr>
        <w:t>examen du précédent rapport périodique</w:t>
      </w:r>
      <w:r w:rsidRPr="003D4C4E">
        <w:rPr>
          <w:rStyle w:val="Appelnotedebasdep"/>
        </w:rPr>
        <w:footnoteReference w:id="17"/>
      </w:r>
      <w:r w:rsidR="002A2DA2">
        <w:rPr>
          <w:rFonts w:eastAsia="Times New Roman"/>
          <w:lang w:val="fr-FR" w:eastAsia="es-ES"/>
        </w:rPr>
        <w:t>.</w:t>
      </w:r>
      <w:r w:rsidRPr="002A219D">
        <w:rPr>
          <w:rFonts w:eastAsia="Times New Roman"/>
          <w:lang w:val="fr-FR" w:eastAsia="es-ES"/>
        </w:rPr>
        <w:t xml:space="preserve"> Préciser le nombre de demandes déposées, le nombre de demandes satisfaites, les montants accordés et les sommes effectivement versées dans chaque cas</w:t>
      </w:r>
      <w:r w:rsidRPr="003D4C4E">
        <w:rPr>
          <w:rStyle w:val="Appelnotedebasdep"/>
        </w:rPr>
        <w:footnoteReference w:id="18"/>
      </w:r>
      <w:r w:rsidR="002A2DA2">
        <w:rPr>
          <w:rFonts w:eastAsia="Times New Roman"/>
          <w:lang w:eastAsia="es-ES"/>
        </w:rPr>
        <w:t>.</w:t>
      </w:r>
      <w:r w:rsidRPr="002A219D">
        <w:rPr>
          <w:rFonts w:eastAsia="Times New Roman"/>
          <w:lang w:val="fr-FR" w:eastAsia="es-ES"/>
        </w:rPr>
        <w:t xml:space="preserve"> Fournir des informations sur les mesures prises en vue de la mise en place d</w:t>
      </w:r>
      <w:r w:rsidR="00D26A9F">
        <w:rPr>
          <w:rFonts w:eastAsia="Times New Roman"/>
          <w:lang w:val="fr-FR" w:eastAsia="es-ES"/>
        </w:rPr>
        <w:t>’</w:t>
      </w:r>
      <w:r w:rsidRPr="002A219D">
        <w:rPr>
          <w:rFonts w:eastAsia="Times New Roman"/>
          <w:lang w:val="fr-FR" w:eastAsia="es-ES"/>
        </w:rPr>
        <w:t>un système complet de vérité, justice,</w:t>
      </w:r>
      <w:r w:rsidR="005709D1">
        <w:rPr>
          <w:rFonts w:eastAsia="Times New Roman"/>
          <w:lang w:val="fr-FR" w:eastAsia="es-ES"/>
        </w:rPr>
        <w:t xml:space="preserve"> réparation et garanties de non-</w:t>
      </w:r>
      <w:r w:rsidRPr="002A219D">
        <w:rPr>
          <w:rFonts w:eastAsia="Times New Roman"/>
          <w:lang w:val="fr-FR" w:eastAsia="es-ES"/>
        </w:rPr>
        <w:t>répétition en application des dispositions de l</w:t>
      </w:r>
      <w:r w:rsidR="00D26A9F">
        <w:rPr>
          <w:rFonts w:eastAsia="Times New Roman"/>
          <w:lang w:val="fr-FR" w:eastAsia="es-ES"/>
        </w:rPr>
        <w:t>’</w:t>
      </w:r>
      <w:r w:rsidRPr="002A219D">
        <w:rPr>
          <w:rFonts w:eastAsia="Times New Roman"/>
          <w:lang w:val="fr-FR" w:eastAsia="es-ES"/>
        </w:rPr>
        <w:t>Accord pour la fin du conflit et la construction d</w:t>
      </w:r>
      <w:r w:rsidR="00D26A9F">
        <w:rPr>
          <w:rFonts w:eastAsia="Times New Roman"/>
          <w:lang w:val="fr-FR" w:eastAsia="es-ES"/>
        </w:rPr>
        <w:t>’</w:t>
      </w:r>
      <w:r w:rsidRPr="002A219D">
        <w:rPr>
          <w:rFonts w:eastAsia="Times New Roman"/>
          <w:lang w:val="fr-FR" w:eastAsia="es-ES"/>
        </w:rPr>
        <w:t>une paix stable et durable</w:t>
      </w:r>
      <w:r w:rsidRPr="003D4C4E">
        <w:rPr>
          <w:rStyle w:val="Appelnotedebasdep"/>
        </w:rPr>
        <w:footnoteReference w:id="19"/>
      </w:r>
      <w:r w:rsidR="002A2DA2">
        <w:rPr>
          <w:rFonts w:eastAsia="Times New Roman"/>
          <w:lang w:val="fr-FR" w:eastAsia="es-ES"/>
        </w:rPr>
        <w:t>.</w:t>
      </w:r>
    </w:p>
    <w:p w:rsidR="00725A71" w:rsidRPr="003D4C4E" w:rsidRDefault="00725A71" w:rsidP="00643D72">
      <w:pPr>
        <w:pStyle w:val="SingleTxtG"/>
        <w:rPr>
          <w:rFonts w:eastAsia="Times New Roman"/>
          <w:lang w:val="fr-FR" w:eastAsia="es-ES"/>
        </w:rPr>
      </w:pPr>
      <w:r w:rsidRPr="002A219D">
        <w:rPr>
          <w:rFonts w:eastAsia="Times New Roman"/>
          <w:lang w:val="fr-FR" w:eastAsia="es-ES"/>
        </w:rPr>
        <w:t>27.</w:t>
      </w:r>
      <w:r w:rsidRPr="002A219D">
        <w:rPr>
          <w:rFonts w:eastAsia="Times New Roman"/>
          <w:lang w:val="fr-FR" w:eastAsia="es-ES"/>
        </w:rPr>
        <w:tab/>
        <w:t>Fournir des informations actualisées sur les programmes de réparation, y compris le traitement des traumatismes physiques et psychologiques et les autres types de réadaptation proposés aux victimes de la torture et de mauvais traitements, ainsi que sur les ressources allouées pour garantir le fonctionnement efficace de ces programmes. Indiquer le niveau de coopération établi avec les organisations non gouvernementales spécialisées dans ce domaine et préciser si l</w:t>
      </w:r>
      <w:r w:rsidR="00D26A9F">
        <w:rPr>
          <w:rFonts w:eastAsia="Times New Roman"/>
          <w:lang w:val="fr-FR" w:eastAsia="es-ES"/>
        </w:rPr>
        <w:t>’</w:t>
      </w:r>
      <w:r w:rsidRPr="002A219D">
        <w:rPr>
          <w:rFonts w:eastAsia="Times New Roman"/>
          <w:lang w:val="fr-FR" w:eastAsia="es-ES"/>
        </w:rPr>
        <w:t>État partie leur apporte un appui financier ou autre qui garantisse leur fonctionnement efficace.</w:t>
      </w:r>
    </w:p>
    <w:p w:rsidR="00725A71" w:rsidRPr="003D4C4E" w:rsidRDefault="00725A71" w:rsidP="00643D72">
      <w:pPr>
        <w:pStyle w:val="H23G"/>
        <w:rPr>
          <w:rFonts w:eastAsia="Times New Roman"/>
          <w:lang w:val="fr-FR" w:eastAsia="es-ES"/>
        </w:rPr>
      </w:pPr>
      <w:r w:rsidRPr="002A219D">
        <w:rPr>
          <w:rFonts w:eastAsia="Times New Roman"/>
          <w:lang w:val="fr-FR" w:eastAsia="es-ES"/>
        </w:rPr>
        <w:tab/>
      </w:r>
      <w:r w:rsidRPr="002A219D">
        <w:rPr>
          <w:rFonts w:eastAsia="Times New Roman"/>
          <w:lang w:val="fr-FR" w:eastAsia="es-ES"/>
        </w:rPr>
        <w:tab/>
      </w:r>
      <w:r w:rsidRPr="002A219D">
        <w:rPr>
          <w:rFonts w:eastAsia="Times New Roman"/>
          <w:bCs/>
          <w:lang w:val="fr-FR" w:eastAsia="es-ES"/>
        </w:rPr>
        <w:t>Article 15</w:t>
      </w:r>
    </w:p>
    <w:p w:rsidR="00725A71" w:rsidRPr="003D4C4E" w:rsidRDefault="00725A71" w:rsidP="00643D72">
      <w:pPr>
        <w:pStyle w:val="SingleTxtG"/>
        <w:rPr>
          <w:rFonts w:eastAsia="Times New Roman"/>
          <w:lang w:val="fr-FR" w:eastAsia="es-ES"/>
        </w:rPr>
      </w:pPr>
      <w:r w:rsidRPr="002A219D">
        <w:rPr>
          <w:rFonts w:eastAsia="Times New Roman"/>
          <w:lang w:val="fr-FR" w:eastAsia="es-ES"/>
        </w:rPr>
        <w:t>28.</w:t>
      </w:r>
      <w:r w:rsidRPr="002A219D">
        <w:rPr>
          <w:rFonts w:eastAsia="Times New Roman"/>
          <w:lang w:val="fr-FR" w:eastAsia="es-ES"/>
        </w:rPr>
        <w:tab/>
        <w:t>Compte tenu des observa</w:t>
      </w:r>
      <w:r w:rsidR="00301135">
        <w:rPr>
          <w:rFonts w:eastAsia="Times New Roman"/>
          <w:lang w:val="fr-FR" w:eastAsia="es-ES"/>
        </w:rPr>
        <w:t>tions finales précédentes (par. </w:t>
      </w:r>
      <w:r w:rsidRPr="002A219D">
        <w:rPr>
          <w:rFonts w:eastAsia="Times New Roman"/>
          <w:lang w:val="fr-FR" w:eastAsia="es-ES"/>
        </w:rPr>
        <w:t>23), donner des exemples d</w:t>
      </w:r>
      <w:r w:rsidR="00D26A9F">
        <w:rPr>
          <w:rFonts w:eastAsia="Times New Roman"/>
          <w:lang w:val="fr-FR" w:eastAsia="es-ES"/>
        </w:rPr>
        <w:t>’</w:t>
      </w:r>
      <w:r w:rsidRPr="002A219D">
        <w:rPr>
          <w:rFonts w:eastAsia="Times New Roman"/>
          <w:lang w:val="fr-FR" w:eastAsia="es-ES"/>
        </w:rPr>
        <w:t xml:space="preserve">affaires qui auraient été rejetées par les tribunaux parce que les preuves ou les témoignages produits ont été obtenus en recourant à la torture ou aux mauvais traitements. </w:t>
      </w:r>
    </w:p>
    <w:p w:rsidR="00725A71" w:rsidRPr="003D4C4E" w:rsidRDefault="00725A71" w:rsidP="00643D72">
      <w:pPr>
        <w:pStyle w:val="H23G"/>
        <w:rPr>
          <w:rFonts w:eastAsia="Times New Roman"/>
          <w:lang w:val="fr-FR" w:eastAsia="es-ES"/>
        </w:rPr>
      </w:pPr>
      <w:r w:rsidRPr="002A219D">
        <w:rPr>
          <w:rFonts w:eastAsia="Times New Roman"/>
          <w:lang w:val="fr-FR" w:eastAsia="es-ES"/>
        </w:rPr>
        <w:tab/>
      </w:r>
      <w:r w:rsidRPr="002A219D">
        <w:rPr>
          <w:rFonts w:eastAsia="Times New Roman"/>
          <w:lang w:val="fr-FR" w:eastAsia="es-ES"/>
        </w:rPr>
        <w:tab/>
      </w:r>
      <w:r w:rsidRPr="002A219D">
        <w:rPr>
          <w:rFonts w:eastAsia="Times New Roman"/>
          <w:bCs/>
          <w:lang w:val="fr-FR" w:eastAsia="es-ES"/>
        </w:rPr>
        <w:t>Article 16</w:t>
      </w:r>
    </w:p>
    <w:p w:rsidR="00725A71" w:rsidRPr="003D4C4E" w:rsidRDefault="00725A71" w:rsidP="00643D72">
      <w:pPr>
        <w:pStyle w:val="SingleTxtG"/>
        <w:rPr>
          <w:rFonts w:eastAsia="Times New Roman"/>
          <w:lang w:val="fr-FR" w:eastAsia="es-ES"/>
        </w:rPr>
      </w:pPr>
      <w:r w:rsidRPr="002A219D">
        <w:rPr>
          <w:rFonts w:eastAsia="Times New Roman"/>
          <w:lang w:val="fr-FR" w:eastAsia="es-ES"/>
        </w:rPr>
        <w:t>29.</w:t>
      </w:r>
      <w:r w:rsidRPr="002A219D">
        <w:rPr>
          <w:rFonts w:eastAsia="Times New Roman"/>
          <w:lang w:val="fr-FR" w:eastAsia="es-ES"/>
        </w:rPr>
        <w:tab/>
        <w:t>Compte tenu des précédentes observations finales (par.</w:t>
      </w:r>
      <w:r w:rsidR="00301135">
        <w:rPr>
          <w:rFonts w:eastAsia="Times New Roman"/>
          <w:lang w:val="fr-FR" w:eastAsia="es-ES"/>
        </w:rPr>
        <w:t> </w:t>
      </w:r>
      <w:r w:rsidRPr="002A219D">
        <w:rPr>
          <w:rFonts w:eastAsia="Times New Roman"/>
          <w:lang w:val="fr-FR" w:eastAsia="es-ES"/>
        </w:rPr>
        <w:t>12), indiquer les mesures prises par l</w:t>
      </w:r>
      <w:r w:rsidR="00D26A9F">
        <w:rPr>
          <w:rFonts w:eastAsia="Times New Roman"/>
          <w:lang w:val="fr-FR" w:eastAsia="es-ES"/>
        </w:rPr>
        <w:t>’</w:t>
      </w:r>
      <w:r w:rsidRPr="002A219D">
        <w:rPr>
          <w:rFonts w:eastAsia="Times New Roman"/>
          <w:lang w:val="fr-FR" w:eastAsia="es-ES"/>
        </w:rPr>
        <w:t>État partie pour mettre un terme aux crimes commis par des membres de groupes armés illégaux apparus après la démobilisation des organisations paramilitaires</w:t>
      </w:r>
      <w:r w:rsidRPr="003D4C4E">
        <w:rPr>
          <w:rStyle w:val="Appelnotedebasdep"/>
        </w:rPr>
        <w:footnoteReference w:id="20"/>
      </w:r>
      <w:r w:rsidR="00301135">
        <w:rPr>
          <w:rFonts w:eastAsia="Times New Roman"/>
          <w:lang w:val="fr-FR" w:eastAsia="es-ES"/>
        </w:rPr>
        <w:t>.</w:t>
      </w:r>
      <w:r w:rsidRPr="002A219D">
        <w:rPr>
          <w:rFonts w:eastAsia="Times New Roman"/>
          <w:lang w:val="fr-FR" w:eastAsia="es-ES"/>
        </w:rPr>
        <w:t xml:space="preserve"> </w:t>
      </w:r>
    </w:p>
    <w:p w:rsidR="00725A71" w:rsidRPr="003D4C4E" w:rsidRDefault="00725A71" w:rsidP="00643D72">
      <w:pPr>
        <w:pStyle w:val="SingleTxtG"/>
        <w:rPr>
          <w:rFonts w:eastAsia="Times New Roman"/>
          <w:lang w:val="fr-FR" w:eastAsia="es-ES"/>
        </w:rPr>
      </w:pPr>
      <w:r w:rsidRPr="002A219D">
        <w:rPr>
          <w:rFonts w:eastAsia="Times New Roman"/>
          <w:lang w:val="fr-FR" w:eastAsia="es-ES"/>
        </w:rPr>
        <w:t>30.</w:t>
      </w:r>
      <w:r w:rsidRPr="002A219D">
        <w:rPr>
          <w:rFonts w:eastAsia="Times New Roman"/>
          <w:lang w:val="fr-FR" w:eastAsia="es-ES"/>
        </w:rPr>
        <w:tab/>
        <w:t>À la lumière des précéde</w:t>
      </w:r>
      <w:r w:rsidR="00301135">
        <w:rPr>
          <w:rFonts w:eastAsia="Times New Roman"/>
          <w:lang w:val="fr-FR" w:eastAsia="es-ES"/>
        </w:rPr>
        <w:t>ntes observations finales (par. </w:t>
      </w:r>
      <w:r w:rsidRPr="002A219D">
        <w:rPr>
          <w:rFonts w:eastAsia="Times New Roman"/>
          <w:lang w:val="fr-FR" w:eastAsia="es-ES"/>
        </w:rPr>
        <w:t>26), donner des renseignements à jour sur les mesures prises par l</w:t>
      </w:r>
      <w:r w:rsidR="00D26A9F">
        <w:rPr>
          <w:rFonts w:eastAsia="Times New Roman"/>
          <w:lang w:val="fr-FR" w:eastAsia="es-ES"/>
        </w:rPr>
        <w:t>’</w:t>
      </w:r>
      <w:r w:rsidRPr="002A219D">
        <w:rPr>
          <w:rFonts w:eastAsia="Times New Roman"/>
          <w:lang w:val="fr-FR" w:eastAsia="es-ES"/>
        </w:rPr>
        <w:t>État partie pour garantir la sécurité et l</w:t>
      </w:r>
      <w:r w:rsidR="00D26A9F">
        <w:rPr>
          <w:rFonts w:eastAsia="Times New Roman"/>
          <w:lang w:val="fr-FR" w:eastAsia="es-ES"/>
        </w:rPr>
        <w:t>’</w:t>
      </w:r>
      <w:r w:rsidRPr="002A219D">
        <w:rPr>
          <w:rFonts w:eastAsia="Times New Roman"/>
          <w:lang w:val="fr-FR" w:eastAsia="es-ES"/>
        </w:rPr>
        <w:t>intégrité physique des défenseurs des droits de l</w:t>
      </w:r>
      <w:r w:rsidR="00D26A9F">
        <w:rPr>
          <w:rFonts w:eastAsia="Times New Roman"/>
          <w:lang w:val="fr-FR" w:eastAsia="es-ES"/>
        </w:rPr>
        <w:t>’</w:t>
      </w:r>
      <w:r w:rsidRPr="002A219D">
        <w:rPr>
          <w:rFonts w:eastAsia="Times New Roman"/>
          <w:lang w:val="fr-FR" w:eastAsia="es-ES"/>
        </w:rPr>
        <w:t>homme,</w:t>
      </w:r>
      <w:r>
        <w:rPr>
          <w:rFonts w:eastAsia="Times New Roman"/>
          <w:lang w:val="fr-FR" w:eastAsia="es-ES"/>
        </w:rPr>
        <w:t xml:space="preserve"> des meneurs sociaux,</w:t>
      </w:r>
      <w:r w:rsidRPr="002A219D">
        <w:rPr>
          <w:rFonts w:eastAsia="Times New Roman"/>
          <w:lang w:val="fr-FR" w:eastAsia="es-ES"/>
        </w:rPr>
        <w:t xml:space="preserve"> des syndicalistes et des journalistes face à l</w:t>
      </w:r>
      <w:r w:rsidR="00D26A9F">
        <w:rPr>
          <w:rFonts w:eastAsia="Times New Roman"/>
          <w:lang w:val="fr-FR" w:eastAsia="es-ES"/>
        </w:rPr>
        <w:t>’</w:t>
      </w:r>
      <w:r w:rsidRPr="002A219D">
        <w:rPr>
          <w:rFonts w:eastAsia="Times New Roman"/>
          <w:lang w:val="fr-FR" w:eastAsia="es-ES"/>
        </w:rPr>
        <w:t xml:space="preserve">intimidation et la violence auxquelles leurs activités pourraient les exposer. Indiquer combien de plaintes pour violence et intimidation concernant des </w:t>
      </w:r>
      <w:r>
        <w:rPr>
          <w:rFonts w:eastAsia="Times New Roman"/>
          <w:lang w:val="fr-FR" w:eastAsia="es-ES"/>
        </w:rPr>
        <w:t xml:space="preserve">membres de ces groupes </w:t>
      </w:r>
      <w:r w:rsidRPr="002A219D">
        <w:rPr>
          <w:rFonts w:eastAsia="Times New Roman"/>
          <w:lang w:val="fr-FR" w:eastAsia="es-ES"/>
        </w:rPr>
        <w:t>ont été enregistrées pendant la période considérée. Fournir des renseignements détaillés sur le résultat des enquêtes pénales ouvertes au sujet de ces faits, les poursuites engagées et les peines prononcées.</w:t>
      </w:r>
    </w:p>
    <w:p w:rsidR="00725A71" w:rsidRPr="003D4C4E" w:rsidRDefault="00725A71" w:rsidP="00643D72">
      <w:pPr>
        <w:pStyle w:val="SingleTxtG"/>
        <w:rPr>
          <w:rFonts w:eastAsia="Times New Roman"/>
          <w:lang w:val="fr-FR" w:eastAsia="es-ES"/>
        </w:rPr>
      </w:pPr>
      <w:r w:rsidRPr="002A219D">
        <w:rPr>
          <w:rFonts w:eastAsia="Times New Roman"/>
          <w:lang w:val="fr-FR" w:eastAsia="es-ES"/>
        </w:rPr>
        <w:t>31.</w:t>
      </w:r>
      <w:r w:rsidRPr="002A219D">
        <w:rPr>
          <w:rFonts w:eastAsia="Times New Roman"/>
          <w:lang w:val="fr-FR" w:eastAsia="es-ES"/>
        </w:rPr>
        <w:tab/>
        <w:t>Compte tenu des précédentes observations finales (par. 27), indiquer les mesures concrètes adoptées par l</w:t>
      </w:r>
      <w:r w:rsidR="00D26A9F">
        <w:rPr>
          <w:rFonts w:eastAsia="Times New Roman"/>
          <w:lang w:val="fr-FR" w:eastAsia="es-ES"/>
        </w:rPr>
        <w:t>’</w:t>
      </w:r>
      <w:r w:rsidRPr="002A219D">
        <w:rPr>
          <w:rFonts w:eastAsia="Times New Roman"/>
          <w:lang w:val="fr-FR" w:eastAsia="es-ES"/>
        </w:rPr>
        <w:t>État partie pour combattre la violence fondée sur l</w:t>
      </w:r>
      <w:r w:rsidR="00D26A9F">
        <w:rPr>
          <w:rFonts w:eastAsia="Times New Roman"/>
          <w:lang w:val="fr-FR" w:eastAsia="es-ES"/>
        </w:rPr>
        <w:t>’</w:t>
      </w:r>
      <w:r w:rsidRPr="002A219D">
        <w:rPr>
          <w:rFonts w:eastAsia="Times New Roman"/>
          <w:lang w:val="fr-FR" w:eastAsia="es-ES"/>
        </w:rPr>
        <w:t>orientation sexuelle ou l</w:t>
      </w:r>
      <w:r w:rsidR="00D26A9F">
        <w:rPr>
          <w:rFonts w:eastAsia="Times New Roman"/>
          <w:lang w:val="fr-FR" w:eastAsia="es-ES"/>
        </w:rPr>
        <w:t>’</w:t>
      </w:r>
      <w:r w:rsidRPr="002A219D">
        <w:rPr>
          <w:rFonts w:eastAsia="Times New Roman"/>
          <w:lang w:val="fr-FR" w:eastAsia="es-ES"/>
        </w:rPr>
        <w:t>identité de genre, en particulier les agressions sexuelles et les meurtres de gays et de transsexuelles</w:t>
      </w:r>
      <w:r w:rsidRPr="003D4C4E">
        <w:rPr>
          <w:rStyle w:val="Appelnotedebasdep"/>
        </w:rPr>
        <w:footnoteReference w:id="21"/>
      </w:r>
      <w:r w:rsidR="00301135">
        <w:rPr>
          <w:rFonts w:eastAsia="Times New Roman"/>
          <w:lang w:val="fr-FR" w:eastAsia="es-ES"/>
        </w:rPr>
        <w:t>.</w:t>
      </w:r>
      <w:r w:rsidRPr="002A219D">
        <w:rPr>
          <w:rFonts w:eastAsia="Times New Roman"/>
          <w:lang w:val="fr-FR" w:eastAsia="es-ES"/>
        </w:rPr>
        <w:t xml:space="preserve"> En particulier, donner des renseignements sur le résultat des enquêtes et sur les procédures disciplinaires et/ou pénales engagées concernant le décès de Carlos Torres dans les locaux de l</w:t>
      </w:r>
      <w:r w:rsidR="00D26A9F">
        <w:rPr>
          <w:rFonts w:eastAsia="Times New Roman"/>
          <w:lang w:val="fr-FR" w:eastAsia="es-ES"/>
        </w:rPr>
        <w:t>’</w:t>
      </w:r>
      <w:r w:rsidRPr="002A219D">
        <w:rPr>
          <w:rFonts w:eastAsia="Times New Roman"/>
          <w:lang w:val="fr-FR" w:eastAsia="es-ES"/>
        </w:rPr>
        <w:t>Unité permanente de justice (</w:t>
      </w:r>
      <w:proofErr w:type="spellStart"/>
      <w:r w:rsidRPr="002A219D">
        <w:rPr>
          <w:rFonts w:eastAsia="Times New Roman"/>
          <w:lang w:val="fr-FR" w:eastAsia="es-ES"/>
        </w:rPr>
        <w:t>Unidad</w:t>
      </w:r>
      <w:proofErr w:type="spellEnd"/>
      <w:r w:rsidRPr="002A219D">
        <w:rPr>
          <w:rFonts w:eastAsia="Times New Roman"/>
          <w:lang w:val="fr-FR" w:eastAsia="es-ES"/>
        </w:rPr>
        <w:t xml:space="preserve"> Permanente de</w:t>
      </w:r>
      <w:r w:rsidR="00301135">
        <w:rPr>
          <w:rFonts w:eastAsia="Times New Roman"/>
          <w:lang w:val="fr-FR" w:eastAsia="es-ES"/>
        </w:rPr>
        <w:t xml:space="preserve"> </w:t>
      </w:r>
      <w:proofErr w:type="spellStart"/>
      <w:r w:rsidR="00301135">
        <w:rPr>
          <w:rFonts w:eastAsia="Times New Roman"/>
          <w:lang w:val="fr-FR" w:eastAsia="es-ES"/>
        </w:rPr>
        <w:t>Justicia</w:t>
      </w:r>
      <w:proofErr w:type="spellEnd"/>
      <w:r w:rsidR="00301135">
        <w:rPr>
          <w:rFonts w:eastAsia="Times New Roman"/>
          <w:lang w:val="fr-FR" w:eastAsia="es-ES"/>
        </w:rPr>
        <w:t xml:space="preserve">), situés route 32, </w:t>
      </w:r>
      <w:r w:rsidR="00301135" w:rsidRPr="00301135">
        <w:rPr>
          <w:rFonts w:eastAsia="MS Mincho"/>
          <w:lang w:val="fr-FR" w:eastAsia="es-ES"/>
        </w:rPr>
        <w:t>n</w:t>
      </w:r>
      <w:r w:rsidR="00301135" w:rsidRPr="00301135">
        <w:rPr>
          <w:rFonts w:eastAsia="MS Mincho"/>
          <w:vertAlign w:val="superscript"/>
          <w:lang w:val="fr-FR" w:eastAsia="es-ES"/>
        </w:rPr>
        <w:t>o</w:t>
      </w:r>
      <w:r w:rsidR="00301135">
        <w:rPr>
          <w:rFonts w:eastAsia="Times New Roman"/>
          <w:lang w:val="fr-FR" w:eastAsia="es-ES"/>
        </w:rPr>
        <w:t> </w:t>
      </w:r>
      <w:r w:rsidRPr="002A219D">
        <w:rPr>
          <w:rFonts w:eastAsia="Times New Roman"/>
          <w:lang w:val="fr-FR" w:eastAsia="es-ES"/>
        </w:rPr>
        <w:t xml:space="preserve">14-20, à </w:t>
      </w:r>
      <w:proofErr w:type="spellStart"/>
      <w:r w:rsidRPr="002A219D">
        <w:rPr>
          <w:rFonts w:eastAsia="Times New Roman"/>
          <w:lang w:val="fr-FR" w:eastAsia="es-ES"/>
        </w:rPr>
        <w:t>Puente</w:t>
      </w:r>
      <w:proofErr w:type="spellEnd"/>
      <w:r w:rsidRPr="002A219D">
        <w:rPr>
          <w:rFonts w:eastAsia="Times New Roman"/>
          <w:lang w:val="fr-FR" w:eastAsia="es-ES"/>
        </w:rPr>
        <w:t xml:space="preserve"> Aranda, le 5 décembre 2015.</w:t>
      </w:r>
    </w:p>
    <w:p w:rsidR="00725A71" w:rsidRPr="00301135" w:rsidRDefault="00725A71" w:rsidP="00643D72">
      <w:pPr>
        <w:pStyle w:val="SingleTxtG"/>
        <w:rPr>
          <w:rFonts w:eastAsia="Times New Roman"/>
          <w:lang w:eastAsia="es-ES"/>
        </w:rPr>
      </w:pPr>
      <w:r w:rsidRPr="002A219D">
        <w:rPr>
          <w:rFonts w:eastAsia="Times New Roman"/>
          <w:lang w:val="fr-FR" w:eastAsia="es-ES"/>
        </w:rPr>
        <w:t>32.</w:t>
      </w:r>
      <w:r w:rsidRPr="002A219D">
        <w:rPr>
          <w:rFonts w:eastAsia="Times New Roman"/>
          <w:lang w:val="fr-FR" w:eastAsia="es-ES"/>
        </w:rPr>
        <w:tab/>
        <w:t>Compte tenu des observations finales antérieures (par. 9), commenter les informations communiquées au Comité selon lesquelles l</w:t>
      </w:r>
      <w:r w:rsidR="00D26A9F">
        <w:rPr>
          <w:rFonts w:eastAsia="Times New Roman"/>
          <w:lang w:val="fr-FR" w:eastAsia="es-ES"/>
        </w:rPr>
        <w:t>’</w:t>
      </w:r>
      <w:r w:rsidRPr="002A219D">
        <w:rPr>
          <w:rFonts w:eastAsia="Times New Roman"/>
          <w:lang w:val="fr-FR" w:eastAsia="es-ES"/>
        </w:rPr>
        <w:t>armée continue de mener des rafles ou des opérations militaires au cours desquelles elle arrête sans discrimination tous les hommes en âge de servir dans l</w:t>
      </w:r>
      <w:r w:rsidR="00D26A9F">
        <w:rPr>
          <w:rFonts w:eastAsia="Times New Roman"/>
          <w:lang w:val="fr-FR" w:eastAsia="es-ES"/>
        </w:rPr>
        <w:t>’</w:t>
      </w:r>
      <w:r w:rsidRPr="002A219D">
        <w:rPr>
          <w:rFonts w:eastAsia="Times New Roman"/>
          <w:lang w:val="fr-FR" w:eastAsia="es-ES"/>
        </w:rPr>
        <w:t>armée pour repérer ceux qui n</w:t>
      </w:r>
      <w:r w:rsidR="00D26A9F">
        <w:rPr>
          <w:rFonts w:eastAsia="Times New Roman"/>
          <w:lang w:val="fr-FR" w:eastAsia="es-ES"/>
        </w:rPr>
        <w:t>’</w:t>
      </w:r>
      <w:r w:rsidRPr="002A219D">
        <w:rPr>
          <w:rFonts w:eastAsia="Times New Roman"/>
          <w:lang w:val="fr-FR" w:eastAsia="es-ES"/>
        </w:rPr>
        <w:t>ont pas accompli le service militaire obligatoire. Commenter les informations faisant état d</w:t>
      </w:r>
      <w:r w:rsidR="00D26A9F">
        <w:rPr>
          <w:rFonts w:eastAsia="Times New Roman"/>
          <w:lang w:val="fr-FR" w:eastAsia="es-ES"/>
        </w:rPr>
        <w:t>’</w:t>
      </w:r>
      <w:r w:rsidRPr="002A219D">
        <w:rPr>
          <w:rFonts w:eastAsia="Times New Roman"/>
          <w:lang w:val="fr-FR" w:eastAsia="es-ES"/>
        </w:rPr>
        <w:t>attaques contre des personnes détenues dans le cadre de ces opérations</w:t>
      </w:r>
      <w:r w:rsidRPr="003D4C4E">
        <w:rPr>
          <w:rStyle w:val="Appelnotedebasdep"/>
        </w:rPr>
        <w:footnoteReference w:id="22"/>
      </w:r>
      <w:r w:rsidR="00301135">
        <w:rPr>
          <w:rFonts w:eastAsia="Times New Roman"/>
          <w:lang w:eastAsia="es-ES"/>
        </w:rPr>
        <w:t>.</w:t>
      </w:r>
    </w:p>
    <w:p w:rsidR="00725A71" w:rsidRPr="003D4C4E" w:rsidRDefault="00725A71" w:rsidP="00643D72">
      <w:pPr>
        <w:pStyle w:val="H23G"/>
        <w:rPr>
          <w:rFonts w:eastAsia="Times New Roman"/>
          <w:lang w:val="fr-FR" w:eastAsia="es-ES"/>
        </w:rPr>
      </w:pPr>
      <w:r w:rsidRPr="002A219D">
        <w:rPr>
          <w:rFonts w:eastAsia="Times New Roman"/>
          <w:lang w:val="fr-FR" w:eastAsia="es-ES"/>
        </w:rPr>
        <w:lastRenderedPageBreak/>
        <w:tab/>
      </w:r>
      <w:r w:rsidRPr="002A219D">
        <w:rPr>
          <w:rFonts w:eastAsia="Times New Roman"/>
          <w:lang w:val="fr-FR" w:eastAsia="es-ES"/>
        </w:rPr>
        <w:tab/>
      </w:r>
      <w:r w:rsidRPr="002A219D">
        <w:rPr>
          <w:rFonts w:eastAsia="Times New Roman"/>
          <w:bCs/>
          <w:lang w:val="fr-FR" w:eastAsia="es-ES"/>
        </w:rPr>
        <w:t>Autres questions</w:t>
      </w:r>
    </w:p>
    <w:p w:rsidR="00725A71" w:rsidRPr="003D4C4E" w:rsidRDefault="00725A71" w:rsidP="00301135">
      <w:pPr>
        <w:pStyle w:val="SingleTxtG"/>
        <w:rPr>
          <w:lang w:val="fr-FR" w:eastAsia="es-ES"/>
        </w:rPr>
      </w:pPr>
      <w:r w:rsidRPr="002A219D">
        <w:rPr>
          <w:lang w:val="fr-FR" w:eastAsia="es-ES"/>
        </w:rPr>
        <w:t>33.</w:t>
      </w:r>
      <w:r w:rsidRPr="002A219D">
        <w:rPr>
          <w:lang w:val="fr-FR" w:eastAsia="es-ES"/>
        </w:rPr>
        <w:tab/>
        <w:t>Indiquer si la Colombie envisage de ratifier le Protocole facultatif se rapportant à la Convention</w:t>
      </w:r>
      <w:r w:rsidRPr="003D4C4E">
        <w:rPr>
          <w:rStyle w:val="Appelnotedebasdep"/>
        </w:rPr>
        <w:footnoteReference w:id="23"/>
      </w:r>
      <w:r w:rsidR="00301135">
        <w:rPr>
          <w:lang w:val="fr-FR" w:eastAsia="es-ES"/>
        </w:rPr>
        <w:t>.</w:t>
      </w:r>
    </w:p>
    <w:p w:rsidR="00725A71" w:rsidRPr="003D4C4E" w:rsidRDefault="00725A71" w:rsidP="00643D72">
      <w:pPr>
        <w:pStyle w:val="SingleTxtG"/>
        <w:rPr>
          <w:rFonts w:eastAsia="Times New Roman"/>
          <w:lang w:val="fr-FR" w:eastAsia="es-ES"/>
        </w:rPr>
      </w:pPr>
      <w:r w:rsidRPr="002A219D">
        <w:rPr>
          <w:rFonts w:eastAsia="Times New Roman"/>
          <w:lang w:val="fr-FR" w:eastAsia="es-ES"/>
        </w:rPr>
        <w:t>34.</w:t>
      </w:r>
      <w:r w:rsidRPr="002A219D">
        <w:rPr>
          <w:rFonts w:eastAsia="Times New Roman"/>
          <w:lang w:val="fr-FR" w:eastAsia="es-ES"/>
        </w:rPr>
        <w:tab/>
        <w:t>Donner des renseignements à jour sur les mesures prises par l</w:t>
      </w:r>
      <w:r w:rsidR="00D26A9F">
        <w:rPr>
          <w:rFonts w:eastAsia="Times New Roman"/>
          <w:lang w:val="fr-FR" w:eastAsia="es-ES"/>
        </w:rPr>
        <w:t>’</w:t>
      </w:r>
      <w:r w:rsidRPr="002A219D">
        <w:rPr>
          <w:rFonts w:eastAsia="Times New Roman"/>
          <w:lang w:val="fr-FR" w:eastAsia="es-ES"/>
        </w:rPr>
        <w:t>État partie pour répondre à la menace terroriste et indiquer si ces mesures ont porté atteinte aux garanties concernant les droits de l</w:t>
      </w:r>
      <w:r w:rsidR="00D26A9F">
        <w:rPr>
          <w:rFonts w:eastAsia="Times New Roman"/>
          <w:lang w:val="fr-FR" w:eastAsia="es-ES"/>
        </w:rPr>
        <w:t>’</w:t>
      </w:r>
      <w:r w:rsidRPr="002A219D">
        <w:rPr>
          <w:rFonts w:eastAsia="Times New Roman"/>
          <w:lang w:val="fr-FR" w:eastAsia="es-ES"/>
        </w:rPr>
        <w:t>homme en droit et en pratique, et de quelle manière. Indiquer les dispositions prises par l</w:t>
      </w:r>
      <w:r w:rsidR="00D26A9F">
        <w:rPr>
          <w:rFonts w:eastAsia="Times New Roman"/>
          <w:lang w:val="fr-FR" w:eastAsia="es-ES"/>
        </w:rPr>
        <w:t>’</w:t>
      </w:r>
      <w:r w:rsidRPr="002A219D">
        <w:rPr>
          <w:rFonts w:eastAsia="Times New Roman"/>
          <w:lang w:val="fr-FR" w:eastAsia="es-ES"/>
        </w:rPr>
        <w:t>État partie pour veiller à ce que les mesures de lutte contre le terrorisme soient conformes à toutes les obligations qui lui incombent en vertu du droit international, et tout particulièrement la Convention, en application des résolutions pertinentes du Conseil de sécurité en la matière, en particulier la résolution 1624 (2005). Décrire la formation dispensée aux agents des forces de l</w:t>
      </w:r>
      <w:r w:rsidR="00D26A9F">
        <w:rPr>
          <w:rFonts w:eastAsia="Times New Roman"/>
          <w:lang w:val="fr-FR" w:eastAsia="es-ES"/>
        </w:rPr>
        <w:t>’</w:t>
      </w:r>
      <w:r w:rsidRPr="002A219D">
        <w:rPr>
          <w:rFonts w:eastAsia="Times New Roman"/>
          <w:lang w:val="fr-FR" w:eastAsia="es-ES"/>
        </w:rPr>
        <w:t>ordre dans ce domaine et indiquer combien de personnes ont été condamnées en vertu de la législation antiterroriste, en précisant le type de peines prononcées, et les recours dont peuvent se prévaloir les personnes qui font l</w:t>
      </w:r>
      <w:r w:rsidR="00D26A9F">
        <w:rPr>
          <w:rFonts w:eastAsia="Times New Roman"/>
          <w:lang w:val="fr-FR" w:eastAsia="es-ES"/>
        </w:rPr>
        <w:t>’</w:t>
      </w:r>
      <w:r w:rsidRPr="002A219D">
        <w:rPr>
          <w:rFonts w:eastAsia="Times New Roman"/>
          <w:lang w:val="fr-FR" w:eastAsia="es-ES"/>
        </w:rPr>
        <w:t>objet de mesures antiterroristes. Indiquer également s</w:t>
      </w:r>
      <w:r w:rsidR="00D26A9F">
        <w:rPr>
          <w:rFonts w:eastAsia="Times New Roman"/>
          <w:lang w:val="fr-FR" w:eastAsia="es-ES"/>
        </w:rPr>
        <w:t>’</w:t>
      </w:r>
      <w:r w:rsidRPr="002A219D">
        <w:rPr>
          <w:rFonts w:eastAsia="Times New Roman"/>
          <w:lang w:val="fr-FR" w:eastAsia="es-ES"/>
        </w:rPr>
        <w:t>il y a eu des plaintes pour non-respect des normes internationales et l</w:t>
      </w:r>
      <w:r w:rsidR="00D26A9F">
        <w:rPr>
          <w:rFonts w:eastAsia="Times New Roman"/>
          <w:lang w:val="fr-FR" w:eastAsia="es-ES"/>
        </w:rPr>
        <w:t>’</w:t>
      </w:r>
      <w:r w:rsidRPr="002A219D">
        <w:rPr>
          <w:rFonts w:eastAsia="Times New Roman"/>
          <w:lang w:val="fr-FR" w:eastAsia="es-ES"/>
        </w:rPr>
        <w:t xml:space="preserve">issue qui leur a été donnée. </w:t>
      </w:r>
    </w:p>
    <w:p w:rsidR="00725A71" w:rsidRPr="003D4C4E" w:rsidRDefault="00725A71" w:rsidP="00643D72">
      <w:pPr>
        <w:pStyle w:val="H23G"/>
        <w:rPr>
          <w:lang w:val="fr-FR" w:eastAsia="es-ES"/>
        </w:rPr>
      </w:pPr>
      <w:r w:rsidRPr="002A219D">
        <w:rPr>
          <w:lang w:val="fr-FR" w:eastAsia="es-ES"/>
        </w:rPr>
        <w:tab/>
      </w:r>
      <w:r w:rsidRPr="002A219D">
        <w:rPr>
          <w:lang w:val="fr-FR" w:eastAsia="es-ES"/>
        </w:rPr>
        <w:tab/>
        <w:t>Renseignements d</w:t>
      </w:r>
      <w:r w:rsidR="00D26A9F">
        <w:rPr>
          <w:lang w:val="fr-FR" w:eastAsia="es-ES"/>
        </w:rPr>
        <w:t>’</w:t>
      </w:r>
      <w:r w:rsidRPr="002A219D">
        <w:rPr>
          <w:lang w:val="fr-FR" w:eastAsia="es-ES"/>
        </w:rPr>
        <w:t>ordre général sur les autres mesures et faits nouveaux concernant la mise en œuvre de la</w:t>
      </w:r>
      <w:r w:rsidR="00301135">
        <w:rPr>
          <w:lang w:val="fr-FR" w:eastAsia="es-ES"/>
        </w:rPr>
        <w:t xml:space="preserve"> Convention dans l</w:t>
      </w:r>
      <w:r w:rsidR="00D26A9F">
        <w:rPr>
          <w:lang w:val="fr-FR" w:eastAsia="es-ES"/>
        </w:rPr>
        <w:t>’</w:t>
      </w:r>
      <w:r w:rsidR="00301135">
        <w:rPr>
          <w:lang w:val="fr-FR" w:eastAsia="es-ES"/>
        </w:rPr>
        <w:t>État partie</w:t>
      </w:r>
    </w:p>
    <w:p w:rsidR="00BA41F4" w:rsidRDefault="00725A71" w:rsidP="00725A71">
      <w:pPr>
        <w:pStyle w:val="SingleTxtG"/>
        <w:rPr>
          <w:rFonts w:eastAsia="Times New Roman"/>
          <w:lang w:val="fr-FR" w:eastAsia="es-ES"/>
        </w:rPr>
      </w:pPr>
      <w:r w:rsidRPr="002A219D">
        <w:rPr>
          <w:rFonts w:eastAsia="Times New Roman"/>
          <w:lang w:val="fr-FR" w:eastAsia="es-ES"/>
        </w:rPr>
        <w:t>35.</w:t>
      </w:r>
      <w:r w:rsidRPr="002A219D">
        <w:rPr>
          <w:rFonts w:eastAsia="Times New Roman"/>
          <w:lang w:val="fr-FR" w:eastAsia="es-ES"/>
        </w:rPr>
        <w:tab/>
        <w:t>Donner des informations détaillées sur toute mesure pertinente d</w:t>
      </w:r>
      <w:r w:rsidR="00D26A9F">
        <w:rPr>
          <w:rFonts w:eastAsia="Times New Roman"/>
          <w:lang w:val="fr-FR" w:eastAsia="es-ES"/>
        </w:rPr>
        <w:t>’</w:t>
      </w:r>
      <w:r w:rsidRPr="002A219D">
        <w:rPr>
          <w:rFonts w:eastAsia="Times New Roman"/>
          <w:lang w:val="fr-FR" w:eastAsia="es-ES"/>
        </w:rPr>
        <w:t>ordre législatif, administratif, judiciaire ou autre qui a été prise depuis l</w:t>
      </w:r>
      <w:r w:rsidR="00D26A9F">
        <w:rPr>
          <w:rFonts w:eastAsia="Times New Roman"/>
          <w:lang w:val="fr-FR" w:eastAsia="es-ES"/>
        </w:rPr>
        <w:t>’</w:t>
      </w:r>
      <w:r w:rsidRPr="002A219D">
        <w:rPr>
          <w:rFonts w:eastAsia="Times New Roman"/>
          <w:lang w:val="fr-FR" w:eastAsia="es-ES"/>
        </w:rPr>
        <w:t>examen du précédent rapport périodique de l</w:t>
      </w:r>
      <w:r w:rsidR="00D26A9F">
        <w:rPr>
          <w:rFonts w:eastAsia="Times New Roman"/>
          <w:lang w:val="fr-FR" w:eastAsia="es-ES"/>
        </w:rPr>
        <w:t>’</w:t>
      </w:r>
      <w:r w:rsidRPr="002A219D">
        <w:rPr>
          <w:rFonts w:eastAsia="Times New Roman"/>
          <w:lang w:val="fr-FR" w:eastAsia="es-ES"/>
        </w:rPr>
        <w:t>État partie pour mettre en œuvre les dispositions de la Convention ou pour donner suite aux recommandations du Comité, y compris des changements institutionnels, des plans ou des programmes. Préciser les ressources allouées et fournir des données statistiques ou toute autre information que l</w:t>
      </w:r>
      <w:r w:rsidR="00D26A9F">
        <w:rPr>
          <w:rFonts w:eastAsia="Times New Roman"/>
          <w:lang w:val="fr-FR" w:eastAsia="es-ES"/>
        </w:rPr>
        <w:t>’</w:t>
      </w:r>
      <w:r w:rsidRPr="002A219D">
        <w:rPr>
          <w:rFonts w:eastAsia="Times New Roman"/>
          <w:lang w:val="fr-FR" w:eastAsia="es-ES"/>
        </w:rPr>
        <w:t>État partie juge utile.</w:t>
      </w:r>
    </w:p>
    <w:p w:rsidR="00301135" w:rsidRPr="00301135" w:rsidRDefault="00301135" w:rsidP="00301135">
      <w:pPr>
        <w:pStyle w:val="SingleTxtG"/>
        <w:spacing w:before="240" w:after="0"/>
        <w:jc w:val="center"/>
        <w:rPr>
          <w:u w:val="single"/>
        </w:rPr>
      </w:pPr>
      <w:r>
        <w:rPr>
          <w:u w:val="single"/>
        </w:rPr>
        <w:tab/>
      </w:r>
      <w:r>
        <w:rPr>
          <w:u w:val="single"/>
        </w:rPr>
        <w:tab/>
      </w:r>
      <w:r>
        <w:rPr>
          <w:u w:val="single"/>
        </w:rPr>
        <w:tab/>
      </w:r>
    </w:p>
    <w:sectPr w:rsidR="00301135" w:rsidRPr="00301135" w:rsidSect="00BD2ED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41C" w:rsidRPr="009C4D45" w:rsidRDefault="0084441C" w:rsidP="009C4D45">
      <w:pPr>
        <w:pStyle w:val="Pieddepage"/>
      </w:pPr>
    </w:p>
  </w:endnote>
  <w:endnote w:type="continuationSeparator" w:id="0">
    <w:p w:rsidR="0084441C" w:rsidRPr="009C4D45" w:rsidRDefault="0084441C" w:rsidP="009C4D45">
      <w:pPr>
        <w:pStyle w:val="Pieddepage"/>
      </w:pPr>
    </w:p>
  </w:endnote>
  <w:endnote w:type="continuationNotice" w:id="1">
    <w:p w:rsidR="0084441C" w:rsidRDefault="008444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ED0" w:rsidRPr="00BD2ED0" w:rsidRDefault="00BD2ED0" w:rsidP="00BD2ED0">
    <w:pPr>
      <w:pStyle w:val="Pieddepage"/>
      <w:tabs>
        <w:tab w:val="right" w:pos="9638"/>
      </w:tabs>
    </w:pPr>
    <w:r w:rsidRPr="00BD2ED0">
      <w:rPr>
        <w:b/>
        <w:sz w:val="18"/>
      </w:rPr>
      <w:fldChar w:fldCharType="begin"/>
    </w:r>
    <w:r w:rsidRPr="00BD2ED0">
      <w:rPr>
        <w:b/>
        <w:sz w:val="18"/>
      </w:rPr>
      <w:instrText xml:space="preserve"> PAGE  \* MERGEFORMAT </w:instrText>
    </w:r>
    <w:r w:rsidRPr="00BD2ED0">
      <w:rPr>
        <w:b/>
        <w:sz w:val="18"/>
      </w:rPr>
      <w:fldChar w:fldCharType="separate"/>
    </w:r>
    <w:r w:rsidR="0057544E">
      <w:rPr>
        <w:b/>
        <w:noProof/>
        <w:sz w:val="18"/>
      </w:rPr>
      <w:t>6</w:t>
    </w:r>
    <w:r w:rsidRPr="00BD2ED0">
      <w:rPr>
        <w:b/>
        <w:sz w:val="18"/>
      </w:rPr>
      <w:fldChar w:fldCharType="end"/>
    </w:r>
    <w:r>
      <w:rPr>
        <w:b/>
        <w:sz w:val="18"/>
      </w:rPr>
      <w:tab/>
    </w:r>
    <w:r>
      <w:t>GE.17-08857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ED0" w:rsidRPr="00BD2ED0" w:rsidRDefault="00BD2ED0" w:rsidP="00BD2ED0">
    <w:pPr>
      <w:pStyle w:val="Pieddepage"/>
      <w:tabs>
        <w:tab w:val="right" w:pos="9638"/>
      </w:tabs>
      <w:rPr>
        <w:b/>
        <w:sz w:val="18"/>
      </w:rPr>
    </w:pPr>
    <w:r>
      <w:t>GE.17-08857</w:t>
    </w:r>
    <w:r>
      <w:tab/>
    </w:r>
    <w:r w:rsidRPr="00BD2ED0">
      <w:rPr>
        <w:b/>
        <w:sz w:val="18"/>
      </w:rPr>
      <w:fldChar w:fldCharType="begin"/>
    </w:r>
    <w:r w:rsidRPr="00BD2ED0">
      <w:rPr>
        <w:b/>
        <w:sz w:val="18"/>
      </w:rPr>
      <w:instrText xml:space="preserve"> PAGE  \* MERGEFORMAT </w:instrText>
    </w:r>
    <w:r w:rsidRPr="00BD2ED0">
      <w:rPr>
        <w:b/>
        <w:sz w:val="18"/>
      </w:rPr>
      <w:fldChar w:fldCharType="separate"/>
    </w:r>
    <w:r w:rsidR="0057544E">
      <w:rPr>
        <w:b/>
        <w:noProof/>
        <w:sz w:val="18"/>
      </w:rPr>
      <w:t>7</w:t>
    </w:r>
    <w:r w:rsidRPr="00BD2ED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144" w:rsidRPr="00BD2ED0" w:rsidRDefault="00BD2ED0" w:rsidP="00BD2ED0">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67404080" wp14:editId="26F75E12">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17-08857  (F)    070617    090617</w:t>
    </w:r>
    <w:r>
      <w:rPr>
        <w:sz w:val="20"/>
      </w:rPr>
      <w:br/>
    </w:r>
    <w:r w:rsidRPr="00BD2ED0">
      <w:rPr>
        <w:rFonts w:ascii="C39T30Lfz" w:hAnsi="C39T30Lfz"/>
        <w:sz w:val="56"/>
      </w:rPr>
      <w:t></w:t>
    </w:r>
    <w:r w:rsidRPr="00BD2ED0">
      <w:rPr>
        <w:rFonts w:ascii="C39T30Lfz" w:hAnsi="C39T30Lfz"/>
        <w:sz w:val="56"/>
      </w:rPr>
      <w:t></w:t>
    </w:r>
    <w:r w:rsidRPr="00BD2ED0">
      <w:rPr>
        <w:rFonts w:ascii="C39T30Lfz" w:hAnsi="C39T30Lfz"/>
        <w:sz w:val="56"/>
      </w:rPr>
      <w:t></w:t>
    </w:r>
    <w:r w:rsidRPr="00BD2ED0">
      <w:rPr>
        <w:rFonts w:ascii="C39T30Lfz" w:hAnsi="C39T30Lfz"/>
        <w:sz w:val="56"/>
      </w:rPr>
      <w:t></w:t>
    </w:r>
    <w:r w:rsidRPr="00BD2ED0">
      <w:rPr>
        <w:rFonts w:ascii="C39T30Lfz" w:hAnsi="C39T30Lfz"/>
        <w:sz w:val="56"/>
      </w:rPr>
      <w:t></w:t>
    </w:r>
    <w:r w:rsidRPr="00BD2ED0">
      <w:rPr>
        <w:rFonts w:ascii="C39T30Lfz" w:hAnsi="C39T30Lfz"/>
        <w:sz w:val="56"/>
      </w:rPr>
      <w:t></w:t>
    </w:r>
    <w:r w:rsidRPr="00BD2ED0">
      <w:rPr>
        <w:rFonts w:ascii="C39T30Lfz" w:hAnsi="C39T30Lfz"/>
        <w:sz w:val="56"/>
      </w:rPr>
      <w:t></w:t>
    </w:r>
    <w:r w:rsidRPr="00BD2ED0">
      <w:rPr>
        <w:rFonts w:ascii="C39T30Lfz" w:hAnsi="C39T30Lfz"/>
        <w:sz w:val="56"/>
      </w:rPr>
      <w:t></w:t>
    </w:r>
    <w:r w:rsidRPr="00BD2ED0">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COL/QPR/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COL/QPR/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41C" w:rsidRPr="009C4D45" w:rsidRDefault="0084441C" w:rsidP="009C4D45">
      <w:pPr>
        <w:pStyle w:val="Pieddepage"/>
        <w:tabs>
          <w:tab w:val="right" w:pos="2155"/>
        </w:tabs>
        <w:spacing w:after="80" w:line="240" w:lineRule="atLeast"/>
        <w:ind w:left="680"/>
        <w:rPr>
          <w:u w:val="single"/>
        </w:rPr>
      </w:pPr>
      <w:r>
        <w:rPr>
          <w:u w:val="single"/>
        </w:rPr>
        <w:tab/>
      </w:r>
    </w:p>
  </w:footnote>
  <w:footnote w:type="continuationSeparator" w:id="0">
    <w:p w:rsidR="0084441C" w:rsidRPr="00035AE4" w:rsidRDefault="0084441C" w:rsidP="00035AE4">
      <w:pPr>
        <w:pStyle w:val="Pieddepage"/>
        <w:tabs>
          <w:tab w:val="right" w:pos="2155"/>
        </w:tabs>
        <w:spacing w:after="80" w:line="240" w:lineRule="atLeast"/>
        <w:ind w:left="680"/>
        <w:rPr>
          <w:u w:val="single"/>
        </w:rPr>
      </w:pPr>
      <w:r>
        <w:rPr>
          <w:u w:val="single"/>
        </w:rPr>
        <w:tab/>
      </w:r>
    </w:p>
  </w:footnote>
  <w:footnote w:type="continuationNotice" w:id="1">
    <w:p w:rsidR="0084441C" w:rsidRPr="00035AE4" w:rsidRDefault="0084441C">
      <w:pPr>
        <w:spacing w:line="240" w:lineRule="auto"/>
        <w:rPr>
          <w:sz w:val="2"/>
          <w:szCs w:val="2"/>
        </w:rPr>
      </w:pPr>
    </w:p>
  </w:footnote>
  <w:footnote w:id="2">
    <w:p w:rsidR="00725A71" w:rsidRPr="001D5E8E" w:rsidRDefault="00725A71" w:rsidP="00725A71">
      <w:pPr>
        <w:pStyle w:val="Notedebasdepage"/>
        <w:rPr>
          <w:sz w:val="20"/>
        </w:rPr>
      </w:pPr>
      <w:r>
        <w:rPr>
          <w:lang w:val="fr-FR"/>
        </w:rPr>
        <w:tab/>
        <w:t>*</w:t>
      </w:r>
      <w:r>
        <w:rPr>
          <w:lang w:val="fr-FR"/>
        </w:rPr>
        <w:tab/>
        <w:t>Adoptée par le Comité à sa soixantième session (18 avril-12 mai 2017).</w:t>
      </w:r>
    </w:p>
  </w:footnote>
  <w:footnote w:id="3">
    <w:p w:rsidR="00725A71" w:rsidRPr="00F62682" w:rsidRDefault="00725A71" w:rsidP="00725A71">
      <w:pPr>
        <w:pStyle w:val="Notedebasdepage"/>
        <w:rPr>
          <w:szCs w:val="18"/>
        </w:rPr>
      </w:pPr>
      <w:r w:rsidRPr="00F62682">
        <w:rPr>
          <w:szCs w:val="18"/>
          <w:lang w:val="fr-FR"/>
        </w:rPr>
        <w:tab/>
      </w:r>
      <w:r w:rsidRPr="003D4C4E">
        <w:rPr>
          <w:rStyle w:val="Appelnotedebasdep"/>
        </w:rPr>
        <w:footnoteRef/>
      </w:r>
      <w:r>
        <w:rPr>
          <w:lang w:val="fr-FR"/>
        </w:rPr>
        <w:t xml:space="preserve"> </w:t>
      </w:r>
      <w:r>
        <w:rPr>
          <w:lang w:val="fr-FR"/>
        </w:rPr>
        <w:tab/>
        <w:t xml:space="preserve">Sauf indication contraire, les numéros de paragraphe entre parenthèses renvoient aux précédentes observations finales du Comité. </w:t>
      </w:r>
    </w:p>
  </w:footnote>
  <w:footnote w:id="4">
    <w:p w:rsidR="00725A71" w:rsidRPr="00F62682" w:rsidRDefault="00725A71" w:rsidP="00725A71">
      <w:pPr>
        <w:pStyle w:val="Notedebasdepage"/>
        <w:rPr>
          <w:szCs w:val="18"/>
        </w:rPr>
      </w:pPr>
      <w:r w:rsidRPr="00F62682">
        <w:rPr>
          <w:szCs w:val="18"/>
          <w:lang w:val="fr-FR"/>
        </w:rPr>
        <w:tab/>
      </w:r>
      <w:r w:rsidRPr="003D4C4E">
        <w:rPr>
          <w:rStyle w:val="Appelnotedebasdep"/>
        </w:rPr>
        <w:footnoteRef/>
      </w:r>
      <w:r>
        <w:rPr>
          <w:lang w:val="fr-FR"/>
        </w:rPr>
        <w:t xml:space="preserve"> </w:t>
      </w:r>
      <w:r>
        <w:rPr>
          <w:lang w:val="fr-FR"/>
        </w:rPr>
        <w:tab/>
        <w:t>Les points soulevés au titre de l’article 2 peuvent également l’être au titre d’autres articles de la Convention, notamment de l’article 16. Selon le paragraphe</w:t>
      </w:r>
      <w:r w:rsidR="002A2DA2">
        <w:rPr>
          <w:lang w:val="fr-FR"/>
        </w:rPr>
        <w:t xml:space="preserve"> 3 de l’observation générale </w:t>
      </w:r>
      <w:r w:rsidR="002A2DA2" w:rsidRPr="002A2DA2">
        <w:rPr>
          <w:rFonts w:eastAsia="MS Mincho"/>
          <w:lang w:val="fr-FR"/>
        </w:rPr>
        <w:t>n</w:t>
      </w:r>
      <w:r w:rsidR="002A2DA2" w:rsidRPr="002A2DA2">
        <w:rPr>
          <w:rFonts w:eastAsia="MS Mincho"/>
          <w:vertAlign w:val="superscript"/>
          <w:lang w:val="fr-FR"/>
        </w:rPr>
        <w:t>o</w:t>
      </w:r>
      <w:r w:rsidR="002A2DA2">
        <w:rPr>
          <w:lang w:val="fr-FR"/>
        </w:rPr>
        <w:t> </w:t>
      </w:r>
      <w:r>
        <w:rPr>
          <w:lang w:val="fr-FR"/>
        </w:rPr>
        <w:t>2 (2008) : « L’obligation de prévenir la torture consacrée à l’article 2 est de portée large. Cette obligation et celle de prévenir les peines ou traitements cruels, inhumains ou dégradants (ci-après “mauvais traitements”), énoncées au paragraphe 1 de l’article 16, sont indissociables, interdépendantes et intimement liées. Dans la pratique, l’obligation de prévenir les mauvais traitements recoupe celle d’empêcher que des actes de torture ne soient commis et lui est dans une large mesure équivalente. » Dans la pratique, la distinction entre les mauvais traitements et la torture est souvent floue. Voir également la partie V de cette même observation générale.</w:t>
      </w:r>
    </w:p>
  </w:footnote>
  <w:footnote w:id="5">
    <w:p w:rsidR="00725A71" w:rsidRPr="00591467" w:rsidRDefault="00725A71" w:rsidP="00725A71">
      <w:pPr>
        <w:pStyle w:val="Notedebasdepage"/>
      </w:pPr>
      <w:r w:rsidRPr="00F62682">
        <w:rPr>
          <w:lang w:val="fr-FR"/>
        </w:rPr>
        <w:tab/>
      </w:r>
      <w:r w:rsidRPr="003D4C4E">
        <w:rPr>
          <w:rStyle w:val="Appelnotedebasdep"/>
        </w:rPr>
        <w:footnoteRef/>
      </w:r>
      <w:r>
        <w:rPr>
          <w:lang w:val="fr-FR"/>
        </w:rPr>
        <w:tab/>
        <w:t>CED/C/COL/CO/1, par. 29 à 32.</w:t>
      </w:r>
    </w:p>
  </w:footnote>
  <w:footnote w:id="6">
    <w:p w:rsidR="00725A71" w:rsidRPr="00591467" w:rsidRDefault="00725A71" w:rsidP="00725A71">
      <w:pPr>
        <w:pStyle w:val="Notedebasdepage"/>
        <w:rPr>
          <w:szCs w:val="18"/>
        </w:rPr>
      </w:pPr>
      <w:r w:rsidRPr="00591467">
        <w:rPr>
          <w:szCs w:val="18"/>
          <w:lang w:val="fr-FR"/>
        </w:rPr>
        <w:tab/>
      </w:r>
      <w:r w:rsidRPr="003D4C4E">
        <w:rPr>
          <w:rStyle w:val="Appelnotedebasdep"/>
        </w:rPr>
        <w:footnoteRef/>
      </w:r>
      <w:r>
        <w:rPr>
          <w:lang w:val="fr-FR"/>
        </w:rPr>
        <w:tab/>
        <w:t>CCPR/C/COL/CO/7, par. 18 et 19 ; A/HRC/31/3/Add.2, par. 92.</w:t>
      </w:r>
    </w:p>
  </w:footnote>
  <w:footnote w:id="7">
    <w:p w:rsidR="00725A71" w:rsidRPr="00F1493F" w:rsidRDefault="00725A71" w:rsidP="00725A71">
      <w:pPr>
        <w:pStyle w:val="Notedebasdepage"/>
        <w:rPr>
          <w:szCs w:val="18"/>
        </w:rPr>
      </w:pPr>
      <w:r w:rsidRPr="00591467">
        <w:rPr>
          <w:szCs w:val="18"/>
          <w:lang w:val="fr-FR"/>
        </w:rPr>
        <w:tab/>
      </w:r>
      <w:r w:rsidRPr="003D4C4E">
        <w:rPr>
          <w:rStyle w:val="Appelnotedebasdep"/>
        </w:rPr>
        <w:footnoteRef/>
      </w:r>
      <w:r>
        <w:rPr>
          <w:lang w:val="fr-FR"/>
        </w:rPr>
        <w:tab/>
        <w:t>CCPR/C/COL/CO/7, par. 18 et 19 ; CRPD/C/COL/CO/1, par. 44 et</w:t>
      </w:r>
      <w:r w:rsidR="00301135">
        <w:rPr>
          <w:lang w:val="fr-FR"/>
        </w:rPr>
        <w:t xml:space="preserve"> 45 ; CRC/C/COL/CO/4-5, par. 65 c), </w:t>
      </w:r>
      <w:r>
        <w:rPr>
          <w:lang w:val="fr-FR"/>
        </w:rPr>
        <w:t>A/HRC/31/3/Add.2, par. 92.</w:t>
      </w:r>
    </w:p>
  </w:footnote>
  <w:footnote w:id="8">
    <w:p w:rsidR="00725A71" w:rsidRPr="00F1493F" w:rsidRDefault="00725A71" w:rsidP="00725A71">
      <w:pPr>
        <w:pStyle w:val="Notedebasdepage"/>
        <w:rPr>
          <w:szCs w:val="18"/>
        </w:rPr>
      </w:pPr>
      <w:r w:rsidRPr="00F1493F">
        <w:rPr>
          <w:szCs w:val="18"/>
          <w:lang w:val="fr-FR"/>
        </w:rPr>
        <w:tab/>
      </w:r>
      <w:r w:rsidRPr="003D4C4E">
        <w:rPr>
          <w:rStyle w:val="Appelnotedebasdep"/>
        </w:rPr>
        <w:footnoteRef/>
      </w:r>
      <w:r>
        <w:rPr>
          <w:lang w:val="fr-FR"/>
        </w:rPr>
        <w:tab/>
        <w:t>CCPR/C/COL/CO/7, par. 26 et 27.</w:t>
      </w:r>
    </w:p>
  </w:footnote>
  <w:footnote w:id="9">
    <w:p w:rsidR="00725A71" w:rsidRPr="00363C9C" w:rsidRDefault="00725A71" w:rsidP="00725A71">
      <w:pPr>
        <w:pStyle w:val="Notedebasdepage"/>
      </w:pPr>
      <w:r w:rsidRPr="00F1493F">
        <w:rPr>
          <w:lang w:val="fr-FR"/>
        </w:rPr>
        <w:tab/>
      </w:r>
      <w:r w:rsidRPr="003D4C4E">
        <w:rPr>
          <w:rStyle w:val="Appelnotedebasdep"/>
        </w:rPr>
        <w:footnoteRef/>
      </w:r>
      <w:r>
        <w:rPr>
          <w:lang w:val="fr-FR"/>
        </w:rPr>
        <w:tab/>
        <w:t>CAT/C/COL/CO/5/Add.1, par. 16 à 42.</w:t>
      </w:r>
    </w:p>
  </w:footnote>
  <w:footnote w:id="10">
    <w:p w:rsidR="00725A71" w:rsidRPr="00363C9C" w:rsidRDefault="00725A71" w:rsidP="00725A71">
      <w:pPr>
        <w:pStyle w:val="Notedebasdepage"/>
        <w:rPr>
          <w:szCs w:val="18"/>
        </w:rPr>
      </w:pPr>
      <w:r w:rsidRPr="00363C9C">
        <w:rPr>
          <w:szCs w:val="18"/>
          <w:lang w:val="fr-FR"/>
        </w:rPr>
        <w:tab/>
      </w:r>
      <w:r w:rsidRPr="003D4C4E">
        <w:rPr>
          <w:rStyle w:val="Appelnotedebasdep"/>
        </w:rPr>
        <w:footnoteRef/>
      </w:r>
      <w:r>
        <w:rPr>
          <w:lang w:val="fr-FR"/>
        </w:rPr>
        <w:tab/>
        <w:t xml:space="preserve">Ibid., par. 60 à 74. </w:t>
      </w:r>
    </w:p>
  </w:footnote>
  <w:footnote w:id="11">
    <w:p w:rsidR="00725A71" w:rsidRPr="00363C9C" w:rsidRDefault="00725A71" w:rsidP="00725A71">
      <w:pPr>
        <w:pStyle w:val="Notedebasdepage"/>
      </w:pPr>
      <w:r w:rsidRPr="00363C9C">
        <w:rPr>
          <w:szCs w:val="18"/>
          <w:lang w:val="fr-FR"/>
        </w:rPr>
        <w:tab/>
      </w:r>
      <w:r w:rsidRPr="003D4C4E">
        <w:rPr>
          <w:rStyle w:val="Appelnotedebasdep"/>
        </w:rPr>
        <w:footnoteRef/>
      </w:r>
      <w:r w:rsidR="00D26A9F">
        <w:rPr>
          <w:lang w:val="fr-FR"/>
        </w:rPr>
        <w:tab/>
        <w:t>CCPR/C/COL/CO/7, par. 28 et 29 ;</w:t>
      </w:r>
      <w:r>
        <w:rPr>
          <w:lang w:val="fr-FR"/>
        </w:rPr>
        <w:t xml:space="preserve"> A/HRC/31/3/Add.2, par. 93 et 94.</w:t>
      </w:r>
    </w:p>
  </w:footnote>
  <w:footnote w:id="12">
    <w:p w:rsidR="00725A71" w:rsidRPr="00F1493F" w:rsidRDefault="00725A71" w:rsidP="00725A71">
      <w:pPr>
        <w:pStyle w:val="Notedebasdepage"/>
        <w:rPr>
          <w:szCs w:val="18"/>
        </w:rPr>
      </w:pPr>
      <w:r w:rsidRPr="00363C9C">
        <w:rPr>
          <w:szCs w:val="18"/>
          <w:lang w:val="fr-FR"/>
        </w:rPr>
        <w:tab/>
      </w:r>
      <w:r w:rsidRPr="003D4C4E">
        <w:rPr>
          <w:rStyle w:val="Appelnotedebasdep"/>
        </w:rPr>
        <w:footnoteRef/>
      </w:r>
      <w:r>
        <w:rPr>
          <w:lang w:val="fr-FR"/>
        </w:rPr>
        <w:tab/>
        <w:t>CAT/C/COL/CO/5/Add.1, par. 43 à 59 ; A/HRC/31/3/Add.2, par. 93.</w:t>
      </w:r>
    </w:p>
  </w:footnote>
  <w:footnote w:id="13">
    <w:p w:rsidR="00725A71" w:rsidRPr="00F1493F" w:rsidRDefault="00725A71" w:rsidP="00725A71">
      <w:pPr>
        <w:pStyle w:val="Notedebasdepage"/>
        <w:rPr>
          <w:szCs w:val="18"/>
        </w:rPr>
      </w:pPr>
      <w:r w:rsidRPr="00591467">
        <w:rPr>
          <w:szCs w:val="18"/>
          <w:lang w:val="fr-FR"/>
        </w:rPr>
        <w:tab/>
      </w:r>
      <w:r w:rsidRPr="003D4C4E">
        <w:rPr>
          <w:rStyle w:val="Appelnotedebasdep"/>
        </w:rPr>
        <w:footnoteRef/>
      </w:r>
      <w:r>
        <w:rPr>
          <w:lang w:val="fr-FR"/>
        </w:rPr>
        <w:tab/>
        <w:t xml:space="preserve">CCPR/C/COL/CO/7, par. 28 et 29; CRC/C/COL/CO/4-5, par. 27 a) et 28 b). </w:t>
      </w:r>
    </w:p>
  </w:footnote>
  <w:footnote w:id="14">
    <w:p w:rsidR="00725A71" w:rsidRPr="00F1493F" w:rsidRDefault="00725A71" w:rsidP="00725A71">
      <w:pPr>
        <w:pStyle w:val="Notedebasdepage"/>
        <w:rPr>
          <w:szCs w:val="18"/>
        </w:rPr>
      </w:pPr>
      <w:r w:rsidRPr="00F1493F">
        <w:rPr>
          <w:szCs w:val="18"/>
          <w:lang w:val="fr-FR"/>
        </w:rPr>
        <w:tab/>
      </w:r>
      <w:r w:rsidRPr="003D4C4E">
        <w:rPr>
          <w:rStyle w:val="Appelnotedebasdep"/>
        </w:rPr>
        <w:footnoteRef/>
      </w:r>
      <w:r>
        <w:rPr>
          <w:lang w:val="fr-FR"/>
        </w:rPr>
        <w:tab/>
        <w:t>CAT/C/COL/CO/5/Add.1, par. 16 à 42.</w:t>
      </w:r>
    </w:p>
  </w:footnote>
  <w:footnote w:id="15">
    <w:p w:rsidR="00725A71" w:rsidRPr="00F1493F" w:rsidRDefault="00725A71" w:rsidP="00725A71">
      <w:pPr>
        <w:pStyle w:val="Notedebasdepage"/>
        <w:rPr>
          <w:szCs w:val="18"/>
        </w:rPr>
      </w:pPr>
      <w:r w:rsidRPr="00F1493F">
        <w:rPr>
          <w:szCs w:val="18"/>
          <w:lang w:val="fr-FR"/>
        </w:rPr>
        <w:tab/>
      </w:r>
      <w:r w:rsidRPr="003D4C4E">
        <w:rPr>
          <w:rStyle w:val="Appelnotedebasdep"/>
        </w:rPr>
        <w:footnoteRef/>
      </w:r>
      <w:r>
        <w:rPr>
          <w:lang w:val="fr-FR"/>
        </w:rPr>
        <w:tab/>
        <w:t>CCPR/C/COL/CO</w:t>
      </w:r>
      <w:r w:rsidR="002A2DA2">
        <w:rPr>
          <w:lang w:val="fr-FR"/>
        </w:rPr>
        <w:t>/7, par. 8, 9, 14, 15, 24 et 25 ;</w:t>
      </w:r>
      <w:r>
        <w:rPr>
          <w:lang w:val="fr-FR"/>
        </w:rPr>
        <w:t xml:space="preserve"> </w:t>
      </w:r>
      <w:r w:rsidR="002A2DA2">
        <w:rPr>
          <w:lang w:val="fr-FR"/>
        </w:rPr>
        <w:t>CERD/C/COL/CO/14, par. 14 et 15 ; CED/C/COL/CO/1, par. 19 à 28 ;</w:t>
      </w:r>
      <w:r>
        <w:rPr>
          <w:lang w:val="fr-FR"/>
        </w:rPr>
        <w:t xml:space="preserve"> A/HRC/31/3/Add.2, par. 6, 11 à 13 et 52 à 62.</w:t>
      </w:r>
    </w:p>
  </w:footnote>
  <w:footnote w:id="16">
    <w:p w:rsidR="00725A71" w:rsidRPr="00591467" w:rsidRDefault="00725A71" w:rsidP="00725A71">
      <w:pPr>
        <w:pStyle w:val="Notedebasdepage"/>
        <w:rPr>
          <w:szCs w:val="18"/>
        </w:rPr>
      </w:pPr>
      <w:r w:rsidRPr="00F1493F">
        <w:rPr>
          <w:szCs w:val="18"/>
          <w:lang w:val="fr-FR"/>
        </w:rPr>
        <w:tab/>
      </w:r>
      <w:r w:rsidRPr="003D4C4E">
        <w:rPr>
          <w:rStyle w:val="Appelnotedebasdep"/>
        </w:rPr>
        <w:footnoteRef/>
      </w:r>
      <w:r>
        <w:rPr>
          <w:lang w:val="fr-FR"/>
        </w:rPr>
        <w:tab/>
        <w:t>CAT/C/COL/CO/5/Add.1, par. 75 à 100.</w:t>
      </w:r>
    </w:p>
  </w:footnote>
  <w:footnote w:id="17">
    <w:p w:rsidR="00725A71" w:rsidRPr="00363C9C" w:rsidRDefault="00725A71" w:rsidP="00725A71">
      <w:pPr>
        <w:pStyle w:val="Notedebasdepage"/>
      </w:pPr>
      <w:r w:rsidRPr="00591467">
        <w:rPr>
          <w:lang w:val="fr-FR"/>
        </w:rPr>
        <w:tab/>
      </w:r>
      <w:r w:rsidRPr="003D4C4E">
        <w:rPr>
          <w:rStyle w:val="Appelnotedebasdep"/>
        </w:rPr>
        <w:footnoteRef/>
      </w:r>
      <w:r w:rsidR="002A2DA2">
        <w:rPr>
          <w:lang w:val="fr-FR"/>
        </w:rPr>
        <w:tab/>
        <w:t>Ibid., par. 90 ;</w:t>
      </w:r>
      <w:r>
        <w:rPr>
          <w:lang w:val="fr-FR"/>
        </w:rPr>
        <w:t xml:space="preserve"> CED/C/COL/CO/1, par. 33 à 36.</w:t>
      </w:r>
    </w:p>
  </w:footnote>
  <w:footnote w:id="18">
    <w:p w:rsidR="00725A71" w:rsidRPr="00F62682" w:rsidRDefault="00725A71" w:rsidP="00725A71">
      <w:pPr>
        <w:pStyle w:val="Notedebasdepage"/>
        <w:rPr>
          <w:szCs w:val="18"/>
        </w:rPr>
      </w:pPr>
      <w:r w:rsidRPr="00363C9C">
        <w:rPr>
          <w:szCs w:val="18"/>
          <w:lang w:val="fr-FR"/>
        </w:rPr>
        <w:tab/>
      </w:r>
      <w:r w:rsidRPr="003D4C4E">
        <w:rPr>
          <w:rStyle w:val="Appelnotedebasdep"/>
        </w:rPr>
        <w:footnoteRef/>
      </w:r>
      <w:r>
        <w:rPr>
          <w:lang w:val="fr-FR"/>
        </w:rPr>
        <w:tab/>
        <w:t>A/HRC/31/3/Add.2, par. 7, 8, 18, 19, 35, 46, 49 et 65 à 73.</w:t>
      </w:r>
    </w:p>
  </w:footnote>
  <w:footnote w:id="19">
    <w:p w:rsidR="00725A71" w:rsidRDefault="00725A71" w:rsidP="00725A71">
      <w:pPr>
        <w:pStyle w:val="Notedebasdepage"/>
      </w:pPr>
      <w:r>
        <w:rPr>
          <w:lang w:val="fr-FR"/>
        </w:rPr>
        <w:tab/>
      </w:r>
      <w:r w:rsidRPr="003D4C4E">
        <w:rPr>
          <w:rStyle w:val="Appelnotedebasdep"/>
        </w:rPr>
        <w:footnoteRef/>
      </w:r>
      <w:r>
        <w:rPr>
          <w:lang w:val="fr-FR"/>
        </w:rPr>
        <w:t xml:space="preserve"> </w:t>
      </w:r>
      <w:r>
        <w:rPr>
          <w:lang w:val="fr-FR"/>
        </w:rPr>
        <w:tab/>
        <w:t>Ibid., par. 7.</w:t>
      </w:r>
    </w:p>
  </w:footnote>
  <w:footnote w:id="20">
    <w:p w:rsidR="00725A71" w:rsidRPr="00591467" w:rsidRDefault="00725A71" w:rsidP="00725A71">
      <w:pPr>
        <w:pStyle w:val="Notedebasdepage"/>
        <w:rPr>
          <w:szCs w:val="18"/>
        </w:rPr>
      </w:pPr>
      <w:r w:rsidRPr="00F62682">
        <w:rPr>
          <w:szCs w:val="18"/>
          <w:lang w:val="fr-FR"/>
        </w:rPr>
        <w:tab/>
      </w:r>
      <w:r w:rsidRPr="003D4C4E">
        <w:rPr>
          <w:rStyle w:val="Appelnotedebasdep"/>
        </w:rPr>
        <w:footnoteRef/>
      </w:r>
      <w:r w:rsidR="002A2DA2">
        <w:rPr>
          <w:lang w:val="fr-FR"/>
        </w:rPr>
        <w:tab/>
        <w:t>CCPR/C/COL/CO/7, par. 10 à 14 ;</w:t>
      </w:r>
      <w:r>
        <w:rPr>
          <w:lang w:val="fr-FR"/>
        </w:rPr>
        <w:t xml:space="preserve"> CERD/C/COL/CO/14, par. 17 ; A/HRC/31/3/Add.2, par. 23 à 30.</w:t>
      </w:r>
    </w:p>
  </w:footnote>
  <w:footnote w:id="21">
    <w:p w:rsidR="00725A71" w:rsidRPr="00F62682" w:rsidRDefault="00725A71" w:rsidP="00725A71">
      <w:pPr>
        <w:pStyle w:val="Notedebasdepage"/>
        <w:rPr>
          <w:szCs w:val="18"/>
        </w:rPr>
      </w:pPr>
      <w:r w:rsidRPr="00F1493F">
        <w:rPr>
          <w:szCs w:val="18"/>
          <w:lang w:val="fr-FR"/>
        </w:rPr>
        <w:tab/>
      </w:r>
      <w:r w:rsidRPr="003D4C4E">
        <w:rPr>
          <w:rStyle w:val="Appelnotedebasdep"/>
        </w:rPr>
        <w:footnoteRef/>
      </w:r>
      <w:r w:rsidR="002A2DA2">
        <w:rPr>
          <w:lang w:val="fr-FR"/>
        </w:rPr>
        <w:tab/>
        <w:t>CCPR/C/COL/CO/7, par. 16 et 17 ;</w:t>
      </w:r>
      <w:r>
        <w:rPr>
          <w:lang w:val="fr-FR"/>
        </w:rPr>
        <w:t xml:space="preserve"> A/HRC/31/3/Add.2, par. 90.</w:t>
      </w:r>
    </w:p>
  </w:footnote>
  <w:footnote w:id="22">
    <w:p w:rsidR="00725A71" w:rsidRPr="00591467" w:rsidRDefault="00725A71" w:rsidP="00725A71">
      <w:pPr>
        <w:pStyle w:val="Notedebasdepage"/>
        <w:rPr>
          <w:szCs w:val="18"/>
        </w:rPr>
      </w:pPr>
      <w:r w:rsidRPr="00F62682">
        <w:rPr>
          <w:szCs w:val="18"/>
          <w:lang w:val="fr-FR"/>
        </w:rPr>
        <w:tab/>
      </w:r>
      <w:r w:rsidRPr="003D4C4E">
        <w:rPr>
          <w:rStyle w:val="Appelnotedebasdep"/>
        </w:rPr>
        <w:footnoteRef/>
      </w:r>
      <w:r>
        <w:rPr>
          <w:lang w:val="fr-FR"/>
        </w:rPr>
        <w:tab/>
        <w:t>Coalition colombienne contre la torture, rapport sur la suite donnée aux recommandations du Comité contre la torture, p.</w:t>
      </w:r>
      <w:r w:rsidR="002A2DA2">
        <w:rPr>
          <w:lang w:val="fr-FR"/>
        </w:rPr>
        <w:t> </w:t>
      </w:r>
      <w:r>
        <w:rPr>
          <w:lang w:val="fr-FR"/>
        </w:rPr>
        <w:t>2 à 4. Voir aussi</w:t>
      </w:r>
      <w:r w:rsidR="002A2DA2">
        <w:rPr>
          <w:lang w:val="fr-FR"/>
        </w:rPr>
        <w:t xml:space="preserve"> CCPR/C/COL/CO/7, par. 34 et 35 ;</w:t>
      </w:r>
      <w:r>
        <w:rPr>
          <w:lang w:val="fr-FR"/>
        </w:rPr>
        <w:t xml:space="preserve"> et A/H</w:t>
      </w:r>
      <w:r w:rsidR="00301135">
        <w:rPr>
          <w:lang w:val="fr-FR"/>
        </w:rPr>
        <w:t>RC/31/3/Add.2, par. </w:t>
      </w:r>
      <w:r>
        <w:rPr>
          <w:lang w:val="fr-FR"/>
        </w:rPr>
        <w:t>45.</w:t>
      </w:r>
    </w:p>
  </w:footnote>
  <w:footnote w:id="23">
    <w:p w:rsidR="00725A71" w:rsidRPr="00F62682" w:rsidRDefault="00725A71" w:rsidP="00725A71">
      <w:pPr>
        <w:pStyle w:val="Notedebasdepage"/>
      </w:pPr>
      <w:r w:rsidRPr="00591467">
        <w:rPr>
          <w:lang w:val="fr-FR"/>
        </w:rPr>
        <w:tab/>
      </w:r>
      <w:r w:rsidRPr="003D4C4E">
        <w:rPr>
          <w:rStyle w:val="Appelnotedebasdep"/>
        </w:rPr>
        <w:footnoteRef/>
      </w:r>
      <w:r>
        <w:rPr>
          <w:lang w:val="fr-FR"/>
        </w:rPr>
        <w:tab/>
        <w:t>A/HRC/31/3/Add.2, par. 94.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ED0" w:rsidRPr="00BD2ED0" w:rsidRDefault="00B06AFF">
    <w:pPr>
      <w:pStyle w:val="En-tte"/>
    </w:pPr>
    <w:fldSimple w:instr=" TITLE  \* MERGEFORMAT ">
      <w:r w:rsidR="0057544E">
        <w:t>CAT/C/COL/QPR/6</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ED0" w:rsidRPr="00BD2ED0" w:rsidRDefault="00B06AFF" w:rsidP="00BD2ED0">
    <w:pPr>
      <w:pStyle w:val="En-tte"/>
      <w:jc w:val="right"/>
    </w:pPr>
    <w:fldSimple w:instr=" TITLE  \* MERGEFORMAT ">
      <w:r w:rsidR="0057544E">
        <w:t>CAT/C/COL/QPR/6</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proofState w:spelling="clean"/>
  <w:attachedTemplate r:id="rId1"/>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1C"/>
    <w:rsid w:val="00023842"/>
    <w:rsid w:val="00035AE4"/>
    <w:rsid w:val="00037DF1"/>
    <w:rsid w:val="0007796D"/>
    <w:rsid w:val="00092EA1"/>
    <w:rsid w:val="00101756"/>
    <w:rsid w:val="00111F2F"/>
    <w:rsid w:val="0014365E"/>
    <w:rsid w:val="00176178"/>
    <w:rsid w:val="001C4817"/>
    <w:rsid w:val="001F525A"/>
    <w:rsid w:val="002A2DA2"/>
    <w:rsid w:val="00301135"/>
    <w:rsid w:val="004150B9"/>
    <w:rsid w:val="00446FE5"/>
    <w:rsid w:val="004A7A20"/>
    <w:rsid w:val="004E2C55"/>
    <w:rsid w:val="004F046A"/>
    <w:rsid w:val="00553A1F"/>
    <w:rsid w:val="005709D1"/>
    <w:rsid w:val="00573BE5"/>
    <w:rsid w:val="0057544E"/>
    <w:rsid w:val="00586ED3"/>
    <w:rsid w:val="00587A52"/>
    <w:rsid w:val="005970D5"/>
    <w:rsid w:val="005A51D3"/>
    <w:rsid w:val="005B4E23"/>
    <w:rsid w:val="00607D03"/>
    <w:rsid w:val="00621144"/>
    <w:rsid w:val="00643D72"/>
    <w:rsid w:val="0071601D"/>
    <w:rsid w:val="00725A71"/>
    <w:rsid w:val="007432FB"/>
    <w:rsid w:val="007E6CE9"/>
    <w:rsid w:val="0080684C"/>
    <w:rsid w:val="00807D21"/>
    <w:rsid w:val="00840C6C"/>
    <w:rsid w:val="0084441C"/>
    <w:rsid w:val="00871C75"/>
    <w:rsid w:val="008776DC"/>
    <w:rsid w:val="009705C8"/>
    <w:rsid w:val="00980BD1"/>
    <w:rsid w:val="0099202C"/>
    <w:rsid w:val="009C4D45"/>
    <w:rsid w:val="009F531E"/>
    <w:rsid w:val="00A05770"/>
    <w:rsid w:val="00A37C92"/>
    <w:rsid w:val="00A704A8"/>
    <w:rsid w:val="00A85498"/>
    <w:rsid w:val="00AA0CD3"/>
    <w:rsid w:val="00AB0052"/>
    <w:rsid w:val="00AB1B55"/>
    <w:rsid w:val="00AE323C"/>
    <w:rsid w:val="00B06AFF"/>
    <w:rsid w:val="00B85A65"/>
    <w:rsid w:val="00BA41F4"/>
    <w:rsid w:val="00BC4B6F"/>
    <w:rsid w:val="00BD2ED0"/>
    <w:rsid w:val="00BD45DB"/>
    <w:rsid w:val="00BF54FD"/>
    <w:rsid w:val="00C02897"/>
    <w:rsid w:val="00CA5CE1"/>
    <w:rsid w:val="00CD326D"/>
    <w:rsid w:val="00D21E12"/>
    <w:rsid w:val="00D26A9F"/>
    <w:rsid w:val="00DB1831"/>
    <w:rsid w:val="00DD256E"/>
    <w:rsid w:val="00DD3BFD"/>
    <w:rsid w:val="00E554A4"/>
    <w:rsid w:val="00EA0D23"/>
    <w:rsid w:val="00EA3F83"/>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FD4B1ED-49B0-4B21-952F-6DBC031D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7</Pages>
  <Words>3516</Words>
  <Characters>19340</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CAT/C/COL/QPR/6</vt:lpstr>
    </vt:vector>
  </TitlesOfParts>
  <Company>DCM</Company>
  <LinksUpToDate>false</LinksUpToDate>
  <CharactersWithSpaces>22811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CAT/C/COL/QPR/6</dc:title>
  <dc:subject/>
  <dc:creator>Sylvie LAMY</dc:creator>
  <cp:keywords/>
  <cp:lastModifiedBy>Christine DEVOUASSOUX</cp:lastModifiedBy>
  <cp:revision>3</cp:revision>
  <cp:lastPrinted>2017-06-09T13:47:00Z</cp:lastPrinted>
  <dcterms:created xsi:type="dcterms:W3CDTF">2017-06-09T13:47:00Z</dcterms:created>
  <dcterms:modified xsi:type="dcterms:W3CDTF">2017-06-09T13:47:00Z</dcterms:modified>
</cp:coreProperties>
</file>