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A107D" w:rsidP="00781B49">
            <w:pPr>
              <w:jc w:val="right"/>
            </w:pPr>
            <w:r w:rsidRPr="00BA107D">
              <w:rPr>
                <w:sz w:val="40"/>
              </w:rPr>
              <w:t>CCPR</w:t>
            </w:r>
            <w:r>
              <w:t>/C/RUS/CO/7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50CDB" w:rsidP="00B6553F">
            <w:pPr>
              <w:spacing w:before="120"/>
            </w:pPr>
            <w:r>
              <w:rPr>
                <w:noProof/>
                <w:lang w:eastAsia="zh-CN"/>
              </w:rPr>
              <w:drawing>
                <wp:inline distT="0" distB="0" distL="0" distR="0">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BA107D" w:rsidP="00BA107D">
            <w:pPr>
              <w:spacing w:before="240" w:line="240" w:lineRule="exact"/>
            </w:pPr>
            <w:r>
              <w:t xml:space="preserve">Distr.: </w:t>
            </w:r>
            <w:r w:rsidR="00781B49">
              <w:t>General</w:t>
            </w:r>
          </w:p>
          <w:p w:rsidR="00BA107D" w:rsidRDefault="00430F07" w:rsidP="00BA107D">
            <w:pPr>
              <w:spacing w:line="240" w:lineRule="exact"/>
            </w:pPr>
            <w:r>
              <w:t>2</w:t>
            </w:r>
            <w:r w:rsidR="005C014C">
              <w:t>8</w:t>
            </w:r>
            <w:r w:rsidR="00072AA2">
              <w:t xml:space="preserve"> April</w:t>
            </w:r>
            <w:r w:rsidR="00BA107D">
              <w:t xml:space="preserve"> 2015</w:t>
            </w:r>
          </w:p>
          <w:p w:rsidR="00BA107D" w:rsidRDefault="00BA107D" w:rsidP="00BA107D">
            <w:pPr>
              <w:spacing w:line="240" w:lineRule="exact"/>
            </w:pPr>
          </w:p>
          <w:p w:rsidR="00BA107D" w:rsidRDefault="00BA107D" w:rsidP="00BA107D">
            <w:pPr>
              <w:spacing w:line="240" w:lineRule="exact"/>
            </w:pPr>
            <w:r>
              <w:t>Original: English</w:t>
            </w:r>
          </w:p>
          <w:p w:rsidR="003C6F61" w:rsidRDefault="003C6F61" w:rsidP="00BA107D">
            <w:pPr>
              <w:spacing w:line="240" w:lineRule="exact"/>
            </w:pPr>
          </w:p>
        </w:tc>
      </w:tr>
    </w:tbl>
    <w:p w:rsidR="001200A8" w:rsidRDefault="001200A8" w:rsidP="001200A8">
      <w:pPr>
        <w:spacing w:before="120"/>
      </w:pPr>
      <w:r>
        <w:rPr>
          <w:b/>
          <w:sz w:val="24"/>
        </w:rPr>
        <w:t>Human Rights Committee</w:t>
      </w:r>
    </w:p>
    <w:p w:rsidR="001200A8" w:rsidRDefault="001200A8" w:rsidP="007330F4">
      <w:pPr>
        <w:pStyle w:val="HChG"/>
        <w:rPr>
          <w:b w:val="0"/>
          <w:bCs/>
          <w:sz w:val="20"/>
        </w:rPr>
      </w:pPr>
      <w:r>
        <w:tab/>
      </w:r>
      <w:r w:rsidR="00395ACF">
        <w:tab/>
      </w:r>
      <w:r>
        <w:t>Concluding observations on the seventh periodic re</w:t>
      </w:r>
      <w:bookmarkStart w:id="0" w:name="_GoBack"/>
      <w:bookmarkEnd w:id="0"/>
      <w:r>
        <w:t>port of</w:t>
      </w:r>
      <w:r w:rsidR="00395ACF">
        <w:t> </w:t>
      </w:r>
      <w:r>
        <w:t>the Russian Federation</w:t>
      </w:r>
      <w:r w:rsidR="00BE4463" w:rsidRPr="007330F4">
        <w:rPr>
          <w:rStyle w:val="FootnoteReference"/>
          <w:b w:val="0"/>
          <w:bCs/>
          <w:sz w:val="20"/>
          <w:vertAlign w:val="baseline"/>
        </w:rPr>
        <w:footnoteReference w:customMarkFollows="1" w:id="2"/>
        <w:t>*</w:t>
      </w:r>
    </w:p>
    <w:p w:rsidR="002E301B" w:rsidRPr="00B805FB" w:rsidRDefault="002E301B" w:rsidP="007330F4">
      <w:pPr>
        <w:pStyle w:val="SingleTxtG"/>
        <w:numPr>
          <w:ilvl w:val="0"/>
          <w:numId w:val="7"/>
        </w:numPr>
        <w:ind w:left="1134" w:firstLine="0"/>
      </w:pPr>
      <w:r>
        <w:t>The Committee considered the seventh periodic report of the Russian Federation (CCPR/C/RUS/7) at its 3136th and 3137th meetings (CCPR/C/SR.3136 and 3137), held on 16 and 17 March 2015. At its 3157th meeting (CCPR/C/SR.3157), held on 31 March 2015, it adopted the following concluding observations.</w:t>
      </w:r>
    </w:p>
    <w:p w:rsidR="0046211D" w:rsidRPr="00E62588" w:rsidRDefault="002E301B" w:rsidP="007330F4">
      <w:pPr>
        <w:pStyle w:val="H1G"/>
      </w:pPr>
      <w:r w:rsidRPr="00E62588">
        <w:tab/>
      </w:r>
      <w:r w:rsidR="0046211D" w:rsidRPr="00E62588">
        <w:t>A.</w:t>
      </w:r>
      <w:r w:rsidR="0046211D" w:rsidRPr="00E62588">
        <w:tab/>
        <w:t>Introduction</w:t>
      </w:r>
    </w:p>
    <w:p w:rsidR="0046211D" w:rsidRDefault="0046211D" w:rsidP="007330F4">
      <w:pPr>
        <w:pStyle w:val="SingleTxtG"/>
        <w:numPr>
          <w:ilvl w:val="0"/>
          <w:numId w:val="7"/>
        </w:numPr>
        <w:ind w:left="1134" w:firstLine="0"/>
      </w:pPr>
      <w:r>
        <w:t>The Committee welcomes the punctual</w:t>
      </w:r>
      <w:r>
        <w:rPr>
          <w:lang w:bidi="he-IL"/>
        </w:rPr>
        <w:t xml:space="preserve"> </w:t>
      </w:r>
      <w:r>
        <w:t>submission of the seventh periodic report of the Russian Federation and the information presented therein. It expresses appreciation for the opportunity to renew its constructive dialogue with the State party’s large high-level delegation on the measures taken by the State party during the reporting period to implement the provisions of the Covenant. The Committee is grateful to the State party for its written replies (CCPR/C/RUS/Q/7/Add.1) to the list of issues (CCPR/C/RUS/Q/7), which were supplemented by the oral responses provided by the delegation and for the supplementary information provided to it in writing.</w:t>
      </w:r>
    </w:p>
    <w:p w:rsidR="0046211D" w:rsidRDefault="0046211D" w:rsidP="007330F4">
      <w:pPr>
        <w:pStyle w:val="H1G"/>
      </w:pPr>
      <w:r>
        <w:tab/>
        <w:t>B.</w:t>
      </w:r>
      <w:r>
        <w:tab/>
        <w:t>Positive aspects</w:t>
      </w:r>
    </w:p>
    <w:p w:rsidR="0046211D" w:rsidRDefault="0046211D" w:rsidP="007330F4">
      <w:pPr>
        <w:pStyle w:val="SingleTxtG"/>
        <w:numPr>
          <w:ilvl w:val="0"/>
          <w:numId w:val="7"/>
        </w:numPr>
        <w:ind w:left="1134" w:firstLine="0"/>
      </w:pPr>
      <w:r>
        <w:t>The Committee welcomes the following legislative and institutional steps taken by the State party:</w:t>
      </w:r>
    </w:p>
    <w:p w:rsidR="0046211D" w:rsidRDefault="0046211D" w:rsidP="00395ACF">
      <w:pPr>
        <w:spacing w:after="120"/>
        <w:ind w:left="1134" w:right="1134" w:firstLine="567"/>
        <w:jc w:val="both"/>
      </w:pPr>
      <w:r>
        <w:t>(a)</w:t>
      </w:r>
      <w:r>
        <w:tab/>
      </w:r>
      <w:r w:rsidRPr="007440E5">
        <w:t>Amendments introduced to legislation in 2014, expanding mandatory accommodation for persons with sensory and physical disabilities and prohibiting discrimination based on disability;</w:t>
      </w:r>
      <w:r>
        <w:tab/>
      </w:r>
    </w:p>
    <w:p w:rsidR="0046211D" w:rsidRDefault="0046211D" w:rsidP="00395ACF">
      <w:pPr>
        <w:widowControl w:val="0"/>
        <w:spacing w:after="120"/>
        <w:ind w:left="1134" w:right="1134" w:firstLine="567"/>
        <w:jc w:val="both"/>
      </w:pPr>
      <w:r>
        <w:t>(b)</w:t>
      </w:r>
      <w:r>
        <w:tab/>
      </w:r>
      <w:r w:rsidRPr="007440E5">
        <w:t xml:space="preserve">Adoption of the Federal Act </w:t>
      </w:r>
      <w:r w:rsidR="00AF1BAA">
        <w:t>No. </w:t>
      </w:r>
      <w:r w:rsidRPr="007440E5">
        <w:t>284-FZ on amendments to certain legislative acts establishing the mandates and responsibilities in respect of inter-ethnic relations, in</w:t>
      </w:r>
      <w:r w:rsidR="00AF1BAA">
        <w:t xml:space="preserve"> </w:t>
      </w:r>
      <w:r w:rsidRPr="007440E5">
        <w:t>October 2013;</w:t>
      </w:r>
    </w:p>
    <w:p w:rsidR="0046211D" w:rsidRDefault="002476AE" w:rsidP="00395ACF">
      <w:pPr>
        <w:widowControl w:val="0"/>
        <w:spacing w:after="120"/>
        <w:ind w:left="1134" w:right="1134" w:firstLine="567"/>
        <w:jc w:val="both"/>
      </w:pPr>
      <w:r>
        <w:rPr>
          <w:noProof/>
          <w:lang w:eastAsia="zh-CN"/>
        </w:rPr>
        <w:drawing>
          <wp:anchor distT="0" distB="0" distL="114300" distR="114300" simplePos="0" relativeHeight="251658240" behindDoc="0" locked="0" layoutInCell="1" allowOverlap="1" wp14:anchorId="1D827972" wp14:editId="3179D9B0">
            <wp:simplePos x="0" y="0"/>
            <wp:positionH relativeFrom="margin">
              <wp:posOffset>5483860</wp:posOffset>
            </wp:positionH>
            <wp:positionV relativeFrom="margin">
              <wp:posOffset>8002270</wp:posOffset>
            </wp:positionV>
            <wp:extent cx="640080" cy="640080"/>
            <wp:effectExtent l="0" t="0" r="7620" b="7620"/>
            <wp:wrapNone/>
            <wp:docPr id="3" name="Picture 2" descr="http://undocs.org/m2/QRCode.ashx?DS=CCPR/C/RUS/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RUS/CO/7&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11D">
        <w:t>(c)</w:t>
      </w:r>
      <w:r w:rsidR="0046211D">
        <w:tab/>
      </w:r>
      <w:r w:rsidR="0046211D" w:rsidRPr="00EC5E5A">
        <w:t>Introduction of domestic legal remedies for excessive delays in judicial proceedings or in the enforcement of judicial decisions</w:t>
      </w:r>
      <w:r w:rsidR="0046211D">
        <w:t>;</w:t>
      </w:r>
      <w:r w:rsidR="0046211D" w:rsidRPr="00EC5E5A">
        <w:t xml:space="preserve"> </w:t>
      </w:r>
    </w:p>
    <w:p w:rsidR="0046211D" w:rsidRDefault="0046211D" w:rsidP="00395ACF">
      <w:pPr>
        <w:widowControl w:val="0"/>
        <w:spacing w:after="120"/>
        <w:ind w:left="1134" w:right="1134" w:firstLine="567"/>
        <w:jc w:val="both"/>
      </w:pPr>
      <w:r>
        <w:t>(d)</w:t>
      </w:r>
      <w:r>
        <w:tab/>
      </w:r>
      <w:r w:rsidRPr="00EC5E5A">
        <w:t xml:space="preserve">The amendments introduced on 2 April 2012 to the Federal Act </w:t>
      </w:r>
      <w:r w:rsidR="00AF1BAA">
        <w:t>No. </w:t>
      </w:r>
      <w:r w:rsidRPr="00EC5E5A">
        <w:t xml:space="preserve">95-FZ of </w:t>
      </w:r>
      <w:r w:rsidRPr="00EC5E5A">
        <w:lastRenderedPageBreak/>
        <w:t>11</w:t>
      </w:r>
      <w:r w:rsidR="00720B71">
        <w:t> </w:t>
      </w:r>
      <w:r w:rsidRPr="00EC5E5A">
        <w:t>July 2001 on Political Parties, which eased the procedural requirements for establishing and officially registering political parties</w:t>
      </w:r>
      <w:r>
        <w:t>.</w:t>
      </w:r>
    </w:p>
    <w:p w:rsidR="0046211D" w:rsidRDefault="0046211D" w:rsidP="007330F4">
      <w:pPr>
        <w:pStyle w:val="SingleTxtG"/>
        <w:numPr>
          <w:ilvl w:val="0"/>
          <w:numId w:val="7"/>
        </w:numPr>
        <w:ind w:left="1134" w:firstLine="0"/>
      </w:pPr>
      <w:r>
        <w:t>The Committee welcomes the ratification of, or accession to, the following international instruments by the State party:</w:t>
      </w:r>
    </w:p>
    <w:p w:rsidR="0046211D" w:rsidRDefault="0046211D" w:rsidP="00720B71">
      <w:pPr>
        <w:spacing w:after="120"/>
        <w:ind w:left="1134" w:right="1134" w:firstLine="567"/>
        <w:jc w:val="both"/>
      </w:pPr>
      <w:r>
        <w:t>(a)</w:t>
      </w:r>
      <w:r>
        <w:tab/>
        <w:t>Optional Protocol to the Convention on the Rights of the Child on the sale of children, child prostitution and child pornography, on 24 September 2013;</w:t>
      </w:r>
      <w:r w:rsidR="00AF1BAA">
        <w:t xml:space="preserve"> </w:t>
      </w:r>
    </w:p>
    <w:p w:rsidR="0046211D" w:rsidRDefault="0046211D" w:rsidP="007330F4">
      <w:pPr>
        <w:spacing w:after="120"/>
        <w:ind w:left="1134" w:right="1134" w:firstLine="567"/>
        <w:jc w:val="both"/>
      </w:pPr>
      <w:r>
        <w:t>(b)</w:t>
      </w:r>
      <w:r>
        <w:tab/>
        <w:t>Convention on the Rights of Persons with Disabilities, on 25 September 2012.</w:t>
      </w:r>
    </w:p>
    <w:p w:rsidR="001200A8" w:rsidRDefault="001200A8" w:rsidP="007330F4">
      <w:pPr>
        <w:pStyle w:val="H1G"/>
      </w:pPr>
      <w:r>
        <w:tab/>
      </w:r>
      <w:r w:rsidR="0030668C">
        <w:t>C.</w:t>
      </w:r>
      <w:r w:rsidR="002E301B">
        <w:tab/>
      </w:r>
      <w:r>
        <w:t>Principal matters of concern and recommendations</w:t>
      </w:r>
    </w:p>
    <w:p w:rsidR="001200A8" w:rsidRDefault="001200A8" w:rsidP="007330F4">
      <w:pPr>
        <w:pStyle w:val="H23G"/>
      </w:pPr>
      <w:r>
        <w:tab/>
      </w:r>
      <w:r w:rsidR="002E301B">
        <w:tab/>
      </w:r>
      <w:r>
        <w:t xml:space="preserve">Implementation of the Committee’s Views under the Optional Protocol </w:t>
      </w:r>
      <w:r w:rsidR="002E301B">
        <w:br/>
      </w:r>
      <w:r>
        <w:t xml:space="preserve">to the Covenant </w:t>
      </w:r>
    </w:p>
    <w:p w:rsidR="001200A8" w:rsidRDefault="001200A8" w:rsidP="007330F4">
      <w:pPr>
        <w:pStyle w:val="SingleTxtG"/>
        <w:numPr>
          <w:ilvl w:val="0"/>
          <w:numId w:val="7"/>
        </w:numPr>
        <w:ind w:left="1134" w:firstLine="0"/>
      </w:pPr>
      <w:r>
        <w:t xml:space="preserve">The Committee is concerned at the State party’s failure to implement the Views adopted by the Committee under the Optional Protocol, despite decision </w:t>
      </w:r>
      <w:r w:rsidR="00AF1BAA">
        <w:t>No. </w:t>
      </w:r>
      <w:r>
        <w:t>1248</w:t>
      </w:r>
      <w:r w:rsidR="00AF1BAA">
        <w:t>­</w:t>
      </w:r>
      <w:r>
        <w:t>0 of 28 June 2012 of the Constitutional Court</w:t>
      </w:r>
      <w:r>
        <w:rPr>
          <w:lang w:bidi="he-IL"/>
        </w:rPr>
        <w:t xml:space="preserve"> </w:t>
      </w:r>
      <w:r w:rsidRPr="00AF37A2">
        <w:rPr>
          <w:lang w:bidi="he-IL"/>
        </w:rPr>
        <w:t>designed to facilitate</w:t>
      </w:r>
      <w:r>
        <w:rPr>
          <w:lang w:bidi="he-IL"/>
        </w:rPr>
        <w:t xml:space="preserve"> their implementation</w:t>
      </w:r>
      <w:r>
        <w:t>. It also regrets the lack of clear information regarding the existence of efficient mechanisms and legal procedures for ensuring the full implementation of the Committee’s Views and their operation in practice (</w:t>
      </w:r>
      <w:r w:rsidR="00AF1BAA">
        <w:t>art. </w:t>
      </w:r>
      <w:r>
        <w:t>2).</w:t>
      </w:r>
    </w:p>
    <w:p w:rsidR="001200A8" w:rsidRPr="007330F4" w:rsidRDefault="001200A8" w:rsidP="007330F4">
      <w:pPr>
        <w:pStyle w:val="SingleTxtG"/>
        <w:rPr>
          <w:b/>
          <w:bCs/>
        </w:rPr>
      </w:pPr>
      <w:r w:rsidRPr="007330F4">
        <w:rPr>
          <w:b/>
          <w:bCs/>
        </w:rPr>
        <w:t xml:space="preserve">The State party should take all institutional and legislative measures to ensure that mechanisms and appropriate procedures are in place to give full effect to the Committee’s Views so as to guarantee the right of victims to an effective remedy when there has been a violation of the Covenant, in accordance with </w:t>
      </w:r>
      <w:r w:rsidR="00AF1BAA">
        <w:rPr>
          <w:b/>
          <w:bCs/>
        </w:rPr>
        <w:t>article </w:t>
      </w:r>
      <w:r w:rsidRPr="007330F4">
        <w:rPr>
          <w:b/>
          <w:bCs/>
        </w:rPr>
        <w:t>2</w:t>
      </w:r>
      <w:r w:rsidR="00AF1BAA">
        <w:rPr>
          <w:b/>
          <w:bCs/>
        </w:rPr>
        <w:t> </w:t>
      </w:r>
      <w:r w:rsidR="005D6403">
        <w:rPr>
          <w:b/>
          <w:bCs/>
        </w:rPr>
        <w:t>(</w:t>
      </w:r>
      <w:r w:rsidRPr="007330F4">
        <w:rPr>
          <w:b/>
          <w:bCs/>
        </w:rPr>
        <w:t>3</w:t>
      </w:r>
      <w:r w:rsidR="005D6403">
        <w:rPr>
          <w:b/>
          <w:bCs/>
        </w:rPr>
        <w:t>)</w:t>
      </w:r>
      <w:r w:rsidRPr="007330F4">
        <w:rPr>
          <w:b/>
          <w:bCs/>
        </w:rPr>
        <w:t xml:space="preserve"> of the Covenant. It should promptly comply with all Views issued with respect to it. </w:t>
      </w:r>
    </w:p>
    <w:p w:rsidR="001200A8" w:rsidRDefault="001200A8" w:rsidP="001200A8">
      <w:pPr>
        <w:pStyle w:val="H23G"/>
      </w:pPr>
      <w:r>
        <w:tab/>
      </w:r>
      <w:r>
        <w:tab/>
        <w:t>Armed conflicts in the Donbas region of Ukraine and the South Ossetia region of</w:t>
      </w:r>
      <w:r w:rsidR="002E301B">
        <w:t> </w:t>
      </w:r>
      <w:r>
        <w:t>Georgia</w:t>
      </w:r>
    </w:p>
    <w:p w:rsidR="001200A8" w:rsidRDefault="001200A8" w:rsidP="007330F4">
      <w:pPr>
        <w:pStyle w:val="SingleTxtG"/>
        <w:numPr>
          <w:ilvl w:val="0"/>
          <w:numId w:val="7"/>
        </w:numPr>
        <w:ind w:left="1134" w:firstLine="0"/>
      </w:pPr>
      <w:r>
        <w:t xml:space="preserve">The Committee is concerned </w:t>
      </w:r>
      <w:r w:rsidR="00A7770C">
        <w:t xml:space="preserve">about </w:t>
      </w:r>
      <w:r>
        <w:t>reports alleging serious violations of the Covenant in the Donbas region of Ukraine by forces over which the State party appears to have considerable influence</w:t>
      </w:r>
      <w:r w:rsidR="00A7770C">
        <w:t>,</w:t>
      </w:r>
      <w:r w:rsidR="0030668C">
        <w:t xml:space="preserve"> which may amount to effective control</w:t>
      </w:r>
      <w:r>
        <w:t xml:space="preserve">. It is also concerned </w:t>
      </w:r>
      <w:r w:rsidR="00A7770C">
        <w:t xml:space="preserve">about </w:t>
      </w:r>
      <w:r>
        <w:t xml:space="preserve">reports that allegations of serious violations of the Covenant committed during the armed conflict in </w:t>
      </w:r>
      <w:r w:rsidR="004A7FBE">
        <w:t xml:space="preserve">the South Ossetia region of </w:t>
      </w:r>
      <w:r>
        <w:t xml:space="preserve">Georgia in 2008 </w:t>
      </w:r>
      <w:r w:rsidR="00263FDD">
        <w:t xml:space="preserve">were not fully investigated </w:t>
      </w:r>
      <w:r>
        <w:t>(</w:t>
      </w:r>
      <w:r w:rsidR="00AF1BAA">
        <w:t>art. </w:t>
      </w:r>
      <w:r>
        <w:t>2).</w:t>
      </w:r>
    </w:p>
    <w:p w:rsidR="001200A8" w:rsidRPr="00083F5D" w:rsidRDefault="001200A8" w:rsidP="007330F4">
      <w:pPr>
        <w:pStyle w:val="SingleTxtG"/>
        <w:rPr>
          <w:b/>
          <w:bCs/>
        </w:rPr>
      </w:pPr>
      <w:r w:rsidRPr="00B805FB">
        <w:rPr>
          <w:b/>
          <w:bCs/>
        </w:rPr>
        <w:t xml:space="preserve">The Committee, in line with the interpretation of </w:t>
      </w:r>
      <w:r w:rsidR="00AF1BAA">
        <w:rPr>
          <w:b/>
          <w:bCs/>
        </w:rPr>
        <w:t>article </w:t>
      </w:r>
      <w:r w:rsidRPr="00B805FB">
        <w:rPr>
          <w:b/>
          <w:bCs/>
        </w:rPr>
        <w:t>2</w:t>
      </w:r>
      <w:r w:rsidR="00A7770C">
        <w:rPr>
          <w:b/>
          <w:bCs/>
        </w:rPr>
        <w:t xml:space="preserve"> (1)</w:t>
      </w:r>
      <w:r w:rsidRPr="00B805FB">
        <w:rPr>
          <w:b/>
          <w:bCs/>
        </w:rPr>
        <w:t xml:space="preserve">of the Covenant in its </w:t>
      </w:r>
      <w:r w:rsidR="00AB1D7D">
        <w:rPr>
          <w:b/>
          <w:bCs/>
        </w:rPr>
        <w:t>g</w:t>
      </w:r>
      <w:r w:rsidRPr="001F6933">
        <w:rPr>
          <w:b/>
          <w:bCs/>
        </w:rPr>
        <w:t xml:space="preserve">eneral </w:t>
      </w:r>
      <w:r w:rsidR="00AB1D7D">
        <w:rPr>
          <w:b/>
          <w:bCs/>
        </w:rPr>
        <w:t>c</w:t>
      </w:r>
      <w:r w:rsidRPr="001F6933">
        <w:rPr>
          <w:b/>
          <w:bCs/>
        </w:rPr>
        <w:t xml:space="preserve">omment </w:t>
      </w:r>
      <w:r w:rsidR="00AB1D7D">
        <w:rPr>
          <w:b/>
          <w:bCs/>
        </w:rPr>
        <w:t xml:space="preserve">No. </w:t>
      </w:r>
      <w:r w:rsidRPr="00B805FB">
        <w:rPr>
          <w:b/>
          <w:bCs/>
        </w:rPr>
        <w:t>31</w:t>
      </w:r>
      <w:r w:rsidR="00AB1D7D">
        <w:rPr>
          <w:b/>
          <w:bCs/>
        </w:rPr>
        <w:t xml:space="preserve"> </w:t>
      </w:r>
      <w:r w:rsidRPr="00B805FB">
        <w:rPr>
          <w:b/>
          <w:bCs/>
        </w:rPr>
        <w:t>(2004)</w:t>
      </w:r>
      <w:r w:rsidR="00AB1D7D" w:rsidRPr="00AB1D7D">
        <w:rPr>
          <w:rFonts w:ascii="Arial" w:hAnsi="Arial" w:cs="Arial"/>
          <w:color w:val="545454"/>
          <w:shd w:val="clear" w:color="auto" w:fill="FFFFFF"/>
        </w:rPr>
        <w:t xml:space="preserve"> </w:t>
      </w:r>
      <w:r w:rsidR="00AB1D7D" w:rsidRPr="007330F4">
        <w:rPr>
          <w:b/>
          <w:bCs/>
        </w:rPr>
        <w:t>on t</w:t>
      </w:r>
      <w:r w:rsidR="00AB1D7D" w:rsidRPr="00AB1D7D">
        <w:rPr>
          <w:b/>
          <w:bCs/>
        </w:rPr>
        <w:t xml:space="preserve">he nature of the general legal obligation imposed on States </w:t>
      </w:r>
      <w:r w:rsidR="00A7770C">
        <w:rPr>
          <w:b/>
          <w:bCs/>
        </w:rPr>
        <w:t>p</w:t>
      </w:r>
      <w:r w:rsidR="00AB1D7D" w:rsidRPr="00AB1D7D">
        <w:rPr>
          <w:b/>
          <w:bCs/>
        </w:rPr>
        <w:t>arties to the Covenant</w:t>
      </w:r>
      <w:r w:rsidRPr="00B805FB">
        <w:rPr>
          <w:b/>
          <w:bCs/>
        </w:rPr>
        <w:t xml:space="preserve">, calls on the State party to ensure the application of the Covenant in respect of acts perpetrated by armed groups and proclaimed authorities of the self-proclaimed </w:t>
      </w:r>
      <w:r w:rsidR="00720B71">
        <w:rPr>
          <w:b/>
          <w:bCs/>
        </w:rPr>
        <w:t>“</w:t>
      </w:r>
      <w:r w:rsidRPr="00B805FB">
        <w:rPr>
          <w:b/>
          <w:bCs/>
        </w:rPr>
        <w:t>Donetsk people’s republic</w:t>
      </w:r>
      <w:r w:rsidR="00720B71">
        <w:rPr>
          <w:b/>
          <w:bCs/>
        </w:rPr>
        <w:t>”</w:t>
      </w:r>
      <w:r w:rsidRPr="00B805FB">
        <w:rPr>
          <w:b/>
          <w:bCs/>
        </w:rPr>
        <w:t xml:space="preserve">, </w:t>
      </w:r>
      <w:r w:rsidR="00720B71">
        <w:rPr>
          <w:b/>
          <w:bCs/>
        </w:rPr>
        <w:t>“</w:t>
      </w:r>
      <w:r w:rsidRPr="00B805FB">
        <w:rPr>
          <w:b/>
          <w:bCs/>
        </w:rPr>
        <w:t>Luhansk people’s republic</w:t>
      </w:r>
      <w:r w:rsidR="00720B71">
        <w:rPr>
          <w:b/>
          <w:bCs/>
        </w:rPr>
        <w:t>”</w:t>
      </w:r>
      <w:r w:rsidRPr="001F6933">
        <w:rPr>
          <w:b/>
          <w:bCs/>
        </w:rPr>
        <w:t xml:space="preserve"> and </w:t>
      </w:r>
      <w:r w:rsidR="00720B71">
        <w:rPr>
          <w:b/>
          <w:bCs/>
        </w:rPr>
        <w:t>“</w:t>
      </w:r>
      <w:r w:rsidRPr="00B805FB">
        <w:rPr>
          <w:b/>
          <w:bCs/>
        </w:rPr>
        <w:t>South Osseti</w:t>
      </w:r>
      <w:r w:rsidRPr="001F6933">
        <w:rPr>
          <w:b/>
          <w:bCs/>
        </w:rPr>
        <w:t>a</w:t>
      </w:r>
      <w:r w:rsidR="00720B71">
        <w:rPr>
          <w:b/>
          <w:bCs/>
        </w:rPr>
        <w:t>”</w:t>
      </w:r>
      <w:r w:rsidRPr="00B805FB">
        <w:rPr>
          <w:b/>
          <w:bCs/>
        </w:rPr>
        <w:t xml:space="preserve">, to the extent that it </w:t>
      </w:r>
      <w:r w:rsidR="008405D0" w:rsidRPr="001F6933">
        <w:rPr>
          <w:b/>
          <w:bCs/>
        </w:rPr>
        <w:t xml:space="preserve">already </w:t>
      </w:r>
      <w:r w:rsidRPr="006F2E63">
        <w:rPr>
          <w:b/>
          <w:bCs/>
        </w:rPr>
        <w:t>exercises influence over these groups and authorities which amounts to effective control over the</w:t>
      </w:r>
      <w:r w:rsidRPr="00F72571">
        <w:rPr>
          <w:b/>
          <w:bCs/>
        </w:rPr>
        <w:t>ir activities</w:t>
      </w:r>
      <w:r w:rsidR="008405D0" w:rsidRPr="006427D5">
        <w:rPr>
          <w:b/>
          <w:bCs/>
        </w:rPr>
        <w:t>.</w:t>
      </w:r>
    </w:p>
    <w:p w:rsidR="001200A8" w:rsidRDefault="001200A8" w:rsidP="00155566">
      <w:pPr>
        <w:pStyle w:val="H23G"/>
      </w:pPr>
      <w:r>
        <w:tab/>
      </w:r>
      <w:r>
        <w:tab/>
        <w:t xml:space="preserve">Accountability for alleged human rights violations committed in the </w:t>
      </w:r>
      <w:r w:rsidRPr="00E62588">
        <w:t xml:space="preserve">North Caucasus </w:t>
      </w:r>
      <w:r w:rsidR="00155566">
        <w:t>f</w:t>
      </w:r>
      <w:r w:rsidRPr="00E62588">
        <w:t xml:space="preserve">ederal </w:t>
      </w:r>
      <w:r w:rsidR="00155566">
        <w:t>a</w:t>
      </w:r>
      <w:r w:rsidRPr="00E62588">
        <w:t>rea</w:t>
      </w:r>
    </w:p>
    <w:p w:rsidR="001200A8" w:rsidRDefault="001200A8" w:rsidP="007330F4">
      <w:pPr>
        <w:pStyle w:val="SingleTxtG"/>
        <w:numPr>
          <w:ilvl w:val="0"/>
          <w:numId w:val="7"/>
        </w:numPr>
        <w:ind w:left="1134" w:firstLine="0"/>
      </w:pPr>
      <w:r>
        <w:t xml:space="preserve">While noting the establishment of a special unit under the Investigative Committee to investigate violations committed during the counter-terrorism operations in </w:t>
      </w:r>
      <w:r w:rsidRPr="0017779A">
        <w:t>Chech</w:t>
      </w:r>
      <w:r w:rsidR="0017779A" w:rsidRPr="007330F4">
        <w:t>nya</w:t>
      </w:r>
      <w:r w:rsidRPr="0017779A">
        <w:t>, the</w:t>
      </w:r>
      <w:r>
        <w:t xml:space="preserve"> Committee remains concerned (</w:t>
      </w:r>
      <w:r w:rsidR="00AB1D7D">
        <w:t xml:space="preserve">see </w:t>
      </w:r>
      <w:r>
        <w:t>CCPR/C/RUS/CO/6</w:t>
      </w:r>
      <w:r w:rsidR="00BE5E62" w:rsidRPr="00BE5E62">
        <w:t xml:space="preserve"> </w:t>
      </w:r>
      <w:r w:rsidR="00BE5E62">
        <w:t>and Corr.1</w:t>
      </w:r>
      <w:r>
        <w:t xml:space="preserve">, </w:t>
      </w:r>
      <w:r w:rsidR="00AF1BAA">
        <w:t>para. </w:t>
      </w:r>
      <w:r>
        <w:t xml:space="preserve">14) </w:t>
      </w:r>
      <w:r w:rsidR="00A7770C">
        <w:t xml:space="preserve">about </w:t>
      </w:r>
      <w:r>
        <w:t xml:space="preserve">the limited progress in investigating serious past and ongoing human rights violations, including unlawful and extrajudicial killings, abductions, torture and ill-treatment, secret detention and enforced disappearance perpetrated by State agents during security and </w:t>
      </w:r>
      <w:r>
        <w:lastRenderedPageBreak/>
        <w:t xml:space="preserve">counter-terrorism operations in </w:t>
      </w:r>
      <w:r w:rsidRPr="0017779A">
        <w:t xml:space="preserve">the North Caucasus </w:t>
      </w:r>
      <w:r w:rsidR="0017779A" w:rsidRPr="007330F4">
        <w:t>f</w:t>
      </w:r>
      <w:r w:rsidRPr="0017779A">
        <w:t xml:space="preserve">ederal </w:t>
      </w:r>
      <w:r w:rsidR="0017779A" w:rsidRPr="007330F4">
        <w:t>a</w:t>
      </w:r>
      <w:r w:rsidRPr="0017779A">
        <w:t>rea,</w:t>
      </w:r>
      <w:r>
        <w:t xml:space="preserve"> and </w:t>
      </w:r>
      <w:r w:rsidR="00A7770C">
        <w:t xml:space="preserve">about </w:t>
      </w:r>
      <w:r>
        <w:t>the continuing practice of collective punishment of relatives and suspected supporters of alleged terrorists, including destruction of their homes and expulsion</w:t>
      </w:r>
      <w:r>
        <w:rPr>
          <w:lang w:bidi="he-IL"/>
        </w:rPr>
        <w:t>s</w:t>
      </w:r>
      <w:r>
        <w:t xml:space="preserve"> from </w:t>
      </w:r>
      <w:r w:rsidRPr="0017779A">
        <w:t>Chechnya</w:t>
      </w:r>
      <w:r>
        <w:t xml:space="preserve"> (</w:t>
      </w:r>
      <w:r w:rsidR="00AF1BAA">
        <w:t>arts. </w:t>
      </w:r>
      <w:r>
        <w:t>2, 6, 7, 9, 14, 16 and</w:t>
      </w:r>
      <w:r w:rsidR="00720B71">
        <w:t> </w:t>
      </w:r>
      <w:r>
        <w:t>17).</w:t>
      </w:r>
    </w:p>
    <w:p w:rsidR="001200A8" w:rsidRPr="007330F4" w:rsidRDefault="001200A8" w:rsidP="007330F4">
      <w:pPr>
        <w:pStyle w:val="SingleTxtG"/>
        <w:keepNext/>
        <w:rPr>
          <w:b/>
          <w:bCs/>
        </w:rPr>
      </w:pPr>
      <w:r w:rsidRPr="00B805FB">
        <w:rPr>
          <w:b/>
          <w:bCs/>
        </w:rPr>
        <w:t xml:space="preserve">The State party should: </w:t>
      </w:r>
    </w:p>
    <w:p w:rsidR="001200A8" w:rsidRPr="007330F4" w:rsidRDefault="001200A8" w:rsidP="007330F4">
      <w:pPr>
        <w:pStyle w:val="SingleTxtG"/>
        <w:ind w:firstLine="567"/>
        <w:rPr>
          <w:b/>
          <w:bCs/>
        </w:rPr>
      </w:pPr>
      <w:r w:rsidRPr="001F6933">
        <w:rPr>
          <w:b/>
          <w:bCs/>
        </w:rPr>
        <w:t>(a)</w:t>
      </w:r>
      <w:r w:rsidRPr="001F6933">
        <w:rPr>
          <w:b/>
          <w:bCs/>
        </w:rPr>
        <w:tab/>
        <w:t xml:space="preserve">Ensure that all human rights violations committed during security and counter-terrorism operations in the North Caucasus </w:t>
      </w:r>
      <w:r w:rsidR="00615143">
        <w:rPr>
          <w:b/>
          <w:bCs/>
        </w:rPr>
        <w:t>f</w:t>
      </w:r>
      <w:r w:rsidRPr="001F6933">
        <w:rPr>
          <w:b/>
          <w:bCs/>
        </w:rPr>
        <w:t xml:space="preserve">ederal </w:t>
      </w:r>
      <w:r w:rsidR="00615143">
        <w:rPr>
          <w:b/>
          <w:bCs/>
        </w:rPr>
        <w:t>a</w:t>
      </w:r>
      <w:r w:rsidRPr="001F6933">
        <w:rPr>
          <w:b/>
          <w:bCs/>
        </w:rPr>
        <w:t>rea are thoroughly, effectively, independently and imparti</w:t>
      </w:r>
      <w:r w:rsidRPr="006F2E63">
        <w:rPr>
          <w:b/>
          <w:bCs/>
        </w:rPr>
        <w:t>ally investigated, that perpetrators are prosecuted and sanctioned in a manner commensurate with the gravity of the acts committed, and that victims or their families are provided with effective remedies, including equal and effective access to justice and</w:t>
      </w:r>
      <w:r w:rsidRPr="001F239F">
        <w:rPr>
          <w:b/>
          <w:bCs/>
        </w:rPr>
        <w:t xml:space="preserve"> reparations;</w:t>
      </w:r>
    </w:p>
    <w:p w:rsidR="001200A8" w:rsidRPr="001F239F" w:rsidRDefault="001200A8" w:rsidP="007330F4">
      <w:pPr>
        <w:pStyle w:val="SingleTxtG"/>
        <w:ind w:firstLine="567"/>
        <w:rPr>
          <w:b/>
          <w:bCs/>
        </w:rPr>
      </w:pPr>
      <w:r w:rsidRPr="001F6933">
        <w:rPr>
          <w:b/>
          <w:bCs/>
        </w:rPr>
        <w:t>(b)</w:t>
      </w:r>
      <w:r w:rsidRPr="001F6933">
        <w:rPr>
          <w:b/>
          <w:bCs/>
        </w:rPr>
        <w:tab/>
        <w:t>Immediately end the practice of collective punishment of relatives and suspected supporters of alleged terrorists, and provide effective remedies to victims for violation</w:t>
      </w:r>
      <w:r w:rsidR="00AB1D7D">
        <w:rPr>
          <w:b/>
          <w:bCs/>
        </w:rPr>
        <w:t>s</w:t>
      </w:r>
      <w:r w:rsidRPr="00B805FB">
        <w:rPr>
          <w:b/>
          <w:bCs/>
        </w:rPr>
        <w:t xml:space="preserve"> of their rights, including for damage or destruction of</w:t>
      </w:r>
      <w:r w:rsidRPr="001F6933">
        <w:rPr>
          <w:b/>
          <w:bCs/>
        </w:rPr>
        <w:t xml:space="preserve"> property and forced expulsion</w:t>
      </w:r>
      <w:r w:rsidRPr="001F239F">
        <w:rPr>
          <w:b/>
          <w:bCs/>
        </w:rPr>
        <w:t>.</w:t>
      </w:r>
    </w:p>
    <w:p w:rsidR="004417C9" w:rsidRPr="001C6918" w:rsidRDefault="002E301B" w:rsidP="007330F4">
      <w:pPr>
        <w:pStyle w:val="H23G"/>
      </w:pPr>
      <w:r>
        <w:tab/>
      </w:r>
      <w:r>
        <w:tab/>
      </w:r>
      <w:r w:rsidR="004417C9" w:rsidRPr="001C6918">
        <w:t>Racism and xenophobia</w:t>
      </w:r>
    </w:p>
    <w:p w:rsidR="004417C9" w:rsidRDefault="004417C9" w:rsidP="007330F4">
      <w:pPr>
        <w:pStyle w:val="SingleTxtG"/>
        <w:numPr>
          <w:ilvl w:val="0"/>
          <w:numId w:val="7"/>
        </w:numPr>
        <w:ind w:left="1134" w:firstLine="0"/>
      </w:pPr>
      <w:r>
        <w:t>The Committee expresses concern about</w:t>
      </w:r>
      <w:r w:rsidR="00AB1D7D">
        <w:t>:</w:t>
      </w:r>
      <w:r>
        <w:t xml:space="preserve"> (a)</w:t>
      </w:r>
      <w:r w:rsidR="00720B71">
        <w:t> </w:t>
      </w:r>
      <w:r>
        <w:t>manifestations of Islamophobia and anti-Semitism</w:t>
      </w:r>
      <w:r w:rsidR="00A7770C">
        <w:t>,</w:t>
      </w:r>
      <w:r>
        <w:t xml:space="preserve"> as well as</w:t>
      </w:r>
      <w:r>
        <w:rPr>
          <w:lang w:bidi="he-IL"/>
        </w:rPr>
        <w:t xml:space="preserve"> other </w:t>
      </w:r>
      <w:r>
        <w:t xml:space="preserve">racist and xenophobic acts, including racially motivated crimes, </w:t>
      </w:r>
      <w:r>
        <w:rPr>
          <w:lang w:bidi="he-IL"/>
        </w:rPr>
        <w:t xml:space="preserve">such as violent attacks </w:t>
      </w:r>
      <w:r>
        <w:t xml:space="preserve">by the </w:t>
      </w:r>
      <w:r>
        <w:rPr>
          <w:lang w:bidi="he-IL"/>
        </w:rPr>
        <w:t>Cossack</w:t>
      </w:r>
      <w:r>
        <w:t xml:space="preserve"> patrols</w:t>
      </w:r>
      <w:r>
        <w:rPr>
          <w:lang w:bidi="he-IL"/>
        </w:rPr>
        <w:t>,</w:t>
      </w:r>
      <w:r>
        <w:t xml:space="preserve"> </w:t>
      </w:r>
      <w:r>
        <w:rPr>
          <w:lang w:bidi="he-IL"/>
        </w:rPr>
        <w:t xml:space="preserve">which </w:t>
      </w:r>
      <w:r>
        <w:t>particularly target non-Slav persons, including migrant workers from Central Asia, the Caucasus</w:t>
      </w:r>
      <w:r w:rsidR="00AB1D7D">
        <w:t xml:space="preserve"> and</w:t>
      </w:r>
      <w:r>
        <w:t xml:space="preserve"> Africa</w:t>
      </w:r>
      <w:r w:rsidR="00A7770C">
        <w:t>,</w:t>
      </w:r>
      <w:r>
        <w:t xml:space="preserve"> and persons of Roma origin; (b)</w:t>
      </w:r>
      <w:r w:rsidR="00720B71">
        <w:t> </w:t>
      </w:r>
      <w:r w:rsidR="00A7770C">
        <w:t xml:space="preserve">the </w:t>
      </w:r>
      <w:r>
        <w:t>proliferation and functioning of extremist groups, such as ultra-nationalist, racist and neo-Nazi groups, including skinheads; (c)</w:t>
      </w:r>
      <w:r w:rsidR="00720B71">
        <w:t> </w:t>
      </w:r>
      <w:r>
        <w:t>the use of discriminatory language against national, ethnic, religious or other minorities, and xenophobic and racist rhetoric in the political discourse, in particular during electoral campaigns, and in the media</w:t>
      </w:r>
      <w:r w:rsidR="00AF1BAA">
        <w:t xml:space="preserve"> </w:t>
      </w:r>
      <w:r>
        <w:t>(</w:t>
      </w:r>
      <w:r w:rsidR="00AF1BAA">
        <w:t>arts. </w:t>
      </w:r>
      <w:r>
        <w:t>2, 20 and</w:t>
      </w:r>
      <w:r w:rsidR="00720B71">
        <w:t> </w:t>
      </w:r>
      <w:r>
        <w:t>26).</w:t>
      </w:r>
    </w:p>
    <w:p w:rsidR="004417C9" w:rsidRPr="007330F4" w:rsidRDefault="004417C9" w:rsidP="007330F4">
      <w:pPr>
        <w:pStyle w:val="SingleTxtG"/>
        <w:rPr>
          <w:b/>
          <w:bCs/>
        </w:rPr>
      </w:pPr>
      <w:r w:rsidRPr="00B805FB">
        <w:rPr>
          <w:b/>
          <w:bCs/>
        </w:rPr>
        <w:t>The State party should strengthen its efforts to combat all acts of racism, xenophobia, Islamophobia and anti-Semitism, including in political discourse and in the mass media by, inter alia:</w:t>
      </w:r>
    </w:p>
    <w:p w:rsidR="004417C9" w:rsidRPr="007330F4" w:rsidRDefault="002E301B" w:rsidP="007330F4">
      <w:pPr>
        <w:pStyle w:val="SingleTxtG"/>
        <w:ind w:firstLine="567"/>
        <w:rPr>
          <w:b/>
          <w:bCs/>
        </w:rPr>
      </w:pPr>
      <w:r>
        <w:rPr>
          <w:b/>
          <w:bCs/>
        </w:rPr>
        <w:t>(</w:t>
      </w:r>
      <w:r w:rsidR="00AB1D7D">
        <w:rPr>
          <w:b/>
          <w:bCs/>
        </w:rPr>
        <w:t>a</w:t>
      </w:r>
      <w:r>
        <w:rPr>
          <w:b/>
          <w:bCs/>
        </w:rPr>
        <w:t>)</w:t>
      </w:r>
      <w:r>
        <w:rPr>
          <w:b/>
          <w:bCs/>
        </w:rPr>
        <w:tab/>
      </w:r>
      <w:r w:rsidR="004417C9" w:rsidRPr="00B805FB">
        <w:rPr>
          <w:b/>
          <w:bCs/>
        </w:rPr>
        <w:t xml:space="preserve">Instituting </w:t>
      </w:r>
      <w:r w:rsidR="004417C9" w:rsidRPr="001F6933">
        <w:rPr>
          <w:b/>
          <w:bCs/>
        </w:rPr>
        <w:t xml:space="preserve">awareness-raising campaigns aimed at promoting respect for human rights and tolerance for diversity; </w:t>
      </w:r>
    </w:p>
    <w:p w:rsidR="00C1184A" w:rsidRPr="007330F4" w:rsidRDefault="002E301B" w:rsidP="007330F4">
      <w:pPr>
        <w:pStyle w:val="SingleTxtG"/>
        <w:ind w:firstLine="567"/>
        <w:rPr>
          <w:b/>
          <w:bCs/>
        </w:rPr>
      </w:pPr>
      <w:r>
        <w:rPr>
          <w:b/>
          <w:bCs/>
        </w:rPr>
        <w:t>(</w:t>
      </w:r>
      <w:r w:rsidR="00AB1D7D">
        <w:rPr>
          <w:b/>
          <w:bCs/>
        </w:rPr>
        <w:t>b</w:t>
      </w:r>
      <w:r>
        <w:rPr>
          <w:b/>
          <w:bCs/>
        </w:rPr>
        <w:t>)</w:t>
      </w:r>
      <w:r>
        <w:rPr>
          <w:b/>
          <w:bCs/>
        </w:rPr>
        <w:tab/>
      </w:r>
      <w:r w:rsidR="004417C9" w:rsidRPr="00B805FB">
        <w:rPr>
          <w:b/>
          <w:bCs/>
        </w:rPr>
        <w:t xml:space="preserve">Addressing effectively the </w:t>
      </w:r>
      <w:r w:rsidR="004417C9" w:rsidRPr="001F6933">
        <w:rPr>
          <w:b/>
          <w:bCs/>
        </w:rPr>
        <w:t>illegal activities of extremist organizations and groups</w:t>
      </w:r>
      <w:r w:rsidR="004417C9" w:rsidRPr="00E915A5">
        <w:rPr>
          <w:b/>
          <w:bCs/>
        </w:rPr>
        <w:t xml:space="preserve"> and the Cossack</w:t>
      </w:r>
      <w:r w:rsidR="004417C9" w:rsidRPr="00E915A5">
        <w:rPr>
          <w:rFonts w:hint="cs"/>
          <w:b/>
          <w:bCs/>
        </w:rPr>
        <w:t xml:space="preserve"> patrols</w:t>
      </w:r>
      <w:r w:rsidR="004417C9" w:rsidRPr="006F2E63">
        <w:rPr>
          <w:b/>
          <w:bCs/>
        </w:rPr>
        <w:t>;</w:t>
      </w:r>
    </w:p>
    <w:p w:rsidR="004417C9" w:rsidRPr="007330F4" w:rsidRDefault="002E301B" w:rsidP="007330F4">
      <w:pPr>
        <w:pStyle w:val="SingleTxtG"/>
        <w:ind w:firstLine="567"/>
        <w:rPr>
          <w:b/>
          <w:bCs/>
        </w:rPr>
      </w:pPr>
      <w:r>
        <w:rPr>
          <w:b/>
          <w:bCs/>
        </w:rPr>
        <w:t>(</w:t>
      </w:r>
      <w:r w:rsidR="00AB1D7D">
        <w:rPr>
          <w:b/>
          <w:bCs/>
        </w:rPr>
        <w:t>c</w:t>
      </w:r>
      <w:r>
        <w:rPr>
          <w:b/>
          <w:bCs/>
        </w:rPr>
        <w:t>)</w:t>
      </w:r>
      <w:r>
        <w:rPr>
          <w:b/>
          <w:bCs/>
        </w:rPr>
        <w:tab/>
      </w:r>
      <w:r w:rsidR="004417C9" w:rsidRPr="00B805FB">
        <w:rPr>
          <w:b/>
          <w:bCs/>
        </w:rPr>
        <w:t>Thoroughly investigating alleged h</w:t>
      </w:r>
      <w:r w:rsidR="004417C9" w:rsidRPr="001F6933">
        <w:rPr>
          <w:b/>
          <w:bCs/>
        </w:rPr>
        <w:t>ate crimes under the relevant provisions of the Criminal Code</w:t>
      </w:r>
      <w:r w:rsidR="00C1184A" w:rsidRPr="006F2E63">
        <w:rPr>
          <w:b/>
          <w:bCs/>
        </w:rPr>
        <w:t>,</w:t>
      </w:r>
      <w:r w:rsidR="004417C9" w:rsidRPr="001F239F">
        <w:rPr>
          <w:b/>
          <w:bCs/>
        </w:rPr>
        <w:t xml:space="preserve"> punishing such acts with appropriate sanctions and providing victims with adequate remedies, including compensation.</w:t>
      </w:r>
    </w:p>
    <w:p w:rsidR="004417C9" w:rsidRPr="001C6918" w:rsidRDefault="002E301B" w:rsidP="007330F4">
      <w:pPr>
        <w:pStyle w:val="H23G"/>
      </w:pPr>
      <w:r>
        <w:tab/>
      </w:r>
      <w:r>
        <w:tab/>
      </w:r>
      <w:r w:rsidR="004417C9" w:rsidRPr="001C6918">
        <w:t xml:space="preserve">Racial profiling </w:t>
      </w:r>
    </w:p>
    <w:p w:rsidR="004417C9" w:rsidRDefault="004417C9" w:rsidP="007330F4">
      <w:pPr>
        <w:pStyle w:val="SingleTxtG"/>
        <w:numPr>
          <w:ilvl w:val="0"/>
          <w:numId w:val="7"/>
        </w:numPr>
        <w:ind w:left="1134" w:firstLine="0"/>
      </w:pPr>
      <w:r>
        <w:t>The Committee remains concerned (</w:t>
      </w:r>
      <w:r w:rsidR="00830975">
        <w:t xml:space="preserve">see </w:t>
      </w:r>
      <w:r>
        <w:t>CCPR/C/RUS/CO/6</w:t>
      </w:r>
      <w:r w:rsidR="00BE5E62" w:rsidRPr="00BE5E62">
        <w:t xml:space="preserve"> </w:t>
      </w:r>
      <w:r w:rsidR="00BE5E62">
        <w:t>and Corr.1</w:t>
      </w:r>
      <w:r>
        <w:t xml:space="preserve">, </w:t>
      </w:r>
      <w:r w:rsidR="00AF1BAA">
        <w:t>para. </w:t>
      </w:r>
      <w:r>
        <w:t xml:space="preserve">11) </w:t>
      </w:r>
      <w:r w:rsidR="005A732C">
        <w:t>about</w:t>
      </w:r>
      <w:r>
        <w:t xml:space="preserve"> reports of racial profiling by law enforcement officers targeting Roma, persons originating from </w:t>
      </w:r>
      <w:r>
        <w:rPr>
          <w:lang w:bidi="he-IL"/>
        </w:rPr>
        <w:t xml:space="preserve">the </w:t>
      </w:r>
      <w:r>
        <w:t>Caucasus, Central Asia and Africa</w:t>
      </w:r>
      <w:r w:rsidR="005A732C">
        <w:t>,</w:t>
      </w:r>
      <w:r>
        <w:t xml:space="preserve"> who appear to be disproportionately affected by frequent identity checks, confiscation of identity documents, extortion of bribes, harassment, arrests, detentions, physical violence and verbal abuse (</w:t>
      </w:r>
      <w:r w:rsidR="00AF1BAA">
        <w:t>arts. </w:t>
      </w:r>
      <w:r>
        <w:t>2, 9, 12, 17 and</w:t>
      </w:r>
      <w:r w:rsidR="00720B71">
        <w:t> </w:t>
      </w:r>
      <w:r>
        <w:t>26).</w:t>
      </w:r>
    </w:p>
    <w:p w:rsidR="004417C9" w:rsidRPr="007330F4" w:rsidRDefault="004417C9" w:rsidP="007330F4">
      <w:pPr>
        <w:pStyle w:val="SingleTxtG"/>
        <w:rPr>
          <w:b/>
          <w:bCs/>
        </w:rPr>
      </w:pPr>
      <w:r w:rsidRPr="00B805FB">
        <w:rPr>
          <w:b/>
          <w:bCs/>
        </w:rPr>
        <w:t>The State party should take all</w:t>
      </w:r>
      <w:r w:rsidR="00B4669C">
        <w:rPr>
          <w:b/>
          <w:bCs/>
        </w:rPr>
        <w:t xml:space="preserve"> the</w:t>
      </w:r>
      <w:r w:rsidRPr="00B805FB">
        <w:rPr>
          <w:b/>
          <w:bCs/>
        </w:rPr>
        <w:t xml:space="preserve"> measures </w:t>
      </w:r>
      <w:r w:rsidR="005A732C" w:rsidRPr="00B805FB">
        <w:rPr>
          <w:b/>
          <w:bCs/>
        </w:rPr>
        <w:t xml:space="preserve">necessary </w:t>
      </w:r>
      <w:r w:rsidRPr="00B805FB">
        <w:rPr>
          <w:b/>
          <w:bCs/>
        </w:rPr>
        <w:t>to effectively combat and eliminate racial profiling by law enforcement of</w:t>
      </w:r>
      <w:r w:rsidRPr="001F6933">
        <w:rPr>
          <w:b/>
          <w:bCs/>
        </w:rPr>
        <w:t>ficers, inter alia by clearly defining and prohibiting racial profiling by law and providing mandatory training on cultural awareness and the inadmissibility of racial profiling to law enforcement personnel. It should also investigate misconduct bas</w:t>
      </w:r>
      <w:r w:rsidRPr="006F2E63">
        <w:rPr>
          <w:b/>
          <w:bCs/>
        </w:rPr>
        <w:t>ed on racially discriminatory grounds and bring perpetrators to justice.</w:t>
      </w:r>
    </w:p>
    <w:p w:rsidR="001200A8" w:rsidRDefault="001200A8" w:rsidP="001200A8">
      <w:pPr>
        <w:pStyle w:val="H23G"/>
      </w:pPr>
      <w:r>
        <w:tab/>
      </w:r>
      <w:r>
        <w:tab/>
        <w:t>Discrimination on the grounds of sexual orientation and gender identity</w:t>
      </w:r>
    </w:p>
    <w:p w:rsidR="001200A8" w:rsidRDefault="001200A8" w:rsidP="007330F4">
      <w:pPr>
        <w:pStyle w:val="SingleTxtG"/>
        <w:numPr>
          <w:ilvl w:val="0"/>
          <w:numId w:val="7"/>
        </w:numPr>
        <w:ind w:left="1134" w:firstLine="0"/>
      </w:pPr>
      <w:r>
        <w:t>The Committee is concerned:</w:t>
      </w:r>
    </w:p>
    <w:p w:rsidR="001200A8" w:rsidRDefault="001200A8" w:rsidP="00B805FB">
      <w:pPr>
        <w:spacing w:after="120"/>
        <w:ind w:left="1134" w:right="1134" w:firstLine="567"/>
        <w:jc w:val="both"/>
      </w:pPr>
      <w:r>
        <w:t>(a)</w:t>
      </w:r>
      <w:r>
        <w:tab/>
      </w:r>
      <w:r w:rsidR="00720B71">
        <w:t>A</w:t>
      </w:r>
      <w:r>
        <w:t>bout reports of discrimination, hate speech, violence against lesbian, gay, bisexual and transgender (LGBT) individuals and activists and violation</w:t>
      </w:r>
      <w:r w:rsidR="005A732C">
        <w:t>s</w:t>
      </w:r>
      <w:r>
        <w:t xml:space="preserve"> of their rights to freedom of expression and assembly; </w:t>
      </w:r>
    </w:p>
    <w:p w:rsidR="001200A8" w:rsidRDefault="001200A8" w:rsidP="00720B71">
      <w:pPr>
        <w:spacing w:after="120"/>
        <w:ind w:left="1134" w:right="1134" w:firstLine="567"/>
        <w:jc w:val="both"/>
      </w:pPr>
      <w:r>
        <w:t>(b)</w:t>
      </w:r>
      <w:r>
        <w:tab/>
      </w:r>
      <w:r w:rsidR="00720B71">
        <w:t>A</w:t>
      </w:r>
      <w:r>
        <w:t xml:space="preserve">bout the absence of explicit protection against discrimination on </w:t>
      </w:r>
      <w:r w:rsidR="00B4669C">
        <w:t xml:space="preserve">the </w:t>
      </w:r>
      <w:r>
        <w:t xml:space="preserve">grounds of sexual orientation and gender identity in the anti-discrimination legislation; </w:t>
      </w:r>
    </w:p>
    <w:p w:rsidR="001200A8" w:rsidRDefault="001200A8" w:rsidP="005A732C">
      <w:pPr>
        <w:spacing w:after="120"/>
        <w:ind w:left="1134" w:right="1134" w:firstLine="567"/>
        <w:jc w:val="both"/>
      </w:pPr>
      <w:r>
        <w:t>(c)</w:t>
      </w:r>
      <w:r>
        <w:tab/>
      </w:r>
      <w:r w:rsidR="00720B71">
        <w:t>T</w:t>
      </w:r>
      <w:r>
        <w:t xml:space="preserve">hat </w:t>
      </w:r>
      <w:r w:rsidR="00AF1BAA">
        <w:t>article </w:t>
      </w:r>
      <w:r>
        <w:t xml:space="preserve">63, </w:t>
      </w:r>
      <w:r w:rsidR="00AF1BAA">
        <w:t>paragraph </w:t>
      </w:r>
      <w:r>
        <w:t>1</w:t>
      </w:r>
      <w:r w:rsidR="00720B71">
        <w:t> </w:t>
      </w:r>
      <w:r>
        <w:t>(e)</w:t>
      </w:r>
      <w:r w:rsidR="00B4669C">
        <w:t>,</w:t>
      </w:r>
      <w:r>
        <w:t xml:space="preserve"> of the Criminal Code recognizing as aggravated circumstances the commission of an offence for reasons of, inter alia, “hatred or enmity” or “hate or hostility towards a given social group” does not appear to have ever been applied to cases involving violence against LGBT individuals; </w:t>
      </w:r>
    </w:p>
    <w:p w:rsidR="001200A8" w:rsidRDefault="001200A8" w:rsidP="00E62588">
      <w:pPr>
        <w:spacing w:after="120"/>
        <w:ind w:left="1134" w:right="1134" w:firstLine="567"/>
        <w:jc w:val="both"/>
      </w:pPr>
      <w:r>
        <w:t>(d)</w:t>
      </w:r>
      <w:r>
        <w:tab/>
      </w:r>
      <w:r w:rsidR="006C39E0">
        <w:t>T</w:t>
      </w:r>
      <w:r>
        <w:t xml:space="preserve">hat the laws adopted at </w:t>
      </w:r>
      <w:r w:rsidR="005A732C">
        <w:t xml:space="preserve">the </w:t>
      </w:r>
      <w:r>
        <w:t>regional and federal level</w:t>
      </w:r>
      <w:r w:rsidR="005A732C">
        <w:t>s</w:t>
      </w:r>
      <w:r>
        <w:t xml:space="preserve"> banning “promotion of non-traditional sexual relations to minors”, although upheld by the Constitutional Court (rulings </w:t>
      </w:r>
      <w:r w:rsidR="00AF1BAA">
        <w:t>No. </w:t>
      </w:r>
      <w:r>
        <w:t xml:space="preserve">151-O-O of 19 January 2010 and </w:t>
      </w:r>
      <w:r w:rsidR="00AF1BAA">
        <w:t>No. </w:t>
      </w:r>
      <w:r>
        <w:t xml:space="preserve">24-P of 23 September 2014), exacerbate the negative stereotypes against LGBT individuals and represent a disproportionate restriction of </w:t>
      </w:r>
      <w:r w:rsidR="00A840C4">
        <w:t xml:space="preserve">their </w:t>
      </w:r>
      <w:r>
        <w:t>rights under the Covenant;</w:t>
      </w:r>
    </w:p>
    <w:p w:rsidR="001200A8" w:rsidRDefault="001200A8" w:rsidP="00E62588">
      <w:pPr>
        <w:spacing w:after="120"/>
        <w:ind w:left="1134" w:right="1134" w:firstLine="567"/>
        <w:jc w:val="both"/>
      </w:pPr>
      <w:r>
        <w:t>(e)</w:t>
      </w:r>
      <w:r>
        <w:tab/>
      </w:r>
      <w:r w:rsidR="006C39E0">
        <w:t>T</w:t>
      </w:r>
      <w:r>
        <w:t xml:space="preserve">hat a decree signed by </w:t>
      </w:r>
      <w:r w:rsidR="005A732C">
        <w:t xml:space="preserve">the </w:t>
      </w:r>
      <w:r>
        <w:t>Prime Minister</w:t>
      </w:r>
      <w:r w:rsidR="005A732C">
        <w:t xml:space="preserve"> of the Russian Federation</w:t>
      </w:r>
      <w:r w:rsidR="00B4669C">
        <w:t>,</w:t>
      </w:r>
      <w:r>
        <w:t xml:space="preserve"> </w:t>
      </w:r>
      <w:r w:rsidR="005A732C">
        <w:t xml:space="preserve">Dmitry </w:t>
      </w:r>
      <w:r>
        <w:t>Medvedev</w:t>
      </w:r>
      <w:r w:rsidR="00B4669C">
        <w:t>,</w:t>
      </w:r>
      <w:r>
        <w:t xml:space="preserve"> on 29 December 2014 included transgender identity, </w:t>
      </w:r>
      <w:r w:rsidRPr="00BF2BDA">
        <w:t>bi</w:t>
      </w:r>
      <w:r w:rsidR="00D36B36">
        <w:t>-</w:t>
      </w:r>
      <w:r w:rsidRPr="00BF2BDA">
        <w:t>gender</w:t>
      </w:r>
      <w:r>
        <w:t xml:space="preserve"> identity, asexuality and cross-dressing in the list of medical conditions constituting </w:t>
      </w:r>
      <w:r w:rsidRPr="00BF2BDA">
        <w:t>contraindications</w:t>
      </w:r>
      <w:r>
        <w:t xml:space="preserve"> to driving (</w:t>
      </w:r>
      <w:r w:rsidR="00AF1BAA">
        <w:t>arts. </w:t>
      </w:r>
      <w:r>
        <w:t>2, 7, 9, 17, 19, 21 and</w:t>
      </w:r>
      <w:r w:rsidR="006C39E0">
        <w:t> </w:t>
      </w:r>
      <w:r>
        <w:t>26).</w:t>
      </w:r>
    </w:p>
    <w:p w:rsidR="001200A8" w:rsidRPr="007330F4" w:rsidRDefault="001200A8" w:rsidP="007330F4">
      <w:pPr>
        <w:pStyle w:val="SingleTxtG"/>
        <w:rPr>
          <w:b/>
          <w:bCs/>
        </w:rPr>
      </w:pPr>
      <w:r w:rsidRPr="00B805FB">
        <w:rPr>
          <w:b/>
          <w:bCs/>
        </w:rPr>
        <w:t>The State party should clearly and officially state that it does not tolerate any form of social stigmatization of homosexuality, bisexuality or transexuality, or hate speech, discrimination or violence against persons based on th</w:t>
      </w:r>
      <w:r w:rsidRPr="001F6933">
        <w:rPr>
          <w:b/>
          <w:bCs/>
        </w:rPr>
        <w:t>eir sexual orientation or gender identity. It should also:</w:t>
      </w:r>
    </w:p>
    <w:p w:rsidR="001200A8" w:rsidRPr="007330F4" w:rsidRDefault="001200A8" w:rsidP="007330F4">
      <w:pPr>
        <w:pStyle w:val="SingleTxtG"/>
        <w:ind w:firstLine="567"/>
        <w:rPr>
          <w:b/>
          <w:bCs/>
        </w:rPr>
      </w:pPr>
      <w:r w:rsidRPr="001F6933">
        <w:rPr>
          <w:b/>
          <w:bCs/>
        </w:rPr>
        <w:t>(</w:t>
      </w:r>
      <w:r w:rsidR="00B4669C">
        <w:rPr>
          <w:b/>
          <w:bCs/>
        </w:rPr>
        <w:t>a</w:t>
      </w:r>
      <w:r w:rsidRPr="001F6933">
        <w:rPr>
          <w:b/>
          <w:bCs/>
        </w:rPr>
        <w:t>)</w:t>
      </w:r>
      <w:r w:rsidRPr="001F6933">
        <w:rPr>
          <w:b/>
          <w:bCs/>
        </w:rPr>
        <w:tab/>
        <w:t xml:space="preserve">Take all </w:t>
      </w:r>
      <w:r w:rsidR="00B4669C">
        <w:rPr>
          <w:b/>
          <w:bCs/>
        </w:rPr>
        <w:t xml:space="preserve">the </w:t>
      </w:r>
      <w:r w:rsidRPr="00B805FB">
        <w:rPr>
          <w:b/>
          <w:bCs/>
        </w:rPr>
        <w:t xml:space="preserve">steps </w:t>
      </w:r>
      <w:r w:rsidR="009C5326" w:rsidRPr="00B805FB">
        <w:rPr>
          <w:b/>
          <w:bCs/>
        </w:rPr>
        <w:t xml:space="preserve">necessary </w:t>
      </w:r>
      <w:r w:rsidRPr="00B805FB">
        <w:rPr>
          <w:b/>
          <w:bCs/>
        </w:rPr>
        <w:t>to strengthen the legal framework protecting LGBT individuals from discrimination and violence and ensure the investigation, prosecution and punishment of any act of v</w:t>
      </w:r>
      <w:r w:rsidRPr="001F6933">
        <w:rPr>
          <w:b/>
          <w:bCs/>
        </w:rPr>
        <w:t xml:space="preserve">iolence motivated by the victim’s sexual orientation or gender identity and apply the provisions of </w:t>
      </w:r>
      <w:r w:rsidR="00AF1BAA">
        <w:rPr>
          <w:b/>
          <w:bCs/>
        </w:rPr>
        <w:t>article </w:t>
      </w:r>
      <w:r w:rsidRPr="00B805FB">
        <w:rPr>
          <w:b/>
          <w:bCs/>
        </w:rPr>
        <w:t xml:space="preserve">63, </w:t>
      </w:r>
      <w:r w:rsidR="00AF1BAA">
        <w:rPr>
          <w:b/>
          <w:bCs/>
        </w:rPr>
        <w:t>paragraph </w:t>
      </w:r>
      <w:r w:rsidRPr="00B805FB">
        <w:rPr>
          <w:b/>
          <w:bCs/>
        </w:rPr>
        <w:t>1 (e)</w:t>
      </w:r>
      <w:r w:rsidR="00B4669C">
        <w:rPr>
          <w:b/>
          <w:bCs/>
        </w:rPr>
        <w:t>,</w:t>
      </w:r>
      <w:r w:rsidRPr="00B805FB">
        <w:rPr>
          <w:b/>
          <w:bCs/>
        </w:rPr>
        <w:t xml:space="preserve"> of the Criminal Code to such acts; </w:t>
      </w:r>
    </w:p>
    <w:p w:rsidR="001200A8" w:rsidRPr="007330F4" w:rsidRDefault="001200A8" w:rsidP="007330F4">
      <w:pPr>
        <w:pStyle w:val="SingleTxtG"/>
        <w:ind w:firstLine="567"/>
        <w:rPr>
          <w:b/>
          <w:bCs/>
        </w:rPr>
      </w:pPr>
      <w:r w:rsidRPr="001F6933">
        <w:rPr>
          <w:b/>
          <w:bCs/>
        </w:rPr>
        <w:t>(</w:t>
      </w:r>
      <w:r w:rsidR="00B4669C">
        <w:rPr>
          <w:b/>
          <w:bCs/>
        </w:rPr>
        <w:t>b</w:t>
      </w:r>
      <w:r w:rsidRPr="001F6933">
        <w:rPr>
          <w:b/>
          <w:bCs/>
        </w:rPr>
        <w:t>)</w:t>
      </w:r>
      <w:r w:rsidRPr="001F6933">
        <w:rPr>
          <w:b/>
          <w:bCs/>
        </w:rPr>
        <w:tab/>
        <w:t xml:space="preserve">Repeal laws banning </w:t>
      </w:r>
      <w:r w:rsidR="009C5326">
        <w:rPr>
          <w:b/>
          <w:bCs/>
        </w:rPr>
        <w:t xml:space="preserve">the </w:t>
      </w:r>
      <w:r w:rsidRPr="001F6933">
        <w:rPr>
          <w:b/>
          <w:bCs/>
        </w:rPr>
        <w:t xml:space="preserve">“promotion of non-traditional sexual relations to minors” adopted at </w:t>
      </w:r>
      <w:r w:rsidR="009C5326">
        <w:rPr>
          <w:b/>
          <w:bCs/>
        </w:rPr>
        <w:t xml:space="preserve">the </w:t>
      </w:r>
      <w:r w:rsidRPr="001F6933">
        <w:rPr>
          <w:b/>
          <w:bCs/>
        </w:rPr>
        <w:t>regional and federal level</w:t>
      </w:r>
      <w:r w:rsidR="009C5326">
        <w:rPr>
          <w:b/>
          <w:bCs/>
        </w:rPr>
        <w:t>s</w:t>
      </w:r>
      <w:r w:rsidRPr="001F6933">
        <w:rPr>
          <w:b/>
          <w:bCs/>
        </w:rPr>
        <w:t>;</w:t>
      </w:r>
    </w:p>
    <w:p w:rsidR="001200A8" w:rsidRPr="007330F4" w:rsidRDefault="001200A8" w:rsidP="007330F4">
      <w:pPr>
        <w:pStyle w:val="SingleTxtG"/>
        <w:ind w:firstLine="567"/>
        <w:rPr>
          <w:b/>
          <w:bCs/>
        </w:rPr>
      </w:pPr>
      <w:r w:rsidRPr="001F6933">
        <w:rPr>
          <w:b/>
          <w:bCs/>
        </w:rPr>
        <w:t>(</w:t>
      </w:r>
      <w:r w:rsidR="00B4669C">
        <w:rPr>
          <w:b/>
          <w:bCs/>
        </w:rPr>
        <w:t>c</w:t>
      </w:r>
      <w:r w:rsidRPr="001F6933">
        <w:rPr>
          <w:b/>
          <w:bCs/>
        </w:rPr>
        <w:t>)</w:t>
      </w:r>
      <w:r w:rsidRPr="001F6933">
        <w:rPr>
          <w:b/>
          <w:bCs/>
        </w:rPr>
        <w:tab/>
        <w:t>Exclude transgender identity, bi</w:t>
      </w:r>
      <w:r w:rsidR="00D36B36">
        <w:rPr>
          <w:b/>
          <w:bCs/>
        </w:rPr>
        <w:t>-</w:t>
      </w:r>
      <w:r w:rsidRPr="00B805FB">
        <w:rPr>
          <w:b/>
          <w:bCs/>
        </w:rPr>
        <w:t>gender identity, asexuality and cross-dressing from the list of medical conditions constituting contraindications to driving</w:t>
      </w:r>
      <w:r w:rsidR="009C5326">
        <w:rPr>
          <w:b/>
          <w:bCs/>
        </w:rPr>
        <w:t>;</w:t>
      </w:r>
    </w:p>
    <w:p w:rsidR="001200A8" w:rsidRPr="006427D5" w:rsidRDefault="001200A8" w:rsidP="007330F4">
      <w:pPr>
        <w:pStyle w:val="SingleTxtG"/>
        <w:ind w:firstLine="567"/>
        <w:rPr>
          <w:b/>
          <w:bCs/>
        </w:rPr>
      </w:pPr>
      <w:r w:rsidRPr="001F6933">
        <w:rPr>
          <w:b/>
          <w:bCs/>
        </w:rPr>
        <w:t>(</w:t>
      </w:r>
      <w:r w:rsidR="00B4669C">
        <w:rPr>
          <w:b/>
          <w:bCs/>
        </w:rPr>
        <w:t>d</w:t>
      </w:r>
      <w:r w:rsidRPr="001F6933">
        <w:rPr>
          <w:b/>
          <w:bCs/>
        </w:rPr>
        <w:t>)</w:t>
      </w:r>
      <w:r w:rsidRPr="001F6933">
        <w:rPr>
          <w:b/>
          <w:bCs/>
        </w:rPr>
        <w:tab/>
        <w:t xml:space="preserve">Guarantee the </w:t>
      </w:r>
      <w:r w:rsidRPr="00E915A5">
        <w:rPr>
          <w:b/>
          <w:bCs/>
        </w:rPr>
        <w:t>exercise in practice of the rights to freedom of expression and assembly of LGBT individuals and their supporters</w:t>
      </w:r>
      <w:r w:rsidRPr="00F72571">
        <w:rPr>
          <w:b/>
          <w:bCs/>
        </w:rPr>
        <w:t>.</w:t>
      </w:r>
    </w:p>
    <w:p w:rsidR="004417C9" w:rsidRPr="001C6918" w:rsidRDefault="006C39E0" w:rsidP="007330F4">
      <w:pPr>
        <w:pStyle w:val="H23G"/>
      </w:pPr>
      <w:r>
        <w:tab/>
      </w:r>
      <w:r>
        <w:tab/>
      </w:r>
      <w:r w:rsidR="004417C9" w:rsidRPr="001C6918">
        <w:t>Non-discrimination and gender equality</w:t>
      </w:r>
    </w:p>
    <w:p w:rsidR="004417C9" w:rsidRDefault="004417C9" w:rsidP="007330F4">
      <w:pPr>
        <w:pStyle w:val="SingleTxtG"/>
        <w:numPr>
          <w:ilvl w:val="0"/>
          <w:numId w:val="7"/>
        </w:numPr>
        <w:ind w:left="1134" w:firstLine="0"/>
      </w:pPr>
      <w:r>
        <w:t>While noting the steps taken by the State party to promote gender equality and the progress made, the Committee remains concerned about the continued underrepresentation of women in decision-making positions in political and public life, including in the State Duma, the Federal Council and executive bodies (</w:t>
      </w:r>
      <w:r w:rsidR="00AF1BAA">
        <w:t>arts. </w:t>
      </w:r>
      <w:r>
        <w:t>2, 3 and</w:t>
      </w:r>
      <w:r w:rsidR="006C39E0">
        <w:t> </w:t>
      </w:r>
      <w:r>
        <w:t>26).</w:t>
      </w:r>
    </w:p>
    <w:p w:rsidR="004417C9" w:rsidRPr="007330F4" w:rsidRDefault="004417C9" w:rsidP="007330F4">
      <w:pPr>
        <w:pStyle w:val="SingleTxtG"/>
        <w:keepNext/>
        <w:rPr>
          <w:b/>
          <w:bCs/>
        </w:rPr>
      </w:pPr>
      <w:r w:rsidRPr="00B805FB">
        <w:rPr>
          <w:b/>
          <w:bCs/>
        </w:rPr>
        <w:t>The State party should:</w:t>
      </w:r>
    </w:p>
    <w:p w:rsidR="004417C9" w:rsidRPr="007330F4" w:rsidRDefault="004417C9" w:rsidP="007330F4">
      <w:pPr>
        <w:pStyle w:val="SingleTxtG"/>
        <w:ind w:firstLine="567"/>
        <w:rPr>
          <w:b/>
          <w:bCs/>
        </w:rPr>
      </w:pPr>
      <w:r w:rsidRPr="00B805FB">
        <w:rPr>
          <w:b/>
          <w:bCs/>
        </w:rPr>
        <w:t>(</w:t>
      </w:r>
      <w:r w:rsidR="00A71135" w:rsidRPr="001F6933">
        <w:rPr>
          <w:b/>
          <w:bCs/>
        </w:rPr>
        <w:t>a</w:t>
      </w:r>
      <w:r w:rsidRPr="00E915A5">
        <w:rPr>
          <w:b/>
          <w:bCs/>
        </w:rPr>
        <w:t>)</w:t>
      </w:r>
      <w:r w:rsidR="006C39E0">
        <w:rPr>
          <w:b/>
          <w:bCs/>
        </w:rPr>
        <w:tab/>
      </w:r>
      <w:r w:rsidRPr="00B805FB">
        <w:rPr>
          <w:b/>
          <w:bCs/>
        </w:rPr>
        <w:t xml:space="preserve">Develop strategies to combat patriarchal attitudes and stereotypes on the roles and responsibilities of women and men in the family and society at large, including </w:t>
      </w:r>
      <w:r w:rsidRPr="001F6933">
        <w:rPr>
          <w:b/>
          <w:bCs/>
        </w:rPr>
        <w:t>campaigns</w:t>
      </w:r>
      <w:r w:rsidRPr="00E915A5">
        <w:rPr>
          <w:b/>
          <w:bCs/>
        </w:rPr>
        <w:t xml:space="preserve"> </w:t>
      </w:r>
      <w:r w:rsidR="009C5326">
        <w:rPr>
          <w:b/>
          <w:bCs/>
        </w:rPr>
        <w:t xml:space="preserve">aimed at </w:t>
      </w:r>
      <w:r w:rsidR="00B4669C">
        <w:rPr>
          <w:b/>
          <w:bCs/>
        </w:rPr>
        <w:t>raising the awareness of</w:t>
      </w:r>
      <w:r w:rsidRPr="00B805FB">
        <w:rPr>
          <w:b/>
          <w:bCs/>
        </w:rPr>
        <w:t xml:space="preserve"> the population on the need to ensure the enjoyment by women of their rights; </w:t>
      </w:r>
    </w:p>
    <w:p w:rsidR="004417C9" w:rsidRPr="007330F4" w:rsidRDefault="004417C9" w:rsidP="007330F4">
      <w:pPr>
        <w:pStyle w:val="SingleTxtG"/>
        <w:ind w:firstLine="567"/>
        <w:rPr>
          <w:b/>
          <w:bCs/>
        </w:rPr>
      </w:pPr>
      <w:r w:rsidRPr="00B805FB">
        <w:rPr>
          <w:b/>
          <w:bCs/>
        </w:rPr>
        <w:t>(</w:t>
      </w:r>
      <w:r w:rsidR="00A71135" w:rsidRPr="001F6933">
        <w:rPr>
          <w:b/>
          <w:bCs/>
        </w:rPr>
        <w:t>b</w:t>
      </w:r>
      <w:r w:rsidRPr="00E915A5">
        <w:rPr>
          <w:b/>
          <w:bCs/>
        </w:rPr>
        <w:t>)</w:t>
      </w:r>
      <w:r w:rsidR="006C39E0">
        <w:rPr>
          <w:b/>
          <w:bCs/>
        </w:rPr>
        <w:tab/>
      </w:r>
      <w:r w:rsidRPr="001F6933">
        <w:rPr>
          <w:b/>
          <w:bCs/>
        </w:rPr>
        <w:t>Step up its efforts to achieve equitable representation of women in the State Duma</w:t>
      </w:r>
      <w:r w:rsidR="00B4669C">
        <w:rPr>
          <w:b/>
          <w:bCs/>
        </w:rPr>
        <w:t xml:space="preserve"> and</w:t>
      </w:r>
      <w:r w:rsidRPr="001F6933">
        <w:rPr>
          <w:b/>
          <w:bCs/>
        </w:rPr>
        <w:t xml:space="preserve"> the Federal Council and at the highest levels of </w:t>
      </w:r>
      <w:r w:rsidRPr="00E915A5">
        <w:rPr>
          <w:b/>
          <w:bCs/>
        </w:rPr>
        <w:t xml:space="preserve">Government within specific time frames. </w:t>
      </w:r>
    </w:p>
    <w:p w:rsidR="004417C9" w:rsidRPr="001C6918" w:rsidRDefault="002E301B" w:rsidP="007330F4">
      <w:pPr>
        <w:pStyle w:val="H23G"/>
      </w:pPr>
      <w:r>
        <w:tab/>
      </w:r>
      <w:r>
        <w:tab/>
      </w:r>
      <w:r w:rsidR="004417C9" w:rsidRPr="001C6918">
        <w:t>Domestic violence</w:t>
      </w:r>
    </w:p>
    <w:p w:rsidR="004417C9" w:rsidRDefault="004417C9" w:rsidP="007330F4">
      <w:pPr>
        <w:pStyle w:val="SingleTxtG"/>
        <w:numPr>
          <w:ilvl w:val="0"/>
          <w:numId w:val="7"/>
        </w:numPr>
        <w:ind w:left="1134" w:firstLine="0"/>
      </w:pPr>
      <w:r>
        <w:t xml:space="preserve">The Committee is concerned </w:t>
      </w:r>
      <w:r w:rsidR="009C5326">
        <w:t>about</w:t>
      </w:r>
      <w:r>
        <w:t xml:space="preserve"> the increase </w:t>
      </w:r>
      <w:r w:rsidR="009C5326">
        <w:t>by</w:t>
      </w:r>
      <w:r>
        <w:t xml:space="preserve"> 20</w:t>
      </w:r>
      <w:r w:rsidR="006C39E0">
        <w:t> </w:t>
      </w:r>
      <w:r>
        <w:t>per</w:t>
      </w:r>
      <w:r w:rsidR="006C39E0">
        <w:t xml:space="preserve"> </w:t>
      </w:r>
      <w:r>
        <w:t xml:space="preserve">cent in the number of reported cases of domestic violence affecting women and children since 2010 and </w:t>
      </w:r>
      <w:r w:rsidR="009C5326">
        <w:t>about</w:t>
      </w:r>
      <w:r>
        <w:t xml:space="preserve"> the slow progress in adopting the draft federal act on </w:t>
      </w:r>
      <w:r w:rsidR="00B4669C">
        <w:t xml:space="preserve">the </w:t>
      </w:r>
      <w:r>
        <w:t>prevention of domestic violence. It also notes with concern the lack of due diligence of law enforcement officers in registering and investigating domestic violence cases, and that support services for victims, including the number of psychological and educational centres and shelters, are insufficient (</w:t>
      </w:r>
      <w:r w:rsidR="00AF1BAA">
        <w:t>arts. </w:t>
      </w:r>
      <w:r>
        <w:t>2, 3, 7, 24 and</w:t>
      </w:r>
      <w:r w:rsidR="006C39E0">
        <w:t> </w:t>
      </w:r>
      <w:r>
        <w:t>26).</w:t>
      </w:r>
    </w:p>
    <w:p w:rsidR="004417C9" w:rsidRPr="007330F4" w:rsidRDefault="004417C9" w:rsidP="007330F4">
      <w:pPr>
        <w:pStyle w:val="SingleTxtG"/>
        <w:rPr>
          <w:b/>
          <w:bCs/>
        </w:rPr>
      </w:pPr>
      <w:r w:rsidRPr="00B805FB">
        <w:rPr>
          <w:b/>
          <w:bCs/>
        </w:rPr>
        <w:t>The State party should step up its effort</w:t>
      </w:r>
      <w:r w:rsidR="009C5326">
        <w:rPr>
          <w:b/>
          <w:bCs/>
        </w:rPr>
        <w:t>s</w:t>
      </w:r>
      <w:r w:rsidRPr="00B805FB">
        <w:rPr>
          <w:b/>
          <w:bCs/>
        </w:rPr>
        <w:t xml:space="preserve"> to prevent and combat all forms of domestic violence, including by:</w:t>
      </w:r>
    </w:p>
    <w:p w:rsidR="004417C9" w:rsidRPr="007330F4" w:rsidRDefault="004417C9" w:rsidP="007330F4">
      <w:pPr>
        <w:pStyle w:val="SingleTxtG"/>
        <w:ind w:firstLine="567"/>
        <w:rPr>
          <w:b/>
          <w:bCs/>
        </w:rPr>
      </w:pPr>
      <w:r w:rsidRPr="007330F4">
        <w:t>(a)</w:t>
      </w:r>
      <w:r w:rsidR="006C39E0">
        <w:rPr>
          <w:b/>
          <w:bCs/>
        </w:rPr>
        <w:tab/>
      </w:r>
      <w:r w:rsidRPr="001F6933">
        <w:rPr>
          <w:b/>
          <w:bCs/>
        </w:rPr>
        <w:t>Adopting without undue delay specific federal legislation prohibiting domestic violence;</w:t>
      </w:r>
    </w:p>
    <w:p w:rsidR="004417C9" w:rsidRPr="007330F4" w:rsidRDefault="004417C9" w:rsidP="007330F4">
      <w:pPr>
        <w:pStyle w:val="SingleTxtG"/>
        <w:ind w:firstLine="567"/>
        <w:rPr>
          <w:b/>
          <w:bCs/>
        </w:rPr>
      </w:pPr>
      <w:r w:rsidRPr="007330F4">
        <w:t>(b)</w:t>
      </w:r>
      <w:r w:rsidRPr="007330F4">
        <w:tab/>
      </w:r>
      <w:r w:rsidRPr="00B805FB">
        <w:rPr>
          <w:b/>
          <w:bCs/>
        </w:rPr>
        <w:t>Ensuring that law enforcement authorities, as well as medical and social workers, receive appropriate training to deal with cases of domestic violence;</w:t>
      </w:r>
    </w:p>
    <w:p w:rsidR="004417C9" w:rsidRPr="007330F4" w:rsidRDefault="004417C9" w:rsidP="007330F4">
      <w:pPr>
        <w:pStyle w:val="SingleTxtG"/>
        <w:ind w:firstLine="567"/>
        <w:rPr>
          <w:b/>
          <w:bCs/>
        </w:rPr>
      </w:pPr>
      <w:r w:rsidRPr="007330F4">
        <w:t>(c)</w:t>
      </w:r>
      <w:r w:rsidRPr="00B805FB">
        <w:rPr>
          <w:b/>
          <w:bCs/>
        </w:rPr>
        <w:tab/>
        <w:t xml:space="preserve">Strengthening its </w:t>
      </w:r>
      <w:r w:rsidRPr="00E915A5">
        <w:rPr>
          <w:b/>
          <w:bCs/>
        </w:rPr>
        <w:t xml:space="preserve">efforts to </w:t>
      </w:r>
      <w:r w:rsidR="00BE0494">
        <w:rPr>
          <w:b/>
          <w:bCs/>
        </w:rPr>
        <w:t>raise the awareness of</w:t>
      </w:r>
      <w:r w:rsidRPr="00B805FB">
        <w:rPr>
          <w:b/>
          <w:bCs/>
        </w:rPr>
        <w:t xml:space="preserve"> </w:t>
      </w:r>
      <w:r w:rsidRPr="001F6933">
        <w:rPr>
          <w:b/>
          <w:bCs/>
        </w:rPr>
        <w:t>the</w:t>
      </w:r>
      <w:r w:rsidR="00BE0494">
        <w:rPr>
          <w:b/>
          <w:bCs/>
        </w:rPr>
        <w:t xml:space="preserve"> wider</w:t>
      </w:r>
      <w:r w:rsidRPr="00B805FB">
        <w:rPr>
          <w:b/>
          <w:bCs/>
        </w:rPr>
        <w:t xml:space="preserve"> publ</w:t>
      </w:r>
      <w:r w:rsidRPr="001F6933">
        <w:rPr>
          <w:b/>
          <w:bCs/>
        </w:rPr>
        <w:t xml:space="preserve">ic </w:t>
      </w:r>
      <w:r w:rsidRPr="00E915A5">
        <w:rPr>
          <w:b/>
          <w:bCs/>
        </w:rPr>
        <w:t>to the adverse impact of domestic violence</w:t>
      </w:r>
      <w:r w:rsidR="00BE0494">
        <w:rPr>
          <w:b/>
          <w:bCs/>
        </w:rPr>
        <w:t xml:space="preserve"> and</w:t>
      </w:r>
      <w:r w:rsidRPr="001F6933">
        <w:rPr>
          <w:b/>
          <w:bCs/>
        </w:rPr>
        <w:t xml:space="preserve"> encouraging the reporting of domestic violence cases, inter alia by </w:t>
      </w:r>
      <w:r w:rsidRPr="006F2E63">
        <w:rPr>
          <w:b/>
          <w:bCs/>
        </w:rPr>
        <w:t xml:space="preserve">systematically </w:t>
      </w:r>
      <w:r w:rsidRPr="001F239F">
        <w:rPr>
          <w:b/>
          <w:bCs/>
        </w:rPr>
        <w:t>informing women and children of their rights and of the existing legal avenues through which they can receive protection;</w:t>
      </w:r>
      <w:r w:rsidRPr="00F72571">
        <w:rPr>
          <w:b/>
          <w:bCs/>
        </w:rPr>
        <w:t xml:space="preserve"> </w:t>
      </w:r>
    </w:p>
    <w:p w:rsidR="004417C9" w:rsidRPr="007330F4" w:rsidRDefault="004417C9" w:rsidP="007330F4">
      <w:pPr>
        <w:pStyle w:val="SingleTxtG"/>
        <w:ind w:firstLine="567"/>
        <w:rPr>
          <w:b/>
          <w:bCs/>
        </w:rPr>
      </w:pPr>
      <w:r w:rsidRPr="007330F4">
        <w:t>(d)</w:t>
      </w:r>
      <w:r w:rsidRPr="00B805FB">
        <w:rPr>
          <w:b/>
          <w:bCs/>
        </w:rPr>
        <w:tab/>
        <w:t>Ensuring that domestic violence cases are thoroughly investigated, that perpetrators are prosecuted and, if convicted, punished with appropriate sanctions, and that victims are adequately compensated;</w:t>
      </w:r>
    </w:p>
    <w:p w:rsidR="004417C9" w:rsidRPr="007330F4" w:rsidRDefault="004417C9" w:rsidP="007330F4">
      <w:pPr>
        <w:pStyle w:val="SingleTxtG"/>
        <w:ind w:firstLine="567"/>
        <w:rPr>
          <w:b/>
          <w:bCs/>
        </w:rPr>
      </w:pPr>
      <w:r w:rsidRPr="007330F4">
        <w:t>(e)</w:t>
      </w:r>
      <w:r w:rsidRPr="00B805FB">
        <w:rPr>
          <w:b/>
          <w:bCs/>
        </w:rPr>
        <w:tab/>
        <w:t>Ensuring that victims have access to eff</w:t>
      </w:r>
      <w:r w:rsidRPr="001F6933">
        <w:rPr>
          <w:b/>
          <w:bCs/>
        </w:rPr>
        <w:t>ective remedies and means of protection, including to an adequate number of psychological and educational centres</w:t>
      </w:r>
      <w:r w:rsidR="0057269F">
        <w:rPr>
          <w:b/>
          <w:bCs/>
        </w:rPr>
        <w:t>,</w:t>
      </w:r>
      <w:r w:rsidRPr="001F6933">
        <w:rPr>
          <w:b/>
          <w:bCs/>
        </w:rPr>
        <w:t xml:space="preserve"> and </w:t>
      </w:r>
      <w:r w:rsidR="0057269F">
        <w:rPr>
          <w:b/>
          <w:bCs/>
        </w:rPr>
        <w:t xml:space="preserve">that </w:t>
      </w:r>
      <w:r w:rsidRPr="001F6933">
        <w:rPr>
          <w:b/>
          <w:bCs/>
        </w:rPr>
        <w:t xml:space="preserve">other support services, </w:t>
      </w:r>
      <w:r w:rsidR="00BE0494">
        <w:rPr>
          <w:b/>
          <w:bCs/>
        </w:rPr>
        <w:t>such as</w:t>
      </w:r>
      <w:r w:rsidRPr="00B805FB">
        <w:rPr>
          <w:b/>
          <w:bCs/>
        </w:rPr>
        <w:t xml:space="preserve"> accommodation or shelters, are available in all parts of the country.</w:t>
      </w:r>
    </w:p>
    <w:p w:rsidR="001200A8" w:rsidRDefault="001200A8" w:rsidP="001200A8">
      <w:pPr>
        <w:pStyle w:val="H23G"/>
      </w:pPr>
      <w:r>
        <w:tab/>
      </w:r>
      <w:r>
        <w:tab/>
        <w:t>Counter-terrorism measures</w:t>
      </w:r>
    </w:p>
    <w:p w:rsidR="001200A8" w:rsidRDefault="001200A8" w:rsidP="007330F4">
      <w:pPr>
        <w:pStyle w:val="SingleTxtG"/>
        <w:numPr>
          <w:ilvl w:val="0"/>
          <w:numId w:val="7"/>
        </w:numPr>
        <w:ind w:left="1134" w:firstLine="0"/>
      </w:pPr>
      <w:r>
        <w:t>The Committee regrets the lack of clarity as to whether the 2006 Federal</w:t>
      </w:r>
      <w:r w:rsidR="00BE0494">
        <w:t xml:space="preserve"> Counter-Terrorism</w:t>
      </w:r>
      <w:r>
        <w:t xml:space="preserve"> </w:t>
      </w:r>
      <w:r w:rsidR="00BE0494">
        <w:t>Act</w:t>
      </w:r>
      <w:r>
        <w:t>: (a)</w:t>
      </w:r>
      <w:r w:rsidR="006C39E0">
        <w:t> </w:t>
      </w:r>
      <w:r>
        <w:t>contains specific provisions codifying the obligation of the authorities to respect and protect human rights in the context of counter-terrorism operations; (b)</w:t>
      </w:r>
      <w:r w:rsidR="006C39E0">
        <w:t> </w:t>
      </w:r>
      <w:r>
        <w:t xml:space="preserve">authorizes temporary restrictions on rights and freedoms not listed in </w:t>
      </w:r>
      <w:r w:rsidR="00AF1BAA">
        <w:t>article </w:t>
      </w:r>
      <w:r>
        <w:t xml:space="preserve">11, </w:t>
      </w:r>
      <w:r w:rsidR="00AF1BAA">
        <w:t>paragraph </w:t>
      </w:r>
      <w:r>
        <w:t>3</w:t>
      </w:r>
      <w:r w:rsidR="0057269F">
        <w:t>, of the Act</w:t>
      </w:r>
      <w:r>
        <w:t>; and (c)</w:t>
      </w:r>
      <w:r w:rsidR="006C39E0">
        <w:t> </w:t>
      </w:r>
      <w:r>
        <w:t>provides for independent review o</w:t>
      </w:r>
      <w:r w:rsidR="00E62588">
        <w:t>f</w:t>
      </w:r>
      <w:r>
        <w:t xml:space="preserve"> counter-terrorism activities undertaken by the executive, including with regard to monitoring telephone, electr</w:t>
      </w:r>
      <w:r w:rsidR="00E62588">
        <w:t>on</w:t>
      </w:r>
      <w:r>
        <w:t>ic and postal communications (</w:t>
      </w:r>
      <w:r w:rsidR="00AF1BAA">
        <w:t>arts. </w:t>
      </w:r>
      <w:r>
        <w:t>2, 7, 9, 10, 14 and</w:t>
      </w:r>
      <w:r w:rsidR="006C39E0">
        <w:t> </w:t>
      </w:r>
      <w:r>
        <w:t>17).</w:t>
      </w:r>
    </w:p>
    <w:p w:rsidR="001200A8" w:rsidRPr="007330F4" w:rsidRDefault="001200A8" w:rsidP="007330F4">
      <w:pPr>
        <w:pStyle w:val="SingleTxtG"/>
        <w:rPr>
          <w:b/>
          <w:bCs/>
        </w:rPr>
      </w:pPr>
      <w:r w:rsidRPr="00B805FB">
        <w:rPr>
          <w:b/>
          <w:bCs/>
        </w:rPr>
        <w:t>The Committee re</w:t>
      </w:r>
      <w:r w:rsidRPr="001F6933">
        <w:rPr>
          <w:b/>
          <w:bCs/>
        </w:rPr>
        <w:t>iterates its recommendation (</w:t>
      </w:r>
      <w:r w:rsidR="009F3FCB">
        <w:rPr>
          <w:b/>
          <w:bCs/>
        </w:rPr>
        <w:t xml:space="preserve">see </w:t>
      </w:r>
      <w:r w:rsidRPr="001F6933">
        <w:rPr>
          <w:b/>
          <w:bCs/>
        </w:rPr>
        <w:t>CCPR/C/RUS/CO/6</w:t>
      </w:r>
      <w:r w:rsidR="00BE5E62" w:rsidRPr="00BE5E62">
        <w:t xml:space="preserve"> </w:t>
      </w:r>
      <w:r w:rsidR="00BE5E62" w:rsidRPr="00BE5E62">
        <w:rPr>
          <w:b/>
          <w:bCs/>
        </w:rPr>
        <w:t>and Corr.1</w:t>
      </w:r>
      <w:r w:rsidRPr="001F6933">
        <w:rPr>
          <w:b/>
          <w:bCs/>
        </w:rPr>
        <w:t xml:space="preserve">, </w:t>
      </w:r>
      <w:r w:rsidR="00AF1BAA">
        <w:rPr>
          <w:b/>
          <w:bCs/>
        </w:rPr>
        <w:t>para. </w:t>
      </w:r>
      <w:r w:rsidRPr="00B805FB">
        <w:rPr>
          <w:b/>
          <w:bCs/>
        </w:rPr>
        <w:t xml:space="preserve">7) that the State party take all measures </w:t>
      </w:r>
      <w:r w:rsidR="00E62588" w:rsidRPr="00B805FB">
        <w:rPr>
          <w:b/>
          <w:bCs/>
        </w:rPr>
        <w:t xml:space="preserve">necessary </w:t>
      </w:r>
      <w:r w:rsidRPr="00B805FB">
        <w:rPr>
          <w:b/>
          <w:bCs/>
        </w:rPr>
        <w:t>to ensure that its counter-terrorism legislation and practices are in full compliance with its obligations under the Covenant, inc</w:t>
      </w:r>
      <w:r w:rsidRPr="001F6933">
        <w:rPr>
          <w:b/>
          <w:bCs/>
        </w:rPr>
        <w:t xml:space="preserve">luding with the requirements of </w:t>
      </w:r>
      <w:r w:rsidR="00AF1BAA">
        <w:rPr>
          <w:b/>
          <w:bCs/>
        </w:rPr>
        <w:t>article </w:t>
      </w:r>
      <w:r w:rsidRPr="00B805FB">
        <w:rPr>
          <w:b/>
          <w:bCs/>
        </w:rPr>
        <w:t xml:space="preserve">4. The State party should also ensure that its counter-terrorism legislation </w:t>
      </w:r>
      <w:r w:rsidRPr="001F6933">
        <w:rPr>
          <w:b/>
          <w:bCs/>
        </w:rPr>
        <w:t>provides for an independent mechanism to review counter-terrorism activities undertaken by the executive.</w:t>
      </w:r>
      <w:r w:rsidRPr="007330F4">
        <w:rPr>
          <w:b/>
          <w:bCs/>
        </w:rPr>
        <w:t xml:space="preserve"> </w:t>
      </w:r>
    </w:p>
    <w:p w:rsidR="001200A8" w:rsidRDefault="001200A8" w:rsidP="001200A8">
      <w:pPr>
        <w:pStyle w:val="H23G"/>
      </w:pPr>
      <w:r>
        <w:tab/>
      </w:r>
      <w:r>
        <w:tab/>
        <w:t>Torture and ill-treatment</w:t>
      </w:r>
    </w:p>
    <w:p w:rsidR="001200A8" w:rsidRDefault="00131A67" w:rsidP="007330F4">
      <w:pPr>
        <w:pStyle w:val="SingleTxtG"/>
        <w:numPr>
          <w:ilvl w:val="0"/>
          <w:numId w:val="7"/>
        </w:numPr>
        <w:ind w:left="1134" w:firstLine="0"/>
      </w:pPr>
      <w:r>
        <w:t>W</w:t>
      </w:r>
      <w:r w:rsidR="001200A8">
        <w:t xml:space="preserve">hile noting that acts that may constitute torture or ill-treatment can be prosecuted under several articles of the Criminal Code, </w:t>
      </w:r>
      <w:r>
        <w:t xml:space="preserve">the Committee </w:t>
      </w:r>
      <w:r w:rsidR="001200A8">
        <w:t xml:space="preserve">remains concerned </w:t>
      </w:r>
      <w:r w:rsidR="00E62588">
        <w:t xml:space="preserve">about </w:t>
      </w:r>
      <w:r w:rsidR="001200A8">
        <w:t>reports that torture and ill-treatment, including for the purpose of eliciting confessions, are still widely practised, and notes with concern recent allegations that Zaur Dadaev and</w:t>
      </w:r>
      <w:r w:rsidR="001200A8">
        <w:rPr>
          <w:lang w:bidi="he-IL"/>
        </w:rPr>
        <w:t xml:space="preserve"> </w:t>
      </w:r>
      <w:r w:rsidR="001200A8">
        <w:t>other</w:t>
      </w:r>
      <w:r w:rsidR="001200A8">
        <w:rPr>
          <w:lang w:bidi="he-IL"/>
        </w:rPr>
        <w:t xml:space="preserve"> suspects</w:t>
      </w:r>
      <w:r w:rsidR="001200A8">
        <w:t xml:space="preserve"> had confessed to the killing of opposition leader Boris Nemtsov under torture (</w:t>
      </w:r>
      <w:r w:rsidR="00AF1BAA">
        <w:t>arts. </w:t>
      </w:r>
      <w:r w:rsidR="001200A8">
        <w:t>2, 7 and</w:t>
      </w:r>
      <w:r w:rsidR="007D7815">
        <w:t> </w:t>
      </w:r>
      <w:r w:rsidR="001200A8">
        <w:t>14).</w:t>
      </w:r>
    </w:p>
    <w:p w:rsidR="001200A8" w:rsidRPr="007330F4" w:rsidRDefault="001200A8" w:rsidP="007330F4">
      <w:pPr>
        <w:pStyle w:val="SingleTxtG"/>
        <w:rPr>
          <w:b/>
          <w:bCs/>
        </w:rPr>
      </w:pPr>
      <w:r w:rsidRPr="00B805FB">
        <w:rPr>
          <w:b/>
          <w:bCs/>
        </w:rPr>
        <w:t>The State party should take effective measures to eradicate torture and ill-treatment, inter alia by</w:t>
      </w:r>
      <w:r w:rsidRPr="001F6933">
        <w:rPr>
          <w:b/>
          <w:bCs/>
        </w:rPr>
        <w:t xml:space="preserve"> ensuring that all allegations of torture and ill-treatment, including the allegations of torture of Zaur Dadaev and his alleged associates, are promptly and thoroughly investigated by an independent and impartial body, that perpetrators are prosecuted under appropriate criminal provisions and, if convicted, are punished with adequate sanctions, and that victims are provided with effective remedies, including appropriate compensation.</w:t>
      </w:r>
    </w:p>
    <w:p w:rsidR="001200A8" w:rsidRPr="00C31CD9" w:rsidRDefault="001200A8" w:rsidP="001200A8">
      <w:pPr>
        <w:pStyle w:val="H23G"/>
      </w:pPr>
      <w:r>
        <w:tab/>
      </w:r>
      <w:r>
        <w:tab/>
      </w:r>
      <w:r w:rsidRPr="00C31CD9">
        <w:t xml:space="preserve">Asylum and non-refoulement </w:t>
      </w:r>
    </w:p>
    <w:p w:rsidR="001200A8" w:rsidRPr="00C31CD9" w:rsidRDefault="001200A8" w:rsidP="007330F4">
      <w:pPr>
        <w:pStyle w:val="SingleTxtG"/>
        <w:numPr>
          <w:ilvl w:val="0"/>
          <w:numId w:val="7"/>
        </w:numPr>
        <w:ind w:left="1134" w:firstLine="0"/>
      </w:pPr>
      <w:r w:rsidRPr="00C31CD9">
        <w:t xml:space="preserve">The Committee is concerned that access to asylum procedures </w:t>
      </w:r>
      <w:r w:rsidR="00EC7ACC">
        <w:t xml:space="preserve">by </w:t>
      </w:r>
      <w:r w:rsidR="00EC7ACC" w:rsidRPr="00EC7ACC">
        <w:t>asylum</w:t>
      </w:r>
      <w:r w:rsidR="00E62588">
        <w:t xml:space="preserve"> </w:t>
      </w:r>
      <w:r w:rsidR="00EC7ACC" w:rsidRPr="00EC7ACC">
        <w:t xml:space="preserve">seekers who may be in need of international protection </w:t>
      </w:r>
      <w:r>
        <w:t>is allegedly still</w:t>
      </w:r>
      <w:r w:rsidRPr="00C31CD9">
        <w:t xml:space="preserve"> problematic. It is also concerned </w:t>
      </w:r>
      <w:r w:rsidR="00E62588">
        <w:t>about</w:t>
      </w:r>
      <w:r w:rsidR="00E62588" w:rsidRPr="00C31CD9">
        <w:t xml:space="preserve"> </w:t>
      </w:r>
      <w:r w:rsidRPr="00C31CD9">
        <w:t xml:space="preserve">the lack of any specific </w:t>
      </w:r>
      <w:r>
        <w:t xml:space="preserve">legal </w:t>
      </w:r>
      <w:r w:rsidRPr="00C31CD9">
        <w:t>safeguard against refoulement of a person to another State where there are substantial grounds for believing that he</w:t>
      </w:r>
      <w:r w:rsidR="00E62588">
        <w:t xml:space="preserve"> or </w:t>
      </w:r>
      <w:r w:rsidRPr="00C31CD9">
        <w:t xml:space="preserve">she would be </w:t>
      </w:r>
      <w:r>
        <w:t xml:space="preserve">at </w:t>
      </w:r>
      <w:r w:rsidR="0006598D">
        <w:t xml:space="preserve">real </w:t>
      </w:r>
      <w:r>
        <w:t>risk</w:t>
      </w:r>
      <w:r w:rsidRPr="00C31CD9">
        <w:t xml:space="preserve"> of being subjected to torture and at reports of refoulement of asylum</w:t>
      </w:r>
      <w:r w:rsidR="00131A67">
        <w:t xml:space="preserve"> </w:t>
      </w:r>
      <w:r w:rsidRPr="00C31CD9">
        <w:t>seekers and persons granted protection on the territory of the State party. The Committee is further concerned that such persons are often subjected to refoulement in spite of pending</w:t>
      </w:r>
      <w:r w:rsidR="00131A67">
        <w:t xml:space="preserve"> requests for</w:t>
      </w:r>
      <w:r w:rsidRPr="00C31CD9">
        <w:t xml:space="preserve"> interim measures issued by international human rights bodies, including the Committee and the European Court of Human Rights (</w:t>
      </w:r>
      <w:r w:rsidR="00AF1BAA">
        <w:t>arts. </w:t>
      </w:r>
      <w:r w:rsidRPr="00C31CD9">
        <w:t>6, 7 and</w:t>
      </w:r>
      <w:r w:rsidR="007D7815">
        <w:t> </w:t>
      </w:r>
      <w:r w:rsidRPr="00C31CD9">
        <w:t>13).</w:t>
      </w:r>
      <w:r w:rsidR="00AF1BAA">
        <w:t xml:space="preserve"> </w:t>
      </w:r>
    </w:p>
    <w:p w:rsidR="001200A8" w:rsidRPr="00B805FB" w:rsidRDefault="001200A8" w:rsidP="007330F4">
      <w:pPr>
        <w:pStyle w:val="SingleTxtG"/>
        <w:keepNext/>
        <w:rPr>
          <w:b/>
          <w:bCs/>
        </w:rPr>
      </w:pPr>
      <w:r w:rsidRPr="00B805FB">
        <w:rPr>
          <w:b/>
          <w:bCs/>
        </w:rPr>
        <w:t>The State party should:</w:t>
      </w:r>
    </w:p>
    <w:p w:rsidR="001200A8" w:rsidRPr="00E915A5" w:rsidRDefault="001200A8" w:rsidP="007D7815">
      <w:pPr>
        <w:pStyle w:val="SingleTxtG"/>
        <w:ind w:firstLine="567"/>
        <w:rPr>
          <w:b/>
          <w:bCs/>
        </w:rPr>
      </w:pPr>
      <w:r w:rsidRPr="007330F4">
        <w:t>(a)</w:t>
      </w:r>
      <w:r w:rsidRPr="007330F4">
        <w:tab/>
      </w:r>
      <w:r w:rsidRPr="001F6933">
        <w:rPr>
          <w:b/>
          <w:bCs/>
        </w:rPr>
        <w:t>Ensure that asylum</w:t>
      </w:r>
      <w:r w:rsidR="00131A67">
        <w:rPr>
          <w:b/>
          <w:bCs/>
        </w:rPr>
        <w:t xml:space="preserve"> </w:t>
      </w:r>
      <w:r w:rsidRPr="001F6933">
        <w:rPr>
          <w:b/>
          <w:bCs/>
        </w:rPr>
        <w:t>seekers who may be in need of international protection are able to access asylum procedures, more specifically by establishing accessible asylum and referral procedures at all border points, international airports</w:t>
      </w:r>
      <w:r w:rsidRPr="00E915A5">
        <w:rPr>
          <w:b/>
          <w:bCs/>
        </w:rPr>
        <w:t xml:space="preserve"> and transit zones;</w:t>
      </w:r>
    </w:p>
    <w:p w:rsidR="001200A8" w:rsidRPr="00B805FB" w:rsidRDefault="001200A8" w:rsidP="007D7815">
      <w:pPr>
        <w:pStyle w:val="SingleTxtG"/>
        <w:ind w:firstLine="567"/>
        <w:rPr>
          <w:b/>
          <w:bCs/>
        </w:rPr>
      </w:pPr>
      <w:r w:rsidRPr="007330F4">
        <w:t>(b)</w:t>
      </w:r>
      <w:r w:rsidRPr="001F6933">
        <w:rPr>
          <w:b/>
          <w:bCs/>
        </w:rPr>
        <w:tab/>
        <w:t xml:space="preserve">Amend legislation </w:t>
      </w:r>
      <w:r w:rsidR="00131A67">
        <w:rPr>
          <w:b/>
          <w:bCs/>
        </w:rPr>
        <w:t>to</w:t>
      </w:r>
      <w:r w:rsidR="00131A67" w:rsidRPr="00B805FB">
        <w:rPr>
          <w:b/>
          <w:bCs/>
        </w:rPr>
        <w:t xml:space="preserve"> </w:t>
      </w:r>
      <w:r w:rsidRPr="001F6933">
        <w:rPr>
          <w:b/>
          <w:bCs/>
        </w:rPr>
        <w:t>clearly prohibit</w:t>
      </w:r>
      <w:r w:rsidRPr="00E915A5">
        <w:rPr>
          <w:b/>
          <w:bCs/>
        </w:rPr>
        <w:t xml:space="preserve"> the refoulement of refugees and asylum</w:t>
      </w:r>
      <w:r w:rsidR="00131A67">
        <w:rPr>
          <w:b/>
          <w:bCs/>
        </w:rPr>
        <w:t xml:space="preserve"> </w:t>
      </w:r>
      <w:r w:rsidRPr="001F6933">
        <w:rPr>
          <w:b/>
          <w:bCs/>
        </w:rPr>
        <w:t>seekers</w:t>
      </w:r>
      <w:r w:rsidR="0006598D" w:rsidRPr="001F6933">
        <w:rPr>
          <w:b/>
          <w:bCs/>
        </w:rPr>
        <w:t xml:space="preserve"> to another State where there are substantial grounds for believing that there is a real risk of irreparable harm, such as</w:t>
      </w:r>
      <w:r w:rsidR="0006598D" w:rsidRPr="006F2E63">
        <w:rPr>
          <w:b/>
          <w:bCs/>
        </w:rPr>
        <w:t xml:space="preserve"> that contemplated </w:t>
      </w:r>
      <w:r w:rsidR="00131A67">
        <w:rPr>
          <w:b/>
          <w:bCs/>
        </w:rPr>
        <w:t>in</w:t>
      </w:r>
      <w:r w:rsidR="0006598D" w:rsidRPr="00B805FB">
        <w:rPr>
          <w:b/>
          <w:bCs/>
        </w:rPr>
        <w:t xml:space="preserve"> </w:t>
      </w:r>
      <w:r w:rsidR="00AF1BAA">
        <w:rPr>
          <w:b/>
          <w:bCs/>
        </w:rPr>
        <w:t>articles </w:t>
      </w:r>
      <w:r w:rsidR="0006598D" w:rsidRPr="00B805FB">
        <w:rPr>
          <w:b/>
          <w:bCs/>
        </w:rPr>
        <w:t>6 and 7 of the Covenant,</w:t>
      </w:r>
      <w:r w:rsidRPr="001F6933">
        <w:rPr>
          <w:b/>
          <w:bCs/>
        </w:rPr>
        <w:t xml:space="preserve"> by authorities involved in the execution of expulsion or deportation decisions and </w:t>
      </w:r>
      <w:r w:rsidR="00131A67">
        <w:rPr>
          <w:b/>
          <w:bCs/>
        </w:rPr>
        <w:t xml:space="preserve">to </w:t>
      </w:r>
      <w:r w:rsidRPr="00B805FB">
        <w:rPr>
          <w:b/>
          <w:bCs/>
        </w:rPr>
        <w:t>introduc</w:t>
      </w:r>
      <w:r w:rsidR="00131A67">
        <w:rPr>
          <w:b/>
          <w:bCs/>
        </w:rPr>
        <w:t>e</w:t>
      </w:r>
      <w:r w:rsidRPr="001F6933">
        <w:rPr>
          <w:b/>
          <w:bCs/>
        </w:rPr>
        <w:t xml:space="preserve"> mandatory prior verification mechanisms </w:t>
      </w:r>
      <w:r w:rsidRPr="006F2E63">
        <w:rPr>
          <w:b/>
          <w:bCs/>
        </w:rPr>
        <w:t>for th</w:t>
      </w:r>
      <w:r w:rsidR="00131A67">
        <w:rPr>
          <w:b/>
          <w:bCs/>
        </w:rPr>
        <w:t>os</w:t>
      </w:r>
      <w:r w:rsidRPr="00B805FB">
        <w:rPr>
          <w:b/>
          <w:bCs/>
        </w:rPr>
        <w:t>e authorities adjudicating asylum claims</w:t>
      </w:r>
      <w:r w:rsidR="00131A67">
        <w:rPr>
          <w:b/>
          <w:bCs/>
        </w:rPr>
        <w:t>,</w:t>
      </w:r>
      <w:r w:rsidRPr="00B805FB">
        <w:rPr>
          <w:b/>
          <w:bCs/>
        </w:rPr>
        <w:t xml:space="preserve"> as an effective instrument to consistently comply with the non-refoulement principle;</w:t>
      </w:r>
    </w:p>
    <w:p w:rsidR="001200A8" w:rsidRPr="001F6933" w:rsidRDefault="001200A8" w:rsidP="007D7815">
      <w:pPr>
        <w:pStyle w:val="SingleTxtG"/>
        <w:ind w:firstLine="567"/>
        <w:rPr>
          <w:b/>
          <w:bCs/>
        </w:rPr>
      </w:pPr>
      <w:r w:rsidRPr="007330F4">
        <w:t>(c)</w:t>
      </w:r>
      <w:r w:rsidRPr="007330F4">
        <w:tab/>
      </w:r>
      <w:r w:rsidRPr="001F6933">
        <w:rPr>
          <w:b/>
          <w:bCs/>
        </w:rPr>
        <w:t>Prevent the refoulement of asylum</w:t>
      </w:r>
      <w:r w:rsidR="00131A67">
        <w:rPr>
          <w:b/>
          <w:bCs/>
        </w:rPr>
        <w:t xml:space="preserve"> </w:t>
      </w:r>
      <w:r w:rsidRPr="001F6933">
        <w:rPr>
          <w:b/>
          <w:bCs/>
        </w:rPr>
        <w:t xml:space="preserve">seekers and persons granted protection on the territory of the State party, in line with </w:t>
      </w:r>
      <w:r w:rsidR="00AF1BAA">
        <w:rPr>
          <w:b/>
          <w:bCs/>
        </w:rPr>
        <w:t>articles </w:t>
      </w:r>
      <w:r w:rsidRPr="00B805FB">
        <w:rPr>
          <w:b/>
          <w:bCs/>
        </w:rPr>
        <w:t>6, 7 and 13 of the Covenant and ensure respect for</w:t>
      </w:r>
      <w:r w:rsidR="00131A67">
        <w:rPr>
          <w:b/>
          <w:bCs/>
        </w:rPr>
        <w:t xml:space="preserve"> requests for</w:t>
      </w:r>
      <w:r w:rsidRPr="00B805FB">
        <w:rPr>
          <w:b/>
          <w:bCs/>
        </w:rPr>
        <w:t xml:space="preserve"> interim measures </w:t>
      </w:r>
      <w:r w:rsidRPr="001F6933">
        <w:rPr>
          <w:b/>
          <w:bCs/>
        </w:rPr>
        <w:t>issued by international human rights bodies.</w:t>
      </w:r>
    </w:p>
    <w:p w:rsidR="001200A8" w:rsidRDefault="001200A8" w:rsidP="001200A8">
      <w:pPr>
        <w:pStyle w:val="H23G"/>
      </w:pPr>
      <w:r>
        <w:tab/>
      </w:r>
      <w:r>
        <w:tab/>
        <w:t>Drug users</w:t>
      </w:r>
    </w:p>
    <w:p w:rsidR="001200A8" w:rsidRDefault="001200A8" w:rsidP="007330F4">
      <w:pPr>
        <w:pStyle w:val="SingleTxtG"/>
        <w:numPr>
          <w:ilvl w:val="0"/>
          <w:numId w:val="7"/>
        </w:numPr>
        <w:ind w:left="1134" w:firstLine="0"/>
      </w:pPr>
      <w:r>
        <w:t>The Committee, noting the legal ban on opioid substitution therapy, is concerned a</w:t>
      </w:r>
      <w:r w:rsidR="00EC594E">
        <w:t>bout</w:t>
      </w:r>
      <w:r>
        <w:t xml:space="preserve"> allegations that </w:t>
      </w:r>
      <w:r w:rsidRPr="009A357D">
        <w:t>the police sometimes deliberately cause arrested drug users</w:t>
      </w:r>
      <w:r w:rsidRPr="009A357D">
        <w:rPr>
          <w:rStyle w:val="CommentReference"/>
        </w:rPr>
        <w:t xml:space="preserve"> </w:t>
      </w:r>
      <w:r>
        <w:t xml:space="preserve">to suffer withdrawal symptoms in order to elicit forced confessions or coerce them into cooperating with the police – actions that would also ultimately lead to violation of their rights under </w:t>
      </w:r>
      <w:r w:rsidR="00AF1BAA">
        <w:t>article </w:t>
      </w:r>
      <w:r>
        <w:t xml:space="preserve">14 of the Covenant. The Committee notes that such physical and mental pain and suffering associated with withdrawal </w:t>
      </w:r>
      <w:r w:rsidR="00A91374">
        <w:t xml:space="preserve">symptoms </w:t>
      </w:r>
      <w:r>
        <w:t>may amount to torture or ill-treatment and is concerned that the State party’s approach to the treatment of drug-dependent individuals deprived of their liberty does not seem to adequately protect them against such suffering (</w:t>
      </w:r>
      <w:r w:rsidR="00AF1BAA">
        <w:t>arts. </w:t>
      </w:r>
      <w:r>
        <w:t>7, 9, 10 and</w:t>
      </w:r>
      <w:r w:rsidR="007D7815">
        <w:t> </w:t>
      </w:r>
      <w:r>
        <w:t xml:space="preserve">14). </w:t>
      </w:r>
    </w:p>
    <w:p w:rsidR="001200A8" w:rsidRPr="007330F4" w:rsidRDefault="001200A8" w:rsidP="007330F4">
      <w:pPr>
        <w:pStyle w:val="SingleTxtG"/>
        <w:rPr>
          <w:b/>
          <w:bCs/>
        </w:rPr>
      </w:pPr>
      <w:r w:rsidRPr="00B805FB">
        <w:rPr>
          <w:b/>
          <w:bCs/>
        </w:rPr>
        <w:t xml:space="preserve">The State party should take all </w:t>
      </w:r>
      <w:r w:rsidR="00A91374">
        <w:rPr>
          <w:b/>
          <w:bCs/>
        </w:rPr>
        <w:t xml:space="preserve">the </w:t>
      </w:r>
      <w:r w:rsidRPr="001F6933">
        <w:rPr>
          <w:b/>
          <w:bCs/>
        </w:rPr>
        <w:t>measures</w:t>
      </w:r>
      <w:r w:rsidR="00A91374" w:rsidRPr="00A91374">
        <w:rPr>
          <w:b/>
          <w:bCs/>
        </w:rPr>
        <w:t xml:space="preserve"> </w:t>
      </w:r>
      <w:r w:rsidR="00A91374" w:rsidRPr="00307690">
        <w:rPr>
          <w:b/>
          <w:bCs/>
        </w:rPr>
        <w:t>necessary</w:t>
      </w:r>
      <w:r w:rsidRPr="001F6933">
        <w:rPr>
          <w:b/>
          <w:bCs/>
        </w:rPr>
        <w:t xml:space="preserve"> to ensure</w:t>
      </w:r>
      <w:r w:rsidR="00C80019">
        <w:rPr>
          <w:b/>
          <w:bCs/>
        </w:rPr>
        <w:t xml:space="preserve"> that:</w:t>
      </w:r>
      <w:r w:rsidRPr="00B805FB">
        <w:rPr>
          <w:b/>
          <w:bCs/>
        </w:rPr>
        <w:t xml:space="preserve"> (a)</w:t>
      </w:r>
      <w:r w:rsidR="007D7815">
        <w:rPr>
          <w:b/>
          <w:bCs/>
        </w:rPr>
        <w:t> </w:t>
      </w:r>
      <w:r w:rsidRPr="001F6933">
        <w:rPr>
          <w:b/>
          <w:bCs/>
        </w:rPr>
        <w:t xml:space="preserve">its policies vis-à-vis drug users deprived of their liberty fully conform </w:t>
      </w:r>
      <w:r w:rsidRPr="00E915A5">
        <w:rPr>
          <w:b/>
          <w:bCs/>
        </w:rPr>
        <w:t>to its obligation to effectively protect them against the pain and suffering associated with the withdrawal syndrome and that timely, adequate and scientifically based medical assistance to counter withdrawal symptoms is available in practice; (b)</w:t>
      </w:r>
      <w:r w:rsidR="007D7815">
        <w:rPr>
          <w:b/>
          <w:bCs/>
        </w:rPr>
        <w:t> </w:t>
      </w:r>
      <w:r w:rsidRPr="001F6933">
        <w:rPr>
          <w:b/>
          <w:bCs/>
        </w:rPr>
        <w:t>ade</w:t>
      </w:r>
      <w:r w:rsidRPr="00E915A5">
        <w:rPr>
          <w:b/>
          <w:bCs/>
        </w:rPr>
        <w:t xml:space="preserve">quate legal safeguards are in place </w:t>
      </w:r>
      <w:r w:rsidR="00BF44ED">
        <w:rPr>
          <w:b/>
          <w:bCs/>
        </w:rPr>
        <w:t>to prevent</w:t>
      </w:r>
      <w:r w:rsidR="00BF44ED" w:rsidRPr="00B805FB">
        <w:rPr>
          <w:b/>
          <w:bCs/>
        </w:rPr>
        <w:t xml:space="preserve"> </w:t>
      </w:r>
      <w:r w:rsidRPr="001F6933">
        <w:rPr>
          <w:b/>
          <w:bCs/>
        </w:rPr>
        <w:t>interrogations or any other procedural actions</w:t>
      </w:r>
      <w:r w:rsidR="00BF44ED">
        <w:rPr>
          <w:b/>
          <w:bCs/>
        </w:rPr>
        <w:t xml:space="preserve"> being conducted</w:t>
      </w:r>
      <w:r w:rsidRPr="00B805FB">
        <w:rPr>
          <w:b/>
          <w:bCs/>
        </w:rPr>
        <w:t xml:space="preserve"> while the person is suffering from </w:t>
      </w:r>
      <w:r w:rsidR="00BF44ED">
        <w:rPr>
          <w:b/>
          <w:bCs/>
        </w:rPr>
        <w:t xml:space="preserve">the </w:t>
      </w:r>
      <w:r w:rsidRPr="00B805FB">
        <w:rPr>
          <w:b/>
          <w:bCs/>
        </w:rPr>
        <w:t>withd</w:t>
      </w:r>
      <w:r w:rsidRPr="001F6933">
        <w:rPr>
          <w:b/>
          <w:bCs/>
        </w:rPr>
        <w:t>rawal syndrome;</w:t>
      </w:r>
      <w:r w:rsidR="00BF44ED">
        <w:rPr>
          <w:b/>
          <w:bCs/>
        </w:rPr>
        <w:t xml:space="preserve"> and</w:t>
      </w:r>
      <w:r w:rsidRPr="00B805FB">
        <w:rPr>
          <w:b/>
          <w:bCs/>
        </w:rPr>
        <w:t xml:space="preserve"> (c)</w:t>
      </w:r>
      <w:r w:rsidR="007D7815">
        <w:rPr>
          <w:b/>
          <w:bCs/>
        </w:rPr>
        <w:t> </w:t>
      </w:r>
      <w:r w:rsidRPr="001F6933">
        <w:rPr>
          <w:b/>
          <w:bCs/>
        </w:rPr>
        <w:t>due process rights of drug users deprived of their lib</w:t>
      </w:r>
      <w:r w:rsidRPr="00E915A5">
        <w:rPr>
          <w:b/>
          <w:bCs/>
        </w:rPr>
        <w:t>erty, including not to be compelled to testify against themselves, are effectively respected in practice.</w:t>
      </w:r>
    </w:p>
    <w:p w:rsidR="001200A8" w:rsidRPr="00D526DE" w:rsidRDefault="001200A8" w:rsidP="001200A8">
      <w:pPr>
        <w:pStyle w:val="H23G"/>
      </w:pPr>
      <w:r>
        <w:tab/>
      </w:r>
      <w:r>
        <w:tab/>
      </w:r>
      <w:r w:rsidRPr="00D526DE">
        <w:t>Independence of the judiciary</w:t>
      </w:r>
    </w:p>
    <w:p w:rsidR="001200A8" w:rsidRPr="00D526DE" w:rsidRDefault="001200A8" w:rsidP="007330F4">
      <w:pPr>
        <w:pStyle w:val="SingleTxtG"/>
        <w:numPr>
          <w:ilvl w:val="0"/>
          <w:numId w:val="7"/>
        </w:numPr>
        <w:ind w:left="1134" w:firstLine="0"/>
      </w:pPr>
      <w:r w:rsidRPr="00D526DE">
        <w:t>The Committee is concerned about the selection, appointment, promotion and dismissal of judges</w:t>
      </w:r>
      <w:r w:rsidR="00C65EC0">
        <w:t>,</w:t>
      </w:r>
      <w:r w:rsidRPr="00D526DE">
        <w:t xml:space="preserve"> </w:t>
      </w:r>
      <w:r w:rsidR="00C65EC0">
        <w:t>which</w:t>
      </w:r>
      <w:r w:rsidR="00C65EC0" w:rsidRPr="00D526DE">
        <w:t xml:space="preserve"> </w:t>
      </w:r>
      <w:r w:rsidRPr="00D526DE">
        <w:t>appears to be subject to extra-procedural influences, including the reported</w:t>
      </w:r>
      <w:r w:rsidR="00C65EC0">
        <w:t>ly</w:t>
      </w:r>
      <w:r w:rsidRPr="00D526DE">
        <w:t xml:space="preserve"> improper influence of court presidents in the appointment procedure </w:t>
      </w:r>
      <w:r w:rsidR="00C65EC0">
        <w:t>and</w:t>
      </w:r>
      <w:r w:rsidRPr="00D526DE">
        <w:t xml:space="preserve"> the significant role of the Presidential Commission in the selection and appointment process. It is also concerned </w:t>
      </w:r>
      <w:r w:rsidR="00C65EC0">
        <w:t>by</w:t>
      </w:r>
      <w:r w:rsidR="00C65EC0" w:rsidRPr="00D526DE">
        <w:t xml:space="preserve"> </w:t>
      </w:r>
      <w:r w:rsidRPr="00D526DE">
        <w:t xml:space="preserve">the disciplinary system for judges, </w:t>
      </w:r>
      <w:r w:rsidR="00C65EC0">
        <w:t>by</w:t>
      </w:r>
      <w:r w:rsidR="00C65EC0" w:rsidRPr="00D526DE">
        <w:t xml:space="preserve"> </w:t>
      </w:r>
      <w:r w:rsidRPr="00D526DE">
        <w:t xml:space="preserve">reports indicating </w:t>
      </w:r>
      <w:r>
        <w:t>substantial rates</w:t>
      </w:r>
      <w:r w:rsidRPr="00D526DE">
        <w:t xml:space="preserve"> of dismissal of judges and </w:t>
      </w:r>
      <w:r w:rsidR="00C65EC0">
        <w:t>by</w:t>
      </w:r>
      <w:r w:rsidR="00C65EC0" w:rsidRPr="00D526DE">
        <w:t xml:space="preserve"> </w:t>
      </w:r>
      <w:r w:rsidRPr="00D526DE">
        <w:t>allegations that disciplinary action can be based on the substance of judicial decision-making</w:t>
      </w:r>
      <w:r w:rsidR="00C65EC0">
        <w:t>,</w:t>
      </w:r>
      <w:r w:rsidRPr="00D526DE">
        <w:t xml:space="preserve"> such as acquittal. The Committee is further concerned about the low acquittal rate and the high percentage of acquittals overturned on appeal. It is also concerned </w:t>
      </w:r>
      <w:r w:rsidR="00C65EC0">
        <w:t>by</w:t>
      </w:r>
      <w:r w:rsidR="00C65EC0" w:rsidRPr="00D526DE">
        <w:t xml:space="preserve"> </w:t>
      </w:r>
      <w:r w:rsidRPr="00D526DE">
        <w:t xml:space="preserve">reports of </w:t>
      </w:r>
      <w:r w:rsidR="00C65EC0">
        <w:t xml:space="preserve">the </w:t>
      </w:r>
      <w:r w:rsidRPr="00D526DE">
        <w:t>lack of independence and impartiality of ex officio lawyers (</w:t>
      </w:r>
      <w:r w:rsidR="00AF1BAA">
        <w:t>arts. </w:t>
      </w:r>
      <w:r w:rsidRPr="00D526DE">
        <w:t>2 and</w:t>
      </w:r>
      <w:r w:rsidR="007D7815">
        <w:t> </w:t>
      </w:r>
      <w:r w:rsidRPr="00D526DE">
        <w:t xml:space="preserve">14). </w:t>
      </w:r>
    </w:p>
    <w:p w:rsidR="001200A8" w:rsidRPr="00B805FB" w:rsidRDefault="001200A8" w:rsidP="007330F4">
      <w:pPr>
        <w:pStyle w:val="SingleTxtG"/>
        <w:keepNext/>
        <w:rPr>
          <w:b/>
          <w:bCs/>
        </w:rPr>
      </w:pPr>
      <w:r w:rsidRPr="00B805FB">
        <w:rPr>
          <w:b/>
          <w:bCs/>
        </w:rPr>
        <w:t>The State party should:</w:t>
      </w:r>
    </w:p>
    <w:p w:rsidR="001200A8" w:rsidRPr="001F6933" w:rsidRDefault="001200A8" w:rsidP="007330F4">
      <w:pPr>
        <w:pStyle w:val="SingleTxtG"/>
        <w:ind w:firstLine="567"/>
        <w:rPr>
          <w:b/>
          <w:bCs/>
        </w:rPr>
      </w:pPr>
      <w:r w:rsidRPr="007330F4">
        <w:t>(a)</w:t>
      </w:r>
      <w:r w:rsidRPr="001F6933">
        <w:rPr>
          <w:b/>
          <w:bCs/>
        </w:rPr>
        <w:tab/>
        <w:t>Ensure that the appointment and promotion of judges strictly follows the procedure prescribed by law and is not subject to any unofficial extra-procedural influences, and that all bodies involved in the judicial selection process are fully independent and operate in full transparency and fairness;</w:t>
      </w:r>
    </w:p>
    <w:p w:rsidR="001200A8" w:rsidRPr="00B805FB" w:rsidRDefault="001200A8" w:rsidP="007330F4">
      <w:pPr>
        <w:pStyle w:val="SingleTxtG"/>
        <w:ind w:firstLine="567"/>
        <w:rPr>
          <w:b/>
          <w:bCs/>
        </w:rPr>
      </w:pPr>
      <w:r w:rsidRPr="007330F4">
        <w:t>(b)</w:t>
      </w:r>
      <w:r w:rsidRPr="001F6933">
        <w:rPr>
          <w:b/>
          <w:bCs/>
        </w:rPr>
        <w:tab/>
        <w:t xml:space="preserve">Reduce the role of the Presidential Commission in the process of </w:t>
      </w:r>
      <w:r w:rsidR="003336A1">
        <w:rPr>
          <w:b/>
          <w:bCs/>
        </w:rPr>
        <w:t xml:space="preserve">the </w:t>
      </w:r>
      <w:r w:rsidRPr="00B805FB">
        <w:rPr>
          <w:b/>
          <w:bCs/>
        </w:rPr>
        <w:t>appointment of individuals proposed by independent bodies established to govern appointments;</w:t>
      </w:r>
    </w:p>
    <w:p w:rsidR="001200A8" w:rsidRPr="001F6933" w:rsidRDefault="001200A8" w:rsidP="007330F4">
      <w:pPr>
        <w:pStyle w:val="SingleTxtG"/>
        <w:ind w:firstLine="567"/>
        <w:rPr>
          <w:b/>
          <w:bCs/>
        </w:rPr>
      </w:pPr>
      <w:r w:rsidRPr="007330F4">
        <w:t>(c)</w:t>
      </w:r>
      <w:r w:rsidRPr="001F6933">
        <w:rPr>
          <w:b/>
          <w:bCs/>
        </w:rPr>
        <w:tab/>
        <w:t>Ensure that an independent body is responsible for judicial discipline, clarify the grounds for disciplinary action</w:t>
      </w:r>
      <w:r w:rsidR="00D36B36">
        <w:rPr>
          <w:b/>
          <w:bCs/>
        </w:rPr>
        <w:t xml:space="preserve"> and</w:t>
      </w:r>
      <w:r w:rsidRPr="001F6933">
        <w:rPr>
          <w:b/>
          <w:bCs/>
        </w:rPr>
        <w:t xml:space="preserve"> guarantee due process in judicial disciplinary proceedings and independent judicial review of disciplinary sanctions;</w:t>
      </w:r>
    </w:p>
    <w:p w:rsidR="0076185B" w:rsidRPr="00007DA3" w:rsidRDefault="001200A8" w:rsidP="007330F4">
      <w:pPr>
        <w:pStyle w:val="SingleTxtG"/>
        <w:ind w:firstLine="567"/>
        <w:rPr>
          <w:b/>
          <w:bCs/>
        </w:rPr>
      </w:pPr>
      <w:r w:rsidRPr="007330F4">
        <w:t>(d)</w:t>
      </w:r>
      <w:r w:rsidRPr="001F6933">
        <w:rPr>
          <w:b/>
          <w:bCs/>
        </w:rPr>
        <w:tab/>
        <w:t xml:space="preserve">Establish sufficient safeguards to ensure the impartiality of ex officio lawyers, including a complaint mechanism for the accused to challenge such impartiality. </w:t>
      </w:r>
    </w:p>
    <w:p w:rsidR="0076185B" w:rsidRPr="001C6918" w:rsidRDefault="002E301B" w:rsidP="007330F4">
      <w:pPr>
        <w:pStyle w:val="H23G"/>
      </w:pPr>
      <w:r>
        <w:rPr>
          <w:rFonts w:eastAsia="Calibri"/>
          <w:lang w:eastAsia="en-GB"/>
        </w:rPr>
        <w:tab/>
      </w:r>
      <w:r>
        <w:rPr>
          <w:rFonts w:eastAsia="Calibri"/>
          <w:lang w:eastAsia="en-GB"/>
        </w:rPr>
        <w:tab/>
      </w:r>
      <w:r w:rsidR="0076185B" w:rsidRPr="001C6918">
        <w:rPr>
          <w:rFonts w:eastAsia="Calibri"/>
          <w:lang w:eastAsia="en-GB"/>
        </w:rPr>
        <w:t>Harassment, violence and killing of lawyers, journalists</w:t>
      </w:r>
      <w:r w:rsidR="0076185B">
        <w:rPr>
          <w:rFonts w:eastAsia="Calibri"/>
          <w:lang w:eastAsia="en-GB"/>
        </w:rPr>
        <w:t>,</w:t>
      </w:r>
      <w:r w:rsidR="0076185B" w:rsidRPr="001C6918">
        <w:rPr>
          <w:rFonts w:eastAsia="Calibri"/>
          <w:lang w:eastAsia="en-GB"/>
        </w:rPr>
        <w:t xml:space="preserve"> human rights defenders</w:t>
      </w:r>
      <w:r w:rsidR="0076185B">
        <w:rPr>
          <w:rFonts w:eastAsia="Calibri"/>
          <w:lang w:eastAsia="en-GB"/>
        </w:rPr>
        <w:t xml:space="preserve"> and</w:t>
      </w:r>
      <w:r>
        <w:rPr>
          <w:rFonts w:eastAsia="Calibri"/>
          <w:lang w:eastAsia="en-GB"/>
        </w:rPr>
        <w:t> </w:t>
      </w:r>
      <w:r w:rsidR="0076185B">
        <w:rPr>
          <w:rFonts w:eastAsia="Calibri"/>
          <w:lang w:eastAsia="en-GB"/>
        </w:rPr>
        <w:t>opposition politicians</w:t>
      </w:r>
    </w:p>
    <w:p w:rsidR="0076185B" w:rsidRPr="0054109C" w:rsidRDefault="0076185B" w:rsidP="007330F4">
      <w:pPr>
        <w:pStyle w:val="SingleTxtG"/>
        <w:numPr>
          <w:ilvl w:val="0"/>
          <w:numId w:val="7"/>
        </w:numPr>
        <w:ind w:left="1134" w:firstLine="0"/>
        <w:rPr>
          <w:b/>
        </w:rPr>
      </w:pPr>
      <w:r w:rsidRPr="0054109C">
        <w:rPr>
          <w:rFonts w:eastAsia="Calibri"/>
          <w:lang w:eastAsia="en-GB"/>
        </w:rPr>
        <w:t>The Committee remains concerned (</w:t>
      </w:r>
      <w:r w:rsidR="00830975">
        <w:rPr>
          <w:rFonts w:eastAsia="Calibri"/>
          <w:lang w:eastAsia="en-GB"/>
        </w:rPr>
        <w:t xml:space="preserve">see </w:t>
      </w:r>
      <w:r w:rsidRPr="0054109C">
        <w:rPr>
          <w:rFonts w:eastAsia="Calibri"/>
          <w:lang w:eastAsia="en-GB"/>
        </w:rPr>
        <w:t>CCPR/C/RUS/CO/6</w:t>
      </w:r>
      <w:r w:rsidR="00BE5E62" w:rsidRPr="00BE5E62">
        <w:t xml:space="preserve"> </w:t>
      </w:r>
      <w:r w:rsidR="00BE5E62">
        <w:t>and Corr.1</w:t>
      </w:r>
      <w:r w:rsidRPr="0054109C">
        <w:rPr>
          <w:rFonts w:eastAsia="Calibri"/>
          <w:lang w:eastAsia="en-GB"/>
        </w:rPr>
        <w:t xml:space="preserve">, </w:t>
      </w:r>
      <w:r w:rsidR="00AF1BAA">
        <w:rPr>
          <w:rFonts w:eastAsia="Calibri"/>
          <w:lang w:eastAsia="en-GB"/>
        </w:rPr>
        <w:t>paras. </w:t>
      </w:r>
      <w:r w:rsidRPr="0054109C">
        <w:rPr>
          <w:rFonts w:eastAsia="Calibri"/>
          <w:lang w:eastAsia="en-GB"/>
        </w:rPr>
        <w:t xml:space="preserve">14 and 16) </w:t>
      </w:r>
      <w:r w:rsidR="00A91374">
        <w:rPr>
          <w:rFonts w:eastAsia="Calibri"/>
          <w:lang w:eastAsia="en-GB"/>
        </w:rPr>
        <w:t>about</w:t>
      </w:r>
      <w:r w:rsidRPr="0054109C">
        <w:rPr>
          <w:rFonts w:eastAsia="Calibri"/>
          <w:lang w:eastAsia="en-GB"/>
        </w:rPr>
        <w:t xml:space="preserve"> reports </w:t>
      </w:r>
      <w:r w:rsidRPr="007330F4">
        <w:t>of</w:t>
      </w:r>
      <w:r w:rsidRPr="0054109C">
        <w:rPr>
          <w:rFonts w:eastAsia="Calibri"/>
          <w:lang w:eastAsia="en-GB"/>
        </w:rPr>
        <w:t xml:space="preserve"> harassment, death threats, intimidation, physical violence and kill</w:t>
      </w:r>
      <w:r>
        <w:rPr>
          <w:rFonts w:eastAsia="Calibri"/>
          <w:lang w:eastAsia="en-GB"/>
        </w:rPr>
        <w:t xml:space="preserve">ing of lawyers, journalists, </w:t>
      </w:r>
      <w:r w:rsidRPr="0054109C">
        <w:rPr>
          <w:rFonts w:eastAsia="Calibri"/>
          <w:lang w:eastAsia="en-GB"/>
        </w:rPr>
        <w:t>human rights defenders</w:t>
      </w:r>
      <w:r>
        <w:rPr>
          <w:rFonts w:eastAsia="Calibri"/>
          <w:lang w:eastAsia="en-GB"/>
        </w:rPr>
        <w:t xml:space="preserve"> and opposition politicians</w:t>
      </w:r>
      <w:r w:rsidRPr="0054109C">
        <w:rPr>
          <w:rFonts w:eastAsia="Calibri"/>
          <w:lang w:eastAsia="en-GB"/>
        </w:rPr>
        <w:t>, in particular of those working in the North Caucasus</w:t>
      </w:r>
      <w:r w:rsidR="0019250B">
        <w:rPr>
          <w:rFonts w:eastAsia="Calibri"/>
          <w:lang w:eastAsia="en-GB"/>
        </w:rPr>
        <w:t>,</w:t>
      </w:r>
      <w:r w:rsidRPr="0054109C">
        <w:rPr>
          <w:rFonts w:eastAsia="Calibri"/>
          <w:lang w:eastAsia="en-GB"/>
        </w:rPr>
        <w:t xml:space="preserve"> in connection with their professional activities</w:t>
      </w:r>
      <w:r>
        <w:rPr>
          <w:rFonts w:eastAsia="Calibri"/>
          <w:lang w:eastAsia="en-GB"/>
        </w:rPr>
        <w:t>,</w:t>
      </w:r>
      <w:r w:rsidRPr="0054109C">
        <w:rPr>
          <w:rFonts w:eastAsia="Calibri"/>
          <w:lang w:eastAsia="en-GB"/>
        </w:rPr>
        <w:t xml:space="preserve"> and at the slow progress in investigating such cases, including with regard to the killings of journalists Khadzhimurad Kamalov (2011) and Akhmednabi Akhmednabiev (2013) and human rights advocate Natalia Estemirova (2009) (</w:t>
      </w:r>
      <w:r w:rsidR="00AF1BAA">
        <w:rPr>
          <w:rFonts w:eastAsia="Calibri"/>
          <w:lang w:eastAsia="en-GB"/>
        </w:rPr>
        <w:t>arts. </w:t>
      </w:r>
      <w:r w:rsidRPr="0054109C">
        <w:rPr>
          <w:rFonts w:eastAsia="Calibri"/>
          <w:lang w:eastAsia="en-GB"/>
        </w:rPr>
        <w:t>2, 6, 7, 9, 14 and</w:t>
      </w:r>
      <w:r w:rsidR="007D7815">
        <w:rPr>
          <w:rFonts w:eastAsia="Calibri"/>
          <w:lang w:eastAsia="en-GB"/>
        </w:rPr>
        <w:t> </w:t>
      </w:r>
      <w:r w:rsidRPr="0054109C">
        <w:rPr>
          <w:rFonts w:eastAsia="Calibri"/>
          <w:lang w:eastAsia="en-GB"/>
        </w:rPr>
        <w:t>19).</w:t>
      </w:r>
    </w:p>
    <w:p w:rsidR="0076185B" w:rsidRPr="007330F4" w:rsidRDefault="0076185B" w:rsidP="007330F4">
      <w:pPr>
        <w:pStyle w:val="SingleTxtG"/>
        <w:rPr>
          <w:b/>
          <w:bCs/>
        </w:rPr>
      </w:pPr>
      <w:r w:rsidRPr="007330F4">
        <w:rPr>
          <w:b/>
          <w:bCs/>
        </w:rPr>
        <w:t xml:space="preserve">The State party should </w:t>
      </w:r>
      <w:r w:rsidR="00A91374">
        <w:rPr>
          <w:b/>
          <w:bCs/>
        </w:rPr>
        <w:t xml:space="preserve">immediately </w:t>
      </w:r>
      <w:r w:rsidRPr="007330F4">
        <w:rPr>
          <w:b/>
          <w:bCs/>
        </w:rPr>
        <w:t>take steps to provide, in practice, effective protection to lawyers, journalists</w:t>
      </w:r>
      <w:r w:rsidR="00584604" w:rsidRPr="007330F4">
        <w:rPr>
          <w:b/>
          <w:bCs/>
        </w:rPr>
        <w:t xml:space="preserve">, </w:t>
      </w:r>
      <w:r w:rsidRPr="007330F4">
        <w:rPr>
          <w:b/>
          <w:bCs/>
        </w:rPr>
        <w:t xml:space="preserve">human rights defenders </w:t>
      </w:r>
      <w:r w:rsidR="00584604" w:rsidRPr="007330F4">
        <w:rPr>
          <w:b/>
          <w:bCs/>
        </w:rPr>
        <w:t xml:space="preserve">and opposition politicians </w:t>
      </w:r>
      <w:r w:rsidRPr="007330F4">
        <w:rPr>
          <w:b/>
          <w:bCs/>
        </w:rPr>
        <w:t>whose lives, safety and security</w:t>
      </w:r>
      <w:r w:rsidR="00D511E4" w:rsidRPr="007330F4">
        <w:rPr>
          <w:b/>
          <w:bCs/>
        </w:rPr>
        <w:t xml:space="preserve"> are under threat due to their </w:t>
      </w:r>
      <w:r w:rsidRPr="007330F4">
        <w:rPr>
          <w:b/>
          <w:bCs/>
        </w:rPr>
        <w:t xml:space="preserve">work </w:t>
      </w:r>
      <w:r w:rsidR="00D511E4" w:rsidRPr="007330F4">
        <w:rPr>
          <w:b/>
          <w:bCs/>
        </w:rPr>
        <w:t>in</w:t>
      </w:r>
      <w:r w:rsidRPr="007330F4">
        <w:rPr>
          <w:b/>
          <w:bCs/>
        </w:rPr>
        <w:t xml:space="preserve"> monitoring and reporting on human rights issues and other matters of </w:t>
      </w:r>
      <w:r w:rsidR="00D511E4" w:rsidRPr="007330F4">
        <w:rPr>
          <w:b/>
          <w:bCs/>
        </w:rPr>
        <w:t xml:space="preserve">legal and </w:t>
      </w:r>
      <w:r w:rsidRPr="007330F4">
        <w:rPr>
          <w:b/>
          <w:bCs/>
        </w:rPr>
        <w:t xml:space="preserve">public interest, and refrain from taking any measures that may constitute harassment or persecution or undue interference in the exercise of their work or of their right to freedom of opinion and expression. It should effectively investigate, prosecute and bring </w:t>
      </w:r>
      <w:r w:rsidR="004E51C7" w:rsidRPr="008A118C">
        <w:rPr>
          <w:b/>
          <w:bCs/>
        </w:rPr>
        <w:t>to justice</w:t>
      </w:r>
      <w:r w:rsidR="004E51C7" w:rsidRPr="00B805FB">
        <w:rPr>
          <w:b/>
          <w:bCs/>
        </w:rPr>
        <w:t xml:space="preserve"> </w:t>
      </w:r>
      <w:r w:rsidRPr="007330F4">
        <w:rPr>
          <w:b/>
          <w:bCs/>
        </w:rPr>
        <w:t>perpetrators of the above acts.</w:t>
      </w:r>
    </w:p>
    <w:p w:rsidR="001200A8" w:rsidRDefault="002E301B" w:rsidP="007330F4">
      <w:pPr>
        <w:pStyle w:val="H23G"/>
      </w:pPr>
      <w:r>
        <w:tab/>
      </w:r>
      <w:r>
        <w:tab/>
      </w:r>
      <w:r w:rsidR="001200A8">
        <w:t>Freedom of expression</w:t>
      </w:r>
    </w:p>
    <w:p w:rsidR="001200A8" w:rsidRDefault="001200A8" w:rsidP="007330F4">
      <w:pPr>
        <w:pStyle w:val="SingleTxtG"/>
        <w:numPr>
          <w:ilvl w:val="0"/>
          <w:numId w:val="7"/>
        </w:numPr>
        <w:ind w:left="1134" w:firstLine="0"/>
      </w:pPr>
      <w:r w:rsidRPr="007330F4">
        <w:rPr>
          <w:rFonts w:eastAsia="Calibri"/>
          <w:lang w:eastAsia="en-GB"/>
        </w:rPr>
        <w:t>The</w:t>
      </w:r>
      <w:r>
        <w:t xml:space="preserve"> Committee is concerned about a number of developments that separately and jointly </w:t>
      </w:r>
      <w:r w:rsidR="00A91374">
        <w:t xml:space="preserve">create </w:t>
      </w:r>
      <w:r>
        <w:t>a substantial chilling effect on freedom of speech and expression of dissenting political opinions, including:</w:t>
      </w:r>
    </w:p>
    <w:p w:rsidR="001200A8" w:rsidRDefault="001200A8" w:rsidP="007D7815">
      <w:pPr>
        <w:spacing w:after="120"/>
        <w:ind w:left="1134" w:right="1134" w:firstLine="567"/>
        <w:jc w:val="both"/>
      </w:pPr>
      <w:r>
        <w:t>(a)</w:t>
      </w:r>
      <w:r>
        <w:tab/>
        <w:t xml:space="preserve">The re-criminalization of defamation in 2011; </w:t>
      </w:r>
    </w:p>
    <w:p w:rsidR="001200A8" w:rsidRDefault="001200A8" w:rsidP="00A91374">
      <w:pPr>
        <w:spacing w:after="120"/>
        <w:ind w:left="1134" w:right="1134" w:firstLine="567"/>
        <w:jc w:val="both"/>
      </w:pPr>
      <w:r>
        <w:t>(b)</w:t>
      </w:r>
      <w:r>
        <w:tab/>
      </w:r>
      <w:r w:rsidR="00A91374">
        <w:t>F</w:t>
      </w:r>
      <w:r>
        <w:t xml:space="preserve">ederal law </w:t>
      </w:r>
      <w:r w:rsidR="00AF1BAA">
        <w:t>No. </w:t>
      </w:r>
      <w:r>
        <w:t xml:space="preserve">190-FZ of November 2012 expanding the definition of treason to include </w:t>
      </w:r>
      <w:r w:rsidR="00A91374">
        <w:t xml:space="preserve">the </w:t>
      </w:r>
      <w:r>
        <w:t>provision of any financial, material, technical, consultative or other assistance to a foreign State</w:t>
      </w:r>
      <w:r w:rsidR="00A91374">
        <w:t xml:space="preserve"> or</w:t>
      </w:r>
      <w:r>
        <w:t xml:space="preserve"> an international or foreign organization against State security; </w:t>
      </w:r>
    </w:p>
    <w:p w:rsidR="001200A8" w:rsidRDefault="001200A8" w:rsidP="00A91374">
      <w:pPr>
        <w:spacing w:after="120"/>
        <w:ind w:left="1134" w:right="1134" w:firstLine="567"/>
        <w:jc w:val="both"/>
      </w:pPr>
      <w:r>
        <w:t>(c)</w:t>
      </w:r>
      <w:r>
        <w:tab/>
      </w:r>
      <w:r w:rsidR="00A91374">
        <w:t>F</w:t>
      </w:r>
      <w:r>
        <w:t xml:space="preserve">ederal law </w:t>
      </w:r>
      <w:r w:rsidR="00AF1BAA">
        <w:t>No. </w:t>
      </w:r>
      <w:r>
        <w:t>136-FZ (“</w:t>
      </w:r>
      <w:r w:rsidR="00A91374">
        <w:t>b</w:t>
      </w:r>
      <w:r>
        <w:t xml:space="preserve">lasphemy </w:t>
      </w:r>
      <w:r w:rsidR="00A91374">
        <w:t>l</w:t>
      </w:r>
      <w:r>
        <w:t xml:space="preserve">aw”) of June 2013 and the legal proceedings against members of the Pussy Riot punk band for hooliganism under </w:t>
      </w:r>
      <w:r w:rsidR="00AF1BAA">
        <w:t>article </w:t>
      </w:r>
      <w:r>
        <w:t xml:space="preserve">213 of the Criminal Code; </w:t>
      </w:r>
    </w:p>
    <w:p w:rsidR="001200A8" w:rsidRDefault="001200A8" w:rsidP="00A91374">
      <w:pPr>
        <w:spacing w:after="120"/>
        <w:ind w:left="1134" w:right="1134" w:firstLine="567"/>
        <w:jc w:val="both"/>
      </w:pPr>
      <w:r>
        <w:t>(d)</w:t>
      </w:r>
      <w:r>
        <w:tab/>
      </w:r>
      <w:r w:rsidR="00A91374">
        <w:t>F</w:t>
      </w:r>
      <w:r>
        <w:t xml:space="preserve">ederal law </w:t>
      </w:r>
      <w:r w:rsidR="00AF1BAA">
        <w:t>No. </w:t>
      </w:r>
      <w:r>
        <w:t xml:space="preserve">398-FZ authorizing prosecutors to issue emergency orders, without a court decision, to block any website containing, inter alia, calls to participate in “public events held in violation of the established order” or “extremist” or “terrorist” activities, and </w:t>
      </w:r>
      <w:r w:rsidR="00B805FB">
        <w:t xml:space="preserve">also </w:t>
      </w:r>
      <w:r>
        <w:t xml:space="preserve">used in order to block news websites (grani.ru and kasparov.ru) and the blog of opposition leader Alexei Navalny; </w:t>
      </w:r>
    </w:p>
    <w:p w:rsidR="001200A8" w:rsidRDefault="001200A8" w:rsidP="007D7815">
      <w:pPr>
        <w:spacing w:after="120"/>
        <w:ind w:left="1134" w:right="1134" w:firstLine="567"/>
        <w:jc w:val="both"/>
      </w:pPr>
      <w:r>
        <w:t>(e)</w:t>
      </w:r>
      <w:r>
        <w:tab/>
        <w:t xml:space="preserve">The law criminalizing, </w:t>
      </w:r>
      <w:r w:rsidRPr="007330F4">
        <w:t xml:space="preserve">inter alia, </w:t>
      </w:r>
      <w:r>
        <w:t xml:space="preserve">distortion of the Soviet Union’s role in the Second World War, signed by the President on 5 May 2014; </w:t>
      </w:r>
    </w:p>
    <w:p w:rsidR="001200A8" w:rsidRDefault="001200A8" w:rsidP="00A91374">
      <w:pPr>
        <w:spacing w:after="120"/>
        <w:ind w:left="1134" w:right="1134" w:firstLine="567"/>
        <w:jc w:val="both"/>
      </w:pPr>
      <w:r>
        <w:t>(f)</w:t>
      </w:r>
      <w:r>
        <w:tab/>
        <w:t xml:space="preserve">The law regulating the activities of blogs, signed by the President on 5 May 2014, requiring bloggers with more than 3,000 </w:t>
      </w:r>
      <w:r w:rsidR="00A91374">
        <w:t>visito</w:t>
      </w:r>
      <w:r>
        <w:t xml:space="preserve">rs daily to conform to </w:t>
      </w:r>
      <w:r w:rsidR="00677D26">
        <w:t>burdensome</w:t>
      </w:r>
      <w:r>
        <w:t xml:space="preserve"> legal constraints and responsibilities. </w:t>
      </w:r>
    </w:p>
    <w:p w:rsidR="001200A8" w:rsidRDefault="001200A8" w:rsidP="00A91374">
      <w:pPr>
        <w:spacing w:after="120"/>
        <w:ind w:left="1134" w:right="1134"/>
        <w:jc w:val="both"/>
      </w:pPr>
      <w:r>
        <w:t>The Committee notes that the above laws appear to be incompatible with the Covenant</w:t>
      </w:r>
      <w:r w:rsidR="00262747">
        <w:t>,</w:t>
      </w:r>
      <w:r>
        <w:t xml:space="preserve"> as the necessity of the imposed restrictions and the proportionality of the response appear not to meet the strict requirements of </w:t>
      </w:r>
      <w:r w:rsidR="00AF1BAA">
        <w:t>article </w:t>
      </w:r>
      <w:r>
        <w:t>19</w:t>
      </w:r>
      <w:r w:rsidR="00A91374">
        <w:t xml:space="preserve"> (3)</w:t>
      </w:r>
      <w:r>
        <w:t xml:space="preserve"> of the Covenant. </w:t>
      </w:r>
    </w:p>
    <w:p w:rsidR="001200A8" w:rsidRPr="007330F4" w:rsidRDefault="001200A8" w:rsidP="007330F4">
      <w:pPr>
        <w:pStyle w:val="SingleTxtG"/>
        <w:rPr>
          <w:b/>
          <w:bCs/>
        </w:rPr>
      </w:pPr>
      <w:r w:rsidRPr="00B805FB">
        <w:rPr>
          <w:b/>
          <w:bCs/>
        </w:rPr>
        <w:t>The State party should consider decriminalizing defamation and, in any case, it should countenance the application of criminal law only in the most serious of cases</w:t>
      </w:r>
      <w:r w:rsidR="00C24558" w:rsidRPr="001F6933">
        <w:rPr>
          <w:b/>
          <w:bCs/>
        </w:rPr>
        <w:t>, bearing in mind that imprisonment is never an appropriate penalty for defamation</w:t>
      </w:r>
      <w:r w:rsidRPr="001F6933">
        <w:rPr>
          <w:b/>
          <w:bCs/>
        </w:rPr>
        <w:t xml:space="preserve">. It should repeal or </w:t>
      </w:r>
      <w:r w:rsidRPr="00007DA3">
        <w:rPr>
          <w:b/>
          <w:bCs/>
        </w:rPr>
        <w:t xml:space="preserve">revise the other laws mentioned above with a view to bringing them into conformity with its obligations under the Covenant, taking into account the Committee’s general comment </w:t>
      </w:r>
      <w:r w:rsidR="00AF1BAA">
        <w:rPr>
          <w:b/>
          <w:bCs/>
        </w:rPr>
        <w:t>No. </w:t>
      </w:r>
      <w:r w:rsidRPr="00B805FB">
        <w:rPr>
          <w:b/>
          <w:bCs/>
        </w:rPr>
        <w:t xml:space="preserve">34 (2011) on freedoms of opinion and expression. In particular, it should clarify the vague, broad and open-ended definition of key terms in these laws and ensure that they are not used as tools to curtail freedom of expression beyond the narrow restrictions permitted in </w:t>
      </w:r>
      <w:r w:rsidR="00AF1BAA">
        <w:rPr>
          <w:b/>
          <w:bCs/>
        </w:rPr>
        <w:t>article </w:t>
      </w:r>
      <w:r w:rsidRPr="00B805FB">
        <w:rPr>
          <w:b/>
          <w:bCs/>
        </w:rPr>
        <w:t xml:space="preserve">19 of the Covenant. </w:t>
      </w:r>
    </w:p>
    <w:p w:rsidR="001200A8" w:rsidRDefault="001200A8" w:rsidP="001200A8">
      <w:pPr>
        <w:pStyle w:val="H23G"/>
      </w:pPr>
      <w:r>
        <w:tab/>
      </w:r>
      <w:r>
        <w:tab/>
        <w:t>Combating extremism</w:t>
      </w:r>
    </w:p>
    <w:p w:rsidR="001200A8" w:rsidRDefault="001200A8" w:rsidP="007330F4">
      <w:pPr>
        <w:pStyle w:val="SingleTxtG"/>
        <w:numPr>
          <w:ilvl w:val="0"/>
          <w:numId w:val="7"/>
        </w:numPr>
        <w:ind w:left="1134" w:firstLine="0"/>
      </w:pPr>
      <w:r>
        <w:t>The Committee remains concerned (</w:t>
      </w:r>
      <w:r w:rsidR="00830975">
        <w:t xml:space="preserve">see </w:t>
      </w:r>
      <w:r>
        <w:t>CCPR/C/RUS/CO/6</w:t>
      </w:r>
      <w:r w:rsidR="00BE5E62" w:rsidRPr="00BE5E62">
        <w:t xml:space="preserve"> </w:t>
      </w:r>
      <w:r w:rsidR="00BE5E62">
        <w:t>and Corr.1</w:t>
      </w:r>
      <w:r>
        <w:t xml:space="preserve">, </w:t>
      </w:r>
      <w:r w:rsidR="00AF1BAA">
        <w:t>para. </w:t>
      </w:r>
      <w:r>
        <w:t>25</w:t>
      </w:r>
      <w:r w:rsidR="00F40B40">
        <w:t>,</w:t>
      </w:r>
      <w:r w:rsidR="00BE5E62">
        <w:t xml:space="preserve"> </w:t>
      </w:r>
      <w:r w:rsidR="00F40B40">
        <w:t>and</w:t>
      </w:r>
      <w:r>
        <w:t xml:space="preserve"> CCPR/CO/79/RUS, </w:t>
      </w:r>
      <w:r w:rsidR="00AF1BAA">
        <w:t>para. </w:t>
      </w:r>
      <w:r>
        <w:t xml:space="preserve">20) that the vague and open-ended definition of “extremist activity” </w:t>
      </w:r>
      <w:r w:rsidRPr="007330F4">
        <w:rPr>
          <w:rFonts w:eastAsia="Calibri"/>
          <w:lang w:eastAsia="en-GB"/>
        </w:rPr>
        <w:t>in</w:t>
      </w:r>
      <w:r>
        <w:t xml:space="preserve"> the </w:t>
      </w:r>
      <w:r w:rsidRPr="00E62588">
        <w:t>Federal Law on Combating Extremist Activity</w:t>
      </w:r>
      <w:r>
        <w:t xml:space="preserve"> does not require any element of violence or hatred</w:t>
      </w:r>
      <w:r w:rsidR="00F40B40">
        <w:t xml:space="preserve"> to be present</w:t>
      </w:r>
      <w:r>
        <w:t xml:space="preserve"> and that no clear and precise criteria on how materials may be classified as extremist are provided in the law. The Committee expresses concern </w:t>
      </w:r>
      <w:r w:rsidR="00F73697">
        <w:t xml:space="preserve">about </w:t>
      </w:r>
      <w:r>
        <w:t xml:space="preserve">numerous reports </w:t>
      </w:r>
      <w:r w:rsidR="00F73697">
        <w:t xml:space="preserve">indicating </w:t>
      </w:r>
      <w:r>
        <w:t>that the law is increasingly used to curtail freedom of expression, including political dissent, and freedom of religion, targeting, inter alia, Jehovah’s Witnesses. It also expresses concern at the adverse impact of the July 2014 amendment to the Criminal Code (art</w:t>
      </w:r>
      <w:r w:rsidR="00AF1BAA">
        <w:t>. </w:t>
      </w:r>
      <w:r>
        <w:t xml:space="preserve">280.1) introducing the offence of public calls for action aimed at violating the territorial integrity of the State and at reports that the law has been applied, for example, against the editor-in chief of the Crimean Tatar </w:t>
      </w:r>
      <w:r w:rsidRPr="007330F4">
        <w:rPr>
          <w:i/>
        </w:rPr>
        <w:t>Avdet</w:t>
      </w:r>
      <w:r>
        <w:t xml:space="preserve"> newspaper (</w:t>
      </w:r>
      <w:r w:rsidR="00AF1BAA">
        <w:t>arts. </w:t>
      </w:r>
      <w:r>
        <w:t>2, 9, 18, 19</w:t>
      </w:r>
      <w:r w:rsidRPr="007330F4">
        <w:rPr>
          <w:b/>
        </w:rPr>
        <w:t xml:space="preserve"> </w:t>
      </w:r>
      <w:r>
        <w:t>and</w:t>
      </w:r>
      <w:r w:rsidR="0040618F">
        <w:t> </w:t>
      </w:r>
      <w:r>
        <w:t>26).</w:t>
      </w:r>
    </w:p>
    <w:p w:rsidR="001200A8" w:rsidRPr="007330F4" w:rsidRDefault="001200A8" w:rsidP="007330F4">
      <w:pPr>
        <w:pStyle w:val="SingleTxtG"/>
        <w:rPr>
          <w:b/>
          <w:bCs/>
        </w:rPr>
      </w:pPr>
      <w:r w:rsidRPr="00B805FB">
        <w:rPr>
          <w:b/>
          <w:bCs/>
        </w:rPr>
        <w:t xml:space="preserve">The </w:t>
      </w:r>
      <w:r w:rsidRPr="001F6933">
        <w:rPr>
          <w:b/>
          <w:bCs/>
        </w:rPr>
        <w:t>Committee reiterates its previous recommendations (</w:t>
      </w:r>
      <w:r w:rsidR="00A73143">
        <w:rPr>
          <w:b/>
          <w:bCs/>
        </w:rPr>
        <w:t xml:space="preserve">see </w:t>
      </w:r>
      <w:r w:rsidRPr="001F6933">
        <w:rPr>
          <w:b/>
          <w:bCs/>
        </w:rPr>
        <w:t>CCPR/C/RUS/CO/6</w:t>
      </w:r>
      <w:r w:rsidR="00BE5E62" w:rsidRPr="00BE5E62">
        <w:t xml:space="preserve"> </w:t>
      </w:r>
      <w:r w:rsidR="00BE5E62" w:rsidRPr="00BE5E62">
        <w:rPr>
          <w:b/>
          <w:bCs/>
        </w:rPr>
        <w:t>and Corr.1</w:t>
      </w:r>
      <w:r w:rsidRPr="001F6933">
        <w:rPr>
          <w:b/>
          <w:bCs/>
        </w:rPr>
        <w:t xml:space="preserve">, </w:t>
      </w:r>
      <w:r w:rsidR="00AF1BAA">
        <w:rPr>
          <w:b/>
          <w:bCs/>
        </w:rPr>
        <w:t>para. </w:t>
      </w:r>
      <w:r w:rsidRPr="00B805FB">
        <w:rPr>
          <w:b/>
          <w:bCs/>
        </w:rPr>
        <w:t>25</w:t>
      </w:r>
      <w:r w:rsidR="00AE59CB">
        <w:rPr>
          <w:b/>
          <w:bCs/>
        </w:rPr>
        <w:t>, and</w:t>
      </w:r>
      <w:r w:rsidRPr="00B805FB">
        <w:rPr>
          <w:b/>
          <w:bCs/>
        </w:rPr>
        <w:t xml:space="preserve"> CCPR/CO/79/RUS, </w:t>
      </w:r>
      <w:r w:rsidR="00AF1BAA">
        <w:rPr>
          <w:b/>
          <w:bCs/>
        </w:rPr>
        <w:t>para. </w:t>
      </w:r>
      <w:r w:rsidRPr="00B805FB">
        <w:rPr>
          <w:b/>
          <w:bCs/>
        </w:rPr>
        <w:t xml:space="preserve">20) that the State party should revise without undue delay the </w:t>
      </w:r>
      <w:r w:rsidRPr="00E62588">
        <w:rPr>
          <w:b/>
          <w:bCs/>
        </w:rPr>
        <w:t>Federal Law on Combating Extremist Activity</w:t>
      </w:r>
      <w:r w:rsidRPr="00B805FB">
        <w:rPr>
          <w:b/>
          <w:bCs/>
        </w:rPr>
        <w:t xml:space="preserve"> with a view to clarifying the vague a</w:t>
      </w:r>
      <w:r w:rsidRPr="001F6933">
        <w:rPr>
          <w:b/>
          <w:bCs/>
        </w:rPr>
        <w:t>nd open-ended definition of “extremist activity”, ensuring that the definition requires an element of violence or hatred</w:t>
      </w:r>
      <w:r w:rsidRPr="006F2E63">
        <w:rPr>
          <w:b/>
          <w:bCs/>
        </w:rPr>
        <w:t xml:space="preserve"> and establishing clear and precise criteria on how materials may be classified as extremist. It should take all </w:t>
      </w:r>
      <w:r w:rsidRPr="001F6933">
        <w:rPr>
          <w:b/>
          <w:bCs/>
        </w:rPr>
        <w:t xml:space="preserve">measures </w:t>
      </w:r>
      <w:r w:rsidR="0057269F" w:rsidRPr="001F6933">
        <w:rPr>
          <w:b/>
          <w:bCs/>
        </w:rPr>
        <w:t xml:space="preserve">necessary </w:t>
      </w:r>
      <w:r w:rsidRPr="001F6933">
        <w:rPr>
          <w:b/>
          <w:bCs/>
        </w:rPr>
        <w:t xml:space="preserve">to prevent the arbitrary use of the law and revise the Federal List of Extremist Materials. The State party should also ensure that </w:t>
      </w:r>
      <w:r w:rsidR="00AF1BAA">
        <w:rPr>
          <w:b/>
          <w:bCs/>
        </w:rPr>
        <w:t>article </w:t>
      </w:r>
      <w:r w:rsidRPr="00B805FB">
        <w:rPr>
          <w:b/>
          <w:bCs/>
        </w:rPr>
        <w:t xml:space="preserve">280.1 is applied in a manner consistent with the State party’s obligations under </w:t>
      </w:r>
      <w:r w:rsidR="00AF1BAA">
        <w:rPr>
          <w:b/>
          <w:bCs/>
        </w:rPr>
        <w:t>article </w:t>
      </w:r>
      <w:r w:rsidRPr="00B805FB">
        <w:rPr>
          <w:b/>
          <w:bCs/>
        </w:rPr>
        <w:t>19 of the Cove</w:t>
      </w:r>
      <w:r w:rsidRPr="001F6933">
        <w:rPr>
          <w:b/>
          <w:bCs/>
        </w:rPr>
        <w:t xml:space="preserve">nant as interpreted in the Committee’s general comment </w:t>
      </w:r>
      <w:r w:rsidR="00AF1BAA">
        <w:rPr>
          <w:b/>
          <w:bCs/>
        </w:rPr>
        <w:t>No. </w:t>
      </w:r>
      <w:r w:rsidRPr="00B805FB">
        <w:rPr>
          <w:b/>
          <w:bCs/>
        </w:rPr>
        <w:t xml:space="preserve">34 (2011) on freedoms of opinion and expression and is not used to silence individuals critical of the State party’s foreign policy, including with regard to Crimea. </w:t>
      </w:r>
    </w:p>
    <w:p w:rsidR="001200A8" w:rsidRDefault="001200A8" w:rsidP="001200A8">
      <w:pPr>
        <w:pStyle w:val="H23G"/>
      </w:pPr>
      <w:r>
        <w:tab/>
      </w:r>
      <w:r>
        <w:tab/>
        <w:t>Peaceful assembly</w:t>
      </w:r>
    </w:p>
    <w:p w:rsidR="001200A8" w:rsidRDefault="001200A8" w:rsidP="007330F4">
      <w:pPr>
        <w:pStyle w:val="SingleTxtG"/>
        <w:numPr>
          <w:ilvl w:val="0"/>
          <w:numId w:val="7"/>
        </w:numPr>
        <w:ind w:left="1134" w:firstLine="0"/>
      </w:pPr>
      <w:r>
        <w:t xml:space="preserve">The Committee expresses concern </w:t>
      </w:r>
      <w:r w:rsidR="00F73697">
        <w:t xml:space="preserve">about </w:t>
      </w:r>
      <w:r>
        <w:t xml:space="preserve">consistent reports of arbitrary restrictions on the exercise of freedom of peaceful assembly, including violent and unjustified dispersal of protesters by law enforcement officers, arbitrary detentions and imposition of harsh fines and prison sentences for </w:t>
      </w:r>
      <w:r w:rsidR="00F570CD">
        <w:t xml:space="preserve">the </w:t>
      </w:r>
      <w:r>
        <w:t>expressi</w:t>
      </w:r>
      <w:r w:rsidR="00F570CD">
        <w:t>on</w:t>
      </w:r>
      <w:r>
        <w:t xml:space="preserve"> </w:t>
      </w:r>
      <w:r w:rsidR="00F570CD">
        <w:t xml:space="preserve">of </w:t>
      </w:r>
      <w:r>
        <w:t xml:space="preserve">political views. The Committee notes with particular concern the charges of violence against law enforcement officers and </w:t>
      </w:r>
      <w:r w:rsidRPr="00C2018F">
        <w:t xml:space="preserve">mass unrest </w:t>
      </w:r>
      <w:r>
        <w:t>brought against demonstrators on Bolotnaya Square in Moscow on 6 May 2012 resulting in prison sentences</w:t>
      </w:r>
      <w:r w:rsidR="00F570CD">
        <w:t xml:space="preserve"> of</w:t>
      </w:r>
      <w:r>
        <w:t xml:space="preserve"> up to </w:t>
      </w:r>
      <w:r w:rsidR="00DC0A54">
        <w:t>four</w:t>
      </w:r>
      <w:r w:rsidR="00F570CD">
        <w:t xml:space="preserve"> and a half</w:t>
      </w:r>
      <w:r>
        <w:t xml:space="preserve"> years and lengthy pretrial detention exceeding</w:t>
      </w:r>
      <w:r w:rsidR="00DC0A54">
        <w:t>,</w:t>
      </w:r>
      <w:r>
        <w:t xml:space="preserve"> in some cases</w:t>
      </w:r>
      <w:r w:rsidR="00DC0A54">
        <w:t>,</w:t>
      </w:r>
      <w:r>
        <w:t xml:space="preserve"> a year, as well as the detention of some 1,300 protesters during </w:t>
      </w:r>
      <w:r w:rsidRPr="007330F4">
        <w:rPr>
          <w:rFonts w:eastAsia="Calibri"/>
          <w:lang w:eastAsia="en-GB"/>
        </w:rPr>
        <w:t>spontaneous</w:t>
      </w:r>
      <w:r>
        <w:t xml:space="preserve"> gatherings following the announcement of the verdict in the Bolotnaya </w:t>
      </w:r>
      <w:r w:rsidR="00F73697">
        <w:t xml:space="preserve">Square </w:t>
      </w:r>
      <w:r>
        <w:t xml:space="preserve">case in February 2014. The Committee is further concerned about the strong deterrent effect on the right to peaceful assembly of the new restrictions introduced in the amended </w:t>
      </w:r>
      <w:r w:rsidR="00DC0A54">
        <w:t xml:space="preserve">federal law </w:t>
      </w:r>
      <w:r w:rsidR="00AF1BAA">
        <w:t>No. </w:t>
      </w:r>
      <w:r>
        <w:t>65</w:t>
      </w:r>
      <w:r w:rsidR="0040618F">
        <w:t>­</w:t>
      </w:r>
      <w:r>
        <w:t>FZ (Assemblies Act) of 8 June 2012, which imposes high administrative sanctions on organi</w:t>
      </w:r>
      <w:r w:rsidR="00DC0A54">
        <w:t>z</w:t>
      </w:r>
      <w:r>
        <w:t xml:space="preserve">ers of assemblies who were previously convicted of similar administrative offences. Similarly, it is concerned </w:t>
      </w:r>
      <w:r w:rsidR="00F73697">
        <w:t xml:space="preserve">about </w:t>
      </w:r>
      <w:r w:rsidR="00DC0A54">
        <w:t xml:space="preserve">the </w:t>
      </w:r>
      <w:r>
        <w:t xml:space="preserve">additional set of restrictions </w:t>
      </w:r>
      <w:r w:rsidR="00DC0A54">
        <w:t xml:space="preserve">introduced in </w:t>
      </w:r>
      <w:r>
        <w:t>July 2014, further increasing the fines for violating rules on holding public events, introducing administrative custodial sentence</w:t>
      </w:r>
      <w:r w:rsidR="00DC0A54">
        <w:t>s</w:t>
      </w:r>
      <w:r>
        <w:t xml:space="preserve"> for participation in an unauthorized public gathering and making repeated violations a criminal offen</w:t>
      </w:r>
      <w:r w:rsidR="00DC0A54">
        <w:t>c</w:t>
      </w:r>
      <w:r>
        <w:t>e punishable by up to five years</w:t>
      </w:r>
      <w:r w:rsidR="00DC0A54">
        <w:t>’</w:t>
      </w:r>
      <w:r>
        <w:t xml:space="preserve"> imprisonment or a fine of up to 1 million r</w:t>
      </w:r>
      <w:r w:rsidR="00DC0A54">
        <w:t>o</w:t>
      </w:r>
      <w:r>
        <w:t>ubles (</w:t>
      </w:r>
      <w:r w:rsidR="00AF1BAA">
        <w:t>arts. </w:t>
      </w:r>
      <w:r>
        <w:t>7, 9, 10, 14, 19 and</w:t>
      </w:r>
      <w:r w:rsidR="0040618F">
        <w:t> </w:t>
      </w:r>
      <w:r>
        <w:t xml:space="preserve">21). </w:t>
      </w:r>
    </w:p>
    <w:p w:rsidR="001200A8" w:rsidRPr="007330F4" w:rsidRDefault="001200A8" w:rsidP="007330F4">
      <w:pPr>
        <w:pStyle w:val="SingleTxtG"/>
        <w:rPr>
          <w:b/>
          <w:bCs/>
        </w:rPr>
      </w:pPr>
      <w:r w:rsidRPr="00B805FB">
        <w:rPr>
          <w:b/>
          <w:bCs/>
        </w:rPr>
        <w:t xml:space="preserve">The State party should take all </w:t>
      </w:r>
      <w:r w:rsidR="00F73697">
        <w:rPr>
          <w:b/>
          <w:bCs/>
        </w:rPr>
        <w:t xml:space="preserve">the </w:t>
      </w:r>
      <w:r w:rsidRPr="00B805FB">
        <w:rPr>
          <w:b/>
          <w:bCs/>
        </w:rPr>
        <w:t xml:space="preserve">measures </w:t>
      </w:r>
      <w:r w:rsidR="00F73697" w:rsidRPr="00B805FB">
        <w:rPr>
          <w:b/>
          <w:bCs/>
        </w:rPr>
        <w:t xml:space="preserve">necessary </w:t>
      </w:r>
      <w:r w:rsidRPr="00B805FB">
        <w:rPr>
          <w:b/>
          <w:bCs/>
        </w:rPr>
        <w:t xml:space="preserve">to ensure that individuals fully enjoy their rights under </w:t>
      </w:r>
      <w:r w:rsidR="00AF1BAA">
        <w:rPr>
          <w:b/>
          <w:bCs/>
        </w:rPr>
        <w:t>article </w:t>
      </w:r>
      <w:r w:rsidRPr="00B805FB">
        <w:rPr>
          <w:b/>
          <w:bCs/>
        </w:rPr>
        <w:t>21 of the Covenant in practice, inter alia by:</w:t>
      </w:r>
    </w:p>
    <w:p w:rsidR="001200A8" w:rsidRPr="00B805FB" w:rsidRDefault="001200A8" w:rsidP="0040618F">
      <w:pPr>
        <w:pStyle w:val="SingleTxtG"/>
        <w:ind w:firstLine="567"/>
        <w:rPr>
          <w:b/>
          <w:bCs/>
        </w:rPr>
      </w:pPr>
      <w:r w:rsidRPr="007330F4">
        <w:t>(a)</w:t>
      </w:r>
      <w:r w:rsidRPr="007330F4">
        <w:tab/>
      </w:r>
      <w:r w:rsidRPr="001F6933">
        <w:rPr>
          <w:b/>
          <w:bCs/>
        </w:rPr>
        <w:t xml:space="preserve">Abstaining from any unjustified interference with the exercise of this right and ensuring that any restrictions imposed are in compliance with the strict requirements of </w:t>
      </w:r>
      <w:r w:rsidR="00AF1BAA">
        <w:rPr>
          <w:b/>
          <w:bCs/>
        </w:rPr>
        <w:t>article </w:t>
      </w:r>
      <w:r w:rsidRPr="00B805FB">
        <w:rPr>
          <w:b/>
          <w:bCs/>
        </w:rPr>
        <w:t>21 of the Covenant and not subordinate to political considerations;</w:t>
      </w:r>
    </w:p>
    <w:p w:rsidR="001200A8" w:rsidRPr="006F2E63" w:rsidRDefault="001200A8" w:rsidP="00F73697">
      <w:pPr>
        <w:pStyle w:val="SingleTxtG"/>
        <w:ind w:firstLine="567"/>
        <w:rPr>
          <w:b/>
          <w:bCs/>
        </w:rPr>
      </w:pPr>
      <w:r w:rsidRPr="007330F4">
        <w:t>(b)</w:t>
      </w:r>
      <w:r w:rsidRPr="001F6933">
        <w:rPr>
          <w:b/>
          <w:bCs/>
        </w:rPr>
        <w:tab/>
        <w:t>Promptly investigating all cases of violence, excessive use of force by law enforcement officers, arbitrary arrest</w:t>
      </w:r>
      <w:r w:rsidRPr="006F2E63">
        <w:rPr>
          <w:b/>
          <w:bCs/>
        </w:rPr>
        <w:t xml:space="preserve"> and detention of peaceful protesters and punishing those responsible;</w:t>
      </w:r>
    </w:p>
    <w:p w:rsidR="001200A8" w:rsidRPr="001F6933" w:rsidRDefault="001200A8" w:rsidP="0040618F">
      <w:pPr>
        <w:pStyle w:val="SingleTxtG"/>
        <w:ind w:firstLine="567"/>
        <w:rPr>
          <w:b/>
          <w:bCs/>
        </w:rPr>
      </w:pPr>
      <w:r w:rsidRPr="007330F4">
        <w:t>(c)</w:t>
      </w:r>
      <w:r w:rsidRPr="001F6933">
        <w:rPr>
          <w:b/>
          <w:bCs/>
        </w:rPr>
        <w:tab/>
        <w:t>Revising those laws, regulations and practices affecting the exercise of the right to peaceful assembly, including those imposing heavy sanctions on individuals exercising such right, with a view to bringing them in line with the Covenant.</w:t>
      </w:r>
    </w:p>
    <w:p w:rsidR="001200A8" w:rsidRDefault="001200A8" w:rsidP="001200A8">
      <w:pPr>
        <w:pStyle w:val="H23G"/>
      </w:pPr>
      <w:r>
        <w:tab/>
      </w:r>
      <w:r>
        <w:tab/>
        <w:t>Freedom of association</w:t>
      </w:r>
    </w:p>
    <w:p w:rsidR="001200A8" w:rsidRDefault="001200A8" w:rsidP="007330F4">
      <w:pPr>
        <w:pStyle w:val="SingleTxtG"/>
        <w:numPr>
          <w:ilvl w:val="0"/>
          <w:numId w:val="7"/>
        </w:numPr>
        <w:ind w:left="1134" w:firstLine="0"/>
      </w:pPr>
      <w:r>
        <w:t xml:space="preserve">The Committee is concerned about the amendments introduced in 2012 to </w:t>
      </w:r>
      <w:r w:rsidRPr="00E62588">
        <w:t xml:space="preserve">Federal Law </w:t>
      </w:r>
      <w:r w:rsidR="00AF1BAA" w:rsidRPr="00E62588">
        <w:t>No. </w:t>
      </w:r>
      <w:r w:rsidRPr="00E62588">
        <w:t>121-FZ on Non-Commercial Organizations</w:t>
      </w:r>
      <w:r>
        <w:t xml:space="preserve">, upheld by the Constitutional Court in April 2014, requiring non-commercial organizations receiving foreign funding and engaging in “political activities” to register as “foreign agents”, and about their adverse impact on the freedom of expression, assembly and association. The Committee notes with concern that the definition of “political activity” in the law is very broadly construed and permits authorities to register as “foreign agents”, without their consent or a court decision, </w:t>
      </w:r>
      <w:r w:rsidR="004213B3">
        <w:rPr>
          <w:lang w:val="en-US"/>
        </w:rPr>
        <w:t>non-governmental organizations (</w:t>
      </w:r>
      <w:r>
        <w:t>NGOs</w:t>
      </w:r>
      <w:r w:rsidR="004213B3">
        <w:t>)</w:t>
      </w:r>
      <w:r>
        <w:t xml:space="preserve"> conducting diverse activities related to public life, including NGOs working on human rights and environmental issues. The Committee is also concerned about the complex procedure of removal from the “foreign agent” register and regrets that the amendments led to restrictions on the operations of NGO activities and to suspension or voluntary closure of some NGOs. The Committee is further concerned about the new draft law, passed at first reading on 20 January 2015, that would ban “undesirable” foreign companies or organizations, or groups that are perceived to pose a threat to the “defence capability or security of the State, public order, or public health”, and about its adverse human rights implications if signed into law (</w:t>
      </w:r>
      <w:r w:rsidR="00AF1BAA">
        <w:t>arts. </w:t>
      </w:r>
      <w:r>
        <w:t>14, 19, 21 and</w:t>
      </w:r>
      <w:r w:rsidR="0040618F">
        <w:t> </w:t>
      </w:r>
      <w:r>
        <w:t>22).</w:t>
      </w:r>
    </w:p>
    <w:p w:rsidR="001200A8" w:rsidRPr="007330F4" w:rsidRDefault="001200A8" w:rsidP="007330F4">
      <w:pPr>
        <w:pStyle w:val="SingleTxtG"/>
        <w:rPr>
          <w:b/>
          <w:bCs/>
        </w:rPr>
      </w:pPr>
      <w:r w:rsidRPr="00E62588">
        <w:rPr>
          <w:b/>
          <w:bCs/>
        </w:rPr>
        <w:t>The State party should repeal</w:t>
      </w:r>
      <w:r w:rsidRPr="00B805FB">
        <w:rPr>
          <w:b/>
          <w:bCs/>
        </w:rPr>
        <w:t xml:space="preserve"> or revise the legislation requiring non-commercial organizations that receive foreign funding to register as “foreign agents” with a view to bringing it in</w:t>
      </w:r>
      <w:r w:rsidR="00F17AD2">
        <w:rPr>
          <w:b/>
          <w:bCs/>
        </w:rPr>
        <w:t>to</w:t>
      </w:r>
      <w:r w:rsidRPr="00B805FB">
        <w:rPr>
          <w:b/>
          <w:bCs/>
        </w:rPr>
        <w:t xml:space="preserve"> line with the State party’s obligations unde</w:t>
      </w:r>
      <w:r w:rsidRPr="001F6933">
        <w:rPr>
          <w:b/>
          <w:bCs/>
        </w:rPr>
        <w:t xml:space="preserve">r the Covenant, </w:t>
      </w:r>
      <w:r w:rsidRPr="00007DA3">
        <w:rPr>
          <w:b/>
          <w:bCs/>
        </w:rPr>
        <w:t>and take into account the opinion of the European Commission for Democracy through Law</w:t>
      </w:r>
      <w:r w:rsidRPr="006F2E63">
        <w:rPr>
          <w:b/>
          <w:bCs/>
        </w:rPr>
        <w:t xml:space="preserve"> in th</w:t>
      </w:r>
      <w:r w:rsidR="00F17AD2">
        <w:rPr>
          <w:b/>
          <w:bCs/>
        </w:rPr>
        <w:t>at</w:t>
      </w:r>
      <w:r w:rsidRPr="001F6933">
        <w:rPr>
          <w:b/>
          <w:bCs/>
        </w:rPr>
        <w:t xml:space="preserve"> regard</w:t>
      </w:r>
      <w:r w:rsidRPr="006F2E63">
        <w:rPr>
          <w:b/>
          <w:bCs/>
        </w:rPr>
        <w:t>.</w:t>
      </w:r>
      <w:r w:rsidRPr="001F6933">
        <w:rPr>
          <w:b/>
          <w:bCs/>
        </w:rPr>
        <w:t xml:space="preserve"> It should, at the very least: (a) drop the term “foreign agent” from the law; (b) clarify the broad definition of “political activities”; (c) remove the power </w:t>
      </w:r>
      <w:r w:rsidR="00F17AD2">
        <w:rPr>
          <w:b/>
          <w:bCs/>
        </w:rPr>
        <w:t xml:space="preserve">granted </w:t>
      </w:r>
      <w:r w:rsidR="00F17AD2" w:rsidRPr="00685D55">
        <w:rPr>
          <w:b/>
          <w:bCs/>
        </w:rPr>
        <w:t xml:space="preserve">under the law </w:t>
      </w:r>
      <w:r w:rsidRPr="001F6933">
        <w:rPr>
          <w:b/>
          <w:bCs/>
        </w:rPr>
        <w:t xml:space="preserve">of registering non-commercial organizations </w:t>
      </w:r>
      <w:r w:rsidRPr="00007DA3">
        <w:rPr>
          <w:b/>
          <w:bCs/>
        </w:rPr>
        <w:t>without their consent;</w:t>
      </w:r>
      <w:r w:rsidR="00F17AD2">
        <w:rPr>
          <w:b/>
          <w:bCs/>
        </w:rPr>
        <w:t xml:space="preserve"> and</w:t>
      </w:r>
      <w:r w:rsidRPr="001F6933">
        <w:rPr>
          <w:b/>
          <w:bCs/>
        </w:rPr>
        <w:t xml:space="preserve"> (d) revisit the procedural requirements and sanctions applicable under the law to ensure their necessity and proportionality.</w:t>
      </w:r>
    </w:p>
    <w:p w:rsidR="001200A8" w:rsidRPr="002752F6" w:rsidRDefault="002E301B" w:rsidP="007330F4">
      <w:pPr>
        <w:pStyle w:val="H23G"/>
      </w:pPr>
      <w:r>
        <w:tab/>
      </w:r>
      <w:r>
        <w:tab/>
      </w:r>
      <w:r w:rsidR="001200A8" w:rsidRPr="002752F6">
        <w:t>Violations of Covenant rights of residents of the Autonomous Republic of Crimea and the city of Sevastopol</w:t>
      </w:r>
    </w:p>
    <w:p w:rsidR="001200A8" w:rsidRPr="002752F6" w:rsidRDefault="001200A8" w:rsidP="007330F4">
      <w:pPr>
        <w:pStyle w:val="SingleTxtG"/>
        <w:numPr>
          <w:ilvl w:val="0"/>
          <w:numId w:val="7"/>
        </w:numPr>
        <w:ind w:left="1134" w:firstLine="0"/>
      </w:pPr>
      <w:r w:rsidRPr="002752F6">
        <w:t xml:space="preserve">The </w:t>
      </w:r>
      <w:r w:rsidRPr="00BE5E62">
        <w:t xml:space="preserve">Committee, </w:t>
      </w:r>
      <w:r w:rsidR="00997359" w:rsidRPr="00BE5E62">
        <w:t xml:space="preserve">having </w:t>
      </w:r>
      <w:r w:rsidR="00BE5E62" w:rsidRPr="007330F4">
        <w:t xml:space="preserve">due </w:t>
      </w:r>
      <w:r w:rsidR="00997359" w:rsidRPr="00BE5E62">
        <w:t>regard</w:t>
      </w:r>
      <w:r w:rsidR="00BE5E62" w:rsidRPr="00BE5E62">
        <w:t xml:space="preserve"> for</w:t>
      </w:r>
      <w:r w:rsidRPr="00BE5E62">
        <w:t xml:space="preserve"> General</w:t>
      </w:r>
      <w:r w:rsidRPr="002752F6">
        <w:t xml:space="preserve"> Assembly resolution 68/262</w:t>
      </w:r>
      <w:r w:rsidR="00F73697">
        <w:t xml:space="preserve"> on the t</w:t>
      </w:r>
      <w:r w:rsidRPr="002752F6">
        <w:t xml:space="preserve">erritorial integrity of Ukraine, is concerned about </w:t>
      </w:r>
      <w:r>
        <w:t xml:space="preserve">reported </w:t>
      </w:r>
      <w:r w:rsidRPr="002752F6">
        <w:t>violations of the Covenant in the Autonomous Republic of Crimea and the city of Sevastopol</w:t>
      </w:r>
      <w:r w:rsidR="00F73697">
        <w:t>, which</w:t>
      </w:r>
      <w:r w:rsidRPr="002752F6">
        <w:t xml:space="preserve"> are under the effective control of the State party, including:</w:t>
      </w:r>
    </w:p>
    <w:p w:rsidR="001200A8" w:rsidRPr="002752F6" w:rsidRDefault="001200A8" w:rsidP="007330F4">
      <w:pPr>
        <w:spacing w:after="120"/>
        <w:ind w:left="1134" w:right="1134" w:firstLine="567"/>
        <w:jc w:val="both"/>
      </w:pPr>
      <w:r w:rsidRPr="002752F6">
        <w:t>(</w:t>
      </w:r>
      <w:r>
        <w:t>a</w:t>
      </w:r>
      <w:r w:rsidRPr="002752F6">
        <w:t>)</w:t>
      </w:r>
      <w:r w:rsidRPr="002752F6">
        <w:tab/>
        <w:t>Alleg</w:t>
      </w:r>
      <w:r>
        <w:t xml:space="preserve">ations of </w:t>
      </w:r>
      <w:r w:rsidRPr="002752F6">
        <w:t xml:space="preserve">serious human rights violations, </w:t>
      </w:r>
      <w:r>
        <w:t>many of which involv</w:t>
      </w:r>
      <w:r w:rsidR="00ED1839">
        <w:t>e</w:t>
      </w:r>
      <w:r>
        <w:t xml:space="preserve"> the</w:t>
      </w:r>
      <w:r w:rsidRPr="002752F6">
        <w:t xml:space="preserve"> “Crimean self-defence” forces</w:t>
      </w:r>
      <w:r>
        <w:t>, including</w:t>
      </w:r>
      <w:r w:rsidRPr="002752F6">
        <w:t xml:space="preserve"> </w:t>
      </w:r>
      <w:r>
        <w:t>enforced disappearances</w:t>
      </w:r>
      <w:r w:rsidR="00997359">
        <w:t>,</w:t>
      </w:r>
      <w:r w:rsidRPr="00622A35">
        <w:t xml:space="preserve"> </w:t>
      </w:r>
      <w:r w:rsidRPr="002752F6">
        <w:t>abductions</w:t>
      </w:r>
      <w:r>
        <w:t xml:space="preserve">, </w:t>
      </w:r>
      <w:r w:rsidRPr="002752F6">
        <w:t>arbitrary detention, ill-treatment and attacks against journalists;</w:t>
      </w:r>
    </w:p>
    <w:p w:rsidR="001200A8" w:rsidRPr="002752F6" w:rsidRDefault="001200A8" w:rsidP="0040618F">
      <w:pPr>
        <w:spacing w:after="120"/>
        <w:ind w:left="1134" w:right="1134" w:firstLine="567"/>
        <w:jc w:val="both"/>
      </w:pPr>
      <w:r>
        <w:t>(b)</w:t>
      </w:r>
      <w:r>
        <w:tab/>
        <w:t>Alleged v</w:t>
      </w:r>
      <w:r w:rsidRPr="002752F6">
        <w:t xml:space="preserve">iolations of freedom of expression and information, including harassment of media, blockage of Ukrainian </w:t>
      </w:r>
      <w:r w:rsidR="00ED1839">
        <w:t>I</w:t>
      </w:r>
      <w:r w:rsidRPr="002752F6">
        <w:t xml:space="preserve">nternet sites and forced relocation of local </w:t>
      </w:r>
      <w:r w:rsidR="00ED1839">
        <w:t>I</w:t>
      </w:r>
      <w:r w:rsidRPr="002752F6">
        <w:t xml:space="preserve">nternet sites, </w:t>
      </w:r>
      <w:r w:rsidR="00ED1839">
        <w:t xml:space="preserve">and </w:t>
      </w:r>
      <w:r w:rsidRPr="002752F6">
        <w:t>threats and intimidation against journalists;</w:t>
      </w:r>
    </w:p>
    <w:p w:rsidR="001200A8" w:rsidRPr="002752F6" w:rsidRDefault="001200A8" w:rsidP="0040618F">
      <w:pPr>
        <w:spacing w:after="120"/>
        <w:ind w:left="1134" w:right="1134" w:firstLine="567"/>
        <w:jc w:val="both"/>
      </w:pPr>
      <w:r w:rsidRPr="002752F6">
        <w:t>(</w:t>
      </w:r>
      <w:r>
        <w:t>c</w:t>
      </w:r>
      <w:r w:rsidRPr="002752F6">
        <w:t>)</w:t>
      </w:r>
      <w:r w:rsidRPr="002752F6">
        <w:tab/>
      </w:r>
      <w:r w:rsidR="00ED1839">
        <w:t>L</w:t>
      </w:r>
      <w:r w:rsidRPr="002752F6">
        <w:t>imit</w:t>
      </w:r>
      <w:r w:rsidR="00ED1839">
        <w:t>ation of the</w:t>
      </w:r>
      <w:r w:rsidRPr="002752F6">
        <w:t xml:space="preserve"> possibility for Crimean residents to make an informed decision on the free choice of their citizenship owing to the very short period granted to </w:t>
      </w:r>
      <w:r w:rsidR="00ED1839">
        <w:t xml:space="preserve">them to </w:t>
      </w:r>
      <w:r w:rsidRPr="002752F6">
        <w:t>refuse Russian citizenship</w:t>
      </w:r>
      <w:r>
        <w:t>.</w:t>
      </w:r>
      <w:r>
        <w:rPr>
          <w:lang w:bidi="he-IL"/>
        </w:rPr>
        <w:t xml:space="preserve"> </w:t>
      </w:r>
      <w:r>
        <w:t>This</w:t>
      </w:r>
      <w:r>
        <w:rPr>
          <w:lang w:bidi="he-IL"/>
        </w:rPr>
        <w:t xml:space="preserve"> </w:t>
      </w:r>
      <w:r w:rsidRPr="002752F6">
        <w:t xml:space="preserve">disproportionately </w:t>
      </w:r>
      <w:r>
        <w:t xml:space="preserve">affected </w:t>
      </w:r>
      <w:r w:rsidRPr="002752F6">
        <w:t xml:space="preserve">those individuals who could not apply </w:t>
      </w:r>
      <w:r>
        <w:t xml:space="preserve">in person at the designated locations to refuse citizenship, in particular </w:t>
      </w:r>
      <w:r w:rsidRPr="002752F6">
        <w:t>person</w:t>
      </w:r>
      <w:r>
        <w:t>s</w:t>
      </w:r>
      <w:r w:rsidRPr="002752F6">
        <w:t xml:space="preserve"> in places of detention and other closed institutions</w:t>
      </w:r>
      <w:r w:rsidR="00ED1839">
        <w:t>,</w:t>
      </w:r>
      <w:r w:rsidRPr="002752F6">
        <w:t xml:space="preserve"> such as hospitals</w:t>
      </w:r>
      <w:r w:rsidR="00ED1839">
        <w:t xml:space="preserve"> and</w:t>
      </w:r>
      <w:r w:rsidRPr="002752F6">
        <w:t xml:space="preserve"> orphanages</w:t>
      </w:r>
      <w:r>
        <w:t xml:space="preserve">. </w:t>
      </w:r>
      <w:r w:rsidRPr="00EF5F4B">
        <w:t>It also resulted in serious implications on the ability of Crimean residents who retained Ukrainian nationality to enjoy the</w:t>
      </w:r>
      <w:r>
        <w:t>ir rights under the Covenant</w:t>
      </w:r>
      <w:r w:rsidRPr="002752F6">
        <w:t xml:space="preserve">; </w:t>
      </w:r>
    </w:p>
    <w:p w:rsidR="00280924" w:rsidRDefault="001200A8" w:rsidP="007330F4">
      <w:pPr>
        <w:spacing w:after="120"/>
        <w:ind w:left="1134" w:right="1134" w:firstLine="567"/>
        <w:jc w:val="both"/>
      </w:pPr>
      <w:r>
        <w:t>(d</w:t>
      </w:r>
      <w:r w:rsidRPr="002752F6">
        <w:t>)</w:t>
      </w:r>
      <w:r w:rsidR="00280924">
        <w:tab/>
      </w:r>
      <w:r w:rsidR="00280924" w:rsidRPr="00280924">
        <w:t>Allegations that Oleg Sentsov has been deprived against his will of his Ukrainian nationality</w:t>
      </w:r>
      <w:r w:rsidR="009B6161">
        <w:t>,</w:t>
      </w:r>
      <w:r w:rsidR="00280924" w:rsidRPr="00280924">
        <w:t xml:space="preserve"> tried in </w:t>
      </w:r>
      <w:r w:rsidR="0010551D">
        <w:t xml:space="preserve">Moscow </w:t>
      </w:r>
      <w:r w:rsidR="00280924" w:rsidRPr="00280924">
        <w:t xml:space="preserve">as a citizen of the Russian Federation and subject to legal proceedings </w:t>
      </w:r>
      <w:r w:rsidR="00B12BAE">
        <w:t>that</w:t>
      </w:r>
      <w:r w:rsidR="00280924" w:rsidRPr="00280924">
        <w:t xml:space="preserve"> fail to meet the </w:t>
      </w:r>
      <w:r w:rsidR="009B6161">
        <w:t>requirements</w:t>
      </w:r>
      <w:r w:rsidR="00280924" w:rsidRPr="00280924">
        <w:t xml:space="preserve"> of </w:t>
      </w:r>
      <w:r w:rsidR="00AF1BAA">
        <w:t>articles</w:t>
      </w:r>
      <w:r w:rsidR="00B966F0">
        <w:t xml:space="preserve"> </w:t>
      </w:r>
      <w:r w:rsidR="00280924" w:rsidRPr="00280924">
        <w:t>9 and 14 of the Covenant</w:t>
      </w:r>
      <w:r w:rsidR="00280924">
        <w:t>;</w:t>
      </w:r>
    </w:p>
    <w:p w:rsidR="001200A8" w:rsidRPr="002752F6" w:rsidRDefault="009B6161" w:rsidP="00B805FB">
      <w:pPr>
        <w:spacing w:after="120"/>
        <w:ind w:left="1134" w:right="1134" w:firstLine="567"/>
        <w:jc w:val="both"/>
      </w:pPr>
      <w:r>
        <w:t>(e)</w:t>
      </w:r>
      <w:r w:rsidR="0040618F">
        <w:tab/>
      </w:r>
      <w:r w:rsidR="001200A8">
        <w:t>Allegations of d</w:t>
      </w:r>
      <w:r w:rsidR="001200A8" w:rsidRPr="002752F6">
        <w:t>iscrimination and harassment of members of minorities and indigenous peoples, in particular Crimean Tatars, including a ban on entry into the territory of Crimea for five years of some of their leaders</w:t>
      </w:r>
      <w:r w:rsidR="00CC234B">
        <w:t>:</w:t>
      </w:r>
      <w:r w:rsidR="001200A8" w:rsidRPr="002752F6">
        <w:t xml:space="preserve"> Mustafa Dzhemilev, Ismet Yuksel and Reshat Chubarov</w:t>
      </w:r>
      <w:r w:rsidR="00322605">
        <w:t>;</w:t>
      </w:r>
    </w:p>
    <w:p w:rsidR="001200A8" w:rsidRPr="002752F6" w:rsidRDefault="001200A8" w:rsidP="0040618F">
      <w:pPr>
        <w:spacing w:after="120"/>
        <w:ind w:left="1134" w:right="1134" w:firstLine="567"/>
        <w:jc w:val="both"/>
        <w:rPr>
          <w:b/>
        </w:rPr>
      </w:pPr>
      <w:r>
        <w:t>(</w:t>
      </w:r>
      <w:r w:rsidR="009B6161">
        <w:t>f</w:t>
      </w:r>
      <w:r w:rsidRPr="002752F6">
        <w:t>)</w:t>
      </w:r>
      <w:r w:rsidRPr="002752F6">
        <w:tab/>
      </w:r>
      <w:r>
        <w:t xml:space="preserve">Reports of violations of </w:t>
      </w:r>
      <w:r w:rsidRPr="002752F6">
        <w:t>freedom of religion and belief on the territory of Crimea, such as intimidation and harassment of religious communities, including attacks on the Ukrainian Orthodox Church, the Greek Catholic Church and t</w:t>
      </w:r>
      <w:r>
        <w:t>he Muslim community (</w:t>
      </w:r>
      <w:r w:rsidR="00AF1BAA">
        <w:t>arts. </w:t>
      </w:r>
      <w:r w:rsidR="00997359">
        <w:t xml:space="preserve">1, </w:t>
      </w:r>
      <w:r>
        <w:t xml:space="preserve">2, 6, 7, 9, 10, 12–14, 16–19, 21, </w:t>
      </w:r>
      <w:r w:rsidRPr="002752F6">
        <w:t>22 and 25</w:t>
      </w:r>
      <w:r w:rsidR="0040618F">
        <w:t>‒</w:t>
      </w:r>
      <w:r w:rsidRPr="002752F6">
        <w:t>27).</w:t>
      </w:r>
    </w:p>
    <w:p w:rsidR="001200A8" w:rsidRPr="007330F4" w:rsidRDefault="001200A8" w:rsidP="007330F4">
      <w:pPr>
        <w:pStyle w:val="SingleTxtG"/>
        <w:keepNext/>
        <w:rPr>
          <w:b/>
          <w:bCs/>
        </w:rPr>
      </w:pPr>
      <w:r w:rsidRPr="007330F4">
        <w:rPr>
          <w:b/>
          <w:bCs/>
        </w:rPr>
        <w:t xml:space="preserve">The State party should: </w:t>
      </w:r>
    </w:p>
    <w:p w:rsidR="001200A8" w:rsidRPr="001F6933" w:rsidRDefault="001200A8" w:rsidP="0040618F">
      <w:pPr>
        <w:pStyle w:val="SingleTxtG"/>
        <w:ind w:firstLine="567"/>
        <w:rPr>
          <w:b/>
          <w:bCs/>
        </w:rPr>
      </w:pPr>
      <w:r w:rsidRPr="007330F4">
        <w:t>(</w:t>
      </w:r>
      <w:r w:rsidR="00CC234B" w:rsidRPr="007330F4">
        <w:t>a</w:t>
      </w:r>
      <w:r w:rsidRPr="007330F4">
        <w:t>)</w:t>
      </w:r>
      <w:r w:rsidRPr="007330F4">
        <w:tab/>
      </w:r>
      <w:r w:rsidRPr="001F6933">
        <w:rPr>
          <w:b/>
          <w:bCs/>
        </w:rPr>
        <w:t>Take effective measures to investigate all allegations of serious human rights violations, in particular abductions, enforced disappearances, arbitrary detention and ill-treatment, including those committed by “Crimean self-defence” forces, and bring perpetrators to justice and provide victims or their families with effective remedies, including appropriate compensation;</w:t>
      </w:r>
    </w:p>
    <w:p w:rsidR="001200A8" w:rsidRPr="001F6933" w:rsidRDefault="001200A8" w:rsidP="0040618F">
      <w:pPr>
        <w:pStyle w:val="SingleTxtG"/>
        <w:ind w:firstLine="567"/>
        <w:rPr>
          <w:b/>
          <w:bCs/>
        </w:rPr>
      </w:pPr>
      <w:r w:rsidRPr="007330F4">
        <w:t>(</w:t>
      </w:r>
      <w:r w:rsidR="00CC234B" w:rsidRPr="007330F4">
        <w:t>b</w:t>
      </w:r>
      <w:r w:rsidRPr="007330F4">
        <w:t>)</w:t>
      </w:r>
      <w:r w:rsidRPr="001F6933">
        <w:rPr>
          <w:b/>
          <w:bCs/>
        </w:rPr>
        <w:tab/>
        <w:t xml:space="preserve">Ensure the exercise in practice of freedom of expression and information for all residents of Crimea, including freedom to use the Internet, in </w:t>
      </w:r>
      <w:r w:rsidR="0010463B">
        <w:rPr>
          <w:b/>
          <w:bCs/>
        </w:rPr>
        <w:t>accordance</w:t>
      </w:r>
      <w:r w:rsidR="0010463B" w:rsidRPr="001F6933">
        <w:rPr>
          <w:b/>
          <w:bCs/>
        </w:rPr>
        <w:t xml:space="preserve"> </w:t>
      </w:r>
      <w:r w:rsidRPr="001F6933">
        <w:rPr>
          <w:b/>
          <w:bCs/>
        </w:rPr>
        <w:t>with the State party’s obligations under the Covenant;</w:t>
      </w:r>
    </w:p>
    <w:p w:rsidR="001200A8" w:rsidRPr="001F6933" w:rsidRDefault="001200A8" w:rsidP="0040618F">
      <w:pPr>
        <w:pStyle w:val="SingleTxtG"/>
        <w:ind w:firstLine="567"/>
        <w:rPr>
          <w:b/>
          <w:bCs/>
        </w:rPr>
      </w:pPr>
      <w:r w:rsidRPr="007330F4">
        <w:t>(</w:t>
      </w:r>
      <w:r w:rsidR="00CC234B" w:rsidRPr="007330F4">
        <w:t>c</w:t>
      </w:r>
      <w:r w:rsidRPr="007330F4">
        <w:t>)</w:t>
      </w:r>
      <w:r w:rsidRPr="007330F4">
        <w:tab/>
      </w:r>
      <w:r w:rsidRPr="001F6933">
        <w:rPr>
          <w:b/>
          <w:bCs/>
        </w:rPr>
        <w:t>Ensure that appropriate and transparent procedures are in place for Crimean residents to revisit their decision concerning their nationality; consider the possibility of allowing residents to retain their Ukrainian citizenship even if they are interested in a Russian citizenship;</w:t>
      </w:r>
    </w:p>
    <w:p w:rsidR="001200A8" w:rsidRPr="001F6933" w:rsidRDefault="001200A8" w:rsidP="0040618F">
      <w:pPr>
        <w:pStyle w:val="SingleTxtG"/>
        <w:ind w:firstLine="567"/>
        <w:rPr>
          <w:b/>
          <w:bCs/>
        </w:rPr>
      </w:pPr>
      <w:r w:rsidRPr="007330F4">
        <w:t>(</w:t>
      </w:r>
      <w:r w:rsidR="00CC234B" w:rsidRPr="007330F4">
        <w:t>d</w:t>
      </w:r>
      <w:r w:rsidRPr="007330F4">
        <w:t>)</w:t>
      </w:r>
      <w:r w:rsidRPr="001F6933">
        <w:rPr>
          <w:b/>
          <w:bCs/>
        </w:rPr>
        <w:tab/>
        <w:t>Ensure that Crimean residents who retained their Ukrainian nationality are not discriminated against in any sphere of public life and are granted full access to public services on equal terms;</w:t>
      </w:r>
    </w:p>
    <w:p w:rsidR="001200A8" w:rsidRPr="001F6933" w:rsidRDefault="001200A8" w:rsidP="0040618F">
      <w:pPr>
        <w:pStyle w:val="SingleTxtG"/>
        <w:ind w:firstLine="567"/>
        <w:rPr>
          <w:b/>
          <w:bCs/>
        </w:rPr>
      </w:pPr>
      <w:r w:rsidRPr="007330F4">
        <w:t>(</w:t>
      </w:r>
      <w:r w:rsidR="0010463B" w:rsidRPr="007330F4">
        <w:t>e</w:t>
      </w:r>
      <w:r w:rsidRPr="007330F4">
        <w:t>)</w:t>
      </w:r>
      <w:r w:rsidRPr="007330F4">
        <w:tab/>
      </w:r>
      <w:r w:rsidRPr="001F6933">
        <w:rPr>
          <w:b/>
          <w:bCs/>
        </w:rPr>
        <w:t>Respect and ensure the rights of minorities and indigenous peoples, in particular, that Crimean Tatars are not subject to discrimination and harassment, and revisit the legal justification for criminal cases brought against some Crimean Tatar leaders and activists;</w:t>
      </w:r>
    </w:p>
    <w:p w:rsidR="001200A8" w:rsidRPr="00B805FB" w:rsidRDefault="001200A8" w:rsidP="0040618F">
      <w:pPr>
        <w:pStyle w:val="SingleTxtG"/>
        <w:ind w:firstLine="567"/>
        <w:rPr>
          <w:b/>
          <w:bCs/>
        </w:rPr>
      </w:pPr>
      <w:r w:rsidRPr="007330F4">
        <w:t>(</w:t>
      </w:r>
      <w:r w:rsidR="0010463B" w:rsidRPr="007330F4">
        <w:t>f</w:t>
      </w:r>
      <w:r w:rsidRPr="007330F4">
        <w:t>)</w:t>
      </w:r>
      <w:r w:rsidRPr="007330F4">
        <w:tab/>
      </w:r>
      <w:r w:rsidRPr="001F6933">
        <w:rPr>
          <w:b/>
          <w:bCs/>
        </w:rPr>
        <w:t xml:space="preserve">Respect and ensure freedom of religion and belief in the territory of Crimea and refrain from any actions that may compromise it, in </w:t>
      </w:r>
      <w:r w:rsidR="00EC1050">
        <w:rPr>
          <w:b/>
          <w:bCs/>
        </w:rPr>
        <w:t>accordance</w:t>
      </w:r>
      <w:r w:rsidR="00EC1050" w:rsidRPr="001F6933">
        <w:rPr>
          <w:b/>
          <w:bCs/>
        </w:rPr>
        <w:t xml:space="preserve"> </w:t>
      </w:r>
      <w:r w:rsidRPr="001F6933">
        <w:rPr>
          <w:b/>
          <w:bCs/>
        </w:rPr>
        <w:t>with the State party’s obligations under the Covenant.</w:t>
      </w:r>
      <w:r w:rsidR="00AF1BAA">
        <w:rPr>
          <w:b/>
          <w:bCs/>
        </w:rPr>
        <w:t xml:space="preserve"> </w:t>
      </w:r>
    </w:p>
    <w:p w:rsidR="00AC309B" w:rsidRPr="00AC309B" w:rsidRDefault="002E301B" w:rsidP="007330F4">
      <w:pPr>
        <w:pStyle w:val="H23G"/>
        <w:rPr>
          <w:highlight w:val="lightGray"/>
        </w:rPr>
      </w:pPr>
      <w:r>
        <w:tab/>
      </w:r>
      <w:r>
        <w:tab/>
      </w:r>
      <w:r w:rsidR="00AC309B" w:rsidRPr="00AC309B">
        <w:t>Rights of indigenous peoples</w:t>
      </w:r>
    </w:p>
    <w:p w:rsidR="00AC309B" w:rsidRPr="002752F6" w:rsidRDefault="00AC309B" w:rsidP="007330F4">
      <w:pPr>
        <w:pStyle w:val="SingleTxtG"/>
        <w:numPr>
          <w:ilvl w:val="0"/>
          <w:numId w:val="7"/>
        </w:numPr>
        <w:ind w:left="1134" w:firstLine="0"/>
        <w:rPr>
          <w:rFonts w:eastAsia="MS Mincho"/>
          <w:lang w:eastAsia="ja-JP"/>
        </w:rPr>
      </w:pPr>
      <w:r w:rsidRPr="002752F6">
        <w:rPr>
          <w:lang w:val="en-US"/>
        </w:rPr>
        <w:t>The Committee remains concerned (</w:t>
      </w:r>
      <w:r w:rsidR="00830975">
        <w:rPr>
          <w:lang w:val="en-US"/>
        </w:rPr>
        <w:t xml:space="preserve">see </w:t>
      </w:r>
      <w:r w:rsidRPr="002752F6">
        <w:rPr>
          <w:lang w:val="en-US"/>
        </w:rPr>
        <w:t>CCPR/C/RUS/CO/6</w:t>
      </w:r>
      <w:r w:rsidR="00BE5E62" w:rsidRPr="00BE5E62">
        <w:t xml:space="preserve"> </w:t>
      </w:r>
      <w:r w:rsidR="00BE5E62">
        <w:t>and Corr.1</w:t>
      </w:r>
      <w:r w:rsidRPr="002752F6">
        <w:rPr>
          <w:lang w:val="en-US"/>
        </w:rPr>
        <w:t xml:space="preserve">, </w:t>
      </w:r>
      <w:r w:rsidR="00AF1BAA">
        <w:rPr>
          <w:lang w:val="en-US"/>
        </w:rPr>
        <w:t>para. </w:t>
      </w:r>
      <w:r w:rsidRPr="002752F6">
        <w:rPr>
          <w:lang w:val="en-US"/>
        </w:rPr>
        <w:t>2</w:t>
      </w:r>
      <w:r w:rsidR="00EC1050">
        <w:rPr>
          <w:lang w:val="en-US"/>
        </w:rPr>
        <w:t>8</w:t>
      </w:r>
      <w:r w:rsidRPr="002752F6">
        <w:rPr>
          <w:lang w:val="en-US"/>
        </w:rPr>
        <w:t xml:space="preserve">) </w:t>
      </w:r>
      <w:r w:rsidR="00B12BAE">
        <w:rPr>
          <w:lang w:val="en-US"/>
        </w:rPr>
        <w:t>about the fact th</w:t>
      </w:r>
      <w:r w:rsidRPr="002752F6">
        <w:rPr>
          <w:lang w:val="en-US"/>
        </w:rPr>
        <w:t xml:space="preserve">at insufficient </w:t>
      </w:r>
      <w:r w:rsidRPr="007330F4">
        <w:t>measures</w:t>
      </w:r>
      <w:r w:rsidRPr="002752F6">
        <w:rPr>
          <w:lang w:val="en-US"/>
        </w:rPr>
        <w:t xml:space="preserve"> </w:t>
      </w:r>
      <w:r w:rsidR="00B12BAE">
        <w:rPr>
          <w:lang w:val="en-US"/>
        </w:rPr>
        <w:t xml:space="preserve">are </w:t>
      </w:r>
      <w:r w:rsidRPr="002752F6">
        <w:rPr>
          <w:lang w:val="en-US"/>
        </w:rPr>
        <w:t xml:space="preserve">being taken to respect and protect the rights of indigenous </w:t>
      </w:r>
      <w:r w:rsidRPr="007330F4">
        <w:t>peoples</w:t>
      </w:r>
      <w:r>
        <w:rPr>
          <w:lang w:val="en-US"/>
        </w:rPr>
        <w:t xml:space="preserve"> and to ensure that members of such peoples are recognized as </w:t>
      </w:r>
      <w:r w:rsidR="00EC1050">
        <w:rPr>
          <w:lang w:val="en-US"/>
        </w:rPr>
        <w:t>indigenous</w:t>
      </w:r>
      <w:r w:rsidRPr="002752F6">
        <w:rPr>
          <w:lang w:val="en-US"/>
        </w:rPr>
        <w:t xml:space="preserve">. It notes with concern that no “territory of traditional nature use” has been established to date under the </w:t>
      </w:r>
      <w:r w:rsidRPr="002752F6">
        <w:rPr>
          <w:rFonts w:eastAsia="MS Mincho"/>
          <w:lang w:eastAsia="ja-JP"/>
        </w:rPr>
        <w:t>2001 Federal Law on Territories of Traditional Nature Use of</w:t>
      </w:r>
      <w:r w:rsidR="00BB2546">
        <w:rPr>
          <w:rFonts w:eastAsia="MS Mincho"/>
          <w:lang w:eastAsia="ja-JP"/>
        </w:rPr>
        <w:t xml:space="preserve"> </w:t>
      </w:r>
      <w:r w:rsidRPr="002752F6">
        <w:rPr>
          <w:rFonts w:eastAsia="MS Mincho"/>
          <w:lang w:eastAsia="ja-JP"/>
        </w:rPr>
        <w:t xml:space="preserve">Small Indigenous Peoples of the North, Siberia and </w:t>
      </w:r>
      <w:r w:rsidR="00BB2546">
        <w:rPr>
          <w:rFonts w:eastAsia="MS Mincho"/>
          <w:lang w:eastAsia="ja-JP"/>
        </w:rPr>
        <w:t xml:space="preserve">the </w:t>
      </w:r>
      <w:r w:rsidRPr="002752F6">
        <w:rPr>
          <w:rFonts w:eastAsia="MS Mincho"/>
          <w:lang w:eastAsia="ja-JP"/>
        </w:rPr>
        <w:t>Far East, that indigenous peoples’ sacred areas are largely unprotected from desecration, contamination and destruction by extractive, development and related activities, that consultation with indigenous peoples on matters of interest to their communities is insufficiently enforced in practice and that access to effective remedies remai</w:t>
      </w:r>
      <w:r>
        <w:rPr>
          <w:rFonts w:eastAsia="MS Mincho"/>
          <w:lang w:eastAsia="ja-JP"/>
        </w:rPr>
        <w:t>ns a challenge (</w:t>
      </w:r>
      <w:r w:rsidR="00AF1BAA">
        <w:rPr>
          <w:rFonts w:eastAsia="MS Mincho"/>
          <w:lang w:eastAsia="ja-JP"/>
        </w:rPr>
        <w:t>arts. </w:t>
      </w:r>
      <w:r>
        <w:rPr>
          <w:rFonts w:eastAsia="MS Mincho"/>
          <w:lang w:eastAsia="ja-JP"/>
        </w:rPr>
        <w:t>2 and</w:t>
      </w:r>
      <w:r w:rsidR="0040618F">
        <w:rPr>
          <w:rFonts w:eastAsia="MS Mincho"/>
          <w:lang w:eastAsia="ja-JP"/>
        </w:rPr>
        <w:t> </w:t>
      </w:r>
      <w:r>
        <w:rPr>
          <w:rFonts w:eastAsia="MS Mincho"/>
          <w:lang w:eastAsia="ja-JP"/>
        </w:rPr>
        <w:t>27)</w:t>
      </w:r>
      <w:r w:rsidRPr="002752F6">
        <w:rPr>
          <w:rFonts w:eastAsia="MS Mincho"/>
          <w:lang w:eastAsia="ja-JP"/>
        </w:rPr>
        <w:t>.</w:t>
      </w:r>
    </w:p>
    <w:p w:rsidR="00AC309B" w:rsidRPr="007330F4" w:rsidRDefault="00AC309B" w:rsidP="00AC309B">
      <w:pPr>
        <w:pStyle w:val="SingleTxtG"/>
        <w:rPr>
          <w:b/>
          <w:bCs/>
        </w:rPr>
      </w:pPr>
      <w:r w:rsidRPr="007330F4">
        <w:rPr>
          <w:b/>
          <w:bCs/>
        </w:rPr>
        <w:t>The State party should ensure the full implementation of the provisions</w:t>
      </w:r>
      <w:r w:rsidR="00BB2546">
        <w:rPr>
          <w:b/>
          <w:bCs/>
        </w:rPr>
        <w:t xml:space="preserve"> of the </w:t>
      </w:r>
      <w:r w:rsidR="00BB2546" w:rsidRPr="00BB2546">
        <w:rPr>
          <w:b/>
          <w:bCs/>
        </w:rPr>
        <w:t>Federal Law on Territories of Traditional Nature Use of Small Indigenous Peoples of the North, Siberia and the Far East</w:t>
      </w:r>
      <w:r w:rsidRPr="007330F4">
        <w:rPr>
          <w:b/>
          <w:bCs/>
        </w:rPr>
        <w:t xml:space="preserve"> and effective legal protection for indigenous peoples’ rights to their lands and natural resources, adopt measures to effectively protect their sacred areas and ensure that consultations are held with the indigenous communities that might be adversely affected by the State party’s development projects and extractive industries operations</w:t>
      </w:r>
      <w:r w:rsidR="00BB2546">
        <w:rPr>
          <w:b/>
          <w:bCs/>
        </w:rPr>
        <w:t>,</w:t>
      </w:r>
      <w:r w:rsidRPr="007330F4">
        <w:rPr>
          <w:b/>
          <w:bCs/>
        </w:rPr>
        <w:t xml:space="preserve"> with a view to obtaining their free, prior and informed consent for all proposed project activities. It should also ensure access to effective remedies for all members of indigenous groups for any violations of their rights.</w:t>
      </w:r>
      <w:r w:rsidR="00AF1BAA">
        <w:rPr>
          <w:b/>
          <w:bCs/>
        </w:rPr>
        <w:t xml:space="preserve"> </w:t>
      </w:r>
    </w:p>
    <w:p w:rsidR="00AC309B" w:rsidRPr="001C6918" w:rsidRDefault="00AC309B" w:rsidP="007330F4">
      <w:pPr>
        <w:pStyle w:val="H23G"/>
      </w:pPr>
      <w:r>
        <w:tab/>
      </w:r>
      <w:r w:rsidR="002E301B">
        <w:tab/>
      </w:r>
      <w:r w:rsidRPr="001C6918">
        <w:t xml:space="preserve">Dissemination of information relating to the Covenant </w:t>
      </w:r>
    </w:p>
    <w:p w:rsidR="00AC309B" w:rsidRDefault="00AC309B" w:rsidP="007330F4">
      <w:pPr>
        <w:pStyle w:val="SingleTxtG"/>
        <w:numPr>
          <w:ilvl w:val="0"/>
          <w:numId w:val="7"/>
        </w:numPr>
        <w:ind w:left="1134" w:firstLine="0"/>
      </w:pPr>
      <w:r>
        <w:t xml:space="preserve">The State party should widely disseminate the Covenant and the First Optional </w:t>
      </w:r>
      <w:r w:rsidRPr="007330F4">
        <w:rPr>
          <w:rFonts w:eastAsia="MS Mincho"/>
          <w:lang w:eastAsia="ja-JP"/>
        </w:rPr>
        <w:t>Protocol</w:t>
      </w:r>
      <w:r>
        <w:t xml:space="preserve">, the text of its seventh periodic report and the present concluding observations among the judicial, legislative and administrative authorities, civil society and non-governmental organizations operating in the country, as well as the general public. </w:t>
      </w:r>
    </w:p>
    <w:p w:rsidR="00AC309B" w:rsidRDefault="00AC309B" w:rsidP="007330F4">
      <w:pPr>
        <w:pStyle w:val="SingleTxtG"/>
        <w:numPr>
          <w:ilvl w:val="0"/>
          <w:numId w:val="7"/>
        </w:numPr>
        <w:ind w:left="1134" w:firstLine="0"/>
      </w:pPr>
      <w:r>
        <w:t>In accordance with rule</w:t>
      </w:r>
      <w:r w:rsidR="00AF1BAA">
        <w:t> </w:t>
      </w:r>
      <w:r>
        <w:t xml:space="preserve">71, </w:t>
      </w:r>
      <w:r w:rsidR="00AF1BAA">
        <w:t>paragraph </w:t>
      </w:r>
      <w:r>
        <w:t xml:space="preserve">5, of the Committee’s rules of procedure, the State party should provide, within one year, relevant information on its implementation of the Committee’s recommendations </w:t>
      </w:r>
      <w:r w:rsidRPr="00016787">
        <w:t xml:space="preserve">made in </w:t>
      </w:r>
      <w:r w:rsidR="00AF1BAA" w:rsidRPr="00016787">
        <w:t>paragraphs </w:t>
      </w:r>
      <w:r w:rsidR="00971352" w:rsidRPr="00016787">
        <w:t>7, 19</w:t>
      </w:r>
      <w:r w:rsidRPr="00016787">
        <w:t xml:space="preserve"> and </w:t>
      </w:r>
      <w:r w:rsidR="00971352" w:rsidRPr="00016787">
        <w:t>22</w:t>
      </w:r>
      <w:r w:rsidRPr="00016787">
        <w:t xml:space="preserve"> above.</w:t>
      </w:r>
      <w:r>
        <w:t xml:space="preserve"> </w:t>
      </w:r>
    </w:p>
    <w:p w:rsidR="00AC309B" w:rsidRDefault="00CB5A25" w:rsidP="007330F4">
      <w:pPr>
        <w:pStyle w:val="SingleTxtG"/>
        <w:numPr>
          <w:ilvl w:val="0"/>
          <w:numId w:val="7"/>
        </w:numPr>
        <w:ind w:left="1134" w:firstLine="0"/>
      </w:pPr>
      <w:r w:rsidRPr="00E3081F">
        <w:t xml:space="preserve">The Committee requests </w:t>
      </w:r>
      <w:r w:rsidR="00016787">
        <w:t xml:space="preserve">that </w:t>
      </w:r>
      <w:r w:rsidRPr="00E3081F">
        <w:t xml:space="preserve">the State party submit </w:t>
      </w:r>
      <w:r>
        <w:t xml:space="preserve">its next periodic report on 2 April 2019 </w:t>
      </w:r>
      <w:r w:rsidRPr="00E3081F">
        <w:t>and</w:t>
      </w:r>
      <w:r w:rsidR="00016787">
        <w:t xml:space="preserve"> that it </w:t>
      </w:r>
      <w:r w:rsidRPr="00E3081F">
        <w:t xml:space="preserve">include </w:t>
      </w:r>
      <w:r w:rsidR="00016787">
        <w:t xml:space="preserve">in it </w:t>
      </w:r>
      <w:r w:rsidRPr="00E3081F">
        <w:t xml:space="preserve">specific up-to-date information on the implementation of all its recommendations and on the Covenant as a whole. The Committee requests </w:t>
      </w:r>
      <w:r w:rsidR="00016787">
        <w:t xml:space="preserve">that </w:t>
      </w:r>
      <w:r w:rsidRPr="00E3081F">
        <w:t>the State party</w:t>
      </w:r>
      <w:r w:rsidR="005F201A">
        <w:t>,</w:t>
      </w:r>
      <w:r w:rsidRPr="00E3081F">
        <w:t xml:space="preserve"> in prepar</w:t>
      </w:r>
      <w:r w:rsidR="00016787">
        <w:t>ing</w:t>
      </w:r>
      <w:r w:rsidRPr="00E3081F">
        <w:t xml:space="preserve"> the report</w:t>
      </w:r>
      <w:r w:rsidR="005F201A">
        <w:t>,</w:t>
      </w:r>
      <w:r w:rsidRPr="00E3081F">
        <w:t xml:space="preserve"> broadly consult civil society and </w:t>
      </w:r>
      <w:r w:rsidR="00B12BAE">
        <w:t>NGOs</w:t>
      </w:r>
      <w:r w:rsidRPr="00E3081F">
        <w:t xml:space="preserve"> operating in the country. </w:t>
      </w:r>
      <w:r w:rsidR="005F201A">
        <w:t>In accordance with</w:t>
      </w:r>
      <w:r w:rsidRPr="00E3081F">
        <w:t xml:space="preserve"> General Assembly </w:t>
      </w:r>
      <w:r w:rsidR="005F201A">
        <w:t>r</w:t>
      </w:r>
      <w:r w:rsidRPr="00E3081F">
        <w:t>esolution 68/268</w:t>
      </w:r>
      <w:r w:rsidR="005F201A">
        <w:t>,</w:t>
      </w:r>
      <w:r w:rsidRPr="00E3081F">
        <w:t xml:space="preserve"> the word limit for the report is 21,200 words</w:t>
      </w:r>
      <w:r w:rsidR="00AC309B">
        <w:t>.</w:t>
      </w:r>
    </w:p>
    <w:p w:rsidR="00CC50D6" w:rsidRDefault="001200A8" w:rsidP="007330F4">
      <w:pPr>
        <w:spacing w:before="240"/>
        <w:ind w:left="1134" w:right="1134"/>
        <w:jc w:val="center"/>
      </w:pPr>
      <w:r>
        <w:rPr>
          <w:u w:val="single"/>
        </w:rPr>
        <w:tab/>
      </w:r>
      <w:r>
        <w:rPr>
          <w:u w:val="single"/>
        </w:rPr>
        <w:tab/>
      </w:r>
      <w:r>
        <w:rPr>
          <w:u w:val="single"/>
        </w:rPr>
        <w:tab/>
      </w:r>
    </w:p>
    <w:sectPr w:rsidR="00CC50D6" w:rsidSect="00395AC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2C" w:rsidRDefault="0067622C"/>
  </w:endnote>
  <w:endnote w:type="continuationSeparator" w:id="0">
    <w:p w:rsidR="0067622C" w:rsidRDefault="0067622C"/>
  </w:endnote>
  <w:endnote w:type="continuationNotice" w:id="1">
    <w:p w:rsidR="0067622C" w:rsidRDefault="00676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D" w:rsidRPr="00BA107D" w:rsidRDefault="00BA107D" w:rsidP="00BA107D">
    <w:pPr>
      <w:pStyle w:val="Footer"/>
      <w:tabs>
        <w:tab w:val="right" w:pos="9638"/>
      </w:tabs>
    </w:pPr>
    <w:r w:rsidRPr="00BA107D">
      <w:rPr>
        <w:b/>
        <w:sz w:val="18"/>
      </w:rPr>
      <w:fldChar w:fldCharType="begin"/>
    </w:r>
    <w:r w:rsidRPr="00BA107D">
      <w:rPr>
        <w:b/>
        <w:sz w:val="18"/>
      </w:rPr>
      <w:instrText xml:space="preserve"> PAGE  \* MERGEFORMAT </w:instrText>
    </w:r>
    <w:r w:rsidRPr="00BA107D">
      <w:rPr>
        <w:b/>
        <w:sz w:val="18"/>
      </w:rPr>
      <w:fldChar w:fldCharType="separate"/>
    </w:r>
    <w:r w:rsidR="0057530B">
      <w:rPr>
        <w:b/>
        <w:noProof/>
        <w:sz w:val="18"/>
      </w:rPr>
      <w:t>2</w:t>
    </w:r>
    <w:r w:rsidRPr="00BA10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D" w:rsidRPr="00BA107D" w:rsidRDefault="00BA107D" w:rsidP="00BA107D">
    <w:pPr>
      <w:pStyle w:val="Footer"/>
      <w:tabs>
        <w:tab w:val="right" w:pos="9638"/>
      </w:tabs>
      <w:rPr>
        <w:b/>
        <w:sz w:val="18"/>
      </w:rPr>
    </w:pPr>
    <w:r>
      <w:tab/>
    </w:r>
    <w:r w:rsidRPr="00BA107D">
      <w:rPr>
        <w:b/>
        <w:sz w:val="18"/>
      </w:rPr>
      <w:fldChar w:fldCharType="begin"/>
    </w:r>
    <w:r w:rsidRPr="00BA107D">
      <w:rPr>
        <w:b/>
        <w:sz w:val="18"/>
      </w:rPr>
      <w:instrText xml:space="preserve"> PAGE  \* MERGEFORMAT </w:instrText>
    </w:r>
    <w:r w:rsidRPr="00BA107D">
      <w:rPr>
        <w:b/>
        <w:sz w:val="18"/>
      </w:rPr>
      <w:fldChar w:fldCharType="separate"/>
    </w:r>
    <w:r w:rsidR="002476AE">
      <w:rPr>
        <w:b/>
        <w:noProof/>
        <w:sz w:val="18"/>
      </w:rPr>
      <w:t>11</w:t>
    </w:r>
    <w:r w:rsidRPr="00BA10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Pr="00BA107D" w:rsidRDefault="00510810">
    <w:r>
      <w:rPr>
        <w:noProof/>
        <w:lang w:eastAsia="zh-CN"/>
      </w:rPr>
      <w:drawing>
        <wp:anchor distT="0" distB="0" distL="114300" distR="114300" simplePos="0" relativeHeight="251659264" behindDoc="0" locked="0" layoutInCell="1" allowOverlap="1" wp14:anchorId="66008357" wp14:editId="3CBB89A8">
          <wp:simplePos x="0" y="0"/>
          <wp:positionH relativeFrom="margin">
            <wp:posOffset>4283710</wp:posOffset>
          </wp:positionH>
          <wp:positionV relativeFrom="margin">
            <wp:posOffset>8207375</wp:posOffset>
          </wp:positionV>
          <wp:extent cx="931025" cy="232757"/>
          <wp:effectExtent l="0" t="0" r="254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025" cy="232757"/>
                  </a:xfrm>
                  <a:prstGeom prst="rect">
                    <a:avLst/>
                  </a:prstGeom>
                  <a:noFill/>
                </pic:spPr>
              </pic:pic>
            </a:graphicData>
          </a:graphic>
          <wp14:sizeRelH relativeFrom="page">
            <wp14:pctWidth>0</wp14:pctWidth>
          </wp14:sizeRelH>
          <wp14:sizeRelV relativeFrom="page">
            <wp14:pctHeight>0</wp14:pctHeight>
          </wp14:sizeRelV>
        </wp:anchor>
      </w:drawing>
    </w:r>
    <w:r w:rsidR="00BA107D">
      <w:t>GE.15-</w:t>
    </w:r>
    <w:r w:rsidR="00AA67A9">
      <w:t>08426</w:t>
    </w:r>
    <w:r>
      <w:t xml:space="preserve">  (E)</w:t>
    </w:r>
    <w:r w:rsidR="002476AE">
      <w:br/>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r w:rsidR="002476AE" w:rsidRPr="002476A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2C" w:rsidRPr="000B175B" w:rsidRDefault="0067622C" w:rsidP="000B175B">
      <w:pPr>
        <w:tabs>
          <w:tab w:val="right" w:pos="2155"/>
        </w:tabs>
        <w:spacing w:after="80"/>
        <w:ind w:left="680"/>
        <w:rPr>
          <w:u w:val="single"/>
        </w:rPr>
      </w:pPr>
      <w:r>
        <w:rPr>
          <w:u w:val="single"/>
        </w:rPr>
        <w:tab/>
      </w:r>
    </w:p>
  </w:footnote>
  <w:footnote w:type="continuationSeparator" w:id="0">
    <w:p w:rsidR="0067622C" w:rsidRPr="00FC68B7" w:rsidRDefault="0067622C" w:rsidP="00FC68B7">
      <w:pPr>
        <w:tabs>
          <w:tab w:val="left" w:pos="2155"/>
        </w:tabs>
        <w:spacing w:after="80"/>
        <w:ind w:left="680"/>
        <w:rPr>
          <w:u w:val="single"/>
        </w:rPr>
      </w:pPr>
      <w:r>
        <w:rPr>
          <w:u w:val="single"/>
        </w:rPr>
        <w:tab/>
      </w:r>
    </w:p>
  </w:footnote>
  <w:footnote w:type="continuationNotice" w:id="1">
    <w:p w:rsidR="0067622C" w:rsidRDefault="0067622C"/>
  </w:footnote>
  <w:footnote w:id="2">
    <w:p w:rsidR="00BE4463" w:rsidRPr="00A840C4" w:rsidRDefault="00BE4463" w:rsidP="00395ACF">
      <w:pPr>
        <w:pStyle w:val="FootnoteText"/>
      </w:pPr>
      <w:r>
        <w:rPr>
          <w:rStyle w:val="FootnoteReference"/>
        </w:rPr>
        <w:tab/>
      </w:r>
      <w:r w:rsidRPr="007330F4">
        <w:rPr>
          <w:rStyle w:val="FootnoteReference"/>
          <w:sz w:val="20"/>
          <w:vertAlign w:val="baseline"/>
        </w:rPr>
        <w:t>*</w:t>
      </w:r>
      <w:r>
        <w:rPr>
          <w:rStyle w:val="FootnoteReference"/>
          <w:sz w:val="20"/>
          <w:vertAlign w:val="baseline"/>
        </w:rPr>
        <w:tab/>
      </w:r>
      <w:r>
        <w:rPr>
          <w:lang w:val="en-US"/>
        </w:rPr>
        <w:t xml:space="preserve">Adopted by the Committee at its </w:t>
      </w:r>
      <w:r>
        <w:rPr>
          <w:color w:val="000000"/>
          <w:lang w:val="en-US"/>
        </w:rPr>
        <w:t>113</w:t>
      </w:r>
      <w:r w:rsidRPr="00B805FB">
        <w:rPr>
          <w:color w:val="000000"/>
          <w:lang w:val="en-US"/>
        </w:rPr>
        <w:t>th</w:t>
      </w:r>
      <w:r w:rsidR="00395ACF">
        <w:rPr>
          <w:lang w:val="en-US"/>
        </w:rPr>
        <w:t xml:space="preserve"> </w:t>
      </w:r>
      <w:r>
        <w:rPr>
          <w:lang w:val="en-US"/>
        </w:rPr>
        <w:t>session (16 March</w:t>
      </w:r>
      <w:r>
        <w:rPr>
          <w:color w:val="000000"/>
          <w:lang w:val="en-US"/>
        </w:rPr>
        <w:t>–2 April 2015</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D" w:rsidRPr="00BA107D" w:rsidRDefault="00BA107D">
    <w:pPr>
      <w:pStyle w:val="Header"/>
    </w:pPr>
    <w:r>
      <w:t>CCPR/C/RUS/CO/7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D" w:rsidRPr="00BA107D" w:rsidRDefault="00BA107D" w:rsidP="00BA107D">
    <w:pPr>
      <w:pStyle w:val="Header"/>
      <w:jc w:val="right"/>
    </w:pPr>
    <w:r>
      <w:t>CCPR/C/RUS/CO/7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3E6965"/>
    <w:multiLevelType w:val="multilevel"/>
    <w:tmpl w:val="3E0224AC"/>
    <w:lvl w:ilvl="0">
      <w:start w:val="1"/>
      <w:numFmt w:val="lowerRoman"/>
      <w:lvlText w:val="(%1)"/>
      <w:lvlJc w:val="left"/>
      <w:pPr>
        <w:ind w:left="185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2">
    <w:nsid w:val="09C751B5"/>
    <w:multiLevelType w:val="hybridMultilevel"/>
    <w:tmpl w:val="E6A61F76"/>
    <w:lvl w:ilvl="0" w:tplc="418E54FE">
      <w:start w:val="1"/>
      <w:numFmt w:val="decimal"/>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2710073"/>
    <w:multiLevelType w:val="multilevel"/>
    <w:tmpl w:val="F2AE80F4"/>
    <w:lvl w:ilvl="0">
      <w:start w:val="1"/>
      <w:numFmt w:val="lowerLetter"/>
      <w:lvlText w:val="(%1)"/>
      <w:lvlJc w:val="left"/>
      <w:pPr>
        <w:ind w:left="149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4">
    <w:nsid w:val="43567BF6"/>
    <w:multiLevelType w:val="hybridMultilevel"/>
    <w:tmpl w:val="29E23B7A"/>
    <w:lvl w:ilvl="0" w:tplc="C98E00E8">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3571884"/>
    <w:multiLevelType w:val="hybridMultilevel"/>
    <w:tmpl w:val="166A5F26"/>
    <w:lvl w:ilvl="0" w:tplc="BB10D47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53203FA5"/>
    <w:multiLevelType w:val="hybridMultilevel"/>
    <w:tmpl w:val="424015EA"/>
    <w:lvl w:ilvl="0" w:tplc="EAF8EA04">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1D17B2"/>
    <w:multiLevelType w:val="hybridMultilevel"/>
    <w:tmpl w:val="D81094B4"/>
    <w:lvl w:ilvl="0" w:tplc="BBB6E3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77177955"/>
    <w:multiLevelType w:val="hybridMultilevel"/>
    <w:tmpl w:val="ED487B9A"/>
    <w:lvl w:ilvl="0" w:tplc="E21620AC">
      <w:start w:val="1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7"/>
  </w:num>
  <w:num w:numId="3">
    <w:abstractNumId w:val="3"/>
  </w:num>
  <w:num w:numId="4">
    <w:abstractNumId w:val="8"/>
  </w:num>
  <w:num w:numId="5">
    <w:abstractNumId w:val="5"/>
  </w:num>
  <w:num w:numId="6">
    <w:abstractNumId w:val="1"/>
  </w:num>
  <w:num w:numId="7">
    <w:abstractNumId w:val="2"/>
  </w:num>
  <w:num w:numId="8">
    <w:abstractNumId w:val="6"/>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7D"/>
    <w:rsid w:val="00007DA3"/>
    <w:rsid w:val="00016787"/>
    <w:rsid w:val="00026909"/>
    <w:rsid w:val="000272B3"/>
    <w:rsid w:val="00050F6B"/>
    <w:rsid w:val="00051D58"/>
    <w:rsid w:val="00057E97"/>
    <w:rsid w:val="00060C3A"/>
    <w:rsid w:val="0006598D"/>
    <w:rsid w:val="00071F8E"/>
    <w:rsid w:val="00072AA2"/>
    <w:rsid w:val="00072C8C"/>
    <w:rsid w:val="000733B5"/>
    <w:rsid w:val="00081815"/>
    <w:rsid w:val="00081993"/>
    <w:rsid w:val="00083F5D"/>
    <w:rsid w:val="000931C0"/>
    <w:rsid w:val="000A4409"/>
    <w:rsid w:val="000B175B"/>
    <w:rsid w:val="000B3A0F"/>
    <w:rsid w:val="000B4EF7"/>
    <w:rsid w:val="000C2C03"/>
    <w:rsid w:val="000C2D2E"/>
    <w:rsid w:val="000C37ED"/>
    <w:rsid w:val="000E0415"/>
    <w:rsid w:val="000E6191"/>
    <w:rsid w:val="00100E42"/>
    <w:rsid w:val="0010463B"/>
    <w:rsid w:val="0010551D"/>
    <w:rsid w:val="001103AA"/>
    <w:rsid w:val="001132E3"/>
    <w:rsid w:val="001200A8"/>
    <w:rsid w:val="00131A67"/>
    <w:rsid w:val="00146BF7"/>
    <w:rsid w:val="00155566"/>
    <w:rsid w:val="00157B1A"/>
    <w:rsid w:val="00165F3A"/>
    <w:rsid w:val="00176ACB"/>
    <w:rsid w:val="0017779A"/>
    <w:rsid w:val="00183968"/>
    <w:rsid w:val="0019250B"/>
    <w:rsid w:val="00192568"/>
    <w:rsid w:val="001A1B60"/>
    <w:rsid w:val="001A6686"/>
    <w:rsid w:val="001B4B04"/>
    <w:rsid w:val="001C50E0"/>
    <w:rsid w:val="001C6663"/>
    <w:rsid w:val="001C7895"/>
    <w:rsid w:val="001D0C8C"/>
    <w:rsid w:val="001D26DF"/>
    <w:rsid w:val="001D3A03"/>
    <w:rsid w:val="001F239F"/>
    <w:rsid w:val="001F6933"/>
    <w:rsid w:val="00202DA8"/>
    <w:rsid w:val="00211E0B"/>
    <w:rsid w:val="002248D8"/>
    <w:rsid w:val="0023210C"/>
    <w:rsid w:val="002476AE"/>
    <w:rsid w:val="00262747"/>
    <w:rsid w:val="00263FDD"/>
    <w:rsid w:val="00267F5F"/>
    <w:rsid w:val="00280924"/>
    <w:rsid w:val="00286B4D"/>
    <w:rsid w:val="002E301B"/>
    <w:rsid w:val="002E316A"/>
    <w:rsid w:val="002F175C"/>
    <w:rsid w:val="0030668C"/>
    <w:rsid w:val="00322605"/>
    <w:rsid w:val="003229D8"/>
    <w:rsid w:val="00326979"/>
    <w:rsid w:val="003336A1"/>
    <w:rsid w:val="00352709"/>
    <w:rsid w:val="00367567"/>
    <w:rsid w:val="00371178"/>
    <w:rsid w:val="0038336C"/>
    <w:rsid w:val="00395ACF"/>
    <w:rsid w:val="003A6810"/>
    <w:rsid w:val="003B43D3"/>
    <w:rsid w:val="003C2CC4"/>
    <w:rsid w:val="003C66B5"/>
    <w:rsid w:val="003C6F61"/>
    <w:rsid w:val="003D2052"/>
    <w:rsid w:val="003D4B23"/>
    <w:rsid w:val="003D5275"/>
    <w:rsid w:val="003E2D6C"/>
    <w:rsid w:val="003E7BF8"/>
    <w:rsid w:val="003F5FC7"/>
    <w:rsid w:val="0040618F"/>
    <w:rsid w:val="00410C89"/>
    <w:rsid w:val="004213B3"/>
    <w:rsid w:val="00426B9B"/>
    <w:rsid w:val="00430891"/>
    <w:rsid w:val="00430F07"/>
    <w:rsid w:val="004325CB"/>
    <w:rsid w:val="00436B33"/>
    <w:rsid w:val="004417C9"/>
    <w:rsid w:val="00442A83"/>
    <w:rsid w:val="0045495B"/>
    <w:rsid w:val="0046211D"/>
    <w:rsid w:val="004737A3"/>
    <w:rsid w:val="004747DF"/>
    <w:rsid w:val="00486FA2"/>
    <w:rsid w:val="00487488"/>
    <w:rsid w:val="004A7FBE"/>
    <w:rsid w:val="004B42DB"/>
    <w:rsid w:val="004E51C7"/>
    <w:rsid w:val="00505B74"/>
    <w:rsid w:val="00510810"/>
    <w:rsid w:val="0052136D"/>
    <w:rsid w:val="0052775E"/>
    <w:rsid w:val="005420F2"/>
    <w:rsid w:val="005628B6"/>
    <w:rsid w:val="0057269F"/>
    <w:rsid w:val="0057530B"/>
    <w:rsid w:val="00584604"/>
    <w:rsid w:val="005848B3"/>
    <w:rsid w:val="00590F87"/>
    <w:rsid w:val="00592C4A"/>
    <w:rsid w:val="005A732C"/>
    <w:rsid w:val="005B3DB3"/>
    <w:rsid w:val="005C014C"/>
    <w:rsid w:val="005D6403"/>
    <w:rsid w:val="005E055F"/>
    <w:rsid w:val="005F201A"/>
    <w:rsid w:val="005F7717"/>
    <w:rsid w:val="005F7B75"/>
    <w:rsid w:val="006001EE"/>
    <w:rsid w:val="00605042"/>
    <w:rsid w:val="00611FC4"/>
    <w:rsid w:val="00615143"/>
    <w:rsid w:val="006176FB"/>
    <w:rsid w:val="00617896"/>
    <w:rsid w:val="00640B26"/>
    <w:rsid w:val="00641819"/>
    <w:rsid w:val="006427D5"/>
    <w:rsid w:val="00652D0A"/>
    <w:rsid w:val="00662BB6"/>
    <w:rsid w:val="0067622C"/>
    <w:rsid w:val="00677D26"/>
    <w:rsid w:val="00684C21"/>
    <w:rsid w:val="006C39E0"/>
    <w:rsid w:val="006D0B06"/>
    <w:rsid w:val="006D1144"/>
    <w:rsid w:val="006D37AF"/>
    <w:rsid w:val="006D51D0"/>
    <w:rsid w:val="006E564B"/>
    <w:rsid w:val="006E7191"/>
    <w:rsid w:val="006F2E63"/>
    <w:rsid w:val="006F3577"/>
    <w:rsid w:val="00703577"/>
    <w:rsid w:val="00711F14"/>
    <w:rsid w:val="00720B71"/>
    <w:rsid w:val="0072632A"/>
    <w:rsid w:val="007314B7"/>
    <w:rsid w:val="007327D5"/>
    <w:rsid w:val="007330F4"/>
    <w:rsid w:val="007413C6"/>
    <w:rsid w:val="00750CDB"/>
    <w:rsid w:val="0076185B"/>
    <w:rsid w:val="007629C8"/>
    <w:rsid w:val="00781B49"/>
    <w:rsid w:val="0079421A"/>
    <w:rsid w:val="0079424C"/>
    <w:rsid w:val="007B6BA5"/>
    <w:rsid w:val="007C3390"/>
    <w:rsid w:val="007C4F4B"/>
    <w:rsid w:val="007C784F"/>
    <w:rsid w:val="007D7815"/>
    <w:rsid w:val="007E0B2D"/>
    <w:rsid w:val="007F640D"/>
    <w:rsid w:val="007F6611"/>
    <w:rsid w:val="008025D1"/>
    <w:rsid w:val="00804E68"/>
    <w:rsid w:val="008105B8"/>
    <w:rsid w:val="008242D7"/>
    <w:rsid w:val="008257B1"/>
    <w:rsid w:val="00830975"/>
    <w:rsid w:val="008405D0"/>
    <w:rsid w:val="00843767"/>
    <w:rsid w:val="00860E4B"/>
    <w:rsid w:val="008679D9"/>
    <w:rsid w:val="00871CC2"/>
    <w:rsid w:val="00880CE5"/>
    <w:rsid w:val="008842CF"/>
    <w:rsid w:val="008851DA"/>
    <w:rsid w:val="008979B1"/>
    <w:rsid w:val="008A1DB2"/>
    <w:rsid w:val="008A6B25"/>
    <w:rsid w:val="008A6C4F"/>
    <w:rsid w:val="008B2335"/>
    <w:rsid w:val="008E0678"/>
    <w:rsid w:val="009042F0"/>
    <w:rsid w:val="00910F40"/>
    <w:rsid w:val="00911E05"/>
    <w:rsid w:val="00912C08"/>
    <w:rsid w:val="00914D74"/>
    <w:rsid w:val="009223CA"/>
    <w:rsid w:val="00940F93"/>
    <w:rsid w:val="0095347F"/>
    <w:rsid w:val="00955B2D"/>
    <w:rsid w:val="00971352"/>
    <w:rsid w:val="00973BBA"/>
    <w:rsid w:val="009760F3"/>
    <w:rsid w:val="00982F48"/>
    <w:rsid w:val="009909F5"/>
    <w:rsid w:val="00997359"/>
    <w:rsid w:val="009A0E8D"/>
    <w:rsid w:val="009B26E7"/>
    <w:rsid w:val="009B6161"/>
    <w:rsid w:val="009C5326"/>
    <w:rsid w:val="009F3FCB"/>
    <w:rsid w:val="00A00A3F"/>
    <w:rsid w:val="00A01489"/>
    <w:rsid w:val="00A145E1"/>
    <w:rsid w:val="00A338F1"/>
    <w:rsid w:val="00A44615"/>
    <w:rsid w:val="00A565DA"/>
    <w:rsid w:val="00A71135"/>
    <w:rsid w:val="00A72F22"/>
    <w:rsid w:val="00A73143"/>
    <w:rsid w:val="00A7360F"/>
    <w:rsid w:val="00A748A6"/>
    <w:rsid w:val="00A769F4"/>
    <w:rsid w:val="00A776B4"/>
    <w:rsid w:val="00A7770C"/>
    <w:rsid w:val="00A840C4"/>
    <w:rsid w:val="00A91374"/>
    <w:rsid w:val="00A94361"/>
    <w:rsid w:val="00AA293C"/>
    <w:rsid w:val="00AA67A9"/>
    <w:rsid w:val="00AB1D7D"/>
    <w:rsid w:val="00AC309B"/>
    <w:rsid w:val="00AC787F"/>
    <w:rsid w:val="00AD0079"/>
    <w:rsid w:val="00AE59CB"/>
    <w:rsid w:val="00AF1BAA"/>
    <w:rsid w:val="00AF37A2"/>
    <w:rsid w:val="00B12BAE"/>
    <w:rsid w:val="00B13E9B"/>
    <w:rsid w:val="00B30179"/>
    <w:rsid w:val="00B339A7"/>
    <w:rsid w:val="00B37556"/>
    <w:rsid w:val="00B44C30"/>
    <w:rsid w:val="00B4669C"/>
    <w:rsid w:val="00B56E4A"/>
    <w:rsid w:val="00B56E9C"/>
    <w:rsid w:val="00B607C0"/>
    <w:rsid w:val="00B64B1F"/>
    <w:rsid w:val="00B6553F"/>
    <w:rsid w:val="00B66E5E"/>
    <w:rsid w:val="00B77D05"/>
    <w:rsid w:val="00B805FB"/>
    <w:rsid w:val="00B81206"/>
    <w:rsid w:val="00B81E12"/>
    <w:rsid w:val="00B9067B"/>
    <w:rsid w:val="00B966F0"/>
    <w:rsid w:val="00BA107D"/>
    <w:rsid w:val="00BB2546"/>
    <w:rsid w:val="00BC2C23"/>
    <w:rsid w:val="00BC74E9"/>
    <w:rsid w:val="00BE0494"/>
    <w:rsid w:val="00BE4463"/>
    <w:rsid w:val="00BE5E62"/>
    <w:rsid w:val="00BF2BDA"/>
    <w:rsid w:val="00BF44ED"/>
    <w:rsid w:val="00BF68A8"/>
    <w:rsid w:val="00C018EB"/>
    <w:rsid w:val="00C1184A"/>
    <w:rsid w:val="00C11A03"/>
    <w:rsid w:val="00C24558"/>
    <w:rsid w:val="00C463DD"/>
    <w:rsid w:val="00C4724C"/>
    <w:rsid w:val="00C53522"/>
    <w:rsid w:val="00C629A0"/>
    <w:rsid w:val="00C65EC0"/>
    <w:rsid w:val="00C745C3"/>
    <w:rsid w:val="00C80019"/>
    <w:rsid w:val="00C9106C"/>
    <w:rsid w:val="00CB5A25"/>
    <w:rsid w:val="00CC234B"/>
    <w:rsid w:val="00CC50D6"/>
    <w:rsid w:val="00CE4A8F"/>
    <w:rsid w:val="00CF01D3"/>
    <w:rsid w:val="00D03535"/>
    <w:rsid w:val="00D2031B"/>
    <w:rsid w:val="00D25FE2"/>
    <w:rsid w:val="00D36B36"/>
    <w:rsid w:val="00D43252"/>
    <w:rsid w:val="00D458AA"/>
    <w:rsid w:val="00D47EEA"/>
    <w:rsid w:val="00D511E4"/>
    <w:rsid w:val="00D95303"/>
    <w:rsid w:val="00D978C6"/>
    <w:rsid w:val="00DA3111"/>
    <w:rsid w:val="00DA3C1C"/>
    <w:rsid w:val="00DB0C79"/>
    <w:rsid w:val="00DC0A54"/>
    <w:rsid w:val="00DE1738"/>
    <w:rsid w:val="00DF49DB"/>
    <w:rsid w:val="00E27346"/>
    <w:rsid w:val="00E548DC"/>
    <w:rsid w:val="00E62588"/>
    <w:rsid w:val="00E71BC8"/>
    <w:rsid w:val="00E7260F"/>
    <w:rsid w:val="00E76E51"/>
    <w:rsid w:val="00E779FC"/>
    <w:rsid w:val="00E836C2"/>
    <w:rsid w:val="00E915A5"/>
    <w:rsid w:val="00E96630"/>
    <w:rsid w:val="00EB2581"/>
    <w:rsid w:val="00EC1050"/>
    <w:rsid w:val="00EC594E"/>
    <w:rsid w:val="00EC7ACC"/>
    <w:rsid w:val="00ED1839"/>
    <w:rsid w:val="00ED6DC5"/>
    <w:rsid w:val="00ED7A2A"/>
    <w:rsid w:val="00EF1D7F"/>
    <w:rsid w:val="00EF5F4B"/>
    <w:rsid w:val="00F17AD2"/>
    <w:rsid w:val="00F20C3D"/>
    <w:rsid w:val="00F35A1A"/>
    <w:rsid w:val="00F40B40"/>
    <w:rsid w:val="00F4271F"/>
    <w:rsid w:val="00F43E9E"/>
    <w:rsid w:val="00F570CD"/>
    <w:rsid w:val="00F72571"/>
    <w:rsid w:val="00F73697"/>
    <w:rsid w:val="00F84AA1"/>
    <w:rsid w:val="00F9057C"/>
    <w:rsid w:val="00F906D7"/>
    <w:rsid w:val="00F93781"/>
    <w:rsid w:val="00FA098B"/>
    <w:rsid w:val="00FB613B"/>
    <w:rsid w:val="00FC02B4"/>
    <w:rsid w:val="00FC533F"/>
    <w:rsid w:val="00FC68B7"/>
    <w:rsid w:val="00FD399F"/>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CC50D6"/>
    <w:rPr>
      <w:sz w:val="18"/>
      <w:szCs w:val="18"/>
    </w:rPr>
  </w:style>
  <w:style w:type="paragraph" w:styleId="ListParagraph">
    <w:name w:val="List Paragraph"/>
    <w:basedOn w:val="Normal"/>
    <w:uiPriority w:val="34"/>
    <w:qFormat/>
    <w:rsid w:val="00CC50D6"/>
    <w:pPr>
      <w:suppressAutoHyphens w:val="0"/>
      <w:spacing w:line="240" w:lineRule="auto"/>
      <w:ind w:left="720"/>
      <w:contextualSpacing/>
    </w:pPr>
    <w:rPr>
      <w:color w:val="000000"/>
      <w:lang w:val="en-US"/>
    </w:rPr>
  </w:style>
  <w:style w:type="paragraph" w:styleId="BalloonText">
    <w:name w:val="Balloon Text"/>
    <w:basedOn w:val="Normal"/>
    <w:link w:val="BalloonTextChar"/>
    <w:rsid w:val="003C6F61"/>
    <w:pPr>
      <w:spacing w:line="240" w:lineRule="auto"/>
    </w:pPr>
    <w:rPr>
      <w:rFonts w:ascii="Tahoma" w:hAnsi="Tahoma" w:cs="Tahoma"/>
      <w:sz w:val="16"/>
      <w:szCs w:val="16"/>
    </w:rPr>
  </w:style>
  <w:style w:type="character" w:customStyle="1" w:styleId="BalloonTextChar">
    <w:name w:val="Balloon Text Char"/>
    <w:link w:val="BalloonText"/>
    <w:rsid w:val="003C6F61"/>
    <w:rPr>
      <w:rFonts w:ascii="Tahoma" w:hAnsi="Tahoma" w:cs="Tahoma"/>
      <w:sz w:val="16"/>
      <w:szCs w:val="16"/>
      <w:lang w:eastAsia="en-US"/>
    </w:rPr>
  </w:style>
  <w:style w:type="character" w:customStyle="1" w:styleId="SingleTxtGChar">
    <w:name w:val="_ Single Txt_G Char"/>
    <w:link w:val="SingleTxtG"/>
    <w:rsid w:val="00AC309B"/>
    <w:rPr>
      <w:lang w:eastAsia="en-US"/>
    </w:rPr>
  </w:style>
  <w:style w:type="paragraph" w:styleId="CommentText">
    <w:name w:val="annotation text"/>
    <w:basedOn w:val="Normal"/>
    <w:link w:val="CommentTextChar"/>
    <w:rsid w:val="00E62588"/>
  </w:style>
  <w:style w:type="character" w:customStyle="1" w:styleId="CommentTextChar">
    <w:name w:val="Comment Text Char"/>
    <w:link w:val="CommentText"/>
    <w:rsid w:val="00E62588"/>
    <w:rPr>
      <w:lang w:val="en-GB" w:eastAsia="en-US"/>
    </w:rPr>
  </w:style>
  <w:style w:type="paragraph" w:styleId="CommentSubject">
    <w:name w:val="annotation subject"/>
    <w:basedOn w:val="CommentText"/>
    <w:next w:val="CommentText"/>
    <w:link w:val="CommentSubjectChar"/>
    <w:rsid w:val="00E62588"/>
    <w:rPr>
      <w:b/>
      <w:bCs/>
    </w:rPr>
  </w:style>
  <w:style w:type="character" w:customStyle="1" w:styleId="CommentSubjectChar">
    <w:name w:val="Comment Subject Char"/>
    <w:link w:val="CommentSubject"/>
    <w:rsid w:val="00E62588"/>
    <w:rPr>
      <w:b/>
      <w:bCs/>
      <w:lang w:val="en-GB" w:eastAsia="en-US"/>
    </w:rPr>
  </w:style>
  <w:style w:type="paragraph" w:styleId="Revision">
    <w:name w:val="Revision"/>
    <w:hidden/>
    <w:uiPriority w:val="99"/>
    <w:semiHidden/>
    <w:rsid w:val="00E6258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CC50D6"/>
    <w:rPr>
      <w:sz w:val="18"/>
      <w:szCs w:val="18"/>
    </w:rPr>
  </w:style>
  <w:style w:type="paragraph" w:styleId="ListParagraph">
    <w:name w:val="List Paragraph"/>
    <w:basedOn w:val="Normal"/>
    <w:uiPriority w:val="34"/>
    <w:qFormat/>
    <w:rsid w:val="00CC50D6"/>
    <w:pPr>
      <w:suppressAutoHyphens w:val="0"/>
      <w:spacing w:line="240" w:lineRule="auto"/>
      <w:ind w:left="720"/>
      <w:contextualSpacing/>
    </w:pPr>
    <w:rPr>
      <w:color w:val="000000"/>
      <w:lang w:val="en-US"/>
    </w:rPr>
  </w:style>
  <w:style w:type="paragraph" w:styleId="BalloonText">
    <w:name w:val="Balloon Text"/>
    <w:basedOn w:val="Normal"/>
    <w:link w:val="BalloonTextChar"/>
    <w:rsid w:val="003C6F61"/>
    <w:pPr>
      <w:spacing w:line="240" w:lineRule="auto"/>
    </w:pPr>
    <w:rPr>
      <w:rFonts w:ascii="Tahoma" w:hAnsi="Tahoma" w:cs="Tahoma"/>
      <w:sz w:val="16"/>
      <w:szCs w:val="16"/>
    </w:rPr>
  </w:style>
  <w:style w:type="character" w:customStyle="1" w:styleId="BalloonTextChar">
    <w:name w:val="Balloon Text Char"/>
    <w:link w:val="BalloonText"/>
    <w:rsid w:val="003C6F61"/>
    <w:rPr>
      <w:rFonts w:ascii="Tahoma" w:hAnsi="Tahoma" w:cs="Tahoma"/>
      <w:sz w:val="16"/>
      <w:szCs w:val="16"/>
      <w:lang w:eastAsia="en-US"/>
    </w:rPr>
  </w:style>
  <w:style w:type="character" w:customStyle="1" w:styleId="SingleTxtGChar">
    <w:name w:val="_ Single Txt_G Char"/>
    <w:link w:val="SingleTxtG"/>
    <w:rsid w:val="00AC309B"/>
    <w:rPr>
      <w:lang w:eastAsia="en-US"/>
    </w:rPr>
  </w:style>
  <w:style w:type="paragraph" w:styleId="CommentText">
    <w:name w:val="annotation text"/>
    <w:basedOn w:val="Normal"/>
    <w:link w:val="CommentTextChar"/>
    <w:rsid w:val="00E62588"/>
  </w:style>
  <w:style w:type="character" w:customStyle="1" w:styleId="CommentTextChar">
    <w:name w:val="Comment Text Char"/>
    <w:link w:val="CommentText"/>
    <w:rsid w:val="00E62588"/>
    <w:rPr>
      <w:lang w:val="en-GB" w:eastAsia="en-US"/>
    </w:rPr>
  </w:style>
  <w:style w:type="paragraph" w:styleId="CommentSubject">
    <w:name w:val="annotation subject"/>
    <w:basedOn w:val="CommentText"/>
    <w:next w:val="CommentText"/>
    <w:link w:val="CommentSubjectChar"/>
    <w:rsid w:val="00E62588"/>
    <w:rPr>
      <w:b/>
      <w:bCs/>
    </w:rPr>
  </w:style>
  <w:style w:type="character" w:customStyle="1" w:styleId="CommentSubjectChar">
    <w:name w:val="Comment Subject Char"/>
    <w:link w:val="CommentSubject"/>
    <w:rsid w:val="00E62588"/>
    <w:rPr>
      <w:b/>
      <w:bCs/>
      <w:lang w:val="en-GB" w:eastAsia="en-US"/>
    </w:rPr>
  </w:style>
  <w:style w:type="paragraph" w:styleId="Revision">
    <w:name w:val="Revision"/>
    <w:hidden/>
    <w:uiPriority w:val="99"/>
    <w:semiHidden/>
    <w:rsid w:val="00E625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BC42-312A-4B36-99D0-D8F3C1D3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12</Pages>
  <Words>5689</Words>
  <Characters>32428</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Pdfeng</cp:lastModifiedBy>
  <cp:revision>2</cp:revision>
  <cp:lastPrinted>2015-03-27T11:37:00Z</cp:lastPrinted>
  <dcterms:created xsi:type="dcterms:W3CDTF">2015-04-29T06:23:00Z</dcterms:created>
  <dcterms:modified xsi:type="dcterms:W3CDTF">2015-04-29T06:23:00Z</dcterms:modified>
</cp:coreProperties>
</file>