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88A9E5C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F5541C" w14:textId="77777777" w:rsidR="002D5AAC" w:rsidRDefault="002D5AAC" w:rsidP="00135A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FA89569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1788B73" w14:textId="37BF71D2" w:rsidR="002D5AAC" w:rsidRDefault="00135A8D" w:rsidP="00135A8D">
            <w:pPr>
              <w:jc w:val="right"/>
            </w:pPr>
            <w:r w:rsidRPr="00135A8D">
              <w:rPr>
                <w:sz w:val="40"/>
              </w:rPr>
              <w:t>CERD</w:t>
            </w:r>
            <w:r>
              <w:t>/C/DNK/CO/22-24</w:t>
            </w:r>
          </w:p>
        </w:tc>
      </w:tr>
      <w:tr w:rsidR="002D5AAC" w:rsidRPr="00146B8C" w14:paraId="7BB093A8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E9F243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BB7FC1" wp14:editId="5C20F05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FFA8B7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CF5E50E" w14:textId="77777777" w:rsidR="002D5AAC" w:rsidRPr="00146B8C" w:rsidRDefault="00135A8D" w:rsidP="008D2AAD">
            <w:pPr>
              <w:spacing w:before="240"/>
              <w:rPr>
                <w:lang w:val="en-US"/>
              </w:rPr>
            </w:pPr>
            <w:r w:rsidRPr="00146B8C">
              <w:rPr>
                <w:lang w:val="en-US"/>
              </w:rPr>
              <w:t>Distr.: General</w:t>
            </w:r>
          </w:p>
          <w:p w14:paraId="75107AFE" w14:textId="77777777" w:rsidR="00135A8D" w:rsidRPr="00146B8C" w:rsidRDefault="00135A8D" w:rsidP="00135A8D">
            <w:pPr>
              <w:spacing w:line="240" w:lineRule="exact"/>
              <w:rPr>
                <w:lang w:val="en-US"/>
              </w:rPr>
            </w:pPr>
            <w:r w:rsidRPr="00146B8C">
              <w:rPr>
                <w:lang w:val="en-US"/>
              </w:rPr>
              <w:t>1 February 2022</w:t>
            </w:r>
          </w:p>
          <w:p w14:paraId="3BDC03B9" w14:textId="77777777" w:rsidR="00135A8D" w:rsidRPr="00146B8C" w:rsidRDefault="00135A8D" w:rsidP="00135A8D">
            <w:pPr>
              <w:spacing w:line="240" w:lineRule="exact"/>
              <w:rPr>
                <w:lang w:val="en-US"/>
              </w:rPr>
            </w:pPr>
            <w:r w:rsidRPr="00146B8C">
              <w:rPr>
                <w:lang w:val="en-US"/>
              </w:rPr>
              <w:t>Russian</w:t>
            </w:r>
          </w:p>
          <w:p w14:paraId="27F84D0C" w14:textId="29B01EBD" w:rsidR="00135A8D" w:rsidRPr="00146B8C" w:rsidRDefault="00135A8D" w:rsidP="00135A8D">
            <w:pPr>
              <w:spacing w:line="240" w:lineRule="exact"/>
              <w:rPr>
                <w:lang w:val="en-US"/>
              </w:rPr>
            </w:pPr>
            <w:r w:rsidRPr="00146B8C">
              <w:rPr>
                <w:lang w:val="en-US"/>
              </w:rPr>
              <w:t>Original: English</w:t>
            </w:r>
          </w:p>
        </w:tc>
      </w:tr>
    </w:tbl>
    <w:p w14:paraId="65114B5D" w14:textId="77777777" w:rsidR="00135A8D" w:rsidRPr="00D443EA" w:rsidRDefault="00135A8D" w:rsidP="00135A8D">
      <w:pPr>
        <w:spacing w:before="120"/>
        <w:rPr>
          <w:b/>
          <w:sz w:val="24"/>
          <w:szCs w:val="24"/>
        </w:rPr>
      </w:pPr>
      <w:r w:rsidRPr="00D443EA">
        <w:rPr>
          <w:b/>
          <w:bCs/>
          <w:sz w:val="24"/>
          <w:szCs w:val="24"/>
        </w:rPr>
        <w:t>Комитет по ликвидации расовой дискриминации</w:t>
      </w:r>
    </w:p>
    <w:p w14:paraId="63852BD7" w14:textId="69E624C7" w:rsidR="00135A8D" w:rsidRPr="00955FD0" w:rsidRDefault="00135A8D" w:rsidP="00135A8D">
      <w:pPr>
        <w:pStyle w:val="HChG"/>
      </w:pPr>
      <w:r>
        <w:tab/>
      </w:r>
      <w:r>
        <w:tab/>
      </w:r>
      <w:r>
        <w:rPr>
          <w:bCs/>
        </w:rPr>
        <w:t xml:space="preserve">Заключительные замечания по объединенным </w:t>
      </w:r>
      <w:r w:rsidR="00955FD0">
        <w:rPr>
          <w:bCs/>
        </w:rPr>
        <w:br/>
      </w:r>
      <w:r>
        <w:rPr>
          <w:bCs/>
        </w:rPr>
        <w:t>двадцать второму–двадцать четвертому периодическим докладам Дании</w:t>
      </w:r>
      <w:r w:rsidRPr="00955FD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6EFB704" w14:textId="6F4D7E80" w:rsidR="00135A8D" w:rsidRPr="00D443EA" w:rsidRDefault="00135A8D" w:rsidP="00955FD0">
      <w:pPr>
        <w:pStyle w:val="SingleTxtG"/>
      </w:pPr>
      <w:r>
        <w:t>1.</w:t>
      </w:r>
      <w:r>
        <w:tab/>
        <w:t>Комитет рассмотрел объединенные двадцать второй</w:t>
      </w:r>
      <w:r w:rsidR="00955FD0" w:rsidRPr="00955FD0">
        <w:t>–</w:t>
      </w:r>
      <w:r>
        <w:t>двадцать четвертый периодические доклады Дании</w:t>
      </w:r>
      <w:r w:rsidRPr="00D346E9">
        <w:rPr>
          <w:rStyle w:val="aa"/>
        </w:rPr>
        <w:footnoteReference w:id="2"/>
      </w:r>
      <w:r>
        <w:t xml:space="preserve">, направленные в одном документе и представленные государством-участником в ходе его шестнадцатого выступления в Комитете на </w:t>
      </w:r>
      <w:r w:rsidR="00955FD0">
        <w:br/>
      </w:r>
      <w:r>
        <w:t>2849-м и 2850-м заседаниях Комитета</w:t>
      </w:r>
      <w:r w:rsidRPr="00D346E9">
        <w:rPr>
          <w:rStyle w:val="aa"/>
        </w:rPr>
        <w:footnoteReference w:id="3"/>
      </w:r>
      <w:r>
        <w:t xml:space="preserve">, состоявшихся 23 и 24 ноября 2021 года. </w:t>
      </w:r>
      <w:r w:rsidR="00955FD0">
        <w:br/>
      </w:r>
      <w:r>
        <w:t>На своем 2859-м заседании, состоявшемся 30 ноября 2021 года, он принял настоящие заключительные замечания.</w:t>
      </w:r>
    </w:p>
    <w:p w14:paraId="354CDB1D" w14:textId="77777777" w:rsidR="00135A8D" w:rsidRPr="00D443EA" w:rsidRDefault="00135A8D" w:rsidP="00135A8D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607EA606" w14:textId="764AFF0E" w:rsidR="00135A8D" w:rsidRPr="00D443EA" w:rsidRDefault="00135A8D" w:rsidP="00955FD0">
      <w:pPr>
        <w:pStyle w:val="SingleTxtG"/>
      </w:pPr>
      <w:r>
        <w:t>2.</w:t>
      </w:r>
      <w:r>
        <w:tab/>
        <w:t>Комитет приветствует представление объединенных двадцать второго–</w:t>
      </w:r>
      <w:r w:rsidR="00955FD0">
        <w:t>д</w:t>
      </w:r>
      <w:r>
        <w:t>вадцать четвертого периодических докладов государства-участника. Он высоко оценивает конструктивный диалог с делегацией государства-участника и благодарит делегацию за предоставленную информацию в ходе рассмотрения доклада, а также за дополнительную письменную информацию, предоставленную после диалога.</w:t>
      </w:r>
    </w:p>
    <w:p w14:paraId="75B420BF" w14:textId="77777777" w:rsidR="00135A8D" w:rsidRPr="00D443EA" w:rsidRDefault="00135A8D" w:rsidP="00135A8D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1A594729" w14:textId="77777777" w:rsidR="00135A8D" w:rsidRPr="00D443EA" w:rsidRDefault="00135A8D" w:rsidP="00135A8D">
      <w:pPr>
        <w:pStyle w:val="SingleTxtG"/>
      </w:pPr>
      <w:r>
        <w:t>3.</w:t>
      </w:r>
      <w:r>
        <w:tab/>
        <w:t>Комитет приветствует следующие политические меры, принятые государством-участником:</w:t>
      </w:r>
    </w:p>
    <w:p w14:paraId="6E0BA877" w14:textId="0F251245" w:rsidR="00135A8D" w:rsidRPr="00A22150" w:rsidRDefault="00135A8D" w:rsidP="00135A8D">
      <w:pPr>
        <w:pStyle w:val="SingleTxtG"/>
      </w:pPr>
      <w:r>
        <w:tab/>
        <w:t>a)</w:t>
      </w:r>
      <w:r>
        <w:tab/>
        <w:t>выделение 26</w:t>
      </w:r>
      <w:r w:rsidR="009050A7">
        <w:t> </w:t>
      </w:r>
      <w:r>
        <w:t>млн датских крон (около 3,5</w:t>
      </w:r>
      <w:r w:rsidR="00742588">
        <w:t> </w:t>
      </w:r>
      <w:r>
        <w:t xml:space="preserve">млн евро) в течение </w:t>
      </w:r>
      <w:r w:rsidR="00955FD0">
        <w:br/>
      </w:r>
      <w:r>
        <w:t xml:space="preserve">четырех лет на инициативы, ориентированные на уязвимых гренландцев в Дании, и 12,3 млн датских крон (около 1,6 млн евро) на </w:t>
      </w:r>
      <w:r w:rsidR="00955FD0">
        <w:t>«</w:t>
      </w:r>
      <w:r>
        <w:t>Гренландские дома</w:t>
      </w:r>
      <w:r w:rsidR="00955FD0">
        <w:t>»</w:t>
      </w:r>
      <w:r>
        <w:t xml:space="preserve"> (2019 год) на цели улучшения полноправного включения и информационно-просветительских услуг для вновь прибывших в Данию гренландцев;</w:t>
      </w:r>
    </w:p>
    <w:p w14:paraId="504ABC64" w14:textId="77777777" w:rsidR="00135A8D" w:rsidRPr="00D443EA" w:rsidRDefault="00135A8D" w:rsidP="00135A8D">
      <w:pPr>
        <w:pStyle w:val="SingleTxtG"/>
      </w:pPr>
      <w:r>
        <w:tab/>
        <w:t>b)</w:t>
      </w:r>
      <w:r>
        <w:tab/>
        <w:t>национальную стратегию борьбы с агрессивным преследованием в Гренландии, в том числе по признакам национальности, этнической принадлежности и языка (2019 год);</w:t>
      </w:r>
    </w:p>
    <w:p w14:paraId="5E2A162D" w14:textId="0DE4B283" w:rsidR="00135A8D" w:rsidRPr="00D443EA" w:rsidRDefault="00135A8D" w:rsidP="00135A8D">
      <w:pPr>
        <w:pStyle w:val="SingleTxtG"/>
      </w:pPr>
      <w:r>
        <w:tab/>
        <w:t>c)</w:t>
      </w:r>
      <w:r>
        <w:tab/>
        <w:t xml:space="preserve">кампанию </w:t>
      </w:r>
      <w:r w:rsidR="00955FD0">
        <w:t>«</w:t>
      </w:r>
      <w:r>
        <w:t>Прекратить использование языка ненависти</w:t>
      </w:r>
      <w:r w:rsidR="00955FD0">
        <w:t>»</w:t>
      </w:r>
      <w:r>
        <w:t xml:space="preserve"> на Фарерских островах (2018 год);</w:t>
      </w:r>
    </w:p>
    <w:p w14:paraId="0FA1B1FD" w14:textId="1DB109C4" w:rsidR="00135A8D" w:rsidRPr="00D443EA" w:rsidRDefault="00135A8D" w:rsidP="00955FD0">
      <w:pPr>
        <w:pStyle w:val="SingleTxtG"/>
        <w:pageBreakBefore/>
      </w:pPr>
      <w:r>
        <w:lastRenderedPageBreak/>
        <w:tab/>
        <w:t>d)</w:t>
      </w:r>
      <w:r>
        <w:tab/>
        <w:t>соглашение с</w:t>
      </w:r>
      <w:r w:rsidR="00415E82">
        <w:t>о</w:t>
      </w:r>
      <w:r>
        <w:t xml:space="preserve"> социальными партнерами о более чем 50 инициативах, направленных на улучшение перспектив трудоустройства и интеграции беженцев и лиц, участвующих в воссоединении семей (2016</w:t>
      </w:r>
      <w:r w:rsidR="00742588">
        <w:t xml:space="preserve"> год</w:t>
      </w:r>
      <w:r>
        <w:t>);</w:t>
      </w:r>
    </w:p>
    <w:p w14:paraId="4935F121" w14:textId="77777777" w:rsidR="00135A8D" w:rsidRPr="00D443EA" w:rsidRDefault="00135A8D" w:rsidP="00135A8D">
      <w:pPr>
        <w:pStyle w:val="SingleTxtG"/>
      </w:pPr>
      <w:r>
        <w:tab/>
        <w:t>e)</w:t>
      </w:r>
      <w:r>
        <w:tab/>
        <w:t>разработку национального плана действий по борьбе с антисемитизмом.</w:t>
      </w:r>
    </w:p>
    <w:p w14:paraId="35705E00" w14:textId="77777777" w:rsidR="00135A8D" w:rsidRPr="00D443EA" w:rsidRDefault="00135A8D" w:rsidP="00135A8D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Вопросы, вызывающие обеспокоенность, и рекомендации</w:t>
      </w:r>
    </w:p>
    <w:p w14:paraId="32D2E5C4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5FC559C8" w14:textId="21FCCAED" w:rsidR="00135A8D" w:rsidRPr="00D443EA" w:rsidRDefault="00135A8D" w:rsidP="00135A8D">
      <w:pPr>
        <w:pStyle w:val="SingleTxtG"/>
      </w:pPr>
      <w:r>
        <w:t>4.</w:t>
      </w:r>
      <w:r>
        <w:tab/>
        <w:t>Отмечая, что государство-участник не считает сбор информации об этнической принадлежности актуальным, Комитет при этом по-прежнему обеспокоен тем, что отсутствие данных об этнической принадлежности лиц, проживающих в Дании, препятствует точной оценке достижений в деле обеспечения равного пользования всеми группами без дискриминации правами, которые защищает Конвенция, и усилий по разработке эффективной государственной политики в соответствии с Конвенцией (ст.</w:t>
      </w:r>
      <w:r w:rsidRPr="003542E0">
        <w:t xml:space="preserve"> </w:t>
      </w:r>
      <w:r>
        <w:t>1 и 2).</w:t>
      </w:r>
    </w:p>
    <w:p w14:paraId="311235BC" w14:textId="2BFFDBF8" w:rsidR="00135A8D" w:rsidRPr="00D443EA" w:rsidRDefault="00135A8D" w:rsidP="00135A8D">
      <w:pPr>
        <w:pStyle w:val="SingleTxtG"/>
      </w:pPr>
      <w:r>
        <w:t>5.</w:t>
      </w:r>
      <w:r>
        <w:tab/>
      </w:r>
      <w:r>
        <w:rPr>
          <w:b/>
          <w:bCs/>
        </w:rPr>
        <w:t>Комитет повторяет свою ранее вынесенную государству-участнику рекомендацию</w:t>
      </w:r>
      <w:r w:rsidRPr="00D346E9">
        <w:rPr>
          <w:rStyle w:val="aa"/>
        </w:rPr>
        <w:footnoteReference w:id="4"/>
      </w:r>
      <w:r>
        <w:rPr>
          <w:b/>
          <w:bCs/>
        </w:rPr>
        <w:t xml:space="preserve"> пересмотреть свои процедуры сбора данных в целях обеспечения сбора данных об этнической принадлежности в свете положений статьи 1 Конвенции и пунктов 10</w:t>
      </w:r>
      <w:r w:rsidRPr="00413352">
        <w:rPr>
          <w:b/>
          <w:bCs/>
        </w:rPr>
        <w:t>–</w:t>
      </w:r>
      <w:r>
        <w:rPr>
          <w:b/>
          <w:bCs/>
        </w:rPr>
        <w:t>12 руководящих принципов Комитета в области представления отчетности</w:t>
      </w:r>
      <w:r w:rsidRPr="00D346E9">
        <w:rPr>
          <w:rStyle w:val="aa"/>
        </w:rPr>
        <w:footnoteReference w:id="5"/>
      </w:r>
      <w:r>
        <w:t>.</w:t>
      </w:r>
    </w:p>
    <w:p w14:paraId="22A42C3D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Роль Конвенции в законодательстве</w:t>
      </w:r>
    </w:p>
    <w:p w14:paraId="0F41E9D1" w14:textId="2CBC3BF7" w:rsidR="00135A8D" w:rsidRPr="00D443EA" w:rsidRDefault="00135A8D" w:rsidP="00135A8D">
      <w:pPr>
        <w:pStyle w:val="SingleTxtG"/>
      </w:pPr>
      <w:r>
        <w:t>6.</w:t>
      </w:r>
      <w:r>
        <w:tab/>
        <w:t>Отмечая позицию государства-участника о том, что Конвенция является актуальным и действительным источником права в государстве-участнике, несмотря на то, что она не включена во внутреннюю правовую систему, Комитет обеспокоен весьма ограниченным количеством примеров, демонстрирующих применение Конвенции национальными судами. Комитет не убеждают доводы государства-участника о том, что включение Конвенции во внутреннюю правовую систему влечет за собой риск передачи полномочий, возложенных на парламент и правительство, судам (ст</w:t>
      </w:r>
      <w:r w:rsidR="00955FD0">
        <w:t>.</w:t>
      </w:r>
      <w:r>
        <w:t xml:space="preserve"> 2).</w:t>
      </w:r>
    </w:p>
    <w:p w14:paraId="6EB3BF9B" w14:textId="6AC06723" w:rsidR="00135A8D" w:rsidRPr="00A22150" w:rsidRDefault="00135A8D" w:rsidP="00135A8D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 полностью включить Конвенцию в свою внутреннюю правовую систему.</w:t>
      </w:r>
      <w:r>
        <w:t xml:space="preserve"> </w:t>
      </w:r>
      <w:r>
        <w:rPr>
          <w:b/>
          <w:bCs/>
        </w:rPr>
        <w:t>Комитет рекомендует также государству-участнику принять меры по распространению положений Конвенции среди судей, прокуроров, адвокатов и сотрудников правоохранительных органов, а также провести их подготовку по этим положениям, чтобы способствовать цитированию и обращению к Конвенции в национальных судах или ее применению.</w:t>
      </w:r>
      <w:r>
        <w:t xml:space="preserve"> </w:t>
      </w:r>
      <w:r>
        <w:rPr>
          <w:b/>
          <w:bCs/>
        </w:rPr>
        <w:t>Комитет рекомендует далее государству-участнику представить в своем следующем периодическом докладе обновленную информацию о количестве дел или решений, в которых национальные суды ссылались на Конвенцию или применяли ее положения, в том числе в целях толкования.</w:t>
      </w:r>
      <w:r w:rsidR="005F2BE0">
        <w:rPr>
          <w:b/>
          <w:bCs/>
        </w:rPr>
        <w:t xml:space="preserve"> </w:t>
      </w:r>
    </w:p>
    <w:p w14:paraId="00CA7E7F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Обеспечение соблюдения положений против расовой дискриминации и оценка политики</w:t>
      </w:r>
    </w:p>
    <w:p w14:paraId="736371E0" w14:textId="218613B8" w:rsidR="00135A8D" w:rsidRPr="00D443EA" w:rsidRDefault="00135A8D" w:rsidP="00135A8D">
      <w:pPr>
        <w:pStyle w:val="SingleTxtG"/>
      </w:pPr>
      <w:r>
        <w:t>8.</w:t>
      </w:r>
      <w:r>
        <w:tab/>
        <w:t>Комитет обеспокоен тем, что, несмотря на сообщения о росте числа случаев расовой дискриминации в отношении лиц из числа этнических меньшинств в различных сферах жизни датского общества, государство-участник не рассматривает возможность разработки всеобъемлющего плана действий против расизма, как это было рекомендовано в предыдущих заключительных замечаниях Комитета</w:t>
      </w:r>
      <w:r w:rsidRPr="00D346E9">
        <w:rPr>
          <w:rStyle w:val="aa"/>
        </w:rPr>
        <w:footnoteReference w:id="6"/>
      </w:r>
      <w:r>
        <w:t xml:space="preserve">. Комитет обеспокоен также большим разрывом между случаями расовой дискриминации, зарегистрированными официально, и гораздо более многочисленными случаями </w:t>
      </w:r>
      <w:r>
        <w:lastRenderedPageBreak/>
        <w:t xml:space="preserve">расовой дискриминации, указанными в опросах людей, принадлежащих к этническим меньшинствам. Комитет обеспокоен далее отсутствием всеобъемлющего анализа воздействия политики, направленной на ликвидацию расовой дискриминации </w:t>
      </w:r>
      <w:r w:rsidR="00955FD0">
        <w:br/>
      </w:r>
      <w:r>
        <w:t>(ст</w:t>
      </w:r>
      <w:r w:rsidR="00955FD0">
        <w:t>.</w:t>
      </w:r>
      <w:r>
        <w:t xml:space="preserve"> 2, 4 и 6).</w:t>
      </w:r>
    </w:p>
    <w:p w14:paraId="491490DE" w14:textId="77777777" w:rsidR="00135A8D" w:rsidRPr="003542E0" w:rsidRDefault="00135A8D" w:rsidP="00135A8D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50668A5" w14:textId="77777777" w:rsidR="00135A8D" w:rsidRPr="00A22150" w:rsidRDefault="00135A8D" w:rsidP="00135A8D">
      <w:pPr>
        <w:pStyle w:val="SingleTxtG"/>
        <w:rPr>
          <w:b/>
          <w:bCs/>
        </w:rPr>
      </w:pPr>
      <w:r w:rsidRPr="00955FD0">
        <w:rPr>
          <w:b/>
          <w:bCs/>
        </w:rPr>
        <w:tab/>
        <w:t>a)</w:t>
      </w:r>
      <w:r w:rsidRPr="00955FD0">
        <w:rPr>
          <w:b/>
          <w:bCs/>
        </w:rPr>
        <w:tab/>
      </w:r>
      <w:r>
        <w:rPr>
          <w:b/>
          <w:bCs/>
        </w:rPr>
        <w:t>активизировать усилия по предотвращению случаев расовой дискриминации и ведению с ними решительной борьбы в различных сферах жизни, в частности путем разработки и реализации всеобъемлющего национального плана действий по борьбе со всеми формами расовой дискриминации, включая все ее перекрестные формы, и по решению проблемы возможной структурной дискриминации, а также путем сотрудничества и взаимодействия с затронутыми сообществами в разработке и реализации этого плана;</w:t>
      </w:r>
      <w:r>
        <w:t xml:space="preserve"> </w:t>
      </w:r>
    </w:p>
    <w:p w14:paraId="51E94D2B" w14:textId="77777777" w:rsidR="00135A8D" w:rsidRPr="00D443EA" w:rsidRDefault="00135A8D" w:rsidP="00135A8D">
      <w:pPr>
        <w:pStyle w:val="SingleTxtG"/>
        <w:rPr>
          <w:b/>
          <w:bCs/>
        </w:rPr>
      </w:pPr>
      <w:r w:rsidRPr="00955FD0">
        <w:rPr>
          <w:b/>
          <w:bCs/>
        </w:rPr>
        <w:tab/>
        <w:t>b)</w:t>
      </w:r>
      <w:r w:rsidRPr="00955FD0">
        <w:rPr>
          <w:b/>
          <w:bCs/>
        </w:rPr>
        <w:tab/>
      </w:r>
      <w:r>
        <w:rPr>
          <w:b/>
          <w:bCs/>
        </w:rPr>
        <w:t>провести исследование причин значительного разрыва между данными о числе официально зарегистрированных случаев расовой дискриминации и числом случаев расовой дискриминации, о которых сообщают выходцы из этнических меньшинств;</w:t>
      </w:r>
      <w:r>
        <w:t xml:space="preserve"> </w:t>
      </w:r>
      <w:r>
        <w:rPr>
          <w:b/>
          <w:bCs/>
        </w:rPr>
        <w:t>активизировать усилия по повышению осведомленности о своем законодательстве в области расовой дискриминации и облегчить доступ к средствам правовой защиты для жертв такой дискриминации;</w:t>
      </w:r>
      <w:r>
        <w:t xml:space="preserve"> </w:t>
      </w:r>
      <w:r>
        <w:rPr>
          <w:b/>
          <w:bCs/>
        </w:rPr>
        <w:t>и принять меры по созданию механизма, объединяющего различные виды информации, собираемой соответствующими учреждениями и органами власти в государстве-участнике, с тем чтобы легко определять, сколько произошло нарушений законов, запрещающих расовую дискриминацию, и обеспечивать регулярный мониторинг и анализ таких данных.</w:t>
      </w:r>
    </w:p>
    <w:p w14:paraId="7E42528B" w14:textId="15567D86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 xml:space="preserve">Использование терминов </w:t>
      </w:r>
      <w:r w:rsidR="00955FD0">
        <w:rPr>
          <w:bCs/>
        </w:rPr>
        <w:t>«</w:t>
      </w:r>
      <w:r>
        <w:rPr>
          <w:bCs/>
        </w:rPr>
        <w:t>западный</w:t>
      </w:r>
      <w:r w:rsidR="00955FD0">
        <w:rPr>
          <w:bCs/>
        </w:rPr>
        <w:t>»</w:t>
      </w:r>
      <w:r>
        <w:rPr>
          <w:bCs/>
        </w:rPr>
        <w:t xml:space="preserve"> и </w:t>
      </w:r>
      <w:r w:rsidR="00955FD0">
        <w:rPr>
          <w:bCs/>
        </w:rPr>
        <w:t>«</w:t>
      </w:r>
      <w:r>
        <w:rPr>
          <w:bCs/>
        </w:rPr>
        <w:t>незападный</w:t>
      </w:r>
      <w:r w:rsidR="00955FD0">
        <w:rPr>
          <w:bCs/>
        </w:rPr>
        <w:t>»</w:t>
      </w:r>
    </w:p>
    <w:p w14:paraId="51659C3A" w14:textId="3A026BE7" w:rsidR="00135A8D" w:rsidRPr="00D443EA" w:rsidRDefault="00135A8D" w:rsidP="00135A8D">
      <w:pPr>
        <w:pStyle w:val="SingleTxtG"/>
      </w:pPr>
      <w:r>
        <w:t>10.</w:t>
      </w:r>
      <w:r>
        <w:tab/>
        <w:t xml:space="preserve">Комитет обеспокоен тем, что термины </w:t>
      </w:r>
      <w:r w:rsidR="00955FD0">
        <w:t>«</w:t>
      </w:r>
      <w:r>
        <w:t>западный</w:t>
      </w:r>
      <w:r w:rsidR="00955FD0">
        <w:t>»</w:t>
      </w:r>
      <w:r>
        <w:t xml:space="preserve"> и </w:t>
      </w:r>
      <w:r w:rsidR="00955FD0">
        <w:t>«</w:t>
      </w:r>
      <w:r>
        <w:t>незападный</w:t>
      </w:r>
      <w:r w:rsidR="00955FD0">
        <w:t>»</w:t>
      </w:r>
      <w:r>
        <w:t xml:space="preserve">, используемые в законодательстве и политике государства-участника без каких-либо разумных оснований, могут привести к маргинализации и стигматизации тех, кого классифицируют как </w:t>
      </w:r>
      <w:r w:rsidR="00955FD0">
        <w:t>«</w:t>
      </w:r>
      <w:r>
        <w:t>незападный</w:t>
      </w:r>
      <w:r w:rsidR="00955FD0">
        <w:t>»</w:t>
      </w:r>
      <w:r>
        <w:t xml:space="preserve">, и что это может создать различие между теми, кто считается </w:t>
      </w:r>
      <w:r w:rsidR="00955FD0">
        <w:t>«</w:t>
      </w:r>
      <w:r>
        <w:t>настоящими датчанами</w:t>
      </w:r>
      <w:r w:rsidR="00955FD0">
        <w:t>»</w:t>
      </w:r>
      <w:r>
        <w:t xml:space="preserve"> и </w:t>
      </w:r>
      <w:r w:rsidR="00955FD0">
        <w:t>«</w:t>
      </w:r>
      <w:r>
        <w:t>иными</w:t>
      </w:r>
      <w:r w:rsidR="00955FD0">
        <w:t>»</w:t>
      </w:r>
      <w:r>
        <w:t xml:space="preserve"> (ст. 2).</w:t>
      </w:r>
    </w:p>
    <w:p w14:paraId="42272F1E" w14:textId="283E1A97" w:rsidR="00135A8D" w:rsidRPr="00A22150" w:rsidRDefault="00135A8D" w:rsidP="00135A8D">
      <w:pPr>
        <w:pStyle w:val="SingleTxtG"/>
      </w:pPr>
      <w:r>
        <w:t>11.</w:t>
      </w:r>
      <w:r>
        <w:tab/>
      </w:r>
      <w:r>
        <w:rPr>
          <w:b/>
          <w:bCs/>
        </w:rPr>
        <w:t xml:space="preserve">Комитет рекомендует государству-участнику отказаться от использования терминов </w:t>
      </w:r>
      <w:r w:rsidR="00955FD0">
        <w:rPr>
          <w:b/>
          <w:bCs/>
        </w:rPr>
        <w:t>«</w:t>
      </w:r>
      <w:r>
        <w:rPr>
          <w:b/>
          <w:bCs/>
        </w:rPr>
        <w:t>западный</w:t>
      </w:r>
      <w:r w:rsidR="00955FD0">
        <w:rPr>
          <w:b/>
          <w:bCs/>
        </w:rPr>
        <w:t>»</w:t>
      </w:r>
      <w:r>
        <w:rPr>
          <w:b/>
          <w:bCs/>
        </w:rPr>
        <w:t xml:space="preserve"> и </w:t>
      </w:r>
      <w:r w:rsidR="00955FD0">
        <w:rPr>
          <w:b/>
          <w:bCs/>
        </w:rPr>
        <w:t>«</w:t>
      </w:r>
      <w:r>
        <w:rPr>
          <w:b/>
          <w:bCs/>
        </w:rPr>
        <w:t>незападный</w:t>
      </w:r>
      <w:r w:rsidR="00955FD0">
        <w:rPr>
          <w:b/>
          <w:bCs/>
        </w:rPr>
        <w:t>»</w:t>
      </w:r>
      <w:r>
        <w:rPr>
          <w:b/>
          <w:bCs/>
        </w:rPr>
        <w:t xml:space="preserve"> в своей политике и законодательстве, а вместо них использовать термины, не несущие в себе риска проведения различия, которое может привести к стигматизации, маргинализации или косвенной дискриминации в отношении какой-либо группы людей.</w:t>
      </w:r>
    </w:p>
    <w:p w14:paraId="744767C3" w14:textId="48E5C70F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 xml:space="preserve">План </w:t>
      </w:r>
      <w:r w:rsidR="00955FD0">
        <w:rPr>
          <w:bCs/>
        </w:rPr>
        <w:t>«</w:t>
      </w:r>
      <w:r>
        <w:rPr>
          <w:bCs/>
        </w:rPr>
        <w:t>Параллельное общество</w:t>
      </w:r>
      <w:r w:rsidR="00955FD0">
        <w:rPr>
          <w:bCs/>
        </w:rPr>
        <w:t>»</w:t>
      </w:r>
    </w:p>
    <w:p w14:paraId="7264AA2F" w14:textId="68D88579" w:rsidR="00135A8D" w:rsidRPr="00D443EA" w:rsidRDefault="00135A8D" w:rsidP="00135A8D">
      <w:pPr>
        <w:pStyle w:val="SingleTxtG"/>
      </w:pPr>
      <w:r>
        <w:t>12.</w:t>
      </w:r>
      <w:r>
        <w:tab/>
        <w:t xml:space="preserve">Комитет обеспокоен тем, что пакет законов, ранее известный как </w:t>
      </w:r>
      <w:r w:rsidR="00955FD0">
        <w:t>«</w:t>
      </w:r>
      <w:r>
        <w:t>пакет гетто</w:t>
      </w:r>
      <w:r w:rsidR="00955FD0">
        <w:t>»</w:t>
      </w:r>
      <w:r>
        <w:t xml:space="preserve">, оказывает дискриминационное воздействие на этнические меньшинства. Комитет также обеспокоен тем, что в соответствии с этими законами, хотя районы, классифицируемые как </w:t>
      </w:r>
      <w:r w:rsidR="00955FD0">
        <w:t>«</w:t>
      </w:r>
      <w:r>
        <w:t>уязвимые</w:t>
      </w:r>
      <w:r w:rsidR="00955FD0">
        <w:t>»</w:t>
      </w:r>
      <w:r>
        <w:t>, уже отвечают по меньшей мере двум из четырех подробных социально-экономических критериев, дополнительный критерий наличия не менее 5</w:t>
      </w:r>
      <w:r w:rsidR="00955FD0">
        <w:t>0 %</w:t>
      </w:r>
      <w:r>
        <w:t xml:space="preserve"> жителей </w:t>
      </w:r>
      <w:r w:rsidR="00955FD0">
        <w:t>«</w:t>
      </w:r>
      <w:r>
        <w:t>незападного</w:t>
      </w:r>
      <w:r w:rsidR="00955FD0">
        <w:t>»</w:t>
      </w:r>
      <w:r>
        <w:t xml:space="preserve"> происхождения приводит к тому, что такие уязвимые районы классифицируются как </w:t>
      </w:r>
      <w:r w:rsidR="00955FD0">
        <w:t>«</w:t>
      </w:r>
      <w:r>
        <w:t>параллельные общества</w:t>
      </w:r>
      <w:r w:rsidR="00955FD0">
        <w:t>»</w:t>
      </w:r>
      <w:r>
        <w:t>, и к применению более ограничительных правил, добавляя тем самым дискриминационный этнический и расовый элемент в эти законы, что может привести к стигматизации в различных сферах жизни, таких как занятость, жилье и доступ к услугам (ст.</w:t>
      </w:r>
      <w:r w:rsidRPr="0098077F">
        <w:t xml:space="preserve"> </w:t>
      </w:r>
      <w:r>
        <w:t>3 и 5).</w:t>
      </w:r>
    </w:p>
    <w:p w14:paraId="1AE1C124" w14:textId="77777777" w:rsidR="00135A8D" w:rsidRPr="003542E0" w:rsidRDefault="00135A8D" w:rsidP="00135A8D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1BB437D" w14:textId="1D2E1F73" w:rsidR="00135A8D" w:rsidRPr="00A22150" w:rsidRDefault="00135A8D" w:rsidP="00135A8D">
      <w:pPr>
        <w:pStyle w:val="SingleTxtG"/>
        <w:rPr>
          <w:b/>
          <w:bCs/>
        </w:rPr>
      </w:pPr>
      <w:r w:rsidRPr="00955FD0">
        <w:rPr>
          <w:b/>
          <w:bCs/>
        </w:rPr>
        <w:tab/>
        <w:t>a)</w:t>
      </w:r>
      <w:r w:rsidRPr="00955FD0">
        <w:rPr>
          <w:b/>
          <w:bCs/>
        </w:rPr>
        <w:tab/>
      </w:r>
      <w:r>
        <w:rPr>
          <w:b/>
          <w:bCs/>
        </w:rPr>
        <w:t xml:space="preserve">воздерживаться от использования доли иммигрантов и их потомков из </w:t>
      </w:r>
      <w:r w:rsidR="00955FD0">
        <w:rPr>
          <w:b/>
          <w:bCs/>
        </w:rPr>
        <w:t>«</w:t>
      </w:r>
      <w:r>
        <w:rPr>
          <w:b/>
          <w:bCs/>
        </w:rPr>
        <w:t>незападных</w:t>
      </w:r>
      <w:r w:rsidR="00955FD0">
        <w:rPr>
          <w:b/>
          <w:bCs/>
        </w:rPr>
        <w:t>»</w:t>
      </w:r>
      <w:r>
        <w:rPr>
          <w:b/>
          <w:bCs/>
        </w:rPr>
        <w:t xml:space="preserve"> стран в той или иной области в качестве основы для применения более строгих законов и мер;</w:t>
      </w:r>
      <w:r>
        <w:t xml:space="preserve"> </w:t>
      </w:r>
    </w:p>
    <w:p w14:paraId="68190233" w14:textId="45788F47" w:rsidR="00135A8D" w:rsidRPr="00D443EA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b)</w:t>
      </w:r>
      <w:r>
        <w:tab/>
      </w:r>
      <w:r>
        <w:rPr>
          <w:b/>
          <w:bCs/>
        </w:rPr>
        <w:t xml:space="preserve">провести всеобъемлющий обзор воздействия законов и нормативных актов в рамках своих программ по борьбе с </w:t>
      </w:r>
      <w:r w:rsidR="00955FD0">
        <w:rPr>
          <w:b/>
          <w:bCs/>
        </w:rPr>
        <w:t>«</w:t>
      </w:r>
      <w:r>
        <w:rPr>
          <w:b/>
          <w:bCs/>
        </w:rPr>
        <w:t>параллельными обществами</w:t>
      </w:r>
      <w:r w:rsidR="00955FD0">
        <w:rPr>
          <w:b/>
          <w:bCs/>
        </w:rPr>
        <w:t>»</w:t>
      </w:r>
      <w:r>
        <w:rPr>
          <w:b/>
          <w:bCs/>
        </w:rPr>
        <w:t xml:space="preserve"> и изменить либо отменить любые положения, которые прямо или косвенно </w:t>
      </w:r>
      <w:r>
        <w:rPr>
          <w:b/>
          <w:bCs/>
        </w:rPr>
        <w:lastRenderedPageBreak/>
        <w:t>дискриминируют любые группы по пункту 1) статьи 1 Конвенции, в том числе в отношении их прав на жилье, занятость, образование или равенство перед законом.</w:t>
      </w:r>
    </w:p>
    <w:p w14:paraId="22765F08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Гренландия</w:t>
      </w:r>
    </w:p>
    <w:p w14:paraId="32287D17" w14:textId="77777777" w:rsidR="00135A8D" w:rsidRPr="00D443EA" w:rsidRDefault="00135A8D" w:rsidP="00135A8D">
      <w:pPr>
        <w:pStyle w:val="SingleTxtG"/>
      </w:pPr>
      <w:r>
        <w:t>14.</w:t>
      </w:r>
      <w:r>
        <w:tab/>
        <w:t>Хотя Комитет отмечает, что парламентом Гренландии в 2019 году была принята стратегия борьбы с травлей, Комитет обеспокоен отсутствием прогресса в Гренландии в принятии закона, запрещающего расовую дискриминацию на всеобъемлющей основе. Комитет также по-прежнему обеспокоен отсутствием компетентного органа по рассмотрению жалоб на дискриминацию по признаку расы, цвета кожи, родового, национального или этнического происхождения (ст. 2 и 5).</w:t>
      </w:r>
    </w:p>
    <w:p w14:paraId="5653A442" w14:textId="77777777" w:rsidR="00135A8D" w:rsidRPr="00D443EA" w:rsidRDefault="00135A8D" w:rsidP="00135A8D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Гренландии принять всеобъемлющее антидискриминационное законодательство, защищающее от дискриминации по всем признакам, перечисленным в пункте 1) статьи 1 Конвенции, и охватывающее все сферы жизни, а также создать механизм, с помощью которого она сможет отслеживать ненавистнические высказывания и воздействие своей кампании борьбы с агрессивным преследованием.</w:t>
      </w:r>
    </w:p>
    <w:p w14:paraId="61D16E10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Фарерские острова</w:t>
      </w:r>
    </w:p>
    <w:p w14:paraId="3A783FD8" w14:textId="3D1D74AE" w:rsidR="00135A8D" w:rsidRPr="00D443EA" w:rsidRDefault="00135A8D" w:rsidP="00135A8D">
      <w:pPr>
        <w:pStyle w:val="SingleTxtG"/>
      </w:pPr>
      <w:r>
        <w:t>16.</w:t>
      </w:r>
      <w:r>
        <w:tab/>
        <w:t xml:space="preserve">Хотя Комитет отмечает проведение национальной кампании против разжигания ненависти, Комитет обеспокоен тем, что правительство Фарерских островов прекратило усилия, направленные на принятие закона, запрещающего расовую дискриминацию и обеспечивающего равное обращение на рынке труда. Комитет </w:t>
      </w:r>
      <w:r w:rsidR="00955FD0">
        <w:br/>
      </w:r>
      <w:r>
        <w:t>по-прежнему обеспокоен отсутствием прогресса в создании национального правозащитного учреждения на Фарерских островах, несмотря на рекомендации, вынесенные в 2017 году целевой группой, назначенной министром иностранных дел и торговли (ст. 2 и 5).</w:t>
      </w:r>
    </w:p>
    <w:p w14:paraId="323607C1" w14:textId="77777777" w:rsidR="00135A8D" w:rsidRPr="00A22150" w:rsidRDefault="00135A8D" w:rsidP="00135A8D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властям Фарерских островов продолжить усилия, направленные на принятие закона о запрете дискриминации и ускорить процесс создания национального правозащитного учреждения, а также обеспечить, чтобы его мандат охватывал расовую дискриминацию и соответствовал принципам, касающимся статуса национальных учреждений, занимающихся поощрением и защитой прав человека (Парижские принципы).</w:t>
      </w:r>
    </w:p>
    <w:p w14:paraId="5DD43920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Преступления на почве ненависти и язык ненависти</w:t>
      </w:r>
    </w:p>
    <w:p w14:paraId="31A05B70" w14:textId="2E12018B" w:rsidR="00135A8D" w:rsidRPr="00D443EA" w:rsidRDefault="00135A8D" w:rsidP="00135A8D">
      <w:pPr>
        <w:pStyle w:val="SingleTxtG"/>
      </w:pPr>
      <w:r>
        <w:t>18.</w:t>
      </w:r>
      <w:r>
        <w:tab/>
        <w:t xml:space="preserve">Комитет обеспокоен масштабами занижения данных о преступлениях на почве расовой ненависти и случаях разжигания ненависти в государстве-участнике, а также отсутствием всеобъемлющего механизма сбора данных о таких инцидентах. Комитет обеспокоен также разрывом данных между числом зарегистрированных полицией преступлений на почве ненависти, числом возбужденных уголовных дел и числом приговоров, при вынесении которых суды прямо применяли пункт 6 статьи 81 Уголовного кодекса. Комитет обеспокоен далее отсутствием в Уголовном кодексе прямого запрета на деятельность организаций, поощряющих расовую дискриминацию, и на участие в таких организациях. Комитет обеспокоен продолжающими поступать сообщениями о политических дискуссиях в государстве-участнике, которые содействуют распространению предрассудков и ксенофобии </w:t>
      </w:r>
      <w:r w:rsidR="00955FD0">
        <w:br/>
      </w:r>
      <w:r>
        <w:t>(ст. 4).</w:t>
      </w:r>
    </w:p>
    <w:p w14:paraId="6FE0B738" w14:textId="77777777" w:rsidR="00135A8D" w:rsidRPr="003542E0" w:rsidRDefault="00135A8D" w:rsidP="00135A8D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AE1CFE3" w14:textId="2BD07204" w:rsidR="00135A8D" w:rsidRPr="00A22150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a)</w:t>
      </w:r>
      <w:r w:rsidRPr="00955FD0">
        <w:rPr>
          <w:b/>
          <w:bCs/>
        </w:rPr>
        <w:tab/>
      </w:r>
      <w:r>
        <w:rPr>
          <w:b/>
          <w:bCs/>
        </w:rPr>
        <w:t xml:space="preserve">принять меры по устранению барьеров, мешающих жертвам сообщать о преступлениях на почве расовой ненависти и о случаях разжигания ненависти, в том числе путем повышения осведомленности потенциальных жертв о том, что представляет собой преступление на почве ненависти и какие категории разжигания ненависти наказуемы по уголовному законодательству, и о доступных средствах правовой защиты, а также путем укрепления доверия к правовой системе и готовности компетентных органов расследовать </w:t>
      </w:r>
      <w:r>
        <w:rPr>
          <w:b/>
          <w:bCs/>
        </w:rPr>
        <w:lastRenderedPageBreak/>
        <w:t>преступления на почве ненависти и ненавистнические высказывания, преследовать и действенным образом наказывать за их совершение;</w:t>
      </w:r>
    </w:p>
    <w:p w14:paraId="63F10AB5" w14:textId="77777777" w:rsidR="00135A8D" w:rsidRPr="00A22150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b)</w:t>
      </w:r>
      <w:r>
        <w:tab/>
      </w:r>
      <w:r>
        <w:rPr>
          <w:b/>
          <w:bCs/>
        </w:rPr>
        <w:t>принять меры по обеспечению действенного расследования и преследования за совершение всех преступлений на расовой почве, включая преступления со смешанными мотивами, в том числе путем принятия конкретных безотлагательных мер и изучения возможных пробелов в расследовании, преследовании и применении законодательства в отношении преступлений на почве ненависти;</w:t>
      </w:r>
    </w:p>
    <w:p w14:paraId="3134BA64" w14:textId="77777777" w:rsidR="00135A8D" w:rsidRPr="00A22150" w:rsidRDefault="00135A8D" w:rsidP="00135A8D">
      <w:pPr>
        <w:pStyle w:val="SingleTxtG"/>
        <w:rPr>
          <w:b/>
          <w:bCs/>
        </w:rPr>
      </w:pPr>
      <w:r w:rsidRPr="00955FD0">
        <w:rPr>
          <w:b/>
          <w:bCs/>
        </w:rPr>
        <w:tab/>
        <w:t>c)</w:t>
      </w:r>
      <w:r w:rsidRPr="00955FD0">
        <w:rPr>
          <w:b/>
          <w:bCs/>
        </w:rPr>
        <w:tab/>
      </w:r>
      <w:r>
        <w:rPr>
          <w:b/>
          <w:bCs/>
        </w:rPr>
        <w:t>создать комплексную систему сбора данных, в которой преступления на почве расовой ненависти и инциденты, связанные с ненавистническими высказываниями, регистрируются отдельно с полной разбивкой данных, в том числе по категории преступления, виду мотива ненависти, целевой группе, последующим судебным действиям и результатам, с учетом общей рекомендации Комитета № 35 (2013) о борьбе с разжиганием ненависти;</w:t>
      </w:r>
    </w:p>
    <w:p w14:paraId="4EDF52BD" w14:textId="77777777" w:rsidR="00135A8D" w:rsidRPr="00A22150" w:rsidRDefault="00135A8D" w:rsidP="00135A8D">
      <w:pPr>
        <w:pStyle w:val="SingleTxtG"/>
        <w:rPr>
          <w:b/>
          <w:bCs/>
        </w:rPr>
      </w:pPr>
      <w:r w:rsidRPr="00955FD0">
        <w:rPr>
          <w:b/>
          <w:bCs/>
        </w:rPr>
        <w:tab/>
        <w:t>d)</w:t>
      </w:r>
      <w:r w:rsidRPr="00955FD0">
        <w:rPr>
          <w:b/>
          <w:bCs/>
        </w:rPr>
        <w:tab/>
      </w:r>
      <w:r>
        <w:rPr>
          <w:b/>
          <w:bCs/>
        </w:rPr>
        <w:t>продолжать диалог Национальной полиции Дании с общинами, наиболее пострадавшими от преступлений на почве ненависти и разжигания ненависти, и предпринимать конкретные и регулярные последующие действия по укреплению доверия;</w:t>
      </w:r>
    </w:p>
    <w:p w14:paraId="6875F047" w14:textId="77777777" w:rsidR="00135A8D" w:rsidRPr="00D443EA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e)</w:t>
      </w:r>
      <w:r>
        <w:tab/>
      </w:r>
      <w:r>
        <w:rPr>
          <w:b/>
          <w:bCs/>
        </w:rPr>
        <w:t>в полной мере выполнять положения статьи 4 Конвенции, в том числе путем прямого запрета организаций и пропагандистской деятельности, поощряющих и подстрекающих к насилию и расовой дискриминации, а также путем активизации усилий по предоставлению четких фактических данных и контрпропаганде в ответ на пропаганду и фальшивые новости по вопросам, касающимся государственной политики.</w:t>
      </w:r>
    </w:p>
    <w:p w14:paraId="0F8FC8E9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Расовое профилирование</w:t>
      </w:r>
    </w:p>
    <w:p w14:paraId="1A1B4274" w14:textId="10193F68" w:rsidR="00135A8D" w:rsidRPr="00D443EA" w:rsidRDefault="00135A8D" w:rsidP="00135A8D">
      <w:pPr>
        <w:pStyle w:val="SingleTxtG"/>
      </w:pPr>
      <w:r>
        <w:t>20.</w:t>
      </w:r>
      <w:r>
        <w:tab/>
        <w:t>Комитет отмечает, что вероятность того, что арест не приведет к осуждению и что обвинения в совершении преступления впоследствии будут сняты, выше для выходцев из этнических меньшинств по сравнению с лицами датского этнического происхождения, что</w:t>
      </w:r>
      <w:r w:rsidR="0058044B">
        <w:t>,</w:t>
      </w:r>
      <w:r>
        <w:t xml:space="preserve"> возможно</w:t>
      </w:r>
      <w:r w:rsidR="0058044B">
        <w:t>,</w:t>
      </w:r>
      <w:r>
        <w:t xml:space="preserve"> происходит в результате того, что полиция с большей готовностью подозревает выходцев из этнических меньшинств в совершении преступления. Комитет обеспокоен отсутствием прямого запрета на расовое профилирование и должностных инструкций для сотрудников полиции и других правоохранительных органов по предотвращению расового профилирования и борьбе с ним и других политических мер по борьбе с расовым профилированием, а также низкой долей сотрудников полиции недатского этнического происхождения, которая составляет всего 2,3</w:t>
      </w:r>
      <w:r w:rsidR="0058044B">
        <w:t> %</w:t>
      </w:r>
      <w:r>
        <w:t xml:space="preserve"> (ст. 4).</w:t>
      </w:r>
    </w:p>
    <w:p w14:paraId="22D10B46" w14:textId="77777777" w:rsidR="00135A8D" w:rsidRPr="003542E0" w:rsidRDefault="00135A8D" w:rsidP="00135A8D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48AA3992" w14:textId="77777777" w:rsidR="00135A8D" w:rsidRPr="00A22150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a)</w:t>
      </w:r>
      <w:r>
        <w:tab/>
      </w:r>
      <w:r>
        <w:rPr>
          <w:b/>
          <w:bCs/>
        </w:rPr>
        <w:t>обеспечить, чтобы расовое профилирование было прямо определено и запрещено в законодательстве и чтобы у сотрудников полиции и других правоохранительных органов имелись четкие должностные инструкции по предотвращению расового профилирования во время остановок, установления личности и других полицейских мер;</w:t>
      </w:r>
    </w:p>
    <w:p w14:paraId="456F7845" w14:textId="77777777" w:rsidR="00135A8D" w:rsidRPr="00A22150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b)</w:t>
      </w:r>
      <w:r w:rsidRPr="00955FD0">
        <w:rPr>
          <w:b/>
          <w:bCs/>
        </w:rPr>
        <w:tab/>
      </w:r>
      <w:r>
        <w:rPr>
          <w:b/>
          <w:bCs/>
        </w:rPr>
        <w:t>создать механизм систематической регистрации этнического происхождения арестованных лиц для получения статистических данных в отношении этнического профилирования, не допуская при этом нарушения правил защиты данных;</w:t>
      </w:r>
    </w:p>
    <w:p w14:paraId="6065CDED" w14:textId="77777777" w:rsidR="00135A8D" w:rsidRPr="00A22150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c)</w:t>
      </w:r>
      <w:r>
        <w:tab/>
      </w:r>
      <w:r>
        <w:rPr>
          <w:b/>
          <w:bCs/>
        </w:rPr>
        <w:t>отслеживать число жалоб на этническое профилирование в адрес полиции и других правоохранительных органов и в дальнейшем принимать действенные меры по этим жалобам;</w:t>
      </w:r>
    </w:p>
    <w:p w14:paraId="3C99D54A" w14:textId="77777777" w:rsidR="00135A8D" w:rsidRPr="00D443EA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d)</w:t>
      </w:r>
      <w:r w:rsidRPr="00955FD0">
        <w:rPr>
          <w:b/>
          <w:bCs/>
        </w:rPr>
        <w:tab/>
      </w:r>
      <w:r>
        <w:rPr>
          <w:b/>
          <w:bCs/>
        </w:rPr>
        <w:t xml:space="preserve">активизировать усилия по привлечению лиц недатского этнического происхождения на должности непосредственных исполнителей в ряды сотрудников полиции, с тем чтобы сделать их роль более заметной и </w:t>
      </w:r>
      <w:r>
        <w:rPr>
          <w:b/>
          <w:bCs/>
        </w:rPr>
        <w:lastRenderedPageBreak/>
        <w:t>способствовать снижению потенциальной неосознанной практики расового профилирования.</w:t>
      </w:r>
    </w:p>
    <w:p w14:paraId="749849B4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Дискриминация на рынке труда</w:t>
      </w:r>
    </w:p>
    <w:p w14:paraId="115065B8" w14:textId="77777777" w:rsidR="00135A8D" w:rsidRPr="00D443EA" w:rsidRDefault="00135A8D" w:rsidP="00135A8D">
      <w:pPr>
        <w:pStyle w:val="SingleTxtG"/>
      </w:pPr>
      <w:r>
        <w:t>22.</w:t>
      </w:r>
      <w:r>
        <w:tab/>
        <w:t>Отмечая инициативы государства-участника по интеграции лиц из числа иммигрантов и меньшинств на рынке труда, Комитет сожалеет об отсутствии информации о мерах по улучшению интеграции на рынке труда других меньшинств, включая рома. Комитет также сожалеет об отсутствии официальной статистики по судебным делам о дискриминации в сфере занятости, которая могла бы предоставить данные о возможной дискриминации на рынке труда (ст. 5).</w:t>
      </w:r>
    </w:p>
    <w:p w14:paraId="545B09E7" w14:textId="77777777" w:rsidR="00135A8D" w:rsidRPr="00A22150" w:rsidRDefault="00135A8D" w:rsidP="00135A8D">
      <w:pPr>
        <w:pStyle w:val="SingleTxtG"/>
      </w:pPr>
      <w:r>
        <w:t>23.</w:t>
      </w:r>
      <w:r>
        <w:tab/>
      </w:r>
      <w:r>
        <w:rPr>
          <w:b/>
          <w:bCs/>
        </w:rPr>
        <w:t>Комитет повторяет рекомендацию из своих предыдущих заключительных замечаний</w:t>
      </w:r>
      <w:r w:rsidRPr="00D346E9">
        <w:rPr>
          <w:rStyle w:val="aa"/>
        </w:rPr>
        <w:footnoteReference w:id="7"/>
      </w:r>
      <w:r>
        <w:rPr>
          <w:b/>
          <w:bCs/>
        </w:rPr>
        <w:t xml:space="preserve"> о том, чтобы государство-участник расширяло и укрепляло свои инициативы по улучшению интеграции неграждан и лиц, принадлежащих к меньшинствам, включая рома, на рынке труда и решало проблему структурной дискриминации, с которой они могут сталкиваться в этой области.</w:t>
      </w:r>
      <w:r>
        <w:t xml:space="preserve"> </w:t>
      </w:r>
      <w:r>
        <w:rPr>
          <w:b/>
          <w:bCs/>
        </w:rPr>
        <w:t>Комитет также рекомендует государству-участнику собрать данные о судебных делах о дискриминации на рынке труда, чтобы получить ясное представление об этой ситуации.</w:t>
      </w:r>
    </w:p>
    <w:p w14:paraId="4397B663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Устный перевод в сфере здравоохранения</w:t>
      </w:r>
    </w:p>
    <w:p w14:paraId="2E3CDB24" w14:textId="03D1EC2B" w:rsidR="00135A8D" w:rsidRPr="00D443EA" w:rsidRDefault="00135A8D" w:rsidP="00135A8D">
      <w:pPr>
        <w:pStyle w:val="SingleTxtG"/>
      </w:pPr>
      <w:r>
        <w:t>24.</w:t>
      </w:r>
      <w:r>
        <w:tab/>
        <w:t xml:space="preserve">Комитет отмечает, что государство-участник внедрило систему сертификации устных переводчиков для обеспечения и повышения качества услуг устного перевода в системе здравоохранения, в рамках которой компании могут подавать заявки на получение разрешений в качестве сертифицирующих учреждений. Однако он обеспокоен сообщениями о том, что доступ к качественному устному переводу на языки, на которых говорят беженцы и мигранты, в системе здравоохранения </w:t>
      </w:r>
      <w:r w:rsidR="00955FD0">
        <w:br/>
      </w:r>
      <w:r>
        <w:t>по-прежнему ограничен, что ставит под угрозу право на здоровье затрагиваемых лиц (ст. 5).</w:t>
      </w:r>
    </w:p>
    <w:p w14:paraId="6FAFD27C" w14:textId="33A23D0B" w:rsidR="00135A8D" w:rsidRPr="00A22150" w:rsidRDefault="00135A8D" w:rsidP="00135A8D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 принять меры по обеспечению того, чтобы новая схема сертификации устных переводчиков была внедрена таким образом, чтобы эффективно повышать и обеспечивать качество услуг устного перевода в системе здравоохранения для нуждающихся лиц.</w:t>
      </w:r>
      <w:r>
        <w:t xml:space="preserve"> </w:t>
      </w:r>
      <w:r w:rsidR="0058044B">
        <w:br/>
      </w:r>
      <w:r>
        <w:rPr>
          <w:b/>
          <w:bCs/>
        </w:rPr>
        <w:t>Он, в частности, рекомендует государству-участнику обеспечить доступ к квалифицированным и должным образом подготовленным устным переводчикам на языки, наиболее часто используемые беженцами и мигрантами, и обеспечить оценку эффективности этой системы.</w:t>
      </w:r>
    </w:p>
    <w:p w14:paraId="472ADA27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Положение дел в связи с пандемией COVID-19</w:t>
      </w:r>
    </w:p>
    <w:p w14:paraId="51FFF4CA" w14:textId="77777777" w:rsidR="00135A8D" w:rsidRPr="00D443EA" w:rsidRDefault="00135A8D" w:rsidP="00135A8D">
      <w:pPr>
        <w:pStyle w:val="SingleTxtG"/>
      </w:pPr>
      <w:r>
        <w:t>26.</w:t>
      </w:r>
      <w:r>
        <w:tab/>
        <w:t>Комитет обеспокоен тем, что лица из общин этнических меньшинств в государстве-участнике оказались гораздо более уязвимыми для пандемии коронавирусной инфекции (COVID-19) и впоследствии непропорционально пострадали от нее как в плане инфицирования, так и в плане тяжести воздействия на их состояние здоровья. Он также обеспокоен тем, что, несмотря на усилия государства-участника, показатели охвата вакцинацией и тестирования в этих общинах оказались ниже (ст. 5).</w:t>
      </w:r>
    </w:p>
    <w:p w14:paraId="635ED56D" w14:textId="77777777" w:rsidR="00135A8D" w:rsidRPr="00D443EA" w:rsidRDefault="00135A8D" w:rsidP="00135A8D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 и далее наращивать целенаправленные усилия по защите этнических меньшинств от пандемии COVID-19 и ее последствий, в частности путем повышения показателей охвата вакцинацией и тестирования среди лиц из общин этнических меньшинств, а также принятия мер по укреплению доверия в этих общинах к мерам здравоохранения, принимаемым в целях борьбы с пандемией, в том числе путем привлечения разнообразного и широкого спектра представителей этих общин к разработке таких мер по укреплению доверия.</w:t>
      </w:r>
    </w:p>
    <w:p w14:paraId="482EB3F4" w14:textId="77777777" w:rsidR="00135A8D" w:rsidRPr="003542E0" w:rsidRDefault="00135A8D" w:rsidP="00135A8D">
      <w:pPr>
        <w:pStyle w:val="H23G"/>
      </w:pPr>
      <w:r>
        <w:lastRenderedPageBreak/>
        <w:tab/>
      </w:r>
      <w:r>
        <w:tab/>
      </w:r>
      <w:r>
        <w:rPr>
          <w:bCs/>
        </w:rPr>
        <w:t>Положение рома</w:t>
      </w:r>
    </w:p>
    <w:p w14:paraId="42BA6D0F" w14:textId="76FDFEB5" w:rsidR="00135A8D" w:rsidRPr="00A22150" w:rsidRDefault="00135A8D" w:rsidP="00135A8D">
      <w:pPr>
        <w:pStyle w:val="SingleTxtG"/>
      </w:pPr>
      <w:r>
        <w:t>28.</w:t>
      </w:r>
      <w:r>
        <w:tab/>
        <w:t>Отмечая мнение государства-участника о том, что рома пользуются его системой социального обеспечения наравне с другими лицами, проживающими в государстве-участнике, Комитет обеспокоен тем, что отсутствие статистических данных в разбивке по этнической принадлежности не позволяет Комитету оценить степень осуществления рома своих экономических, социальных и культурных прав, в том числе через систему социального обеспечения государства-участника. Признавая, что положение, согласно которому предусмотрена уголовная ответственность за разбивку лагерей и расположение в них, квалифицируемые как нарушение общественного порядка, сформулировано без учета гражданства или этнической принадлежности, Комитет отмечает сообщения о том, что 453 из 459 лиц, привлекавшихся к отве</w:t>
      </w:r>
      <w:r w:rsidR="00EE6C71">
        <w:t>т</w:t>
      </w:r>
      <w:r>
        <w:t>ственности согласно этому положению к 1 июля 2019 года, были негражданами Дании (ст. 2 и 5).</w:t>
      </w:r>
    </w:p>
    <w:p w14:paraId="04F6B4FD" w14:textId="77777777" w:rsidR="00135A8D" w:rsidRPr="00A22150" w:rsidRDefault="00135A8D" w:rsidP="00135A8D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 принять меры по оценке осуществления рома своих экономических, социальных и культурных прав наравне с остальным населением государства-участника.</w:t>
      </w:r>
      <w:r>
        <w:t xml:space="preserve"> </w:t>
      </w:r>
      <w:r>
        <w:rPr>
          <w:b/>
          <w:bCs/>
        </w:rPr>
        <w:t>Комитет рекомендует также государству-участнику разработать специально для рома любую возможную стратегию на основе такой оценки в тесном сотрудничестве с членами общины рома.</w:t>
      </w:r>
      <w:r>
        <w:t xml:space="preserve"> </w:t>
      </w:r>
      <w:r>
        <w:rPr>
          <w:b/>
          <w:bCs/>
        </w:rPr>
        <w:t>Комитет рекомендует далее государству-участнику принять меры по обеспечению того, чтобы его положение, согласно которому предусмотрена уголовная ответственность за разбивку лагерей и расположение в них, не применялось и исполнение этого положения не осуществлялось на дискриминационной основе.</w:t>
      </w:r>
    </w:p>
    <w:p w14:paraId="078A0DE7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Дискриминация в отношении лиц африканского происхождения</w:t>
      </w:r>
    </w:p>
    <w:p w14:paraId="56440F0A" w14:textId="2A5C142F" w:rsidR="00135A8D" w:rsidRPr="00A22150" w:rsidRDefault="00135A8D" w:rsidP="00135A8D">
      <w:pPr>
        <w:pStyle w:val="SingleTxtG"/>
      </w:pPr>
      <w:r>
        <w:t>30.</w:t>
      </w:r>
      <w:r>
        <w:tab/>
        <w:t>Комитет приветствует текущие и планируемые в государстве-участнике мероприятия по повышению осведомленности о работорговле и колониальной истории Дании, включая подготовку доклада о возможных шагах по укреплению распространения знаний о колониальной истории Дании, который должен быть представлен в 2022 году. Однако Комитет обеспокоен опросом, проведенным в 2019</w:t>
      </w:r>
      <w:r w:rsidR="004359DF">
        <w:t> </w:t>
      </w:r>
      <w:r>
        <w:t>году Агентством Европейского союза по основным правам, который показал, что большинство лиц африканского происхождения, принявших участие в опросе, чувствовали себя дискриминируемыми в государстве-участнике в течение пяти лет, предшествовавших опросу. Комитет также обеспокоен недостаточностью представленной государством-участником информации об уровнях дискриминации и социального отчуждения лиц африканского происхождения (ст. 2 и 5).</w:t>
      </w:r>
    </w:p>
    <w:p w14:paraId="0C01CE59" w14:textId="77777777" w:rsidR="00135A8D" w:rsidRPr="00A22150" w:rsidRDefault="00135A8D" w:rsidP="00135A8D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 обеспечить проведение независимого исследования положения и дискриминации лиц африканского происхождения в государстве-участнике в процессе диалога и сотрудничества с затрагиваемой общиной, а также разработать стратегию и действия по борьбе с дискриминацией в отношении лиц африканского происхождения.</w:t>
      </w:r>
      <w:r>
        <w:t xml:space="preserve"> </w:t>
      </w:r>
      <w:r>
        <w:rPr>
          <w:b/>
          <w:bCs/>
        </w:rPr>
        <w:t>Комитет рекомендует также государству-участнику активизировать усилия по распространению знаний о колониальной истории Дании.</w:t>
      </w:r>
      <w:r>
        <w:t xml:space="preserve"> </w:t>
      </w:r>
      <w:r>
        <w:rPr>
          <w:b/>
          <w:bCs/>
        </w:rPr>
        <w:t>Комитет рекомендует далее государству-участнику представить обновленную информацию об укреплении распространения знаний о колониальной истории Дании и о конкретно принятых мерах.</w:t>
      </w:r>
    </w:p>
    <w:p w14:paraId="3C55EC65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Беженцы и просители убежища</w:t>
      </w:r>
    </w:p>
    <w:p w14:paraId="00239709" w14:textId="34A808AF" w:rsidR="00135A8D" w:rsidRPr="00D443EA" w:rsidRDefault="00135A8D" w:rsidP="00135A8D">
      <w:pPr>
        <w:pStyle w:val="SingleTxtG"/>
      </w:pPr>
      <w:r>
        <w:t>32.</w:t>
      </w:r>
      <w:r>
        <w:tab/>
        <w:t xml:space="preserve">Комитет обеспокоен тем, что действующий в государстве-участнике закон, позволяющий полиции конфисковывать ценные вещи у просителей убежища, может негативно сказываться на их отношениях с датским государством и на их долгосрочных перспективах интеграции в этой стране. Комитет обеспокоен также тем, что государство-участник может отозвать вид на жительство или отказать в его продлении лицам из Дамаска и Риф-Димашка, которые больше не пользуются статусом временной защиты, несмотря на сообщения о рисках, которым они могут подвергнуться при возвращении в эти районы, что может быть приравнено к нарушению принципа невыдворения. Комитет обеспокоен далее недавней поправкой </w:t>
      </w:r>
      <w:r>
        <w:lastRenderedPageBreak/>
        <w:t>к датскому Закону об иностранцах (L</w:t>
      </w:r>
      <w:r w:rsidR="00CE5607">
        <w:t> </w:t>
      </w:r>
      <w:r>
        <w:t>226), которая представляет собой правовое основание для передачи рассмотрения ходатайств о предоставлении убежища и последующей защиты третьей стране за пределами Европейского союза, и ее потенциально пагубным воздействием на действенную защиту беженцев (ст.</w:t>
      </w:r>
      <w:r w:rsidRPr="007B273C">
        <w:t xml:space="preserve"> </w:t>
      </w:r>
      <w:r>
        <w:t>2 и 5).</w:t>
      </w:r>
    </w:p>
    <w:p w14:paraId="7065F4B5" w14:textId="77777777" w:rsidR="00135A8D" w:rsidRPr="003542E0" w:rsidRDefault="00135A8D" w:rsidP="00135A8D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269A5B1" w14:textId="77777777" w:rsidR="00135A8D" w:rsidRPr="00A22150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a)</w:t>
      </w:r>
      <w:r w:rsidRPr="00955FD0">
        <w:rPr>
          <w:b/>
          <w:bCs/>
        </w:rPr>
        <w:tab/>
      </w:r>
      <w:r>
        <w:rPr>
          <w:b/>
          <w:bCs/>
        </w:rPr>
        <w:t>пересмотреть закон, позволяющий полиции конфисковывать ценные вещи у просителей убежища, что может приводить к чрезмерному вмешательству в право личности на собственность;</w:t>
      </w:r>
    </w:p>
    <w:p w14:paraId="7A062262" w14:textId="77777777" w:rsidR="00135A8D" w:rsidRPr="00A22150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b)</w:t>
      </w:r>
      <w:r>
        <w:tab/>
      </w:r>
      <w:r>
        <w:rPr>
          <w:b/>
          <w:bCs/>
        </w:rPr>
        <w:t>пересмотреть свое определение Дамаска и Риф-Димашка как безопасных зон для возвращения лиц, в отношении которых был отменен статус временной защиты или которым было отказано в просьбе о продлении статуса временной защиты;</w:t>
      </w:r>
    </w:p>
    <w:p w14:paraId="5861F473" w14:textId="444AF8B9" w:rsidR="00135A8D" w:rsidRPr="00D443EA" w:rsidRDefault="00135A8D" w:rsidP="00135A8D">
      <w:pPr>
        <w:pStyle w:val="SingleTxtG"/>
        <w:rPr>
          <w:b/>
          <w:bCs/>
        </w:rPr>
      </w:pPr>
      <w:r>
        <w:tab/>
      </w:r>
      <w:r w:rsidRPr="00955FD0">
        <w:rPr>
          <w:b/>
          <w:bCs/>
        </w:rPr>
        <w:t>c)</w:t>
      </w:r>
      <w:r>
        <w:tab/>
      </w:r>
      <w:r>
        <w:rPr>
          <w:b/>
          <w:bCs/>
        </w:rPr>
        <w:t>помнить о своем обязательстве по соответствующим положениям международного права в отношении защиты лиц, ищущих убежища;</w:t>
      </w:r>
      <w:r>
        <w:t xml:space="preserve"> </w:t>
      </w:r>
      <w:r>
        <w:rPr>
          <w:b/>
          <w:bCs/>
        </w:rPr>
        <w:t>а также Комитет просит государство-участник включить в свой следующий периодический доклад Комитету конкретную информацию о поправке к датскому Закону об иностранцах (L</w:t>
      </w:r>
      <w:r w:rsidR="00770CA7">
        <w:rPr>
          <w:b/>
          <w:bCs/>
        </w:rPr>
        <w:t> </w:t>
      </w:r>
      <w:r>
        <w:rPr>
          <w:b/>
          <w:bCs/>
        </w:rPr>
        <w:t>226), касающейся передачи рассмотрения ходатайств о предоставлении убежища и последующей защиты третьей стране за пределами Европейского союза.</w:t>
      </w:r>
    </w:p>
    <w:p w14:paraId="40EBBA84" w14:textId="77777777" w:rsidR="00135A8D" w:rsidRPr="003542E0" w:rsidRDefault="00135A8D" w:rsidP="00135A8D">
      <w:pPr>
        <w:pStyle w:val="H23G"/>
      </w:pPr>
      <w:r>
        <w:tab/>
      </w:r>
      <w:r>
        <w:tab/>
      </w:r>
      <w:r>
        <w:rPr>
          <w:bCs/>
        </w:rPr>
        <w:t>Гражданство</w:t>
      </w:r>
      <w:r>
        <w:t xml:space="preserve"> </w:t>
      </w:r>
    </w:p>
    <w:p w14:paraId="2E5F3285" w14:textId="3A79847D" w:rsidR="00135A8D" w:rsidRPr="003542E0" w:rsidRDefault="00135A8D" w:rsidP="00135A8D">
      <w:pPr>
        <w:pStyle w:val="SingleTxtG"/>
      </w:pPr>
      <w:r>
        <w:t>34.</w:t>
      </w:r>
      <w:r>
        <w:tab/>
        <w:t>Комитет обеспокоен тем, что все более ограничительные положения для получения датского гражданства приводят к снижению числа родившихся и выросших в государстве-участнике молодых людей, которые получают датское гражданство. Комитет обеспокоен тем, что такое положение может создать препятствия для их полноценной принадлежности к датскому обществу и идентификации с ним. Комитет обеспокоен также тем, что люди лишены возможности получить гражданство, если у них имеется неоплаченный долг по наложенным на них штрафам, превышающий 400</w:t>
      </w:r>
      <w:r>
        <w:rPr>
          <w:lang w:val="en-US"/>
        </w:rPr>
        <w:t> </w:t>
      </w:r>
      <w:r>
        <w:t xml:space="preserve">евро, что представляется чрезмерным, непропорциональным ограничением и может поставить в невыгодное положение лиц, получающих образование. Комитет обеспокоен далее поправками к законодательству государства-участника о гражданстве, согласно которым ребенок, родившийся у датского родителя, который незаконно въехал или находится в </w:t>
      </w:r>
      <w:r w:rsidR="00770CA7">
        <w:t>«</w:t>
      </w:r>
      <w:r>
        <w:t>зоне конфликта</w:t>
      </w:r>
      <w:r w:rsidR="00770CA7">
        <w:t>»</w:t>
      </w:r>
      <w:r>
        <w:t>, может быть лишен возможности получить датское гражданство по рождению (ст. 5).</w:t>
      </w:r>
    </w:p>
    <w:p w14:paraId="1521E69F" w14:textId="2AB5C181" w:rsidR="00135A8D" w:rsidRPr="00A22150" w:rsidRDefault="00135A8D" w:rsidP="00135A8D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 оценить соразмерность правил о гражданстве, которые не позволяют лицам, родившимся и выросшим в государстве-участнике, получить гражданство, и оценить их воздействие, в частности на молодежь.</w:t>
      </w:r>
      <w:r>
        <w:t xml:space="preserve"> </w:t>
      </w:r>
      <w:r>
        <w:rPr>
          <w:b/>
          <w:bCs/>
        </w:rPr>
        <w:t>Он рекомендует также государству-участнику обеспечить, чтобы штрафы, взимаемые в результате долгов, связанных с получением образования, не создавали чрезмерных препятствий для получения гражданства.</w:t>
      </w:r>
      <w:r>
        <w:t xml:space="preserve"> </w:t>
      </w:r>
      <w:r>
        <w:rPr>
          <w:b/>
          <w:bCs/>
        </w:rPr>
        <w:t xml:space="preserve">Комитет рекомендует далее государству-участнику пересмотреть любые законы, которые могут привести к фактическому исключению из гражданства по рождению детей, чьи родители незаконно въехали или находятся в </w:t>
      </w:r>
      <w:r w:rsidR="00770CA7">
        <w:rPr>
          <w:b/>
          <w:bCs/>
        </w:rPr>
        <w:t>«</w:t>
      </w:r>
      <w:r>
        <w:rPr>
          <w:b/>
          <w:bCs/>
        </w:rPr>
        <w:t>зоне конфликта</w:t>
      </w:r>
      <w:r w:rsidR="00770CA7">
        <w:rPr>
          <w:b/>
          <w:bCs/>
        </w:rPr>
        <w:t>»</w:t>
      </w:r>
      <w:r>
        <w:rPr>
          <w:b/>
          <w:bCs/>
        </w:rPr>
        <w:t>, поскольку это может привести к созданию дополнительных барьеров для интеграции этих детей в датское общество.</w:t>
      </w:r>
    </w:p>
    <w:p w14:paraId="50990E1E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Средства правовой защиты</w:t>
      </w:r>
    </w:p>
    <w:p w14:paraId="1ABF831F" w14:textId="77777777" w:rsidR="00135A8D" w:rsidRPr="00D443EA" w:rsidRDefault="00135A8D" w:rsidP="00135A8D">
      <w:pPr>
        <w:pStyle w:val="SingleTxtG"/>
      </w:pPr>
      <w:r>
        <w:t>36.</w:t>
      </w:r>
      <w:r>
        <w:tab/>
        <w:t>Отмечая, что в 2019 и 2020 годах Совет по вопросам равного обращения расследовал в общей сложности 116 дел, из которых лишь 18 были удовлетворены, Комитет обеспокоен тем, что жертвы расовой дискриминации не обладают достаточными знаниями или желанием обращаться в Совет. Отмечая также, что государство-участник изучает пути улучшения доступа к квалифицированным и надлежащим образом подготовленным устным переводчикам на языки, наиболее часто используемые беженцами и мигрантами в датской системе правосудия, Комитет обеспокоен тем, что доступ к такому качественному устному переводу в настоящее время не обеспечен (ст. 6).</w:t>
      </w:r>
    </w:p>
    <w:p w14:paraId="4015F728" w14:textId="77777777" w:rsidR="00135A8D" w:rsidRPr="00D443EA" w:rsidRDefault="00135A8D" w:rsidP="00135A8D">
      <w:pPr>
        <w:pStyle w:val="SingleTxtG"/>
        <w:rPr>
          <w:b/>
          <w:bCs/>
        </w:rPr>
      </w:pPr>
      <w:r>
        <w:lastRenderedPageBreak/>
        <w:t>37.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 повышению осведомленности о возможности подачи жалоб в Совет по вопросам равного обращения, в том числе путем проведения разъяснительной работы среди потенциальных жертв расовой дискриминации.</w:t>
      </w:r>
      <w:r>
        <w:t xml:space="preserve"> </w:t>
      </w:r>
      <w:r>
        <w:rPr>
          <w:b/>
          <w:bCs/>
        </w:rPr>
        <w:t>Комитет рекомендует также государству-участнику ускорить обеспечение доступа к квалифицированным и надлежащим образом подготовленным устным переводчикам на языки, наиболее часто используемые беженцами и мигрантами в его системе правосудия.</w:t>
      </w:r>
    </w:p>
    <w:p w14:paraId="25B78A88" w14:textId="77777777" w:rsidR="00135A8D" w:rsidRPr="00D443EA" w:rsidRDefault="00135A8D" w:rsidP="00135A8D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Другие рекомендации</w:t>
      </w:r>
    </w:p>
    <w:p w14:paraId="0D4A4473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</w:p>
    <w:p w14:paraId="7530965D" w14:textId="77777777" w:rsidR="00135A8D" w:rsidRPr="00A22150" w:rsidRDefault="00135A8D" w:rsidP="00135A8D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еще не ратифицированных им международных договоров по правам человека, в частности тех договоров, положения которых непосредственно касаются общин, которые могут подвергаться расовой дискриминации, в том числе Международной конвенции о защите прав всех трудящихся-мигрантов и членов их семей.</w:t>
      </w:r>
    </w:p>
    <w:p w14:paraId="64055C87" w14:textId="77777777" w:rsidR="00135A8D" w:rsidRPr="00D443EA" w:rsidRDefault="00135A8D" w:rsidP="00135A8D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Последующие меры по выполнению Дурбанской декларации и Программы действий</w:t>
      </w:r>
    </w:p>
    <w:p w14:paraId="3CBB92DE" w14:textId="7331A572" w:rsidR="00135A8D" w:rsidRPr="00D443EA" w:rsidRDefault="00135A8D" w:rsidP="00135A8D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осуществлении Конвенции в рамках своего национального правового режима предпринять шаги по выполнению Дурбанской декларации и Программы действий, принятых в сентябре 2001 года на Всемирной конференции по борьбе против расизма, расовой дискриминации, ксенофобии и связанной с ними нетерпимости, с учетом итогового документа Конференции по обзору Дурбанского процесса, принятого в Женеве в апреле 2009</w:t>
      </w:r>
      <w:r w:rsidR="00955FD0">
        <w:rPr>
          <w:b/>
          <w:bCs/>
        </w:rPr>
        <w:t> </w:t>
      </w:r>
      <w:r>
        <w:rPr>
          <w:b/>
          <w:bCs/>
        </w:rPr>
        <w:t>года.</w:t>
      </w:r>
      <w:r>
        <w:t xml:space="preserve"> </w:t>
      </w:r>
      <w:r>
        <w:rPr>
          <w:b/>
          <w:bCs/>
        </w:rPr>
        <w:t>Комитет просит государство-участник включить в свой следующий периодический доклад конкретную информацию о планах действий и других мерах, принятых в целях выполнения Дурбанской декларации и Программы действий на национальном уровне.</w:t>
      </w:r>
    </w:p>
    <w:p w14:paraId="02FE10BD" w14:textId="77777777" w:rsidR="00135A8D" w:rsidRPr="003542E0" w:rsidRDefault="00135A8D" w:rsidP="00135A8D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</w:p>
    <w:p w14:paraId="67D4DE14" w14:textId="191A5DC2" w:rsidR="00135A8D" w:rsidRPr="00A22150" w:rsidRDefault="00135A8D" w:rsidP="00135A8D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В свете резолюции 68/237 Генеральной Ассамблеи, в которой Ассамблея провозгласила 2015–2024 годы Международным десятилетием лиц африканского происхождения, а также резолюции 69/16 Ассамблеи о программе мероприятий по проведению этого Десятилетия Комитет рекомендует государству-участнику разработать и осуществить приемлемую программу соответствующих мер и политику в сотрудничестве с африканскими организациями и народами.</w:t>
      </w:r>
      <w:r>
        <w:t xml:space="preserve"> </w:t>
      </w:r>
      <w:r>
        <w:rPr>
          <w:b/>
          <w:bCs/>
        </w:rPr>
        <w:t>Комитет просит государство-участник включить в его следующий доклад точные сведения о принятых им в связи с этим конкретных мерах с учетом общей рекомендации № 34 (2011) Комитета о расовой дискриминации в отношении лиц африканского происхождения.</w:t>
      </w:r>
    </w:p>
    <w:p w14:paraId="6C5880AE" w14:textId="77777777" w:rsidR="00135A8D" w:rsidRPr="003542E0" w:rsidRDefault="00135A8D" w:rsidP="00135A8D">
      <w:pPr>
        <w:pStyle w:val="H23G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1A4D74C5" w14:textId="77777777" w:rsidR="00135A8D" w:rsidRPr="00A22150" w:rsidRDefault="00135A8D" w:rsidP="00135A8D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 продолжать проведение консультаций и активизировать диалог с организациями гражданского общества, занимающимися защитой прав человека, в частности ведущими борьбу против расовой дискриминации, в рамках подготовки следующего периодического доклада и принятия последующих мер по настоящим заключительным замечаниям.</w:t>
      </w:r>
    </w:p>
    <w:p w14:paraId="2885703A" w14:textId="77777777" w:rsidR="00135A8D" w:rsidRPr="00D443EA" w:rsidRDefault="00135A8D" w:rsidP="00135A8D">
      <w:pPr>
        <w:pStyle w:val="H23G"/>
      </w:pPr>
      <w:r>
        <w:lastRenderedPageBreak/>
        <w:tab/>
      </w:r>
      <w:r>
        <w:tab/>
      </w:r>
      <w:r>
        <w:rPr>
          <w:bCs/>
        </w:rPr>
        <w:t>Распространение информации</w:t>
      </w:r>
    </w:p>
    <w:p w14:paraId="222F1F90" w14:textId="3F001565" w:rsidR="00135A8D" w:rsidRPr="00D443EA" w:rsidRDefault="00135A8D" w:rsidP="00135A8D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 xml:space="preserve">Комитет рекомендует, чтобы доклады государства-участника всегда имелись в наличии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органам, занимающимся осуществлением Конвенции, включая муниципалитеты, и публиковались на </w:t>
      </w:r>
      <w:r w:rsidR="00955FD0">
        <w:rPr>
          <w:b/>
          <w:bCs/>
        </w:rPr>
        <w:br/>
      </w:r>
      <w:r>
        <w:rPr>
          <w:b/>
          <w:bCs/>
        </w:rPr>
        <w:t xml:space="preserve">веб-сайте </w:t>
      </w:r>
      <w:r w:rsidR="00AE2B91">
        <w:rPr>
          <w:b/>
          <w:bCs/>
        </w:rPr>
        <w:t>М</w:t>
      </w:r>
      <w:r>
        <w:rPr>
          <w:b/>
          <w:bCs/>
        </w:rPr>
        <w:t xml:space="preserve">инистерства иностранных дел на официальных языках, а при необходимости </w:t>
      </w:r>
      <w:r w:rsidR="00955FD0">
        <w:rPr>
          <w:b/>
          <w:bCs/>
        </w:rPr>
        <w:t>—</w:t>
      </w:r>
      <w:r>
        <w:rPr>
          <w:b/>
          <w:bCs/>
        </w:rPr>
        <w:t xml:space="preserve"> и на других широко используемых языках.</w:t>
      </w:r>
    </w:p>
    <w:p w14:paraId="04DA9D86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</w:p>
    <w:p w14:paraId="51D9D8B9" w14:textId="4D2E3D1D" w:rsidR="00135A8D" w:rsidRPr="00D443EA" w:rsidRDefault="00135A8D" w:rsidP="00135A8D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19 b) (преступления на почве ненависти и язык ненависти), 27 (положение в области пандемии COVID-19) и 31 (дискриминация в отношении лиц африканского происхождения) выше.</w:t>
      </w:r>
    </w:p>
    <w:p w14:paraId="2D5C1025" w14:textId="77777777" w:rsidR="00135A8D" w:rsidRPr="00D443EA" w:rsidRDefault="00135A8D" w:rsidP="00135A8D">
      <w:pPr>
        <w:pStyle w:val="H23G"/>
      </w:pPr>
      <w:r>
        <w:tab/>
      </w:r>
      <w:r>
        <w:tab/>
      </w:r>
      <w:r>
        <w:rPr>
          <w:bCs/>
        </w:rPr>
        <w:t>Пункты, имеющие особое значение</w:t>
      </w:r>
    </w:p>
    <w:p w14:paraId="3FE4143D" w14:textId="453D03F4" w:rsidR="00135A8D" w:rsidRPr="00D443EA" w:rsidRDefault="00135A8D" w:rsidP="00135A8D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 xml:space="preserve">Комитет хотел бы обратить внимание государства-участника на особое значение рекомендаций, содержащихся в пунктах 11 (использование терминов </w:t>
      </w:r>
      <w:r w:rsidR="00955FD0">
        <w:rPr>
          <w:b/>
          <w:bCs/>
        </w:rPr>
        <w:t>«</w:t>
      </w:r>
      <w:r>
        <w:rPr>
          <w:b/>
          <w:bCs/>
        </w:rPr>
        <w:t>западный</w:t>
      </w:r>
      <w:r w:rsidR="00955FD0">
        <w:rPr>
          <w:b/>
          <w:bCs/>
        </w:rPr>
        <w:t>»</w:t>
      </w:r>
      <w:r>
        <w:rPr>
          <w:b/>
          <w:bCs/>
        </w:rPr>
        <w:t xml:space="preserve"> и </w:t>
      </w:r>
      <w:r w:rsidR="00955FD0">
        <w:rPr>
          <w:b/>
          <w:bCs/>
        </w:rPr>
        <w:t>«</w:t>
      </w:r>
      <w:r>
        <w:rPr>
          <w:b/>
          <w:bCs/>
        </w:rPr>
        <w:t>незападный</w:t>
      </w:r>
      <w:r w:rsidR="00955FD0">
        <w:rPr>
          <w:b/>
          <w:bCs/>
        </w:rPr>
        <w:t>»</w:t>
      </w:r>
      <w:r>
        <w:rPr>
          <w:b/>
          <w:bCs/>
        </w:rPr>
        <w:t>), 13</w:t>
      </w:r>
      <w:r w:rsidR="00AE2B91">
        <w:rPr>
          <w:b/>
          <w:bCs/>
        </w:rPr>
        <w:t> </w:t>
      </w:r>
      <w:r>
        <w:rPr>
          <w:b/>
          <w:bCs/>
        </w:rPr>
        <w:t xml:space="preserve">b) (план </w:t>
      </w:r>
      <w:r w:rsidR="00955FD0">
        <w:rPr>
          <w:b/>
          <w:bCs/>
        </w:rPr>
        <w:t>«</w:t>
      </w:r>
      <w:r>
        <w:rPr>
          <w:b/>
          <w:bCs/>
        </w:rPr>
        <w:t>Параллельное общество</w:t>
      </w:r>
      <w:r w:rsidR="00955FD0">
        <w:rPr>
          <w:b/>
          <w:bCs/>
        </w:rPr>
        <w:t>»</w:t>
      </w:r>
      <w:r>
        <w:rPr>
          <w:b/>
          <w:bCs/>
        </w:rPr>
        <w:t xml:space="preserve">), </w:t>
      </w:r>
      <w:r w:rsidR="00AE2B91">
        <w:rPr>
          <w:b/>
          <w:bCs/>
        </w:rPr>
        <w:br/>
      </w:r>
      <w:r>
        <w:rPr>
          <w:b/>
          <w:bCs/>
        </w:rPr>
        <w:t>19</w:t>
      </w:r>
      <w:r w:rsidR="00AE2B91">
        <w:rPr>
          <w:b/>
          <w:bCs/>
        </w:rPr>
        <w:t> </w:t>
      </w:r>
      <w:r>
        <w:rPr>
          <w:b/>
          <w:bCs/>
        </w:rPr>
        <w:t>c) (преступления на почве ненависти и язык ненависти) и 21</w:t>
      </w:r>
      <w:r w:rsidR="00AE2B91">
        <w:rPr>
          <w:b/>
          <w:bCs/>
        </w:rPr>
        <w:t> </w:t>
      </w:r>
      <w:r>
        <w:rPr>
          <w:b/>
          <w:bCs/>
        </w:rPr>
        <w:t>a) (расовое профилирование) выше, и просит государство-участник представить в своем следующем периодическом докладе подробную информацию о конкретных мерах по выполнению этих рекомендаций.</w:t>
      </w:r>
    </w:p>
    <w:p w14:paraId="2BE935DD" w14:textId="77777777" w:rsidR="00135A8D" w:rsidRPr="003104BF" w:rsidRDefault="00135A8D" w:rsidP="00135A8D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2CC420A0" w14:textId="24E74976" w:rsidR="00135A8D" w:rsidRPr="00A22150" w:rsidRDefault="00135A8D" w:rsidP="00135A8D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объединенные двадцать пятый</w:t>
      </w:r>
      <w:r w:rsidRPr="00413352">
        <w:rPr>
          <w:b/>
          <w:bCs/>
        </w:rPr>
        <w:t>–</w:t>
      </w:r>
      <w:r>
        <w:rPr>
          <w:b/>
          <w:bCs/>
        </w:rPr>
        <w:t>двадцать восьмой периодические доклады в виде единого документа к 8 января 2027 года, приняв во внимание руководящие принципы в области представления отчетности, принятые Комитетом на его семьдесят первой сессии</w:t>
      </w:r>
      <w:r w:rsidRPr="00D346E9">
        <w:rPr>
          <w:rStyle w:val="aa"/>
        </w:rPr>
        <w:footnoteReference w:id="8"/>
      </w:r>
      <w:r>
        <w:rPr>
          <w:b/>
          <w:bCs/>
        </w:rPr>
        <w:t>, а также отразив в нем все вопросы, затронутые в настоящих заключительных замечаниях.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</w:t>
      </w:r>
      <w:r w:rsidR="00955FD0">
        <w:rPr>
          <w:b/>
          <w:bCs/>
        </w:rPr>
        <w:t> </w:t>
      </w:r>
      <w:r>
        <w:rPr>
          <w:b/>
          <w:bCs/>
        </w:rPr>
        <w:t>200 слов.</w:t>
      </w:r>
    </w:p>
    <w:p w14:paraId="7B245C95" w14:textId="77777777" w:rsidR="00135A8D" w:rsidRPr="00A22150" w:rsidRDefault="00135A8D" w:rsidP="00135A8D">
      <w:pPr>
        <w:spacing w:before="240"/>
        <w:jc w:val="center"/>
        <w:rPr>
          <w:b/>
          <w:bCs/>
        </w:rPr>
      </w:pPr>
      <w:r w:rsidRPr="00A22150">
        <w:rPr>
          <w:u w:val="single"/>
        </w:rPr>
        <w:tab/>
      </w:r>
      <w:r w:rsidRPr="00A22150">
        <w:rPr>
          <w:u w:val="single"/>
        </w:rPr>
        <w:tab/>
      </w:r>
      <w:r w:rsidRPr="00A22150">
        <w:rPr>
          <w:u w:val="single"/>
        </w:rPr>
        <w:tab/>
      </w:r>
    </w:p>
    <w:p w14:paraId="2F09E9E4" w14:textId="2D06E049" w:rsidR="00381C24" w:rsidRPr="00BC18B2" w:rsidRDefault="00381C24" w:rsidP="004055E9"/>
    <w:sectPr w:rsidR="00381C24" w:rsidRPr="00BC18B2" w:rsidSect="00135A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AEA3" w14:textId="77777777" w:rsidR="0023712C" w:rsidRPr="00A312BC" w:rsidRDefault="0023712C" w:rsidP="00A312BC"/>
  </w:endnote>
  <w:endnote w:type="continuationSeparator" w:id="0">
    <w:p w14:paraId="259674D0" w14:textId="77777777" w:rsidR="0023712C" w:rsidRPr="00A312BC" w:rsidRDefault="002371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EDAA" w14:textId="06FDCB5B" w:rsidR="00135A8D" w:rsidRPr="00135A8D" w:rsidRDefault="00135A8D">
    <w:pPr>
      <w:pStyle w:val="a8"/>
    </w:pPr>
    <w:r w:rsidRPr="00135A8D">
      <w:rPr>
        <w:b/>
        <w:sz w:val="18"/>
      </w:rPr>
      <w:fldChar w:fldCharType="begin"/>
    </w:r>
    <w:r w:rsidRPr="00135A8D">
      <w:rPr>
        <w:b/>
        <w:sz w:val="18"/>
      </w:rPr>
      <w:instrText xml:space="preserve"> PAGE  \* MERGEFORMAT </w:instrText>
    </w:r>
    <w:r w:rsidRPr="00135A8D">
      <w:rPr>
        <w:b/>
        <w:sz w:val="18"/>
      </w:rPr>
      <w:fldChar w:fldCharType="separate"/>
    </w:r>
    <w:r w:rsidRPr="00135A8D">
      <w:rPr>
        <w:b/>
        <w:noProof/>
        <w:sz w:val="18"/>
      </w:rPr>
      <w:t>2</w:t>
    </w:r>
    <w:r w:rsidRPr="00135A8D">
      <w:rPr>
        <w:b/>
        <w:sz w:val="18"/>
      </w:rPr>
      <w:fldChar w:fldCharType="end"/>
    </w:r>
    <w:r>
      <w:rPr>
        <w:b/>
        <w:sz w:val="18"/>
      </w:rPr>
      <w:tab/>
    </w:r>
    <w:r>
      <w:t>GE.22-01227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FEB2" w14:textId="172CCC8D" w:rsidR="00135A8D" w:rsidRPr="00135A8D" w:rsidRDefault="00135A8D" w:rsidP="00135A8D">
    <w:pPr>
      <w:pStyle w:val="a8"/>
      <w:tabs>
        <w:tab w:val="clear" w:pos="9639"/>
        <w:tab w:val="right" w:pos="9638"/>
      </w:tabs>
      <w:rPr>
        <w:b/>
        <w:sz w:val="18"/>
      </w:rPr>
    </w:pPr>
    <w:r>
      <w:t>GE.22-01227</w:t>
    </w:r>
    <w:r>
      <w:tab/>
    </w:r>
    <w:r w:rsidRPr="00135A8D">
      <w:rPr>
        <w:b/>
        <w:sz w:val="18"/>
      </w:rPr>
      <w:fldChar w:fldCharType="begin"/>
    </w:r>
    <w:r w:rsidRPr="00135A8D">
      <w:rPr>
        <w:b/>
        <w:sz w:val="18"/>
      </w:rPr>
      <w:instrText xml:space="preserve"> PAGE  \* MERGEFORMAT </w:instrText>
    </w:r>
    <w:r w:rsidRPr="00135A8D">
      <w:rPr>
        <w:b/>
        <w:sz w:val="18"/>
      </w:rPr>
      <w:fldChar w:fldCharType="separate"/>
    </w:r>
    <w:r w:rsidRPr="00135A8D">
      <w:rPr>
        <w:b/>
        <w:noProof/>
        <w:sz w:val="18"/>
      </w:rPr>
      <w:t>3</w:t>
    </w:r>
    <w:r w:rsidRPr="00135A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E6C1" w14:textId="22E39FC6" w:rsidR="00042B72" w:rsidRPr="00135A8D" w:rsidRDefault="00135A8D" w:rsidP="00135A8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25E84A" wp14:editId="60F851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22-01227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69C3E5" wp14:editId="7AB9C1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280222  110322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3D82" w14:textId="77777777" w:rsidR="0023712C" w:rsidRPr="001075E9" w:rsidRDefault="002371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6F6C71" w14:textId="77777777" w:rsidR="0023712C" w:rsidRDefault="002371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00C4C1" w14:textId="2E32D4A0" w:rsidR="00135A8D" w:rsidRPr="00D443EA" w:rsidRDefault="00135A8D" w:rsidP="00135A8D">
      <w:pPr>
        <w:pStyle w:val="ad"/>
      </w:pPr>
      <w:r>
        <w:tab/>
      </w:r>
      <w:r w:rsidRPr="00955FD0">
        <w:rPr>
          <w:sz w:val="20"/>
        </w:rPr>
        <w:t>*</w:t>
      </w:r>
      <w:r>
        <w:tab/>
        <w:t xml:space="preserve">Приняты Комитетом на его </w:t>
      </w:r>
      <w:r w:rsidR="009050A7">
        <w:t>сто пятой</w:t>
      </w:r>
      <w:r>
        <w:t xml:space="preserve"> сессии (15 ноября</w:t>
      </w:r>
      <w:r w:rsidRPr="00D443EA">
        <w:t xml:space="preserve"> </w:t>
      </w:r>
      <w:r w:rsidR="00955FD0">
        <w:t>—</w:t>
      </w:r>
      <w:r w:rsidRPr="00D443EA">
        <w:t xml:space="preserve"> </w:t>
      </w:r>
      <w:r>
        <w:t>3 декабря 2021 года).</w:t>
      </w:r>
    </w:p>
  </w:footnote>
  <w:footnote w:id="2">
    <w:p w14:paraId="6188E712" w14:textId="671AC2C8" w:rsidR="00135A8D" w:rsidRPr="00D443EA" w:rsidRDefault="00135A8D" w:rsidP="00135A8D">
      <w:pPr>
        <w:pStyle w:val="ad"/>
        <w:rPr>
          <w:lang w:val="fr-CH"/>
        </w:rPr>
      </w:pPr>
      <w:r w:rsidRPr="00F13C82">
        <w:tab/>
      </w:r>
      <w:r w:rsidRPr="00892F49">
        <w:rPr>
          <w:rStyle w:val="aa"/>
        </w:rPr>
        <w:footnoteRef/>
      </w:r>
      <w:r w:rsidRPr="00D443EA">
        <w:rPr>
          <w:lang w:val="fr-CH"/>
        </w:rPr>
        <w:tab/>
      </w:r>
      <w:hyperlink r:id="rId1" w:history="1">
        <w:r w:rsidR="009050A7" w:rsidRPr="00146B8C">
          <w:rPr>
            <w:rStyle w:val="af1"/>
            <w:lang w:val="fr-CH"/>
          </w:rPr>
          <w:t>CERD/C/DNK/22-24</w:t>
        </w:r>
      </w:hyperlink>
      <w:r w:rsidRPr="00D443EA">
        <w:rPr>
          <w:lang w:val="fr-CH"/>
        </w:rPr>
        <w:t>.</w:t>
      </w:r>
    </w:p>
  </w:footnote>
  <w:footnote w:id="3">
    <w:p w14:paraId="5C1577E7" w14:textId="088337FC" w:rsidR="00135A8D" w:rsidRPr="009050A7" w:rsidRDefault="00135A8D" w:rsidP="00135A8D">
      <w:pPr>
        <w:pStyle w:val="ad"/>
        <w:rPr>
          <w:lang w:val="fr-CH"/>
        </w:rPr>
      </w:pPr>
      <w:r w:rsidRPr="00D443EA">
        <w:rPr>
          <w:lang w:val="fr-CH"/>
        </w:rPr>
        <w:tab/>
      </w:r>
      <w:r w:rsidRPr="00892F49">
        <w:rPr>
          <w:rStyle w:val="aa"/>
        </w:rPr>
        <w:footnoteRef/>
      </w:r>
      <w:r w:rsidRPr="00D443EA">
        <w:rPr>
          <w:lang w:val="fr-CH"/>
        </w:rPr>
        <w:tab/>
      </w:r>
      <w:r>
        <w:t>См</w:t>
      </w:r>
      <w:r w:rsidRPr="00D443EA">
        <w:rPr>
          <w:lang w:val="fr-CH"/>
        </w:rPr>
        <w:t xml:space="preserve">. </w:t>
      </w:r>
      <w:hyperlink r:id="rId2" w:history="1">
        <w:r w:rsidR="009050A7" w:rsidRPr="009050A7">
          <w:rPr>
            <w:rStyle w:val="af1"/>
            <w:lang w:val="fr-CH"/>
          </w:rPr>
          <w:t>CERD/C/SR.2849</w:t>
        </w:r>
      </w:hyperlink>
      <w:r w:rsidR="009050A7" w:rsidRPr="009050A7">
        <w:rPr>
          <w:lang w:val="fr-CH"/>
        </w:rPr>
        <w:t xml:space="preserve"> </w:t>
      </w:r>
      <w:r w:rsidR="009050A7">
        <w:t>и</w:t>
      </w:r>
      <w:r w:rsidR="009050A7" w:rsidRPr="009050A7">
        <w:rPr>
          <w:lang w:val="fr-CH"/>
        </w:rPr>
        <w:t xml:space="preserve"> </w:t>
      </w:r>
      <w:hyperlink r:id="rId3" w:history="1">
        <w:r w:rsidR="009050A7" w:rsidRPr="009050A7">
          <w:rPr>
            <w:rStyle w:val="af1"/>
            <w:lang w:val="fr-CH"/>
          </w:rPr>
          <w:t>CERD/C/SR.2850</w:t>
        </w:r>
      </w:hyperlink>
      <w:r w:rsidRPr="009050A7">
        <w:rPr>
          <w:lang w:val="fr-CH"/>
        </w:rPr>
        <w:t>.</w:t>
      </w:r>
    </w:p>
  </w:footnote>
  <w:footnote w:id="4">
    <w:p w14:paraId="3EA5B501" w14:textId="50BF7C8F" w:rsidR="00135A8D" w:rsidRPr="00135A8D" w:rsidRDefault="00135A8D" w:rsidP="00135A8D">
      <w:pPr>
        <w:pStyle w:val="ad"/>
        <w:rPr>
          <w:lang w:val="en-US"/>
        </w:rPr>
      </w:pPr>
      <w:r w:rsidRPr="009050A7">
        <w:rPr>
          <w:lang w:val="fr-CH"/>
        </w:rPr>
        <w:tab/>
      </w:r>
      <w:r w:rsidRPr="00892F49">
        <w:rPr>
          <w:rStyle w:val="aa"/>
        </w:rPr>
        <w:footnoteRef/>
      </w:r>
      <w:r w:rsidRPr="00D443EA">
        <w:rPr>
          <w:lang w:val="en-US"/>
        </w:rPr>
        <w:tab/>
      </w:r>
      <w:hyperlink r:id="rId4" w:history="1">
        <w:r w:rsidR="005F2BE0" w:rsidRPr="00C24E6B">
          <w:rPr>
            <w:rStyle w:val="af1"/>
            <w:lang w:val="es-ES"/>
          </w:rPr>
          <w:t>CERD/C/DNK/CO/20-21</w:t>
        </w:r>
      </w:hyperlink>
      <w:r w:rsidRPr="00D443EA">
        <w:rPr>
          <w:lang w:val="en-US"/>
        </w:rPr>
        <w:t xml:space="preserve">, </w:t>
      </w:r>
      <w:r>
        <w:t>п</w:t>
      </w:r>
      <w:r w:rsidRPr="00D443EA">
        <w:rPr>
          <w:lang w:val="en-US"/>
        </w:rPr>
        <w:t>. 7.</w:t>
      </w:r>
    </w:p>
  </w:footnote>
  <w:footnote w:id="5">
    <w:p w14:paraId="761DCA44" w14:textId="4C08E666" w:rsidR="00135A8D" w:rsidRPr="00135A8D" w:rsidRDefault="00135A8D" w:rsidP="00135A8D">
      <w:pPr>
        <w:pStyle w:val="ad"/>
        <w:rPr>
          <w:lang w:val="en-US"/>
        </w:rPr>
      </w:pPr>
      <w:r w:rsidRPr="00D443EA">
        <w:rPr>
          <w:lang w:val="en-US"/>
        </w:rPr>
        <w:tab/>
      </w:r>
      <w:r w:rsidRPr="00892F49">
        <w:rPr>
          <w:rStyle w:val="aa"/>
        </w:rPr>
        <w:footnoteRef/>
      </w:r>
      <w:r w:rsidRPr="00D443EA">
        <w:rPr>
          <w:lang w:val="en-US"/>
        </w:rPr>
        <w:tab/>
      </w:r>
      <w:hyperlink r:id="rId5" w:history="1">
        <w:r w:rsidR="005F2BE0" w:rsidRPr="00C24E6B">
          <w:rPr>
            <w:rStyle w:val="af1"/>
            <w:lang w:val="es-ES"/>
          </w:rPr>
          <w:t>CERD/C/2007/1</w:t>
        </w:r>
      </w:hyperlink>
      <w:r w:rsidRPr="00D443EA">
        <w:rPr>
          <w:lang w:val="en-US"/>
        </w:rPr>
        <w:t>.</w:t>
      </w:r>
    </w:p>
  </w:footnote>
  <w:footnote w:id="6">
    <w:p w14:paraId="6FE589E9" w14:textId="5E0C03EE" w:rsidR="00135A8D" w:rsidRPr="00135A8D" w:rsidRDefault="00135A8D" w:rsidP="00135A8D">
      <w:pPr>
        <w:pStyle w:val="ad"/>
        <w:rPr>
          <w:lang w:val="en-US"/>
        </w:rPr>
      </w:pPr>
      <w:r w:rsidRPr="00D443EA">
        <w:rPr>
          <w:lang w:val="en-US"/>
        </w:rPr>
        <w:tab/>
      </w:r>
      <w:r w:rsidRPr="00892F49">
        <w:rPr>
          <w:rStyle w:val="aa"/>
        </w:rPr>
        <w:footnoteRef/>
      </w:r>
      <w:r w:rsidRPr="00D443EA">
        <w:rPr>
          <w:lang w:val="en-US"/>
        </w:rPr>
        <w:tab/>
      </w:r>
      <w:hyperlink r:id="rId6" w:history="1">
        <w:r w:rsidR="005F2BE0" w:rsidRPr="00C24E6B">
          <w:rPr>
            <w:rStyle w:val="af1"/>
            <w:lang w:val="es-ES"/>
          </w:rPr>
          <w:t>CERD/C/DNK/CO/20-21</w:t>
        </w:r>
      </w:hyperlink>
      <w:r w:rsidRPr="00D443EA">
        <w:rPr>
          <w:lang w:val="en-US"/>
        </w:rPr>
        <w:t xml:space="preserve">, </w:t>
      </w:r>
      <w:r>
        <w:t>п</w:t>
      </w:r>
      <w:r w:rsidRPr="00D443EA">
        <w:rPr>
          <w:lang w:val="en-US"/>
        </w:rPr>
        <w:t>. 10.</w:t>
      </w:r>
    </w:p>
  </w:footnote>
  <w:footnote w:id="7">
    <w:p w14:paraId="53E8AF8C" w14:textId="1D10E7A8" w:rsidR="00135A8D" w:rsidRPr="00135A8D" w:rsidRDefault="00135A8D" w:rsidP="00135A8D">
      <w:pPr>
        <w:pStyle w:val="ad"/>
        <w:rPr>
          <w:lang w:val="en-US"/>
        </w:rPr>
      </w:pPr>
      <w:r w:rsidRPr="00D443EA">
        <w:rPr>
          <w:lang w:val="en-US"/>
        </w:rPr>
        <w:tab/>
      </w:r>
      <w:r w:rsidRPr="00892F49">
        <w:rPr>
          <w:rStyle w:val="aa"/>
        </w:rPr>
        <w:footnoteRef/>
      </w:r>
      <w:r w:rsidRPr="00D443EA">
        <w:rPr>
          <w:lang w:val="en-US"/>
        </w:rPr>
        <w:tab/>
      </w:r>
      <w:hyperlink r:id="rId7" w:history="1">
        <w:r w:rsidRPr="0058044B">
          <w:rPr>
            <w:rStyle w:val="af1"/>
            <w:lang w:val="en-US"/>
          </w:rPr>
          <w:t>CERD/C/DNK/CO/20-21</w:t>
        </w:r>
      </w:hyperlink>
      <w:r w:rsidRPr="00D443EA">
        <w:rPr>
          <w:lang w:val="en-US"/>
        </w:rPr>
        <w:t xml:space="preserve">, </w:t>
      </w:r>
      <w:r>
        <w:t>п</w:t>
      </w:r>
      <w:r w:rsidRPr="00D443EA">
        <w:rPr>
          <w:lang w:val="en-US"/>
        </w:rPr>
        <w:t>. 15.</w:t>
      </w:r>
    </w:p>
  </w:footnote>
  <w:footnote w:id="8">
    <w:p w14:paraId="20A36A19" w14:textId="50CBC249" w:rsidR="00135A8D" w:rsidRPr="00BC0169" w:rsidRDefault="00135A8D" w:rsidP="00135A8D">
      <w:pPr>
        <w:pStyle w:val="ad"/>
      </w:pPr>
      <w:r w:rsidRPr="00D443EA">
        <w:rPr>
          <w:lang w:val="en-US"/>
        </w:rPr>
        <w:tab/>
      </w:r>
      <w:r w:rsidRPr="00892F49">
        <w:rPr>
          <w:rStyle w:val="aa"/>
        </w:rPr>
        <w:footnoteRef/>
      </w:r>
      <w:r>
        <w:tab/>
      </w:r>
      <w:hyperlink r:id="rId8" w:history="1">
        <w:r w:rsidRPr="00C04BA4">
          <w:rPr>
            <w:rStyle w:val="af1"/>
          </w:rPr>
          <w:t>CERD/C/2007/1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27C" w14:textId="46C8FA03" w:rsidR="00135A8D" w:rsidRPr="00135A8D" w:rsidRDefault="00182A3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CERD/C/DNK/CO/22-24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C93C" w14:textId="65128675" w:rsidR="00135A8D" w:rsidRPr="00135A8D" w:rsidRDefault="00182A30" w:rsidP="00135A8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CERD/C/DNK/CO/22-24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2C"/>
    <w:rsid w:val="00033EE1"/>
    <w:rsid w:val="00042B72"/>
    <w:rsid w:val="000558BD"/>
    <w:rsid w:val="000B57E7"/>
    <w:rsid w:val="000B6373"/>
    <w:rsid w:val="000F09DF"/>
    <w:rsid w:val="000F61B2"/>
    <w:rsid w:val="001075E9"/>
    <w:rsid w:val="00135A8D"/>
    <w:rsid w:val="00146B8C"/>
    <w:rsid w:val="00180183"/>
    <w:rsid w:val="0018024D"/>
    <w:rsid w:val="00182A30"/>
    <w:rsid w:val="00185AB9"/>
    <w:rsid w:val="0018649F"/>
    <w:rsid w:val="00196389"/>
    <w:rsid w:val="001B3EF6"/>
    <w:rsid w:val="001C7A89"/>
    <w:rsid w:val="0023712C"/>
    <w:rsid w:val="002A2EFC"/>
    <w:rsid w:val="002A6E90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6859"/>
    <w:rsid w:val="003B00E5"/>
    <w:rsid w:val="003D11EA"/>
    <w:rsid w:val="004055E9"/>
    <w:rsid w:val="00407B78"/>
    <w:rsid w:val="00415E82"/>
    <w:rsid w:val="00424203"/>
    <w:rsid w:val="004271EA"/>
    <w:rsid w:val="004359DF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8044B"/>
    <w:rsid w:val="005961C8"/>
    <w:rsid w:val="00597E0E"/>
    <w:rsid w:val="005D7914"/>
    <w:rsid w:val="005E2B41"/>
    <w:rsid w:val="005F0B42"/>
    <w:rsid w:val="005F2BE0"/>
    <w:rsid w:val="005F7956"/>
    <w:rsid w:val="00627C61"/>
    <w:rsid w:val="006306AC"/>
    <w:rsid w:val="00641A8C"/>
    <w:rsid w:val="0067000F"/>
    <w:rsid w:val="00681A10"/>
    <w:rsid w:val="006A1ED8"/>
    <w:rsid w:val="006A3CE1"/>
    <w:rsid w:val="006C2031"/>
    <w:rsid w:val="006D461A"/>
    <w:rsid w:val="006F35EE"/>
    <w:rsid w:val="007021FF"/>
    <w:rsid w:val="00706B3D"/>
    <w:rsid w:val="00712895"/>
    <w:rsid w:val="00726E60"/>
    <w:rsid w:val="00742588"/>
    <w:rsid w:val="00757357"/>
    <w:rsid w:val="00765F6E"/>
    <w:rsid w:val="00770CA7"/>
    <w:rsid w:val="007C46C9"/>
    <w:rsid w:val="007C49A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50A7"/>
    <w:rsid w:val="00906890"/>
    <w:rsid w:val="00911BE4"/>
    <w:rsid w:val="00951972"/>
    <w:rsid w:val="00955FD0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AE2B9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04BA4"/>
    <w:rsid w:val="00C106D6"/>
    <w:rsid w:val="00C60F0C"/>
    <w:rsid w:val="00C805C9"/>
    <w:rsid w:val="00C92939"/>
    <w:rsid w:val="00CA1679"/>
    <w:rsid w:val="00CB151C"/>
    <w:rsid w:val="00CE5607"/>
    <w:rsid w:val="00CE5A1A"/>
    <w:rsid w:val="00CF55F6"/>
    <w:rsid w:val="00D33D63"/>
    <w:rsid w:val="00D90028"/>
    <w:rsid w:val="00D90138"/>
    <w:rsid w:val="00DD78D1"/>
    <w:rsid w:val="00DE32CD"/>
    <w:rsid w:val="00DF71B9"/>
    <w:rsid w:val="00E32125"/>
    <w:rsid w:val="00E73F76"/>
    <w:rsid w:val="00EA2C9F"/>
    <w:rsid w:val="00EA420E"/>
    <w:rsid w:val="00ED0BDA"/>
    <w:rsid w:val="00EE6C71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989E61"/>
  <w15:docId w15:val="{A4DF5D07-48B3-4920-A0E6-2C2B61E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90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ERD/C/2007/1" TargetMode="External"/><Relationship Id="rId3" Type="http://schemas.openxmlformats.org/officeDocument/2006/relationships/hyperlink" Target="http://undocs.org/en/CERD/C/SR.2850" TargetMode="External"/><Relationship Id="rId7" Type="http://schemas.openxmlformats.org/officeDocument/2006/relationships/hyperlink" Target="http://undocs.org/ru/CERD/C/DNK/CO/20-21" TargetMode="External"/><Relationship Id="rId2" Type="http://schemas.openxmlformats.org/officeDocument/2006/relationships/hyperlink" Target="http://undocs.org/en/CERD/C/SR.2849" TargetMode="External"/><Relationship Id="rId1" Type="http://schemas.openxmlformats.org/officeDocument/2006/relationships/hyperlink" Target="http://undocs.org/en/CERD/C/DNK/22-24" TargetMode="External"/><Relationship Id="rId6" Type="http://schemas.openxmlformats.org/officeDocument/2006/relationships/hyperlink" Target="http://undocs.org/ru/CERD/C/DNK/CO/20-21" TargetMode="External"/><Relationship Id="rId5" Type="http://schemas.openxmlformats.org/officeDocument/2006/relationships/hyperlink" Target="http://undocs.org/ru/CERD/C/2007/1" TargetMode="External"/><Relationship Id="rId4" Type="http://schemas.openxmlformats.org/officeDocument/2006/relationships/hyperlink" Target="http://undocs.org/ru/CERD/C/DNK/CO/20-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10</Pages>
  <Words>3816</Words>
  <Characters>26894</Characters>
  <Application>Microsoft Office Word</Application>
  <DocSecurity>0</DocSecurity>
  <Lines>2444</Lines>
  <Paragraphs>682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CERD/C/DNK/CO/22-24</vt:lpstr>
      <vt:lpstr>A/</vt:lpstr>
      <vt:lpstr>A/</vt:lpstr>
    </vt:vector>
  </TitlesOfParts>
  <Company>DCM</Company>
  <LinksUpToDate>false</LinksUpToDate>
  <CharactersWithSpaces>30028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CERD/C/DNK/CO/22-24</dc:title>
  <dc:subject/>
  <dc:creator>Elena IZOTOVA</dc:creator>
  <cp:keywords/>
  <cp:lastModifiedBy>Elena Izotova</cp:lastModifiedBy>
  <cp:revision>3</cp:revision>
  <cp:lastPrinted>2022-03-11T15:11:00Z</cp:lastPrinted>
  <dcterms:created xsi:type="dcterms:W3CDTF">2022-03-11T15:11:00Z</dcterms:created>
  <dcterms:modified xsi:type="dcterms:W3CDTF">2022-03-11T15:11:00Z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