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3548F" w:rsidRPr="00105353" w14:paraId="41A6BADC" w14:textId="77777777" w:rsidTr="00D16CDC">
        <w:trPr>
          <w:trHeight w:hRule="exact" w:val="851"/>
        </w:trPr>
        <w:tc>
          <w:tcPr>
            <w:tcW w:w="1277" w:type="dxa"/>
            <w:tcBorders>
              <w:bottom w:val="single" w:sz="4" w:space="0" w:color="auto"/>
            </w:tcBorders>
          </w:tcPr>
          <w:p w14:paraId="44CEFF0C" w14:textId="77777777" w:rsidR="00A3548F" w:rsidRPr="00105353" w:rsidRDefault="00A3548F" w:rsidP="00D16CDC">
            <w:pPr>
              <w:rPr>
                <w:lang w:val="fr-FR"/>
              </w:rPr>
            </w:pPr>
          </w:p>
        </w:tc>
        <w:tc>
          <w:tcPr>
            <w:tcW w:w="2268" w:type="dxa"/>
            <w:tcBorders>
              <w:bottom w:val="single" w:sz="4" w:space="0" w:color="auto"/>
            </w:tcBorders>
            <w:vAlign w:val="bottom"/>
          </w:tcPr>
          <w:p w14:paraId="541B5017" w14:textId="77777777" w:rsidR="00A3548F" w:rsidRPr="00105353" w:rsidRDefault="00A3548F" w:rsidP="00D16CDC">
            <w:pPr>
              <w:spacing w:after="80" w:line="300" w:lineRule="exact"/>
              <w:rPr>
                <w:sz w:val="28"/>
                <w:lang w:val="fr-FR"/>
              </w:rPr>
            </w:pPr>
            <w:r w:rsidRPr="00105353">
              <w:rPr>
                <w:sz w:val="28"/>
                <w:lang w:val="fr-FR"/>
              </w:rPr>
              <w:t>Nations Unies</w:t>
            </w:r>
          </w:p>
        </w:tc>
        <w:tc>
          <w:tcPr>
            <w:tcW w:w="6094" w:type="dxa"/>
            <w:gridSpan w:val="2"/>
            <w:tcBorders>
              <w:bottom w:val="single" w:sz="4" w:space="0" w:color="auto"/>
            </w:tcBorders>
            <w:vAlign w:val="bottom"/>
          </w:tcPr>
          <w:p w14:paraId="36DC6F4D" w14:textId="57063377" w:rsidR="00A3548F" w:rsidRPr="00105353" w:rsidRDefault="00A3548F" w:rsidP="00D16CDC">
            <w:pPr>
              <w:jc w:val="right"/>
            </w:pPr>
            <w:r w:rsidRPr="00105353">
              <w:rPr>
                <w:sz w:val="40"/>
                <w:szCs w:val="40"/>
              </w:rPr>
              <w:t>CED</w:t>
            </w:r>
            <w:r w:rsidRPr="00105353">
              <w:rPr>
                <w:szCs w:val="40"/>
              </w:rPr>
              <w:t>/C/GAB/CO</w:t>
            </w:r>
            <w:r w:rsidR="00FB6802">
              <w:rPr>
                <w:szCs w:val="40"/>
              </w:rPr>
              <w:t>/</w:t>
            </w:r>
            <w:r w:rsidRPr="00105353">
              <w:rPr>
                <w:szCs w:val="40"/>
              </w:rPr>
              <w:t>1</w:t>
            </w:r>
          </w:p>
        </w:tc>
      </w:tr>
      <w:tr w:rsidR="00A3548F" w:rsidRPr="00745475" w14:paraId="359E706A" w14:textId="77777777" w:rsidTr="00D16CDC">
        <w:trPr>
          <w:trHeight w:hRule="exact" w:val="2835"/>
        </w:trPr>
        <w:tc>
          <w:tcPr>
            <w:tcW w:w="1276" w:type="dxa"/>
            <w:tcBorders>
              <w:top w:val="single" w:sz="4" w:space="0" w:color="auto"/>
              <w:bottom w:val="single" w:sz="12" w:space="0" w:color="auto"/>
            </w:tcBorders>
          </w:tcPr>
          <w:p w14:paraId="345B5440" w14:textId="77777777" w:rsidR="00A3548F" w:rsidRPr="00105353" w:rsidRDefault="00A3548F" w:rsidP="00D16CDC">
            <w:pPr>
              <w:spacing w:before="120"/>
              <w:jc w:val="center"/>
              <w:rPr>
                <w:lang w:val="fr-FR"/>
              </w:rPr>
            </w:pPr>
            <w:r w:rsidRPr="00105353">
              <w:rPr>
                <w:noProof/>
                <w:lang w:val="fr-CH" w:eastAsia="fr-CH"/>
              </w:rPr>
              <w:drawing>
                <wp:inline distT="0" distB="0" distL="0" distR="0" wp14:anchorId="1F719B49" wp14:editId="645F0C2B">
                  <wp:extent cx="690245" cy="56959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5695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BBFC49" w14:textId="77777777" w:rsidR="00A3548F" w:rsidRPr="00105353" w:rsidRDefault="00A3548F" w:rsidP="00D16CDC">
            <w:pPr>
              <w:spacing w:before="120" w:line="380" w:lineRule="exact"/>
              <w:rPr>
                <w:b/>
                <w:sz w:val="40"/>
                <w:szCs w:val="40"/>
                <w:lang w:val="fr-FR"/>
              </w:rPr>
            </w:pPr>
            <w:r w:rsidRPr="00105353">
              <w:rPr>
                <w:b/>
                <w:sz w:val="34"/>
                <w:szCs w:val="34"/>
                <w:lang w:val="fr-FR"/>
              </w:rPr>
              <w:t>Convention internationale pour la protection de toutes les personnes contre les disparitions forcées</w:t>
            </w:r>
          </w:p>
        </w:tc>
        <w:tc>
          <w:tcPr>
            <w:tcW w:w="2835" w:type="dxa"/>
            <w:tcBorders>
              <w:top w:val="single" w:sz="4" w:space="0" w:color="auto"/>
              <w:bottom w:val="single" w:sz="12" w:space="0" w:color="auto"/>
            </w:tcBorders>
          </w:tcPr>
          <w:p w14:paraId="7CCA389C" w14:textId="76F94A9D" w:rsidR="00A3548F" w:rsidRPr="00105353" w:rsidRDefault="00A3548F" w:rsidP="00D16CDC">
            <w:pPr>
              <w:suppressAutoHyphens w:val="0"/>
              <w:spacing w:before="240" w:line="240" w:lineRule="exact"/>
              <w:rPr>
                <w:lang w:val="fr-FR"/>
              </w:rPr>
            </w:pPr>
            <w:r w:rsidRPr="00105353">
              <w:rPr>
                <w:lang w:val="fr-FR"/>
              </w:rPr>
              <w:t xml:space="preserve">Distr. </w:t>
            </w:r>
            <w:r w:rsidR="007E7E28">
              <w:rPr>
                <w:lang w:val="fr-FR"/>
              </w:rPr>
              <w:t>générale</w:t>
            </w:r>
          </w:p>
          <w:p w14:paraId="74EAAC6F" w14:textId="596525F6" w:rsidR="00A3548F" w:rsidRPr="00105353" w:rsidRDefault="00FB6802" w:rsidP="00D16CDC">
            <w:pPr>
              <w:suppressAutoHyphens w:val="0"/>
              <w:rPr>
                <w:lang w:val="fr-FR"/>
              </w:rPr>
            </w:pPr>
            <w:r>
              <w:rPr>
                <w:lang w:val="fr-FR"/>
              </w:rPr>
              <w:t>10</w:t>
            </w:r>
            <w:r w:rsidR="008944B1">
              <w:rPr>
                <w:lang w:val="fr-FR"/>
              </w:rPr>
              <w:t xml:space="preserve"> octobre</w:t>
            </w:r>
            <w:r w:rsidR="00A3548F" w:rsidRPr="00105353">
              <w:rPr>
                <w:lang w:val="fr-FR"/>
              </w:rPr>
              <w:t xml:space="preserve"> 2017</w:t>
            </w:r>
          </w:p>
          <w:p w14:paraId="69E61096" w14:textId="77777777" w:rsidR="00A3548F" w:rsidRPr="00105353" w:rsidRDefault="00A3548F" w:rsidP="00D16CDC">
            <w:pPr>
              <w:suppressAutoHyphens w:val="0"/>
              <w:rPr>
                <w:lang w:val="fr-FR"/>
              </w:rPr>
            </w:pPr>
          </w:p>
          <w:p w14:paraId="3A174AD8" w14:textId="77777777" w:rsidR="00A3548F" w:rsidRPr="00105353" w:rsidRDefault="00A3548F" w:rsidP="00D16CDC">
            <w:pPr>
              <w:rPr>
                <w:lang w:val="fr-FR"/>
              </w:rPr>
            </w:pPr>
            <w:r w:rsidRPr="00105353">
              <w:rPr>
                <w:lang w:val="fr-FR"/>
              </w:rPr>
              <w:t>Original : français</w:t>
            </w:r>
          </w:p>
          <w:p w14:paraId="2A9F2014" w14:textId="186E42E2" w:rsidR="00A3548F" w:rsidRPr="00105353" w:rsidRDefault="00A3548F" w:rsidP="00D16CDC">
            <w:pPr>
              <w:rPr>
                <w:lang w:val="fr-FR"/>
              </w:rPr>
            </w:pPr>
          </w:p>
        </w:tc>
      </w:tr>
    </w:tbl>
    <w:p w14:paraId="1A4B617C" w14:textId="048C3886" w:rsidR="00A3548F" w:rsidRPr="00105353" w:rsidRDefault="00A3548F" w:rsidP="00A3548F">
      <w:pPr>
        <w:spacing w:before="120"/>
        <w:rPr>
          <w:b/>
          <w:sz w:val="24"/>
          <w:szCs w:val="24"/>
          <w:lang w:val="fr-FR"/>
        </w:rPr>
      </w:pPr>
      <w:r w:rsidRPr="00105353">
        <w:rPr>
          <w:b/>
          <w:sz w:val="24"/>
          <w:szCs w:val="24"/>
          <w:lang w:val="fr-FR"/>
        </w:rPr>
        <w:t>Comité des disparitions forcées</w:t>
      </w:r>
    </w:p>
    <w:p w14:paraId="5452B9F7" w14:textId="52AE4D61" w:rsidR="00A3548F" w:rsidRPr="00105353" w:rsidRDefault="00A3548F" w:rsidP="00307335">
      <w:pPr>
        <w:pStyle w:val="HChG"/>
        <w:rPr>
          <w:lang w:val="fr-FR"/>
        </w:rPr>
      </w:pPr>
      <w:r w:rsidRPr="00105353">
        <w:rPr>
          <w:lang w:val="fr-FR"/>
        </w:rPr>
        <w:tab/>
      </w:r>
      <w:r w:rsidRPr="00105353">
        <w:rPr>
          <w:lang w:val="fr-FR"/>
        </w:rPr>
        <w:tab/>
        <w:t>Observations finales concernant le rapport soumis par le</w:t>
      </w:r>
      <w:r w:rsidR="00A34547">
        <w:rPr>
          <w:lang w:val="fr-FR"/>
        </w:rPr>
        <w:t> </w:t>
      </w:r>
      <w:r w:rsidRPr="00105353">
        <w:rPr>
          <w:lang w:val="fr-FR"/>
        </w:rPr>
        <w:t>Gabon en application du paragraphe 1 de l’article 29</w:t>
      </w:r>
      <w:r w:rsidR="00A34547">
        <w:rPr>
          <w:lang w:val="fr-FR"/>
        </w:rPr>
        <w:br/>
      </w:r>
      <w:r w:rsidRPr="00105353">
        <w:rPr>
          <w:lang w:val="fr-FR"/>
        </w:rPr>
        <w:t>de la Convention</w:t>
      </w:r>
      <w:r w:rsidRPr="00307335">
        <w:rPr>
          <w:b w:val="0"/>
          <w:bCs/>
          <w:sz w:val="20"/>
          <w:lang w:val="fr-FR" w:eastAsia="x-none"/>
        </w:rPr>
        <w:footnoteReference w:customMarkFollows="1" w:id="2"/>
        <w:t>*</w:t>
      </w:r>
      <w:r w:rsidRPr="00105353">
        <w:rPr>
          <w:lang w:val="fr-FR"/>
        </w:rPr>
        <w:t xml:space="preserve"> </w:t>
      </w:r>
    </w:p>
    <w:p w14:paraId="322E95DC" w14:textId="27DFBD2D" w:rsidR="00A3548F" w:rsidRPr="00105353" w:rsidRDefault="00307335" w:rsidP="00307335">
      <w:pPr>
        <w:pStyle w:val="SingleTxtG"/>
        <w:rPr>
          <w:lang w:val="fr-FR"/>
        </w:rPr>
      </w:pPr>
      <w:r w:rsidRPr="00105353">
        <w:rPr>
          <w:lang w:val="fr-FR"/>
        </w:rPr>
        <w:t>1.</w:t>
      </w:r>
      <w:r w:rsidRPr="00105353">
        <w:rPr>
          <w:lang w:val="fr-FR"/>
        </w:rPr>
        <w:tab/>
      </w:r>
      <w:r w:rsidR="00A3548F" w:rsidRPr="00105353">
        <w:rPr>
          <w:lang w:val="fr-FR"/>
        </w:rPr>
        <w:t>Le Comité des disparitions forcées a examiné le rapport soumis par le Gabon en application du paragraphe 1 de l’article 29 de la Convention (CED/C/GAB/1), à ses 221</w:t>
      </w:r>
      <w:r w:rsidR="00A3548F" w:rsidRPr="00105353">
        <w:rPr>
          <w:vertAlign w:val="superscript"/>
          <w:lang w:val="fr-FR"/>
        </w:rPr>
        <w:t>e</w:t>
      </w:r>
      <w:r w:rsidR="00A3548F" w:rsidRPr="00105353">
        <w:rPr>
          <w:lang w:val="fr-FR"/>
        </w:rPr>
        <w:t xml:space="preserve"> et 222</w:t>
      </w:r>
      <w:r w:rsidR="00A3548F" w:rsidRPr="00105353">
        <w:rPr>
          <w:vertAlign w:val="superscript"/>
          <w:lang w:val="fr-FR"/>
        </w:rPr>
        <w:t>e</w:t>
      </w:r>
      <w:r w:rsidR="00444AF3">
        <w:rPr>
          <w:lang w:val="fr-FR"/>
        </w:rPr>
        <w:t> </w:t>
      </w:r>
      <w:r w:rsidR="00A3548F" w:rsidRPr="00105353">
        <w:rPr>
          <w:lang w:val="fr-FR"/>
        </w:rPr>
        <w:t>séances (CED/C/SR.221 et 222), les 5 et 6 septembre 2017. À sa 232</w:t>
      </w:r>
      <w:r w:rsidR="00A3548F" w:rsidRPr="00105353">
        <w:rPr>
          <w:vertAlign w:val="superscript"/>
          <w:lang w:val="fr-FR"/>
        </w:rPr>
        <w:t>e</w:t>
      </w:r>
      <w:r w:rsidR="00A3548F" w:rsidRPr="00105353">
        <w:rPr>
          <w:lang w:val="fr-FR"/>
        </w:rPr>
        <w:t> séance, le 13</w:t>
      </w:r>
      <w:r w:rsidR="006E293D">
        <w:rPr>
          <w:lang w:val="fr-FR"/>
        </w:rPr>
        <w:t> </w:t>
      </w:r>
      <w:r w:rsidR="00A3548F" w:rsidRPr="00105353">
        <w:rPr>
          <w:lang w:val="fr-FR"/>
        </w:rPr>
        <w:t>septembre 2017, il a adopté les observations finales ci-après.</w:t>
      </w:r>
    </w:p>
    <w:p w14:paraId="4037D7B6" w14:textId="77777777" w:rsidR="00A3548F" w:rsidRPr="00D01F31" w:rsidRDefault="00A3548F" w:rsidP="00150ED3">
      <w:pPr>
        <w:pStyle w:val="H1G"/>
        <w:rPr>
          <w:lang w:val="fr-FR"/>
        </w:rPr>
      </w:pPr>
      <w:r w:rsidRPr="00105353">
        <w:rPr>
          <w:lang w:val="fr-FR"/>
        </w:rPr>
        <w:tab/>
      </w:r>
      <w:r w:rsidRPr="00D01F31">
        <w:rPr>
          <w:lang w:val="fr-FR"/>
        </w:rPr>
        <w:t>A.</w:t>
      </w:r>
      <w:r w:rsidRPr="00D01F31">
        <w:rPr>
          <w:lang w:val="fr-FR"/>
        </w:rPr>
        <w:tab/>
        <w:t>Introduction</w:t>
      </w:r>
    </w:p>
    <w:p w14:paraId="01DA8299" w14:textId="6F47FB95" w:rsidR="00313740" w:rsidRPr="00307335" w:rsidRDefault="00307335" w:rsidP="00307335">
      <w:pPr>
        <w:pStyle w:val="SingleTxtG"/>
        <w:rPr>
          <w:lang w:val="fr-FR"/>
        </w:rPr>
      </w:pPr>
      <w:r w:rsidRPr="00307335">
        <w:rPr>
          <w:lang w:val="fr-FR"/>
        </w:rPr>
        <w:t>2.</w:t>
      </w:r>
      <w:r w:rsidRPr="00307335">
        <w:rPr>
          <w:lang w:val="fr-FR"/>
        </w:rPr>
        <w:tab/>
      </w:r>
      <w:r w:rsidR="00A3548F" w:rsidRPr="00D01F31">
        <w:rPr>
          <w:rFonts w:eastAsia="Calibri"/>
          <w:lang w:val="fr-FR"/>
        </w:rPr>
        <w:t xml:space="preserve">Le Comité accueille avec satisfaction le rapport présenté par le Gabon en </w:t>
      </w:r>
      <w:r w:rsidR="00A3548F" w:rsidRPr="006E0DA0">
        <w:rPr>
          <w:lang w:val="fr-CH"/>
        </w:rPr>
        <w:t>application</w:t>
      </w:r>
      <w:r w:rsidR="00A3548F" w:rsidRPr="006E0DA0">
        <w:rPr>
          <w:rFonts w:eastAsia="Calibri"/>
          <w:lang w:val="fr-FR"/>
        </w:rPr>
        <w:t xml:space="preserve"> du paragraphe 1 de l’article 29 </w:t>
      </w:r>
      <w:r w:rsidR="00A3548F" w:rsidRPr="006E0DA0">
        <w:rPr>
          <w:lang w:val="fr-FR"/>
        </w:rPr>
        <w:t>de</w:t>
      </w:r>
      <w:r w:rsidR="00A3548F" w:rsidRPr="006E0DA0">
        <w:rPr>
          <w:rFonts w:eastAsia="Calibri"/>
          <w:lang w:val="fr-FR"/>
        </w:rPr>
        <w:t xml:space="preserve"> la Convention</w:t>
      </w:r>
      <w:r w:rsidR="00A3548F" w:rsidRPr="00660A67">
        <w:rPr>
          <w:rFonts w:eastAsia="Calibri"/>
          <w:lang w:val="fr-FR"/>
        </w:rPr>
        <w:t>. Il remercie l’Ambassad</w:t>
      </w:r>
      <w:r w:rsidR="00C21638" w:rsidRPr="00660A67">
        <w:rPr>
          <w:rFonts w:eastAsia="Calibri"/>
          <w:lang w:val="fr-FR"/>
        </w:rPr>
        <w:t xml:space="preserve">rice </w:t>
      </w:r>
      <w:r w:rsidR="00A3548F" w:rsidRPr="00D01F31">
        <w:rPr>
          <w:rFonts w:eastAsia="Calibri"/>
          <w:lang w:val="fr-FR"/>
        </w:rPr>
        <w:t>à G</w:t>
      </w:r>
      <w:r w:rsidR="00A3548F" w:rsidRPr="006E0DA0">
        <w:rPr>
          <w:rFonts w:eastAsia="Calibri"/>
          <w:lang w:val="fr-FR"/>
        </w:rPr>
        <w:t xml:space="preserve">enève pour sa présence et </w:t>
      </w:r>
      <w:r w:rsidR="00313740" w:rsidRPr="006E0DA0">
        <w:rPr>
          <w:rFonts w:eastAsia="Calibri"/>
          <w:lang w:val="fr-FR"/>
        </w:rPr>
        <w:t>l</w:t>
      </w:r>
      <w:r w:rsidR="00A3548F" w:rsidRPr="006E0DA0">
        <w:rPr>
          <w:rFonts w:eastAsia="Calibri"/>
          <w:lang w:val="fr-FR"/>
        </w:rPr>
        <w:t>es informations qu’elle a apportées. Il</w:t>
      </w:r>
      <w:r w:rsidR="00A3548F" w:rsidRPr="006E0DA0">
        <w:rPr>
          <w:lang w:val="fr-CH"/>
        </w:rPr>
        <w:t xml:space="preserve"> </w:t>
      </w:r>
      <w:r w:rsidR="00A3548F" w:rsidRPr="00660A67">
        <w:rPr>
          <w:rFonts w:eastAsia="Calibri"/>
          <w:lang w:val="fr-FR"/>
        </w:rPr>
        <w:t xml:space="preserve">remercie en outre l’État partie de ses réponses écrites (CED/C/GAB/Q/1/Add.1), </w:t>
      </w:r>
      <w:r w:rsidR="00912C4F" w:rsidRPr="00660A67">
        <w:rPr>
          <w:rFonts w:eastAsia="Calibri"/>
          <w:lang w:val="fr-FR"/>
        </w:rPr>
        <w:t>quoiqu’incomplètes</w:t>
      </w:r>
      <w:r w:rsidR="00A3548F" w:rsidRPr="00660A67">
        <w:rPr>
          <w:rFonts w:eastAsia="Calibri"/>
          <w:lang w:val="fr-FR"/>
        </w:rPr>
        <w:t>, à la liste de points (CED/C/GAB/Q/1). En outre, le Comité note que le document de base (HRI/CORE/1/Add.65/Rev.1) n’a pas été mis à jour depuis 1998.</w:t>
      </w:r>
    </w:p>
    <w:p w14:paraId="7D2DCC72" w14:textId="15BC2E46" w:rsidR="00A3548F" w:rsidRPr="00307335" w:rsidRDefault="00307335" w:rsidP="00307335">
      <w:pPr>
        <w:pStyle w:val="SingleTxtG"/>
        <w:rPr>
          <w:lang w:val="fr-FR"/>
        </w:rPr>
      </w:pPr>
      <w:r w:rsidRPr="00307335">
        <w:rPr>
          <w:lang w:val="fr-FR"/>
        </w:rPr>
        <w:t>3.</w:t>
      </w:r>
      <w:r w:rsidRPr="00307335">
        <w:rPr>
          <w:lang w:val="fr-FR"/>
        </w:rPr>
        <w:tab/>
      </w:r>
      <w:r w:rsidR="00A3548F" w:rsidRPr="00660A67">
        <w:rPr>
          <w:rFonts w:eastAsia="Calibri"/>
          <w:lang w:val="fr-FR"/>
        </w:rPr>
        <w:t>Mais le Comité déplore l’absence, annoncée le jour même du dialogue, de la délégation de l’</w:t>
      </w:r>
      <w:r w:rsidR="00A3548F" w:rsidRPr="00660A67">
        <w:rPr>
          <w:lang w:val="fr-FR"/>
        </w:rPr>
        <w:t>État</w:t>
      </w:r>
      <w:r w:rsidR="00A3548F" w:rsidRPr="00660A67">
        <w:rPr>
          <w:rFonts w:eastAsia="Calibri"/>
          <w:lang w:val="fr-FR"/>
        </w:rPr>
        <w:t xml:space="preserve"> partie </w:t>
      </w:r>
      <w:r w:rsidR="00886D4C" w:rsidRPr="00660A67">
        <w:rPr>
          <w:rFonts w:eastAsia="Calibri"/>
          <w:lang w:val="fr-FR"/>
        </w:rPr>
        <w:t xml:space="preserve">venue de la capitale </w:t>
      </w:r>
      <w:r w:rsidR="00A3548F" w:rsidRPr="00660A67">
        <w:rPr>
          <w:rFonts w:eastAsia="Calibri"/>
          <w:lang w:val="fr-FR"/>
        </w:rPr>
        <w:t>dont la liste avait été communiquée par note verbale. Le Comité souligne l’opportunité manquée par l’</w:t>
      </w:r>
      <w:r w:rsidR="00A3548F" w:rsidRPr="00660A67">
        <w:rPr>
          <w:lang w:val="fr-FR"/>
        </w:rPr>
        <w:t>État</w:t>
      </w:r>
      <w:r w:rsidR="00A3548F" w:rsidRPr="00660A67">
        <w:rPr>
          <w:rFonts w:eastAsia="Calibri"/>
          <w:lang w:val="fr-FR"/>
        </w:rPr>
        <w:t xml:space="preserve"> partie de présenter </w:t>
      </w:r>
      <w:r w:rsidR="00DA6468" w:rsidRPr="00660A67">
        <w:rPr>
          <w:rFonts w:eastAsia="Calibri"/>
          <w:lang w:val="fr-FR"/>
        </w:rPr>
        <w:t xml:space="preserve">pleinement </w:t>
      </w:r>
      <w:r w:rsidR="00A3548F" w:rsidRPr="00660A67">
        <w:rPr>
          <w:rFonts w:eastAsia="Calibri"/>
          <w:lang w:val="fr-FR"/>
        </w:rPr>
        <w:t xml:space="preserve">son rapport, d’y ajouter </w:t>
      </w:r>
      <w:r w:rsidR="00DA6468" w:rsidRPr="00660A67">
        <w:rPr>
          <w:rFonts w:eastAsia="Calibri"/>
          <w:lang w:val="fr-FR"/>
        </w:rPr>
        <w:t>d</w:t>
      </w:r>
      <w:r w:rsidR="00A3548F" w:rsidRPr="00660A67">
        <w:rPr>
          <w:rFonts w:eastAsia="Calibri"/>
          <w:lang w:val="fr-FR"/>
        </w:rPr>
        <w:t xml:space="preserve">es informations et d’apporter </w:t>
      </w:r>
      <w:r w:rsidR="00DA6468" w:rsidRPr="00660A67">
        <w:rPr>
          <w:rFonts w:eastAsia="Calibri"/>
          <w:lang w:val="fr-FR"/>
        </w:rPr>
        <w:t>d</w:t>
      </w:r>
      <w:r w:rsidR="00A3548F" w:rsidRPr="00660A67">
        <w:rPr>
          <w:rFonts w:eastAsia="Calibri"/>
          <w:lang w:val="fr-FR"/>
        </w:rPr>
        <w:t xml:space="preserve">es réponses aux membres du Comité. </w:t>
      </w:r>
    </w:p>
    <w:p w14:paraId="61093835" w14:textId="77777777" w:rsidR="00A3548F" w:rsidRPr="00105353" w:rsidRDefault="00A3548F" w:rsidP="00150ED3">
      <w:pPr>
        <w:pStyle w:val="H1G"/>
        <w:rPr>
          <w:lang w:val="fr-CH"/>
        </w:rPr>
      </w:pPr>
      <w:r w:rsidRPr="00660A67">
        <w:rPr>
          <w:sz w:val="28"/>
          <w:szCs w:val="28"/>
          <w:lang w:val="fr-FR"/>
        </w:rPr>
        <w:tab/>
      </w:r>
      <w:r w:rsidRPr="00660A67">
        <w:rPr>
          <w:lang w:val="fr-CH"/>
        </w:rPr>
        <w:t>B.</w:t>
      </w:r>
      <w:r w:rsidRPr="00660A67">
        <w:rPr>
          <w:lang w:val="fr-CH"/>
        </w:rPr>
        <w:tab/>
        <w:t>Aspects positifs</w:t>
      </w:r>
    </w:p>
    <w:p w14:paraId="39BE40C4" w14:textId="06701AAE" w:rsidR="007524B9" w:rsidRPr="0030575C" w:rsidRDefault="00307335" w:rsidP="00307335">
      <w:pPr>
        <w:pStyle w:val="SingleTxtG"/>
        <w:rPr>
          <w:lang w:val="fr-FR"/>
        </w:rPr>
      </w:pPr>
      <w:r w:rsidRPr="0030575C">
        <w:rPr>
          <w:lang w:val="fr-FR"/>
        </w:rPr>
        <w:t>4.</w:t>
      </w:r>
      <w:r w:rsidRPr="0030575C">
        <w:rPr>
          <w:lang w:val="fr-FR"/>
        </w:rPr>
        <w:tab/>
      </w:r>
      <w:r w:rsidR="00A3548F" w:rsidRPr="00105353">
        <w:rPr>
          <w:lang w:val="fr-FR"/>
        </w:rPr>
        <w:t xml:space="preserve">Le Comité constate avec satisfaction que l’État partie a ratifié la quasi-totalité des principaux </w:t>
      </w:r>
      <w:r w:rsidR="00A3548F" w:rsidRPr="00105353">
        <w:rPr>
          <w:rFonts w:eastAsia="Calibri"/>
          <w:lang w:val="fr-FR"/>
        </w:rPr>
        <w:t>instruments</w:t>
      </w:r>
      <w:r w:rsidR="00A3548F" w:rsidRPr="00105353">
        <w:rPr>
          <w:lang w:val="fr-FR"/>
        </w:rPr>
        <w:t xml:space="preserve"> des Nations Unies relatifs aux droits de l’homme et certains protocoles facultatifs s’y rapportant, notamment </w:t>
      </w:r>
      <w:r w:rsidR="00DA6468">
        <w:rPr>
          <w:lang w:val="fr-FR"/>
        </w:rPr>
        <w:t xml:space="preserve">le </w:t>
      </w:r>
      <w:r w:rsidR="00DA6468" w:rsidRPr="00105353">
        <w:rPr>
          <w:bCs/>
          <w:lang w:val="fr-CH"/>
        </w:rPr>
        <w:t xml:space="preserve">Protocole facultatif </w:t>
      </w:r>
      <w:r w:rsidR="00DA6468">
        <w:rPr>
          <w:bCs/>
          <w:lang w:val="fr-CH"/>
        </w:rPr>
        <w:t xml:space="preserve">se rapportant </w:t>
      </w:r>
      <w:r w:rsidR="00DA6468" w:rsidRPr="00105353">
        <w:rPr>
          <w:bCs/>
          <w:lang w:val="fr-CH"/>
        </w:rPr>
        <w:t>à la Convention contre la torture et autres peines ou traitements cruels, inhumains ou dégradants</w:t>
      </w:r>
      <w:r w:rsidR="00DA6468" w:rsidRPr="00105353">
        <w:rPr>
          <w:lang w:val="fr-FR"/>
        </w:rPr>
        <w:t xml:space="preserve"> </w:t>
      </w:r>
      <w:r w:rsidR="00A3548F" w:rsidRPr="00105353">
        <w:rPr>
          <w:lang w:val="fr-FR"/>
        </w:rPr>
        <w:t xml:space="preserve">en 2010, ainsi que le Statut de Rome de la Cour pénale internationale. Il salue en outre l’invitation permanente </w:t>
      </w:r>
      <w:r w:rsidR="00AD1DDD">
        <w:rPr>
          <w:lang w:val="fr-FR"/>
        </w:rPr>
        <w:t>adressée</w:t>
      </w:r>
      <w:r w:rsidR="00A3548F" w:rsidRPr="00105353">
        <w:rPr>
          <w:lang w:val="fr-FR"/>
        </w:rPr>
        <w:t xml:space="preserve"> par le Gouvernement à </w:t>
      </w:r>
      <w:r w:rsidR="00DA6468">
        <w:rPr>
          <w:lang w:val="fr-FR"/>
        </w:rPr>
        <w:t>tous les titulaires de mandat au titre d</w:t>
      </w:r>
      <w:r w:rsidR="00A3548F" w:rsidRPr="00105353">
        <w:rPr>
          <w:lang w:val="fr-FR"/>
        </w:rPr>
        <w:t>es procédures spéciales thématiques depuis 2012.</w:t>
      </w:r>
    </w:p>
    <w:p w14:paraId="52C76E2D" w14:textId="77777777" w:rsidR="0030575C" w:rsidRPr="0030575C" w:rsidRDefault="00A3548F" w:rsidP="00150ED3">
      <w:pPr>
        <w:pStyle w:val="H1G"/>
        <w:rPr>
          <w:lang w:val="fr-FR"/>
        </w:rPr>
      </w:pPr>
      <w:r w:rsidRPr="00105353">
        <w:rPr>
          <w:lang w:val="fr-FR"/>
        </w:rPr>
        <w:tab/>
      </w:r>
      <w:r w:rsidRPr="006E0DA0">
        <w:rPr>
          <w:lang w:val="fr-FR"/>
        </w:rPr>
        <w:t>C.</w:t>
      </w:r>
      <w:r w:rsidRPr="006E0DA0">
        <w:rPr>
          <w:lang w:val="fr-FR"/>
        </w:rPr>
        <w:tab/>
        <w:t>Principaux sujets de préoccupation et recommandations</w:t>
      </w:r>
      <w:r w:rsidR="0030575C" w:rsidRPr="0030575C">
        <w:rPr>
          <w:lang w:val="fr-FR"/>
        </w:rPr>
        <w:t xml:space="preserve"> </w:t>
      </w:r>
    </w:p>
    <w:p w14:paraId="0F1758B6" w14:textId="34218ECD" w:rsidR="005C6A2A" w:rsidRPr="0030575C" w:rsidRDefault="00307335" w:rsidP="00307335">
      <w:pPr>
        <w:pStyle w:val="SingleTxtG"/>
        <w:rPr>
          <w:lang w:val="fr-FR"/>
        </w:rPr>
      </w:pPr>
      <w:r w:rsidRPr="0030575C">
        <w:rPr>
          <w:lang w:val="fr-FR"/>
        </w:rPr>
        <w:t>5.</w:t>
      </w:r>
      <w:r w:rsidRPr="0030575C">
        <w:rPr>
          <w:lang w:val="fr-FR"/>
        </w:rPr>
        <w:tab/>
      </w:r>
      <w:r w:rsidR="005C6A2A" w:rsidRPr="0030575C">
        <w:rPr>
          <w:lang w:val="fr-FR"/>
        </w:rPr>
        <w:t xml:space="preserve">Le Comité estime qu’au moment de la rédaction des présentes observations finales le cadre législatif en vigueur dans l’État partie n’était pas conforme aux </w:t>
      </w:r>
      <w:r w:rsidR="005C6A2A">
        <w:rPr>
          <w:lang w:val="fr-FR"/>
        </w:rPr>
        <w:t>dispositions de</w:t>
      </w:r>
      <w:r w:rsidR="005C6A2A" w:rsidRPr="0030575C">
        <w:rPr>
          <w:lang w:val="fr-FR"/>
        </w:rPr>
        <w:t xml:space="preserve"> la </w:t>
      </w:r>
      <w:r w:rsidR="005C6A2A" w:rsidRPr="0030575C">
        <w:rPr>
          <w:lang w:val="fr-FR"/>
        </w:rPr>
        <w:lastRenderedPageBreak/>
        <w:t xml:space="preserve">Convention. Tout en notant la mise en route par l’État partie d’un processus législatif visant à réformer le </w:t>
      </w:r>
      <w:r w:rsidR="00DA6468">
        <w:rPr>
          <w:lang w:val="fr-FR"/>
        </w:rPr>
        <w:t>C</w:t>
      </w:r>
      <w:r w:rsidR="005C6A2A" w:rsidRPr="0030575C">
        <w:rPr>
          <w:lang w:val="fr-FR"/>
        </w:rPr>
        <w:t>ode pénal pour mettre en œuvre la Convention, le Comité lui recommande de tenir compte des recommandations contenues dans les présentes observations finales. Ces recommandations ont été formulées dans un esprit constructif et coopératif, afin de renforcer, dans les meilleurs délais, le cadre législatif et la manière dont il est appliqué par les autorités de l’État partie pour respecter pleinement les droits et les obligations énoncés dans la Convention.</w:t>
      </w:r>
    </w:p>
    <w:p w14:paraId="2922BB5E" w14:textId="77777777" w:rsidR="0030575C" w:rsidRPr="006E0DA0" w:rsidRDefault="0030575C" w:rsidP="00307335">
      <w:pPr>
        <w:pStyle w:val="H1G"/>
        <w:rPr>
          <w:lang w:val="fr-CH"/>
        </w:rPr>
      </w:pPr>
      <w:r w:rsidRPr="0030575C">
        <w:rPr>
          <w:lang w:val="fr-FR"/>
        </w:rPr>
        <w:tab/>
      </w:r>
      <w:r w:rsidRPr="0030575C">
        <w:rPr>
          <w:lang w:val="fr-FR"/>
        </w:rPr>
        <w:tab/>
      </w:r>
      <w:r w:rsidRPr="006E0DA0">
        <w:rPr>
          <w:lang w:val="fr-FR"/>
        </w:rPr>
        <w:t>Renseignements d’ordre général</w:t>
      </w:r>
    </w:p>
    <w:p w14:paraId="347AC36A" w14:textId="77777777" w:rsidR="0030575C" w:rsidRPr="00660A67" w:rsidRDefault="0030575C" w:rsidP="00307335">
      <w:pPr>
        <w:pStyle w:val="H23G"/>
        <w:rPr>
          <w:lang w:val="fr-FR"/>
        </w:rPr>
      </w:pPr>
      <w:r w:rsidRPr="00660A67">
        <w:rPr>
          <w:lang w:val="fr-FR"/>
        </w:rPr>
        <w:tab/>
      </w:r>
      <w:r w:rsidRPr="00660A67">
        <w:rPr>
          <w:lang w:val="fr-FR"/>
        </w:rPr>
        <w:tab/>
        <w:t>Compétence du Comité au titre des articles 31 et 32 de la Convention</w:t>
      </w:r>
    </w:p>
    <w:p w14:paraId="25690373" w14:textId="2849D949" w:rsidR="005C6A2A" w:rsidRDefault="00307335" w:rsidP="00307335">
      <w:pPr>
        <w:pStyle w:val="SingleTxtG"/>
        <w:rPr>
          <w:lang w:val="fr-FR"/>
        </w:rPr>
      </w:pPr>
      <w:r>
        <w:rPr>
          <w:lang w:val="fr-FR"/>
        </w:rPr>
        <w:t>6.</w:t>
      </w:r>
      <w:r>
        <w:rPr>
          <w:lang w:val="fr-FR"/>
        </w:rPr>
        <w:tab/>
      </w:r>
      <w:r w:rsidR="005C6A2A" w:rsidRPr="00660A67">
        <w:rPr>
          <w:lang w:val="fr-FR"/>
        </w:rPr>
        <w:t>Le Comité prend note des informations selon lesquelles l’État partie examine la question de</w:t>
      </w:r>
      <w:r w:rsidR="005C6A2A" w:rsidRPr="0030575C">
        <w:rPr>
          <w:lang w:val="fr-FR"/>
        </w:rPr>
        <w:t xml:space="preserve"> la compétence du Comité pour recevoir des communications individuelles ou interétatiques. Il regrette toutefois que l’État partie n’ait pas encore à ce jour fait les déclarations prévues au titre des articles 31 et 32 (art. 31 et 32).</w:t>
      </w:r>
    </w:p>
    <w:p w14:paraId="38C1E54A" w14:textId="6ABE798C" w:rsidR="005C6A2A" w:rsidRPr="0030575C" w:rsidRDefault="00307335" w:rsidP="00307335">
      <w:pPr>
        <w:pStyle w:val="SingleTxtG"/>
        <w:rPr>
          <w:b/>
          <w:lang w:val="fr-FR"/>
        </w:rPr>
      </w:pPr>
      <w:r w:rsidRPr="00307335">
        <w:rPr>
          <w:lang w:val="fr-FR"/>
        </w:rPr>
        <w:t>7.</w:t>
      </w:r>
      <w:r w:rsidRPr="0030575C">
        <w:rPr>
          <w:b/>
          <w:lang w:val="fr-FR"/>
        </w:rPr>
        <w:tab/>
      </w:r>
      <w:r w:rsidR="005C6A2A" w:rsidRPr="0030575C">
        <w:rPr>
          <w:b/>
          <w:lang w:val="fr-FR"/>
        </w:rPr>
        <w:t xml:space="preserve">Le Comité invite </w:t>
      </w:r>
      <w:r w:rsidR="005C6A2A" w:rsidRPr="00EA3327">
        <w:rPr>
          <w:b/>
          <w:bCs/>
          <w:lang w:val="fr-FR"/>
        </w:rPr>
        <w:t>l’État</w:t>
      </w:r>
      <w:r w:rsidR="005C6A2A" w:rsidRPr="0030575C">
        <w:rPr>
          <w:b/>
          <w:lang w:val="fr-FR"/>
        </w:rPr>
        <w:t xml:space="preserve"> partie à reconnaître, dans les meilleurs délais, la compétence du Comité au titre des articles 31 et 32 de la Convention, </w:t>
      </w:r>
      <w:r w:rsidR="005C6A2A" w:rsidRPr="0030575C">
        <w:rPr>
          <w:b/>
          <w:bCs/>
          <w:lang w:val="fr-FR"/>
        </w:rPr>
        <w:t>afin de renforcer le régime de protection contre les disparitions forcées prévu dans la Convention</w:t>
      </w:r>
      <w:r w:rsidR="005C6A2A" w:rsidRPr="0030575C">
        <w:rPr>
          <w:b/>
          <w:lang w:val="fr-FR"/>
        </w:rPr>
        <w:t>.</w:t>
      </w:r>
    </w:p>
    <w:p w14:paraId="439CF3EC" w14:textId="77777777" w:rsidR="0030575C" w:rsidRDefault="0030575C" w:rsidP="00307335">
      <w:pPr>
        <w:pStyle w:val="H23G"/>
        <w:rPr>
          <w:lang w:val="fr-FR"/>
        </w:rPr>
      </w:pPr>
      <w:r w:rsidRPr="0030575C">
        <w:rPr>
          <w:lang w:val="fr-FR"/>
        </w:rPr>
        <w:tab/>
      </w:r>
      <w:r w:rsidRPr="0030575C">
        <w:rPr>
          <w:lang w:val="fr-FR"/>
        </w:rPr>
        <w:tab/>
      </w:r>
      <w:r w:rsidRPr="006E0DA0">
        <w:rPr>
          <w:lang w:val="fr-FR"/>
        </w:rPr>
        <w:t>Institution nationale des droits de l’homme</w:t>
      </w:r>
    </w:p>
    <w:p w14:paraId="1EF0ED1E" w14:textId="6D8D8F47" w:rsidR="005C6A2A" w:rsidRPr="00660A67" w:rsidRDefault="00307335" w:rsidP="00307335">
      <w:pPr>
        <w:pStyle w:val="SingleTxtG"/>
        <w:rPr>
          <w:lang w:val="fr-FR"/>
        </w:rPr>
      </w:pPr>
      <w:r w:rsidRPr="00660A67">
        <w:rPr>
          <w:lang w:val="fr-FR"/>
        </w:rPr>
        <w:t>8.</w:t>
      </w:r>
      <w:r w:rsidRPr="00660A67">
        <w:rPr>
          <w:lang w:val="fr-FR"/>
        </w:rPr>
        <w:tab/>
      </w:r>
      <w:r w:rsidR="005C6A2A" w:rsidRPr="00660A67">
        <w:rPr>
          <w:lang w:val="fr-FR"/>
        </w:rPr>
        <w:t xml:space="preserve">Le Comité accueille les informations selon lesquelles un texte de loi portant refondation de la Commission nationale des droits de l’homme est en cours d’adoption au Parlement. Il constate toutefois avec préoccupation qu’en dépit de sa création depuis 2005, la </w:t>
      </w:r>
      <w:r w:rsidR="00DA6468">
        <w:rPr>
          <w:lang w:val="fr-FR"/>
        </w:rPr>
        <w:t>Commission nationale des droits de l’homme</w:t>
      </w:r>
      <w:r w:rsidR="005C6A2A" w:rsidRPr="00660A67">
        <w:rPr>
          <w:lang w:val="fr-FR"/>
        </w:rPr>
        <w:t xml:space="preserve"> ne semble toujours pas fonctionnelle à ce jour et n’a pas demandé son accréditation auprès du Comité international de coordination des institutions nationales pour la promotion et la protection des droits de l’homme.</w:t>
      </w:r>
    </w:p>
    <w:p w14:paraId="275FAF28" w14:textId="2A99E908" w:rsidR="005C6A2A" w:rsidRPr="00307335" w:rsidRDefault="00307335" w:rsidP="00307335">
      <w:pPr>
        <w:pStyle w:val="SingleTxtG"/>
        <w:rPr>
          <w:lang w:val="fr-FR"/>
        </w:rPr>
      </w:pPr>
      <w:r w:rsidRPr="00307335">
        <w:rPr>
          <w:lang w:val="fr-FR"/>
        </w:rPr>
        <w:t>9.</w:t>
      </w:r>
      <w:r w:rsidRPr="00307335">
        <w:rPr>
          <w:lang w:val="fr-FR"/>
        </w:rPr>
        <w:tab/>
      </w:r>
      <w:r w:rsidR="005C6A2A" w:rsidRPr="0030575C">
        <w:rPr>
          <w:b/>
          <w:lang w:val="fr-FR"/>
        </w:rPr>
        <w:t xml:space="preserve">Le Comité recommande à l’État partie d’accélérer l’adoption du projet de loi portant refondation de la </w:t>
      </w:r>
      <w:r w:rsidR="00DA6468" w:rsidRPr="00660A67">
        <w:rPr>
          <w:b/>
          <w:lang w:val="fr-FR"/>
        </w:rPr>
        <w:t>Commission nationale des droits de l’homme</w:t>
      </w:r>
      <w:r w:rsidR="00DA6468" w:rsidRPr="0030575C" w:rsidDel="00DA6468">
        <w:rPr>
          <w:b/>
          <w:lang w:val="fr-FR"/>
        </w:rPr>
        <w:t xml:space="preserve"> </w:t>
      </w:r>
      <w:r w:rsidR="005C6A2A" w:rsidRPr="0030575C">
        <w:rPr>
          <w:b/>
          <w:lang w:val="fr-FR"/>
        </w:rPr>
        <w:t xml:space="preserve">et encourage l’État partie à poursuivre ses efforts pour que la </w:t>
      </w:r>
      <w:r w:rsidR="00DA6468" w:rsidRPr="00DA6468">
        <w:rPr>
          <w:b/>
          <w:lang w:val="fr-FR"/>
        </w:rPr>
        <w:t>Commission nationale des droits de l’homme</w:t>
      </w:r>
      <w:r w:rsidR="00DA6468" w:rsidRPr="00DA6468" w:rsidDel="00DA6468">
        <w:rPr>
          <w:b/>
          <w:lang w:val="fr-FR"/>
        </w:rPr>
        <w:t xml:space="preserve"> </w:t>
      </w:r>
      <w:r w:rsidR="005C6A2A" w:rsidRPr="0030575C">
        <w:rPr>
          <w:b/>
          <w:lang w:val="fr-FR"/>
        </w:rPr>
        <w:t xml:space="preserve">soit conforme aux </w:t>
      </w:r>
      <w:r w:rsidR="00DA6468" w:rsidRPr="00DA6468">
        <w:rPr>
          <w:b/>
          <w:bCs/>
          <w:lang w:val="fr-FR"/>
        </w:rPr>
        <w:t xml:space="preserve">Principes concernant le statut des institutions nationales pour la promotion et la protection des droits de l’homme </w:t>
      </w:r>
      <w:r w:rsidR="00DA6468">
        <w:rPr>
          <w:b/>
          <w:bCs/>
          <w:lang w:val="fr-FR"/>
        </w:rPr>
        <w:t>(</w:t>
      </w:r>
      <w:r w:rsidR="00DA6468">
        <w:rPr>
          <w:b/>
          <w:lang w:val="fr-FR"/>
        </w:rPr>
        <w:t>P</w:t>
      </w:r>
      <w:r w:rsidR="005C6A2A" w:rsidRPr="0030575C">
        <w:rPr>
          <w:b/>
          <w:lang w:val="fr-FR"/>
        </w:rPr>
        <w:t>rincipes de Paris</w:t>
      </w:r>
      <w:r w:rsidR="00DA6468">
        <w:rPr>
          <w:b/>
          <w:lang w:val="fr-FR"/>
        </w:rPr>
        <w:t>)</w:t>
      </w:r>
      <w:r w:rsidR="005C6A2A" w:rsidRPr="0030575C">
        <w:rPr>
          <w:b/>
          <w:lang w:val="fr-FR"/>
        </w:rPr>
        <w:t xml:space="preserve"> </w:t>
      </w:r>
      <w:r w:rsidR="005C6A2A">
        <w:rPr>
          <w:b/>
          <w:bCs/>
          <w:lang w:val="fr-FR"/>
        </w:rPr>
        <w:t>et à</w:t>
      </w:r>
      <w:r w:rsidR="005C6A2A" w:rsidRPr="0030575C">
        <w:rPr>
          <w:b/>
          <w:bCs/>
          <w:lang w:val="fr-FR"/>
        </w:rPr>
        <w:t xml:space="preserve"> lui allou</w:t>
      </w:r>
      <w:r w:rsidR="005C6A2A">
        <w:rPr>
          <w:b/>
          <w:bCs/>
          <w:lang w:val="fr-FR"/>
        </w:rPr>
        <w:t>er</w:t>
      </w:r>
      <w:r w:rsidR="005C6A2A" w:rsidRPr="0030575C">
        <w:rPr>
          <w:b/>
          <w:bCs/>
          <w:lang w:val="fr-FR"/>
        </w:rPr>
        <w:t xml:space="preserve"> les ressources humaines et financières suffisantes pour son fonctionnement </w:t>
      </w:r>
      <w:r w:rsidR="00DA6468">
        <w:rPr>
          <w:b/>
          <w:bCs/>
          <w:lang w:val="fr-FR"/>
        </w:rPr>
        <w:t xml:space="preserve">en vue </w:t>
      </w:r>
      <w:r w:rsidR="005C6A2A">
        <w:rPr>
          <w:b/>
          <w:lang w:val="fr-FR"/>
        </w:rPr>
        <w:t>de permettre</w:t>
      </w:r>
      <w:r w:rsidR="005C6A2A" w:rsidRPr="0030575C">
        <w:rPr>
          <w:b/>
          <w:lang w:val="fr-FR"/>
        </w:rPr>
        <w:t xml:space="preserve"> dans les meilleurs délais </w:t>
      </w:r>
      <w:r w:rsidR="005C6A2A" w:rsidRPr="0030575C">
        <w:rPr>
          <w:b/>
          <w:bCs/>
          <w:lang w:val="fr-FR"/>
        </w:rPr>
        <w:t xml:space="preserve">son accréditation auprès </w:t>
      </w:r>
      <w:r w:rsidR="00DA6468">
        <w:rPr>
          <w:b/>
          <w:bCs/>
          <w:lang w:val="fr-FR"/>
        </w:rPr>
        <w:t>de l’</w:t>
      </w:r>
      <w:r w:rsidR="005C6A2A" w:rsidRPr="0030575C">
        <w:rPr>
          <w:b/>
          <w:bCs/>
          <w:lang w:val="fr-FR"/>
        </w:rPr>
        <w:t xml:space="preserve">Alliance </w:t>
      </w:r>
      <w:r w:rsidR="00DA6468">
        <w:rPr>
          <w:b/>
          <w:bCs/>
          <w:lang w:val="fr-FR"/>
        </w:rPr>
        <w:t xml:space="preserve">globale </w:t>
      </w:r>
      <w:r w:rsidR="005C6A2A" w:rsidRPr="0030575C">
        <w:rPr>
          <w:b/>
          <w:bCs/>
          <w:lang w:val="fr-FR"/>
        </w:rPr>
        <w:t>des institutions nationales des droits de l’homme.</w:t>
      </w:r>
    </w:p>
    <w:p w14:paraId="289D2644" w14:textId="77777777" w:rsidR="00A3548F" w:rsidRPr="00105353" w:rsidRDefault="00A3548F" w:rsidP="00307335">
      <w:pPr>
        <w:pStyle w:val="H1G"/>
        <w:rPr>
          <w:lang w:val="fr-FR"/>
        </w:rPr>
      </w:pPr>
      <w:r w:rsidRPr="00105353">
        <w:rPr>
          <w:lang w:val="fr-FR"/>
        </w:rPr>
        <w:tab/>
      </w:r>
      <w:r w:rsidRPr="00105353">
        <w:rPr>
          <w:lang w:val="fr-FR"/>
        </w:rPr>
        <w:tab/>
      </w:r>
      <w:r w:rsidRPr="00660A67">
        <w:rPr>
          <w:lang w:val="fr-FR"/>
        </w:rPr>
        <w:t>Définition et incrimination de la disparition forcée (art. 1</w:t>
      </w:r>
      <w:r w:rsidRPr="00660A67">
        <w:rPr>
          <w:vertAlign w:val="superscript"/>
          <w:lang w:val="fr-FR"/>
        </w:rPr>
        <w:t>er</w:t>
      </w:r>
      <w:r w:rsidRPr="00660A67">
        <w:rPr>
          <w:lang w:val="fr-FR"/>
        </w:rPr>
        <w:t xml:space="preserve"> à 7)</w:t>
      </w:r>
    </w:p>
    <w:p w14:paraId="2FD1B733" w14:textId="77777777" w:rsidR="00A3548F" w:rsidRPr="00105353" w:rsidRDefault="00A3548F" w:rsidP="00307335">
      <w:pPr>
        <w:pStyle w:val="H23G"/>
        <w:rPr>
          <w:lang w:val="fr-FR"/>
        </w:rPr>
      </w:pPr>
      <w:r w:rsidRPr="00105353">
        <w:rPr>
          <w:lang w:val="fr-FR"/>
        </w:rPr>
        <w:tab/>
      </w:r>
      <w:r w:rsidRPr="00105353">
        <w:rPr>
          <w:lang w:val="fr-FR"/>
        </w:rPr>
        <w:tab/>
        <w:t>Impossibilité de déroger à l’interdiction de la disparition forcée</w:t>
      </w:r>
    </w:p>
    <w:p w14:paraId="1B6DF7B8" w14:textId="2EAC7F3C" w:rsidR="00A3548F" w:rsidRPr="00105353" w:rsidRDefault="00307335" w:rsidP="00307335">
      <w:pPr>
        <w:pStyle w:val="SingleTxtG"/>
        <w:rPr>
          <w:lang w:val="fr-FR"/>
        </w:rPr>
      </w:pPr>
      <w:r w:rsidRPr="00105353">
        <w:rPr>
          <w:lang w:val="fr-FR"/>
        </w:rPr>
        <w:t>10.</w:t>
      </w:r>
      <w:r w:rsidRPr="00105353">
        <w:rPr>
          <w:lang w:val="fr-FR"/>
        </w:rPr>
        <w:tab/>
      </w:r>
      <w:r w:rsidR="00A3548F" w:rsidRPr="00105353">
        <w:rPr>
          <w:lang w:val="fr-FR"/>
        </w:rPr>
        <w:t xml:space="preserve">Le Comité constate avec préoccupation que </w:t>
      </w:r>
      <w:r w:rsidR="000E026B">
        <w:rPr>
          <w:lang w:val="fr-FR"/>
        </w:rPr>
        <w:t xml:space="preserve">dans </w:t>
      </w:r>
      <w:r w:rsidR="00A3548F" w:rsidRPr="00105353">
        <w:rPr>
          <w:lang w:val="fr-FR"/>
        </w:rPr>
        <w:t xml:space="preserve">le droit interne </w:t>
      </w:r>
      <w:r w:rsidR="000E026B">
        <w:rPr>
          <w:lang w:val="fr-FR"/>
        </w:rPr>
        <w:t xml:space="preserve">ne figure pas une affirmation </w:t>
      </w:r>
      <w:r w:rsidR="000E026B" w:rsidRPr="00E44177">
        <w:rPr>
          <w:lang w:val="fr-FR"/>
        </w:rPr>
        <w:t xml:space="preserve">claire </w:t>
      </w:r>
      <w:r w:rsidR="000E026B" w:rsidRPr="009641BA">
        <w:rPr>
          <w:lang w:val="fr-FR"/>
        </w:rPr>
        <w:t>du principe de non</w:t>
      </w:r>
      <w:r w:rsidR="00145DD2" w:rsidRPr="009641BA">
        <w:rPr>
          <w:lang w:val="fr-FR"/>
        </w:rPr>
        <w:t>-</w:t>
      </w:r>
      <w:r w:rsidR="000E026B" w:rsidRPr="009641BA">
        <w:rPr>
          <w:lang w:val="fr-FR"/>
        </w:rPr>
        <w:t>dérogeabilité</w:t>
      </w:r>
      <w:r w:rsidR="000E026B" w:rsidRPr="00E44177">
        <w:rPr>
          <w:lang w:val="fr-FR"/>
        </w:rPr>
        <w:t>,</w:t>
      </w:r>
      <w:r w:rsidR="000E026B">
        <w:rPr>
          <w:lang w:val="fr-FR"/>
        </w:rPr>
        <w:t xml:space="preserve"> établissant </w:t>
      </w:r>
      <w:r w:rsidR="00A3548F" w:rsidRPr="00105353">
        <w:rPr>
          <w:lang w:val="fr-FR"/>
        </w:rPr>
        <w:t>expressément qu’aucune circonstance</w:t>
      </w:r>
      <w:r w:rsidR="000E026B">
        <w:rPr>
          <w:lang w:val="fr-FR"/>
        </w:rPr>
        <w:t xml:space="preserve"> exceptionnelle, quelle qu’elle soit</w:t>
      </w:r>
      <w:r w:rsidR="00A3548F" w:rsidRPr="006C25A6">
        <w:rPr>
          <w:lang w:val="fr-FR"/>
        </w:rPr>
        <w:t>,</w:t>
      </w:r>
      <w:r w:rsidR="00A3548F" w:rsidRPr="00105353">
        <w:rPr>
          <w:lang w:val="fr-FR"/>
        </w:rPr>
        <w:t xml:space="preserve"> </w:t>
      </w:r>
      <w:r w:rsidR="000E026B">
        <w:rPr>
          <w:lang w:val="fr-FR"/>
        </w:rPr>
        <w:t>ne peut être invoquée pour déroger à l’interdiction de la disparition forcée</w:t>
      </w:r>
      <w:r w:rsidR="00A3548F" w:rsidRPr="00105353">
        <w:rPr>
          <w:lang w:val="fr-FR"/>
        </w:rPr>
        <w:t xml:space="preserve"> (art. 1</w:t>
      </w:r>
      <w:r w:rsidR="00145DD2" w:rsidRPr="00660A67">
        <w:rPr>
          <w:vertAlign w:val="superscript"/>
          <w:lang w:val="fr-FR"/>
        </w:rPr>
        <w:t>er</w:t>
      </w:r>
      <w:r w:rsidR="00A3548F" w:rsidRPr="00105353">
        <w:rPr>
          <w:lang w:val="fr-FR"/>
        </w:rPr>
        <w:t>).</w:t>
      </w:r>
    </w:p>
    <w:p w14:paraId="64C51FAA" w14:textId="67B1E509" w:rsidR="00A3548F" w:rsidRPr="00105353" w:rsidRDefault="00307335" w:rsidP="00307335">
      <w:pPr>
        <w:pStyle w:val="SingleTxtG"/>
        <w:rPr>
          <w:lang w:val="fr-FR"/>
        </w:rPr>
      </w:pPr>
      <w:r w:rsidRPr="00105353">
        <w:rPr>
          <w:lang w:val="fr-FR"/>
        </w:rPr>
        <w:t>11.</w:t>
      </w:r>
      <w:r w:rsidRPr="00105353">
        <w:rPr>
          <w:lang w:val="fr-FR"/>
        </w:rPr>
        <w:tab/>
      </w:r>
      <w:r w:rsidR="00A3548F" w:rsidRPr="00105353">
        <w:rPr>
          <w:b/>
          <w:bCs/>
          <w:lang w:val="fr-FR"/>
        </w:rPr>
        <w:t xml:space="preserve">Le </w:t>
      </w:r>
      <w:r w:rsidR="00A3548F" w:rsidRPr="00105353">
        <w:rPr>
          <w:b/>
          <w:lang w:val="fr-FR"/>
        </w:rPr>
        <w:t>Comité recommande à l’État partie de prendre les mesures nécessaires pour incorporer expressément dans le droit interne l’interdiction absolue de la disparition forcée, conformément au paragraphe 2 de l’article premier de la Convention.</w:t>
      </w:r>
    </w:p>
    <w:p w14:paraId="795CA415" w14:textId="6D4AF1A7" w:rsidR="00A3548F" w:rsidRPr="00105353" w:rsidRDefault="00A3548F" w:rsidP="00307335">
      <w:pPr>
        <w:pStyle w:val="H23G"/>
        <w:rPr>
          <w:lang w:val="fr-CH"/>
        </w:rPr>
      </w:pPr>
      <w:r w:rsidRPr="00105353">
        <w:rPr>
          <w:lang w:val="fr-CH"/>
        </w:rPr>
        <w:tab/>
      </w:r>
      <w:r w:rsidRPr="00105353">
        <w:rPr>
          <w:lang w:val="fr-CH"/>
        </w:rPr>
        <w:tab/>
        <w:t xml:space="preserve">Incorporation de la définition et incrimination de la disparition forcée </w:t>
      </w:r>
      <w:r w:rsidR="001A63A2">
        <w:rPr>
          <w:lang w:val="fr-CH"/>
        </w:rPr>
        <w:br/>
      </w:r>
      <w:r w:rsidRPr="00105353">
        <w:rPr>
          <w:lang w:val="fr-CH"/>
        </w:rPr>
        <w:t>dans le Code pénal</w:t>
      </w:r>
    </w:p>
    <w:p w14:paraId="720FA5F9" w14:textId="13BA288A" w:rsidR="00A3548F" w:rsidRPr="00307335" w:rsidRDefault="00307335" w:rsidP="00307335">
      <w:pPr>
        <w:pStyle w:val="SingleTxtG"/>
        <w:rPr>
          <w:lang w:val="fr-FR"/>
        </w:rPr>
      </w:pPr>
      <w:r w:rsidRPr="00307335">
        <w:rPr>
          <w:lang w:val="fr-FR"/>
        </w:rPr>
        <w:t>12.</w:t>
      </w:r>
      <w:r w:rsidRPr="00307335">
        <w:rPr>
          <w:lang w:val="fr-FR"/>
        </w:rPr>
        <w:tab/>
      </w:r>
      <w:r w:rsidR="00A3548F" w:rsidRPr="00105353">
        <w:rPr>
          <w:lang w:val="fr-CH"/>
        </w:rPr>
        <w:t xml:space="preserve">Le Comité prend note de l’intention manifestée par l’État partie d’incorporer la définition et </w:t>
      </w:r>
      <w:r w:rsidR="00A3548F" w:rsidRPr="00E61B47">
        <w:rPr>
          <w:lang w:val="fr-CH"/>
        </w:rPr>
        <w:t>l’incrimination de</w:t>
      </w:r>
      <w:r w:rsidR="00A3548F" w:rsidRPr="00105353">
        <w:rPr>
          <w:lang w:val="fr-CH"/>
        </w:rPr>
        <w:t xml:space="preserve"> la disparition forcée au Code pénal. Il constate toutefois avec </w:t>
      </w:r>
      <w:r w:rsidR="00A3548F" w:rsidRPr="00105353">
        <w:rPr>
          <w:lang w:val="fr-FR"/>
        </w:rPr>
        <w:t xml:space="preserve">préoccupation que ledit </w:t>
      </w:r>
      <w:r w:rsidR="00123D4F">
        <w:rPr>
          <w:lang w:val="fr-FR"/>
        </w:rPr>
        <w:t>c</w:t>
      </w:r>
      <w:r w:rsidR="00A3548F" w:rsidRPr="00105353">
        <w:rPr>
          <w:lang w:val="fr-FR"/>
        </w:rPr>
        <w:t xml:space="preserve">ode ne contient pas à ce </w:t>
      </w:r>
      <w:r w:rsidR="00A3548F" w:rsidRPr="00E44177">
        <w:rPr>
          <w:lang w:val="fr-FR"/>
        </w:rPr>
        <w:t xml:space="preserve">jour </w:t>
      </w:r>
      <w:r w:rsidR="00123D4F" w:rsidRPr="00E44177">
        <w:rPr>
          <w:lang w:val="fr-FR"/>
        </w:rPr>
        <w:t xml:space="preserve">ni </w:t>
      </w:r>
      <w:r w:rsidR="00A3548F" w:rsidRPr="00E44177">
        <w:rPr>
          <w:lang w:val="fr-FR"/>
        </w:rPr>
        <w:t xml:space="preserve">définition </w:t>
      </w:r>
      <w:r w:rsidR="00123D4F" w:rsidRPr="009641BA">
        <w:rPr>
          <w:lang w:val="fr-FR"/>
        </w:rPr>
        <w:t xml:space="preserve">ni </w:t>
      </w:r>
      <w:r w:rsidR="00A3548F" w:rsidRPr="009641BA">
        <w:rPr>
          <w:lang w:val="fr-FR"/>
        </w:rPr>
        <w:t>incrimination</w:t>
      </w:r>
      <w:r w:rsidR="00A3548F" w:rsidRPr="00105353">
        <w:rPr>
          <w:lang w:val="fr-FR"/>
        </w:rPr>
        <w:t xml:space="preserve"> de la disparition forcée </w:t>
      </w:r>
      <w:r w:rsidR="00A3548F" w:rsidRPr="006C25A6">
        <w:rPr>
          <w:lang w:val="fr-CH"/>
        </w:rPr>
        <w:t>comme</w:t>
      </w:r>
      <w:r w:rsidR="00A3548F" w:rsidRPr="00105353">
        <w:rPr>
          <w:lang w:val="fr-FR"/>
        </w:rPr>
        <w:t xml:space="preserve"> le requièrent les articles 2 et 4 de la Convention. Il note qu’en l’absence d’une définition et d’une incrimination de la disparition forcée, l’État partie renvoie dans son rapport, pour certaines questions, au régime général et aux règles pénales </w:t>
      </w:r>
      <w:r w:rsidR="00A3548F" w:rsidRPr="00105353">
        <w:rPr>
          <w:lang w:val="fr-FR"/>
        </w:rPr>
        <w:lastRenderedPageBreak/>
        <w:t>régissant d’autres infractions telles que la torture, les traitements cruels ou inhumains, la</w:t>
      </w:r>
      <w:r w:rsidR="009E7829">
        <w:rPr>
          <w:lang w:val="fr-FR"/>
        </w:rPr>
        <w:t> </w:t>
      </w:r>
      <w:r w:rsidR="00A3548F" w:rsidRPr="00105353">
        <w:rPr>
          <w:lang w:val="fr-FR"/>
        </w:rPr>
        <w:t xml:space="preserve">séquestration arbitraire, la détention, la séquestration et le recel de mineurs, mais qui ne constituent pas </w:t>
      </w:r>
      <w:r w:rsidR="00F26B78">
        <w:rPr>
          <w:lang w:val="fr-FR"/>
        </w:rPr>
        <w:t>des</w:t>
      </w:r>
      <w:r w:rsidR="00A3548F" w:rsidRPr="00105353">
        <w:rPr>
          <w:lang w:val="fr-FR"/>
        </w:rPr>
        <w:t xml:space="preserve"> crime</w:t>
      </w:r>
      <w:r w:rsidR="00F26B78">
        <w:rPr>
          <w:lang w:val="fr-FR"/>
        </w:rPr>
        <w:t>s</w:t>
      </w:r>
      <w:r w:rsidR="00A3548F" w:rsidRPr="00105353">
        <w:rPr>
          <w:lang w:val="fr-FR"/>
        </w:rPr>
        <w:t xml:space="preserve"> de disparition forcée. Le Comité rappelle qu’il ne suffit pas de renvoyer à plusieurs infractions ni aux règles les régissant pour satisfaire à cette obligation, car l’infraction de disparition forcée n’est pas une série d’infractions distinctes, mais une infraction </w:t>
      </w:r>
      <w:r w:rsidR="00BF53AD">
        <w:rPr>
          <w:lang w:val="fr-FR"/>
        </w:rPr>
        <w:t>autonome</w:t>
      </w:r>
      <w:r w:rsidR="00BF53AD" w:rsidRPr="00105353">
        <w:rPr>
          <w:lang w:val="fr-FR"/>
        </w:rPr>
        <w:t xml:space="preserve"> </w:t>
      </w:r>
      <w:r w:rsidR="00A3548F" w:rsidRPr="00105353">
        <w:rPr>
          <w:lang w:val="fr-FR"/>
        </w:rPr>
        <w:t xml:space="preserve">commise par des agents de l’État ou par des personnes ou des groupes de personnes agissant avec l’autorisation, l’appui ou l’acquiescement de l’État </w:t>
      </w:r>
      <w:r w:rsidR="000353A8">
        <w:rPr>
          <w:lang w:val="fr-FR"/>
        </w:rPr>
        <w:t>conformément à la définition de l’article 2</w:t>
      </w:r>
      <w:r w:rsidR="00AF0034">
        <w:rPr>
          <w:lang w:val="fr-FR"/>
        </w:rPr>
        <w:t xml:space="preserve"> de la Convention</w:t>
      </w:r>
      <w:r w:rsidR="00A3548F" w:rsidRPr="00105353">
        <w:rPr>
          <w:lang w:val="fr-FR"/>
        </w:rPr>
        <w:t xml:space="preserve">. </w:t>
      </w:r>
      <w:r w:rsidR="00A3548F" w:rsidRPr="00105353">
        <w:rPr>
          <w:color w:val="000000"/>
          <w:lang w:val="fr-FR"/>
        </w:rPr>
        <w:t>De plus, le Comité regrette de ne pas avoir reçu d’informations pertinentes quant à l’incrimination spécifique de la disparition forcée en tant que crime contre l’humanité conformément aux normes établies à l’article 5 de la Convention</w:t>
      </w:r>
      <w:r w:rsidR="00A3548F" w:rsidRPr="00105353">
        <w:rPr>
          <w:color w:val="000000"/>
          <w:lang w:val="fr-CH"/>
        </w:rPr>
        <w:t xml:space="preserve"> (</w:t>
      </w:r>
      <w:r w:rsidR="00A3548F" w:rsidRPr="00105353">
        <w:rPr>
          <w:lang w:val="fr-CH"/>
        </w:rPr>
        <w:t>art. 2 à 8).</w:t>
      </w:r>
    </w:p>
    <w:p w14:paraId="5D5F3478" w14:textId="131B272A" w:rsidR="00EB708A" w:rsidRPr="00307335" w:rsidRDefault="00307335" w:rsidP="00307335">
      <w:pPr>
        <w:pStyle w:val="SingleTxtG"/>
        <w:rPr>
          <w:lang w:val="fr-FR"/>
        </w:rPr>
      </w:pPr>
      <w:r w:rsidRPr="00307335">
        <w:rPr>
          <w:lang w:val="fr-FR"/>
        </w:rPr>
        <w:t>13.</w:t>
      </w:r>
      <w:r w:rsidRPr="00307335">
        <w:rPr>
          <w:lang w:val="fr-FR"/>
        </w:rPr>
        <w:tab/>
      </w:r>
      <w:r w:rsidR="00A3548F" w:rsidRPr="00105353">
        <w:rPr>
          <w:b/>
          <w:lang w:val="fr-CH"/>
        </w:rPr>
        <w:t xml:space="preserve">Le Comité recommande à l’État partie d’accélérer le processus de révision du Code pénal visant à mettre en œuvre la Convention. Ce faisant, il </w:t>
      </w:r>
      <w:r w:rsidR="00E93112">
        <w:rPr>
          <w:b/>
          <w:lang w:val="fr-CH"/>
        </w:rPr>
        <w:t>exhorte l</w:t>
      </w:r>
      <w:r w:rsidR="00A3548F" w:rsidRPr="00105353">
        <w:rPr>
          <w:b/>
          <w:lang w:val="fr-CH"/>
        </w:rPr>
        <w:t>’</w:t>
      </w:r>
      <w:r w:rsidR="00A3548F" w:rsidRPr="00105353">
        <w:rPr>
          <w:b/>
          <w:lang w:val="fr-FR"/>
        </w:rPr>
        <w:t>État</w:t>
      </w:r>
      <w:r w:rsidR="00A3548F" w:rsidRPr="00105353">
        <w:rPr>
          <w:b/>
          <w:lang w:val="fr-CH"/>
        </w:rPr>
        <w:t xml:space="preserve"> partie: a) </w:t>
      </w:r>
      <w:r w:rsidR="00F26B78">
        <w:rPr>
          <w:b/>
          <w:lang w:val="fr-CH"/>
        </w:rPr>
        <w:t xml:space="preserve">à </w:t>
      </w:r>
      <w:r w:rsidR="00A3548F" w:rsidRPr="00105353">
        <w:rPr>
          <w:b/>
          <w:lang w:val="fr-CH"/>
        </w:rPr>
        <w:t xml:space="preserve">définir et </w:t>
      </w:r>
      <w:r w:rsidR="00F26B78">
        <w:rPr>
          <w:b/>
          <w:lang w:val="fr-CH"/>
        </w:rPr>
        <w:t xml:space="preserve">à </w:t>
      </w:r>
      <w:r w:rsidR="00A3548F" w:rsidRPr="00105353">
        <w:rPr>
          <w:b/>
          <w:lang w:val="fr-CH"/>
        </w:rPr>
        <w:t xml:space="preserve">incriminer la disparition forcée comme une infraction autonome, conformément à l’article 2 de la Convention, et passible de peines </w:t>
      </w:r>
      <w:r w:rsidR="00A3548F" w:rsidRPr="00660A67">
        <w:rPr>
          <w:b/>
          <w:bCs/>
          <w:lang w:val="fr-FR"/>
        </w:rPr>
        <w:t>appropriées</w:t>
      </w:r>
      <w:r w:rsidR="00A3548F" w:rsidRPr="00105353">
        <w:rPr>
          <w:b/>
          <w:lang w:val="fr-CH"/>
        </w:rPr>
        <w:t xml:space="preserve"> prenant en compte son extrême gravité; </w:t>
      </w:r>
      <w:r w:rsidR="00E93112">
        <w:rPr>
          <w:b/>
          <w:lang w:val="fr-CH"/>
        </w:rPr>
        <w:t xml:space="preserve">et </w:t>
      </w:r>
      <w:r w:rsidR="00EB708A">
        <w:rPr>
          <w:b/>
          <w:lang w:val="fr-CH"/>
        </w:rPr>
        <w:t>b)</w:t>
      </w:r>
      <w:r w:rsidR="00117C63">
        <w:rPr>
          <w:b/>
          <w:lang w:val="fr-CH"/>
        </w:rPr>
        <w:t> </w:t>
      </w:r>
      <w:r w:rsidR="00F26B78">
        <w:rPr>
          <w:b/>
          <w:lang w:val="fr-CH"/>
        </w:rPr>
        <w:t xml:space="preserve">à </w:t>
      </w:r>
      <w:r w:rsidR="00EB708A" w:rsidRPr="00105353">
        <w:rPr>
          <w:b/>
          <w:color w:val="000000"/>
          <w:lang w:val="fr-CH"/>
        </w:rPr>
        <w:t>incriminer spécifiquement la disparition forcée en crime contre l’humanité dans les cas prévus par l’article 5 de la Convention.</w:t>
      </w:r>
      <w:r w:rsidR="00EB708A" w:rsidRPr="00105353">
        <w:rPr>
          <w:b/>
          <w:lang w:val="fr-FR"/>
        </w:rPr>
        <w:t xml:space="preserve"> </w:t>
      </w:r>
    </w:p>
    <w:p w14:paraId="286CD8E8" w14:textId="6C945F5B" w:rsidR="00A3548F" w:rsidRPr="00307335" w:rsidRDefault="00307335" w:rsidP="00307335">
      <w:pPr>
        <w:pStyle w:val="SingleTxtG"/>
        <w:rPr>
          <w:lang w:val="fr-FR"/>
        </w:rPr>
      </w:pPr>
      <w:r w:rsidRPr="00307335">
        <w:rPr>
          <w:lang w:val="fr-FR"/>
        </w:rPr>
        <w:t>14.</w:t>
      </w:r>
      <w:r w:rsidRPr="00307335">
        <w:rPr>
          <w:lang w:val="fr-FR"/>
        </w:rPr>
        <w:tab/>
      </w:r>
      <w:r w:rsidR="00EB708A">
        <w:rPr>
          <w:b/>
          <w:lang w:val="fr-CH"/>
        </w:rPr>
        <w:t>En outre le Comité recommande</w:t>
      </w:r>
      <w:r w:rsidR="00F26B78">
        <w:rPr>
          <w:b/>
          <w:lang w:val="fr-CH"/>
        </w:rPr>
        <w:t> </w:t>
      </w:r>
      <w:r w:rsidR="00EB708A">
        <w:rPr>
          <w:b/>
          <w:lang w:val="fr-CH"/>
        </w:rPr>
        <w:t xml:space="preserve">: </w:t>
      </w:r>
      <w:r w:rsidR="00E93112">
        <w:rPr>
          <w:b/>
          <w:lang w:val="fr-FR"/>
        </w:rPr>
        <w:t>a</w:t>
      </w:r>
      <w:r w:rsidR="00A3548F" w:rsidRPr="00105353">
        <w:rPr>
          <w:b/>
          <w:lang w:val="fr-FR"/>
        </w:rPr>
        <w:t xml:space="preserve">) </w:t>
      </w:r>
      <w:r w:rsidR="00F26B78">
        <w:rPr>
          <w:b/>
          <w:lang w:val="fr-FR"/>
        </w:rPr>
        <w:t xml:space="preserve">de </w:t>
      </w:r>
      <w:r w:rsidR="00A3548F" w:rsidRPr="00105353">
        <w:rPr>
          <w:b/>
          <w:lang w:val="fr-FR"/>
        </w:rPr>
        <w:t xml:space="preserve">prévoir des circonstances atténuantes et des circonstances aggravantes spécifiques conformément au paragraphe 2 de l’article 7 de la Convention ; </w:t>
      </w:r>
      <w:r w:rsidR="00E93112">
        <w:rPr>
          <w:b/>
          <w:lang w:val="fr-FR"/>
        </w:rPr>
        <w:t>b</w:t>
      </w:r>
      <w:r w:rsidR="00A3548F" w:rsidRPr="00105353">
        <w:rPr>
          <w:b/>
          <w:lang w:val="fr-FR"/>
        </w:rPr>
        <w:t xml:space="preserve">) </w:t>
      </w:r>
      <w:r w:rsidR="00F26B78">
        <w:rPr>
          <w:b/>
          <w:lang w:val="fr-FR"/>
        </w:rPr>
        <w:t xml:space="preserve">de veiller à ce </w:t>
      </w:r>
      <w:r w:rsidR="00A3548F" w:rsidRPr="00105353">
        <w:rPr>
          <w:b/>
          <w:lang w:val="fr-FR"/>
        </w:rPr>
        <w:t xml:space="preserve">que les circonstances atténuantes ne donnent en aucun cas lieu à l’absence de sanction appropriée ; </w:t>
      </w:r>
      <w:r w:rsidR="00EB708A">
        <w:rPr>
          <w:b/>
          <w:lang w:val="fr-FR"/>
        </w:rPr>
        <w:t xml:space="preserve">et </w:t>
      </w:r>
      <w:r w:rsidR="00E93112">
        <w:rPr>
          <w:b/>
          <w:lang w:val="fr-FR"/>
        </w:rPr>
        <w:t>c</w:t>
      </w:r>
      <w:r w:rsidR="00A3548F" w:rsidRPr="00105353">
        <w:rPr>
          <w:b/>
          <w:lang w:val="fr-FR"/>
        </w:rPr>
        <w:t xml:space="preserve">) </w:t>
      </w:r>
      <w:r w:rsidR="00F26B78">
        <w:rPr>
          <w:b/>
          <w:lang w:val="fr-FR"/>
        </w:rPr>
        <w:t xml:space="preserve">de veiller à ce </w:t>
      </w:r>
      <w:r w:rsidR="00A3548F" w:rsidRPr="00105353">
        <w:rPr>
          <w:b/>
          <w:lang w:val="fr-FR"/>
        </w:rPr>
        <w:t xml:space="preserve">qu’une fois intégrée, l’infraction de disparition forcée ne soit pas </w:t>
      </w:r>
      <w:r w:rsidR="00A3548F" w:rsidRPr="00105353">
        <w:rPr>
          <w:b/>
          <w:bCs/>
          <w:lang w:val="fr-FR"/>
        </w:rPr>
        <w:t xml:space="preserve">prescriptible ou, si elle l’est, à prévoir, conformément à l’article 8 de la Convention, un délai de prescription de longue durée et proportionné à l’extrême gravité de ce crime et, compte tenu du caractère continu de la disparition forcée, </w:t>
      </w:r>
      <w:r w:rsidR="00F26B78">
        <w:rPr>
          <w:b/>
          <w:bCs/>
          <w:lang w:val="fr-FR"/>
        </w:rPr>
        <w:t xml:space="preserve">de veiller à ce </w:t>
      </w:r>
      <w:r w:rsidR="00A3548F" w:rsidRPr="00105353">
        <w:rPr>
          <w:b/>
          <w:bCs/>
          <w:lang w:val="fr-FR"/>
        </w:rPr>
        <w:t>que ce délai commence à courir lorsque cesse l’infraction</w:t>
      </w:r>
      <w:r w:rsidR="00EB708A">
        <w:rPr>
          <w:b/>
          <w:bCs/>
          <w:lang w:val="fr-FR"/>
        </w:rPr>
        <w:t>.</w:t>
      </w:r>
    </w:p>
    <w:p w14:paraId="72C9F2AD" w14:textId="27B6D396" w:rsidR="00A3548F" w:rsidRPr="00105353" w:rsidRDefault="00A3548F" w:rsidP="00307335">
      <w:pPr>
        <w:pStyle w:val="H23G"/>
        <w:rPr>
          <w:lang w:val="fr-CH"/>
        </w:rPr>
      </w:pPr>
      <w:r w:rsidRPr="00105353">
        <w:rPr>
          <w:lang w:val="fr-FR"/>
        </w:rPr>
        <w:tab/>
      </w:r>
      <w:r w:rsidRPr="00105353">
        <w:rPr>
          <w:lang w:val="fr-FR"/>
        </w:rPr>
        <w:tab/>
      </w:r>
      <w:r w:rsidR="00E93112">
        <w:rPr>
          <w:lang w:val="fr-CH"/>
        </w:rPr>
        <w:t>R</w:t>
      </w:r>
      <w:r w:rsidRPr="00105353">
        <w:rPr>
          <w:lang w:val="fr-CH"/>
        </w:rPr>
        <w:t xml:space="preserve">esponsabilité </w:t>
      </w:r>
      <w:r w:rsidR="008C5570">
        <w:rPr>
          <w:lang w:val="fr-CH"/>
        </w:rPr>
        <w:t xml:space="preserve">pénale </w:t>
      </w:r>
      <w:r w:rsidRPr="00105353">
        <w:rPr>
          <w:lang w:val="fr-CH"/>
        </w:rPr>
        <w:t>du supérieur</w:t>
      </w:r>
      <w:r w:rsidR="009269A0">
        <w:rPr>
          <w:lang w:val="fr-CH"/>
        </w:rPr>
        <w:t xml:space="preserve"> </w:t>
      </w:r>
    </w:p>
    <w:p w14:paraId="486FD21B" w14:textId="1CAE7A3E" w:rsidR="00A3548F" w:rsidRPr="00105353" w:rsidRDefault="00307335" w:rsidP="00307335">
      <w:pPr>
        <w:pStyle w:val="SingleTxtG"/>
        <w:rPr>
          <w:lang w:val="fr-CH"/>
        </w:rPr>
      </w:pPr>
      <w:r w:rsidRPr="00105353">
        <w:rPr>
          <w:lang w:val="fr-CH"/>
        </w:rPr>
        <w:t>15.</w:t>
      </w:r>
      <w:r w:rsidRPr="00105353">
        <w:rPr>
          <w:lang w:val="fr-CH"/>
        </w:rPr>
        <w:tab/>
      </w:r>
      <w:r w:rsidR="0009586F">
        <w:rPr>
          <w:lang w:val="fr-CH"/>
        </w:rPr>
        <w:t>Le Comité</w:t>
      </w:r>
      <w:r w:rsidR="00A3548F" w:rsidRPr="00105353">
        <w:rPr>
          <w:lang w:val="fr-CH"/>
        </w:rPr>
        <w:t xml:space="preserve"> constate que la législation en vigueur dans l’État partie ne répond pas aux obligations découlant de l’alinéa b) du paragraphe 1 de l’article 6 de la Convention pour ce qui est de la responsabilité pénale d</w:t>
      </w:r>
      <w:r w:rsidR="004B5588">
        <w:rPr>
          <w:lang w:val="fr-CH"/>
        </w:rPr>
        <w:t>u</w:t>
      </w:r>
      <w:r w:rsidR="00A3548F" w:rsidRPr="00105353">
        <w:rPr>
          <w:lang w:val="fr-CH"/>
        </w:rPr>
        <w:t xml:space="preserve"> supérieur (art. 6). </w:t>
      </w:r>
    </w:p>
    <w:p w14:paraId="04DC2802" w14:textId="443E14BD" w:rsidR="00A3548F" w:rsidRPr="00307335" w:rsidRDefault="00307335" w:rsidP="00307335">
      <w:pPr>
        <w:pStyle w:val="SingleTxtG"/>
        <w:rPr>
          <w:lang w:val="fr-FR"/>
        </w:rPr>
      </w:pPr>
      <w:r w:rsidRPr="00307335">
        <w:rPr>
          <w:lang w:val="fr-FR"/>
        </w:rPr>
        <w:t>16.</w:t>
      </w:r>
      <w:r w:rsidRPr="00307335">
        <w:rPr>
          <w:lang w:val="fr-FR"/>
        </w:rPr>
        <w:tab/>
      </w:r>
      <w:r w:rsidR="00A3548F" w:rsidRPr="00105353">
        <w:rPr>
          <w:b/>
          <w:lang w:val="fr-CH"/>
        </w:rPr>
        <w:t xml:space="preserve">Le Comité recommande à l’État </w:t>
      </w:r>
      <w:r w:rsidR="00A3548F" w:rsidRPr="00E44177">
        <w:rPr>
          <w:b/>
          <w:lang w:val="fr-CH"/>
        </w:rPr>
        <w:t xml:space="preserve">partie, </w:t>
      </w:r>
      <w:r w:rsidR="00A3548F" w:rsidRPr="009641BA">
        <w:rPr>
          <w:b/>
          <w:lang w:val="fr-CH"/>
        </w:rPr>
        <w:t xml:space="preserve">lorsqu’il </w:t>
      </w:r>
      <w:r w:rsidR="00E61B47" w:rsidRPr="009641BA">
        <w:rPr>
          <w:b/>
          <w:lang w:val="fr-CH"/>
        </w:rPr>
        <w:t xml:space="preserve">inclura dans son Code pénal la définition et l’incrimination de </w:t>
      </w:r>
      <w:r w:rsidR="00A3548F" w:rsidRPr="009641BA">
        <w:rPr>
          <w:b/>
          <w:lang w:val="fr-CH"/>
        </w:rPr>
        <w:t>la disparition forcée</w:t>
      </w:r>
      <w:r w:rsidR="00956CBF">
        <w:rPr>
          <w:b/>
          <w:lang w:val="fr-CH"/>
        </w:rPr>
        <w:t>,</w:t>
      </w:r>
      <w:r w:rsidR="0009586F">
        <w:rPr>
          <w:b/>
          <w:lang w:val="fr-CH"/>
        </w:rPr>
        <w:t xml:space="preserve"> </w:t>
      </w:r>
      <w:r w:rsidR="00A3548F" w:rsidRPr="00105353">
        <w:rPr>
          <w:b/>
          <w:lang w:val="fr-CH"/>
        </w:rPr>
        <w:t>d’établir expressément la responsabilité pénale d</w:t>
      </w:r>
      <w:r w:rsidR="004B5588">
        <w:rPr>
          <w:b/>
          <w:lang w:val="fr-CH"/>
        </w:rPr>
        <w:t>u</w:t>
      </w:r>
      <w:r w:rsidR="00A3548F" w:rsidRPr="00105353">
        <w:rPr>
          <w:b/>
          <w:lang w:val="fr-CH"/>
        </w:rPr>
        <w:t xml:space="preserve"> supérieur, conformément aux dispositions de l’alinéa</w:t>
      </w:r>
      <w:r w:rsidR="009E7829">
        <w:rPr>
          <w:b/>
          <w:lang w:val="fr-CH"/>
        </w:rPr>
        <w:t> </w:t>
      </w:r>
      <w:r w:rsidR="00A3548F" w:rsidRPr="00105353">
        <w:rPr>
          <w:b/>
          <w:lang w:val="fr-CH"/>
        </w:rPr>
        <w:t>b) du paragraphe 1 de l’article 6 de la Convention.</w:t>
      </w:r>
    </w:p>
    <w:p w14:paraId="0CF7922C" w14:textId="56BFF53F" w:rsidR="0009586F" w:rsidRDefault="001A63A2" w:rsidP="00307335">
      <w:pPr>
        <w:pStyle w:val="H23G"/>
        <w:rPr>
          <w:lang w:val="fr-CH"/>
        </w:rPr>
      </w:pPr>
      <w:r>
        <w:rPr>
          <w:lang w:val="fr-CH"/>
        </w:rPr>
        <w:tab/>
      </w:r>
      <w:r>
        <w:rPr>
          <w:lang w:val="fr-CH"/>
        </w:rPr>
        <w:tab/>
      </w:r>
      <w:r w:rsidR="0009586F" w:rsidRPr="0009586F">
        <w:rPr>
          <w:lang w:val="fr-CH"/>
        </w:rPr>
        <w:t>Ordre du supérieur</w:t>
      </w:r>
    </w:p>
    <w:p w14:paraId="10AF535E" w14:textId="1643DB3B" w:rsidR="0009586F" w:rsidRDefault="00307335" w:rsidP="00307335">
      <w:pPr>
        <w:pStyle w:val="SingleTxtG"/>
        <w:rPr>
          <w:lang w:val="fr-CH"/>
        </w:rPr>
      </w:pPr>
      <w:r>
        <w:rPr>
          <w:lang w:val="fr-CH"/>
        </w:rPr>
        <w:t>17.</w:t>
      </w:r>
      <w:r>
        <w:rPr>
          <w:lang w:val="fr-CH"/>
        </w:rPr>
        <w:tab/>
      </w:r>
      <w:r w:rsidR="0009586F" w:rsidRPr="00105353">
        <w:rPr>
          <w:lang w:val="fr-CH"/>
        </w:rPr>
        <w:t xml:space="preserve">Tout en prenant note des informations fournies dans le rapport selon lesquelles le droit pénal gabonais fait application de la théorie de la baïonnette intelligente, le Comité demeure inquiet </w:t>
      </w:r>
      <w:r w:rsidR="0009586F">
        <w:rPr>
          <w:lang w:val="fr-CH"/>
        </w:rPr>
        <w:t>quant à la possibilité d’invoquer un ordre ou une instruction pour justifier un crime de disparition forcée</w:t>
      </w:r>
      <w:r w:rsidR="002944F6">
        <w:rPr>
          <w:lang w:val="fr-CH"/>
        </w:rPr>
        <w:t xml:space="preserve"> (art. 6)</w:t>
      </w:r>
      <w:r w:rsidR="0009586F">
        <w:rPr>
          <w:lang w:val="fr-CH"/>
        </w:rPr>
        <w:t>.</w:t>
      </w:r>
    </w:p>
    <w:p w14:paraId="62ED2F95" w14:textId="37677016" w:rsidR="0009586F" w:rsidRPr="00307335" w:rsidRDefault="00307335" w:rsidP="00307335">
      <w:pPr>
        <w:pStyle w:val="SingleTxtG"/>
        <w:rPr>
          <w:lang w:val="fr-FR"/>
        </w:rPr>
      </w:pPr>
      <w:r w:rsidRPr="00307335">
        <w:rPr>
          <w:lang w:val="fr-FR"/>
        </w:rPr>
        <w:t>18.</w:t>
      </w:r>
      <w:r w:rsidRPr="00307335">
        <w:rPr>
          <w:lang w:val="fr-FR"/>
        </w:rPr>
        <w:tab/>
      </w:r>
      <w:r w:rsidR="0009586F" w:rsidRPr="00105353">
        <w:rPr>
          <w:b/>
          <w:lang w:val="fr-CH"/>
        </w:rPr>
        <w:t xml:space="preserve">Le Comité recommande à l’État partie, </w:t>
      </w:r>
      <w:r w:rsidR="0009586F" w:rsidRPr="009641BA">
        <w:rPr>
          <w:b/>
          <w:lang w:val="fr-CH"/>
        </w:rPr>
        <w:t xml:space="preserve">lorsqu’il </w:t>
      </w:r>
      <w:r w:rsidR="00E61B47" w:rsidRPr="009641BA">
        <w:rPr>
          <w:b/>
          <w:lang w:val="fr-CH"/>
        </w:rPr>
        <w:t>inclura dans son Code pénal la définition et l’incrimination de la disparition forcée</w:t>
      </w:r>
      <w:r w:rsidR="0009586F" w:rsidRPr="009641BA">
        <w:rPr>
          <w:b/>
          <w:lang w:val="fr-CH"/>
        </w:rPr>
        <w:t>, de mettre</w:t>
      </w:r>
      <w:r w:rsidR="0009586F" w:rsidRPr="00105353">
        <w:rPr>
          <w:b/>
          <w:lang w:val="fr-CH"/>
        </w:rPr>
        <w:t xml:space="preserve"> en conformité ledit code avec le paragraphe 2 de l’article de 6 de la Convention</w:t>
      </w:r>
      <w:r w:rsidR="006E293D">
        <w:rPr>
          <w:b/>
          <w:lang w:val="fr-CH"/>
        </w:rPr>
        <w:t>.</w:t>
      </w:r>
    </w:p>
    <w:p w14:paraId="4047513A" w14:textId="77777777" w:rsidR="00A3548F" w:rsidRPr="00105353" w:rsidRDefault="00A3548F" w:rsidP="00307335">
      <w:pPr>
        <w:pStyle w:val="H23G"/>
        <w:rPr>
          <w:lang w:val="fr-CH"/>
        </w:rPr>
      </w:pPr>
      <w:r w:rsidRPr="00105353">
        <w:rPr>
          <w:lang w:val="fr-CH"/>
        </w:rPr>
        <w:tab/>
      </w:r>
      <w:r w:rsidRPr="00105353">
        <w:rPr>
          <w:lang w:val="fr-CH"/>
        </w:rPr>
        <w:tab/>
        <w:t>Traite des personnes</w:t>
      </w:r>
    </w:p>
    <w:p w14:paraId="0B03FFB5" w14:textId="2D6C8642" w:rsidR="00A3548F" w:rsidRPr="00105353" w:rsidRDefault="00307335" w:rsidP="00307335">
      <w:pPr>
        <w:pStyle w:val="SingleTxtG"/>
        <w:rPr>
          <w:lang w:val="fr-CH"/>
        </w:rPr>
      </w:pPr>
      <w:r w:rsidRPr="00105353">
        <w:rPr>
          <w:lang w:val="fr-CH"/>
        </w:rPr>
        <w:t>19.</w:t>
      </w:r>
      <w:r w:rsidRPr="00105353">
        <w:rPr>
          <w:lang w:val="fr-CH"/>
        </w:rPr>
        <w:tab/>
      </w:r>
      <w:r w:rsidR="00A3548F" w:rsidRPr="00105353">
        <w:rPr>
          <w:lang w:val="fr-CH"/>
        </w:rPr>
        <w:t xml:space="preserve">Le Comité est préoccupé par les informations faisant état de l’ampleur de la traite des personnes dans l’État partie, étrangères ou nationales, en particulier des femmes et des enfants, et souligne la </w:t>
      </w:r>
      <w:r w:rsidR="00A3548F" w:rsidRPr="0030575C">
        <w:rPr>
          <w:lang w:val="fr-CH"/>
        </w:rPr>
        <w:t>particulière</w:t>
      </w:r>
      <w:r w:rsidR="00A3548F" w:rsidRPr="00105353">
        <w:rPr>
          <w:lang w:val="fr-CH"/>
        </w:rPr>
        <w:t xml:space="preserve"> vulnérabilité de ces personnes à la soustraction à la protection de la loi </w:t>
      </w:r>
      <w:r w:rsidR="00331A8D">
        <w:rPr>
          <w:lang w:val="fr-CH"/>
        </w:rPr>
        <w:t xml:space="preserve">et à la disparition forcée </w:t>
      </w:r>
      <w:r w:rsidR="00A3548F" w:rsidRPr="00105353">
        <w:rPr>
          <w:lang w:val="fr-CH"/>
        </w:rPr>
        <w:t>lorsqu’elles se trouvent, notamment, sous le contrôle d’agents non étatiques. Il prend note des informations selon lesquelles un projet de loi est en cours d’adoption mais demeure préoccupé par le caractère inadéquat à ce jour du cadre légal pour répondre à l’extrême gravité des faits (art. 2, 3, 12, 14 et 25).</w:t>
      </w:r>
    </w:p>
    <w:p w14:paraId="337569DE" w14:textId="35A59C5E" w:rsidR="00A3548F" w:rsidRPr="00307335" w:rsidRDefault="00307335" w:rsidP="00307335">
      <w:pPr>
        <w:pStyle w:val="SingleTxtG"/>
        <w:keepLines/>
        <w:rPr>
          <w:lang w:val="fr-CH"/>
        </w:rPr>
      </w:pPr>
      <w:r w:rsidRPr="00307335">
        <w:rPr>
          <w:lang w:val="fr-CH"/>
        </w:rPr>
        <w:lastRenderedPageBreak/>
        <w:t>20.</w:t>
      </w:r>
      <w:r w:rsidRPr="00307335">
        <w:rPr>
          <w:lang w:val="fr-CH"/>
        </w:rPr>
        <w:tab/>
      </w:r>
      <w:r w:rsidR="00A3548F" w:rsidRPr="00105353">
        <w:rPr>
          <w:b/>
          <w:lang w:val="fr-CH"/>
        </w:rPr>
        <w:t>L’État partie devrait, en coopération avec les pays d’origine et de destination et avec la participation des victimes de traite, redoubler d’efforts en vue de prévenir la traite</w:t>
      </w:r>
      <w:r w:rsidR="002944F6">
        <w:rPr>
          <w:b/>
          <w:lang w:val="fr-CH"/>
        </w:rPr>
        <w:t xml:space="preserve"> </w:t>
      </w:r>
      <w:r w:rsidR="00AF0034">
        <w:rPr>
          <w:b/>
          <w:lang w:val="fr-CH"/>
        </w:rPr>
        <w:t>et les disparitions</w:t>
      </w:r>
      <w:r w:rsidR="002944F6">
        <w:rPr>
          <w:b/>
          <w:lang w:val="fr-CH"/>
        </w:rPr>
        <w:t xml:space="preserve"> des personnes</w:t>
      </w:r>
      <w:r w:rsidR="00A3548F" w:rsidRPr="00105353">
        <w:rPr>
          <w:b/>
          <w:lang w:val="fr-CH"/>
        </w:rPr>
        <w:t xml:space="preserve">. Il devrait en particulier modifier son cadre juridique </w:t>
      </w:r>
      <w:r w:rsidR="00956CBF">
        <w:rPr>
          <w:b/>
          <w:lang w:val="fr-CH"/>
        </w:rPr>
        <w:t xml:space="preserve">en vue </w:t>
      </w:r>
      <w:r w:rsidR="00A3548F" w:rsidRPr="00105353">
        <w:rPr>
          <w:b/>
          <w:lang w:val="fr-CH"/>
        </w:rPr>
        <w:t xml:space="preserve">d’assurer la pénalisation </w:t>
      </w:r>
      <w:r w:rsidR="00AF0034">
        <w:rPr>
          <w:b/>
          <w:lang w:val="fr-CH"/>
        </w:rPr>
        <w:t xml:space="preserve">effective </w:t>
      </w:r>
      <w:r w:rsidR="00A3548F" w:rsidRPr="00105353">
        <w:rPr>
          <w:b/>
          <w:lang w:val="fr-CH"/>
        </w:rPr>
        <w:t>de toutes formes de traite des personnes.</w:t>
      </w:r>
    </w:p>
    <w:p w14:paraId="3A6B3C72" w14:textId="77777777" w:rsidR="00A3548F" w:rsidRPr="00105353" w:rsidRDefault="00A3548F" w:rsidP="00307335">
      <w:pPr>
        <w:pStyle w:val="H1G"/>
        <w:rPr>
          <w:lang w:val="fr-FR"/>
        </w:rPr>
      </w:pPr>
      <w:r w:rsidRPr="00105353">
        <w:rPr>
          <w:lang w:val="fr-FR"/>
        </w:rPr>
        <w:tab/>
      </w:r>
      <w:r w:rsidRPr="00105353">
        <w:rPr>
          <w:lang w:val="fr-FR"/>
        </w:rPr>
        <w:tab/>
      </w:r>
      <w:r w:rsidRPr="00660A67">
        <w:rPr>
          <w:lang w:val="fr-FR"/>
        </w:rPr>
        <w:t>Responsabilité pénale et coopération judiciaire en matière de disparition forcée (art. 8 à 15)</w:t>
      </w:r>
    </w:p>
    <w:p w14:paraId="3EFAB03D" w14:textId="77777777" w:rsidR="00A3548F" w:rsidRPr="00105353" w:rsidRDefault="00A3548F" w:rsidP="00307335">
      <w:pPr>
        <w:pStyle w:val="H23G"/>
        <w:rPr>
          <w:lang w:val="fr-FR"/>
        </w:rPr>
      </w:pPr>
      <w:r w:rsidRPr="00105353">
        <w:rPr>
          <w:sz w:val="24"/>
          <w:szCs w:val="24"/>
          <w:lang w:val="fr-FR"/>
        </w:rPr>
        <w:tab/>
      </w:r>
      <w:r w:rsidRPr="00105353">
        <w:rPr>
          <w:sz w:val="24"/>
          <w:szCs w:val="24"/>
          <w:lang w:val="fr-FR"/>
        </w:rPr>
        <w:tab/>
      </w:r>
      <w:r w:rsidRPr="00105353">
        <w:rPr>
          <w:lang w:val="fr-FR"/>
        </w:rPr>
        <w:t xml:space="preserve">Compétence </w:t>
      </w:r>
      <w:r w:rsidRPr="00105353">
        <w:rPr>
          <w:lang w:val="fr-CH"/>
        </w:rPr>
        <w:t>extraterritoriale</w:t>
      </w:r>
      <w:r w:rsidRPr="00105353">
        <w:rPr>
          <w:lang w:val="fr-FR"/>
        </w:rPr>
        <w:t xml:space="preserve"> dans le cas de disparition forcée</w:t>
      </w:r>
    </w:p>
    <w:p w14:paraId="3247F14C" w14:textId="35205D3C" w:rsidR="00A3548F" w:rsidRPr="00105353" w:rsidRDefault="00307335" w:rsidP="00307335">
      <w:pPr>
        <w:pStyle w:val="SingleTxtG"/>
        <w:rPr>
          <w:lang w:val="fr-FR"/>
        </w:rPr>
      </w:pPr>
      <w:r w:rsidRPr="00105353">
        <w:rPr>
          <w:lang w:val="fr-FR"/>
        </w:rPr>
        <w:t>21.</w:t>
      </w:r>
      <w:r w:rsidRPr="00105353">
        <w:rPr>
          <w:lang w:val="fr-FR"/>
        </w:rPr>
        <w:tab/>
      </w:r>
      <w:r w:rsidR="00A3548F" w:rsidRPr="00105353">
        <w:rPr>
          <w:lang w:val="fr-FR"/>
        </w:rPr>
        <w:t xml:space="preserve">Le Comité prend note des informations fournies par l’État partie dans son rapport relatives aux crimes et délits commis à l’étranger. Il constate toutefois avec préoccupation que la </w:t>
      </w:r>
      <w:r w:rsidR="00A3548F" w:rsidRPr="00105353">
        <w:rPr>
          <w:lang w:val="fr-CH"/>
        </w:rPr>
        <w:t>législation</w:t>
      </w:r>
      <w:r w:rsidR="00A3548F" w:rsidRPr="00105353">
        <w:rPr>
          <w:lang w:val="fr-FR"/>
        </w:rPr>
        <w:t xml:space="preserve"> en vigueur n’est pas pleinement conforme aux obligations établies au paragraphe 2 de l’article 9 et à l’article 11 (art. 9 et 11).</w:t>
      </w:r>
    </w:p>
    <w:p w14:paraId="0D00C1FC" w14:textId="3DF9D9AB" w:rsidR="00A3548F" w:rsidRPr="00307335" w:rsidRDefault="00307335" w:rsidP="00307335">
      <w:pPr>
        <w:pStyle w:val="SingleTxtG"/>
        <w:rPr>
          <w:lang w:val="fr-CH"/>
        </w:rPr>
      </w:pPr>
      <w:r w:rsidRPr="00307335">
        <w:rPr>
          <w:lang w:val="fr-CH"/>
        </w:rPr>
        <w:t>22.</w:t>
      </w:r>
      <w:r w:rsidRPr="00307335">
        <w:rPr>
          <w:lang w:val="fr-CH"/>
        </w:rPr>
        <w:tab/>
      </w:r>
      <w:r w:rsidR="00A3548F" w:rsidRPr="00956CBF">
        <w:rPr>
          <w:b/>
          <w:lang w:val="fr-FR"/>
        </w:rPr>
        <w:t>Le Comité recommande à l’État partie d’adopter les mesures nécessaires pour garantir l’exerc</w:t>
      </w:r>
      <w:r w:rsidR="00A3548F" w:rsidRPr="00105353">
        <w:rPr>
          <w:b/>
          <w:lang w:val="fr-FR"/>
        </w:rPr>
        <w:t>ice de la compétence des tribunaux nationaux pour conna</w:t>
      </w:r>
      <w:r w:rsidR="00956CBF">
        <w:rPr>
          <w:b/>
          <w:lang w:val="fr-FR"/>
        </w:rPr>
        <w:t>î</w:t>
      </w:r>
      <w:r w:rsidR="00A3548F" w:rsidRPr="00105353">
        <w:rPr>
          <w:b/>
          <w:lang w:val="fr-FR"/>
        </w:rPr>
        <w:t xml:space="preserve">tre des infractions de disparitions forcées, conformément aux obligations qui découlent de </w:t>
      </w:r>
      <w:r w:rsidR="00A3548F" w:rsidRPr="00660A67">
        <w:rPr>
          <w:b/>
          <w:bCs/>
          <w:lang w:val="fr-FR"/>
        </w:rPr>
        <w:t>l’article</w:t>
      </w:r>
      <w:r w:rsidR="00A3548F" w:rsidRPr="00105353">
        <w:rPr>
          <w:b/>
          <w:lang w:val="fr-FR"/>
        </w:rPr>
        <w:t xml:space="preserve"> 9 de la Convention, et notamment du principe </w:t>
      </w:r>
      <w:r w:rsidR="00A3548F" w:rsidRPr="00105353">
        <w:rPr>
          <w:b/>
          <w:i/>
          <w:lang w:val="fr-FR"/>
        </w:rPr>
        <w:t xml:space="preserve">aut dedere aut judicare </w:t>
      </w:r>
      <w:r w:rsidR="00A3548F" w:rsidRPr="00105353">
        <w:rPr>
          <w:b/>
          <w:lang w:val="fr-FR"/>
        </w:rPr>
        <w:t xml:space="preserve">énoncé dans celui-ci, ainsi que </w:t>
      </w:r>
      <w:r w:rsidR="00956CBF">
        <w:rPr>
          <w:b/>
          <w:lang w:val="fr-FR"/>
        </w:rPr>
        <w:t xml:space="preserve">de </w:t>
      </w:r>
      <w:r w:rsidR="00A3548F" w:rsidRPr="00105353">
        <w:rPr>
          <w:b/>
          <w:lang w:val="fr-FR"/>
        </w:rPr>
        <w:t>l’article 11 de la Convention.</w:t>
      </w:r>
    </w:p>
    <w:p w14:paraId="711E9E0F" w14:textId="77777777" w:rsidR="00A3548F" w:rsidRPr="00105353" w:rsidRDefault="00A3548F" w:rsidP="00307335">
      <w:pPr>
        <w:pStyle w:val="H23G"/>
        <w:rPr>
          <w:color w:val="000000"/>
          <w:lang w:val="fr-FR"/>
        </w:rPr>
      </w:pPr>
      <w:r w:rsidRPr="00105353">
        <w:rPr>
          <w:color w:val="000000"/>
          <w:lang w:val="fr-FR"/>
        </w:rPr>
        <w:tab/>
      </w:r>
      <w:r w:rsidRPr="00105353">
        <w:rPr>
          <w:color w:val="000000"/>
          <w:lang w:val="fr-FR"/>
        </w:rPr>
        <w:tab/>
      </w:r>
      <w:r w:rsidRPr="00660A67">
        <w:rPr>
          <w:lang w:val="fr-FR"/>
        </w:rPr>
        <w:t>Juridictions</w:t>
      </w:r>
      <w:r w:rsidRPr="00660A67">
        <w:rPr>
          <w:color w:val="000000"/>
          <w:lang w:val="fr-FR"/>
        </w:rPr>
        <w:t xml:space="preserve"> </w:t>
      </w:r>
      <w:r w:rsidRPr="00660A67">
        <w:rPr>
          <w:lang w:val="fr-CH"/>
        </w:rPr>
        <w:t>militaires</w:t>
      </w:r>
    </w:p>
    <w:p w14:paraId="3EA2AA86" w14:textId="28EA422F" w:rsidR="00A3548F" w:rsidRPr="00307335" w:rsidRDefault="00307335" w:rsidP="00307335">
      <w:pPr>
        <w:pStyle w:val="SingleTxtG"/>
        <w:rPr>
          <w:lang w:val="fr-CH"/>
        </w:rPr>
      </w:pPr>
      <w:r w:rsidRPr="00307335">
        <w:rPr>
          <w:lang w:val="fr-CH"/>
        </w:rPr>
        <w:t>23.</w:t>
      </w:r>
      <w:r w:rsidRPr="00307335">
        <w:rPr>
          <w:lang w:val="fr-CH"/>
        </w:rPr>
        <w:tab/>
      </w:r>
      <w:r w:rsidR="00A3548F" w:rsidRPr="00105353">
        <w:rPr>
          <w:color w:val="000000"/>
          <w:lang w:val="fr-FR"/>
        </w:rPr>
        <w:t xml:space="preserve">Le Comité prend note de ce que les tribunaux militaires seraient compétents pour juger les crimes de disparitions forcées commis par les militaires dans l’exercice de </w:t>
      </w:r>
      <w:r w:rsidR="00A3548F" w:rsidRPr="00105353">
        <w:rPr>
          <w:lang w:val="fr-FR"/>
        </w:rPr>
        <w:t>leurs</w:t>
      </w:r>
      <w:r w:rsidR="00A3548F" w:rsidRPr="00105353">
        <w:rPr>
          <w:color w:val="000000"/>
          <w:lang w:val="fr-FR"/>
        </w:rPr>
        <w:t xml:space="preserve"> fonctions. Il rappelle sa position selon laquelle, par principe, les juridictions militaires ne sauraient offrir l’indépendance et l’impartialité requises par la Convention pour conna</w:t>
      </w:r>
      <w:r w:rsidR="00956CBF">
        <w:rPr>
          <w:color w:val="000000"/>
          <w:lang w:val="fr-FR"/>
        </w:rPr>
        <w:t>î</w:t>
      </w:r>
      <w:r w:rsidR="00A3548F" w:rsidRPr="00105353">
        <w:rPr>
          <w:color w:val="000000"/>
          <w:lang w:val="fr-FR"/>
        </w:rPr>
        <w:t>tre de violations des droits de l’homme telles que les disparitions forcées (art. 11).</w:t>
      </w:r>
    </w:p>
    <w:p w14:paraId="0174A0F0" w14:textId="00B488A1" w:rsidR="00A3548F" w:rsidRPr="00105353" w:rsidRDefault="00307335" w:rsidP="00307335">
      <w:pPr>
        <w:pStyle w:val="SingleTxtG"/>
        <w:rPr>
          <w:color w:val="000000"/>
          <w:lang w:val="fr-FR"/>
        </w:rPr>
      </w:pPr>
      <w:r w:rsidRPr="00105353">
        <w:rPr>
          <w:color w:val="000000"/>
          <w:lang w:val="fr-FR"/>
        </w:rPr>
        <w:t>24.</w:t>
      </w:r>
      <w:r w:rsidRPr="00105353">
        <w:rPr>
          <w:color w:val="000000"/>
          <w:lang w:val="fr-FR"/>
        </w:rPr>
        <w:tab/>
      </w:r>
      <w:r w:rsidR="00A3548F" w:rsidRPr="00105353">
        <w:rPr>
          <w:b/>
          <w:color w:val="000000"/>
          <w:lang w:val="fr-FR"/>
        </w:rPr>
        <w:t xml:space="preserve">Le Comité, rappelant sa </w:t>
      </w:r>
      <w:r w:rsidR="00956CBF">
        <w:rPr>
          <w:b/>
          <w:color w:val="000000"/>
          <w:lang w:val="fr-FR"/>
        </w:rPr>
        <w:t>D</w:t>
      </w:r>
      <w:r w:rsidR="00A3548F" w:rsidRPr="00105353">
        <w:rPr>
          <w:b/>
          <w:color w:val="000000"/>
          <w:lang w:val="fr-FR"/>
        </w:rPr>
        <w:t>éclaration sur les disparitions forcées et la juridiction militaire (A/70/56, annexe III), recommande à l’</w:t>
      </w:r>
      <w:r w:rsidR="00A3548F" w:rsidRPr="00105353">
        <w:rPr>
          <w:b/>
          <w:lang w:val="fr-FR"/>
        </w:rPr>
        <w:t>État</w:t>
      </w:r>
      <w:r w:rsidR="00A3548F" w:rsidRPr="00105353">
        <w:rPr>
          <w:b/>
          <w:color w:val="000000"/>
          <w:lang w:val="fr-FR"/>
        </w:rPr>
        <w:t xml:space="preserve"> partie de prendre les </w:t>
      </w:r>
      <w:r w:rsidR="00A3548F" w:rsidRPr="00660A67">
        <w:rPr>
          <w:b/>
          <w:bCs/>
          <w:lang w:val="fr-FR"/>
        </w:rPr>
        <w:t>mesures</w:t>
      </w:r>
      <w:r w:rsidR="00A3548F" w:rsidRPr="00105353">
        <w:rPr>
          <w:b/>
          <w:color w:val="000000"/>
          <w:lang w:val="fr-FR"/>
        </w:rPr>
        <w:t xml:space="preserve"> nécessaires, d’ordre législatif ou autre, pour faire en sorte que les disparitions forcées restent expressément en dehors du champ de compétence des juridictions militaires dans tous les cas et ne puissent faire l’objet d’enquêtes et de jugement que par les tribunaux ordinaires.</w:t>
      </w:r>
    </w:p>
    <w:p w14:paraId="724ECAE3" w14:textId="77777777" w:rsidR="00A3548F" w:rsidRPr="00105353" w:rsidRDefault="00A3548F" w:rsidP="00307335">
      <w:pPr>
        <w:pStyle w:val="H23G"/>
        <w:rPr>
          <w:lang w:val="fr-CH"/>
        </w:rPr>
      </w:pPr>
      <w:r w:rsidRPr="00105353">
        <w:rPr>
          <w:lang w:val="fr-FR"/>
        </w:rPr>
        <w:tab/>
      </w:r>
      <w:r w:rsidRPr="00105353">
        <w:rPr>
          <w:lang w:val="fr-FR"/>
        </w:rPr>
        <w:tab/>
        <w:t xml:space="preserve">Enquêtes et </w:t>
      </w:r>
      <w:r w:rsidRPr="00105353">
        <w:rPr>
          <w:lang w:val="fr-CH"/>
        </w:rPr>
        <w:t>allégations d’arrestations et disparitions lors de la crise post-électorale</w:t>
      </w:r>
    </w:p>
    <w:p w14:paraId="53CA4D0B" w14:textId="347B7E99" w:rsidR="00A3548F" w:rsidRPr="00105353" w:rsidRDefault="00307335" w:rsidP="00307335">
      <w:pPr>
        <w:pStyle w:val="SingleTxtG"/>
        <w:rPr>
          <w:lang w:val="fr-CH"/>
        </w:rPr>
      </w:pPr>
      <w:r w:rsidRPr="00105353">
        <w:rPr>
          <w:lang w:val="fr-CH"/>
        </w:rPr>
        <w:t>25.</w:t>
      </w:r>
      <w:r w:rsidRPr="00105353">
        <w:rPr>
          <w:lang w:val="fr-CH"/>
        </w:rPr>
        <w:tab/>
      </w:r>
      <w:r w:rsidR="00A3548F" w:rsidRPr="00105353">
        <w:rPr>
          <w:lang w:val="fr-CH"/>
        </w:rPr>
        <w:t>Le Comité prend note des informations fournies par l’État partie quant aux événements du 31 août 2016 selon lesquelles aucune disparition ou plainte n’a été portée à la connaissance des autorités judiciaires ou de police</w:t>
      </w:r>
      <w:r w:rsidR="00217371">
        <w:rPr>
          <w:lang w:val="fr-CH"/>
        </w:rPr>
        <w:t xml:space="preserve">. Il rappelle la saisine de la Cour pénale internationale par le Gabon </w:t>
      </w:r>
      <w:r w:rsidR="00217371" w:rsidRPr="009641BA">
        <w:rPr>
          <w:lang w:val="fr-CH"/>
        </w:rPr>
        <w:t xml:space="preserve">le </w:t>
      </w:r>
      <w:r w:rsidR="005E4592" w:rsidRPr="009641BA">
        <w:rPr>
          <w:lang w:val="fr-CH"/>
        </w:rPr>
        <w:t>2</w:t>
      </w:r>
      <w:r w:rsidR="00E44177" w:rsidRPr="009641BA">
        <w:rPr>
          <w:lang w:val="fr-CH"/>
        </w:rPr>
        <w:t>1</w:t>
      </w:r>
      <w:r w:rsidR="005E4592" w:rsidRPr="009641BA">
        <w:rPr>
          <w:lang w:val="fr-CH"/>
        </w:rPr>
        <w:t xml:space="preserve"> septembre 2016</w:t>
      </w:r>
      <w:r w:rsidR="00A3548F" w:rsidRPr="009641BA">
        <w:rPr>
          <w:lang w:val="fr-CH"/>
        </w:rPr>
        <w:t>. Il</w:t>
      </w:r>
      <w:r w:rsidR="00A3548F" w:rsidRPr="00105353">
        <w:rPr>
          <w:lang w:val="fr-CH"/>
        </w:rPr>
        <w:t xml:space="preserve"> exprime toutefois ses préoccupations quant aux allégations inquiétantes concernant des cas de disparition. Il rappelle l’obligation de l’État partie, lorsqu’il </w:t>
      </w:r>
      <w:r w:rsidR="00A3548F" w:rsidRPr="00105353">
        <w:rPr>
          <w:bCs/>
          <w:lang w:val="fr-CH"/>
        </w:rPr>
        <w:t>existe des motifs raisonnables de croire qu’une personne a été victime d’une disparition forcée,</w:t>
      </w:r>
      <w:r w:rsidR="00A3548F" w:rsidRPr="00105353">
        <w:rPr>
          <w:b/>
          <w:bCs/>
          <w:lang w:val="fr-CH"/>
        </w:rPr>
        <w:t xml:space="preserve"> </w:t>
      </w:r>
      <w:r w:rsidR="00A3548F" w:rsidRPr="00105353">
        <w:rPr>
          <w:lang w:val="fr-CH"/>
        </w:rPr>
        <w:t xml:space="preserve">d’ouvrir une enquête exhaustive et impartiale y compris en l’absence de plainte formelle et regrette à cet égard de ne pas avoir d’informations précises de </w:t>
      </w:r>
      <w:r w:rsidR="00331A8D" w:rsidRPr="00105353">
        <w:rPr>
          <w:lang w:val="fr-CH"/>
        </w:rPr>
        <w:t>l’État</w:t>
      </w:r>
      <w:r w:rsidR="00331A8D" w:rsidRPr="00105353" w:rsidDel="00331A8D">
        <w:rPr>
          <w:lang w:val="fr-CH"/>
        </w:rPr>
        <w:t xml:space="preserve"> </w:t>
      </w:r>
      <w:r w:rsidR="00A3548F" w:rsidRPr="00105353">
        <w:rPr>
          <w:lang w:val="fr-CH"/>
        </w:rPr>
        <w:t>en la matière</w:t>
      </w:r>
      <w:r w:rsidR="00A3548F" w:rsidRPr="00105353">
        <w:rPr>
          <w:lang w:val="fr-FR"/>
        </w:rPr>
        <w:t xml:space="preserve"> (art. 12).</w:t>
      </w:r>
    </w:p>
    <w:p w14:paraId="12FA77A4" w14:textId="3E0081AC" w:rsidR="00A3548F" w:rsidRPr="00307335" w:rsidRDefault="00307335" w:rsidP="00307335">
      <w:pPr>
        <w:pStyle w:val="SingleTxtG"/>
        <w:rPr>
          <w:lang w:val="fr-CH"/>
        </w:rPr>
      </w:pPr>
      <w:r w:rsidRPr="00307335">
        <w:rPr>
          <w:lang w:val="fr-CH"/>
        </w:rPr>
        <w:t>26.</w:t>
      </w:r>
      <w:r w:rsidRPr="00307335">
        <w:rPr>
          <w:lang w:val="fr-CH"/>
        </w:rPr>
        <w:tab/>
      </w:r>
      <w:r w:rsidR="00A3548F" w:rsidRPr="00660A67">
        <w:rPr>
          <w:b/>
          <w:bCs/>
          <w:lang w:val="fr-CH"/>
        </w:rPr>
        <w:t>L’État</w:t>
      </w:r>
      <w:r w:rsidR="00A3548F" w:rsidRPr="00105353">
        <w:rPr>
          <w:b/>
          <w:bCs/>
          <w:lang w:val="fr-CH"/>
        </w:rPr>
        <w:t xml:space="preserve"> partie devrait adopter des mesures pour garantir qu’une enquête exhaustive et impartiale soit menée sans tarder, y compris en l’absence de plainte formelle, quant aux événements du 31 août 2016 et que ses résultats soient rendus publics. </w:t>
      </w:r>
    </w:p>
    <w:p w14:paraId="2DCC7D7C" w14:textId="2AEC1579" w:rsidR="00A3548F" w:rsidRPr="00307335" w:rsidRDefault="00307335" w:rsidP="00307335">
      <w:pPr>
        <w:pStyle w:val="SingleTxtG"/>
        <w:rPr>
          <w:lang w:val="fr-CH"/>
        </w:rPr>
      </w:pPr>
      <w:r w:rsidRPr="00307335">
        <w:rPr>
          <w:lang w:val="fr-CH"/>
        </w:rPr>
        <w:t>27.</w:t>
      </w:r>
      <w:r w:rsidRPr="00307335">
        <w:rPr>
          <w:lang w:val="fr-CH"/>
        </w:rPr>
        <w:tab/>
      </w:r>
      <w:r w:rsidR="00A3548F" w:rsidRPr="00105353">
        <w:rPr>
          <w:b/>
          <w:color w:val="000000"/>
          <w:lang w:val="fr-CH"/>
        </w:rPr>
        <w:t>Le Comité encourage également l’</w:t>
      </w:r>
      <w:r w:rsidR="00A3548F" w:rsidRPr="00105353">
        <w:rPr>
          <w:b/>
          <w:lang w:val="fr-FR"/>
        </w:rPr>
        <w:t>État</w:t>
      </w:r>
      <w:r w:rsidR="00A3548F" w:rsidRPr="00105353">
        <w:rPr>
          <w:b/>
          <w:color w:val="000000"/>
          <w:lang w:val="fr-CH"/>
        </w:rPr>
        <w:t xml:space="preserve"> partie à : </w:t>
      </w:r>
      <w:r w:rsidR="00A3548F" w:rsidRPr="00105353">
        <w:rPr>
          <w:b/>
          <w:bCs/>
          <w:color w:val="000000"/>
          <w:lang w:val="fr-CH"/>
        </w:rPr>
        <w:t>a) s</w:t>
      </w:r>
      <w:r w:rsidR="00A3548F" w:rsidRPr="00105353">
        <w:rPr>
          <w:b/>
          <w:bCs/>
          <w:color w:val="000000"/>
          <w:lang w:val="fr-FR"/>
        </w:rPr>
        <w:t xml:space="preserve">’assurer que le Code de procédure pénale donne aux victimes de disparition forcée la possibilité de participer activement et sans réserve aux procédures judiciaires relatives à de tels actes ; </w:t>
      </w:r>
      <w:r w:rsidR="00A3548F" w:rsidRPr="00105353">
        <w:rPr>
          <w:b/>
          <w:color w:val="000000"/>
          <w:lang w:val="fr-CH"/>
        </w:rPr>
        <w:t>b)</w:t>
      </w:r>
      <w:r w:rsidR="009E7829">
        <w:rPr>
          <w:b/>
          <w:color w:val="000000"/>
          <w:lang w:val="fr-CH"/>
        </w:rPr>
        <w:t> </w:t>
      </w:r>
      <w:r w:rsidR="00A3548F" w:rsidRPr="00105353">
        <w:rPr>
          <w:b/>
          <w:bCs/>
          <w:color w:val="000000"/>
          <w:lang w:val="fr-CH"/>
        </w:rPr>
        <w:t>envisager de former spécifiquement certains agents au sein de la police</w:t>
      </w:r>
      <w:r w:rsidR="00A3548F" w:rsidRPr="00105353">
        <w:rPr>
          <w:b/>
          <w:bCs/>
          <w:color w:val="000000"/>
          <w:lang w:val="fr-FR"/>
        </w:rPr>
        <w:t xml:space="preserve"> judiciaire et des juridictions qui pourraient enquêter, le cas échéant, sur les cas présumés de disparition forcée et mener des poursuites pénales dans les affaires de cette nature ;</w:t>
      </w:r>
      <w:r w:rsidR="00A3548F" w:rsidRPr="00105353">
        <w:rPr>
          <w:color w:val="000000"/>
          <w:lang w:val="fr-CH"/>
        </w:rPr>
        <w:t xml:space="preserve"> </w:t>
      </w:r>
      <w:r w:rsidR="00A3548F" w:rsidRPr="00105353">
        <w:rPr>
          <w:b/>
          <w:bCs/>
          <w:color w:val="000000"/>
          <w:lang w:val="fr-FR"/>
        </w:rPr>
        <w:t>c</w:t>
      </w:r>
      <w:r w:rsidR="00A3548F" w:rsidRPr="00105353">
        <w:rPr>
          <w:b/>
          <w:bCs/>
          <w:color w:val="000000"/>
          <w:lang w:val="fr-CH"/>
        </w:rPr>
        <w:t>)</w:t>
      </w:r>
      <w:r w:rsidR="009E7829">
        <w:rPr>
          <w:b/>
          <w:bCs/>
          <w:color w:val="000000"/>
          <w:lang w:val="fr-CH"/>
        </w:rPr>
        <w:t> </w:t>
      </w:r>
      <w:r w:rsidR="00A3548F" w:rsidRPr="00105353">
        <w:rPr>
          <w:b/>
          <w:bCs/>
          <w:color w:val="000000"/>
          <w:lang w:val="fr-CH"/>
        </w:rPr>
        <w:t xml:space="preserve">garantir la coordination effective et la coopération de tous les organes chargés de l’enquête et veiller à ce qu’ils disposent des structures et des ressources techniques, </w:t>
      </w:r>
      <w:r w:rsidR="00A3548F" w:rsidRPr="00105353">
        <w:rPr>
          <w:b/>
          <w:bCs/>
          <w:color w:val="000000"/>
          <w:lang w:val="fr-CH"/>
        </w:rPr>
        <w:lastRenderedPageBreak/>
        <w:t xml:space="preserve">financières et humaines ainsi que de l’expertise nécessaires pour s’acquitter de leurs fonctions avec diligence et efficacité ; </w:t>
      </w:r>
      <w:r w:rsidR="00A3548F" w:rsidRPr="00105353">
        <w:rPr>
          <w:b/>
          <w:color w:val="000000"/>
          <w:lang w:val="fr-CH"/>
        </w:rPr>
        <w:t xml:space="preserve">et </w:t>
      </w:r>
      <w:r w:rsidR="00A3548F" w:rsidRPr="00105353">
        <w:rPr>
          <w:b/>
          <w:bCs/>
          <w:color w:val="000000"/>
          <w:lang w:val="fr-CH"/>
        </w:rPr>
        <w:t>d) a</w:t>
      </w:r>
      <w:r w:rsidR="00A3548F" w:rsidRPr="00105353">
        <w:rPr>
          <w:b/>
          <w:color w:val="000000"/>
          <w:lang w:val="fr-FR"/>
        </w:rPr>
        <w:t xml:space="preserve">dopter toutes les mesures nécessaires, </w:t>
      </w:r>
      <w:r w:rsidR="00A3548F" w:rsidRPr="00105353">
        <w:rPr>
          <w:b/>
          <w:bCs/>
          <w:lang w:val="fr-CH"/>
        </w:rPr>
        <w:t>conformément</w:t>
      </w:r>
      <w:r w:rsidR="00A3548F" w:rsidRPr="00105353">
        <w:rPr>
          <w:b/>
          <w:color w:val="000000"/>
          <w:lang w:val="fr-FR"/>
        </w:rPr>
        <w:t xml:space="preserve"> au paragraphe 4 de l’article 12 de la Convention, pour garantir que les personnes soupçonnées d’avoir commis un crime de disparition forcée et les fonctionnaires appartenant à leurs unités ne soient pas en mesure de participer à l’enquête </w:t>
      </w:r>
      <w:r w:rsidR="00956CBF">
        <w:rPr>
          <w:b/>
          <w:color w:val="000000"/>
          <w:lang w:val="fr-FR"/>
        </w:rPr>
        <w:t>ni</w:t>
      </w:r>
      <w:r w:rsidR="00A3548F" w:rsidRPr="00105353">
        <w:rPr>
          <w:b/>
          <w:color w:val="000000"/>
          <w:lang w:val="fr-FR"/>
        </w:rPr>
        <w:t xml:space="preserve"> d’influer, directement ou indirectement, elles-mêmes ou par l’intermédiaire de tiers, sur le cours de l’enquête.</w:t>
      </w:r>
    </w:p>
    <w:p w14:paraId="18F6CCA6" w14:textId="3E61E23E" w:rsidR="00A3548F" w:rsidRPr="00105353" w:rsidRDefault="00A3548F" w:rsidP="00307335">
      <w:pPr>
        <w:pStyle w:val="H23G"/>
        <w:rPr>
          <w:lang w:val="fr-CH"/>
        </w:rPr>
      </w:pPr>
      <w:r w:rsidRPr="00105353">
        <w:rPr>
          <w:lang w:val="fr-FR"/>
        </w:rPr>
        <w:tab/>
      </w:r>
      <w:r w:rsidRPr="00105353">
        <w:rPr>
          <w:lang w:val="fr-FR"/>
        </w:rPr>
        <w:tab/>
      </w:r>
      <w:r w:rsidRPr="00660A67">
        <w:rPr>
          <w:lang w:val="fr-FR"/>
        </w:rPr>
        <w:t xml:space="preserve">Protection des plaignants, des témoins, des proches de la personne disparue </w:t>
      </w:r>
      <w:r w:rsidR="009E7829">
        <w:rPr>
          <w:lang w:val="fr-FR"/>
        </w:rPr>
        <w:br/>
      </w:r>
      <w:r w:rsidRPr="00660A67">
        <w:rPr>
          <w:lang w:val="fr-FR"/>
        </w:rPr>
        <w:t>et de leurs conseils ainsi que de ceux qui participent à l’enquête</w:t>
      </w:r>
    </w:p>
    <w:p w14:paraId="4F15C489" w14:textId="72E3DEED" w:rsidR="00A3548F" w:rsidRPr="00105353" w:rsidRDefault="00307335" w:rsidP="00307335">
      <w:pPr>
        <w:pStyle w:val="SingleTxtG"/>
        <w:rPr>
          <w:lang w:val="fr-FR"/>
        </w:rPr>
      </w:pPr>
      <w:r w:rsidRPr="00105353">
        <w:rPr>
          <w:lang w:val="fr-FR"/>
        </w:rPr>
        <w:t>28.</w:t>
      </w:r>
      <w:r w:rsidRPr="00105353">
        <w:rPr>
          <w:lang w:val="fr-FR"/>
        </w:rPr>
        <w:tab/>
      </w:r>
      <w:r w:rsidR="00A3548F" w:rsidRPr="00105353">
        <w:rPr>
          <w:lang w:val="fr-CH"/>
        </w:rPr>
        <w:t xml:space="preserve">Le Comité prend note des informations très générales fournies quant à la protection des catégories de plaignants et des témoins mais demeure préoccupé par le fait que </w:t>
      </w:r>
      <w:r w:rsidR="00A3548F" w:rsidRPr="00105353">
        <w:rPr>
          <w:lang w:val="fr-FR"/>
        </w:rPr>
        <w:t xml:space="preserve">la législation en </w:t>
      </w:r>
      <w:r w:rsidR="00A3548F" w:rsidRPr="00105353">
        <w:rPr>
          <w:bCs/>
          <w:color w:val="000000"/>
          <w:lang w:val="fr-CH"/>
        </w:rPr>
        <w:t>vigueur</w:t>
      </w:r>
      <w:r w:rsidR="00A3548F" w:rsidRPr="00105353">
        <w:rPr>
          <w:lang w:val="fr-FR"/>
        </w:rPr>
        <w:t xml:space="preserve"> n’est pas pleinement conforme aux obligations établies au paragraphe 1 de l’article 12 de la Convention (art. 12).</w:t>
      </w:r>
    </w:p>
    <w:p w14:paraId="11219982" w14:textId="67B3AC3F" w:rsidR="00A3548F" w:rsidRPr="00307335" w:rsidRDefault="00307335" w:rsidP="00307335">
      <w:pPr>
        <w:pStyle w:val="SingleTxtG"/>
        <w:rPr>
          <w:lang w:val="fr-CH"/>
        </w:rPr>
      </w:pPr>
      <w:r w:rsidRPr="00307335">
        <w:rPr>
          <w:lang w:val="fr-CH"/>
        </w:rPr>
        <w:t>29.</w:t>
      </w:r>
      <w:r w:rsidRPr="00307335">
        <w:rPr>
          <w:lang w:val="fr-CH"/>
        </w:rPr>
        <w:tab/>
      </w:r>
      <w:r w:rsidR="00A3548F" w:rsidRPr="00105353">
        <w:rPr>
          <w:b/>
          <w:lang w:val="fr-CH"/>
        </w:rPr>
        <w:t xml:space="preserve">Le Comité recommande à l’État partie de prendre les mesures nécessaires </w:t>
      </w:r>
      <w:r w:rsidR="00956CBF">
        <w:rPr>
          <w:b/>
          <w:lang w:val="fr-CH"/>
        </w:rPr>
        <w:t xml:space="preserve">pour </w:t>
      </w:r>
      <w:r w:rsidR="00A3548F" w:rsidRPr="00660A67">
        <w:rPr>
          <w:b/>
          <w:color w:val="000000"/>
          <w:lang w:val="fr-CH"/>
        </w:rPr>
        <w:t>que</w:t>
      </w:r>
      <w:r w:rsidR="00A3548F" w:rsidRPr="00105353">
        <w:rPr>
          <w:b/>
          <w:lang w:val="fr-CH"/>
        </w:rPr>
        <w:t xml:space="preserve"> la législation nationale garantisse de manière effective la protection de toutes les </w:t>
      </w:r>
      <w:r w:rsidR="00A3548F" w:rsidRPr="00105353">
        <w:rPr>
          <w:b/>
          <w:bCs/>
          <w:color w:val="000000"/>
          <w:lang w:val="fr-CH"/>
        </w:rPr>
        <w:t>catégories</w:t>
      </w:r>
      <w:r w:rsidR="00A3548F" w:rsidRPr="00105353">
        <w:rPr>
          <w:b/>
          <w:lang w:val="fr-CH"/>
        </w:rPr>
        <w:t xml:space="preserve"> de personnes citées au paragraphe 1 de l’article 12 de la Convention contre tout </w:t>
      </w:r>
      <w:r w:rsidR="00A3548F" w:rsidRPr="00660A67">
        <w:rPr>
          <w:b/>
          <w:bCs/>
          <w:lang w:val="fr-CH"/>
        </w:rPr>
        <w:t>mauvais</w:t>
      </w:r>
      <w:r w:rsidR="00A3548F" w:rsidRPr="00105353">
        <w:rPr>
          <w:b/>
          <w:lang w:val="fr-CH"/>
        </w:rPr>
        <w:t xml:space="preserve"> traitement ou intimidation en raison de la plainte déposée ou de toute déposition faite.</w:t>
      </w:r>
    </w:p>
    <w:p w14:paraId="510ACC9E" w14:textId="77777777" w:rsidR="00A3548F" w:rsidRPr="00660A67" w:rsidRDefault="00A3548F" w:rsidP="00307335">
      <w:pPr>
        <w:pStyle w:val="H1G"/>
        <w:rPr>
          <w:lang w:val="fr-FR"/>
        </w:rPr>
      </w:pPr>
      <w:r w:rsidRPr="00105353">
        <w:rPr>
          <w:lang w:val="fr-FR"/>
        </w:rPr>
        <w:tab/>
      </w:r>
      <w:r w:rsidRPr="00105353">
        <w:rPr>
          <w:lang w:val="fr-FR"/>
        </w:rPr>
        <w:tab/>
      </w:r>
      <w:r w:rsidRPr="00660A67">
        <w:rPr>
          <w:lang w:val="fr-FR"/>
        </w:rPr>
        <w:t>Mesures de prévention des disparitions forcées (art. 16 à 23)</w:t>
      </w:r>
    </w:p>
    <w:p w14:paraId="2658B2AD" w14:textId="4CF3AE08" w:rsidR="00A3548F" w:rsidRPr="00105353" w:rsidRDefault="00A3548F" w:rsidP="00307335">
      <w:pPr>
        <w:pStyle w:val="H23G"/>
        <w:rPr>
          <w:lang w:val="fr-FR"/>
        </w:rPr>
      </w:pPr>
      <w:r w:rsidRPr="00660A67">
        <w:rPr>
          <w:lang w:val="fr-FR"/>
        </w:rPr>
        <w:tab/>
      </w:r>
      <w:r w:rsidRPr="00660A67">
        <w:rPr>
          <w:lang w:val="fr-FR"/>
        </w:rPr>
        <w:tab/>
        <w:t>Non</w:t>
      </w:r>
      <w:r w:rsidR="00956CBF" w:rsidRPr="00660A67">
        <w:rPr>
          <w:lang w:val="fr-FR"/>
        </w:rPr>
        <w:t>-</w:t>
      </w:r>
      <w:r w:rsidRPr="00660A67">
        <w:rPr>
          <w:lang w:val="fr-FR"/>
        </w:rPr>
        <w:t>refoulement</w:t>
      </w:r>
    </w:p>
    <w:p w14:paraId="33CB5231" w14:textId="5B79B8CE" w:rsidR="00A3548F" w:rsidRPr="00105353" w:rsidRDefault="00307335" w:rsidP="00307335">
      <w:pPr>
        <w:pStyle w:val="SingleTxtG"/>
        <w:rPr>
          <w:lang w:val="fr-CH"/>
        </w:rPr>
      </w:pPr>
      <w:r w:rsidRPr="00105353">
        <w:rPr>
          <w:lang w:val="fr-CH"/>
        </w:rPr>
        <w:t>30.</w:t>
      </w:r>
      <w:r w:rsidRPr="00105353">
        <w:rPr>
          <w:lang w:val="fr-CH"/>
        </w:rPr>
        <w:tab/>
      </w:r>
      <w:r w:rsidR="00A3548F" w:rsidRPr="00105353">
        <w:rPr>
          <w:lang w:val="fr-CH"/>
        </w:rPr>
        <w:t xml:space="preserve">Le Comité regrette de ne pas avoir reçu de renseignements détaillés sur les mécanismes en place et les critères appliqués dans le cadre des procédures d’expulsion, de refoulement, de remise ou d’extradition, pour évaluer et vérifier le risque que court la personne concernée d’être victime d’une disparition forcée. Il constate également </w:t>
      </w:r>
      <w:r w:rsidR="00A3548F" w:rsidRPr="00105353">
        <w:rPr>
          <w:color w:val="000000"/>
          <w:lang w:val="fr-CH"/>
        </w:rPr>
        <w:t xml:space="preserve">que la législation interne ne semble pas interdire </w:t>
      </w:r>
      <w:r w:rsidR="00A3548F" w:rsidRPr="00105353">
        <w:rPr>
          <w:lang w:val="fr-CH"/>
        </w:rPr>
        <w:t xml:space="preserve">expressément l’expulsion, le refoulement, la remise ou l’extradition d’une personne lorsqu’il y a des motifs sérieux de croire qu’elle risque d’être victime d’une disparition forcée (art. 16). </w:t>
      </w:r>
    </w:p>
    <w:p w14:paraId="1A1CF63F" w14:textId="35E98AAC" w:rsidR="00A3548F" w:rsidRPr="00307335" w:rsidRDefault="00307335" w:rsidP="00307335">
      <w:pPr>
        <w:pStyle w:val="SingleTxtG"/>
        <w:rPr>
          <w:lang w:val="fr-CH"/>
        </w:rPr>
      </w:pPr>
      <w:r w:rsidRPr="00307335">
        <w:rPr>
          <w:lang w:val="fr-CH"/>
        </w:rPr>
        <w:t>31.</w:t>
      </w:r>
      <w:r w:rsidRPr="00307335">
        <w:rPr>
          <w:lang w:val="fr-CH"/>
        </w:rPr>
        <w:tab/>
      </w:r>
      <w:r w:rsidR="00A3548F" w:rsidRPr="00105353">
        <w:rPr>
          <w:b/>
          <w:lang w:val="fr-CH"/>
        </w:rPr>
        <w:t xml:space="preserve">Le Comité recommande à l’État partie d’envisager d’inscrire expressément dans la législation interne l’interdiction d’expulser, de refouler, de remettre ou d’extrader une personne s’il y a des motifs sérieux de croire qu’elle risque d’être victime </w:t>
      </w:r>
      <w:r w:rsidR="00A3548F" w:rsidRPr="00956CBF">
        <w:rPr>
          <w:b/>
          <w:lang w:val="fr-CH"/>
        </w:rPr>
        <w:t xml:space="preserve">d’une </w:t>
      </w:r>
      <w:r w:rsidR="00A3548F" w:rsidRPr="00660A67">
        <w:rPr>
          <w:b/>
          <w:lang w:val="fr-CH"/>
        </w:rPr>
        <w:t>disparition</w:t>
      </w:r>
      <w:r w:rsidR="00A3548F" w:rsidRPr="00105353">
        <w:rPr>
          <w:b/>
          <w:lang w:val="fr-CH"/>
        </w:rPr>
        <w:t xml:space="preserve"> forcée. Il recommande également à l’État partie d’adopter les mesures nécessaires pour garantir que le principe de non</w:t>
      </w:r>
      <w:r w:rsidR="00956CBF">
        <w:rPr>
          <w:b/>
          <w:lang w:val="fr-CH"/>
        </w:rPr>
        <w:t>-</w:t>
      </w:r>
      <w:r w:rsidR="00A3548F" w:rsidRPr="00105353">
        <w:rPr>
          <w:b/>
          <w:lang w:val="fr-CH"/>
        </w:rPr>
        <w:t>refoulement est respecté dans la pratique, notamment en veillant à mener, avant de procéder à une expulsion, un refoulement, une remise ou une extradition, un examen individuel afin de déterminer s’il y a des motifs sérieux de croire que la personne concernée risque d’être victime d’une disparition forcée.</w:t>
      </w:r>
    </w:p>
    <w:p w14:paraId="641F9D8F" w14:textId="77777777" w:rsidR="00A3548F" w:rsidRPr="00105353" w:rsidRDefault="00A3548F" w:rsidP="00307335">
      <w:pPr>
        <w:pStyle w:val="H23G"/>
        <w:rPr>
          <w:lang w:val="fr-CH"/>
        </w:rPr>
      </w:pPr>
      <w:r w:rsidRPr="00105353">
        <w:rPr>
          <w:lang w:val="fr-CH"/>
        </w:rPr>
        <w:tab/>
      </w:r>
      <w:r w:rsidRPr="00105353">
        <w:rPr>
          <w:lang w:val="fr-CH"/>
        </w:rPr>
        <w:tab/>
        <w:t xml:space="preserve">Mécanisme national de </w:t>
      </w:r>
      <w:r w:rsidRPr="00105353">
        <w:rPr>
          <w:lang w:val="fr-FR"/>
        </w:rPr>
        <w:t>prévention</w:t>
      </w:r>
    </w:p>
    <w:p w14:paraId="2BEC6C83" w14:textId="3B1F2C0C" w:rsidR="00A3548F" w:rsidRPr="00105353" w:rsidRDefault="00307335" w:rsidP="00307335">
      <w:pPr>
        <w:pStyle w:val="SingleTxtG"/>
        <w:rPr>
          <w:lang w:val="fr-FR"/>
        </w:rPr>
      </w:pPr>
      <w:r w:rsidRPr="00105353">
        <w:rPr>
          <w:lang w:val="fr-FR"/>
        </w:rPr>
        <w:t>32.</w:t>
      </w:r>
      <w:r w:rsidRPr="00105353">
        <w:rPr>
          <w:lang w:val="fr-FR"/>
        </w:rPr>
        <w:tab/>
      </w:r>
      <w:r w:rsidR="00A3548F" w:rsidRPr="00105353">
        <w:rPr>
          <w:lang w:val="fr-CH"/>
        </w:rPr>
        <w:t>Le Comité accueille avec satisfaction la ratification en 2010</w:t>
      </w:r>
      <w:r w:rsidR="00A3548F" w:rsidRPr="00105353">
        <w:rPr>
          <w:bCs/>
          <w:lang w:val="fr-CH"/>
        </w:rPr>
        <w:t xml:space="preserve"> du Protocole facultatif </w:t>
      </w:r>
      <w:r w:rsidR="00DA6468">
        <w:rPr>
          <w:bCs/>
          <w:lang w:val="fr-CH"/>
        </w:rPr>
        <w:t xml:space="preserve">se rapportant </w:t>
      </w:r>
      <w:r w:rsidR="00A3548F" w:rsidRPr="00105353">
        <w:rPr>
          <w:bCs/>
          <w:lang w:val="fr-CH"/>
        </w:rPr>
        <w:t>à la Convention contre la torture et autres peines ou traitements cruels, inhumains ou dégradants. Il constate néanmoins avec préoccupation que l</w:t>
      </w:r>
      <w:r w:rsidR="00A3548F" w:rsidRPr="00105353">
        <w:rPr>
          <w:lang w:val="fr-FR"/>
        </w:rPr>
        <w:t>’État partie n’a</w:t>
      </w:r>
      <w:r w:rsidR="00956CBF">
        <w:rPr>
          <w:lang w:val="fr-FR"/>
        </w:rPr>
        <w:t>,</w:t>
      </w:r>
      <w:r w:rsidR="00A3548F" w:rsidRPr="00105353">
        <w:rPr>
          <w:lang w:val="fr-FR"/>
        </w:rPr>
        <w:t xml:space="preserve"> à</w:t>
      </w:r>
      <w:r w:rsidR="001661FA">
        <w:rPr>
          <w:lang w:val="fr-FR"/>
        </w:rPr>
        <w:t> </w:t>
      </w:r>
      <w:r w:rsidR="00A3548F" w:rsidRPr="00105353">
        <w:rPr>
          <w:lang w:val="fr-FR"/>
        </w:rPr>
        <w:t>ce jour</w:t>
      </w:r>
      <w:r w:rsidR="00956CBF">
        <w:rPr>
          <w:lang w:val="fr-FR"/>
        </w:rPr>
        <w:t>,</w:t>
      </w:r>
      <w:r w:rsidR="00A3548F" w:rsidRPr="00105353">
        <w:rPr>
          <w:lang w:val="fr-FR"/>
        </w:rPr>
        <w:t xml:space="preserve"> pas établi de mécanisme national de prévention (art. 17).</w:t>
      </w:r>
    </w:p>
    <w:p w14:paraId="280BB735" w14:textId="497F7E5A" w:rsidR="00A3548F" w:rsidRPr="00307335" w:rsidRDefault="00307335" w:rsidP="00307335">
      <w:pPr>
        <w:pStyle w:val="SingleTxtG"/>
        <w:rPr>
          <w:lang w:val="fr-CH"/>
        </w:rPr>
      </w:pPr>
      <w:r w:rsidRPr="00307335">
        <w:rPr>
          <w:lang w:val="fr-CH"/>
        </w:rPr>
        <w:t>33.</w:t>
      </w:r>
      <w:r w:rsidRPr="00307335">
        <w:rPr>
          <w:lang w:val="fr-CH"/>
        </w:rPr>
        <w:tab/>
      </w:r>
      <w:r w:rsidR="00A3548F" w:rsidRPr="00105353">
        <w:rPr>
          <w:b/>
          <w:spacing w:val="-2"/>
          <w:lang w:val="fr-FR"/>
        </w:rPr>
        <w:t xml:space="preserve">Le Comité recommande à l’État partie d’adopter toutes les mesures nécessaires </w:t>
      </w:r>
      <w:r w:rsidR="00956CBF">
        <w:rPr>
          <w:b/>
          <w:spacing w:val="-2"/>
          <w:lang w:val="fr-FR"/>
        </w:rPr>
        <w:t xml:space="preserve">en vue </w:t>
      </w:r>
      <w:r w:rsidR="00A3548F" w:rsidRPr="00105353">
        <w:rPr>
          <w:b/>
          <w:spacing w:val="-2"/>
          <w:lang w:val="fr-FR"/>
        </w:rPr>
        <w:t xml:space="preserve">d’établir un </w:t>
      </w:r>
      <w:r w:rsidR="00A3548F" w:rsidRPr="00105353">
        <w:rPr>
          <w:b/>
          <w:lang w:val="fr-FR"/>
        </w:rPr>
        <w:t>mécanisme national de prévention doté des</w:t>
      </w:r>
      <w:r w:rsidR="00A3548F" w:rsidRPr="00105353">
        <w:rPr>
          <w:b/>
          <w:spacing w:val="-2"/>
          <w:lang w:val="fr-FR"/>
        </w:rPr>
        <w:t xml:space="preserve"> ressources </w:t>
      </w:r>
      <w:r w:rsidR="00A3548F" w:rsidRPr="00660A67">
        <w:rPr>
          <w:b/>
          <w:bCs/>
          <w:lang w:val="fr-CH"/>
        </w:rPr>
        <w:t>financières</w:t>
      </w:r>
      <w:r w:rsidR="00A3548F" w:rsidRPr="00105353">
        <w:rPr>
          <w:b/>
          <w:spacing w:val="-2"/>
          <w:lang w:val="fr-FR"/>
        </w:rPr>
        <w:t xml:space="preserve">, humaines et techniques nécessaires pour s’acquitter de son mandat avec efficacité. </w:t>
      </w:r>
    </w:p>
    <w:p w14:paraId="64802905" w14:textId="77777777" w:rsidR="00A3548F" w:rsidRPr="00105353" w:rsidRDefault="00A3548F" w:rsidP="00307335">
      <w:pPr>
        <w:pStyle w:val="H23G"/>
        <w:rPr>
          <w:lang w:val="fr-FR"/>
        </w:rPr>
      </w:pPr>
      <w:r w:rsidRPr="00105353">
        <w:rPr>
          <w:lang w:val="fr-FR"/>
        </w:rPr>
        <w:tab/>
      </w:r>
      <w:r w:rsidRPr="00105353">
        <w:rPr>
          <w:lang w:val="fr-FR"/>
        </w:rPr>
        <w:tab/>
        <w:t xml:space="preserve">Détention au secret et garanties </w:t>
      </w:r>
      <w:r w:rsidRPr="00105353">
        <w:rPr>
          <w:lang w:val="fr-CH"/>
        </w:rPr>
        <w:t>juridiques</w:t>
      </w:r>
      <w:r w:rsidRPr="00105353">
        <w:rPr>
          <w:lang w:val="fr-FR"/>
        </w:rPr>
        <w:t xml:space="preserve"> fondamentales </w:t>
      </w:r>
    </w:p>
    <w:p w14:paraId="23B28A92" w14:textId="63A4EF5C" w:rsidR="00A3548F" w:rsidRPr="00105353" w:rsidRDefault="00307335" w:rsidP="00307335">
      <w:pPr>
        <w:pStyle w:val="SingleTxtG"/>
        <w:rPr>
          <w:lang w:val="fr-FR"/>
        </w:rPr>
      </w:pPr>
      <w:r w:rsidRPr="00105353">
        <w:rPr>
          <w:lang w:val="fr-FR"/>
        </w:rPr>
        <w:t>34.</w:t>
      </w:r>
      <w:r w:rsidRPr="00105353">
        <w:rPr>
          <w:lang w:val="fr-FR"/>
        </w:rPr>
        <w:tab/>
      </w:r>
      <w:r w:rsidR="00A3548F" w:rsidRPr="00105353">
        <w:rPr>
          <w:lang w:val="fr-FR"/>
        </w:rPr>
        <w:t xml:space="preserve">Le Comité demeure préoccupé par l’absence d’interdiction explicite et de garanties effectives contre la détention au secret dans la législation de l’État partie. Le Comité exprime également ses préoccupations quant aux informations indiquant que les personnes détenues dans des postes de police ou d’autres lieux de détention ne bénéficient pas systématiquement des garanties juridiques fondamentales prévues à l’article 17 de la </w:t>
      </w:r>
      <w:r w:rsidR="00A3548F" w:rsidRPr="00105353">
        <w:rPr>
          <w:lang w:val="fr-FR"/>
        </w:rPr>
        <w:lastRenderedPageBreak/>
        <w:t xml:space="preserve">Convention, en particulier la limitation à 1 heure d’entrevue avec un avocat. Il regrette également de ne pas avoir reçu d’informations sur la pleine conformité de la tenue des registres </w:t>
      </w:r>
      <w:r w:rsidR="007823A5">
        <w:rPr>
          <w:lang w:val="fr-FR"/>
        </w:rPr>
        <w:t xml:space="preserve">conformément </w:t>
      </w:r>
      <w:r w:rsidR="00A3548F" w:rsidRPr="00105353">
        <w:rPr>
          <w:lang w:val="fr-FR"/>
        </w:rPr>
        <w:t>au paragraphe 3 de l’article 17 de la Convention (art.</w:t>
      </w:r>
      <w:r w:rsidR="001661FA">
        <w:rPr>
          <w:lang w:val="fr-FR"/>
        </w:rPr>
        <w:t> </w:t>
      </w:r>
      <w:r w:rsidR="00A3548F" w:rsidRPr="00105353">
        <w:rPr>
          <w:lang w:val="fr-FR"/>
        </w:rPr>
        <w:t>17, 18, 20 et</w:t>
      </w:r>
      <w:r w:rsidR="001661FA">
        <w:rPr>
          <w:lang w:val="fr-FR"/>
        </w:rPr>
        <w:t> </w:t>
      </w:r>
      <w:r w:rsidR="00A3548F" w:rsidRPr="00105353">
        <w:rPr>
          <w:lang w:val="fr-FR"/>
        </w:rPr>
        <w:t>22).</w:t>
      </w:r>
    </w:p>
    <w:p w14:paraId="137AD025" w14:textId="1B92A3DC" w:rsidR="00A3548F" w:rsidRPr="00307335" w:rsidRDefault="00307335" w:rsidP="00307335">
      <w:pPr>
        <w:pStyle w:val="SingleTxtG"/>
        <w:rPr>
          <w:lang w:val="fr-CH"/>
        </w:rPr>
      </w:pPr>
      <w:r w:rsidRPr="00307335">
        <w:rPr>
          <w:lang w:val="fr-CH"/>
        </w:rPr>
        <w:t>35.</w:t>
      </w:r>
      <w:r w:rsidRPr="00307335">
        <w:rPr>
          <w:lang w:val="fr-CH"/>
        </w:rPr>
        <w:tab/>
      </w:r>
      <w:r w:rsidR="00A3548F" w:rsidRPr="00105353">
        <w:rPr>
          <w:b/>
          <w:lang w:val="fr-CH"/>
        </w:rPr>
        <w:t xml:space="preserve">L’État partie devrait adopter toutes les mesures nécessaires pour faire en sorte que nul ne soit détenu </w:t>
      </w:r>
      <w:r w:rsidR="00956CBF">
        <w:rPr>
          <w:b/>
          <w:lang w:val="fr-CH"/>
        </w:rPr>
        <w:t xml:space="preserve">au </w:t>
      </w:r>
      <w:r w:rsidR="00A3548F" w:rsidRPr="00105353">
        <w:rPr>
          <w:b/>
          <w:lang w:val="fr-CH"/>
        </w:rPr>
        <w:t xml:space="preserve">secret, notamment en veillant à ce que toute personne privée de liberté jouisse, </w:t>
      </w:r>
      <w:r w:rsidR="00A3548F" w:rsidRPr="00105353">
        <w:rPr>
          <w:b/>
          <w:i/>
          <w:lang w:val="fr-CH"/>
        </w:rPr>
        <w:t>de jure</w:t>
      </w:r>
      <w:r w:rsidR="00A3548F" w:rsidRPr="00105353">
        <w:rPr>
          <w:b/>
          <w:lang w:val="fr-CH"/>
        </w:rPr>
        <w:t xml:space="preserve"> et </w:t>
      </w:r>
      <w:r w:rsidR="00A3548F" w:rsidRPr="00105353">
        <w:rPr>
          <w:b/>
          <w:i/>
          <w:lang w:val="fr-CH"/>
        </w:rPr>
        <w:t>de facto</w:t>
      </w:r>
      <w:r w:rsidR="00A3548F" w:rsidRPr="00105353">
        <w:rPr>
          <w:b/>
          <w:lang w:val="fr-CH"/>
        </w:rPr>
        <w:t xml:space="preserve">, </w:t>
      </w:r>
      <w:r w:rsidR="00956CBF" w:rsidRPr="00105353">
        <w:rPr>
          <w:b/>
          <w:lang w:val="fr-CH"/>
        </w:rPr>
        <w:t>dès le début de la privation de liberté</w:t>
      </w:r>
      <w:r w:rsidR="00956CBF">
        <w:rPr>
          <w:b/>
          <w:lang w:val="fr-CH"/>
        </w:rPr>
        <w:t>,</w:t>
      </w:r>
      <w:r w:rsidR="00956CBF" w:rsidRPr="00105353">
        <w:rPr>
          <w:b/>
          <w:lang w:val="fr-CH"/>
        </w:rPr>
        <w:t xml:space="preserve"> </w:t>
      </w:r>
      <w:r w:rsidR="00A3548F" w:rsidRPr="00105353">
        <w:rPr>
          <w:b/>
          <w:lang w:val="fr-CH"/>
        </w:rPr>
        <w:t xml:space="preserve">de toutes les garanties juridiques fondamentales énoncées à l’article 17 de la Convention et dans les autres instruments relatifs aux droits de l’homme auxquels le Gabon est partie. Il devrait en particulier </w:t>
      </w:r>
      <w:r w:rsidR="00956CBF">
        <w:rPr>
          <w:b/>
          <w:lang w:val="fr-CH"/>
        </w:rPr>
        <w:t>veiller à ce</w:t>
      </w:r>
      <w:r w:rsidR="00956CBF" w:rsidRPr="00105353">
        <w:rPr>
          <w:b/>
          <w:lang w:val="fr-CH"/>
        </w:rPr>
        <w:t xml:space="preserve"> </w:t>
      </w:r>
      <w:r w:rsidR="00A3548F" w:rsidRPr="00105353">
        <w:rPr>
          <w:b/>
          <w:lang w:val="fr-CH"/>
        </w:rPr>
        <w:t xml:space="preserve">que : </w:t>
      </w:r>
      <w:r w:rsidR="00A3548F" w:rsidRPr="00105353">
        <w:rPr>
          <w:b/>
          <w:lang w:val="fr-FR"/>
        </w:rPr>
        <w:t>a) toutes les personnes privées de liberté aient un accès raisonnable à un avocat dès le début de la privation de liberté et puissent s’entretenir sans délai avec leurs proches ou avec toute autre personne de leur choix et, s’il s’agit d’étrangers, avec leurs autorités consulaires ; b) toute personne ayant un intérêt légitime puisse avoir rapidement et facilement accès au minimum aux renseignements énumérés au paragraphe 1 de l’article 18 de la Convention, y compris pendant la garde à vue ; c) toutes les privations de liberté soient, sans exception, inscrites dans des registres et/ou dossiers uniformes dans lesquels figurent au moins les informations requises en vertu du paragraphe 3 de l’article 17 de la Convention ; et d)</w:t>
      </w:r>
      <w:r w:rsidR="00117C63">
        <w:rPr>
          <w:b/>
          <w:lang w:val="fr-FR"/>
        </w:rPr>
        <w:t> </w:t>
      </w:r>
      <w:r w:rsidR="00A3548F" w:rsidRPr="00105353">
        <w:rPr>
          <w:b/>
          <w:lang w:val="fr-FR"/>
        </w:rPr>
        <w:t>les registres et/ou dossiers des personnes privées de liberté soient remplis et tenus à jour avec précision et sans retard et fassent l’objet de vérifications régulières, et qu’en cas d’irrégularité les fonctionnaires responsables soient dûment sanctionnés.</w:t>
      </w:r>
    </w:p>
    <w:p w14:paraId="698FCB65" w14:textId="02911B78" w:rsidR="00A3548F" w:rsidRPr="00105353" w:rsidRDefault="001A63A2" w:rsidP="00307335">
      <w:pPr>
        <w:pStyle w:val="H1G"/>
        <w:rPr>
          <w:lang w:val="fr-FR"/>
        </w:rPr>
      </w:pPr>
      <w:r>
        <w:rPr>
          <w:lang w:val="fr-FR"/>
        </w:rPr>
        <w:tab/>
      </w:r>
      <w:r>
        <w:rPr>
          <w:lang w:val="fr-FR"/>
        </w:rPr>
        <w:tab/>
      </w:r>
      <w:r w:rsidR="00A3548F" w:rsidRPr="00660A67">
        <w:rPr>
          <w:lang w:val="fr-FR"/>
        </w:rPr>
        <w:t>Mesures de réparation et mesures de protection des enfants contre les</w:t>
      </w:r>
      <w:r>
        <w:rPr>
          <w:lang w:val="fr-FR"/>
        </w:rPr>
        <w:t> </w:t>
      </w:r>
      <w:r w:rsidR="00A3548F" w:rsidRPr="00660A67">
        <w:rPr>
          <w:lang w:val="fr-FR"/>
        </w:rPr>
        <w:t>disparitions forcées (art. 24 et 25)</w:t>
      </w:r>
    </w:p>
    <w:p w14:paraId="4C7AC51F" w14:textId="00D4A1EA" w:rsidR="00A3548F" w:rsidRPr="00D30229" w:rsidRDefault="00A3548F" w:rsidP="00307335">
      <w:pPr>
        <w:pStyle w:val="H23G"/>
        <w:rPr>
          <w:lang w:val="fr-CH"/>
        </w:rPr>
      </w:pPr>
      <w:r w:rsidRPr="00105353">
        <w:rPr>
          <w:lang w:val="fr-CH"/>
        </w:rPr>
        <w:tab/>
      </w:r>
      <w:r w:rsidRPr="00105353">
        <w:rPr>
          <w:lang w:val="fr-CH"/>
        </w:rPr>
        <w:tab/>
        <w:t>Droit</w:t>
      </w:r>
      <w:r w:rsidRPr="00105353">
        <w:rPr>
          <w:lang w:val="fr-FR"/>
        </w:rPr>
        <w:t xml:space="preserve"> d’obtenir réparation et d’être indemnisé de manière rapide</w:t>
      </w:r>
      <w:r w:rsidR="00956CBF">
        <w:rPr>
          <w:lang w:val="fr-FR"/>
        </w:rPr>
        <w:t>,</w:t>
      </w:r>
      <w:r w:rsidRPr="00105353">
        <w:rPr>
          <w:lang w:val="fr-FR"/>
        </w:rPr>
        <w:t xml:space="preserve"> juste et adéquate</w:t>
      </w:r>
    </w:p>
    <w:p w14:paraId="1CE91187" w14:textId="15273115" w:rsidR="00A3548F" w:rsidRPr="00105353" w:rsidRDefault="00307335" w:rsidP="00307335">
      <w:pPr>
        <w:pStyle w:val="SingleTxtG"/>
        <w:rPr>
          <w:lang w:val="fr-FR"/>
        </w:rPr>
      </w:pPr>
      <w:r w:rsidRPr="00105353">
        <w:rPr>
          <w:lang w:val="fr-FR"/>
        </w:rPr>
        <w:t>36.</w:t>
      </w:r>
      <w:r w:rsidRPr="00105353">
        <w:rPr>
          <w:lang w:val="fr-FR"/>
        </w:rPr>
        <w:tab/>
      </w:r>
      <w:r w:rsidR="00A3548F" w:rsidRPr="00105353">
        <w:rPr>
          <w:lang w:val="fr-FR"/>
        </w:rPr>
        <w:t>Le Comité prend note des informations générales fournies relatives à la réparation. Il</w:t>
      </w:r>
      <w:r w:rsidR="001661FA">
        <w:rPr>
          <w:lang w:val="fr-FR"/>
        </w:rPr>
        <w:t> </w:t>
      </w:r>
      <w:r w:rsidR="00A3548F" w:rsidRPr="00105353">
        <w:rPr>
          <w:lang w:val="fr-FR"/>
        </w:rPr>
        <w:t xml:space="preserve">constate toutefois </w:t>
      </w:r>
      <w:r w:rsidR="00A3548F" w:rsidRPr="00105353">
        <w:rPr>
          <w:lang w:val="fr-CH"/>
        </w:rPr>
        <w:t>avec</w:t>
      </w:r>
      <w:r w:rsidR="00A3548F" w:rsidRPr="00105353">
        <w:rPr>
          <w:lang w:val="fr-FR"/>
        </w:rPr>
        <w:t xml:space="preserve"> inquiétude que la législation ne prévoit pas de système de réparation complet conforme aux dispositions des paragraphes 4 et 5 de l’article 24 de la Convention (art. 24).</w:t>
      </w:r>
    </w:p>
    <w:p w14:paraId="345224A9" w14:textId="66138020" w:rsidR="00A3548F" w:rsidRPr="00307335" w:rsidRDefault="00307335" w:rsidP="00307335">
      <w:pPr>
        <w:pStyle w:val="SingleTxtG"/>
        <w:rPr>
          <w:lang w:val="fr-CH"/>
        </w:rPr>
      </w:pPr>
      <w:r w:rsidRPr="00307335">
        <w:rPr>
          <w:lang w:val="fr-CH"/>
        </w:rPr>
        <w:t>37.</w:t>
      </w:r>
      <w:r w:rsidRPr="00307335">
        <w:rPr>
          <w:lang w:val="fr-CH"/>
        </w:rPr>
        <w:tab/>
      </w:r>
      <w:r w:rsidR="00A3548F" w:rsidRPr="00105353">
        <w:rPr>
          <w:b/>
          <w:lang w:val="fr-FR"/>
        </w:rPr>
        <w:t>Le Comité recommande à l’État partie de prendre les mesures nécessaires pour que la législation nationale</w:t>
      </w:r>
      <w:r w:rsidR="00956CBF">
        <w:rPr>
          <w:b/>
          <w:lang w:val="fr-FR"/>
        </w:rPr>
        <w:t xml:space="preserve"> </w:t>
      </w:r>
      <w:r w:rsidR="00A3548F" w:rsidRPr="00105353">
        <w:rPr>
          <w:b/>
          <w:lang w:val="fr-FR"/>
        </w:rPr>
        <w:t>prévoi</w:t>
      </w:r>
      <w:r w:rsidR="00956CBF">
        <w:rPr>
          <w:b/>
          <w:lang w:val="fr-FR"/>
        </w:rPr>
        <w:t>e</w:t>
      </w:r>
      <w:r w:rsidR="00A3548F" w:rsidRPr="00105353">
        <w:rPr>
          <w:b/>
          <w:lang w:val="fr-FR"/>
        </w:rPr>
        <w:t xml:space="preserve"> un système de réparation complet qui soit pleinement conforme aux dispositions des paragraphes 4 et 5 de l’article 24 de la Convention et autres normes internationales en la matière et</w:t>
      </w:r>
      <w:r w:rsidR="009269A0">
        <w:rPr>
          <w:b/>
          <w:lang w:val="fr-FR"/>
        </w:rPr>
        <w:t xml:space="preserve"> </w:t>
      </w:r>
      <w:r w:rsidR="00A3548F" w:rsidRPr="00105353">
        <w:rPr>
          <w:b/>
          <w:lang w:val="fr-FR"/>
        </w:rPr>
        <w:t>assurant ainsi des garanties de non</w:t>
      </w:r>
      <w:r w:rsidR="00956CBF">
        <w:rPr>
          <w:b/>
          <w:lang w:val="fr-FR"/>
        </w:rPr>
        <w:t>-</w:t>
      </w:r>
      <w:r w:rsidR="00A3548F" w:rsidRPr="00105353">
        <w:rPr>
          <w:b/>
          <w:lang w:val="fr-FR"/>
        </w:rPr>
        <w:t xml:space="preserve">répétition. </w:t>
      </w:r>
    </w:p>
    <w:p w14:paraId="4E553F36" w14:textId="77777777" w:rsidR="00A3548F" w:rsidRPr="00D30229" w:rsidRDefault="00A3548F" w:rsidP="00307335">
      <w:pPr>
        <w:pStyle w:val="H23G"/>
        <w:rPr>
          <w:lang w:val="fr-CH"/>
        </w:rPr>
      </w:pPr>
      <w:r w:rsidRPr="00105353">
        <w:rPr>
          <w:lang w:val="fr-FR"/>
        </w:rPr>
        <w:tab/>
      </w:r>
      <w:r w:rsidRPr="00105353">
        <w:rPr>
          <w:lang w:val="fr-FR"/>
        </w:rPr>
        <w:tab/>
        <w:t>Situation</w:t>
      </w:r>
      <w:r w:rsidRPr="00105353">
        <w:rPr>
          <w:lang w:val="fr-CH"/>
        </w:rPr>
        <w:t xml:space="preserve"> légale des personnes disparues et de leurs proches</w:t>
      </w:r>
    </w:p>
    <w:p w14:paraId="3766CFF6" w14:textId="1F539F50" w:rsidR="00A3548F" w:rsidRPr="00105353" w:rsidRDefault="00307335" w:rsidP="00307335">
      <w:pPr>
        <w:pStyle w:val="SingleTxtG"/>
        <w:rPr>
          <w:lang w:val="fr-FR"/>
        </w:rPr>
      </w:pPr>
      <w:r w:rsidRPr="00105353">
        <w:rPr>
          <w:lang w:val="fr-FR"/>
        </w:rPr>
        <w:t>38.</w:t>
      </w:r>
      <w:r w:rsidRPr="00105353">
        <w:rPr>
          <w:lang w:val="fr-FR"/>
        </w:rPr>
        <w:tab/>
      </w:r>
      <w:r w:rsidR="00A3548F" w:rsidRPr="00105353">
        <w:rPr>
          <w:lang w:val="fr-FR"/>
        </w:rPr>
        <w:t xml:space="preserve">Le Comité regrette de n’avoir pas obtenu d’informations </w:t>
      </w:r>
      <w:r w:rsidR="00956CBF">
        <w:rPr>
          <w:lang w:val="fr-FR"/>
        </w:rPr>
        <w:t>concernant</w:t>
      </w:r>
      <w:r w:rsidR="00A3548F" w:rsidRPr="00105353">
        <w:rPr>
          <w:lang w:val="fr-FR"/>
        </w:rPr>
        <w:t xml:space="preserve"> : a) </w:t>
      </w:r>
      <w:r w:rsidR="00956CBF">
        <w:rPr>
          <w:lang w:val="fr-FR"/>
        </w:rPr>
        <w:t xml:space="preserve">le </w:t>
      </w:r>
      <w:r w:rsidR="00A3548F" w:rsidRPr="00105353">
        <w:rPr>
          <w:lang w:val="fr-FR"/>
        </w:rPr>
        <w:t xml:space="preserve">statut légal des personnes disparus dont le sort n’a pas été élucidé ; et b) la situation légale des proches d’une personne disparue et leurs droits </w:t>
      </w:r>
      <w:r w:rsidR="00956CBF">
        <w:rPr>
          <w:lang w:val="fr-FR"/>
        </w:rPr>
        <w:t xml:space="preserve">dans des domaines tels que les </w:t>
      </w:r>
      <w:r w:rsidR="00A3548F" w:rsidRPr="00105353">
        <w:rPr>
          <w:lang w:val="fr-FR"/>
        </w:rPr>
        <w:t xml:space="preserve">questions financières, </w:t>
      </w:r>
      <w:r w:rsidR="00956CBF">
        <w:rPr>
          <w:lang w:val="fr-FR"/>
        </w:rPr>
        <w:t xml:space="preserve">la </w:t>
      </w:r>
      <w:r w:rsidR="00A3548F" w:rsidRPr="00105353">
        <w:rPr>
          <w:lang w:val="fr-FR"/>
        </w:rPr>
        <w:t xml:space="preserve">protection sociale, </w:t>
      </w:r>
      <w:r w:rsidR="00956CBF">
        <w:rPr>
          <w:lang w:val="fr-FR"/>
        </w:rPr>
        <w:t xml:space="preserve">le </w:t>
      </w:r>
      <w:r w:rsidR="00A3548F" w:rsidRPr="00105353">
        <w:rPr>
          <w:lang w:val="fr-FR"/>
        </w:rPr>
        <w:t xml:space="preserve">droit de la famille et </w:t>
      </w:r>
      <w:r w:rsidR="00956CBF">
        <w:rPr>
          <w:lang w:val="fr-FR"/>
        </w:rPr>
        <w:t xml:space="preserve">les </w:t>
      </w:r>
      <w:r w:rsidR="00A3548F" w:rsidRPr="00105353">
        <w:rPr>
          <w:lang w:val="fr-FR"/>
        </w:rPr>
        <w:t>droits de propriété (art. 24).</w:t>
      </w:r>
    </w:p>
    <w:p w14:paraId="7E44E5EF" w14:textId="6CB9648E" w:rsidR="00A3548F" w:rsidRPr="00307335" w:rsidRDefault="00307335" w:rsidP="00307335">
      <w:pPr>
        <w:pStyle w:val="SingleTxtG"/>
        <w:rPr>
          <w:lang w:val="fr-CH"/>
        </w:rPr>
      </w:pPr>
      <w:r w:rsidRPr="00307335">
        <w:rPr>
          <w:lang w:val="fr-CH"/>
        </w:rPr>
        <w:t>39.</w:t>
      </w:r>
      <w:r w:rsidRPr="00307335">
        <w:rPr>
          <w:lang w:val="fr-CH"/>
        </w:rPr>
        <w:tab/>
      </w:r>
      <w:r w:rsidR="00A3548F" w:rsidRPr="00105353">
        <w:rPr>
          <w:b/>
          <w:lang w:val="fr-CH"/>
        </w:rPr>
        <w:t xml:space="preserve">Le Comité recommande à l’État partie d’adopter, en application du paragraphe 6 de </w:t>
      </w:r>
      <w:r w:rsidR="00A3548F" w:rsidRPr="00004A9F">
        <w:rPr>
          <w:b/>
          <w:lang w:val="fr-FR"/>
        </w:rPr>
        <w:t>l’article</w:t>
      </w:r>
      <w:r w:rsidR="00A3548F" w:rsidRPr="00004A9F">
        <w:rPr>
          <w:b/>
          <w:lang w:val="fr-CH"/>
        </w:rPr>
        <w:t xml:space="preserve"> </w:t>
      </w:r>
      <w:r w:rsidR="00A3548F" w:rsidRPr="00105353">
        <w:rPr>
          <w:b/>
          <w:lang w:val="fr-CH"/>
        </w:rPr>
        <w:t>24 de la Convention, les mesures nécessaires à l’instauration d’une réglementation appropriée concernant la situation juridique des personnes disparues dont le sort n’a pas été élucidé et de leur proches, notamment dans des domaines tels que la protection sociale, les questions financières, le droit de la famille et les droits de propriété. Il encourage l’</w:t>
      </w:r>
      <w:r w:rsidR="00A3548F" w:rsidRPr="00105353">
        <w:rPr>
          <w:b/>
          <w:lang w:val="fr-FR"/>
        </w:rPr>
        <w:t xml:space="preserve">État </w:t>
      </w:r>
      <w:r w:rsidR="00A3548F" w:rsidRPr="00105353">
        <w:rPr>
          <w:b/>
          <w:lang w:val="fr-CH"/>
        </w:rPr>
        <w:t>partie à mettre en place, à ce dernier égard, une procédure permettant d’obtenir une déclaration d’absence pour cause de disparition forcée.</w:t>
      </w:r>
    </w:p>
    <w:p w14:paraId="3435EC4C" w14:textId="77777777" w:rsidR="00A3548F" w:rsidRPr="00D30229" w:rsidRDefault="00A3548F" w:rsidP="00307335">
      <w:pPr>
        <w:pStyle w:val="H23G"/>
        <w:rPr>
          <w:lang w:val="fr-CH"/>
        </w:rPr>
      </w:pPr>
      <w:r w:rsidRPr="00105353">
        <w:rPr>
          <w:lang w:val="fr-CH"/>
        </w:rPr>
        <w:tab/>
      </w:r>
      <w:r w:rsidRPr="00105353">
        <w:rPr>
          <w:lang w:val="fr-CH"/>
        </w:rPr>
        <w:tab/>
        <w:t>Législation relative à la soustraction d’enfants</w:t>
      </w:r>
    </w:p>
    <w:p w14:paraId="13B6FDCC" w14:textId="1F286BB9" w:rsidR="00A3548F" w:rsidRPr="00105353" w:rsidRDefault="00307335" w:rsidP="00307335">
      <w:pPr>
        <w:pStyle w:val="SingleTxtG"/>
        <w:rPr>
          <w:lang w:val="fr-CH"/>
        </w:rPr>
      </w:pPr>
      <w:r w:rsidRPr="00105353">
        <w:rPr>
          <w:lang w:val="fr-CH"/>
        </w:rPr>
        <w:t>40.</w:t>
      </w:r>
      <w:r w:rsidRPr="00105353">
        <w:rPr>
          <w:lang w:val="fr-CH"/>
        </w:rPr>
        <w:tab/>
      </w:r>
      <w:r w:rsidR="00A3548F" w:rsidRPr="00105353">
        <w:rPr>
          <w:lang w:val="fr-CH"/>
        </w:rPr>
        <w:t xml:space="preserve">Le Comité regrette l’absence d’informations relatives aux mesures destinées à mettre en œuvre l’article 25 de la Convention, et notamment pour prévenir ou réprimer pénalement la soustraction d’enfants et la falsification, la dissimulation ou la destruction de </w:t>
      </w:r>
      <w:r w:rsidR="00A3548F" w:rsidRPr="00105353">
        <w:rPr>
          <w:lang w:val="fr-CH"/>
        </w:rPr>
        <w:lastRenderedPageBreak/>
        <w:t>documents attestant de la véritable identité des enfants visés à l’alinéa a) du paragraphe</w:t>
      </w:r>
      <w:r w:rsidR="001661FA">
        <w:rPr>
          <w:lang w:val="fr-CH"/>
        </w:rPr>
        <w:t> </w:t>
      </w:r>
      <w:r w:rsidR="00A3548F" w:rsidRPr="00105353">
        <w:rPr>
          <w:lang w:val="fr-CH"/>
        </w:rPr>
        <w:t xml:space="preserve">1 de l’article 25 (art. 25). </w:t>
      </w:r>
    </w:p>
    <w:p w14:paraId="6E333AF2" w14:textId="7852E502" w:rsidR="007524B9" w:rsidRPr="00307335" w:rsidRDefault="00307335" w:rsidP="00307335">
      <w:pPr>
        <w:pStyle w:val="SingleTxtG"/>
        <w:rPr>
          <w:lang w:val="fr-CH"/>
        </w:rPr>
      </w:pPr>
      <w:r w:rsidRPr="00307335">
        <w:rPr>
          <w:lang w:val="fr-CH"/>
        </w:rPr>
        <w:t>41.</w:t>
      </w:r>
      <w:r w:rsidRPr="00307335">
        <w:rPr>
          <w:lang w:val="fr-CH"/>
        </w:rPr>
        <w:tab/>
      </w:r>
      <w:r w:rsidR="00A3548F" w:rsidRPr="00105353">
        <w:rPr>
          <w:b/>
          <w:lang w:val="fr-CH"/>
        </w:rPr>
        <w:t>Le Comité recommande à l’</w:t>
      </w:r>
      <w:r w:rsidR="00A3548F" w:rsidRPr="00105353">
        <w:rPr>
          <w:b/>
          <w:lang w:val="fr-FR"/>
        </w:rPr>
        <w:t>État</w:t>
      </w:r>
      <w:r w:rsidR="00A3548F" w:rsidRPr="00105353">
        <w:rPr>
          <w:b/>
          <w:lang w:val="fr-CH"/>
        </w:rPr>
        <w:t xml:space="preserve"> partie de renforcer sa législation pénale pour y inscrire en tant qu’infractions spécifiques les agissements énoncés au paragraphe 1 de l’article 25 de la Convention et de prévoir des peines appropriées tenant compte de l’extrême gravité des faits.</w:t>
      </w:r>
      <w:r w:rsidR="007524B9" w:rsidRPr="007524B9">
        <w:rPr>
          <w:b/>
          <w:sz w:val="24"/>
          <w:lang w:val="fr-CH"/>
        </w:rPr>
        <w:t xml:space="preserve"> </w:t>
      </w:r>
    </w:p>
    <w:p w14:paraId="3E694CD3" w14:textId="77777777" w:rsidR="00004A9F" w:rsidRPr="00D30229" w:rsidRDefault="00004A9F" w:rsidP="00307335">
      <w:pPr>
        <w:pStyle w:val="H1G"/>
        <w:rPr>
          <w:lang w:val="fr-CH"/>
        </w:rPr>
      </w:pPr>
      <w:r>
        <w:rPr>
          <w:lang w:val="fr-CH"/>
        </w:rPr>
        <w:tab/>
      </w:r>
      <w:r w:rsidRPr="00660A67">
        <w:rPr>
          <w:lang w:val="fr-CH"/>
        </w:rPr>
        <w:t>D.</w:t>
      </w:r>
      <w:r w:rsidRPr="00660A67">
        <w:rPr>
          <w:lang w:val="fr-CH"/>
        </w:rPr>
        <w:tab/>
      </w:r>
      <w:r w:rsidRPr="00660A67">
        <w:rPr>
          <w:lang w:val="fr-FR"/>
        </w:rPr>
        <w:t>Diffusion</w:t>
      </w:r>
      <w:r w:rsidRPr="00660A67">
        <w:rPr>
          <w:lang w:val="fr-CH"/>
        </w:rPr>
        <w:t xml:space="preserve"> </w:t>
      </w:r>
      <w:r w:rsidRPr="00660A67">
        <w:rPr>
          <w:lang w:val="fr-FR"/>
        </w:rPr>
        <w:t>et</w:t>
      </w:r>
      <w:r w:rsidRPr="00660A67">
        <w:rPr>
          <w:lang w:val="fr-CH"/>
        </w:rPr>
        <w:t xml:space="preserve"> </w:t>
      </w:r>
      <w:r w:rsidRPr="00660A67">
        <w:rPr>
          <w:lang w:val="fr-FR"/>
        </w:rPr>
        <w:t>suivi</w:t>
      </w:r>
    </w:p>
    <w:p w14:paraId="7F0B1218" w14:textId="57D0978D" w:rsidR="00651170" w:rsidRPr="00660A67" w:rsidRDefault="00307335" w:rsidP="00307335">
      <w:pPr>
        <w:pStyle w:val="SingleTxtG"/>
        <w:rPr>
          <w:lang w:val="fr-CH"/>
        </w:rPr>
      </w:pPr>
      <w:r w:rsidRPr="00660A67">
        <w:rPr>
          <w:lang w:val="fr-CH"/>
        </w:rPr>
        <w:t>42.</w:t>
      </w:r>
      <w:r w:rsidRPr="00660A67">
        <w:rPr>
          <w:lang w:val="fr-CH"/>
        </w:rPr>
        <w:tab/>
      </w:r>
      <w:r w:rsidR="00651170" w:rsidRPr="00660A67">
        <w:rPr>
          <w:lang w:val="fr-CH"/>
        </w:rPr>
        <w:t>Le Comité tient à rappeler les obligations auxquelles les États ont souscrit en ratifiant la Convention et, à ce propos, engage l’État partie à s’assurer que toutes les mesures qu’il adopte, quelles que soient leur nature et l’autorité dont elles émanent, sont pleinement conformes aux obligations qu’il a assumées en ratifiant la Convention et d’autres instruments internationaux pertinents. À cet égard, le Comité exhorte l’État partie à garantir spécifiquement l’efficacité des enquêtes sur toutes les disparitions forcées et la pleine satisfaction des droits des victimes tels qu’inscrits dans la Convention.</w:t>
      </w:r>
    </w:p>
    <w:p w14:paraId="0FB84107" w14:textId="2B758DE0" w:rsidR="00651170" w:rsidRPr="00660A67" w:rsidRDefault="00307335" w:rsidP="00307335">
      <w:pPr>
        <w:pStyle w:val="SingleTxtG"/>
        <w:rPr>
          <w:lang w:val="fr-CH"/>
        </w:rPr>
      </w:pPr>
      <w:r w:rsidRPr="00660A67">
        <w:rPr>
          <w:lang w:val="fr-CH"/>
        </w:rPr>
        <w:t>43.</w:t>
      </w:r>
      <w:r w:rsidRPr="00660A67">
        <w:rPr>
          <w:lang w:val="fr-CH"/>
        </w:rPr>
        <w:tab/>
      </w:r>
      <w:r w:rsidR="00651170" w:rsidRPr="00660A67">
        <w:rPr>
          <w:lang w:val="fr-CH"/>
        </w:rPr>
        <w:t>Le Comité tient également à souligner que les disparitions forcées ont des effets particulièrement cruels sur les droits des femmes et des enfants. Les femmes victimes de disparition forcée sont particulièrement vulnérables à la violence sexuelle et à d’autres formes de violence sexiste. Lorsqu’elles sont les parentes d’une personne disparue, les femmes sont particulièrement exposées à des conséquences sociales et économiques graves ainsi qu’à la violence, aux persécutions et aux représailles du fait des efforts qu’elles déploient pour localiser leur proche. Pour leur part, les enfants victimes de disparition forcée, qu’ils soient eux-mêmes soumis à une disparition ou qu’ils subissent les conséquences de la disparition de membres de leur famille, sont particulièrement exposés à de multiples violations des droits de l’homme, notamment la substitution d’identité. C’est pourquoi le Comité insiste sur la nécessité</w:t>
      </w:r>
      <w:r w:rsidR="009A1993" w:rsidRPr="00660A67">
        <w:rPr>
          <w:lang w:val="fr-CH"/>
        </w:rPr>
        <w:t>, pour l’État partie,</w:t>
      </w:r>
      <w:r w:rsidR="00651170" w:rsidRPr="00660A67">
        <w:rPr>
          <w:lang w:val="fr-CH"/>
        </w:rPr>
        <w:t xml:space="preserve"> de tenir compte des questions de genre et de la sensibilité des enfants dans l’application des droits et le respect des obligations qui découlent de la Convention.</w:t>
      </w:r>
    </w:p>
    <w:p w14:paraId="679FD632" w14:textId="00B4999B" w:rsidR="00651170" w:rsidRPr="00660A67" w:rsidRDefault="00307335" w:rsidP="00307335">
      <w:pPr>
        <w:pStyle w:val="SingleTxtG"/>
        <w:rPr>
          <w:lang w:val="fr-CH"/>
        </w:rPr>
      </w:pPr>
      <w:r w:rsidRPr="00660A67">
        <w:rPr>
          <w:lang w:val="fr-CH"/>
        </w:rPr>
        <w:t>44.</w:t>
      </w:r>
      <w:r w:rsidRPr="00660A67">
        <w:rPr>
          <w:lang w:val="fr-CH"/>
        </w:rPr>
        <w:tab/>
      </w:r>
      <w:r w:rsidR="00651170" w:rsidRPr="00660A67">
        <w:rPr>
          <w:lang w:val="fr-CH"/>
        </w:rPr>
        <w:t>L’État partie est invité à diffuser largement la Convention, le rapport qu’il a soumis en application du paragraphe 1 de l’article 29,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l’État partie à encourager la société civile à participer à la mise en œuvre des présentes observations finales.</w:t>
      </w:r>
    </w:p>
    <w:p w14:paraId="661DADA3" w14:textId="2A93BC89" w:rsidR="003E0AAC" w:rsidRPr="00660A67" w:rsidRDefault="00307335" w:rsidP="00307335">
      <w:pPr>
        <w:pStyle w:val="SingleTxtG"/>
        <w:rPr>
          <w:bCs/>
          <w:lang w:val="fr-FR"/>
        </w:rPr>
      </w:pPr>
      <w:r w:rsidRPr="00660A67">
        <w:rPr>
          <w:bCs/>
          <w:lang w:val="fr-FR"/>
        </w:rPr>
        <w:t>45.</w:t>
      </w:r>
      <w:r w:rsidRPr="00660A67">
        <w:rPr>
          <w:bCs/>
          <w:lang w:val="fr-FR"/>
        </w:rPr>
        <w:tab/>
      </w:r>
      <w:r w:rsidR="003E0AAC" w:rsidRPr="00660A67">
        <w:rPr>
          <w:bCs/>
          <w:color w:val="000000"/>
          <w:lang w:val="fr-FR" w:eastAsia="en-GB"/>
        </w:rPr>
        <w:t>Conformément au règlement intérieur du Comité, l’Etat partie doit communiquer, au plus tard le 15</w:t>
      </w:r>
      <w:r w:rsidR="00313740" w:rsidRPr="00660A67">
        <w:rPr>
          <w:bCs/>
          <w:color w:val="000000"/>
          <w:lang w:val="fr-FR" w:eastAsia="en-GB"/>
        </w:rPr>
        <w:t> </w:t>
      </w:r>
      <w:r w:rsidR="003E0AAC" w:rsidRPr="00660A67">
        <w:rPr>
          <w:bCs/>
          <w:color w:val="000000"/>
          <w:lang w:val="fr-FR" w:eastAsia="en-GB"/>
        </w:rPr>
        <w:t xml:space="preserve">septembre 2018, des informations utiles sur la suite qu’il aura donnée aux recommandations </w:t>
      </w:r>
      <w:r w:rsidR="009A1993" w:rsidRPr="00660A67">
        <w:rPr>
          <w:bCs/>
          <w:color w:val="000000"/>
          <w:lang w:val="fr-FR" w:eastAsia="en-GB"/>
        </w:rPr>
        <w:t xml:space="preserve">du Comité </w:t>
      </w:r>
      <w:r w:rsidR="003E0AAC" w:rsidRPr="00660A67">
        <w:rPr>
          <w:bCs/>
          <w:color w:val="000000"/>
          <w:lang w:val="fr-FR" w:eastAsia="en-GB"/>
        </w:rPr>
        <w:t xml:space="preserve">figurant aux paragraphes </w:t>
      </w:r>
      <w:r w:rsidR="00157A9D" w:rsidRPr="00660A67">
        <w:rPr>
          <w:bCs/>
          <w:color w:val="000000"/>
          <w:lang w:val="fr-FR" w:eastAsia="en-GB"/>
        </w:rPr>
        <w:t>26, 33 et 35</w:t>
      </w:r>
      <w:r w:rsidR="005E4592" w:rsidRPr="00660A67">
        <w:rPr>
          <w:bCs/>
          <w:color w:val="000000"/>
          <w:lang w:val="fr-FR" w:eastAsia="en-GB"/>
        </w:rPr>
        <w:t xml:space="preserve">. </w:t>
      </w:r>
    </w:p>
    <w:p w14:paraId="1B9B25C0" w14:textId="0E59EADC" w:rsidR="003E0AAC" w:rsidRPr="00660A67" w:rsidRDefault="00307335" w:rsidP="00307335">
      <w:pPr>
        <w:pStyle w:val="SingleTxtG"/>
        <w:rPr>
          <w:bCs/>
          <w:lang w:val="fr-FR"/>
        </w:rPr>
      </w:pPr>
      <w:r w:rsidRPr="00660A67">
        <w:rPr>
          <w:bCs/>
          <w:lang w:val="fr-FR"/>
        </w:rPr>
        <w:t>46.</w:t>
      </w:r>
      <w:r w:rsidRPr="00660A67">
        <w:rPr>
          <w:bCs/>
          <w:lang w:val="fr-FR"/>
        </w:rPr>
        <w:tab/>
      </w:r>
      <w:r w:rsidR="003E0AAC" w:rsidRPr="00660A67">
        <w:rPr>
          <w:bCs/>
          <w:color w:val="000000"/>
          <w:lang w:val="fr-FR" w:eastAsia="en-GB"/>
        </w:rPr>
        <w:t>En application du paragraphe 4 de l’article 29 de la Convention</w:t>
      </w:r>
      <w:r w:rsidR="005E4592" w:rsidRPr="00660A67">
        <w:rPr>
          <w:bCs/>
          <w:color w:val="000000"/>
          <w:lang w:val="fr-FR" w:eastAsia="en-GB"/>
        </w:rPr>
        <w:t xml:space="preserve"> et eu égard au caractère inabouti du dialogue,</w:t>
      </w:r>
      <w:r w:rsidR="003E0AAC" w:rsidRPr="00660A67">
        <w:rPr>
          <w:bCs/>
          <w:color w:val="000000"/>
          <w:lang w:val="fr-FR" w:eastAsia="en-GB"/>
        </w:rPr>
        <w:t xml:space="preserve"> le Comité demande à l’Etat partie de lui soumettre, au plus tard le 15</w:t>
      </w:r>
      <w:r w:rsidR="009A1993" w:rsidRPr="00660A67">
        <w:rPr>
          <w:bCs/>
          <w:color w:val="000000"/>
          <w:lang w:val="fr-FR" w:eastAsia="en-GB"/>
        </w:rPr>
        <w:t> </w:t>
      </w:r>
      <w:r w:rsidR="003E0AAC" w:rsidRPr="00660A67">
        <w:rPr>
          <w:bCs/>
          <w:color w:val="000000"/>
          <w:lang w:val="fr-FR" w:eastAsia="en-GB"/>
        </w:rPr>
        <w:t xml:space="preserve">septembre 2020, </w:t>
      </w:r>
      <w:r w:rsidR="005E4592" w:rsidRPr="00660A67">
        <w:rPr>
          <w:rStyle w:val="SingleTxtGCar"/>
          <w:lang w:val="fr-FR"/>
        </w:rPr>
        <w:t>des informations précises et actualisées sur la mise en œuvre de toutes les recommandations formulées, ainsi que tous renseignements nouveaux concernant l’exécution des obligations découlant de la Convention, dans un document conforme aux prescriptions énoncées au paragraphe 39 des Directives concernant la forme et le contenu des rapports que les États parties doivent soumettre en application de l’article 29 de la Convention (CED/C/2). Le Comité encourage l’État partie à promouvoir et à faciliter la participation de la société civile à la compilation de ces informations.</w:t>
      </w:r>
    </w:p>
    <w:p w14:paraId="76A47D8E" w14:textId="77777777" w:rsidR="00A3548F" w:rsidRPr="00105353" w:rsidRDefault="00A3548F" w:rsidP="00A3548F">
      <w:pPr>
        <w:spacing w:before="240"/>
        <w:ind w:left="1134" w:right="1134"/>
        <w:jc w:val="center"/>
        <w:rPr>
          <w:lang w:val="fr-FR"/>
        </w:rPr>
      </w:pPr>
      <w:r w:rsidRPr="00105353">
        <w:rPr>
          <w:u w:val="single"/>
          <w:lang w:val="fr-FR"/>
        </w:rPr>
        <w:tab/>
      </w:r>
      <w:r w:rsidRPr="00105353">
        <w:rPr>
          <w:u w:val="single"/>
          <w:lang w:val="fr-FR"/>
        </w:rPr>
        <w:tab/>
      </w:r>
      <w:r w:rsidRPr="00105353">
        <w:rPr>
          <w:u w:val="single"/>
          <w:lang w:val="fr-FR"/>
        </w:rPr>
        <w:tab/>
      </w:r>
    </w:p>
    <w:sectPr w:rsidR="00A3548F" w:rsidRPr="00105353" w:rsidSect="00150ED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9967" w14:textId="77777777" w:rsidR="00E2638C" w:rsidRDefault="00E2638C"/>
  </w:endnote>
  <w:endnote w:type="continuationSeparator" w:id="0">
    <w:p w14:paraId="670F27BF" w14:textId="77777777" w:rsidR="00E2638C" w:rsidRDefault="00E2638C">
      <w:pPr>
        <w:pStyle w:val="Pieddepage"/>
      </w:pPr>
    </w:p>
  </w:endnote>
  <w:endnote w:type="continuationNotice" w:id="1">
    <w:p w14:paraId="585F2D9E" w14:textId="77777777" w:rsidR="00E2638C" w:rsidRPr="00C451B9" w:rsidRDefault="00E2638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337E" w14:textId="24B735C4" w:rsidR="00635DA4" w:rsidRPr="00443CBE" w:rsidRDefault="00635DA4" w:rsidP="00443CBE">
    <w:pPr>
      <w:pStyle w:val="Pieddepage"/>
      <w:tabs>
        <w:tab w:val="right" w:pos="9638"/>
      </w:tabs>
    </w:pPr>
    <w:r w:rsidRPr="00443CBE">
      <w:rPr>
        <w:b/>
        <w:sz w:val="18"/>
      </w:rPr>
      <w:fldChar w:fldCharType="begin"/>
    </w:r>
    <w:r w:rsidRPr="00443CBE">
      <w:rPr>
        <w:b/>
        <w:sz w:val="18"/>
      </w:rPr>
      <w:instrText xml:space="preserve"> PAGE  \* MERGEFORMAT </w:instrText>
    </w:r>
    <w:r w:rsidRPr="00443CBE">
      <w:rPr>
        <w:b/>
        <w:sz w:val="18"/>
      </w:rPr>
      <w:fldChar w:fldCharType="separate"/>
    </w:r>
    <w:r w:rsidR="00065492">
      <w:rPr>
        <w:b/>
        <w:noProof/>
        <w:sz w:val="18"/>
      </w:rPr>
      <w:t>2</w:t>
    </w:r>
    <w:r w:rsidRPr="00443CB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A8A3" w14:textId="66526644" w:rsidR="00635DA4" w:rsidRPr="00443CBE" w:rsidRDefault="00635DA4" w:rsidP="00443CBE">
    <w:pPr>
      <w:pStyle w:val="Pieddepage"/>
      <w:tabs>
        <w:tab w:val="right" w:pos="9638"/>
      </w:tabs>
      <w:rPr>
        <w:b/>
        <w:sz w:val="18"/>
      </w:rPr>
    </w:pPr>
    <w:r>
      <w:tab/>
    </w:r>
    <w:r w:rsidRPr="00443CBE">
      <w:rPr>
        <w:b/>
        <w:sz w:val="18"/>
      </w:rPr>
      <w:fldChar w:fldCharType="begin"/>
    </w:r>
    <w:r w:rsidRPr="00443CBE">
      <w:rPr>
        <w:b/>
        <w:sz w:val="18"/>
      </w:rPr>
      <w:instrText xml:space="preserve"> PAGE  \* MERGEFORMAT </w:instrText>
    </w:r>
    <w:r w:rsidRPr="00443CBE">
      <w:rPr>
        <w:b/>
        <w:sz w:val="18"/>
      </w:rPr>
      <w:fldChar w:fldCharType="separate"/>
    </w:r>
    <w:r w:rsidR="00065492">
      <w:rPr>
        <w:b/>
        <w:noProof/>
        <w:sz w:val="18"/>
      </w:rPr>
      <w:t>7</w:t>
    </w:r>
    <w:r w:rsidRPr="00443C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BD20" w14:textId="76DCA2F8" w:rsidR="00D30229" w:rsidRPr="00D30229" w:rsidRDefault="00D30229">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4B3C66AC" wp14:editId="4B8D0818">
          <wp:simplePos x="0" y="0"/>
          <wp:positionH relativeFrom="margin">
            <wp:posOffset>4319905</wp:posOffset>
          </wp:positionH>
          <wp:positionV relativeFrom="margin">
            <wp:posOffset>9226550</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0800" behindDoc="0" locked="0" layoutInCell="1" allowOverlap="1" wp14:anchorId="371E9765" wp14:editId="2F0B9979">
          <wp:simplePos x="0" y="0"/>
          <wp:positionH relativeFrom="column">
            <wp:posOffset>5473700</wp:posOffset>
          </wp:positionH>
          <wp:positionV relativeFrom="paragraph">
            <wp:posOffset>12700</wp:posOffset>
          </wp:positionV>
          <wp:extent cx="638175" cy="638175"/>
          <wp:effectExtent l="0" t="0" r="9525" b="9525"/>
          <wp:wrapNone/>
          <wp:docPr id="2" name="Image 1" descr="https://undocs.org/m2/QRCode.ashx?DS=CED/C/GAB/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GE.17-17</w:t>
    </w:r>
    <w:r>
      <w:rPr>
        <w:sz w:val="20"/>
      </w:rPr>
      <w:t>803</w:t>
    </w:r>
    <w:r>
      <w:rPr>
        <w:sz w:val="20"/>
      </w:rPr>
      <w:t xml:space="preserve">  (F)</w:t>
    </w:r>
    <w:r>
      <w:br/>
    </w:r>
    <w:r w:rsidRPr="00D30229">
      <w:rPr>
        <w:rFonts w:ascii="C39T30Lfz" w:hAnsi="C39T30Lfz"/>
        <w:sz w:val="56"/>
      </w:rPr>
      <w:t></w:t>
    </w:r>
    <w:r w:rsidRPr="00D30229">
      <w:rPr>
        <w:rFonts w:ascii="C39T30Lfz" w:hAnsi="C39T30Lfz"/>
        <w:sz w:val="56"/>
      </w:rPr>
      <w:t></w:t>
    </w:r>
    <w:r w:rsidRPr="00D30229">
      <w:rPr>
        <w:rFonts w:ascii="C39T30Lfz" w:hAnsi="C39T30Lfz"/>
        <w:sz w:val="56"/>
      </w:rPr>
      <w:t></w:t>
    </w:r>
    <w:r w:rsidRPr="00D30229">
      <w:rPr>
        <w:rFonts w:ascii="C39T30Lfz" w:hAnsi="C39T30Lfz"/>
        <w:sz w:val="56"/>
      </w:rPr>
      <w:t></w:t>
    </w:r>
    <w:r w:rsidRPr="00D30229">
      <w:rPr>
        <w:rFonts w:ascii="C39T30Lfz" w:hAnsi="C39T30Lfz"/>
        <w:sz w:val="56"/>
      </w:rPr>
      <w:t></w:t>
    </w:r>
    <w:r w:rsidRPr="00D30229">
      <w:rPr>
        <w:rFonts w:ascii="C39T30Lfz" w:hAnsi="C39T30Lfz"/>
        <w:sz w:val="56"/>
      </w:rPr>
      <w:t></w:t>
    </w:r>
    <w:r w:rsidRPr="00D30229">
      <w:rPr>
        <w:rFonts w:ascii="C39T30Lfz" w:hAnsi="C39T30Lfz"/>
        <w:sz w:val="56"/>
      </w:rPr>
      <w:t></w:t>
    </w:r>
    <w:r w:rsidRPr="00D30229">
      <w:rPr>
        <w:rFonts w:ascii="C39T30Lfz" w:hAnsi="C39T30Lfz"/>
        <w:sz w:val="56"/>
      </w:rPr>
      <w:t></w:t>
    </w:r>
    <w:r w:rsidRPr="00D30229">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197E" w14:textId="77777777" w:rsidR="00E2638C" w:rsidRPr="00D27D5E" w:rsidRDefault="00E2638C" w:rsidP="00D27D5E">
      <w:pPr>
        <w:tabs>
          <w:tab w:val="right" w:pos="2155"/>
        </w:tabs>
        <w:spacing w:after="80"/>
        <w:ind w:left="680"/>
        <w:rPr>
          <w:u w:val="single"/>
        </w:rPr>
      </w:pPr>
      <w:r>
        <w:rPr>
          <w:u w:val="single"/>
        </w:rPr>
        <w:tab/>
      </w:r>
    </w:p>
  </w:footnote>
  <w:footnote w:type="continuationSeparator" w:id="0">
    <w:p w14:paraId="5B253DB7" w14:textId="77777777" w:rsidR="00E2638C" w:rsidRPr="00D171D4" w:rsidRDefault="00E2638C" w:rsidP="00D171D4">
      <w:pPr>
        <w:tabs>
          <w:tab w:val="right" w:pos="2155"/>
        </w:tabs>
        <w:spacing w:after="80"/>
        <w:ind w:left="680"/>
        <w:rPr>
          <w:u w:val="single"/>
        </w:rPr>
      </w:pPr>
      <w:r w:rsidRPr="00D171D4">
        <w:rPr>
          <w:u w:val="single"/>
        </w:rPr>
        <w:tab/>
      </w:r>
    </w:p>
  </w:footnote>
  <w:footnote w:type="continuationNotice" w:id="1">
    <w:p w14:paraId="039297E8" w14:textId="77777777" w:rsidR="00E2638C" w:rsidRPr="00C451B9" w:rsidRDefault="00E2638C" w:rsidP="00C451B9">
      <w:pPr>
        <w:spacing w:line="240" w:lineRule="auto"/>
        <w:rPr>
          <w:sz w:val="2"/>
          <w:szCs w:val="2"/>
        </w:rPr>
      </w:pPr>
    </w:p>
  </w:footnote>
  <w:footnote w:id="2">
    <w:p w14:paraId="3CC10117" w14:textId="53C80023" w:rsidR="00A3548F" w:rsidRPr="00105353" w:rsidRDefault="00A3548F" w:rsidP="00D30229">
      <w:pPr>
        <w:pStyle w:val="Notedebasdepage"/>
        <w:spacing w:after="120"/>
        <w:rPr>
          <w:lang w:val="fr-CH"/>
        </w:rPr>
      </w:pPr>
      <w:r>
        <w:tab/>
      </w:r>
      <w:r w:rsidRPr="00307335">
        <w:rPr>
          <w:rStyle w:val="Appelnotedebasdep"/>
          <w:sz w:val="20"/>
          <w:vertAlign w:val="baseline"/>
        </w:rPr>
        <w:t>*</w:t>
      </w:r>
      <w:r w:rsidRPr="00105353">
        <w:rPr>
          <w:lang w:val="fr-CH"/>
        </w:rPr>
        <w:tab/>
      </w:r>
      <w:r w:rsidR="00B55FBF" w:rsidRPr="006E0DA0">
        <w:rPr>
          <w:lang w:val="fr-CH"/>
        </w:rPr>
        <w:t>A</w:t>
      </w:r>
      <w:r w:rsidR="007E7E28" w:rsidRPr="006E0DA0">
        <w:rPr>
          <w:lang w:val="fr-CH"/>
        </w:rPr>
        <w:t xml:space="preserve">doptées </w:t>
      </w:r>
      <w:r w:rsidR="00B55FBF" w:rsidRPr="00660A67">
        <w:rPr>
          <w:lang w:val="fr-CH"/>
        </w:rPr>
        <w:t>par le Comité à sa treizième session (4-15 se</w:t>
      </w:r>
      <w:bookmarkStart w:id="0" w:name="_GoBack"/>
      <w:bookmarkEnd w:id="0"/>
      <w:r w:rsidR="00B55FBF" w:rsidRPr="00660A67">
        <w:rPr>
          <w:lang w:val="fr-CH"/>
        </w:rPr>
        <w:t>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642F" w14:textId="5BD3D4B2" w:rsidR="00635DA4" w:rsidRPr="004215E5" w:rsidRDefault="00B1237C">
    <w:pPr>
      <w:pStyle w:val="En-tte"/>
    </w:pPr>
    <w:r>
      <w:t>CED/C/GAB</w:t>
    </w:r>
    <w:r w:rsidR="00635DA4">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B0BC" w14:textId="68939331" w:rsidR="00635DA4" w:rsidRPr="004215E5" w:rsidRDefault="00B1237C" w:rsidP="00443CBE">
    <w:pPr>
      <w:pStyle w:val="En-tte"/>
      <w:jc w:val="right"/>
    </w:pPr>
    <w:r>
      <w:t>CED/C/GAB</w:t>
    </w:r>
    <w:r w:rsidR="00635DA4">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DB2261B"/>
    <w:multiLevelType w:val="hybridMultilevel"/>
    <w:tmpl w:val="59488034"/>
    <w:lvl w:ilvl="0" w:tplc="B35EA470">
      <w:start w:val="1"/>
      <w:numFmt w:val="decimal"/>
      <w:lvlText w:val="%1."/>
      <w:lvlJc w:val="left"/>
      <w:pPr>
        <w:ind w:left="1211" w:hanging="360"/>
      </w:pPr>
      <w:rPr>
        <w:b w:val="0"/>
        <w:i w:val="0"/>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1563FA2"/>
    <w:multiLevelType w:val="hybridMultilevel"/>
    <w:tmpl w:val="BC7424C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0C7862"/>
    <w:multiLevelType w:val="hybridMultilevel"/>
    <w:tmpl w:val="373EC6CE"/>
    <w:lvl w:ilvl="0" w:tplc="0409001B">
      <w:start w:val="1"/>
      <w:numFmt w:val="lowerRoman"/>
      <w:lvlText w:val="%1."/>
      <w:lvlJc w:val="right"/>
      <w:pPr>
        <w:ind w:left="131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0C09"/>
    <w:multiLevelType w:val="hybridMultilevel"/>
    <w:tmpl w:val="7766F9EC"/>
    <w:lvl w:ilvl="0" w:tplc="951A85F2">
      <w:start w:val="1"/>
      <w:numFmt w:val="decimal"/>
      <w:lvlText w:val="%1."/>
      <w:lvlJc w:val="left"/>
      <w:pPr>
        <w:ind w:left="2268" w:firstLine="0"/>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604552D"/>
    <w:multiLevelType w:val="hybridMultilevel"/>
    <w:tmpl w:val="B15491C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664BE8"/>
    <w:multiLevelType w:val="hybridMultilevel"/>
    <w:tmpl w:val="59488034"/>
    <w:lvl w:ilvl="0" w:tplc="B35EA470">
      <w:start w:val="1"/>
      <w:numFmt w:val="decimal"/>
      <w:lvlText w:val="%1."/>
      <w:lvlJc w:val="left"/>
      <w:pPr>
        <w:ind w:left="1211" w:hanging="360"/>
      </w:pPr>
      <w:rPr>
        <w:b w:val="0"/>
        <w:i w:val="0"/>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7E972B8"/>
    <w:multiLevelType w:val="hybridMultilevel"/>
    <w:tmpl w:val="F8940B1C"/>
    <w:lvl w:ilvl="0" w:tplc="0409001B">
      <w:start w:val="1"/>
      <w:numFmt w:val="lowerRoman"/>
      <w:lvlText w:val="%1."/>
      <w:lvlJc w:val="right"/>
      <w:pPr>
        <w:ind w:left="329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410CA"/>
    <w:multiLevelType w:val="hybridMultilevel"/>
    <w:tmpl w:val="A6941768"/>
    <w:lvl w:ilvl="0" w:tplc="3E5A8FF8">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E375CC6"/>
    <w:multiLevelType w:val="hybridMultilevel"/>
    <w:tmpl w:val="9DC62E76"/>
    <w:lvl w:ilvl="0" w:tplc="CE96CA1A">
      <w:start w:val="1"/>
      <w:numFmt w:val="decimal"/>
      <w:lvlText w:val="%1."/>
      <w:lvlJc w:val="left"/>
      <w:pPr>
        <w:ind w:left="2268" w:firstLine="0"/>
      </w:pPr>
      <w:rPr>
        <w:rFonts w:hint="default"/>
        <w:b w:val="0"/>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E7C3E14"/>
    <w:multiLevelType w:val="hybridMultilevel"/>
    <w:tmpl w:val="86281B2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4FD4708"/>
    <w:multiLevelType w:val="hybridMultilevel"/>
    <w:tmpl w:val="032AC0A8"/>
    <w:lvl w:ilvl="0" w:tplc="737A9B76">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2A36156D"/>
    <w:multiLevelType w:val="hybridMultilevel"/>
    <w:tmpl w:val="33A4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1A50"/>
    <w:multiLevelType w:val="hybridMultilevel"/>
    <w:tmpl w:val="3692E55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C417D25"/>
    <w:multiLevelType w:val="hybridMultilevel"/>
    <w:tmpl w:val="007A8524"/>
    <w:lvl w:ilvl="0" w:tplc="CE96CA1A">
      <w:start w:val="1"/>
      <w:numFmt w:val="decimal"/>
      <w:lvlText w:val="%1."/>
      <w:lvlJc w:val="left"/>
      <w:pPr>
        <w:ind w:left="1134" w:firstLine="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4E079C"/>
    <w:multiLevelType w:val="hybridMultilevel"/>
    <w:tmpl w:val="5D8C5E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20754CD"/>
    <w:multiLevelType w:val="hybridMultilevel"/>
    <w:tmpl w:val="1F58F70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4F935C2"/>
    <w:multiLevelType w:val="hybridMultilevel"/>
    <w:tmpl w:val="1FFC55E6"/>
    <w:lvl w:ilvl="0" w:tplc="CE96CA1A">
      <w:start w:val="1"/>
      <w:numFmt w:val="decimal"/>
      <w:lvlText w:val="%1."/>
      <w:lvlJc w:val="left"/>
      <w:pPr>
        <w:ind w:left="1134" w:firstLine="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8B50A6E"/>
    <w:multiLevelType w:val="hybridMultilevel"/>
    <w:tmpl w:val="2A820A96"/>
    <w:lvl w:ilvl="0" w:tplc="B35EA470">
      <w:start w:val="1"/>
      <w:numFmt w:val="decimal"/>
      <w:lvlText w:val="%1."/>
      <w:lvlJc w:val="left"/>
      <w:pPr>
        <w:ind w:left="1211" w:hanging="360"/>
      </w:pPr>
      <w:rPr>
        <w:b w:val="0"/>
        <w:i w:val="0"/>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06F6AF8"/>
    <w:multiLevelType w:val="hybridMultilevel"/>
    <w:tmpl w:val="F3D005A8"/>
    <w:lvl w:ilvl="0" w:tplc="B35EA470">
      <w:start w:val="1"/>
      <w:numFmt w:val="decimal"/>
      <w:lvlText w:val="%1."/>
      <w:lvlJc w:val="left"/>
      <w:pPr>
        <w:ind w:left="1211" w:hanging="360"/>
      </w:pPr>
      <w:rPr>
        <w:b w:val="0"/>
        <w:i w:val="0"/>
        <w:color w:val="auto"/>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60E2B52"/>
    <w:multiLevelType w:val="hybridMultilevel"/>
    <w:tmpl w:val="FF340FE0"/>
    <w:lvl w:ilvl="0" w:tplc="CE96CA1A">
      <w:start w:val="1"/>
      <w:numFmt w:val="decimal"/>
      <w:lvlText w:val="%1."/>
      <w:lvlJc w:val="left"/>
      <w:pPr>
        <w:ind w:left="1134" w:firstLine="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1942DB6"/>
    <w:multiLevelType w:val="hybridMultilevel"/>
    <w:tmpl w:val="A99A0B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1AE1159"/>
    <w:multiLevelType w:val="hybridMultilevel"/>
    <w:tmpl w:val="5C90885C"/>
    <w:lvl w:ilvl="0" w:tplc="0409000F">
      <w:start w:val="1"/>
      <w:numFmt w:val="decimal"/>
      <w:lvlText w:val="%1."/>
      <w:lvlJc w:val="left"/>
      <w:pPr>
        <w:ind w:left="298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4513C1F"/>
    <w:multiLevelType w:val="hybridMultilevel"/>
    <w:tmpl w:val="43FCA710"/>
    <w:lvl w:ilvl="0" w:tplc="0409001B">
      <w:start w:val="1"/>
      <w:numFmt w:val="lowerRoman"/>
      <w:lvlText w:val="%1."/>
      <w:lvlJc w:val="right"/>
      <w:pPr>
        <w:ind w:left="329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E37756"/>
    <w:multiLevelType w:val="hybridMultilevel"/>
    <w:tmpl w:val="D3B6AF56"/>
    <w:lvl w:ilvl="0" w:tplc="E910D25A">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7" w15:restartNumberingAfterBreak="0">
    <w:nsid w:val="779D14CE"/>
    <w:multiLevelType w:val="hybridMultilevel"/>
    <w:tmpl w:val="794027CC"/>
    <w:lvl w:ilvl="0" w:tplc="0409001B">
      <w:start w:val="1"/>
      <w:numFmt w:val="lowerRoman"/>
      <w:lvlText w:val="%1."/>
      <w:lvlJc w:val="right"/>
      <w:pPr>
        <w:ind w:left="1314" w:hanging="18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25"/>
  </w:num>
  <w:num w:numId="2">
    <w:abstractNumId w:val="15"/>
  </w:num>
  <w:num w:numId="3">
    <w:abstractNumId w:val="8"/>
  </w:num>
  <w:num w:numId="4">
    <w:abstractNumId w:val="0"/>
  </w:num>
  <w:num w:numId="5">
    <w:abstractNumId w:val="11"/>
  </w:num>
  <w:num w:numId="6">
    <w:abstractNumId w:val="14"/>
  </w:num>
  <w:num w:numId="7">
    <w:abstractNumId w:val="17"/>
  </w:num>
  <w:num w:numId="8">
    <w:abstractNumId w:val="12"/>
  </w:num>
  <w:num w:numId="9">
    <w:abstractNumId w:val="22"/>
  </w:num>
  <w:num w:numId="10">
    <w:abstractNumId w:val="4"/>
  </w:num>
  <w:num w:numId="11">
    <w:abstractNumId w:val="7"/>
  </w:num>
  <w:num w:numId="12">
    <w:abstractNumId w:val="24"/>
  </w:num>
  <w:num w:numId="13">
    <w:abstractNumId w:val="27"/>
  </w:num>
  <w:num w:numId="14">
    <w:abstractNumId w:val="3"/>
  </w:num>
  <w:num w:numId="15">
    <w:abstractNumId w:val="9"/>
  </w:num>
  <w:num w:numId="16">
    <w:abstractNumId w:val="2"/>
  </w:num>
  <w:num w:numId="17">
    <w:abstractNumId w:val="13"/>
  </w:num>
  <w:num w:numId="18">
    <w:abstractNumId w:val="23"/>
  </w:num>
  <w:num w:numId="19">
    <w:abstractNumId w:val="18"/>
  </w:num>
  <w:num w:numId="20">
    <w:abstractNumId w:val="26"/>
  </w:num>
  <w:num w:numId="21">
    <w:abstractNumId w:val="21"/>
  </w:num>
  <w:num w:numId="22">
    <w:abstractNumId w:val="5"/>
  </w:num>
  <w:num w:numId="23">
    <w:abstractNumId w:val="10"/>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0"/>
  </w:num>
  <w:num w:numId="32">
    <w:abstractNumId w:val="6"/>
  </w:num>
  <w:num w:numId="33">
    <w:abstractNumId w:val="1"/>
  </w:num>
  <w:num w:numId="34">
    <w:abstractNumId w:val="19"/>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FE"/>
    <w:rsid w:val="000007BB"/>
    <w:rsid w:val="00001DDF"/>
    <w:rsid w:val="0000361D"/>
    <w:rsid w:val="00004A9F"/>
    <w:rsid w:val="00004B37"/>
    <w:rsid w:val="00010CFE"/>
    <w:rsid w:val="00010D74"/>
    <w:rsid w:val="000110C0"/>
    <w:rsid w:val="00011E9F"/>
    <w:rsid w:val="000124CF"/>
    <w:rsid w:val="000125D0"/>
    <w:rsid w:val="000132D8"/>
    <w:rsid w:val="0001470D"/>
    <w:rsid w:val="00014C29"/>
    <w:rsid w:val="00016165"/>
    <w:rsid w:val="00016AC5"/>
    <w:rsid w:val="000177F7"/>
    <w:rsid w:val="00020734"/>
    <w:rsid w:val="00021907"/>
    <w:rsid w:val="000230E1"/>
    <w:rsid w:val="000233A5"/>
    <w:rsid w:val="0002357D"/>
    <w:rsid w:val="0002445D"/>
    <w:rsid w:val="0002468C"/>
    <w:rsid w:val="00024C50"/>
    <w:rsid w:val="000252B5"/>
    <w:rsid w:val="00025910"/>
    <w:rsid w:val="00025E92"/>
    <w:rsid w:val="000276A3"/>
    <w:rsid w:val="00027F4E"/>
    <w:rsid w:val="00030AFB"/>
    <w:rsid w:val="00032060"/>
    <w:rsid w:val="00032B15"/>
    <w:rsid w:val="000332DC"/>
    <w:rsid w:val="000340AE"/>
    <w:rsid w:val="000353A8"/>
    <w:rsid w:val="000401C0"/>
    <w:rsid w:val="00040481"/>
    <w:rsid w:val="00040539"/>
    <w:rsid w:val="00040598"/>
    <w:rsid w:val="00043F0E"/>
    <w:rsid w:val="000450C7"/>
    <w:rsid w:val="00046017"/>
    <w:rsid w:val="0004674B"/>
    <w:rsid w:val="00046926"/>
    <w:rsid w:val="00047F10"/>
    <w:rsid w:val="00052157"/>
    <w:rsid w:val="00052245"/>
    <w:rsid w:val="0005346D"/>
    <w:rsid w:val="000544F7"/>
    <w:rsid w:val="00055280"/>
    <w:rsid w:val="00055FE4"/>
    <w:rsid w:val="00056656"/>
    <w:rsid w:val="00057F54"/>
    <w:rsid w:val="00061837"/>
    <w:rsid w:val="0006268C"/>
    <w:rsid w:val="0006396D"/>
    <w:rsid w:val="000639FB"/>
    <w:rsid w:val="000641CE"/>
    <w:rsid w:val="00064ED9"/>
    <w:rsid w:val="00065492"/>
    <w:rsid w:val="0006610F"/>
    <w:rsid w:val="00067310"/>
    <w:rsid w:val="00067410"/>
    <w:rsid w:val="00074DAB"/>
    <w:rsid w:val="00076587"/>
    <w:rsid w:val="000777F9"/>
    <w:rsid w:val="00077DAA"/>
    <w:rsid w:val="00077E35"/>
    <w:rsid w:val="00082331"/>
    <w:rsid w:val="00084714"/>
    <w:rsid w:val="00084C47"/>
    <w:rsid w:val="0008669E"/>
    <w:rsid w:val="00086B75"/>
    <w:rsid w:val="00087CC9"/>
    <w:rsid w:val="00090599"/>
    <w:rsid w:val="00092423"/>
    <w:rsid w:val="0009396B"/>
    <w:rsid w:val="0009586F"/>
    <w:rsid w:val="000966BB"/>
    <w:rsid w:val="00097253"/>
    <w:rsid w:val="00097A16"/>
    <w:rsid w:val="000A1501"/>
    <w:rsid w:val="000A2494"/>
    <w:rsid w:val="000A3535"/>
    <w:rsid w:val="000A48AE"/>
    <w:rsid w:val="000A4ACC"/>
    <w:rsid w:val="000A56D8"/>
    <w:rsid w:val="000A5A6A"/>
    <w:rsid w:val="000A6B7E"/>
    <w:rsid w:val="000A7B1E"/>
    <w:rsid w:val="000B0480"/>
    <w:rsid w:val="000B0898"/>
    <w:rsid w:val="000B08EA"/>
    <w:rsid w:val="000B4CA2"/>
    <w:rsid w:val="000B5CEB"/>
    <w:rsid w:val="000C1ED2"/>
    <w:rsid w:val="000C2C92"/>
    <w:rsid w:val="000C48A7"/>
    <w:rsid w:val="000C6CDB"/>
    <w:rsid w:val="000C6CF2"/>
    <w:rsid w:val="000D2A9D"/>
    <w:rsid w:val="000D3184"/>
    <w:rsid w:val="000D3940"/>
    <w:rsid w:val="000D5C25"/>
    <w:rsid w:val="000E026B"/>
    <w:rsid w:val="000E0CC2"/>
    <w:rsid w:val="000E15FE"/>
    <w:rsid w:val="000E2AFE"/>
    <w:rsid w:val="000E4F06"/>
    <w:rsid w:val="000E5601"/>
    <w:rsid w:val="000E5E0D"/>
    <w:rsid w:val="000E5FB6"/>
    <w:rsid w:val="000E6790"/>
    <w:rsid w:val="000E6C6D"/>
    <w:rsid w:val="000E6F6E"/>
    <w:rsid w:val="000F174E"/>
    <w:rsid w:val="000F289D"/>
    <w:rsid w:val="000F41F2"/>
    <w:rsid w:val="00101125"/>
    <w:rsid w:val="0010373B"/>
    <w:rsid w:val="0010488D"/>
    <w:rsid w:val="00105261"/>
    <w:rsid w:val="00107331"/>
    <w:rsid w:val="00110C1C"/>
    <w:rsid w:val="00110D0F"/>
    <w:rsid w:val="00110DF5"/>
    <w:rsid w:val="00112A13"/>
    <w:rsid w:val="00112FFF"/>
    <w:rsid w:val="00114222"/>
    <w:rsid w:val="0011465D"/>
    <w:rsid w:val="00117C63"/>
    <w:rsid w:val="00120A7C"/>
    <w:rsid w:val="00120D73"/>
    <w:rsid w:val="00120DEA"/>
    <w:rsid w:val="00120EC1"/>
    <w:rsid w:val="00122A49"/>
    <w:rsid w:val="00122EB2"/>
    <w:rsid w:val="00123C56"/>
    <w:rsid w:val="00123D4F"/>
    <w:rsid w:val="0012477E"/>
    <w:rsid w:val="001251A1"/>
    <w:rsid w:val="00125446"/>
    <w:rsid w:val="001302F4"/>
    <w:rsid w:val="00131BCF"/>
    <w:rsid w:val="00134458"/>
    <w:rsid w:val="0013480F"/>
    <w:rsid w:val="0013485F"/>
    <w:rsid w:val="001358D9"/>
    <w:rsid w:val="00135A1F"/>
    <w:rsid w:val="00135B17"/>
    <w:rsid w:val="00140949"/>
    <w:rsid w:val="00141E26"/>
    <w:rsid w:val="00143310"/>
    <w:rsid w:val="00143EB9"/>
    <w:rsid w:val="00145DD2"/>
    <w:rsid w:val="00146BC9"/>
    <w:rsid w:val="00146D30"/>
    <w:rsid w:val="00146D5D"/>
    <w:rsid w:val="00150ED3"/>
    <w:rsid w:val="0015174C"/>
    <w:rsid w:val="0015389C"/>
    <w:rsid w:val="00154172"/>
    <w:rsid w:val="00157A9D"/>
    <w:rsid w:val="00160540"/>
    <w:rsid w:val="00160B4B"/>
    <w:rsid w:val="00161602"/>
    <w:rsid w:val="00162E35"/>
    <w:rsid w:val="001661FA"/>
    <w:rsid w:val="001667DA"/>
    <w:rsid w:val="00166C68"/>
    <w:rsid w:val="0017352C"/>
    <w:rsid w:val="001736F9"/>
    <w:rsid w:val="00174304"/>
    <w:rsid w:val="00174814"/>
    <w:rsid w:val="001761B5"/>
    <w:rsid w:val="00177821"/>
    <w:rsid w:val="001818DA"/>
    <w:rsid w:val="00181A90"/>
    <w:rsid w:val="001838F8"/>
    <w:rsid w:val="00183ABD"/>
    <w:rsid w:val="001851BE"/>
    <w:rsid w:val="00185C32"/>
    <w:rsid w:val="001867CE"/>
    <w:rsid w:val="0019086F"/>
    <w:rsid w:val="00190D5D"/>
    <w:rsid w:val="001911E8"/>
    <w:rsid w:val="00192C1E"/>
    <w:rsid w:val="00192EEB"/>
    <w:rsid w:val="00193131"/>
    <w:rsid w:val="00193373"/>
    <w:rsid w:val="00194484"/>
    <w:rsid w:val="00195925"/>
    <w:rsid w:val="001A0D73"/>
    <w:rsid w:val="001A18C4"/>
    <w:rsid w:val="001A191A"/>
    <w:rsid w:val="001A1A4F"/>
    <w:rsid w:val="001A2040"/>
    <w:rsid w:val="001A20FB"/>
    <w:rsid w:val="001A2D38"/>
    <w:rsid w:val="001A376F"/>
    <w:rsid w:val="001A63A2"/>
    <w:rsid w:val="001B09BB"/>
    <w:rsid w:val="001B2508"/>
    <w:rsid w:val="001B33E7"/>
    <w:rsid w:val="001B5E14"/>
    <w:rsid w:val="001B666D"/>
    <w:rsid w:val="001C1194"/>
    <w:rsid w:val="001C2468"/>
    <w:rsid w:val="001C30A8"/>
    <w:rsid w:val="001C3601"/>
    <w:rsid w:val="001C3654"/>
    <w:rsid w:val="001C3D8D"/>
    <w:rsid w:val="001C4ECF"/>
    <w:rsid w:val="001C4FAA"/>
    <w:rsid w:val="001C5AED"/>
    <w:rsid w:val="001C6445"/>
    <w:rsid w:val="001C6497"/>
    <w:rsid w:val="001C7131"/>
    <w:rsid w:val="001D196D"/>
    <w:rsid w:val="001D6C5D"/>
    <w:rsid w:val="001D6E7E"/>
    <w:rsid w:val="001D7F8A"/>
    <w:rsid w:val="001D7FDE"/>
    <w:rsid w:val="001E011A"/>
    <w:rsid w:val="001E0447"/>
    <w:rsid w:val="001E1042"/>
    <w:rsid w:val="001E1208"/>
    <w:rsid w:val="001E1495"/>
    <w:rsid w:val="001E2A22"/>
    <w:rsid w:val="001E34CB"/>
    <w:rsid w:val="001E367D"/>
    <w:rsid w:val="001E3FEB"/>
    <w:rsid w:val="001E4541"/>
    <w:rsid w:val="001E4A02"/>
    <w:rsid w:val="001E4E3F"/>
    <w:rsid w:val="001E589A"/>
    <w:rsid w:val="001E5A68"/>
    <w:rsid w:val="001E653B"/>
    <w:rsid w:val="001E6BCA"/>
    <w:rsid w:val="001E6DF0"/>
    <w:rsid w:val="001F0BEA"/>
    <w:rsid w:val="001F3E68"/>
    <w:rsid w:val="001F408F"/>
    <w:rsid w:val="001F4931"/>
    <w:rsid w:val="001F751C"/>
    <w:rsid w:val="002009B9"/>
    <w:rsid w:val="00200CBA"/>
    <w:rsid w:val="0020146B"/>
    <w:rsid w:val="00201CF1"/>
    <w:rsid w:val="00203FFB"/>
    <w:rsid w:val="00204B66"/>
    <w:rsid w:val="00204DCF"/>
    <w:rsid w:val="002059CE"/>
    <w:rsid w:val="00205F9E"/>
    <w:rsid w:val="0020648D"/>
    <w:rsid w:val="00206AD4"/>
    <w:rsid w:val="00207548"/>
    <w:rsid w:val="00210F61"/>
    <w:rsid w:val="002122B9"/>
    <w:rsid w:val="00212773"/>
    <w:rsid w:val="00217371"/>
    <w:rsid w:val="00222F55"/>
    <w:rsid w:val="0022439A"/>
    <w:rsid w:val="00224B8B"/>
    <w:rsid w:val="00225A8C"/>
    <w:rsid w:val="00231166"/>
    <w:rsid w:val="00231A7F"/>
    <w:rsid w:val="002322A8"/>
    <w:rsid w:val="00235376"/>
    <w:rsid w:val="002358F5"/>
    <w:rsid w:val="00240DA4"/>
    <w:rsid w:val="0024245D"/>
    <w:rsid w:val="00242BBD"/>
    <w:rsid w:val="00242DE1"/>
    <w:rsid w:val="00243D8F"/>
    <w:rsid w:val="00244F88"/>
    <w:rsid w:val="0024586F"/>
    <w:rsid w:val="0024634A"/>
    <w:rsid w:val="00246BC8"/>
    <w:rsid w:val="00247534"/>
    <w:rsid w:val="002507CF"/>
    <w:rsid w:val="00251F21"/>
    <w:rsid w:val="00251F95"/>
    <w:rsid w:val="00252317"/>
    <w:rsid w:val="002533D1"/>
    <w:rsid w:val="00253A35"/>
    <w:rsid w:val="00253C05"/>
    <w:rsid w:val="0025498B"/>
    <w:rsid w:val="002552BE"/>
    <w:rsid w:val="00255437"/>
    <w:rsid w:val="002560D2"/>
    <w:rsid w:val="002579ED"/>
    <w:rsid w:val="00257C72"/>
    <w:rsid w:val="00260AB4"/>
    <w:rsid w:val="00262427"/>
    <w:rsid w:val="002629D2"/>
    <w:rsid w:val="00264567"/>
    <w:rsid w:val="0026555A"/>
    <w:rsid w:val="002659F1"/>
    <w:rsid w:val="00265B36"/>
    <w:rsid w:val="002662CA"/>
    <w:rsid w:val="00266308"/>
    <w:rsid w:val="00266A6F"/>
    <w:rsid w:val="002700E1"/>
    <w:rsid w:val="00270B7A"/>
    <w:rsid w:val="00271E41"/>
    <w:rsid w:val="00273A90"/>
    <w:rsid w:val="00274EDE"/>
    <w:rsid w:val="002752B8"/>
    <w:rsid w:val="002771E2"/>
    <w:rsid w:val="0028015C"/>
    <w:rsid w:val="002821ED"/>
    <w:rsid w:val="002821FA"/>
    <w:rsid w:val="00284C19"/>
    <w:rsid w:val="0028635F"/>
    <w:rsid w:val="00286E23"/>
    <w:rsid w:val="002876A1"/>
    <w:rsid w:val="00287CA6"/>
    <w:rsid w:val="00287E79"/>
    <w:rsid w:val="00287EF4"/>
    <w:rsid w:val="00291B48"/>
    <w:rsid w:val="002928F9"/>
    <w:rsid w:val="00292C06"/>
    <w:rsid w:val="002944F6"/>
    <w:rsid w:val="0029492F"/>
    <w:rsid w:val="00294D5B"/>
    <w:rsid w:val="002A06FC"/>
    <w:rsid w:val="002A0FC0"/>
    <w:rsid w:val="002A27AE"/>
    <w:rsid w:val="002A2A2C"/>
    <w:rsid w:val="002A5D07"/>
    <w:rsid w:val="002A630C"/>
    <w:rsid w:val="002A64C3"/>
    <w:rsid w:val="002B3796"/>
    <w:rsid w:val="002B3B4F"/>
    <w:rsid w:val="002B5521"/>
    <w:rsid w:val="002B5612"/>
    <w:rsid w:val="002B7D10"/>
    <w:rsid w:val="002C6242"/>
    <w:rsid w:val="002C6BF9"/>
    <w:rsid w:val="002D25CA"/>
    <w:rsid w:val="002D3DA4"/>
    <w:rsid w:val="002D4B41"/>
    <w:rsid w:val="002D5352"/>
    <w:rsid w:val="002D61D7"/>
    <w:rsid w:val="002D65BF"/>
    <w:rsid w:val="002D781B"/>
    <w:rsid w:val="002D7D1B"/>
    <w:rsid w:val="002E0F6C"/>
    <w:rsid w:val="002E1F3C"/>
    <w:rsid w:val="002E2C8B"/>
    <w:rsid w:val="002E2F5C"/>
    <w:rsid w:val="002E3072"/>
    <w:rsid w:val="002E5444"/>
    <w:rsid w:val="002E5B5E"/>
    <w:rsid w:val="002E644A"/>
    <w:rsid w:val="002E70B0"/>
    <w:rsid w:val="002F0C48"/>
    <w:rsid w:val="002F1EA4"/>
    <w:rsid w:val="002F710C"/>
    <w:rsid w:val="002F7F2C"/>
    <w:rsid w:val="0030136E"/>
    <w:rsid w:val="003016B7"/>
    <w:rsid w:val="00301B7A"/>
    <w:rsid w:val="003021F2"/>
    <w:rsid w:val="003046BB"/>
    <w:rsid w:val="0030575C"/>
    <w:rsid w:val="00307335"/>
    <w:rsid w:val="0030754C"/>
    <w:rsid w:val="00307796"/>
    <w:rsid w:val="00307D6D"/>
    <w:rsid w:val="0031041E"/>
    <w:rsid w:val="00313740"/>
    <w:rsid w:val="00314777"/>
    <w:rsid w:val="00314D3D"/>
    <w:rsid w:val="003153C9"/>
    <w:rsid w:val="0031718B"/>
    <w:rsid w:val="00317E54"/>
    <w:rsid w:val="00321598"/>
    <w:rsid w:val="00322DF1"/>
    <w:rsid w:val="003234AA"/>
    <w:rsid w:val="00324EBF"/>
    <w:rsid w:val="0032556C"/>
    <w:rsid w:val="00325AAD"/>
    <w:rsid w:val="003265FC"/>
    <w:rsid w:val="003268ED"/>
    <w:rsid w:val="00330508"/>
    <w:rsid w:val="003306D0"/>
    <w:rsid w:val="00331A8D"/>
    <w:rsid w:val="0033286A"/>
    <w:rsid w:val="00332B61"/>
    <w:rsid w:val="00333130"/>
    <w:rsid w:val="00333337"/>
    <w:rsid w:val="00336106"/>
    <w:rsid w:val="00336954"/>
    <w:rsid w:val="003421BC"/>
    <w:rsid w:val="00342295"/>
    <w:rsid w:val="00343585"/>
    <w:rsid w:val="00343C9A"/>
    <w:rsid w:val="00346E32"/>
    <w:rsid w:val="003515AA"/>
    <w:rsid w:val="0035169B"/>
    <w:rsid w:val="00354F81"/>
    <w:rsid w:val="00355677"/>
    <w:rsid w:val="00355BAD"/>
    <w:rsid w:val="003576F8"/>
    <w:rsid w:val="00357B7F"/>
    <w:rsid w:val="003622FE"/>
    <w:rsid w:val="0036263A"/>
    <w:rsid w:val="00363C7A"/>
    <w:rsid w:val="00363DCD"/>
    <w:rsid w:val="003641BB"/>
    <w:rsid w:val="00364C52"/>
    <w:rsid w:val="00364F13"/>
    <w:rsid w:val="00365801"/>
    <w:rsid w:val="0036616E"/>
    <w:rsid w:val="00366592"/>
    <w:rsid w:val="0036776C"/>
    <w:rsid w:val="003701A0"/>
    <w:rsid w:val="003708CD"/>
    <w:rsid w:val="003713A8"/>
    <w:rsid w:val="00372A7A"/>
    <w:rsid w:val="00372D1D"/>
    <w:rsid w:val="00373ABB"/>
    <w:rsid w:val="00374106"/>
    <w:rsid w:val="00374CDD"/>
    <w:rsid w:val="00375F52"/>
    <w:rsid w:val="003760F0"/>
    <w:rsid w:val="0037654D"/>
    <w:rsid w:val="0037679A"/>
    <w:rsid w:val="003772AC"/>
    <w:rsid w:val="003775D6"/>
    <w:rsid w:val="00377C4F"/>
    <w:rsid w:val="0038047C"/>
    <w:rsid w:val="00383428"/>
    <w:rsid w:val="003835BD"/>
    <w:rsid w:val="00385D53"/>
    <w:rsid w:val="00385F77"/>
    <w:rsid w:val="003867F1"/>
    <w:rsid w:val="00387AC0"/>
    <w:rsid w:val="003904E3"/>
    <w:rsid w:val="00390EEF"/>
    <w:rsid w:val="00392031"/>
    <w:rsid w:val="00392F44"/>
    <w:rsid w:val="00394410"/>
    <w:rsid w:val="00396085"/>
    <w:rsid w:val="003976D5"/>
    <w:rsid w:val="003978CE"/>
    <w:rsid w:val="003A09AC"/>
    <w:rsid w:val="003A0B65"/>
    <w:rsid w:val="003A187A"/>
    <w:rsid w:val="003A1E74"/>
    <w:rsid w:val="003A3C04"/>
    <w:rsid w:val="003A4032"/>
    <w:rsid w:val="003A4E98"/>
    <w:rsid w:val="003A5021"/>
    <w:rsid w:val="003A6C2E"/>
    <w:rsid w:val="003B0CB6"/>
    <w:rsid w:val="003B186A"/>
    <w:rsid w:val="003B22A6"/>
    <w:rsid w:val="003B4FB1"/>
    <w:rsid w:val="003B5104"/>
    <w:rsid w:val="003B53B6"/>
    <w:rsid w:val="003B6AF0"/>
    <w:rsid w:val="003B742D"/>
    <w:rsid w:val="003B75BC"/>
    <w:rsid w:val="003B7EBB"/>
    <w:rsid w:val="003C4EB9"/>
    <w:rsid w:val="003C57AC"/>
    <w:rsid w:val="003C72F0"/>
    <w:rsid w:val="003C776A"/>
    <w:rsid w:val="003C7A3A"/>
    <w:rsid w:val="003C7FB6"/>
    <w:rsid w:val="003D0DC3"/>
    <w:rsid w:val="003D14A4"/>
    <w:rsid w:val="003D1B29"/>
    <w:rsid w:val="003D4990"/>
    <w:rsid w:val="003D54C9"/>
    <w:rsid w:val="003D6C68"/>
    <w:rsid w:val="003D71D6"/>
    <w:rsid w:val="003E01D0"/>
    <w:rsid w:val="003E0AAC"/>
    <w:rsid w:val="003E39A2"/>
    <w:rsid w:val="003E49B9"/>
    <w:rsid w:val="003E5F12"/>
    <w:rsid w:val="003E786C"/>
    <w:rsid w:val="003F0095"/>
    <w:rsid w:val="003F2A89"/>
    <w:rsid w:val="003F448F"/>
    <w:rsid w:val="003F4A54"/>
    <w:rsid w:val="003F582E"/>
    <w:rsid w:val="003F770F"/>
    <w:rsid w:val="003F77E1"/>
    <w:rsid w:val="0040144C"/>
    <w:rsid w:val="004024D8"/>
    <w:rsid w:val="0040356C"/>
    <w:rsid w:val="00403F34"/>
    <w:rsid w:val="004043BC"/>
    <w:rsid w:val="004045AF"/>
    <w:rsid w:val="00405024"/>
    <w:rsid w:val="00405A32"/>
    <w:rsid w:val="004067AE"/>
    <w:rsid w:val="004104DF"/>
    <w:rsid w:val="00410521"/>
    <w:rsid w:val="00410C19"/>
    <w:rsid w:val="00412902"/>
    <w:rsid w:val="00413379"/>
    <w:rsid w:val="00413BB0"/>
    <w:rsid w:val="004146FB"/>
    <w:rsid w:val="00414856"/>
    <w:rsid w:val="004159D0"/>
    <w:rsid w:val="00415C10"/>
    <w:rsid w:val="00417326"/>
    <w:rsid w:val="004175C1"/>
    <w:rsid w:val="00417E8A"/>
    <w:rsid w:val="00420261"/>
    <w:rsid w:val="00420931"/>
    <w:rsid w:val="00421459"/>
    <w:rsid w:val="004215E5"/>
    <w:rsid w:val="00421626"/>
    <w:rsid w:val="00421F15"/>
    <w:rsid w:val="00422499"/>
    <w:rsid w:val="00423C9A"/>
    <w:rsid w:val="004243BA"/>
    <w:rsid w:val="004277D4"/>
    <w:rsid w:val="004306CD"/>
    <w:rsid w:val="00431D32"/>
    <w:rsid w:val="00431DB7"/>
    <w:rsid w:val="004330F0"/>
    <w:rsid w:val="00433426"/>
    <w:rsid w:val="004342E2"/>
    <w:rsid w:val="00434354"/>
    <w:rsid w:val="0043691C"/>
    <w:rsid w:val="004401F6"/>
    <w:rsid w:val="00440BC8"/>
    <w:rsid w:val="00442F5F"/>
    <w:rsid w:val="00443CBE"/>
    <w:rsid w:val="0044402F"/>
    <w:rsid w:val="00444AF3"/>
    <w:rsid w:val="00444EA8"/>
    <w:rsid w:val="0045023D"/>
    <w:rsid w:val="00450561"/>
    <w:rsid w:val="0045320C"/>
    <w:rsid w:val="00454F8D"/>
    <w:rsid w:val="00455B07"/>
    <w:rsid w:val="004567EB"/>
    <w:rsid w:val="0046015D"/>
    <w:rsid w:val="004608FE"/>
    <w:rsid w:val="00460E72"/>
    <w:rsid w:val="00462268"/>
    <w:rsid w:val="00462DBB"/>
    <w:rsid w:val="00463C14"/>
    <w:rsid w:val="00464509"/>
    <w:rsid w:val="00464DED"/>
    <w:rsid w:val="00466F8E"/>
    <w:rsid w:val="00467412"/>
    <w:rsid w:val="00467F48"/>
    <w:rsid w:val="00470764"/>
    <w:rsid w:val="004707E4"/>
    <w:rsid w:val="004713C9"/>
    <w:rsid w:val="00471597"/>
    <w:rsid w:val="00471B09"/>
    <w:rsid w:val="00474E38"/>
    <w:rsid w:val="00475E19"/>
    <w:rsid w:val="00476265"/>
    <w:rsid w:val="00480A05"/>
    <w:rsid w:val="004832FA"/>
    <w:rsid w:val="00484D6D"/>
    <w:rsid w:val="00484E13"/>
    <w:rsid w:val="00490F56"/>
    <w:rsid w:val="00491F39"/>
    <w:rsid w:val="00496C48"/>
    <w:rsid w:val="004A069F"/>
    <w:rsid w:val="004A154E"/>
    <w:rsid w:val="004A1839"/>
    <w:rsid w:val="004A1AB2"/>
    <w:rsid w:val="004A1ACF"/>
    <w:rsid w:val="004A49A5"/>
    <w:rsid w:val="004A609D"/>
    <w:rsid w:val="004A66A2"/>
    <w:rsid w:val="004B279F"/>
    <w:rsid w:val="004B51CD"/>
    <w:rsid w:val="004B5588"/>
    <w:rsid w:val="004B5F75"/>
    <w:rsid w:val="004B62E7"/>
    <w:rsid w:val="004B7576"/>
    <w:rsid w:val="004C06AE"/>
    <w:rsid w:val="004C1ADA"/>
    <w:rsid w:val="004C526E"/>
    <w:rsid w:val="004C54C0"/>
    <w:rsid w:val="004C56B2"/>
    <w:rsid w:val="004C6B3D"/>
    <w:rsid w:val="004C7673"/>
    <w:rsid w:val="004C7B1E"/>
    <w:rsid w:val="004C7B44"/>
    <w:rsid w:val="004D0091"/>
    <w:rsid w:val="004D00B2"/>
    <w:rsid w:val="004D1A9A"/>
    <w:rsid w:val="004D25C7"/>
    <w:rsid w:val="004D2E18"/>
    <w:rsid w:val="004D3CF1"/>
    <w:rsid w:val="004D5F57"/>
    <w:rsid w:val="004D6066"/>
    <w:rsid w:val="004D64CF"/>
    <w:rsid w:val="004D6596"/>
    <w:rsid w:val="004D7B58"/>
    <w:rsid w:val="004E0B7B"/>
    <w:rsid w:val="004E4963"/>
    <w:rsid w:val="004E49D0"/>
    <w:rsid w:val="004E5B26"/>
    <w:rsid w:val="004E66C2"/>
    <w:rsid w:val="004E6809"/>
    <w:rsid w:val="004E6938"/>
    <w:rsid w:val="004E695A"/>
    <w:rsid w:val="004E76DE"/>
    <w:rsid w:val="004E78A0"/>
    <w:rsid w:val="004E7C64"/>
    <w:rsid w:val="004E7F24"/>
    <w:rsid w:val="004F2A67"/>
    <w:rsid w:val="004F3414"/>
    <w:rsid w:val="004F3EB5"/>
    <w:rsid w:val="0050010A"/>
    <w:rsid w:val="005007E7"/>
    <w:rsid w:val="00503B85"/>
    <w:rsid w:val="00504255"/>
    <w:rsid w:val="005079C4"/>
    <w:rsid w:val="00510F11"/>
    <w:rsid w:val="005111B1"/>
    <w:rsid w:val="0051264A"/>
    <w:rsid w:val="0051265F"/>
    <w:rsid w:val="00513D55"/>
    <w:rsid w:val="0051457E"/>
    <w:rsid w:val="00514598"/>
    <w:rsid w:val="00515ABF"/>
    <w:rsid w:val="00516BAB"/>
    <w:rsid w:val="0051714B"/>
    <w:rsid w:val="00517401"/>
    <w:rsid w:val="00517C96"/>
    <w:rsid w:val="00520098"/>
    <w:rsid w:val="00520F80"/>
    <w:rsid w:val="00522D6F"/>
    <w:rsid w:val="005239FF"/>
    <w:rsid w:val="00523DB8"/>
    <w:rsid w:val="005251D8"/>
    <w:rsid w:val="00530C47"/>
    <w:rsid w:val="00532ABF"/>
    <w:rsid w:val="00533150"/>
    <w:rsid w:val="0053586E"/>
    <w:rsid w:val="005414C4"/>
    <w:rsid w:val="0054281E"/>
    <w:rsid w:val="00542DDE"/>
    <w:rsid w:val="0054347D"/>
    <w:rsid w:val="00543B57"/>
    <w:rsid w:val="00543C47"/>
    <w:rsid w:val="00543D5E"/>
    <w:rsid w:val="00544336"/>
    <w:rsid w:val="00547FDD"/>
    <w:rsid w:val="00551EA1"/>
    <w:rsid w:val="00552260"/>
    <w:rsid w:val="00552777"/>
    <w:rsid w:val="00555494"/>
    <w:rsid w:val="00555CBA"/>
    <w:rsid w:val="00560094"/>
    <w:rsid w:val="00561DE3"/>
    <w:rsid w:val="00564A4F"/>
    <w:rsid w:val="00565B29"/>
    <w:rsid w:val="0056710A"/>
    <w:rsid w:val="00567B91"/>
    <w:rsid w:val="00570BEA"/>
    <w:rsid w:val="00571BC1"/>
    <w:rsid w:val="00571F41"/>
    <w:rsid w:val="00573F27"/>
    <w:rsid w:val="005743B2"/>
    <w:rsid w:val="00575476"/>
    <w:rsid w:val="00576B0A"/>
    <w:rsid w:val="00580749"/>
    <w:rsid w:val="00581075"/>
    <w:rsid w:val="00581761"/>
    <w:rsid w:val="00582045"/>
    <w:rsid w:val="005828E3"/>
    <w:rsid w:val="00584373"/>
    <w:rsid w:val="005854BE"/>
    <w:rsid w:val="00586604"/>
    <w:rsid w:val="00587D08"/>
    <w:rsid w:val="00591DB3"/>
    <w:rsid w:val="0059363E"/>
    <w:rsid w:val="005939ED"/>
    <w:rsid w:val="005947BC"/>
    <w:rsid w:val="00595E8A"/>
    <w:rsid w:val="005A0268"/>
    <w:rsid w:val="005A5B7F"/>
    <w:rsid w:val="005A6014"/>
    <w:rsid w:val="005B0714"/>
    <w:rsid w:val="005B3BD8"/>
    <w:rsid w:val="005B473C"/>
    <w:rsid w:val="005B7ED4"/>
    <w:rsid w:val="005C0BE5"/>
    <w:rsid w:val="005C13D2"/>
    <w:rsid w:val="005C2373"/>
    <w:rsid w:val="005C50E6"/>
    <w:rsid w:val="005C549A"/>
    <w:rsid w:val="005C627F"/>
    <w:rsid w:val="005C6A2A"/>
    <w:rsid w:val="005C6B2D"/>
    <w:rsid w:val="005C735B"/>
    <w:rsid w:val="005C7B2D"/>
    <w:rsid w:val="005D0AB1"/>
    <w:rsid w:val="005D18B6"/>
    <w:rsid w:val="005D271D"/>
    <w:rsid w:val="005D38AC"/>
    <w:rsid w:val="005D73A7"/>
    <w:rsid w:val="005D7719"/>
    <w:rsid w:val="005D7D0B"/>
    <w:rsid w:val="005E0539"/>
    <w:rsid w:val="005E1B9B"/>
    <w:rsid w:val="005E32D1"/>
    <w:rsid w:val="005E4592"/>
    <w:rsid w:val="005E507D"/>
    <w:rsid w:val="005E54DB"/>
    <w:rsid w:val="005E5D1F"/>
    <w:rsid w:val="005E6897"/>
    <w:rsid w:val="005E6E58"/>
    <w:rsid w:val="005E7233"/>
    <w:rsid w:val="005F0344"/>
    <w:rsid w:val="005F5F69"/>
    <w:rsid w:val="005F6250"/>
    <w:rsid w:val="005F640D"/>
    <w:rsid w:val="005F67B7"/>
    <w:rsid w:val="005F759F"/>
    <w:rsid w:val="005F76F9"/>
    <w:rsid w:val="0060007C"/>
    <w:rsid w:val="00600A1E"/>
    <w:rsid w:val="00600B7B"/>
    <w:rsid w:val="00600F09"/>
    <w:rsid w:val="0060282F"/>
    <w:rsid w:val="00602DBF"/>
    <w:rsid w:val="00603291"/>
    <w:rsid w:val="00603A96"/>
    <w:rsid w:val="00607764"/>
    <w:rsid w:val="00610A14"/>
    <w:rsid w:val="00610B70"/>
    <w:rsid w:val="00610E2B"/>
    <w:rsid w:val="0061113B"/>
    <w:rsid w:val="0061167F"/>
    <w:rsid w:val="00611D43"/>
    <w:rsid w:val="00612D48"/>
    <w:rsid w:val="00613A31"/>
    <w:rsid w:val="00613A5E"/>
    <w:rsid w:val="006169A1"/>
    <w:rsid w:val="00616B45"/>
    <w:rsid w:val="00617047"/>
    <w:rsid w:val="006174DD"/>
    <w:rsid w:val="00620B85"/>
    <w:rsid w:val="00621F11"/>
    <w:rsid w:val="006241C6"/>
    <w:rsid w:val="00625E1F"/>
    <w:rsid w:val="0062678B"/>
    <w:rsid w:val="00630508"/>
    <w:rsid w:val="00630D9B"/>
    <w:rsid w:val="0063165A"/>
    <w:rsid w:val="00631953"/>
    <w:rsid w:val="0063208D"/>
    <w:rsid w:val="0063410B"/>
    <w:rsid w:val="006344A0"/>
    <w:rsid w:val="00635DA4"/>
    <w:rsid w:val="00635DCC"/>
    <w:rsid w:val="0064273D"/>
    <w:rsid w:val="00643059"/>
    <w:rsid w:val="00643814"/>
    <w:rsid w:val="006439EC"/>
    <w:rsid w:val="0064507E"/>
    <w:rsid w:val="00645090"/>
    <w:rsid w:val="00647059"/>
    <w:rsid w:val="00647162"/>
    <w:rsid w:val="00647824"/>
    <w:rsid w:val="0065011A"/>
    <w:rsid w:val="0065029A"/>
    <w:rsid w:val="00651170"/>
    <w:rsid w:val="00651737"/>
    <w:rsid w:val="00652FA4"/>
    <w:rsid w:val="00653989"/>
    <w:rsid w:val="0065528C"/>
    <w:rsid w:val="00655CE3"/>
    <w:rsid w:val="006572B2"/>
    <w:rsid w:val="00660A67"/>
    <w:rsid w:val="0066176B"/>
    <w:rsid w:val="00661B40"/>
    <w:rsid w:val="00661E96"/>
    <w:rsid w:val="00662259"/>
    <w:rsid w:val="006655C6"/>
    <w:rsid w:val="00665786"/>
    <w:rsid w:val="00666AC6"/>
    <w:rsid w:val="00670903"/>
    <w:rsid w:val="00670921"/>
    <w:rsid w:val="00670A08"/>
    <w:rsid w:val="00671C93"/>
    <w:rsid w:val="00671F00"/>
    <w:rsid w:val="00672442"/>
    <w:rsid w:val="006729C8"/>
    <w:rsid w:val="00675501"/>
    <w:rsid w:val="0067657F"/>
    <w:rsid w:val="006776FC"/>
    <w:rsid w:val="00677CD0"/>
    <w:rsid w:val="006809E6"/>
    <w:rsid w:val="00684C34"/>
    <w:rsid w:val="00684CE3"/>
    <w:rsid w:val="0068562A"/>
    <w:rsid w:val="00686F43"/>
    <w:rsid w:val="0068726C"/>
    <w:rsid w:val="00690DF9"/>
    <w:rsid w:val="0069297F"/>
    <w:rsid w:val="00692B70"/>
    <w:rsid w:val="00693356"/>
    <w:rsid w:val="00693A25"/>
    <w:rsid w:val="0069531C"/>
    <w:rsid w:val="00695D16"/>
    <w:rsid w:val="006970B7"/>
    <w:rsid w:val="006A138B"/>
    <w:rsid w:val="006A14F9"/>
    <w:rsid w:val="006A1731"/>
    <w:rsid w:val="006A2B12"/>
    <w:rsid w:val="006A3D58"/>
    <w:rsid w:val="006A4704"/>
    <w:rsid w:val="006A5B67"/>
    <w:rsid w:val="006A6518"/>
    <w:rsid w:val="006A6B31"/>
    <w:rsid w:val="006A6C95"/>
    <w:rsid w:val="006A7B29"/>
    <w:rsid w:val="006B00D4"/>
    <w:rsid w:val="006B0E8C"/>
    <w:rsid w:val="006B0EB2"/>
    <w:rsid w:val="006B0FF8"/>
    <w:rsid w:val="006B4590"/>
    <w:rsid w:val="006B76B7"/>
    <w:rsid w:val="006C1903"/>
    <w:rsid w:val="006C25A6"/>
    <w:rsid w:val="006C340C"/>
    <w:rsid w:val="006C5136"/>
    <w:rsid w:val="006C530D"/>
    <w:rsid w:val="006C6091"/>
    <w:rsid w:val="006C67F3"/>
    <w:rsid w:val="006D11C8"/>
    <w:rsid w:val="006D3A30"/>
    <w:rsid w:val="006D3F53"/>
    <w:rsid w:val="006D405D"/>
    <w:rsid w:val="006D7033"/>
    <w:rsid w:val="006D7B20"/>
    <w:rsid w:val="006E050B"/>
    <w:rsid w:val="006E0DA0"/>
    <w:rsid w:val="006E23BC"/>
    <w:rsid w:val="006E293D"/>
    <w:rsid w:val="006E4BFB"/>
    <w:rsid w:val="006E5F1E"/>
    <w:rsid w:val="006E60EE"/>
    <w:rsid w:val="006E703B"/>
    <w:rsid w:val="006E7524"/>
    <w:rsid w:val="006E7542"/>
    <w:rsid w:val="006F0437"/>
    <w:rsid w:val="006F0A89"/>
    <w:rsid w:val="006F14AA"/>
    <w:rsid w:val="006F19F5"/>
    <w:rsid w:val="006F1D0B"/>
    <w:rsid w:val="006F20AF"/>
    <w:rsid w:val="006F27A8"/>
    <w:rsid w:val="006F3493"/>
    <w:rsid w:val="006F3544"/>
    <w:rsid w:val="006F38E5"/>
    <w:rsid w:val="006F5209"/>
    <w:rsid w:val="006F75FA"/>
    <w:rsid w:val="00701A2C"/>
    <w:rsid w:val="00701B47"/>
    <w:rsid w:val="00701E57"/>
    <w:rsid w:val="00702CC6"/>
    <w:rsid w:val="0070347C"/>
    <w:rsid w:val="0070642F"/>
    <w:rsid w:val="00706E19"/>
    <w:rsid w:val="007070DC"/>
    <w:rsid w:val="00707E14"/>
    <w:rsid w:val="007102D2"/>
    <w:rsid w:val="00710C5E"/>
    <w:rsid w:val="00711A27"/>
    <w:rsid w:val="00712AF8"/>
    <w:rsid w:val="00714A66"/>
    <w:rsid w:val="0071607E"/>
    <w:rsid w:val="0071634F"/>
    <w:rsid w:val="007176C1"/>
    <w:rsid w:val="00717A8E"/>
    <w:rsid w:val="00717CA7"/>
    <w:rsid w:val="00720BC0"/>
    <w:rsid w:val="0072116B"/>
    <w:rsid w:val="00723508"/>
    <w:rsid w:val="007243E4"/>
    <w:rsid w:val="00725063"/>
    <w:rsid w:val="00727106"/>
    <w:rsid w:val="00731287"/>
    <w:rsid w:val="00732E72"/>
    <w:rsid w:val="00732FF0"/>
    <w:rsid w:val="007345A5"/>
    <w:rsid w:val="00735423"/>
    <w:rsid w:val="00736DBB"/>
    <w:rsid w:val="00740A40"/>
    <w:rsid w:val="00741D90"/>
    <w:rsid w:val="007423FE"/>
    <w:rsid w:val="00742666"/>
    <w:rsid w:val="00742912"/>
    <w:rsid w:val="0074458E"/>
    <w:rsid w:val="00745475"/>
    <w:rsid w:val="00751BDD"/>
    <w:rsid w:val="007524B9"/>
    <w:rsid w:val="007538CF"/>
    <w:rsid w:val="00755D63"/>
    <w:rsid w:val="0075740E"/>
    <w:rsid w:val="0076011A"/>
    <w:rsid w:val="007607B1"/>
    <w:rsid w:val="007609B8"/>
    <w:rsid w:val="0076273E"/>
    <w:rsid w:val="007642B4"/>
    <w:rsid w:val="007643B0"/>
    <w:rsid w:val="00765296"/>
    <w:rsid w:val="00766250"/>
    <w:rsid w:val="00766D28"/>
    <w:rsid w:val="00766F30"/>
    <w:rsid w:val="0076736D"/>
    <w:rsid w:val="007723C2"/>
    <w:rsid w:val="00773D37"/>
    <w:rsid w:val="00775487"/>
    <w:rsid w:val="00775E6A"/>
    <w:rsid w:val="0077784B"/>
    <w:rsid w:val="0078000F"/>
    <w:rsid w:val="007815B9"/>
    <w:rsid w:val="007823A5"/>
    <w:rsid w:val="00783A3A"/>
    <w:rsid w:val="00784615"/>
    <w:rsid w:val="007853AC"/>
    <w:rsid w:val="00785F1D"/>
    <w:rsid w:val="00785F1F"/>
    <w:rsid w:val="007878D7"/>
    <w:rsid w:val="00790B9D"/>
    <w:rsid w:val="00791EE0"/>
    <w:rsid w:val="00796316"/>
    <w:rsid w:val="007A0930"/>
    <w:rsid w:val="007A1C58"/>
    <w:rsid w:val="007A20D2"/>
    <w:rsid w:val="007A70A7"/>
    <w:rsid w:val="007A7445"/>
    <w:rsid w:val="007A79CD"/>
    <w:rsid w:val="007B09EE"/>
    <w:rsid w:val="007B0F32"/>
    <w:rsid w:val="007B5D6D"/>
    <w:rsid w:val="007B61B8"/>
    <w:rsid w:val="007C273D"/>
    <w:rsid w:val="007C5362"/>
    <w:rsid w:val="007C62D1"/>
    <w:rsid w:val="007C6C44"/>
    <w:rsid w:val="007D01F9"/>
    <w:rsid w:val="007D06D3"/>
    <w:rsid w:val="007D0E9D"/>
    <w:rsid w:val="007D2668"/>
    <w:rsid w:val="007D3119"/>
    <w:rsid w:val="007E09B0"/>
    <w:rsid w:val="007E0E23"/>
    <w:rsid w:val="007E1C3B"/>
    <w:rsid w:val="007E3B4A"/>
    <w:rsid w:val="007E529A"/>
    <w:rsid w:val="007E7E28"/>
    <w:rsid w:val="007F0438"/>
    <w:rsid w:val="007F078B"/>
    <w:rsid w:val="007F1867"/>
    <w:rsid w:val="007F1EC4"/>
    <w:rsid w:val="007F358B"/>
    <w:rsid w:val="007F49FA"/>
    <w:rsid w:val="007F55CB"/>
    <w:rsid w:val="007F6026"/>
    <w:rsid w:val="007F6903"/>
    <w:rsid w:val="007F6974"/>
    <w:rsid w:val="007F768E"/>
    <w:rsid w:val="007F7E5A"/>
    <w:rsid w:val="00800A08"/>
    <w:rsid w:val="008021D4"/>
    <w:rsid w:val="008039E5"/>
    <w:rsid w:val="0080644B"/>
    <w:rsid w:val="0080781B"/>
    <w:rsid w:val="00810342"/>
    <w:rsid w:val="00810628"/>
    <w:rsid w:val="00810D23"/>
    <w:rsid w:val="008120F7"/>
    <w:rsid w:val="008149F9"/>
    <w:rsid w:val="008159CC"/>
    <w:rsid w:val="00823F09"/>
    <w:rsid w:val="0082419D"/>
    <w:rsid w:val="008245B7"/>
    <w:rsid w:val="0082531F"/>
    <w:rsid w:val="00826294"/>
    <w:rsid w:val="00826A75"/>
    <w:rsid w:val="0082755E"/>
    <w:rsid w:val="00827B93"/>
    <w:rsid w:val="0083065D"/>
    <w:rsid w:val="008310B3"/>
    <w:rsid w:val="00831A18"/>
    <w:rsid w:val="00831F99"/>
    <w:rsid w:val="00832843"/>
    <w:rsid w:val="00836A46"/>
    <w:rsid w:val="00837345"/>
    <w:rsid w:val="008401DA"/>
    <w:rsid w:val="00842044"/>
    <w:rsid w:val="00843320"/>
    <w:rsid w:val="00844750"/>
    <w:rsid w:val="00844998"/>
    <w:rsid w:val="00846758"/>
    <w:rsid w:val="00847C10"/>
    <w:rsid w:val="00850E73"/>
    <w:rsid w:val="00851A74"/>
    <w:rsid w:val="00852208"/>
    <w:rsid w:val="00853A30"/>
    <w:rsid w:val="00853AB8"/>
    <w:rsid w:val="00854C34"/>
    <w:rsid w:val="0085586A"/>
    <w:rsid w:val="00855D3C"/>
    <w:rsid w:val="0085626D"/>
    <w:rsid w:val="00857E11"/>
    <w:rsid w:val="00861175"/>
    <w:rsid w:val="00861BEB"/>
    <w:rsid w:val="008624C3"/>
    <w:rsid w:val="008652BB"/>
    <w:rsid w:val="008653A5"/>
    <w:rsid w:val="00865AB4"/>
    <w:rsid w:val="00865D76"/>
    <w:rsid w:val="0086697A"/>
    <w:rsid w:val="008709B5"/>
    <w:rsid w:val="00871CB4"/>
    <w:rsid w:val="00872CC7"/>
    <w:rsid w:val="00875749"/>
    <w:rsid w:val="00875AEA"/>
    <w:rsid w:val="00877C23"/>
    <w:rsid w:val="008806CE"/>
    <w:rsid w:val="0088168B"/>
    <w:rsid w:val="008839A8"/>
    <w:rsid w:val="00884671"/>
    <w:rsid w:val="008858B3"/>
    <w:rsid w:val="00885963"/>
    <w:rsid w:val="00885B91"/>
    <w:rsid w:val="00886220"/>
    <w:rsid w:val="008862B5"/>
    <w:rsid w:val="00886465"/>
    <w:rsid w:val="00886D4C"/>
    <w:rsid w:val="00887EE4"/>
    <w:rsid w:val="008915AB"/>
    <w:rsid w:val="00893428"/>
    <w:rsid w:val="008944B1"/>
    <w:rsid w:val="0089598A"/>
    <w:rsid w:val="00895DE5"/>
    <w:rsid w:val="00896772"/>
    <w:rsid w:val="00896FE2"/>
    <w:rsid w:val="00897FE9"/>
    <w:rsid w:val="008A0FA8"/>
    <w:rsid w:val="008A1EC0"/>
    <w:rsid w:val="008A20A5"/>
    <w:rsid w:val="008A5444"/>
    <w:rsid w:val="008A57C1"/>
    <w:rsid w:val="008A59E0"/>
    <w:rsid w:val="008B1034"/>
    <w:rsid w:val="008B2D04"/>
    <w:rsid w:val="008B43A3"/>
    <w:rsid w:val="008B44C4"/>
    <w:rsid w:val="008B4DE1"/>
    <w:rsid w:val="008B4E0E"/>
    <w:rsid w:val="008C2847"/>
    <w:rsid w:val="008C28CD"/>
    <w:rsid w:val="008C322B"/>
    <w:rsid w:val="008C4B74"/>
    <w:rsid w:val="008C5570"/>
    <w:rsid w:val="008C6E68"/>
    <w:rsid w:val="008C7990"/>
    <w:rsid w:val="008D0B74"/>
    <w:rsid w:val="008D1156"/>
    <w:rsid w:val="008D3E47"/>
    <w:rsid w:val="008D59DB"/>
    <w:rsid w:val="008D59E4"/>
    <w:rsid w:val="008D615E"/>
    <w:rsid w:val="008E0319"/>
    <w:rsid w:val="008E3115"/>
    <w:rsid w:val="008E3289"/>
    <w:rsid w:val="008E4DE2"/>
    <w:rsid w:val="008E7CE2"/>
    <w:rsid w:val="008E7FAE"/>
    <w:rsid w:val="008F2A9C"/>
    <w:rsid w:val="008F3A4F"/>
    <w:rsid w:val="008F44BC"/>
    <w:rsid w:val="008F69C9"/>
    <w:rsid w:val="008F7F76"/>
    <w:rsid w:val="0090195B"/>
    <w:rsid w:val="00902AC8"/>
    <w:rsid w:val="00902FA7"/>
    <w:rsid w:val="0090481D"/>
    <w:rsid w:val="00905917"/>
    <w:rsid w:val="00911BF7"/>
    <w:rsid w:val="00912A6E"/>
    <w:rsid w:val="00912C4F"/>
    <w:rsid w:val="00914AD8"/>
    <w:rsid w:val="0091557A"/>
    <w:rsid w:val="009157EF"/>
    <w:rsid w:val="0091594A"/>
    <w:rsid w:val="00916597"/>
    <w:rsid w:val="0091725B"/>
    <w:rsid w:val="0092175D"/>
    <w:rsid w:val="009222F3"/>
    <w:rsid w:val="009230F1"/>
    <w:rsid w:val="0092526C"/>
    <w:rsid w:val="0092533E"/>
    <w:rsid w:val="009269A0"/>
    <w:rsid w:val="009304A8"/>
    <w:rsid w:val="00932818"/>
    <w:rsid w:val="00935490"/>
    <w:rsid w:val="00935D94"/>
    <w:rsid w:val="00936E3C"/>
    <w:rsid w:val="009375C8"/>
    <w:rsid w:val="00940ED9"/>
    <w:rsid w:val="009418DE"/>
    <w:rsid w:val="00943084"/>
    <w:rsid w:val="00943379"/>
    <w:rsid w:val="00943474"/>
    <w:rsid w:val="0094494F"/>
    <w:rsid w:val="009502F7"/>
    <w:rsid w:val="00951424"/>
    <w:rsid w:val="009516B7"/>
    <w:rsid w:val="00951879"/>
    <w:rsid w:val="00956CBF"/>
    <w:rsid w:val="00957125"/>
    <w:rsid w:val="009576F3"/>
    <w:rsid w:val="00957C26"/>
    <w:rsid w:val="00957CCE"/>
    <w:rsid w:val="00957CE5"/>
    <w:rsid w:val="009601C8"/>
    <w:rsid w:val="009602FC"/>
    <w:rsid w:val="00960428"/>
    <w:rsid w:val="009624E2"/>
    <w:rsid w:val="0096275B"/>
    <w:rsid w:val="0096306C"/>
    <w:rsid w:val="009632C7"/>
    <w:rsid w:val="009635B5"/>
    <w:rsid w:val="009641BA"/>
    <w:rsid w:val="00964A0C"/>
    <w:rsid w:val="00966651"/>
    <w:rsid w:val="009671F0"/>
    <w:rsid w:val="00970933"/>
    <w:rsid w:val="00971E62"/>
    <w:rsid w:val="009727C5"/>
    <w:rsid w:val="00972A8D"/>
    <w:rsid w:val="00974460"/>
    <w:rsid w:val="00975003"/>
    <w:rsid w:val="00975243"/>
    <w:rsid w:val="00975C44"/>
    <w:rsid w:val="00975F08"/>
    <w:rsid w:val="0097613F"/>
    <w:rsid w:val="00976E13"/>
    <w:rsid w:val="009778A3"/>
    <w:rsid w:val="00977EC8"/>
    <w:rsid w:val="00981240"/>
    <w:rsid w:val="00981B64"/>
    <w:rsid w:val="0098633A"/>
    <w:rsid w:val="00986EF7"/>
    <w:rsid w:val="00992A9F"/>
    <w:rsid w:val="00994822"/>
    <w:rsid w:val="00994FC8"/>
    <w:rsid w:val="00996521"/>
    <w:rsid w:val="009976EE"/>
    <w:rsid w:val="009A0054"/>
    <w:rsid w:val="009A1832"/>
    <w:rsid w:val="009A1993"/>
    <w:rsid w:val="009A1AC1"/>
    <w:rsid w:val="009A3048"/>
    <w:rsid w:val="009A324B"/>
    <w:rsid w:val="009A3744"/>
    <w:rsid w:val="009A3C10"/>
    <w:rsid w:val="009A3C8A"/>
    <w:rsid w:val="009A6C26"/>
    <w:rsid w:val="009B0EA9"/>
    <w:rsid w:val="009B17AD"/>
    <w:rsid w:val="009B3F8C"/>
    <w:rsid w:val="009B41D7"/>
    <w:rsid w:val="009B45E0"/>
    <w:rsid w:val="009B540F"/>
    <w:rsid w:val="009C0141"/>
    <w:rsid w:val="009C2737"/>
    <w:rsid w:val="009C4A49"/>
    <w:rsid w:val="009C4DB2"/>
    <w:rsid w:val="009D26D9"/>
    <w:rsid w:val="009D3A8C"/>
    <w:rsid w:val="009D4113"/>
    <w:rsid w:val="009E127A"/>
    <w:rsid w:val="009E1BA9"/>
    <w:rsid w:val="009E2876"/>
    <w:rsid w:val="009E2F0B"/>
    <w:rsid w:val="009E4DA3"/>
    <w:rsid w:val="009E5590"/>
    <w:rsid w:val="009E6476"/>
    <w:rsid w:val="009E7829"/>
    <w:rsid w:val="009E7956"/>
    <w:rsid w:val="009F072F"/>
    <w:rsid w:val="009F168E"/>
    <w:rsid w:val="009F26C1"/>
    <w:rsid w:val="009F28F7"/>
    <w:rsid w:val="009F292A"/>
    <w:rsid w:val="009F2ACD"/>
    <w:rsid w:val="009F2AF8"/>
    <w:rsid w:val="009F3A07"/>
    <w:rsid w:val="009F3F95"/>
    <w:rsid w:val="009F4177"/>
    <w:rsid w:val="009F528C"/>
    <w:rsid w:val="009F52E1"/>
    <w:rsid w:val="009F52F1"/>
    <w:rsid w:val="009F53DD"/>
    <w:rsid w:val="009F60C1"/>
    <w:rsid w:val="009F629E"/>
    <w:rsid w:val="009F7780"/>
    <w:rsid w:val="00A0187E"/>
    <w:rsid w:val="00A023AD"/>
    <w:rsid w:val="00A023FC"/>
    <w:rsid w:val="00A0338D"/>
    <w:rsid w:val="00A05DD1"/>
    <w:rsid w:val="00A077E9"/>
    <w:rsid w:val="00A12B2E"/>
    <w:rsid w:val="00A1327E"/>
    <w:rsid w:val="00A1362D"/>
    <w:rsid w:val="00A1501E"/>
    <w:rsid w:val="00A16425"/>
    <w:rsid w:val="00A16703"/>
    <w:rsid w:val="00A17B17"/>
    <w:rsid w:val="00A21D26"/>
    <w:rsid w:val="00A2288D"/>
    <w:rsid w:val="00A24072"/>
    <w:rsid w:val="00A2485F"/>
    <w:rsid w:val="00A2492E"/>
    <w:rsid w:val="00A26B0D"/>
    <w:rsid w:val="00A27464"/>
    <w:rsid w:val="00A30ACE"/>
    <w:rsid w:val="00A31163"/>
    <w:rsid w:val="00A31798"/>
    <w:rsid w:val="00A31804"/>
    <w:rsid w:val="00A32F58"/>
    <w:rsid w:val="00A34244"/>
    <w:rsid w:val="00A34547"/>
    <w:rsid w:val="00A34593"/>
    <w:rsid w:val="00A3548F"/>
    <w:rsid w:val="00A364DB"/>
    <w:rsid w:val="00A36A08"/>
    <w:rsid w:val="00A36B56"/>
    <w:rsid w:val="00A3740D"/>
    <w:rsid w:val="00A3745B"/>
    <w:rsid w:val="00A400A2"/>
    <w:rsid w:val="00A4069E"/>
    <w:rsid w:val="00A41237"/>
    <w:rsid w:val="00A41B8A"/>
    <w:rsid w:val="00A4299F"/>
    <w:rsid w:val="00A45E90"/>
    <w:rsid w:val="00A45F28"/>
    <w:rsid w:val="00A4770F"/>
    <w:rsid w:val="00A500DB"/>
    <w:rsid w:val="00A50D6B"/>
    <w:rsid w:val="00A51050"/>
    <w:rsid w:val="00A51B4E"/>
    <w:rsid w:val="00A56945"/>
    <w:rsid w:val="00A56CDE"/>
    <w:rsid w:val="00A57027"/>
    <w:rsid w:val="00A5750C"/>
    <w:rsid w:val="00A63E59"/>
    <w:rsid w:val="00A65FC4"/>
    <w:rsid w:val="00A6797E"/>
    <w:rsid w:val="00A67B6D"/>
    <w:rsid w:val="00A727DE"/>
    <w:rsid w:val="00A72C35"/>
    <w:rsid w:val="00A7328D"/>
    <w:rsid w:val="00A74DE2"/>
    <w:rsid w:val="00A752BB"/>
    <w:rsid w:val="00A75E8C"/>
    <w:rsid w:val="00A80FAE"/>
    <w:rsid w:val="00A81F93"/>
    <w:rsid w:val="00A8217C"/>
    <w:rsid w:val="00A85048"/>
    <w:rsid w:val="00A85DA1"/>
    <w:rsid w:val="00A901FE"/>
    <w:rsid w:val="00A9247E"/>
    <w:rsid w:val="00A9351E"/>
    <w:rsid w:val="00A9378E"/>
    <w:rsid w:val="00A94744"/>
    <w:rsid w:val="00A94867"/>
    <w:rsid w:val="00A95519"/>
    <w:rsid w:val="00AA12A2"/>
    <w:rsid w:val="00AA1314"/>
    <w:rsid w:val="00AA1C25"/>
    <w:rsid w:val="00AA228D"/>
    <w:rsid w:val="00AA39C4"/>
    <w:rsid w:val="00AA4158"/>
    <w:rsid w:val="00AA5F97"/>
    <w:rsid w:val="00AA7796"/>
    <w:rsid w:val="00AB076A"/>
    <w:rsid w:val="00AB13A9"/>
    <w:rsid w:val="00AB1EDC"/>
    <w:rsid w:val="00AB3ADD"/>
    <w:rsid w:val="00AC1409"/>
    <w:rsid w:val="00AC41C0"/>
    <w:rsid w:val="00AC4EDE"/>
    <w:rsid w:val="00AC534B"/>
    <w:rsid w:val="00AC537B"/>
    <w:rsid w:val="00AC67A1"/>
    <w:rsid w:val="00AC7977"/>
    <w:rsid w:val="00AC7E56"/>
    <w:rsid w:val="00AD03DE"/>
    <w:rsid w:val="00AD0EE9"/>
    <w:rsid w:val="00AD1DDD"/>
    <w:rsid w:val="00AD2C97"/>
    <w:rsid w:val="00AD371F"/>
    <w:rsid w:val="00AD45BB"/>
    <w:rsid w:val="00AD571F"/>
    <w:rsid w:val="00AE1247"/>
    <w:rsid w:val="00AE2617"/>
    <w:rsid w:val="00AE352C"/>
    <w:rsid w:val="00AE42B3"/>
    <w:rsid w:val="00AE58D8"/>
    <w:rsid w:val="00AE6CBB"/>
    <w:rsid w:val="00AE79AC"/>
    <w:rsid w:val="00AF0034"/>
    <w:rsid w:val="00AF1DA9"/>
    <w:rsid w:val="00AF30B7"/>
    <w:rsid w:val="00AF4BAA"/>
    <w:rsid w:val="00B01AAD"/>
    <w:rsid w:val="00B020D6"/>
    <w:rsid w:val="00B024EE"/>
    <w:rsid w:val="00B037A3"/>
    <w:rsid w:val="00B04264"/>
    <w:rsid w:val="00B0492F"/>
    <w:rsid w:val="00B0770D"/>
    <w:rsid w:val="00B07C31"/>
    <w:rsid w:val="00B07CBF"/>
    <w:rsid w:val="00B101DB"/>
    <w:rsid w:val="00B1237C"/>
    <w:rsid w:val="00B14033"/>
    <w:rsid w:val="00B16828"/>
    <w:rsid w:val="00B1689F"/>
    <w:rsid w:val="00B169B9"/>
    <w:rsid w:val="00B16DB1"/>
    <w:rsid w:val="00B17AFC"/>
    <w:rsid w:val="00B17D43"/>
    <w:rsid w:val="00B216A1"/>
    <w:rsid w:val="00B21751"/>
    <w:rsid w:val="00B23B9E"/>
    <w:rsid w:val="00B256F0"/>
    <w:rsid w:val="00B30B9A"/>
    <w:rsid w:val="00B30E97"/>
    <w:rsid w:val="00B30EAF"/>
    <w:rsid w:val="00B31D7D"/>
    <w:rsid w:val="00B32E2D"/>
    <w:rsid w:val="00B344FB"/>
    <w:rsid w:val="00B3603D"/>
    <w:rsid w:val="00B3676A"/>
    <w:rsid w:val="00B3729D"/>
    <w:rsid w:val="00B42A4D"/>
    <w:rsid w:val="00B43741"/>
    <w:rsid w:val="00B44B28"/>
    <w:rsid w:val="00B45642"/>
    <w:rsid w:val="00B458E9"/>
    <w:rsid w:val="00B469F2"/>
    <w:rsid w:val="00B47C89"/>
    <w:rsid w:val="00B50272"/>
    <w:rsid w:val="00B5178D"/>
    <w:rsid w:val="00B524AA"/>
    <w:rsid w:val="00B52CFD"/>
    <w:rsid w:val="00B52F29"/>
    <w:rsid w:val="00B535A5"/>
    <w:rsid w:val="00B5388D"/>
    <w:rsid w:val="00B54BA2"/>
    <w:rsid w:val="00B5582E"/>
    <w:rsid w:val="00B55E85"/>
    <w:rsid w:val="00B55FBF"/>
    <w:rsid w:val="00B565BB"/>
    <w:rsid w:val="00B566BE"/>
    <w:rsid w:val="00B5774A"/>
    <w:rsid w:val="00B61990"/>
    <w:rsid w:val="00B61CDE"/>
    <w:rsid w:val="00B6249B"/>
    <w:rsid w:val="00B6548B"/>
    <w:rsid w:val="00B6554A"/>
    <w:rsid w:val="00B65823"/>
    <w:rsid w:val="00B65CA8"/>
    <w:rsid w:val="00B665AE"/>
    <w:rsid w:val="00B66B42"/>
    <w:rsid w:val="00B703C2"/>
    <w:rsid w:val="00B70AA6"/>
    <w:rsid w:val="00B70CCD"/>
    <w:rsid w:val="00B71537"/>
    <w:rsid w:val="00B72E79"/>
    <w:rsid w:val="00B7316A"/>
    <w:rsid w:val="00B73802"/>
    <w:rsid w:val="00B75689"/>
    <w:rsid w:val="00B757D9"/>
    <w:rsid w:val="00B75E66"/>
    <w:rsid w:val="00B76B4C"/>
    <w:rsid w:val="00B773BF"/>
    <w:rsid w:val="00B824FC"/>
    <w:rsid w:val="00B83DAF"/>
    <w:rsid w:val="00B86CB4"/>
    <w:rsid w:val="00B87971"/>
    <w:rsid w:val="00B915E9"/>
    <w:rsid w:val="00B9732F"/>
    <w:rsid w:val="00B97A64"/>
    <w:rsid w:val="00B97DBB"/>
    <w:rsid w:val="00BA1AB4"/>
    <w:rsid w:val="00BA3652"/>
    <w:rsid w:val="00BA46CC"/>
    <w:rsid w:val="00BA5850"/>
    <w:rsid w:val="00BA744D"/>
    <w:rsid w:val="00BB03D3"/>
    <w:rsid w:val="00BB1391"/>
    <w:rsid w:val="00BB25BF"/>
    <w:rsid w:val="00BB2CCF"/>
    <w:rsid w:val="00BB488E"/>
    <w:rsid w:val="00BB493E"/>
    <w:rsid w:val="00BB6E0C"/>
    <w:rsid w:val="00BB7623"/>
    <w:rsid w:val="00BC3591"/>
    <w:rsid w:val="00BC3F20"/>
    <w:rsid w:val="00BC7E3A"/>
    <w:rsid w:val="00BD0365"/>
    <w:rsid w:val="00BD28B2"/>
    <w:rsid w:val="00BD5299"/>
    <w:rsid w:val="00BD5A8D"/>
    <w:rsid w:val="00BD5C17"/>
    <w:rsid w:val="00BD64E5"/>
    <w:rsid w:val="00BD7343"/>
    <w:rsid w:val="00BD7709"/>
    <w:rsid w:val="00BD7726"/>
    <w:rsid w:val="00BE2B82"/>
    <w:rsid w:val="00BE38DE"/>
    <w:rsid w:val="00BE5387"/>
    <w:rsid w:val="00BF02CA"/>
    <w:rsid w:val="00BF0556"/>
    <w:rsid w:val="00BF0ECB"/>
    <w:rsid w:val="00BF23AA"/>
    <w:rsid w:val="00BF2530"/>
    <w:rsid w:val="00BF37EE"/>
    <w:rsid w:val="00BF5391"/>
    <w:rsid w:val="00BF53AD"/>
    <w:rsid w:val="00BF5EE1"/>
    <w:rsid w:val="00BF6A09"/>
    <w:rsid w:val="00BF7979"/>
    <w:rsid w:val="00BF7FF1"/>
    <w:rsid w:val="00C019D1"/>
    <w:rsid w:val="00C024A1"/>
    <w:rsid w:val="00C02C42"/>
    <w:rsid w:val="00C035D3"/>
    <w:rsid w:val="00C0400A"/>
    <w:rsid w:val="00C067D1"/>
    <w:rsid w:val="00C06B95"/>
    <w:rsid w:val="00C10C42"/>
    <w:rsid w:val="00C10FB1"/>
    <w:rsid w:val="00C110D5"/>
    <w:rsid w:val="00C11282"/>
    <w:rsid w:val="00C12D14"/>
    <w:rsid w:val="00C14108"/>
    <w:rsid w:val="00C17772"/>
    <w:rsid w:val="00C212DB"/>
    <w:rsid w:val="00C21638"/>
    <w:rsid w:val="00C223C4"/>
    <w:rsid w:val="00C2260E"/>
    <w:rsid w:val="00C2575D"/>
    <w:rsid w:val="00C261F8"/>
    <w:rsid w:val="00C2624B"/>
    <w:rsid w:val="00C27662"/>
    <w:rsid w:val="00C30656"/>
    <w:rsid w:val="00C3182A"/>
    <w:rsid w:val="00C33100"/>
    <w:rsid w:val="00C35F52"/>
    <w:rsid w:val="00C409BE"/>
    <w:rsid w:val="00C451B9"/>
    <w:rsid w:val="00C465C8"/>
    <w:rsid w:val="00C46E49"/>
    <w:rsid w:val="00C47001"/>
    <w:rsid w:val="00C503C8"/>
    <w:rsid w:val="00C50F24"/>
    <w:rsid w:val="00C51A0C"/>
    <w:rsid w:val="00C51D9C"/>
    <w:rsid w:val="00C522D4"/>
    <w:rsid w:val="00C524A3"/>
    <w:rsid w:val="00C54DA4"/>
    <w:rsid w:val="00C55118"/>
    <w:rsid w:val="00C5642B"/>
    <w:rsid w:val="00C572F5"/>
    <w:rsid w:val="00C577D1"/>
    <w:rsid w:val="00C57A2D"/>
    <w:rsid w:val="00C57AD5"/>
    <w:rsid w:val="00C6018C"/>
    <w:rsid w:val="00C6039D"/>
    <w:rsid w:val="00C6224F"/>
    <w:rsid w:val="00C632FD"/>
    <w:rsid w:val="00C63ACA"/>
    <w:rsid w:val="00C63E16"/>
    <w:rsid w:val="00C64CAF"/>
    <w:rsid w:val="00C65657"/>
    <w:rsid w:val="00C67024"/>
    <w:rsid w:val="00C6740A"/>
    <w:rsid w:val="00C67D23"/>
    <w:rsid w:val="00C70AA4"/>
    <w:rsid w:val="00C71827"/>
    <w:rsid w:val="00C72849"/>
    <w:rsid w:val="00C72ABA"/>
    <w:rsid w:val="00C72BA2"/>
    <w:rsid w:val="00C75D6F"/>
    <w:rsid w:val="00C77358"/>
    <w:rsid w:val="00C77D7D"/>
    <w:rsid w:val="00C8149F"/>
    <w:rsid w:val="00C825E5"/>
    <w:rsid w:val="00C8325A"/>
    <w:rsid w:val="00C83516"/>
    <w:rsid w:val="00C86015"/>
    <w:rsid w:val="00C86C1A"/>
    <w:rsid w:val="00C914A3"/>
    <w:rsid w:val="00C95EB8"/>
    <w:rsid w:val="00CA0BFC"/>
    <w:rsid w:val="00CA4392"/>
    <w:rsid w:val="00CB02C5"/>
    <w:rsid w:val="00CB09A5"/>
    <w:rsid w:val="00CB132E"/>
    <w:rsid w:val="00CB1873"/>
    <w:rsid w:val="00CB2A65"/>
    <w:rsid w:val="00CB39CD"/>
    <w:rsid w:val="00CB3B9E"/>
    <w:rsid w:val="00CC1132"/>
    <w:rsid w:val="00CC4B32"/>
    <w:rsid w:val="00CC5FA7"/>
    <w:rsid w:val="00CC7480"/>
    <w:rsid w:val="00CC7CE6"/>
    <w:rsid w:val="00CD0004"/>
    <w:rsid w:val="00CD044C"/>
    <w:rsid w:val="00CD0EC9"/>
    <w:rsid w:val="00CD1A71"/>
    <w:rsid w:val="00CD1D50"/>
    <w:rsid w:val="00CD1FBB"/>
    <w:rsid w:val="00CE033D"/>
    <w:rsid w:val="00CE08E5"/>
    <w:rsid w:val="00CE1425"/>
    <w:rsid w:val="00CE3E5B"/>
    <w:rsid w:val="00CE455D"/>
    <w:rsid w:val="00CE48E6"/>
    <w:rsid w:val="00CE53A4"/>
    <w:rsid w:val="00CE65E8"/>
    <w:rsid w:val="00CE7BE7"/>
    <w:rsid w:val="00CF03F2"/>
    <w:rsid w:val="00CF0B52"/>
    <w:rsid w:val="00CF2158"/>
    <w:rsid w:val="00CF226A"/>
    <w:rsid w:val="00CF3053"/>
    <w:rsid w:val="00CF5547"/>
    <w:rsid w:val="00CF5743"/>
    <w:rsid w:val="00D01469"/>
    <w:rsid w:val="00D016B5"/>
    <w:rsid w:val="00D01F31"/>
    <w:rsid w:val="00D034F1"/>
    <w:rsid w:val="00D04FD9"/>
    <w:rsid w:val="00D0533D"/>
    <w:rsid w:val="00D06843"/>
    <w:rsid w:val="00D06F5A"/>
    <w:rsid w:val="00D077D0"/>
    <w:rsid w:val="00D13BB5"/>
    <w:rsid w:val="00D143CE"/>
    <w:rsid w:val="00D14877"/>
    <w:rsid w:val="00D14F42"/>
    <w:rsid w:val="00D15A94"/>
    <w:rsid w:val="00D171D4"/>
    <w:rsid w:val="00D20175"/>
    <w:rsid w:val="00D20176"/>
    <w:rsid w:val="00D22714"/>
    <w:rsid w:val="00D22738"/>
    <w:rsid w:val="00D242BD"/>
    <w:rsid w:val="00D27704"/>
    <w:rsid w:val="00D27D5E"/>
    <w:rsid w:val="00D30229"/>
    <w:rsid w:val="00D3183C"/>
    <w:rsid w:val="00D31D20"/>
    <w:rsid w:val="00D32B08"/>
    <w:rsid w:val="00D3419D"/>
    <w:rsid w:val="00D34882"/>
    <w:rsid w:val="00D35C0D"/>
    <w:rsid w:val="00D400CE"/>
    <w:rsid w:val="00D407D1"/>
    <w:rsid w:val="00D43AD7"/>
    <w:rsid w:val="00D43E5F"/>
    <w:rsid w:val="00D443AF"/>
    <w:rsid w:val="00D44CFD"/>
    <w:rsid w:val="00D46552"/>
    <w:rsid w:val="00D46716"/>
    <w:rsid w:val="00D51B9B"/>
    <w:rsid w:val="00D51CE6"/>
    <w:rsid w:val="00D52171"/>
    <w:rsid w:val="00D53A51"/>
    <w:rsid w:val="00D5536F"/>
    <w:rsid w:val="00D55D76"/>
    <w:rsid w:val="00D601DD"/>
    <w:rsid w:val="00D60E29"/>
    <w:rsid w:val="00D639BD"/>
    <w:rsid w:val="00D63EC0"/>
    <w:rsid w:val="00D643BC"/>
    <w:rsid w:val="00D65777"/>
    <w:rsid w:val="00D66378"/>
    <w:rsid w:val="00D66E0D"/>
    <w:rsid w:val="00D67E4F"/>
    <w:rsid w:val="00D70AB8"/>
    <w:rsid w:val="00D70FA0"/>
    <w:rsid w:val="00D71AAE"/>
    <w:rsid w:val="00D7420F"/>
    <w:rsid w:val="00D7425A"/>
    <w:rsid w:val="00D74F7E"/>
    <w:rsid w:val="00D75790"/>
    <w:rsid w:val="00D75BAA"/>
    <w:rsid w:val="00D76955"/>
    <w:rsid w:val="00D7695F"/>
    <w:rsid w:val="00D8092C"/>
    <w:rsid w:val="00D827FD"/>
    <w:rsid w:val="00D85386"/>
    <w:rsid w:val="00D855FD"/>
    <w:rsid w:val="00D9039B"/>
    <w:rsid w:val="00D907D2"/>
    <w:rsid w:val="00D93582"/>
    <w:rsid w:val="00D942CF"/>
    <w:rsid w:val="00D94AAE"/>
    <w:rsid w:val="00D95475"/>
    <w:rsid w:val="00D95840"/>
    <w:rsid w:val="00D95F41"/>
    <w:rsid w:val="00D97680"/>
    <w:rsid w:val="00DA0F37"/>
    <w:rsid w:val="00DA22CC"/>
    <w:rsid w:val="00DA41A2"/>
    <w:rsid w:val="00DA43A1"/>
    <w:rsid w:val="00DA5E1D"/>
    <w:rsid w:val="00DA6468"/>
    <w:rsid w:val="00DA6FA6"/>
    <w:rsid w:val="00DA75D7"/>
    <w:rsid w:val="00DA7B4B"/>
    <w:rsid w:val="00DB1B56"/>
    <w:rsid w:val="00DB481A"/>
    <w:rsid w:val="00DC0359"/>
    <w:rsid w:val="00DC05BB"/>
    <w:rsid w:val="00DC27CD"/>
    <w:rsid w:val="00DC33A6"/>
    <w:rsid w:val="00DC3AD3"/>
    <w:rsid w:val="00DC485D"/>
    <w:rsid w:val="00DC4F43"/>
    <w:rsid w:val="00DC575A"/>
    <w:rsid w:val="00DD04F5"/>
    <w:rsid w:val="00DD1F43"/>
    <w:rsid w:val="00DD5B0E"/>
    <w:rsid w:val="00DD77DD"/>
    <w:rsid w:val="00DE56D1"/>
    <w:rsid w:val="00DE6818"/>
    <w:rsid w:val="00DE6D90"/>
    <w:rsid w:val="00DF002F"/>
    <w:rsid w:val="00DF099D"/>
    <w:rsid w:val="00DF0A95"/>
    <w:rsid w:val="00DF410A"/>
    <w:rsid w:val="00DF5F8A"/>
    <w:rsid w:val="00E020EC"/>
    <w:rsid w:val="00E0244D"/>
    <w:rsid w:val="00E026DF"/>
    <w:rsid w:val="00E02F48"/>
    <w:rsid w:val="00E03712"/>
    <w:rsid w:val="00E056AC"/>
    <w:rsid w:val="00E05CB5"/>
    <w:rsid w:val="00E0650F"/>
    <w:rsid w:val="00E06B3F"/>
    <w:rsid w:val="00E06E39"/>
    <w:rsid w:val="00E0794D"/>
    <w:rsid w:val="00E079C3"/>
    <w:rsid w:val="00E07D07"/>
    <w:rsid w:val="00E10A73"/>
    <w:rsid w:val="00E1138B"/>
    <w:rsid w:val="00E11FFC"/>
    <w:rsid w:val="00E13683"/>
    <w:rsid w:val="00E13A72"/>
    <w:rsid w:val="00E13D30"/>
    <w:rsid w:val="00E14E15"/>
    <w:rsid w:val="00E14F27"/>
    <w:rsid w:val="00E171D2"/>
    <w:rsid w:val="00E17AB9"/>
    <w:rsid w:val="00E17FB5"/>
    <w:rsid w:val="00E2030C"/>
    <w:rsid w:val="00E22D16"/>
    <w:rsid w:val="00E243F9"/>
    <w:rsid w:val="00E247B7"/>
    <w:rsid w:val="00E25534"/>
    <w:rsid w:val="00E26102"/>
    <w:rsid w:val="00E2638C"/>
    <w:rsid w:val="00E27576"/>
    <w:rsid w:val="00E27977"/>
    <w:rsid w:val="00E30AB4"/>
    <w:rsid w:val="00E319B6"/>
    <w:rsid w:val="00E32145"/>
    <w:rsid w:val="00E3252F"/>
    <w:rsid w:val="00E32F5A"/>
    <w:rsid w:val="00E34C76"/>
    <w:rsid w:val="00E3576E"/>
    <w:rsid w:val="00E37059"/>
    <w:rsid w:val="00E4043B"/>
    <w:rsid w:val="00E41636"/>
    <w:rsid w:val="00E419BE"/>
    <w:rsid w:val="00E43723"/>
    <w:rsid w:val="00E44177"/>
    <w:rsid w:val="00E45633"/>
    <w:rsid w:val="00E476A4"/>
    <w:rsid w:val="00E510F3"/>
    <w:rsid w:val="00E512F9"/>
    <w:rsid w:val="00E51E30"/>
    <w:rsid w:val="00E5250F"/>
    <w:rsid w:val="00E532EC"/>
    <w:rsid w:val="00E53465"/>
    <w:rsid w:val="00E54385"/>
    <w:rsid w:val="00E54676"/>
    <w:rsid w:val="00E549A3"/>
    <w:rsid w:val="00E54BF7"/>
    <w:rsid w:val="00E560AF"/>
    <w:rsid w:val="00E573D7"/>
    <w:rsid w:val="00E60012"/>
    <w:rsid w:val="00E61B47"/>
    <w:rsid w:val="00E62CFF"/>
    <w:rsid w:val="00E64596"/>
    <w:rsid w:val="00E656B3"/>
    <w:rsid w:val="00E665EE"/>
    <w:rsid w:val="00E67733"/>
    <w:rsid w:val="00E679AE"/>
    <w:rsid w:val="00E71570"/>
    <w:rsid w:val="00E71BBC"/>
    <w:rsid w:val="00E72454"/>
    <w:rsid w:val="00E7247A"/>
    <w:rsid w:val="00E73B13"/>
    <w:rsid w:val="00E75C58"/>
    <w:rsid w:val="00E76819"/>
    <w:rsid w:val="00E77F5B"/>
    <w:rsid w:val="00E81E94"/>
    <w:rsid w:val="00E81FB1"/>
    <w:rsid w:val="00E82607"/>
    <w:rsid w:val="00E829CC"/>
    <w:rsid w:val="00E82FBD"/>
    <w:rsid w:val="00E833B2"/>
    <w:rsid w:val="00E83592"/>
    <w:rsid w:val="00E84A82"/>
    <w:rsid w:val="00E85025"/>
    <w:rsid w:val="00E868CA"/>
    <w:rsid w:val="00E87514"/>
    <w:rsid w:val="00E90B13"/>
    <w:rsid w:val="00E920B1"/>
    <w:rsid w:val="00E92B70"/>
    <w:rsid w:val="00E93112"/>
    <w:rsid w:val="00E9483E"/>
    <w:rsid w:val="00E95FED"/>
    <w:rsid w:val="00E95FFD"/>
    <w:rsid w:val="00E96710"/>
    <w:rsid w:val="00EA042D"/>
    <w:rsid w:val="00EA1DE2"/>
    <w:rsid w:val="00EA3B1D"/>
    <w:rsid w:val="00EA43F5"/>
    <w:rsid w:val="00EA6FE4"/>
    <w:rsid w:val="00EB172F"/>
    <w:rsid w:val="00EB4148"/>
    <w:rsid w:val="00EB5946"/>
    <w:rsid w:val="00EB5EB4"/>
    <w:rsid w:val="00EB61C4"/>
    <w:rsid w:val="00EB703F"/>
    <w:rsid w:val="00EB708A"/>
    <w:rsid w:val="00EB77B9"/>
    <w:rsid w:val="00EB7C5F"/>
    <w:rsid w:val="00EB7D07"/>
    <w:rsid w:val="00EC0B90"/>
    <w:rsid w:val="00EC1AD5"/>
    <w:rsid w:val="00EC4417"/>
    <w:rsid w:val="00EC4426"/>
    <w:rsid w:val="00EC4846"/>
    <w:rsid w:val="00ED306A"/>
    <w:rsid w:val="00ED3A26"/>
    <w:rsid w:val="00ED494B"/>
    <w:rsid w:val="00ED4CEC"/>
    <w:rsid w:val="00EE01E5"/>
    <w:rsid w:val="00EE3E85"/>
    <w:rsid w:val="00EF3296"/>
    <w:rsid w:val="00EF37F8"/>
    <w:rsid w:val="00EF593E"/>
    <w:rsid w:val="00EF70BB"/>
    <w:rsid w:val="00EF7C40"/>
    <w:rsid w:val="00F00369"/>
    <w:rsid w:val="00F00753"/>
    <w:rsid w:val="00F00E26"/>
    <w:rsid w:val="00F01A8B"/>
    <w:rsid w:val="00F021E2"/>
    <w:rsid w:val="00F02A40"/>
    <w:rsid w:val="00F02FA9"/>
    <w:rsid w:val="00F0334E"/>
    <w:rsid w:val="00F0471B"/>
    <w:rsid w:val="00F0507F"/>
    <w:rsid w:val="00F058E7"/>
    <w:rsid w:val="00F06660"/>
    <w:rsid w:val="00F07C5A"/>
    <w:rsid w:val="00F116EB"/>
    <w:rsid w:val="00F125F0"/>
    <w:rsid w:val="00F12E0C"/>
    <w:rsid w:val="00F14980"/>
    <w:rsid w:val="00F1788E"/>
    <w:rsid w:val="00F1794E"/>
    <w:rsid w:val="00F211AF"/>
    <w:rsid w:val="00F230D6"/>
    <w:rsid w:val="00F2313C"/>
    <w:rsid w:val="00F235D9"/>
    <w:rsid w:val="00F23A51"/>
    <w:rsid w:val="00F25EC3"/>
    <w:rsid w:val="00F26B78"/>
    <w:rsid w:val="00F26D84"/>
    <w:rsid w:val="00F30844"/>
    <w:rsid w:val="00F30879"/>
    <w:rsid w:val="00F31C30"/>
    <w:rsid w:val="00F31F94"/>
    <w:rsid w:val="00F32ADB"/>
    <w:rsid w:val="00F32B93"/>
    <w:rsid w:val="00F32C98"/>
    <w:rsid w:val="00F36B54"/>
    <w:rsid w:val="00F37E12"/>
    <w:rsid w:val="00F4160F"/>
    <w:rsid w:val="00F424BD"/>
    <w:rsid w:val="00F4305E"/>
    <w:rsid w:val="00F43281"/>
    <w:rsid w:val="00F45D59"/>
    <w:rsid w:val="00F47163"/>
    <w:rsid w:val="00F473E2"/>
    <w:rsid w:val="00F47A44"/>
    <w:rsid w:val="00F47BB8"/>
    <w:rsid w:val="00F515AD"/>
    <w:rsid w:val="00F53775"/>
    <w:rsid w:val="00F53AC6"/>
    <w:rsid w:val="00F53AD0"/>
    <w:rsid w:val="00F54A91"/>
    <w:rsid w:val="00F5614E"/>
    <w:rsid w:val="00F57464"/>
    <w:rsid w:val="00F579E3"/>
    <w:rsid w:val="00F57DD7"/>
    <w:rsid w:val="00F61C2D"/>
    <w:rsid w:val="00F6204B"/>
    <w:rsid w:val="00F6212D"/>
    <w:rsid w:val="00F62D5B"/>
    <w:rsid w:val="00F63053"/>
    <w:rsid w:val="00F636AD"/>
    <w:rsid w:val="00F637F2"/>
    <w:rsid w:val="00F63A32"/>
    <w:rsid w:val="00F70A00"/>
    <w:rsid w:val="00F72B88"/>
    <w:rsid w:val="00F734D9"/>
    <w:rsid w:val="00F73F83"/>
    <w:rsid w:val="00F7407C"/>
    <w:rsid w:val="00F74902"/>
    <w:rsid w:val="00F83371"/>
    <w:rsid w:val="00F85A4E"/>
    <w:rsid w:val="00F85DFD"/>
    <w:rsid w:val="00F86723"/>
    <w:rsid w:val="00F86EA0"/>
    <w:rsid w:val="00F91CFC"/>
    <w:rsid w:val="00F92177"/>
    <w:rsid w:val="00F9353A"/>
    <w:rsid w:val="00F965C2"/>
    <w:rsid w:val="00F96E16"/>
    <w:rsid w:val="00FA0F65"/>
    <w:rsid w:val="00FA1F67"/>
    <w:rsid w:val="00FA2761"/>
    <w:rsid w:val="00FA27D4"/>
    <w:rsid w:val="00FA56C6"/>
    <w:rsid w:val="00FA5A79"/>
    <w:rsid w:val="00FB0BFE"/>
    <w:rsid w:val="00FB14E3"/>
    <w:rsid w:val="00FB23EE"/>
    <w:rsid w:val="00FB4300"/>
    <w:rsid w:val="00FB4C51"/>
    <w:rsid w:val="00FB6802"/>
    <w:rsid w:val="00FB6EC5"/>
    <w:rsid w:val="00FB6F4E"/>
    <w:rsid w:val="00FB734D"/>
    <w:rsid w:val="00FC218F"/>
    <w:rsid w:val="00FC2A03"/>
    <w:rsid w:val="00FC67BB"/>
    <w:rsid w:val="00FC6E20"/>
    <w:rsid w:val="00FD02A2"/>
    <w:rsid w:val="00FD56F6"/>
    <w:rsid w:val="00FD5E64"/>
    <w:rsid w:val="00FD6BA9"/>
    <w:rsid w:val="00FD7985"/>
    <w:rsid w:val="00FD7CE2"/>
    <w:rsid w:val="00FE0381"/>
    <w:rsid w:val="00FE0645"/>
    <w:rsid w:val="00FE078B"/>
    <w:rsid w:val="00FE0E99"/>
    <w:rsid w:val="00FE1769"/>
    <w:rsid w:val="00FE22EE"/>
    <w:rsid w:val="00FE2F42"/>
    <w:rsid w:val="00FE3C38"/>
    <w:rsid w:val="00FE52E8"/>
    <w:rsid w:val="00FE6526"/>
    <w:rsid w:val="00FE6EEB"/>
    <w:rsid w:val="00FF1825"/>
    <w:rsid w:val="00FF1DBD"/>
    <w:rsid w:val="00FF1E4B"/>
    <w:rsid w:val="00FF3157"/>
    <w:rsid w:val="00FF5F8F"/>
    <w:rsid w:val="00FF61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81E6829"/>
  <w15:docId w15:val="{46DC5311-A74D-4399-A209-7B64A3AF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8F"/>
    <w:pPr>
      <w:suppressAutoHyphens/>
      <w:spacing w:line="240" w:lineRule="atLeast"/>
    </w:pPr>
    <w:rPr>
      <w:lang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rsid w:val="00F7407C"/>
    <w:pPr>
      <w:outlineLvl w:val="3"/>
    </w:pPr>
  </w:style>
  <w:style w:type="paragraph" w:styleId="Titre5">
    <w:name w:val="heading 5"/>
    <w:basedOn w:val="Normal"/>
    <w:next w:val="Normal"/>
    <w:qFormat/>
    <w:rsid w:val="00F7407C"/>
    <w:pPr>
      <w:outlineLvl w:val="4"/>
    </w:pPr>
  </w:style>
  <w:style w:type="paragraph" w:styleId="Titre6">
    <w:name w:val="heading 6"/>
    <w:basedOn w:val="Normal"/>
    <w:next w:val="Normal"/>
    <w:qFormat/>
    <w:rsid w:val="00F7407C"/>
    <w:pPr>
      <w:outlineLvl w:val="5"/>
    </w:pPr>
  </w:style>
  <w:style w:type="paragraph" w:styleId="Titre7">
    <w:name w:val="heading 7"/>
    <w:basedOn w:val="Normal"/>
    <w:next w:val="Normal"/>
    <w:qFormat/>
    <w:rsid w:val="00F7407C"/>
    <w:pPr>
      <w:outlineLvl w:val="6"/>
    </w:pPr>
  </w:style>
  <w:style w:type="paragraph" w:styleId="Titre8">
    <w:name w:val="heading 8"/>
    <w:basedOn w:val="Normal"/>
    <w:next w:val="Normal"/>
    <w:qFormat/>
    <w:rsid w:val="00F7407C"/>
    <w:pPr>
      <w:outlineLvl w:val="7"/>
    </w:pPr>
  </w:style>
  <w:style w:type="paragraph" w:styleId="Titre9">
    <w:name w:val="heading 9"/>
    <w:basedOn w:val="Normal"/>
    <w:next w:val="Normal"/>
    <w:qFormat/>
    <w:rsid w:val="00F7407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qFormat/>
    <w:rsid w:val="00C10FB1"/>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eastAsia="x-none"/>
    </w:rPr>
  </w:style>
  <w:style w:type="character" w:styleId="Appelnotedebasdep">
    <w:name w:val="footnote reference"/>
    <w:aliases w:val="4_G"/>
    <w:qFormat/>
    <w:rsid w:val="00D016B5"/>
    <w:rPr>
      <w:rFonts w:ascii="Times New Roman" w:hAnsi="Times New Roman"/>
      <w:sz w:val="18"/>
      <w:vertAlign w:val="superscript"/>
      <w:lang w:val="fr-CH" w:eastAsia="x-none"/>
    </w:rPr>
  </w:style>
  <w:style w:type="character" w:styleId="Numrodepage">
    <w:name w:val="page number"/>
    <w:aliases w:val="7_G"/>
    <w:rsid w:val="00287E79"/>
    <w:rPr>
      <w:rFonts w:ascii="Times New Roman" w:hAnsi="Times New Roman"/>
      <w:b/>
      <w:sz w:val="18"/>
      <w:lang w:val="fr-CH" w:eastAsia="x-none"/>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har"/>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2D781B"/>
    <w:pPr>
      <w:ind w:left="0"/>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NotedebasdepageCar">
    <w:name w:val="Note de bas de page Car"/>
    <w:aliases w:val="5_G Car"/>
    <w:link w:val="Notedebasdepage"/>
    <w:uiPriority w:val="99"/>
    <w:locked/>
    <w:rsid w:val="00443CBE"/>
    <w:rPr>
      <w:sz w:val="18"/>
      <w:lang w:val="fr-CH" w:eastAsia="en-US"/>
    </w:rPr>
  </w:style>
  <w:style w:type="character" w:customStyle="1" w:styleId="SingleTxtGCar">
    <w:name w:val="_ Single Txt_G Car"/>
    <w:link w:val="SingleTxtG"/>
    <w:locked/>
    <w:rsid w:val="00443CBE"/>
    <w:rPr>
      <w:lang w:val="fr-CH" w:eastAsia="en-US"/>
    </w:rPr>
  </w:style>
  <w:style w:type="paragraph" w:styleId="Textedebulles">
    <w:name w:val="Balloon Text"/>
    <w:basedOn w:val="Normal"/>
    <w:link w:val="TextedebullesCar"/>
    <w:rsid w:val="0092533E"/>
    <w:pPr>
      <w:spacing w:line="240" w:lineRule="auto"/>
    </w:pPr>
    <w:rPr>
      <w:rFonts w:ascii="Tahoma" w:hAnsi="Tahoma"/>
      <w:sz w:val="16"/>
      <w:szCs w:val="16"/>
    </w:rPr>
  </w:style>
  <w:style w:type="character" w:customStyle="1" w:styleId="TextedebullesCar">
    <w:name w:val="Texte de bulles Car"/>
    <w:link w:val="Textedebulles"/>
    <w:locked/>
    <w:rsid w:val="0092533E"/>
    <w:rPr>
      <w:rFonts w:ascii="Tahoma" w:hAnsi="Tahoma"/>
      <w:sz w:val="16"/>
      <w:lang w:val="fr-CH" w:eastAsia="en-US"/>
    </w:rPr>
  </w:style>
  <w:style w:type="paragraph" w:styleId="Paragraphedeliste">
    <w:name w:val="List Paragraph"/>
    <w:basedOn w:val="Normal"/>
    <w:uiPriority w:val="34"/>
    <w:qFormat/>
    <w:rsid w:val="00755D63"/>
    <w:pPr>
      <w:ind w:left="720"/>
    </w:pPr>
  </w:style>
  <w:style w:type="paragraph" w:styleId="Rvision">
    <w:name w:val="Revision"/>
    <w:hidden/>
    <w:semiHidden/>
    <w:rsid w:val="00966651"/>
    <w:rPr>
      <w:lang w:val="fr-CH" w:eastAsia="en-US"/>
    </w:rPr>
  </w:style>
  <w:style w:type="character" w:styleId="Marquedecommentaire">
    <w:name w:val="annotation reference"/>
    <w:rsid w:val="00C72849"/>
    <w:rPr>
      <w:rFonts w:cs="Times New Roman"/>
      <w:sz w:val="16"/>
      <w:szCs w:val="16"/>
    </w:rPr>
  </w:style>
  <w:style w:type="paragraph" w:styleId="Commentaire">
    <w:name w:val="annotation text"/>
    <w:basedOn w:val="Normal"/>
    <w:link w:val="CommentaireCar"/>
    <w:rsid w:val="00C72849"/>
  </w:style>
  <w:style w:type="character" w:customStyle="1" w:styleId="CommentaireCar">
    <w:name w:val="Commentaire Car"/>
    <w:link w:val="Commentaire"/>
    <w:locked/>
    <w:rsid w:val="00C72849"/>
    <w:rPr>
      <w:rFonts w:cs="Times New Roman"/>
      <w:lang w:val="fr-CH" w:eastAsia="en-US"/>
    </w:rPr>
  </w:style>
  <w:style w:type="paragraph" w:styleId="Objetducommentaire">
    <w:name w:val="annotation subject"/>
    <w:basedOn w:val="Commentaire"/>
    <w:next w:val="Commentaire"/>
    <w:link w:val="ObjetducommentaireCar"/>
    <w:rsid w:val="00C72849"/>
    <w:rPr>
      <w:b/>
      <w:bCs/>
    </w:rPr>
  </w:style>
  <w:style w:type="character" w:customStyle="1" w:styleId="ObjetducommentaireCar">
    <w:name w:val="Objet du commentaire Car"/>
    <w:link w:val="Objetducommentaire"/>
    <w:locked/>
    <w:rsid w:val="00C72849"/>
    <w:rPr>
      <w:rFonts w:cs="Times New Roman"/>
      <w:b/>
      <w:bCs/>
      <w:lang w:val="fr-CH" w:eastAsia="en-US"/>
    </w:rPr>
  </w:style>
  <w:style w:type="character" w:customStyle="1" w:styleId="singletxtgcar0">
    <w:name w:val="singletxtgcar"/>
    <w:rsid w:val="00DF5F8A"/>
  </w:style>
  <w:style w:type="character" w:customStyle="1" w:styleId="SingleTxtGChar">
    <w:name w:val="_ Single Txt_G Char"/>
    <w:locked/>
    <w:rsid w:val="0085626D"/>
    <w:rPr>
      <w:lang w:val="fr-CH" w:eastAsia="en-US"/>
    </w:rPr>
  </w:style>
  <w:style w:type="character" w:customStyle="1" w:styleId="H23GChar">
    <w:name w:val="_ H_2/3_G Char"/>
    <w:link w:val="H23G"/>
    <w:locked/>
    <w:rsid w:val="00EA1DE2"/>
    <w:rPr>
      <w:b/>
      <w:lang w:val="fr-CH" w:eastAsia="en-US"/>
    </w:rPr>
  </w:style>
  <w:style w:type="paragraph" w:styleId="NormalWeb">
    <w:name w:val="Normal (Web)"/>
    <w:basedOn w:val="Normal"/>
    <w:rsid w:val="00AD45BB"/>
    <w:rPr>
      <w:sz w:val="24"/>
      <w:szCs w:val="24"/>
    </w:rPr>
  </w:style>
  <w:style w:type="paragraph" w:customStyle="1" w:styleId="Default">
    <w:name w:val="Default"/>
    <w:rsid w:val="00530C47"/>
    <w:pPr>
      <w:autoSpaceDE w:val="0"/>
      <w:autoSpaceDN w:val="0"/>
      <w:adjustRightInd w:val="0"/>
    </w:pPr>
    <w:rPr>
      <w:color w:val="000000"/>
      <w:sz w:val="24"/>
      <w:szCs w:val="24"/>
      <w:lang w:val="en-US"/>
    </w:rPr>
  </w:style>
  <w:style w:type="paragraph" w:styleId="Sansinterligne">
    <w:name w:val="No Spacing"/>
    <w:uiPriority w:val="1"/>
    <w:qFormat/>
    <w:rsid w:val="00C77358"/>
    <w:rPr>
      <w:rFonts w:asciiTheme="minorHAnsi" w:eastAsiaTheme="minorEastAsia" w:hAnsiTheme="minorHAnsi" w:cstheme="minorBidi"/>
      <w:sz w:val="22"/>
      <w:szCs w:val="22"/>
      <w:lang w:val="en-US" w:eastAsia="zh-CN"/>
    </w:rPr>
  </w:style>
  <w:style w:type="character" w:customStyle="1" w:styleId="PieddepageCar">
    <w:name w:val="Pied de page Car"/>
    <w:aliases w:val="3_G Car"/>
    <w:basedOn w:val="Policepardfaut"/>
    <w:link w:val="Pieddepage"/>
    <w:rsid w:val="00A3548F"/>
    <w:rPr>
      <w:sz w:val="16"/>
      <w:lang w:eastAsia="en-US"/>
    </w:rPr>
  </w:style>
  <w:style w:type="character" w:customStyle="1" w:styleId="H1GChar">
    <w:name w:val="_ H_1_G Char"/>
    <w:link w:val="H1G"/>
    <w:locked/>
    <w:rsid w:val="0030575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9932">
      <w:bodyDiv w:val="1"/>
      <w:marLeft w:val="0"/>
      <w:marRight w:val="0"/>
      <w:marTop w:val="0"/>
      <w:marBottom w:val="0"/>
      <w:divBdr>
        <w:top w:val="none" w:sz="0" w:space="0" w:color="auto"/>
        <w:left w:val="none" w:sz="0" w:space="0" w:color="auto"/>
        <w:bottom w:val="none" w:sz="0" w:space="0" w:color="auto"/>
        <w:right w:val="none" w:sz="0" w:space="0" w:color="auto"/>
      </w:divBdr>
      <w:divsChild>
        <w:div w:id="1251962875">
          <w:marLeft w:val="0"/>
          <w:marRight w:val="0"/>
          <w:marTop w:val="0"/>
          <w:marBottom w:val="0"/>
          <w:divBdr>
            <w:top w:val="none" w:sz="0" w:space="0" w:color="auto"/>
            <w:left w:val="none" w:sz="0" w:space="0" w:color="auto"/>
            <w:bottom w:val="none" w:sz="0" w:space="0" w:color="auto"/>
            <w:right w:val="none" w:sz="0" w:space="0" w:color="auto"/>
          </w:divBdr>
          <w:divsChild>
            <w:div w:id="1536696895">
              <w:marLeft w:val="0"/>
              <w:marRight w:val="0"/>
              <w:marTop w:val="0"/>
              <w:marBottom w:val="0"/>
              <w:divBdr>
                <w:top w:val="none" w:sz="0" w:space="0" w:color="auto"/>
                <w:left w:val="none" w:sz="0" w:space="0" w:color="auto"/>
                <w:bottom w:val="none" w:sz="0" w:space="0" w:color="auto"/>
                <w:right w:val="none" w:sz="0" w:space="0" w:color="auto"/>
              </w:divBdr>
              <w:divsChild>
                <w:div w:id="997226730">
                  <w:marLeft w:val="0"/>
                  <w:marRight w:val="0"/>
                  <w:marTop w:val="0"/>
                  <w:marBottom w:val="0"/>
                  <w:divBdr>
                    <w:top w:val="none" w:sz="0" w:space="0" w:color="auto"/>
                    <w:left w:val="none" w:sz="0" w:space="0" w:color="auto"/>
                    <w:bottom w:val="none" w:sz="0" w:space="0" w:color="auto"/>
                    <w:right w:val="none" w:sz="0" w:space="0" w:color="auto"/>
                  </w:divBdr>
                  <w:divsChild>
                    <w:div w:id="89083027">
                      <w:marLeft w:val="0"/>
                      <w:marRight w:val="0"/>
                      <w:marTop w:val="0"/>
                      <w:marBottom w:val="0"/>
                      <w:divBdr>
                        <w:top w:val="none" w:sz="0" w:space="0" w:color="auto"/>
                        <w:left w:val="none" w:sz="0" w:space="0" w:color="auto"/>
                        <w:bottom w:val="none" w:sz="0" w:space="0" w:color="auto"/>
                        <w:right w:val="none" w:sz="0" w:space="0" w:color="auto"/>
                      </w:divBdr>
                      <w:divsChild>
                        <w:div w:id="272712591">
                          <w:marLeft w:val="0"/>
                          <w:marRight w:val="0"/>
                          <w:marTop w:val="0"/>
                          <w:marBottom w:val="0"/>
                          <w:divBdr>
                            <w:top w:val="none" w:sz="0" w:space="0" w:color="auto"/>
                            <w:left w:val="none" w:sz="0" w:space="0" w:color="auto"/>
                            <w:bottom w:val="none" w:sz="0" w:space="0" w:color="auto"/>
                            <w:right w:val="none" w:sz="0" w:space="0" w:color="auto"/>
                          </w:divBdr>
                          <w:divsChild>
                            <w:div w:id="1481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55071">
      <w:bodyDiv w:val="1"/>
      <w:marLeft w:val="0"/>
      <w:marRight w:val="0"/>
      <w:marTop w:val="0"/>
      <w:marBottom w:val="0"/>
      <w:divBdr>
        <w:top w:val="none" w:sz="0" w:space="0" w:color="auto"/>
        <w:left w:val="none" w:sz="0" w:space="0" w:color="auto"/>
        <w:bottom w:val="none" w:sz="0" w:space="0" w:color="auto"/>
        <w:right w:val="none" w:sz="0" w:space="0" w:color="auto"/>
      </w:divBdr>
    </w:div>
    <w:div w:id="1042750939">
      <w:bodyDiv w:val="1"/>
      <w:marLeft w:val="0"/>
      <w:marRight w:val="0"/>
      <w:marTop w:val="0"/>
      <w:marBottom w:val="0"/>
      <w:divBdr>
        <w:top w:val="none" w:sz="0" w:space="0" w:color="auto"/>
        <w:left w:val="none" w:sz="0" w:space="0" w:color="auto"/>
        <w:bottom w:val="none" w:sz="0" w:space="0" w:color="auto"/>
        <w:right w:val="none" w:sz="0" w:space="0" w:color="auto"/>
      </w:divBdr>
      <w:divsChild>
        <w:div w:id="747967908">
          <w:marLeft w:val="0"/>
          <w:marRight w:val="0"/>
          <w:marTop w:val="0"/>
          <w:marBottom w:val="0"/>
          <w:divBdr>
            <w:top w:val="none" w:sz="0" w:space="0" w:color="auto"/>
            <w:left w:val="none" w:sz="0" w:space="0" w:color="auto"/>
            <w:bottom w:val="none" w:sz="0" w:space="0" w:color="auto"/>
            <w:right w:val="none" w:sz="0" w:space="0" w:color="auto"/>
          </w:divBdr>
          <w:divsChild>
            <w:div w:id="194199527">
              <w:marLeft w:val="0"/>
              <w:marRight w:val="0"/>
              <w:marTop w:val="300"/>
              <w:marBottom w:val="300"/>
              <w:divBdr>
                <w:top w:val="none" w:sz="0" w:space="0" w:color="auto"/>
                <w:left w:val="none" w:sz="0" w:space="0" w:color="auto"/>
                <w:bottom w:val="none" w:sz="0" w:space="0" w:color="auto"/>
                <w:right w:val="none" w:sz="0" w:space="0" w:color="auto"/>
              </w:divBdr>
              <w:divsChild>
                <w:div w:id="1268345220">
                  <w:marLeft w:val="0"/>
                  <w:marRight w:val="0"/>
                  <w:marTop w:val="0"/>
                  <w:marBottom w:val="0"/>
                  <w:divBdr>
                    <w:top w:val="none" w:sz="0" w:space="0" w:color="auto"/>
                    <w:left w:val="none" w:sz="0" w:space="0" w:color="auto"/>
                    <w:bottom w:val="none" w:sz="0" w:space="0" w:color="auto"/>
                    <w:right w:val="none" w:sz="0" w:space="0" w:color="auto"/>
                  </w:divBdr>
                  <w:divsChild>
                    <w:div w:id="599219622">
                      <w:marLeft w:val="-300"/>
                      <w:marRight w:val="0"/>
                      <w:marTop w:val="0"/>
                      <w:marBottom w:val="0"/>
                      <w:divBdr>
                        <w:top w:val="none" w:sz="0" w:space="0" w:color="auto"/>
                        <w:left w:val="none" w:sz="0" w:space="0" w:color="auto"/>
                        <w:bottom w:val="none" w:sz="0" w:space="0" w:color="auto"/>
                        <w:right w:val="none" w:sz="0" w:space="0" w:color="auto"/>
                      </w:divBdr>
                      <w:divsChild>
                        <w:div w:id="1026373777">
                          <w:marLeft w:val="0"/>
                          <w:marRight w:val="0"/>
                          <w:marTop w:val="0"/>
                          <w:marBottom w:val="0"/>
                          <w:divBdr>
                            <w:top w:val="none" w:sz="0" w:space="0" w:color="auto"/>
                            <w:left w:val="none" w:sz="0" w:space="0" w:color="auto"/>
                            <w:bottom w:val="none" w:sz="0" w:space="0" w:color="auto"/>
                            <w:right w:val="none" w:sz="0" w:space="0" w:color="auto"/>
                          </w:divBdr>
                          <w:divsChild>
                            <w:div w:id="785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61461">
      <w:bodyDiv w:val="1"/>
      <w:marLeft w:val="0"/>
      <w:marRight w:val="0"/>
      <w:marTop w:val="0"/>
      <w:marBottom w:val="0"/>
      <w:divBdr>
        <w:top w:val="none" w:sz="0" w:space="0" w:color="auto"/>
        <w:left w:val="none" w:sz="0" w:space="0" w:color="auto"/>
        <w:bottom w:val="none" w:sz="0" w:space="0" w:color="auto"/>
        <w:right w:val="none" w:sz="0" w:space="0" w:color="auto"/>
      </w:divBdr>
    </w:div>
    <w:div w:id="1735734975">
      <w:bodyDiv w:val="1"/>
      <w:marLeft w:val="0"/>
      <w:marRight w:val="0"/>
      <w:marTop w:val="0"/>
      <w:marBottom w:val="0"/>
      <w:divBdr>
        <w:top w:val="none" w:sz="0" w:space="0" w:color="auto"/>
        <w:left w:val="none" w:sz="0" w:space="0" w:color="auto"/>
        <w:bottom w:val="none" w:sz="0" w:space="0" w:color="auto"/>
        <w:right w:val="none" w:sz="0" w:space="0" w:color="auto"/>
      </w:divBdr>
      <w:divsChild>
        <w:div w:id="832570444">
          <w:marLeft w:val="0"/>
          <w:marRight w:val="0"/>
          <w:marTop w:val="0"/>
          <w:marBottom w:val="0"/>
          <w:divBdr>
            <w:top w:val="none" w:sz="0" w:space="0" w:color="auto"/>
            <w:left w:val="none" w:sz="0" w:space="0" w:color="auto"/>
            <w:bottom w:val="none" w:sz="0" w:space="0" w:color="auto"/>
            <w:right w:val="none" w:sz="0" w:space="0" w:color="auto"/>
          </w:divBdr>
        </w:div>
      </w:divsChild>
    </w:div>
    <w:div w:id="2050445277">
      <w:bodyDiv w:val="1"/>
      <w:marLeft w:val="0"/>
      <w:marRight w:val="0"/>
      <w:marTop w:val="0"/>
      <w:marBottom w:val="0"/>
      <w:divBdr>
        <w:top w:val="none" w:sz="0" w:space="0" w:color="auto"/>
        <w:left w:val="none" w:sz="0" w:space="0" w:color="auto"/>
        <w:bottom w:val="none" w:sz="0" w:space="0" w:color="auto"/>
        <w:right w:val="none" w:sz="0" w:space="0" w:color="auto"/>
      </w:divBdr>
      <w:divsChild>
        <w:div w:id="81418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9012-3A3A-420A-96AE-CC52849F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3985</Words>
  <Characters>21643</Characters>
  <Application>Microsoft Office Word</Application>
  <DocSecurity>0</DocSecurity>
  <Lines>746</Lines>
  <Paragraphs>394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CED/C/GAB/CO/1</vt:lpstr>
      <vt:lpstr>CED/C/BFA/CO/1</vt:lpstr>
    </vt:vector>
  </TitlesOfParts>
  <Company>CSD</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CED/C/GAB/CO/1</dc:title>
  <dc:subject>qrcode</dc:subject>
  <dc:creator>dvx</dc:creator>
  <cp:keywords/>
  <dc:description/>
  <cp:lastModifiedBy>Christine DEVOUASSOUX</cp:lastModifiedBy>
  <cp:revision>3</cp:revision>
  <cp:lastPrinted>2017-10-11T06:16:00Z</cp:lastPrinted>
  <dcterms:created xsi:type="dcterms:W3CDTF">2017-10-11T06:16:00Z</dcterms:created>
  <dcterms:modified xsi:type="dcterms:W3CDTF">2017-10-11T06:17:00Z</dcterms:modified>
</cp:coreProperties>
</file>