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0B664F" w:rsidP="000B664F">
            <w:pPr>
              <w:bidi w:val="0"/>
              <w:spacing w:after="20"/>
              <w:jc w:val="left"/>
              <w:rPr>
                <w:szCs w:val="20"/>
              </w:rPr>
            </w:pPr>
            <w:r w:rsidRPr="000B664F">
              <w:rPr>
                <w:sz w:val="40"/>
                <w:szCs w:val="20"/>
              </w:rPr>
              <w:t>CERD</w:t>
            </w:r>
            <w:r>
              <w:rPr>
                <w:szCs w:val="20"/>
              </w:rPr>
              <w:t>/C/GC/33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0B664F" w:rsidRDefault="000B664F" w:rsidP="000B664F">
            <w:pPr>
              <w:bidi w:val="0"/>
              <w:spacing w:before="240"/>
              <w:jc w:val="left"/>
            </w:pPr>
            <w:r>
              <w:t>Distr.: General</w:t>
            </w:r>
          </w:p>
          <w:p w:rsidR="000B664F" w:rsidRDefault="000B664F" w:rsidP="000B664F">
            <w:pPr>
              <w:bidi w:val="0"/>
              <w:jc w:val="left"/>
            </w:pPr>
            <w:r w:rsidRPr="000D2D59">
              <w:rPr>
                <w:lang w:val="en-GB"/>
              </w:rPr>
              <w:t>2</w:t>
            </w:r>
            <w:r>
              <w:rPr>
                <w:lang w:val="en-GB"/>
              </w:rPr>
              <w:t xml:space="preserve">9 </w:t>
            </w:r>
            <w:r w:rsidRPr="000D2D59">
              <w:rPr>
                <w:lang w:val="en-GB"/>
              </w:rPr>
              <w:t>September 2009</w:t>
            </w:r>
          </w:p>
          <w:p w:rsidR="000B664F" w:rsidRDefault="000B664F" w:rsidP="000B664F">
            <w:pPr>
              <w:bidi w:val="0"/>
              <w:jc w:val="left"/>
            </w:pPr>
            <w:r>
              <w:t>Arabic</w:t>
            </w:r>
          </w:p>
          <w:p w:rsidR="00257225" w:rsidRPr="008B4BC6" w:rsidRDefault="000B664F" w:rsidP="000B664F">
            <w:pPr>
              <w:bidi w:val="0"/>
              <w:jc w:val="left"/>
            </w:pPr>
            <w:r>
              <w:t>Original: English</w:t>
            </w:r>
          </w:p>
        </w:tc>
      </w:tr>
    </w:tbl>
    <w:p w:rsidR="000B664F" w:rsidRPr="000B664F" w:rsidRDefault="000B664F" w:rsidP="00AE2A76">
      <w:pPr>
        <w:spacing w:before="120" w:line="380" w:lineRule="exact"/>
        <w:rPr>
          <w:rFonts w:hint="cs"/>
          <w:b/>
          <w:bCs/>
          <w:sz w:val="26"/>
          <w:szCs w:val="36"/>
          <w:rtl/>
          <w:lang w:val="fr-CH"/>
        </w:rPr>
      </w:pPr>
      <w:r w:rsidRPr="000B664F">
        <w:rPr>
          <w:rFonts w:hint="cs"/>
          <w:b/>
          <w:bCs/>
          <w:sz w:val="26"/>
          <w:szCs w:val="36"/>
          <w:rtl/>
          <w:lang w:val="fr-CH"/>
        </w:rPr>
        <w:t>لجنة القضاء على التمييز العنصري</w:t>
      </w:r>
    </w:p>
    <w:p w:rsidR="000B664F" w:rsidRPr="000B664F" w:rsidRDefault="000B664F" w:rsidP="00AE2A76">
      <w:pPr>
        <w:spacing w:line="380" w:lineRule="exact"/>
        <w:rPr>
          <w:rFonts w:hint="cs"/>
          <w:b/>
          <w:bCs/>
          <w:rtl/>
          <w:lang w:val="fr-CH"/>
        </w:rPr>
      </w:pPr>
      <w:r w:rsidRPr="000B664F">
        <w:rPr>
          <w:rFonts w:hint="cs"/>
          <w:b/>
          <w:bCs/>
          <w:rtl/>
          <w:lang w:val="fr-CH"/>
        </w:rPr>
        <w:t>الدورة الخامسة والسبعون</w:t>
      </w:r>
    </w:p>
    <w:p w:rsidR="000B664F" w:rsidRDefault="000B664F" w:rsidP="00AE2A76">
      <w:pPr>
        <w:spacing w:line="380" w:lineRule="exact"/>
        <w:rPr>
          <w:rFonts w:hint="cs"/>
          <w:rtl/>
          <w:lang w:val="fr-CH"/>
        </w:rPr>
      </w:pPr>
      <w:r>
        <w:rPr>
          <w:rFonts w:hint="cs"/>
          <w:rtl/>
          <w:lang w:val="fr-CH"/>
        </w:rPr>
        <w:t>3-28 آب/أغسطس 2009</w:t>
      </w:r>
    </w:p>
    <w:p w:rsidR="000B664F" w:rsidRDefault="00AE2A76" w:rsidP="000B664F">
      <w:pPr>
        <w:pStyle w:val="HChGA"/>
        <w:rPr>
          <w:rFonts w:hint="cs"/>
          <w:rtl/>
          <w:lang w:val="fr-CH"/>
        </w:rPr>
      </w:pPr>
      <w:r>
        <w:rPr>
          <w:rFonts w:hint="cs"/>
          <w:rtl/>
          <w:lang w:val="fr-CH"/>
        </w:rPr>
        <w:tab/>
      </w:r>
      <w:r>
        <w:rPr>
          <w:rFonts w:hint="cs"/>
          <w:rtl/>
          <w:lang w:val="fr-CH"/>
        </w:rPr>
        <w:tab/>
      </w:r>
      <w:r w:rsidR="000B664F">
        <w:rPr>
          <w:rFonts w:hint="cs"/>
          <w:rtl/>
          <w:lang w:val="fr-CH"/>
        </w:rPr>
        <w:t>التوصية العامة رقم 33</w:t>
      </w:r>
    </w:p>
    <w:p w:rsidR="000B664F" w:rsidRDefault="00AE2A76" w:rsidP="000B664F">
      <w:pPr>
        <w:pStyle w:val="H1GA"/>
        <w:rPr>
          <w:rFonts w:hint="cs"/>
          <w:rtl/>
          <w:lang w:val="fr-CH"/>
        </w:rPr>
      </w:pPr>
      <w:r>
        <w:rPr>
          <w:rFonts w:hint="cs"/>
          <w:rtl/>
          <w:lang w:val="fr-CH"/>
        </w:rPr>
        <w:tab/>
      </w:r>
      <w:r>
        <w:rPr>
          <w:rFonts w:hint="cs"/>
          <w:rtl/>
          <w:lang w:val="fr-CH"/>
        </w:rPr>
        <w:tab/>
      </w:r>
      <w:r w:rsidR="000B664F">
        <w:rPr>
          <w:rFonts w:hint="cs"/>
          <w:rtl/>
          <w:lang w:val="fr-CH"/>
        </w:rPr>
        <w:t xml:space="preserve">متابعة مؤتمر استعراض نتائج </w:t>
      </w:r>
      <w:proofErr w:type="spellStart"/>
      <w:r w:rsidR="000B664F">
        <w:rPr>
          <w:rFonts w:hint="cs"/>
          <w:rtl/>
          <w:lang w:val="fr-CH"/>
        </w:rPr>
        <w:t>ديربان</w:t>
      </w:r>
      <w:proofErr w:type="spellEnd"/>
    </w:p>
    <w:p w:rsidR="000B664F" w:rsidRPr="009D46D1" w:rsidRDefault="000B664F" w:rsidP="000B664F">
      <w:pPr>
        <w:pStyle w:val="SingleTxtGA"/>
        <w:rPr>
          <w:rFonts w:hint="cs"/>
          <w:i/>
          <w:iCs/>
          <w:rtl/>
          <w:lang w:val="fr-CH"/>
        </w:rPr>
      </w:pPr>
      <w:r w:rsidRPr="00EE1E28">
        <w:rPr>
          <w:rFonts w:hint="cs"/>
          <w:rtl/>
          <w:lang w:val="fr-CH"/>
        </w:rPr>
        <w:tab/>
      </w:r>
      <w:r w:rsidRPr="009D46D1">
        <w:rPr>
          <w:rFonts w:hint="cs"/>
          <w:i/>
          <w:iCs/>
          <w:rtl/>
          <w:lang w:val="fr-CH"/>
        </w:rPr>
        <w:t>إن لجنة القضاء على التمييز العنصري،</w:t>
      </w:r>
    </w:p>
    <w:p w:rsidR="000B664F" w:rsidRDefault="000B664F" w:rsidP="000B664F">
      <w:pPr>
        <w:pStyle w:val="SingleTxtGA"/>
        <w:rPr>
          <w:rFonts w:hint="cs"/>
          <w:rtl/>
          <w:lang w:val="fr-CH"/>
        </w:rPr>
      </w:pPr>
      <w:r>
        <w:rPr>
          <w:rFonts w:hint="cs"/>
          <w:i/>
          <w:iCs/>
          <w:rtl/>
          <w:lang w:val="fr-CH"/>
        </w:rPr>
        <w:tab/>
        <w:t>إذ ترحب</w:t>
      </w:r>
      <w:r>
        <w:rPr>
          <w:rFonts w:hint="cs"/>
          <w:rtl/>
          <w:lang w:val="fr-CH"/>
        </w:rPr>
        <w:t xml:space="preserve"> باعتماد الوثيقة الختامية لمؤتمر استعراض نتائج </w:t>
      </w:r>
      <w:proofErr w:type="spellStart"/>
      <w:r>
        <w:rPr>
          <w:rFonts w:hint="cs"/>
          <w:rtl/>
          <w:lang w:val="fr-CH"/>
        </w:rPr>
        <w:t>ديربان</w:t>
      </w:r>
      <w:proofErr w:type="spellEnd"/>
      <w:r>
        <w:rPr>
          <w:vertAlign w:val="superscript"/>
          <w:rtl/>
          <w:lang w:val="fr-CH"/>
        </w:rPr>
        <w:t>(</w:t>
      </w:r>
      <w:r>
        <w:rPr>
          <w:rStyle w:val="FootnoteReference"/>
          <w:rtl/>
          <w:lang w:val="fr-CH"/>
        </w:rPr>
        <w:footnoteReference w:id="1"/>
      </w:r>
      <w:r>
        <w:rPr>
          <w:vertAlign w:val="superscript"/>
          <w:rtl/>
          <w:lang w:val="fr-CH"/>
        </w:rPr>
        <w:t>)</w:t>
      </w:r>
      <w:r>
        <w:rPr>
          <w:rFonts w:hint="cs"/>
          <w:rtl/>
          <w:lang w:val="fr-CH"/>
        </w:rPr>
        <w:t>، الذي عُقد في مكتب الأمم المتحدة في جنيف في الفترة من 20 إلى 24 نيسان/أبريل 2009،</w:t>
      </w:r>
    </w:p>
    <w:p w:rsidR="000B664F" w:rsidRDefault="000B664F" w:rsidP="00725F7D">
      <w:pPr>
        <w:pStyle w:val="SingleTxtGA"/>
        <w:rPr>
          <w:rFonts w:hint="cs"/>
          <w:rtl/>
          <w:lang w:val="fr-CH"/>
        </w:rPr>
      </w:pPr>
      <w:r>
        <w:rPr>
          <w:rFonts w:hint="cs"/>
          <w:rtl/>
          <w:lang w:val="fr-CH"/>
        </w:rPr>
        <w:tab/>
      </w:r>
      <w:r>
        <w:rPr>
          <w:rFonts w:hint="cs"/>
          <w:i/>
          <w:iCs/>
          <w:rtl/>
          <w:lang w:val="fr-CH"/>
        </w:rPr>
        <w:t>وإذ ترحب</w:t>
      </w:r>
      <w:r>
        <w:rPr>
          <w:rFonts w:hint="cs"/>
          <w:rtl/>
          <w:lang w:val="fr-CH"/>
        </w:rPr>
        <w:t xml:space="preserve"> بقيام مؤتمر الاستعراض بإعادة تأكيد إعلان  وبرنامج عمل </w:t>
      </w:r>
      <w:proofErr w:type="spellStart"/>
      <w:r>
        <w:rPr>
          <w:rFonts w:hint="cs"/>
          <w:rtl/>
          <w:lang w:val="fr-CH"/>
        </w:rPr>
        <w:t>ديربان</w:t>
      </w:r>
      <w:proofErr w:type="spellEnd"/>
      <w:r>
        <w:rPr>
          <w:rFonts w:hint="cs"/>
          <w:rtl/>
          <w:lang w:val="fr-CH"/>
        </w:rPr>
        <w:t xml:space="preserve">، كما اعتمدهما في عام 2001 المؤتمر العالمي لمكافحة العنصرية والتمييز العنصري وكره الأجانب </w:t>
      </w:r>
      <w:r w:rsidRPr="000B664F">
        <w:rPr>
          <w:rFonts w:hint="cs"/>
          <w:spacing w:val="-2"/>
          <w:rtl/>
          <w:lang w:val="fr-CH"/>
        </w:rPr>
        <w:t xml:space="preserve">وما يتصل بذلك من تعصب، فضلاً عن الالتزام بمنع هذه الظواهر ومكافحتها </w:t>
      </w:r>
      <w:r w:rsidR="00725F7D">
        <w:rPr>
          <w:rFonts w:hint="cs"/>
          <w:spacing w:val="-2"/>
          <w:rtl/>
          <w:lang w:val="fr-CH"/>
        </w:rPr>
        <w:t>واستئصالها،</w:t>
      </w:r>
    </w:p>
    <w:p w:rsidR="000B664F" w:rsidRDefault="000B664F" w:rsidP="000B664F">
      <w:pPr>
        <w:pStyle w:val="SingleTxtGA"/>
        <w:rPr>
          <w:rFonts w:hint="cs"/>
          <w:rtl/>
          <w:lang w:val="fr-CH"/>
        </w:rPr>
      </w:pPr>
      <w:r>
        <w:rPr>
          <w:rFonts w:hint="cs"/>
          <w:rtl/>
          <w:lang w:val="fr-CH"/>
        </w:rPr>
        <w:tab/>
      </w:r>
      <w:r>
        <w:rPr>
          <w:rFonts w:hint="cs"/>
          <w:i/>
          <w:iCs/>
          <w:rtl/>
          <w:lang w:val="fr-CH"/>
        </w:rPr>
        <w:t>وإذ تلاحظ</w:t>
      </w:r>
      <w:r>
        <w:rPr>
          <w:rFonts w:hint="cs"/>
          <w:rtl/>
          <w:lang w:val="fr-CH"/>
        </w:rPr>
        <w:t xml:space="preserve"> أن مؤتمر استعراض نتائج </w:t>
      </w:r>
      <w:proofErr w:type="spellStart"/>
      <w:r>
        <w:rPr>
          <w:rFonts w:hint="cs"/>
          <w:rtl/>
          <w:lang w:val="fr-CH"/>
        </w:rPr>
        <w:t>ديربان</w:t>
      </w:r>
      <w:proofErr w:type="spellEnd"/>
      <w:r>
        <w:rPr>
          <w:rFonts w:hint="cs"/>
          <w:rtl/>
          <w:lang w:val="fr-CH"/>
        </w:rPr>
        <w:t xml:space="preserve"> قد أكد من جديد أن الاتفاقية </w:t>
      </w:r>
      <w:r w:rsidR="00725F7D">
        <w:rPr>
          <w:rFonts w:hint="cs"/>
          <w:rtl/>
          <w:lang w:val="fr-CH"/>
        </w:rPr>
        <w:t xml:space="preserve">الدولية </w:t>
      </w:r>
      <w:r>
        <w:rPr>
          <w:rFonts w:hint="cs"/>
          <w:rtl/>
          <w:lang w:val="fr-CH"/>
        </w:rPr>
        <w:t xml:space="preserve">للقضاء على جميع أشكال التمييز العنصري </w:t>
      </w:r>
      <w:r w:rsidR="00725F7D">
        <w:rPr>
          <w:rFonts w:hint="cs"/>
          <w:rtl/>
          <w:lang w:val="fr-CH"/>
        </w:rPr>
        <w:t xml:space="preserve">("الاتفاقية") </w:t>
      </w:r>
      <w:r>
        <w:rPr>
          <w:rFonts w:hint="cs"/>
          <w:rtl/>
          <w:lang w:val="fr-CH"/>
        </w:rPr>
        <w:t>هي الصك الدولي الرئيسي لمنع ومكافحة واستئصال العنصرية والتمييز العنصري وكره الأجانب وما يتصل بذلك من تعصب، وأن التنفيذ الكامل للاتفاقية هو أمر أساسي لمكافحة جميع أشكال العنصرية والتمييز العنصري التي تحدث اليوم على نطاق العالم،</w:t>
      </w:r>
    </w:p>
    <w:p w:rsidR="000B664F" w:rsidRDefault="000B664F" w:rsidP="00592D86">
      <w:pPr>
        <w:pStyle w:val="SingleTxtGA"/>
        <w:rPr>
          <w:rFonts w:hint="cs"/>
          <w:rtl/>
          <w:lang w:val="fr-CH"/>
        </w:rPr>
      </w:pPr>
      <w:r>
        <w:rPr>
          <w:rFonts w:hint="cs"/>
          <w:rtl/>
          <w:lang w:val="fr-CH"/>
        </w:rPr>
        <w:tab/>
      </w:r>
      <w:r>
        <w:rPr>
          <w:rFonts w:hint="cs"/>
          <w:i/>
          <w:iCs/>
          <w:rtl/>
          <w:lang w:val="fr-CH"/>
        </w:rPr>
        <w:t>وإذ ترحب</w:t>
      </w:r>
      <w:r>
        <w:rPr>
          <w:rFonts w:hint="cs"/>
          <w:rtl/>
          <w:lang w:val="fr-CH"/>
        </w:rPr>
        <w:t xml:space="preserve"> بإقرار مؤتمر استعراض نتائج </w:t>
      </w:r>
      <w:proofErr w:type="spellStart"/>
      <w:r>
        <w:rPr>
          <w:rFonts w:hint="cs"/>
          <w:rtl/>
          <w:lang w:val="fr-CH"/>
        </w:rPr>
        <w:t>ديربان</w:t>
      </w:r>
      <w:proofErr w:type="spellEnd"/>
      <w:r>
        <w:rPr>
          <w:rFonts w:hint="cs"/>
          <w:rtl/>
          <w:lang w:val="fr-CH"/>
        </w:rPr>
        <w:t xml:space="preserve"> للتفسير المقدم من لجنة القضاء على التمييز العنصري </w:t>
      </w:r>
      <w:r w:rsidR="00725F7D">
        <w:rPr>
          <w:rFonts w:hint="cs"/>
          <w:rtl/>
          <w:lang w:val="fr-CH"/>
        </w:rPr>
        <w:t xml:space="preserve">("اللجنة") </w:t>
      </w:r>
      <w:r>
        <w:rPr>
          <w:rFonts w:hint="cs"/>
          <w:rtl/>
          <w:lang w:val="fr-CH"/>
        </w:rPr>
        <w:t>بشأن تعريف مفهوم التمييز العنصري على النحو الوارد في الاتفاقية، بغية التصدي لأشكال التمييز العنصري المتعددة أو المتفاقمة،</w:t>
      </w:r>
    </w:p>
    <w:p w:rsidR="000B664F" w:rsidRDefault="000B664F" w:rsidP="00725F7D">
      <w:pPr>
        <w:pStyle w:val="SingleTxtGA"/>
        <w:rPr>
          <w:rFonts w:hint="cs"/>
          <w:rtl/>
          <w:lang w:val="fr-CH"/>
        </w:rPr>
      </w:pPr>
      <w:r>
        <w:rPr>
          <w:rFonts w:hint="cs"/>
          <w:rtl/>
          <w:lang w:val="fr-CH"/>
        </w:rPr>
        <w:tab/>
      </w:r>
      <w:r>
        <w:rPr>
          <w:rFonts w:hint="cs"/>
          <w:i/>
          <w:iCs/>
          <w:rtl/>
          <w:lang w:val="fr-CH"/>
        </w:rPr>
        <w:t>وإذ ترحب</w:t>
      </w:r>
      <w:r>
        <w:rPr>
          <w:rFonts w:hint="cs"/>
          <w:rtl/>
          <w:lang w:val="fr-CH"/>
        </w:rPr>
        <w:t xml:space="preserve"> ب</w:t>
      </w:r>
      <w:r w:rsidR="00725F7D">
        <w:rPr>
          <w:rFonts w:hint="cs"/>
          <w:rtl/>
          <w:lang w:val="fr-CH"/>
        </w:rPr>
        <w:t>ما أعرب عنه مؤتمر</w:t>
      </w:r>
      <w:r w:rsidR="00622C89">
        <w:rPr>
          <w:rFonts w:hint="cs"/>
          <w:rtl/>
          <w:lang w:val="fr-CH"/>
        </w:rPr>
        <w:t xml:space="preserve"> </w:t>
      </w:r>
      <w:r>
        <w:rPr>
          <w:rFonts w:hint="cs"/>
          <w:rtl/>
          <w:lang w:val="fr-CH"/>
        </w:rPr>
        <w:t xml:space="preserve">استعراض نتائج </w:t>
      </w:r>
      <w:proofErr w:type="spellStart"/>
      <w:r>
        <w:rPr>
          <w:rFonts w:hint="cs"/>
          <w:rtl/>
          <w:lang w:val="fr-CH"/>
        </w:rPr>
        <w:t>ديربان</w:t>
      </w:r>
      <w:proofErr w:type="spellEnd"/>
      <w:r>
        <w:rPr>
          <w:rFonts w:hint="cs"/>
          <w:rtl/>
          <w:lang w:val="fr-CH"/>
        </w:rPr>
        <w:t xml:space="preserve"> من تقدير فيما يتعلق بإجراء الإنذار المبكر وإجراء العمل العاجل، فضلاً عن إجراء المتابعة ال</w:t>
      </w:r>
      <w:r w:rsidR="00725F7D">
        <w:rPr>
          <w:rFonts w:hint="cs"/>
          <w:rtl/>
          <w:lang w:val="fr-CH"/>
        </w:rPr>
        <w:t>ذ</w:t>
      </w:r>
      <w:r>
        <w:rPr>
          <w:rFonts w:hint="cs"/>
          <w:rtl/>
          <w:lang w:val="fr-CH"/>
        </w:rPr>
        <w:t>ي استحدثته اللجنة،</w:t>
      </w:r>
    </w:p>
    <w:p w:rsidR="000B664F" w:rsidRDefault="000B664F" w:rsidP="00622C89">
      <w:pPr>
        <w:pStyle w:val="SingleTxtGA"/>
        <w:rPr>
          <w:rFonts w:hint="cs"/>
          <w:rtl/>
          <w:lang w:val="fr-CH"/>
        </w:rPr>
      </w:pPr>
      <w:r>
        <w:rPr>
          <w:rFonts w:hint="cs"/>
          <w:rtl/>
          <w:lang w:val="fr-CH"/>
        </w:rPr>
        <w:tab/>
      </w:r>
      <w:r>
        <w:rPr>
          <w:rFonts w:hint="cs"/>
          <w:i/>
          <w:iCs/>
          <w:rtl/>
          <w:lang w:val="fr-CH"/>
        </w:rPr>
        <w:t>وإذ يساورها القلق</w:t>
      </w:r>
      <w:r>
        <w:rPr>
          <w:rFonts w:hint="cs"/>
          <w:rtl/>
          <w:lang w:val="fr-CH"/>
        </w:rPr>
        <w:t xml:space="preserve"> إزاء الآثار التي يمكن أن تخلفها الأزمة المالية والاقتصادية العالمية على حالة الأشخاص الذين ينتمون إلى أشد المجموعات ضعفاً، ولا </w:t>
      </w:r>
      <w:proofErr w:type="spellStart"/>
      <w:r>
        <w:rPr>
          <w:rFonts w:hint="cs"/>
          <w:rtl/>
          <w:lang w:val="fr-CH"/>
        </w:rPr>
        <w:t>س</w:t>
      </w:r>
      <w:r w:rsidR="00622C89">
        <w:rPr>
          <w:rFonts w:hint="cs"/>
          <w:rtl/>
          <w:lang w:val="fr-CH"/>
        </w:rPr>
        <w:t>ي</w:t>
      </w:r>
      <w:r>
        <w:rPr>
          <w:rFonts w:hint="cs"/>
          <w:rtl/>
          <w:lang w:val="fr-CH"/>
        </w:rPr>
        <w:t>ما</w:t>
      </w:r>
      <w:proofErr w:type="spellEnd"/>
      <w:r>
        <w:rPr>
          <w:rFonts w:hint="cs"/>
          <w:rtl/>
          <w:lang w:val="fr-CH"/>
        </w:rPr>
        <w:t xml:space="preserve"> المجموعات العرقية </w:t>
      </w:r>
      <w:proofErr w:type="spellStart"/>
      <w:r>
        <w:rPr>
          <w:rFonts w:hint="cs"/>
          <w:rtl/>
          <w:lang w:val="fr-CH"/>
        </w:rPr>
        <w:t>والإثنية</w:t>
      </w:r>
      <w:proofErr w:type="spellEnd"/>
      <w:r>
        <w:rPr>
          <w:rFonts w:hint="cs"/>
          <w:rtl/>
          <w:lang w:val="fr-CH"/>
        </w:rPr>
        <w:t>، مما يفضي إلى تزايد حدة التمييز التي تعاني منه</w:t>
      </w:r>
      <w:r w:rsidR="00725F7D">
        <w:rPr>
          <w:rFonts w:hint="cs"/>
          <w:rtl/>
          <w:lang w:val="fr-CH"/>
        </w:rPr>
        <w:t xml:space="preserve"> هذه المجموعات</w:t>
      </w:r>
      <w:r>
        <w:rPr>
          <w:rFonts w:hint="cs"/>
          <w:rtl/>
          <w:lang w:val="fr-CH"/>
        </w:rPr>
        <w:t>،</w:t>
      </w:r>
    </w:p>
    <w:p w:rsidR="000B664F" w:rsidRDefault="000B664F" w:rsidP="000B664F">
      <w:pPr>
        <w:pStyle w:val="SingleTxtGA"/>
        <w:rPr>
          <w:rFonts w:hint="cs"/>
          <w:rtl/>
          <w:lang w:val="fr-CH"/>
        </w:rPr>
      </w:pPr>
      <w:r>
        <w:rPr>
          <w:rFonts w:hint="cs"/>
          <w:rtl/>
          <w:lang w:val="fr-CH"/>
        </w:rPr>
        <w:tab/>
      </w:r>
      <w:r>
        <w:rPr>
          <w:rFonts w:hint="cs"/>
          <w:i/>
          <w:iCs/>
          <w:rtl/>
          <w:lang w:val="fr-CH"/>
        </w:rPr>
        <w:t>وإذ يساورها القلق</w:t>
      </w:r>
      <w:r>
        <w:rPr>
          <w:rFonts w:hint="cs"/>
          <w:rtl/>
          <w:lang w:val="fr-CH"/>
        </w:rPr>
        <w:t xml:space="preserve"> إزاء حالات التمييز العنصري </w:t>
      </w:r>
      <w:proofErr w:type="spellStart"/>
      <w:r>
        <w:rPr>
          <w:rFonts w:hint="cs"/>
          <w:rtl/>
          <w:lang w:val="fr-CH"/>
        </w:rPr>
        <w:t>والإثني</w:t>
      </w:r>
      <w:proofErr w:type="spellEnd"/>
      <w:r>
        <w:rPr>
          <w:rFonts w:hint="cs"/>
          <w:rtl/>
          <w:lang w:val="fr-CH"/>
        </w:rPr>
        <w:t xml:space="preserve"> الخطير والواسع النطاق والمتعدد التي قد تُسفر عن إبادة جماعية، وإذ تذكِّر في هذا الصدد بالمقرر الذي اعتمدته في دورتها السابعة والستين المعقودة في عام 2005 </w:t>
      </w:r>
      <w:r w:rsidR="00725F7D">
        <w:rPr>
          <w:rFonts w:hint="cs"/>
          <w:rtl/>
          <w:lang w:val="fr-CH"/>
        </w:rPr>
        <w:t xml:space="preserve">بعنوان </w:t>
      </w:r>
      <w:r>
        <w:rPr>
          <w:rFonts w:hint="cs"/>
          <w:rtl/>
          <w:lang w:val="fr-CH"/>
        </w:rPr>
        <w:t>"متابعة الإعلان بشأن منع الإبادة الجماعية: مؤشرات أنماط التمييز العنصري المنهجي والجماعي"</w:t>
      </w:r>
      <w:r>
        <w:rPr>
          <w:vertAlign w:val="superscript"/>
          <w:rtl/>
          <w:lang w:val="fr-CH"/>
        </w:rPr>
        <w:t>(</w:t>
      </w:r>
      <w:r>
        <w:rPr>
          <w:rStyle w:val="FootnoteReference"/>
          <w:rtl/>
          <w:lang w:val="fr-CH"/>
        </w:rPr>
        <w:footnoteReference w:id="2"/>
      </w:r>
      <w:r>
        <w:rPr>
          <w:vertAlign w:val="superscript"/>
          <w:rtl/>
          <w:lang w:val="fr-CH"/>
        </w:rPr>
        <w:t>)</w:t>
      </w:r>
      <w:r>
        <w:rPr>
          <w:rtl/>
          <w:lang w:val="fr-CH"/>
        </w:rPr>
        <w:t xml:space="preserve"> </w:t>
      </w:r>
      <w:r>
        <w:rPr>
          <w:rFonts w:hint="cs"/>
          <w:rtl/>
          <w:lang w:val="fr-CH"/>
        </w:rPr>
        <w:t>بغية الحيلولة دون حدوث مثل هذه التطورات،</w:t>
      </w:r>
    </w:p>
    <w:p w:rsidR="000B664F" w:rsidRDefault="000B664F" w:rsidP="000B664F">
      <w:pPr>
        <w:pStyle w:val="SingleTxtGA"/>
        <w:rPr>
          <w:rFonts w:hint="cs"/>
          <w:rtl/>
          <w:lang w:val="fr-CH"/>
        </w:rPr>
      </w:pPr>
      <w:r>
        <w:rPr>
          <w:rFonts w:hint="cs"/>
          <w:rtl/>
          <w:lang w:val="fr-CH"/>
        </w:rPr>
        <w:tab/>
      </w:r>
      <w:r>
        <w:rPr>
          <w:rFonts w:hint="cs"/>
          <w:i/>
          <w:iCs/>
          <w:rtl/>
          <w:lang w:val="fr-CH"/>
        </w:rPr>
        <w:t>وإذ تعرب عن ارتياحها</w:t>
      </w:r>
      <w:r>
        <w:rPr>
          <w:rFonts w:hint="cs"/>
          <w:rtl/>
          <w:lang w:val="fr-CH"/>
        </w:rPr>
        <w:t xml:space="preserve"> لاعتراف مؤتمر استعراض نتائج </w:t>
      </w:r>
      <w:proofErr w:type="spellStart"/>
      <w:r>
        <w:rPr>
          <w:rFonts w:hint="cs"/>
          <w:rtl/>
          <w:lang w:val="fr-CH"/>
        </w:rPr>
        <w:t>ديربان</w:t>
      </w:r>
      <w:proofErr w:type="spellEnd"/>
      <w:r>
        <w:rPr>
          <w:rFonts w:hint="cs"/>
          <w:rtl/>
          <w:lang w:val="fr-CH"/>
        </w:rPr>
        <w:t xml:space="preserve"> بدور اللجنة وإسهامها في تعزيز تنفيذ الاتفاقية،</w:t>
      </w:r>
    </w:p>
    <w:p w:rsidR="000B664F" w:rsidRDefault="000B664F" w:rsidP="000B664F">
      <w:pPr>
        <w:pStyle w:val="SingleTxtGA"/>
        <w:rPr>
          <w:rFonts w:hint="cs"/>
          <w:rtl/>
          <w:lang w:val="fr-CH"/>
        </w:rPr>
      </w:pPr>
      <w:r>
        <w:rPr>
          <w:rFonts w:hint="cs"/>
          <w:rtl/>
          <w:lang w:val="fr-CH"/>
        </w:rPr>
        <w:tab/>
      </w:r>
      <w:r>
        <w:rPr>
          <w:rFonts w:hint="cs"/>
          <w:i/>
          <w:iCs/>
          <w:rtl/>
          <w:lang w:val="fr-CH"/>
        </w:rPr>
        <w:t>وإذ تعي</w:t>
      </w:r>
      <w:r>
        <w:rPr>
          <w:rFonts w:hint="cs"/>
          <w:rtl/>
          <w:lang w:val="fr-CH"/>
        </w:rPr>
        <w:t xml:space="preserve"> المسؤوليات الخاصة </w:t>
      </w:r>
      <w:proofErr w:type="spellStart"/>
      <w:r>
        <w:rPr>
          <w:rFonts w:hint="cs"/>
          <w:rtl/>
          <w:lang w:val="fr-CH"/>
        </w:rPr>
        <w:t>بها</w:t>
      </w:r>
      <w:proofErr w:type="spellEnd"/>
      <w:r>
        <w:rPr>
          <w:rFonts w:hint="cs"/>
          <w:rtl/>
          <w:lang w:val="fr-CH"/>
        </w:rPr>
        <w:t xml:space="preserve"> في عملية متابعة المؤتمر العالمي لمكافحة العنصرية والتمييز العنصري وكره الأجانب وما يتصل بذلك من تعصب والمؤتمر الاستعراض</w:t>
      </w:r>
      <w:r w:rsidR="00725F7D">
        <w:rPr>
          <w:rFonts w:hint="cs"/>
          <w:rtl/>
          <w:lang w:val="fr-CH"/>
        </w:rPr>
        <w:t>ي</w:t>
      </w:r>
      <w:r>
        <w:rPr>
          <w:rFonts w:hint="cs"/>
          <w:rtl/>
          <w:lang w:val="fr-CH"/>
        </w:rPr>
        <w:t xml:space="preserve"> </w:t>
      </w:r>
      <w:r w:rsidR="00622C89">
        <w:rPr>
          <w:rtl/>
          <w:lang w:val="fr-CH"/>
        </w:rPr>
        <w:br/>
      </w:r>
      <w:r>
        <w:rPr>
          <w:rFonts w:hint="cs"/>
          <w:rtl/>
          <w:lang w:val="fr-CH"/>
        </w:rPr>
        <w:t>لعام 2009، والحاجة إلى تعزيز قدرتها على الاضطلاع بهذه المسؤوليات على نحو كامل،</w:t>
      </w:r>
    </w:p>
    <w:p w:rsidR="000B664F" w:rsidRDefault="000B664F" w:rsidP="000B664F">
      <w:pPr>
        <w:pStyle w:val="SingleTxtGA"/>
        <w:rPr>
          <w:rFonts w:hint="cs"/>
          <w:rtl/>
          <w:lang w:val="fr-CH"/>
        </w:rPr>
      </w:pPr>
      <w:r>
        <w:rPr>
          <w:rFonts w:hint="cs"/>
          <w:rtl/>
          <w:lang w:val="fr-CH"/>
        </w:rPr>
        <w:tab/>
      </w:r>
      <w:r>
        <w:rPr>
          <w:rFonts w:hint="cs"/>
          <w:i/>
          <w:iCs/>
          <w:rtl/>
          <w:lang w:val="fr-CH"/>
        </w:rPr>
        <w:t>وإذ تشدِّد</w:t>
      </w:r>
      <w:r>
        <w:rPr>
          <w:rFonts w:hint="cs"/>
          <w:rtl/>
          <w:lang w:val="fr-CH"/>
        </w:rPr>
        <w:t xml:space="preserve"> على الدور الحيوي للمنظمات غير الحكومية في الكفاح ضد التمييز العنصري وتشجعها على مواصلة تزويد اللجنة بالمعلومات ذات الصلة من أجل أداء ولايتها،</w:t>
      </w:r>
    </w:p>
    <w:p w:rsidR="000B664F" w:rsidRDefault="000B664F" w:rsidP="00592D86">
      <w:pPr>
        <w:pStyle w:val="SingleTxtGA"/>
        <w:rPr>
          <w:rFonts w:hint="cs"/>
          <w:rtl/>
          <w:lang w:val="fr-CH"/>
        </w:rPr>
      </w:pPr>
      <w:r>
        <w:rPr>
          <w:rFonts w:hint="cs"/>
          <w:rtl/>
          <w:lang w:val="fr-CH"/>
        </w:rPr>
        <w:tab/>
      </w:r>
      <w:r>
        <w:rPr>
          <w:rFonts w:hint="cs"/>
          <w:i/>
          <w:iCs/>
          <w:rtl/>
          <w:lang w:val="fr-CH"/>
        </w:rPr>
        <w:t>وإذ تحيط علماً</w:t>
      </w:r>
      <w:r>
        <w:rPr>
          <w:rFonts w:hint="cs"/>
          <w:rtl/>
          <w:lang w:val="fr-CH"/>
        </w:rPr>
        <w:t xml:space="preserve"> بتشديد مؤتمر استعراض نتائج </w:t>
      </w:r>
      <w:proofErr w:type="spellStart"/>
      <w:r>
        <w:rPr>
          <w:rFonts w:hint="cs"/>
          <w:rtl/>
          <w:lang w:val="fr-CH"/>
        </w:rPr>
        <w:t>ديربان</w:t>
      </w:r>
      <w:proofErr w:type="spellEnd"/>
      <w:r>
        <w:rPr>
          <w:rFonts w:hint="cs"/>
          <w:rtl/>
          <w:lang w:val="fr-CH"/>
        </w:rPr>
        <w:t xml:space="preserve"> على أهمية </w:t>
      </w:r>
      <w:r w:rsidR="00592D86">
        <w:rPr>
          <w:rFonts w:hint="cs"/>
          <w:rtl/>
          <w:lang w:val="fr-CH"/>
        </w:rPr>
        <w:t>إنشاء</w:t>
      </w:r>
      <w:r>
        <w:rPr>
          <w:rFonts w:hint="cs"/>
          <w:rtl/>
          <w:lang w:val="fr-CH"/>
        </w:rPr>
        <w:t xml:space="preserve"> آليات رصد وتقييم وطنية فعالة لضمان اتخاذ جميع الخطوات الملائمة لمتابعة الملاحظات الختامية والتوصيات العامة للجنة،</w:t>
      </w:r>
    </w:p>
    <w:p w:rsidR="000B664F" w:rsidRDefault="000B664F" w:rsidP="000B664F">
      <w:pPr>
        <w:pStyle w:val="SingleTxtGA"/>
        <w:rPr>
          <w:rFonts w:hint="cs"/>
          <w:rtl/>
          <w:lang w:val="fr-CH"/>
        </w:rPr>
      </w:pPr>
      <w:r>
        <w:rPr>
          <w:rFonts w:hint="cs"/>
          <w:rtl/>
          <w:lang w:val="fr-CH"/>
        </w:rPr>
        <w:tab/>
        <w:t>1-</w:t>
      </w:r>
      <w:r>
        <w:rPr>
          <w:rFonts w:hint="cs"/>
          <w:rtl/>
          <w:lang w:val="fr-CH"/>
        </w:rPr>
        <w:tab/>
      </w:r>
      <w:r>
        <w:rPr>
          <w:rFonts w:hint="cs"/>
          <w:i/>
          <w:iCs/>
          <w:rtl/>
          <w:lang w:val="fr-CH"/>
        </w:rPr>
        <w:t>توصي</w:t>
      </w:r>
      <w:r>
        <w:rPr>
          <w:rFonts w:hint="cs"/>
          <w:rtl/>
          <w:lang w:val="fr-CH"/>
        </w:rPr>
        <w:t xml:space="preserve"> الدول الأطراف في الاتفاقية الدولية للقضاء على التمييز العنصري </w:t>
      </w:r>
      <w:r w:rsidR="00725F7D">
        <w:rPr>
          <w:rtl/>
          <w:lang w:val="fr-CH"/>
        </w:rPr>
        <w:br/>
      </w:r>
      <w:r>
        <w:rPr>
          <w:rFonts w:hint="cs"/>
          <w:rtl/>
          <w:lang w:val="fr-CH"/>
        </w:rPr>
        <w:t>بما يلي:</w:t>
      </w:r>
    </w:p>
    <w:p w:rsidR="000B664F" w:rsidRPr="003617E2" w:rsidRDefault="000B664F" w:rsidP="000B664F">
      <w:pPr>
        <w:pStyle w:val="SingleTxtGA"/>
        <w:rPr>
          <w:rFonts w:hint="cs"/>
          <w:rtl/>
          <w:lang w:val="fr-CH"/>
        </w:rPr>
      </w:pPr>
      <w:r>
        <w:rPr>
          <w:rFonts w:hint="cs"/>
          <w:rtl/>
          <w:lang w:val="fr-CH"/>
        </w:rPr>
        <w:tab/>
        <w:t>(أ)</w:t>
      </w:r>
      <w:r>
        <w:rPr>
          <w:rFonts w:hint="cs"/>
          <w:rtl/>
          <w:lang w:val="fr-CH"/>
        </w:rPr>
        <w:tab/>
        <w:t>أن تنظر، إن لم تكن قد فعلت ذلك بعد، في إصدار الإعلان المنصوص عليه في المادة 14 من الاتفاقية من أجل تمكين الأفراد من الوصول إلى سبيل الانتصاف المتوخى، إذا ما اعتبروا أنفسهم ضحايا لانتهاكات الحقوق المكرسة في الاتفاقية؛</w:t>
      </w:r>
    </w:p>
    <w:p w:rsidR="000B664F" w:rsidRDefault="000B664F" w:rsidP="000B664F">
      <w:pPr>
        <w:pStyle w:val="SingleTxtGA"/>
        <w:rPr>
          <w:rFonts w:hint="cs"/>
          <w:rtl/>
          <w:lang w:val="fr-CH"/>
        </w:rPr>
      </w:pPr>
      <w:r>
        <w:rPr>
          <w:rFonts w:hint="cs"/>
          <w:rtl/>
          <w:lang w:val="fr-CH"/>
        </w:rPr>
        <w:tab/>
        <w:t>(ب)</w:t>
      </w:r>
      <w:r>
        <w:rPr>
          <w:rFonts w:hint="cs"/>
          <w:rtl/>
          <w:lang w:val="fr-CH"/>
        </w:rPr>
        <w:tab/>
        <w:t>أن تعمل، إذا كانت قد أصدرت الإعلان الاختياري المنصوص عليه بموجب المادة 14، على زيادة الوعي بهذا الإجراء بحيث يتسنى تحقيق إمكاناته بالكامل؛</w:t>
      </w:r>
    </w:p>
    <w:p w:rsidR="000B664F" w:rsidRDefault="000B664F" w:rsidP="000B664F">
      <w:pPr>
        <w:pStyle w:val="SingleTxtGA"/>
        <w:rPr>
          <w:rFonts w:hint="cs"/>
          <w:rtl/>
          <w:lang w:val="fr-CH"/>
        </w:rPr>
      </w:pPr>
      <w:r>
        <w:rPr>
          <w:rFonts w:hint="cs"/>
          <w:rtl/>
          <w:lang w:val="fr-CH"/>
        </w:rPr>
        <w:tab/>
        <w:t>(ج)</w:t>
      </w:r>
      <w:r>
        <w:rPr>
          <w:rFonts w:hint="cs"/>
          <w:rtl/>
          <w:lang w:val="fr-CH"/>
        </w:rPr>
        <w:tab/>
        <w:t>أن ت</w:t>
      </w:r>
      <w:r w:rsidR="00725F7D">
        <w:rPr>
          <w:rFonts w:hint="cs"/>
          <w:rtl/>
          <w:lang w:val="fr-CH"/>
        </w:rPr>
        <w:t>ُ</w:t>
      </w:r>
      <w:r>
        <w:rPr>
          <w:rFonts w:hint="cs"/>
          <w:rtl/>
          <w:lang w:val="fr-CH"/>
        </w:rPr>
        <w:t>صد</w:t>
      </w:r>
      <w:r w:rsidR="00725F7D">
        <w:rPr>
          <w:rFonts w:hint="cs"/>
          <w:rtl/>
          <w:lang w:val="fr-CH"/>
        </w:rPr>
        <w:t>ّ</w:t>
      </w:r>
      <w:r>
        <w:rPr>
          <w:rFonts w:hint="cs"/>
          <w:rtl/>
          <w:lang w:val="fr-CH"/>
        </w:rPr>
        <w:t>ق، إن لم تكن قد فعلت ذلك بعد، على تعديل المادة 8 من الاتفاقية بشأن تمويل اللجنة؛</w:t>
      </w:r>
    </w:p>
    <w:p w:rsidR="000B664F" w:rsidRDefault="000B664F" w:rsidP="000B664F">
      <w:pPr>
        <w:pStyle w:val="SingleTxtGA"/>
        <w:rPr>
          <w:rFonts w:hint="cs"/>
          <w:rtl/>
          <w:lang w:val="fr-CH"/>
        </w:rPr>
      </w:pPr>
      <w:r>
        <w:rPr>
          <w:rFonts w:hint="cs"/>
          <w:rtl/>
          <w:lang w:val="fr-CH"/>
        </w:rPr>
        <w:tab/>
        <w:t>(د)</w:t>
      </w:r>
      <w:r>
        <w:rPr>
          <w:rFonts w:hint="cs"/>
          <w:rtl/>
          <w:lang w:val="fr-CH"/>
        </w:rPr>
        <w:tab/>
        <w:t>أن تنظر في</w:t>
      </w:r>
      <w:r w:rsidR="00725F7D">
        <w:rPr>
          <w:rFonts w:hint="cs"/>
          <w:rtl/>
          <w:lang w:val="fr-CH"/>
        </w:rPr>
        <w:t xml:space="preserve"> سحب </w:t>
      </w:r>
      <w:r>
        <w:rPr>
          <w:rFonts w:hint="cs"/>
          <w:rtl/>
          <w:lang w:val="fr-CH"/>
        </w:rPr>
        <w:t>ما أبدته من تحفظات على الاتفاقية، إن وجدت، آخذة في اعتبارها تطور مجال حقوق الإنسان منذ اعتماد الاتفاقية؛</w:t>
      </w:r>
    </w:p>
    <w:p w:rsidR="000B664F" w:rsidRDefault="000B664F" w:rsidP="00725F7D">
      <w:pPr>
        <w:pStyle w:val="SingleTxtGA"/>
        <w:rPr>
          <w:rFonts w:hint="cs"/>
          <w:rtl/>
        </w:rPr>
      </w:pPr>
      <w:r>
        <w:rPr>
          <w:rFonts w:hint="cs"/>
          <w:rtl/>
          <w:lang w:val="fr-CH"/>
        </w:rPr>
        <w:tab/>
        <w:t>(</w:t>
      </w:r>
      <w:r w:rsidRPr="00845899">
        <w:rPr>
          <w:rtl/>
        </w:rPr>
        <w:t>ﻫ</w:t>
      </w:r>
      <w:r>
        <w:rPr>
          <w:rFonts w:hint="cs"/>
          <w:rtl/>
        </w:rPr>
        <w:t>)</w:t>
      </w:r>
      <w:r>
        <w:rPr>
          <w:rFonts w:hint="cs"/>
          <w:rtl/>
        </w:rPr>
        <w:tab/>
        <w:t xml:space="preserve">أن تمتثل لالتزاماتها المتعلقة </w:t>
      </w:r>
      <w:r w:rsidR="00725F7D">
        <w:rPr>
          <w:rFonts w:hint="cs"/>
          <w:rtl/>
        </w:rPr>
        <w:t>ب</w:t>
      </w:r>
      <w:r>
        <w:rPr>
          <w:rFonts w:hint="cs"/>
          <w:rtl/>
        </w:rPr>
        <w:t>تقديم التقارير بموجب الاتفاقية عن طريق القيام في الوقت المناسب بتقديم تقاريرها الدورية وغير ذلك من المعلومات التي تطلبها اللجنة، وفقاً للمبادئ التوجيهية ذات الصلة؛</w:t>
      </w:r>
    </w:p>
    <w:p w:rsidR="000B664F" w:rsidRDefault="000B664F" w:rsidP="000B664F">
      <w:pPr>
        <w:pStyle w:val="SingleTxtGA"/>
        <w:rPr>
          <w:rFonts w:hint="cs"/>
          <w:rtl/>
        </w:rPr>
      </w:pPr>
      <w:r>
        <w:rPr>
          <w:rFonts w:hint="cs"/>
          <w:rtl/>
        </w:rPr>
        <w:tab/>
        <w:t>(و)</w:t>
      </w:r>
      <w:r>
        <w:rPr>
          <w:rFonts w:hint="cs"/>
          <w:rtl/>
        </w:rPr>
        <w:tab/>
        <w:t xml:space="preserve">ألا يغيب عن بالها أن ردها على الأزمة المالية والاقتصادية الراهنة ينبغي </w:t>
      </w:r>
      <w:r w:rsidR="00725F7D">
        <w:rPr>
          <w:rtl/>
        </w:rPr>
        <w:br/>
      </w:r>
      <w:r>
        <w:rPr>
          <w:rFonts w:hint="cs"/>
          <w:rtl/>
        </w:rPr>
        <w:t>ألا يفضي إلى ظهور حالة من شأنها أن تؤدي إلى زيادة الفقر والتخلف وإلى احتمال تزايد العنصرية والتمييز العنصري وكره الأجانب وما يتصل بذلك من تعصب ضد الأجانب والمهاجرين والشعوب الأصلية والأشخاص المنتمين إلى أقليات وغيرهم من المجموعات الضعيفة بصفة خاصة في شتى أنحاء العالم؛</w:t>
      </w:r>
    </w:p>
    <w:p w:rsidR="000B664F" w:rsidRDefault="000B664F" w:rsidP="000B664F">
      <w:pPr>
        <w:pStyle w:val="SingleTxtGA"/>
        <w:rPr>
          <w:rFonts w:hint="cs"/>
          <w:rtl/>
        </w:rPr>
      </w:pPr>
      <w:r>
        <w:rPr>
          <w:rFonts w:hint="cs"/>
          <w:rtl/>
        </w:rPr>
        <w:tab/>
        <w:t>(ز)</w:t>
      </w:r>
      <w:r>
        <w:rPr>
          <w:rFonts w:hint="cs"/>
          <w:rtl/>
        </w:rPr>
        <w:tab/>
        <w:t>أن تعمل مع المؤسسات الوطنية لحقوق الإنسان والمجتمع المدني، بروح من التعاون والاحترام، عند إعداد تقاريرها الدورية وأثناء متابعة هذه التقارير؛</w:t>
      </w:r>
    </w:p>
    <w:p w:rsidR="000B664F" w:rsidRDefault="000B664F" w:rsidP="00725F7D">
      <w:pPr>
        <w:pStyle w:val="SingleTxtGA"/>
        <w:rPr>
          <w:rFonts w:hint="cs"/>
          <w:rtl/>
        </w:rPr>
      </w:pPr>
      <w:r>
        <w:rPr>
          <w:rFonts w:hint="cs"/>
          <w:rtl/>
        </w:rPr>
        <w:tab/>
        <w:t>(ح)</w:t>
      </w:r>
      <w:r>
        <w:rPr>
          <w:rFonts w:hint="cs"/>
          <w:rtl/>
        </w:rPr>
        <w:tab/>
        <w:t>أن تتعاون مع اللجنة في إطار إجراء</w:t>
      </w:r>
      <w:r w:rsidR="00725F7D">
        <w:rPr>
          <w:rFonts w:hint="cs"/>
          <w:rtl/>
        </w:rPr>
        <w:t xml:space="preserve"> الإنذار المبكر وإجراء</w:t>
      </w:r>
      <w:r>
        <w:rPr>
          <w:rFonts w:hint="cs"/>
          <w:rtl/>
        </w:rPr>
        <w:t xml:space="preserve"> العمل العاجل وإجراء المتابعة الذي استحدثته</w:t>
      </w:r>
      <w:r w:rsidR="00725F7D">
        <w:rPr>
          <w:rFonts w:hint="cs"/>
          <w:rtl/>
        </w:rPr>
        <w:t xml:space="preserve"> اللجنة</w:t>
      </w:r>
      <w:r>
        <w:rPr>
          <w:rFonts w:hint="cs"/>
          <w:rtl/>
        </w:rPr>
        <w:t>؛</w:t>
      </w:r>
    </w:p>
    <w:p w:rsidR="000B664F" w:rsidRDefault="000B664F" w:rsidP="000B664F">
      <w:pPr>
        <w:pStyle w:val="SingleTxtGA"/>
        <w:rPr>
          <w:rFonts w:hint="cs"/>
          <w:rtl/>
        </w:rPr>
      </w:pPr>
      <w:r>
        <w:rPr>
          <w:rFonts w:hint="cs"/>
          <w:rtl/>
        </w:rPr>
        <w:tab/>
        <w:t>(ط)</w:t>
      </w:r>
      <w:r>
        <w:rPr>
          <w:rFonts w:hint="cs"/>
          <w:rtl/>
        </w:rPr>
        <w:tab/>
        <w:t xml:space="preserve">أن تضمِّن تقاريرها الدورية معلومات عن خطط العمل أو غيرها من التدابير الرامية إلى تنفيذ إعلان وبرنامج عمل </w:t>
      </w:r>
      <w:proofErr w:type="spellStart"/>
      <w:r>
        <w:rPr>
          <w:rFonts w:hint="cs"/>
          <w:rtl/>
        </w:rPr>
        <w:t>ديربان</w:t>
      </w:r>
      <w:proofErr w:type="spellEnd"/>
      <w:r>
        <w:rPr>
          <w:rFonts w:hint="cs"/>
          <w:rtl/>
        </w:rPr>
        <w:t xml:space="preserve">، آخذة في اعتبارها الوثيقة الختامية </w:t>
      </w:r>
      <w:r w:rsidR="00592D86">
        <w:rPr>
          <w:rtl/>
        </w:rPr>
        <w:br/>
      </w:r>
      <w:r>
        <w:rPr>
          <w:rFonts w:hint="cs"/>
          <w:rtl/>
        </w:rPr>
        <w:t>لمؤتمر الاستعراض؛</w:t>
      </w:r>
    </w:p>
    <w:p w:rsidR="000B664F" w:rsidRDefault="000B664F" w:rsidP="000B664F">
      <w:pPr>
        <w:pStyle w:val="SingleTxtGA"/>
        <w:rPr>
          <w:rFonts w:hint="cs"/>
          <w:rtl/>
        </w:rPr>
      </w:pPr>
      <w:r>
        <w:rPr>
          <w:rFonts w:hint="cs"/>
          <w:rtl/>
        </w:rPr>
        <w:tab/>
        <w:t>(ي)</w:t>
      </w:r>
      <w:r>
        <w:rPr>
          <w:rFonts w:hint="cs"/>
          <w:rtl/>
        </w:rPr>
        <w:tab/>
        <w:t xml:space="preserve">أن تضع في الاعتبار، عند أداء التزاماتها الأساسية المتمثلة في تنفيذ الأحكام الموضوعية الواردة في المواد من 2 إلى 7 من الاتفاقية، الأجزاء ذات الصلة من إعلان وبرنامج عمل </w:t>
      </w:r>
      <w:proofErr w:type="spellStart"/>
      <w:r>
        <w:rPr>
          <w:rFonts w:hint="cs"/>
          <w:rtl/>
        </w:rPr>
        <w:t>ديربان</w:t>
      </w:r>
      <w:proofErr w:type="spellEnd"/>
      <w:r>
        <w:rPr>
          <w:rFonts w:hint="cs"/>
          <w:rtl/>
        </w:rPr>
        <w:t xml:space="preserve"> والوثيقة الختامية لمؤتمر الاستعراض؛</w:t>
      </w:r>
    </w:p>
    <w:p w:rsidR="000B664F" w:rsidRDefault="000B664F" w:rsidP="000B664F">
      <w:pPr>
        <w:pStyle w:val="SingleTxtGA"/>
        <w:rPr>
          <w:rFonts w:hint="cs"/>
          <w:rtl/>
        </w:rPr>
      </w:pPr>
      <w:r>
        <w:rPr>
          <w:rFonts w:hint="cs"/>
          <w:rtl/>
        </w:rPr>
        <w:tab/>
        <w:t>(ك)</w:t>
      </w:r>
      <w:r>
        <w:rPr>
          <w:rFonts w:hint="cs"/>
          <w:rtl/>
        </w:rPr>
        <w:tab/>
        <w:t>أن تنظر في إنشاء أو تعزيز آليات رصد وتقييم وطنية لضمان اتخاذ جميع الخطوات المناسبة من أجل متابعة الملاحظات الختامية للجنة وتوصياتها العامة؛</w:t>
      </w:r>
    </w:p>
    <w:p w:rsidR="000B664F" w:rsidRDefault="000B664F" w:rsidP="000B664F">
      <w:pPr>
        <w:pStyle w:val="SingleTxtGA"/>
        <w:rPr>
          <w:rFonts w:hint="cs"/>
          <w:rtl/>
        </w:rPr>
      </w:pPr>
      <w:r>
        <w:rPr>
          <w:rFonts w:hint="cs"/>
          <w:rtl/>
        </w:rPr>
        <w:tab/>
        <w:t>2-</w:t>
      </w:r>
      <w:r>
        <w:rPr>
          <w:rFonts w:hint="cs"/>
          <w:rtl/>
        </w:rPr>
        <w:tab/>
      </w:r>
      <w:r>
        <w:rPr>
          <w:rFonts w:hint="cs"/>
          <w:i/>
          <w:iCs/>
          <w:rtl/>
        </w:rPr>
        <w:t xml:space="preserve">توصي أيضاً </w:t>
      </w:r>
      <w:r>
        <w:rPr>
          <w:rFonts w:hint="cs"/>
          <w:rtl/>
        </w:rPr>
        <w:t>بما يلي:</w:t>
      </w:r>
    </w:p>
    <w:p w:rsidR="000B664F" w:rsidRDefault="000B664F" w:rsidP="00725F7D">
      <w:pPr>
        <w:pStyle w:val="SingleTxtGA"/>
        <w:rPr>
          <w:rFonts w:hint="cs"/>
          <w:rtl/>
        </w:rPr>
      </w:pPr>
      <w:r>
        <w:rPr>
          <w:rFonts w:hint="cs"/>
          <w:rtl/>
        </w:rPr>
        <w:tab/>
        <w:t>(أ)</w:t>
      </w:r>
      <w:r>
        <w:rPr>
          <w:rFonts w:hint="cs"/>
          <w:rtl/>
        </w:rPr>
        <w:tab/>
        <w:t>أن تقوم الدول التي لم تنضم بع</w:t>
      </w:r>
      <w:r w:rsidR="00725F7D">
        <w:rPr>
          <w:rFonts w:hint="cs"/>
          <w:rtl/>
        </w:rPr>
        <w:t>د</w:t>
      </w:r>
      <w:r>
        <w:rPr>
          <w:rFonts w:hint="cs"/>
          <w:rtl/>
        </w:rPr>
        <w:t xml:space="preserve"> إلى الاتفاقية الدولية للقضاء على جميع أشكال التمييز العنصري بالتوقيع على الاتفاقية والتصديق عليها في أقرب وقت ممكن بغية تحقيق تصديق جميع الدول عليها؛</w:t>
      </w:r>
    </w:p>
    <w:p w:rsidR="000B664F" w:rsidRDefault="000B664F" w:rsidP="000B664F">
      <w:pPr>
        <w:pStyle w:val="SingleTxtGA"/>
        <w:rPr>
          <w:rFonts w:hint="cs"/>
          <w:rtl/>
        </w:rPr>
      </w:pPr>
      <w:r>
        <w:rPr>
          <w:rFonts w:hint="cs"/>
          <w:rtl/>
        </w:rPr>
        <w:tab/>
        <w:t>(ب)</w:t>
      </w:r>
      <w:r>
        <w:rPr>
          <w:rFonts w:hint="cs"/>
          <w:rtl/>
        </w:rPr>
        <w:tab/>
        <w:t>أن تدرج الدول في تقاريرها الوطنية المقدمة إلى آلية الاستعراض الدوري الشامل التابعة لمجلس حقوق الإنسان معلومات عن التدابير التي اتخذتها لمنع ومكافحة العنصرية والتمييز العنصري وكره الأجانب وما يتصل بذلك من تعصب؛</w:t>
      </w:r>
    </w:p>
    <w:p w:rsidR="000B664F" w:rsidRDefault="000B664F" w:rsidP="000B664F">
      <w:pPr>
        <w:pStyle w:val="SingleTxtGA"/>
        <w:rPr>
          <w:rFonts w:hint="cs"/>
          <w:rtl/>
        </w:rPr>
      </w:pPr>
      <w:r>
        <w:rPr>
          <w:rFonts w:hint="cs"/>
          <w:rtl/>
        </w:rPr>
        <w:tab/>
        <w:t>(ج)</w:t>
      </w:r>
      <w:r>
        <w:rPr>
          <w:rFonts w:hint="cs"/>
          <w:rtl/>
        </w:rPr>
        <w:tab/>
        <w:t xml:space="preserve">أن تشجع جميع الهيئات الرياضية الدولية، عَبر اتحاداتها الوطنية والإقليمية والدولية، على إقامة عالم رياضي خال من العنصرية والتمييز العنصري وكره الأجانب </w:t>
      </w:r>
      <w:r w:rsidR="00622C89">
        <w:rPr>
          <w:rtl/>
        </w:rPr>
        <w:br/>
      </w:r>
      <w:r>
        <w:rPr>
          <w:rFonts w:hint="cs"/>
          <w:rtl/>
        </w:rPr>
        <w:t>وما يتصل بذلك من تعصب؛</w:t>
      </w:r>
    </w:p>
    <w:p w:rsidR="000B664F" w:rsidRDefault="000B664F" w:rsidP="000B664F">
      <w:pPr>
        <w:pStyle w:val="SingleTxtGA"/>
        <w:rPr>
          <w:rFonts w:hint="cs"/>
          <w:rtl/>
        </w:rPr>
      </w:pPr>
      <w:r>
        <w:rPr>
          <w:rFonts w:hint="cs"/>
          <w:rtl/>
        </w:rPr>
        <w:tab/>
        <w:t>(د)</w:t>
      </w:r>
      <w:r>
        <w:rPr>
          <w:rFonts w:hint="cs"/>
          <w:rtl/>
        </w:rPr>
        <w:tab/>
        <w:t>أن تعمل مفوضية الأمم المتحدة السامية لحقوق الإنسان، من خلال أنشطتها وبرامجها المناسبة، على مواصلة زيادة التوعية بمكافحة العنصرية والتمييز العنصري وكره الأجانب وما يتصل بذلك من تعصب، بما في ذلك فيما يتعلق بعمل هيئات المعاهدات وغيرها من آليات حقوق الإنسان القائمة في هذا المجال؛</w:t>
      </w:r>
    </w:p>
    <w:p w:rsidR="000B664F" w:rsidRDefault="000B664F" w:rsidP="000B664F">
      <w:pPr>
        <w:pStyle w:val="SingleTxtGA"/>
        <w:rPr>
          <w:rFonts w:hint="cs"/>
          <w:rtl/>
        </w:rPr>
      </w:pPr>
      <w:r>
        <w:rPr>
          <w:rFonts w:hint="cs"/>
          <w:rtl/>
        </w:rPr>
        <w:tab/>
      </w:r>
      <w:r>
        <w:rPr>
          <w:rFonts w:hint="cs"/>
          <w:rtl/>
          <w:lang w:val="fr-CH"/>
        </w:rPr>
        <w:t>(</w:t>
      </w:r>
      <w:r w:rsidRPr="00845899">
        <w:rPr>
          <w:rtl/>
        </w:rPr>
        <w:t>ﻫ</w:t>
      </w:r>
      <w:r>
        <w:rPr>
          <w:rFonts w:hint="cs"/>
          <w:rtl/>
        </w:rPr>
        <w:t>)</w:t>
      </w:r>
      <w:r>
        <w:rPr>
          <w:rFonts w:hint="cs"/>
          <w:rtl/>
        </w:rPr>
        <w:tab/>
        <w:t xml:space="preserve">أن تواصل مفوضية الأمم المتحدة السامية لحقوق الإنسان جهودها الرامية إلى زيادة التوعية والدعم لعمل لجنة القضاء على التمييز العنصري، بما في ذلك عن طريق عرض </w:t>
      </w:r>
      <w:r w:rsidR="00725F7D">
        <w:rPr>
          <w:rFonts w:hint="cs"/>
          <w:rtl/>
        </w:rPr>
        <w:t xml:space="preserve">مداولات </w:t>
      </w:r>
      <w:r>
        <w:rPr>
          <w:rFonts w:hint="cs"/>
          <w:rtl/>
        </w:rPr>
        <w:t>اجتماعات اللجنة على شبكة الإنترنت، وتزويد اللجنة بالموارد الكافية لتمكينها من النهوض على أكمل وجه بالولاية المسندة إليها، كجزء من المسعى العام لتعزيز عمل هيئات المعاهدات؛</w:t>
      </w:r>
    </w:p>
    <w:p w:rsidR="000B664F" w:rsidRDefault="000B664F" w:rsidP="000B664F">
      <w:pPr>
        <w:pStyle w:val="SingleTxtGA"/>
        <w:rPr>
          <w:rFonts w:hint="cs"/>
          <w:rtl/>
        </w:rPr>
      </w:pPr>
      <w:r>
        <w:rPr>
          <w:rFonts w:hint="cs"/>
          <w:rtl/>
        </w:rPr>
        <w:tab/>
        <w:t>(و)</w:t>
      </w:r>
      <w:r>
        <w:rPr>
          <w:rFonts w:hint="cs"/>
          <w:rtl/>
        </w:rPr>
        <w:tab/>
        <w:t xml:space="preserve">أن تقوم هيئات الأمم المتحدة ووكالاتها المتخصصة ذات الصلة بتوفير التعاون والمساعدة التقنيين إلى الدول من أجل تعزيز التنفيذ الفعال للاتفاقية، آخذة في اعتبارها إعلان وبرنامج عمل </w:t>
      </w:r>
      <w:proofErr w:type="spellStart"/>
      <w:r>
        <w:rPr>
          <w:rFonts w:hint="cs"/>
          <w:rtl/>
        </w:rPr>
        <w:t>ديربان</w:t>
      </w:r>
      <w:proofErr w:type="spellEnd"/>
      <w:r>
        <w:rPr>
          <w:rFonts w:hint="cs"/>
          <w:rtl/>
        </w:rPr>
        <w:t xml:space="preserve"> والوثيقة الختامية لمؤتمر الاستعراض؛</w:t>
      </w:r>
    </w:p>
    <w:p w:rsidR="000B664F" w:rsidRDefault="000B664F" w:rsidP="000B664F">
      <w:pPr>
        <w:pStyle w:val="SingleTxtGA"/>
        <w:rPr>
          <w:rFonts w:hint="cs"/>
          <w:rtl/>
        </w:rPr>
      </w:pPr>
      <w:r>
        <w:rPr>
          <w:rFonts w:hint="cs"/>
          <w:rtl/>
        </w:rPr>
        <w:tab/>
        <w:t>3-</w:t>
      </w:r>
      <w:r>
        <w:rPr>
          <w:rFonts w:hint="cs"/>
          <w:rtl/>
        </w:rPr>
        <w:tab/>
      </w:r>
      <w:r w:rsidRPr="00592D86">
        <w:rPr>
          <w:rFonts w:hint="cs"/>
          <w:i/>
          <w:iCs/>
          <w:rtl/>
        </w:rPr>
        <w:t>تعرب عن استعدادها</w:t>
      </w:r>
      <w:r>
        <w:rPr>
          <w:rFonts w:hint="cs"/>
          <w:rtl/>
        </w:rPr>
        <w:t xml:space="preserve"> لما يلي:</w:t>
      </w:r>
    </w:p>
    <w:p w:rsidR="000B664F" w:rsidRDefault="000B664F" w:rsidP="00725F7D">
      <w:pPr>
        <w:pStyle w:val="SingleTxtGA"/>
        <w:rPr>
          <w:rFonts w:hint="cs"/>
          <w:rtl/>
        </w:rPr>
      </w:pPr>
      <w:r>
        <w:rPr>
          <w:rFonts w:hint="cs"/>
          <w:rtl/>
        </w:rPr>
        <w:tab/>
        <w:t>(أ)</w:t>
      </w:r>
      <w:r>
        <w:rPr>
          <w:rFonts w:hint="cs"/>
          <w:rtl/>
        </w:rPr>
        <w:tab/>
      </w:r>
      <w:r w:rsidR="00725F7D">
        <w:rPr>
          <w:rFonts w:hint="cs"/>
          <w:rtl/>
        </w:rPr>
        <w:t>أن تواصل</w:t>
      </w:r>
      <w:r>
        <w:rPr>
          <w:rFonts w:hint="cs"/>
          <w:rtl/>
        </w:rPr>
        <w:t xml:space="preserve"> التعاون الكامل مع جميع الهيئات والوكالات والكيانات ذات الصلة في منظومة الأمم المتحدة، وبخاصة مفوضية الأمم المتحدة السامية لحقوق الإنسان، في متابعة إعلان وبرنامج عمل </w:t>
      </w:r>
      <w:proofErr w:type="spellStart"/>
      <w:r>
        <w:rPr>
          <w:rFonts w:hint="cs"/>
          <w:rtl/>
        </w:rPr>
        <w:t>ديربان</w:t>
      </w:r>
      <w:proofErr w:type="spellEnd"/>
      <w:r>
        <w:rPr>
          <w:rFonts w:hint="cs"/>
          <w:rtl/>
        </w:rPr>
        <w:t>، آخذة في اعتبارها نتائج مؤتمر الاستعراض؛</w:t>
      </w:r>
    </w:p>
    <w:p w:rsidR="000B664F" w:rsidRDefault="000B664F" w:rsidP="000B664F">
      <w:pPr>
        <w:pStyle w:val="SingleTxtGA"/>
        <w:rPr>
          <w:rFonts w:hint="cs"/>
          <w:rtl/>
        </w:rPr>
      </w:pPr>
      <w:r>
        <w:rPr>
          <w:rFonts w:hint="cs"/>
          <w:rtl/>
        </w:rPr>
        <w:tab/>
        <w:t>(ب)</w:t>
      </w:r>
      <w:r>
        <w:rPr>
          <w:rFonts w:hint="cs"/>
          <w:rtl/>
        </w:rPr>
        <w:tab/>
      </w:r>
      <w:r w:rsidR="00725F7D">
        <w:rPr>
          <w:rFonts w:hint="cs"/>
          <w:rtl/>
        </w:rPr>
        <w:t>أن تواصل</w:t>
      </w:r>
      <w:r>
        <w:rPr>
          <w:rFonts w:hint="cs"/>
          <w:rtl/>
        </w:rPr>
        <w:t xml:space="preserve"> التعاون مع جميع الآليات المنشأة في إطار مجلس حقوق الإنسان من أجل تعزيز تنفيذ توصيات إعلان وبرنامج عمل </w:t>
      </w:r>
      <w:proofErr w:type="spellStart"/>
      <w:r>
        <w:rPr>
          <w:rFonts w:hint="cs"/>
          <w:rtl/>
        </w:rPr>
        <w:t>ديربان</w:t>
      </w:r>
      <w:proofErr w:type="spellEnd"/>
      <w:r>
        <w:rPr>
          <w:rFonts w:hint="cs"/>
          <w:rtl/>
        </w:rPr>
        <w:t xml:space="preserve"> وجميع الأنشطة الأخرى لمكافحة العنصرية والتمييز العنصري وكره الأجانب وما يتصل بذلك من تعصب؛</w:t>
      </w:r>
    </w:p>
    <w:p w:rsidR="000B664F" w:rsidRDefault="000B664F" w:rsidP="00725F7D">
      <w:pPr>
        <w:pStyle w:val="SingleTxtGA"/>
        <w:rPr>
          <w:rFonts w:hint="cs"/>
          <w:rtl/>
        </w:rPr>
      </w:pPr>
      <w:r>
        <w:rPr>
          <w:rFonts w:hint="cs"/>
          <w:rtl/>
        </w:rPr>
        <w:tab/>
        <w:t>(ج)</w:t>
      </w:r>
      <w:r>
        <w:rPr>
          <w:rFonts w:hint="cs"/>
          <w:rtl/>
        </w:rPr>
        <w:tab/>
      </w:r>
      <w:r w:rsidR="00725F7D">
        <w:rPr>
          <w:rFonts w:hint="cs"/>
          <w:rtl/>
        </w:rPr>
        <w:t>أن تواصل</w:t>
      </w:r>
      <w:r>
        <w:rPr>
          <w:rFonts w:hint="cs"/>
          <w:rtl/>
        </w:rPr>
        <w:t xml:space="preserve"> تعاونها وأنشطتها المشتركة مع سائر هيئات معاهدات حقوق الإنسان، بغية تحقيق متابعة أكثر فعالية لإعلان برنامج عمل </w:t>
      </w:r>
      <w:proofErr w:type="spellStart"/>
      <w:r>
        <w:rPr>
          <w:rFonts w:hint="cs"/>
          <w:rtl/>
        </w:rPr>
        <w:t>ديربان</w:t>
      </w:r>
      <w:proofErr w:type="spellEnd"/>
      <w:r>
        <w:rPr>
          <w:rFonts w:hint="cs"/>
          <w:rtl/>
        </w:rPr>
        <w:t>، آخذة في اعتبارها الوثيقة الختامية لمؤتمر الاستعراض؛</w:t>
      </w:r>
    </w:p>
    <w:p w:rsidR="000B664F" w:rsidRDefault="000B664F" w:rsidP="000B664F">
      <w:pPr>
        <w:pStyle w:val="SingleTxtGA"/>
        <w:spacing w:after="0"/>
        <w:rPr>
          <w:rFonts w:hint="cs"/>
          <w:rtl/>
        </w:rPr>
      </w:pPr>
      <w:r>
        <w:rPr>
          <w:rFonts w:hint="cs"/>
          <w:rtl/>
        </w:rPr>
        <w:tab/>
        <w:t>(د)</w:t>
      </w:r>
      <w:r>
        <w:rPr>
          <w:rFonts w:hint="cs"/>
          <w:rtl/>
        </w:rPr>
        <w:tab/>
        <w:t>أن تراعي مراعاة كاملة في نشاطها التوصيات والاستنتاجات الواردة في الوثيقة الختامية لمؤتمر الاستعراض.</w:t>
      </w:r>
    </w:p>
    <w:p w:rsidR="000B664F" w:rsidRPr="000B664F" w:rsidRDefault="000B664F" w:rsidP="000B664F">
      <w:pPr>
        <w:spacing w:before="120"/>
        <w:jc w:val="center"/>
        <w:rPr>
          <w:rFonts w:hint="cs"/>
          <w:u w:val="single"/>
          <w:rtl/>
        </w:rPr>
      </w:pPr>
      <w:r>
        <w:rPr>
          <w:u w:val="single"/>
          <w:rtl/>
        </w:rPr>
        <w:tab/>
      </w:r>
      <w:r>
        <w:rPr>
          <w:u w:val="single"/>
          <w:rtl/>
        </w:rPr>
        <w:tab/>
      </w:r>
      <w:r>
        <w:rPr>
          <w:u w:val="single"/>
          <w:rtl/>
        </w:rPr>
        <w:tab/>
      </w:r>
    </w:p>
    <w:sectPr w:rsidR="000B664F" w:rsidRPr="000B664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BB" w:rsidRPr="00FE6865" w:rsidRDefault="00710DBB" w:rsidP="00FE6865">
      <w:pPr>
        <w:pStyle w:val="Footer"/>
      </w:pPr>
    </w:p>
  </w:endnote>
  <w:endnote w:type="continuationSeparator" w:id="0">
    <w:p w:rsidR="00710DBB" w:rsidRDefault="0071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4F" w:rsidRPr="000B664F" w:rsidRDefault="000B664F" w:rsidP="000B664F">
    <w:pPr>
      <w:pStyle w:val="Footer"/>
      <w:tabs>
        <w:tab w:val="right" w:pos="9598"/>
      </w:tabs>
    </w:pPr>
    <w:r>
      <w:t>GE.09-45154</w:t>
    </w:r>
    <w:r>
      <w:tab/>
    </w:r>
    <w:r w:rsidRPr="000B664F">
      <w:rPr>
        <w:b/>
        <w:sz w:val="18"/>
      </w:rPr>
      <w:fldChar w:fldCharType="begin"/>
    </w:r>
    <w:r w:rsidRPr="000B664F">
      <w:rPr>
        <w:b/>
        <w:sz w:val="18"/>
      </w:rPr>
      <w:instrText xml:space="preserve"> PAGE  \* MERGEFORMAT </w:instrText>
    </w:r>
    <w:r w:rsidRPr="000B664F">
      <w:rPr>
        <w:b/>
        <w:sz w:val="18"/>
      </w:rPr>
      <w:fldChar w:fldCharType="separate"/>
    </w:r>
    <w:r w:rsidR="009D46D1">
      <w:rPr>
        <w:b/>
        <w:noProof/>
        <w:sz w:val="18"/>
      </w:rPr>
      <w:t>4</w:t>
    </w:r>
    <w:r w:rsidRPr="000B664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4F" w:rsidRPr="000B664F" w:rsidRDefault="000B664F" w:rsidP="000B664F">
    <w:pPr>
      <w:pStyle w:val="Footer"/>
      <w:tabs>
        <w:tab w:val="right" w:pos="9598"/>
      </w:tabs>
      <w:rPr>
        <w:b/>
        <w:sz w:val="18"/>
      </w:rPr>
    </w:pPr>
    <w:r w:rsidRPr="000B664F">
      <w:rPr>
        <w:b/>
        <w:sz w:val="18"/>
      </w:rPr>
      <w:fldChar w:fldCharType="begin"/>
    </w:r>
    <w:r w:rsidRPr="000B664F">
      <w:rPr>
        <w:b/>
        <w:sz w:val="18"/>
      </w:rPr>
      <w:instrText xml:space="preserve"> PAGE  \* MERGEFORMAT </w:instrText>
    </w:r>
    <w:r w:rsidRPr="000B664F">
      <w:rPr>
        <w:b/>
        <w:sz w:val="18"/>
      </w:rPr>
      <w:fldChar w:fldCharType="separate"/>
    </w:r>
    <w:r w:rsidR="009D46D1">
      <w:rPr>
        <w:b/>
        <w:noProof/>
        <w:sz w:val="18"/>
      </w:rPr>
      <w:t>3</w:t>
    </w:r>
    <w:r w:rsidRPr="000B664F">
      <w:rPr>
        <w:b/>
        <w:sz w:val="18"/>
      </w:rPr>
      <w:fldChar w:fldCharType="end"/>
    </w:r>
    <w:r>
      <w:rPr>
        <w:b/>
        <w:sz w:val="18"/>
      </w:rPr>
      <w:tab/>
    </w:r>
    <w:r>
      <w:t>GE.09-45154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AE" w:rsidRDefault="000B664F" w:rsidP="000B664F">
    <w:pPr>
      <w:pStyle w:val="Footer"/>
      <w:jc w:val="right"/>
    </w:pPr>
    <w:r>
      <w:rPr>
        <w:sz w:val="20"/>
      </w:rPr>
      <w:t>(A)   GE.09-45154</w:t>
    </w:r>
    <w:r w:rsidR="004605A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211009    211009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BB" w:rsidRDefault="00710DBB">
      <w:r>
        <w:separator/>
      </w:r>
    </w:p>
  </w:footnote>
  <w:footnote w:type="continuationSeparator" w:id="0">
    <w:p w:rsidR="00710DBB" w:rsidRDefault="00710DBB">
      <w:r>
        <w:continuationSeparator/>
      </w:r>
    </w:p>
  </w:footnote>
  <w:footnote w:id="1">
    <w:p w:rsidR="000B664F" w:rsidRPr="000B664F" w:rsidRDefault="000B664F" w:rsidP="000B664F">
      <w:pPr>
        <w:pStyle w:val="SingleTxtGA"/>
        <w:numPr>
          <w:ilvl w:val="0"/>
          <w:numId w:val="40"/>
        </w:numPr>
        <w:spacing w:after="60" w:line="300" w:lineRule="exact"/>
        <w:ind w:left="1248"/>
        <w:rPr>
          <w:rFonts w:hint="cs"/>
          <w:sz w:val="18"/>
          <w:szCs w:val="26"/>
        </w:rPr>
      </w:pPr>
      <w:r w:rsidRPr="000B664F">
        <w:rPr>
          <w:rFonts w:hint="cs"/>
          <w:sz w:val="18"/>
          <w:szCs w:val="26"/>
          <w:rtl/>
        </w:rPr>
        <w:t>تقرير مؤتمر استعراض نتائج ديربان (</w:t>
      </w:r>
      <w:r w:rsidRPr="000B664F">
        <w:rPr>
          <w:sz w:val="18"/>
          <w:szCs w:val="26"/>
        </w:rPr>
        <w:t>A/CONF.211/8</w:t>
      </w:r>
      <w:r w:rsidRPr="000B664F">
        <w:rPr>
          <w:rFonts w:hint="cs"/>
          <w:sz w:val="18"/>
          <w:szCs w:val="26"/>
          <w:rtl/>
        </w:rPr>
        <w:t>)، الفصل الأول.</w:t>
      </w:r>
    </w:p>
  </w:footnote>
  <w:footnote w:id="2">
    <w:p w:rsidR="000B664F" w:rsidRDefault="000B664F" w:rsidP="00725F7D">
      <w:pPr>
        <w:pStyle w:val="FootnoteText"/>
        <w:numPr>
          <w:ilvl w:val="0"/>
          <w:numId w:val="40"/>
        </w:numPr>
        <w:tabs>
          <w:tab w:val="clear" w:pos="1292"/>
        </w:tabs>
        <w:spacing w:after="60" w:line="300" w:lineRule="exact"/>
        <w:ind w:left="1247" w:right="1247"/>
        <w:rPr>
          <w:rFonts w:hint="cs"/>
        </w:rPr>
      </w:pPr>
      <w:r w:rsidRPr="009D74D6">
        <w:rPr>
          <w:rFonts w:hint="cs"/>
          <w:i/>
          <w:iCs/>
          <w:sz w:val="18"/>
          <w:szCs w:val="26"/>
          <w:rtl/>
        </w:rPr>
        <w:t>الوثائق الرسمية للجمعية العامة، الدورة الستون، الملحق رقم 18</w:t>
      </w:r>
      <w:r>
        <w:rPr>
          <w:rFonts w:hint="cs"/>
          <w:sz w:val="18"/>
          <w:szCs w:val="26"/>
          <w:rtl/>
        </w:rPr>
        <w:t xml:space="preserve"> (</w:t>
      </w:r>
      <w:r>
        <w:rPr>
          <w:sz w:val="18"/>
          <w:szCs w:val="26"/>
        </w:rPr>
        <w:t>A/60/18</w:t>
      </w:r>
      <w:r>
        <w:rPr>
          <w:rFonts w:hint="cs"/>
          <w:sz w:val="18"/>
          <w:szCs w:val="26"/>
          <w:rtl/>
        </w:rPr>
        <w:t>)، الفصل الثاني.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4F" w:rsidRPr="000B664F" w:rsidRDefault="000B664F" w:rsidP="000B664F">
    <w:pPr>
      <w:pStyle w:val="Header"/>
      <w:jc w:val="right"/>
    </w:pPr>
    <w:r w:rsidRPr="000B664F">
      <w:t>CERD/C/GC/33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AE" w:rsidRPr="000B664F" w:rsidRDefault="000B664F" w:rsidP="000B664F">
    <w:pPr>
      <w:pStyle w:val="Header"/>
      <w:jc w:val="left"/>
    </w:pPr>
    <w:r w:rsidRPr="000B664F">
      <w:t>CERD/C/GC/33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AE" w:rsidRDefault="004605A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4605AE" w:rsidRPr="00A85A54" w:rsidRDefault="004605AE"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852DFA"/>
    <w:multiLevelType w:val="hybridMultilevel"/>
    <w:tmpl w:val="864EC3F6"/>
    <w:lvl w:ilvl="0" w:tplc="FC4A6C1C">
      <w:start w:val="1"/>
      <w:numFmt w:val="decimal"/>
      <w:lvlRestart w:val="0"/>
      <w:lvlText w:val="(%1)"/>
      <w:lvlJc w:val="right"/>
      <w:pPr>
        <w:tabs>
          <w:tab w:val="num" w:pos="1292"/>
        </w:tabs>
        <w:ind w:left="1292" w:hanging="227"/>
      </w:pPr>
      <w:rPr>
        <w:rFonts w:ascii="Traditional Arabic" w:hAnsi="Traditional Arabic" w:cs="Traditional Arabic" w:hint="cs"/>
        <w:sz w:val="26"/>
        <w:szCs w:val="26"/>
        <w:vertAlign w:val="superscrip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74D0745"/>
    <w:multiLevelType w:val="hybridMultilevel"/>
    <w:tmpl w:val="21A4F976"/>
    <w:lvl w:ilvl="0" w:tplc="B0924436">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120CA82E">
      <w:start w:val="1"/>
      <w:numFmt w:val="decimal"/>
      <w:lvlRestart w:val="0"/>
      <w:lvlText w:val="(%2)"/>
      <w:lvlJc w:val="right"/>
      <w:pPr>
        <w:tabs>
          <w:tab w:val="num" w:pos="1352"/>
        </w:tabs>
        <w:ind w:left="1352" w:right="737"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2"/>
  </w:num>
  <w:num w:numId="7">
    <w:abstractNumId w:val="10"/>
  </w:num>
  <w:num w:numId="8">
    <w:abstractNumId w:val="9"/>
  </w:num>
  <w:num w:numId="9">
    <w:abstractNumId w:val="13"/>
  </w:num>
  <w:num w:numId="10">
    <w:abstractNumId w:val="21"/>
  </w:num>
  <w:num w:numId="11">
    <w:abstractNumId w:val="1"/>
  </w:num>
  <w:num w:numId="12">
    <w:abstractNumId w:val="14"/>
  </w:num>
  <w:num w:numId="13">
    <w:abstractNumId w:val="11"/>
  </w:num>
  <w:num w:numId="14">
    <w:abstractNumId w:val="8"/>
  </w:num>
  <w:num w:numId="15">
    <w:abstractNumId w:val="22"/>
  </w:num>
  <w:num w:numId="16">
    <w:abstractNumId w:val="1"/>
  </w:num>
  <w:num w:numId="17">
    <w:abstractNumId w:val="14"/>
  </w:num>
  <w:num w:numId="18">
    <w:abstractNumId w:val="11"/>
  </w:num>
  <w:num w:numId="19">
    <w:abstractNumId w:val="8"/>
  </w:num>
  <w:num w:numId="20">
    <w:abstractNumId w:val="22"/>
  </w:num>
  <w:num w:numId="21">
    <w:abstractNumId w:val="1"/>
  </w:num>
  <w:num w:numId="22">
    <w:abstractNumId w:val="14"/>
  </w:num>
  <w:num w:numId="23">
    <w:abstractNumId w:val="8"/>
  </w:num>
  <w:num w:numId="24">
    <w:abstractNumId w:val="22"/>
  </w:num>
  <w:num w:numId="25">
    <w:abstractNumId w:val="14"/>
  </w:num>
  <w:num w:numId="26">
    <w:abstractNumId w:val="1"/>
  </w:num>
  <w:num w:numId="27">
    <w:abstractNumId w:val="3"/>
  </w:num>
  <w:num w:numId="28">
    <w:abstractNumId w:val="2"/>
  </w:num>
  <w:num w:numId="29">
    <w:abstractNumId w:val="17"/>
  </w:num>
  <w:num w:numId="30">
    <w:abstractNumId w:val="4"/>
  </w:num>
  <w:num w:numId="31">
    <w:abstractNumId w:val="7"/>
  </w:num>
  <w:num w:numId="32">
    <w:abstractNumId w:val="15"/>
  </w:num>
  <w:num w:numId="33">
    <w:abstractNumId w:val="19"/>
  </w:num>
  <w:num w:numId="34">
    <w:abstractNumId w:val="23"/>
  </w:num>
  <w:num w:numId="35">
    <w:abstractNumId w:val="5"/>
  </w:num>
  <w:num w:numId="36">
    <w:abstractNumId w:val="18"/>
  </w:num>
  <w:num w:numId="37">
    <w:abstractNumId w:val="20"/>
  </w:num>
  <w:num w:numId="38">
    <w:abstractNumId w:val="0"/>
  </w:num>
  <w:num w:numId="39">
    <w:abstractNumId w:val="6"/>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5AE"/>
    <w:rsid w:val="00040E25"/>
    <w:rsid w:val="00042149"/>
    <w:rsid w:val="000648EA"/>
    <w:rsid w:val="00076443"/>
    <w:rsid w:val="000957C8"/>
    <w:rsid w:val="00097049"/>
    <w:rsid w:val="000A04D5"/>
    <w:rsid w:val="000B52F2"/>
    <w:rsid w:val="000B664F"/>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32277"/>
    <w:rsid w:val="0023736D"/>
    <w:rsid w:val="00257225"/>
    <w:rsid w:val="00310160"/>
    <w:rsid w:val="00341A8C"/>
    <w:rsid w:val="003519E6"/>
    <w:rsid w:val="00355F81"/>
    <w:rsid w:val="003B4356"/>
    <w:rsid w:val="003F08A8"/>
    <w:rsid w:val="004250E3"/>
    <w:rsid w:val="00450332"/>
    <w:rsid w:val="004605AE"/>
    <w:rsid w:val="00472A81"/>
    <w:rsid w:val="004A20A6"/>
    <w:rsid w:val="004B2C92"/>
    <w:rsid w:val="004D6A3A"/>
    <w:rsid w:val="004F4AD7"/>
    <w:rsid w:val="00557CD3"/>
    <w:rsid w:val="00571432"/>
    <w:rsid w:val="005732A2"/>
    <w:rsid w:val="005762A5"/>
    <w:rsid w:val="00590BA3"/>
    <w:rsid w:val="00592D86"/>
    <w:rsid w:val="005B46D9"/>
    <w:rsid w:val="005B7AE0"/>
    <w:rsid w:val="005E23F5"/>
    <w:rsid w:val="005F146F"/>
    <w:rsid w:val="005F71B6"/>
    <w:rsid w:val="00622C89"/>
    <w:rsid w:val="00654786"/>
    <w:rsid w:val="00660FD4"/>
    <w:rsid w:val="00665BE4"/>
    <w:rsid w:val="006A4425"/>
    <w:rsid w:val="006B00A4"/>
    <w:rsid w:val="006B4669"/>
    <w:rsid w:val="006D3CFA"/>
    <w:rsid w:val="006F6BF8"/>
    <w:rsid w:val="00707BDF"/>
    <w:rsid w:val="00710727"/>
    <w:rsid w:val="00710DBB"/>
    <w:rsid w:val="00715F45"/>
    <w:rsid w:val="00725F7D"/>
    <w:rsid w:val="00731815"/>
    <w:rsid w:val="00731B84"/>
    <w:rsid w:val="00734AE7"/>
    <w:rsid w:val="0079344E"/>
    <w:rsid w:val="007E197F"/>
    <w:rsid w:val="007F68C4"/>
    <w:rsid w:val="008153DE"/>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B2C03"/>
    <w:rsid w:val="009D17B9"/>
    <w:rsid w:val="009D1DD5"/>
    <w:rsid w:val="009D46D1"/>
    <w:rsid w:val="009F722C"/>
    <w:rsid w:val="00A26157"/>
    <w:rsid w:val="00A265C3"/>
    <w:rsid w:val="00A43F9A"/>
    <w:rsid w:val="00A53F38"/>
    <w:rsid w:val="00A543D4"/>
    <w:rsid w:val="00A85A54"/>
    <w:rsid w:val="00AD0014"/>
    <w:rsid w:val="00AD4CF2"/>
    <w:rsid w:val="00AE2A76"/>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CC7B41"/>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ED471A"/>
    <w:rsid w:val="00F1727A"/>
    <w:rsid w:val="00F34764"/>
    <w:rsid w:val="00F54E3C"/>
    <w:rsid w:val="00F874BD"/>
    <w:rsid w:val="00FB1D0B"/>
    <w:rsid w:val="00FE2BB1"/>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022B5"/>
    <w:pPr>
      <w:keepNext/>
      <w:keepLines/>
      <w:tabs>
        <w:tab w:val="right" w:pos="1021"/>
      </w:tabs>
      <w:suppressAutoHyphens/>
      <w:spacing w:before="360" w:after="240" w:line="540" w:lineRule="exact"/>
      <w:ind w:left="1247" w:right="1247" w:hanging="1247"/>
    </w:pPr>
    <w:rPr>
      <w:b/>
      <w:bCs/>
      <w:sz w:val="34"/>
      <w:szCs w:val="50"/>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Pages>
  <Words>1049</Words>
  <Characters>5815</Characters>
  <Application>Microsoft Office Word</Application>
  <DocSecurity>4</DocSecurity>
  <Lines>102</Lines>
  <Paragraphs>35</Paragraphs>
  <ScaleCrop>false</ScaleCrop>
  <HeadingPairs>
    <vt:vector size="2" baseType="variant">
      <vt:variant>
        <vt:lpstr>العنوان</vt:lpstr>
      </vt:variant>
      <vt:variant>
        <vt:i4>1</vt:i4>
      </vt:variant>
    </vt:vector>
  </HeadingPairs>
  <TitlesOfParts>
    <vt:vector size="1" baseType="lpstr">
      <vt:lpstr>CERD/C/GC/33</vt:lpstr>
    </vt:vector>
  </TitlesOfParts>
  <Company>CSD</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CERD/C/GC/33</dc:title>
  <dc:subject/>
  <dc:creator>Mary</dc:creator>
  <cp:keywords/>
  <dc:description/>
  <cp:lastModifiedBy>Mary</cp:lastModifiedBy>
  <cp:revision>2</cp:revision>
  <cp:lastPrinted>2009-10-16T11:18:00Z</cp:lastPrinted>
  <dcterms:created xsi:type="dcterms:W3CDTF">2009-10-21T12:59:00Z</dcterms:created>
  <dcterms:modified xsi:type="dcterms:W3CDTF">2009-10-21T12:59:00Z</dcterms:modified>
</cp:coreProperties>
</file>