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040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04092" w:rsidP="00A04092">
            <w:pPr>
              <w:jc w:val="right"/>
            </w:pPr>
            <w:r w:rsidRPr="00A04092">
              <w:rPr>
                <w:sz w:val="40"/>
              </w:rPr>
              <w:t>CCPR</w:t>
            </w:r>
            <w:r>
              <w:t>/C/GMB/CO/2</w:t>
            </w:r>
          </w:p>
        </w:tc>
      </w:tr>
      <w:tr w:rsidR="002D5AAC" w:rsidRPr="00A04092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04092" w:rsidRDefault="00A04092" w:rsidP="00BC3629">
            <w:pPr>
              <w:spacing w:before="240"/>
              <w:rPr>
                <w:lang w:val="en-US"/>
              </w:rPr>
            </w:pPr>
            <w:r w:rsidRPr="00A04092">
              <w:rPr>
                <w:lang w:val="en-US"/>
              </w:rPr>
              <w:t>Distr.: General</w:t>
            </w:r>
          </w:p>
          <w:p w:rsidR="00A04092" w:rsidRPr="00A04092" w:rsidRDefault="00A04092" w:rsidP="00A04092">
            <w:pPr>
              <w:spacing w:line="240" w:lineRule="exact"/>
              <w:rPr>
                <w:lang w:val="en-US"/>
              </w:rPr>
            </w:pPr>
            <w:r w:rsidRPr="00A04092">
              <w:rPr>
                <w:lang w:val="en-US"/>
              </w:rPr>
              <w:t>30 August 2018</w:t>
            </w:r>
          </w:p>
          <w:p w:rsidR="00A04092" w:rsidRPr="00A04092" w:rsidRDefault="00A04092" w:rsidP="00A04092">
            <w:pPr>
              <w:spacing w:line="240" w:lineRule="exact"/>
              <w:rPr>
                <w:lang w:val="en-US"/>
              </w:rPr>
            </w:pPr>
            <w:r w:rsidRPr="00A04092">
              <w:rPr>
                <w:lang w:val="en-US"/>
              </w:rPr>
              <w:t>Russian</w:t>
            </w:r>
          </w:p>
          <w:p w:rsidR="00A04092" w:rsidRPr="00A04092" w:rsidRDefault="00A04092" w:rsidP="00A04092">
            <w:pPr>
              <w:spacing w:line="240" w:lineRule="exact"/>
              <w:rPr>
                <w:lang w:val="en-US"/>
              </w:rPr>
            </w:pPr>
            <w:r w:rsidRPr="00A04092">
              <w:rPr>
                <w:lang w:val="en-US"/>
              </w:rPr>
              <w:t>Original: English</w:t>
            </w:r>
          </w:p>
        </w:tc>
      </w:tr>
    </w:tbl>
    <w:p w:rsidR="00A04092" w:rsidRPr="00875956" w:rsidRDefault="00A04092" w:rsidP="00A04092">
      <w:pPr>
        <w:pStyle w:val="SingleTxtGR"/>
        <w:spacing w:before="120"/>
        <w:ind w:left="0"/>
        <w:rPr>
          <w:b/>
          <w:sz w:val="24"/>
          <w:szCs w:val="24"/>
        </w:rPr>
      </w:pPr>
      <w:r w:rsidRPr="00875956">
        <w:rPr>
          <w:b/>
          <w:bCs/>
          <w:sz w:val="24"/>
          <w:szCs w:val="24"/>
        </w:rPr>
        <w:t>Комитет по правам человека</w:t>
      </w:r>
    </w:p>
    <w:p w:rsidR="00A04092" w:rsidRPr="00A04092" w:rsidRDefault="00A04092" w:rsidP="00A04092">
      <w:pPr>
        <w:pStyle w:val="HChGR"/>
      </w:pPr>
      <w:r w:rsidRPr="00A04092">
        <w:tab/>
      </w:r>
      <w:r w:rsidRPr="00A04092">
        <w:tab/>
        <w:t>Заключительные замечания по Гамбии в отсутствие е</w:t>
      </w:r>
      <w:r>
        <w:t>е </w:t>
      </w:r>
      <w:r w:rsidRPr="00A04092">
        <w:t>второго периодического доклада</w:t>
      </w:r>
      <w:r w:rsidRPr="00A04092">
        <w:rPr>
          <w:b w:val="0"/>
          <w:sz w:val="20"/>
        </w:rPr>
        <w:footnoteReference w:customMarkFollows="1" w:id="1"/>
        <w:t>*</w:t>
      </w:r>
    </w:p>
    <w:p w:rsidR="00A04092" w:rsidRPr="00A04092" w:rsidRDefault="00A04092" w:rsidP="00A04092">
      <w:pPr>
        <w:pStyle w:val="SingleTxtGR"/>
      </w:pPr>
      <w:r w:rsidRPr="00A04092">
        <w:t>1.</w:t>
      </w:r>
      <w:r w:rsidRPr="00A04092">
        <w:tab/>
        <w:t>В отсутствие доклада государства-участника Комитет рассмотрел положение в области гражданских и политических прав в Гамбии согласно Пакту на своих 3496-м и 3497-м заседаниях (CCPR/C/SR.3496 и 3497), состоявшихся в формате открытых заседаний Комитета 5 и 6 июля 2018 года. Согласно пункту 1 правила 70 правил процедуры Комитета в случае, когда государство-участник не представило свой доклад в соответствии со статьей 40 Пакта, Комитет может рассмотреть на открытом заседании меры, принятые государством-участником для осуществления признаваемых в Пакте прав, и принять заключительные замечания.</w:t>
      </w:r>
    </w:p>
    <w:p w:rsidR="00A04092" w:rsidRPr="00A04092" w:rsidRDefault="00A04092" w:rsidP="00A04092">
      <w:pPr>
        <w:pStyle w:val="SingleTxtGR"/>
      </w:pPr>
      <w:r w:rsidRPr="00A04092">
        <w:t>2.</w:t>
      </w:r>
      <w:r w:rsidRPr="00A04092">
        <w:tab/>
        <w:t>На своем 3516-м заседании, состоявшемся 19 июля 2018 года, Комитет принял следующие заключительные замечания.</w:t>
      </w:r>
    </w:p>
    <w:p w:rsidR="00A04092" w:rsidRPr="00A04092" w:rsidRDefault="00A04092" w:rsidP="00A04092">
      <w:pPr>
        <w:pStyle w:val="H1GR"/>
      </w:pPr>
      <w:r w:rsidRPr="00A04092">
        <w:tab/>
        <w:t>A.</w:t>
      </w:r>
      <w:r w:rsidRPr="00A04092">
        <w:tab/>
        <w:t>Введение</w:t>
      </w:r>
      <w:bookmarkStart w:id="0" w:name="_Toc491177784"/>
      <w:bookmarkEnd w:id="0"/>
    </w:p>
    <w:p w:rsidR="00A04092" w:rsidRPr="00A04092" w:rsidRDefault="00A04092" w:rsidP="00A04092">
      <w:pPr>
        <w:pStyle w:val="SingleTxtGR"/>
      </w:pPr>
      <w:r w:rsidRPr="00A04092">
        <w:t>3.</w:t>
      </w:r>
      <w:r w:rsidRPr="00A04092">
        <w:tab/>
        <w:t>Пакт вступил в силу для Гамбии 22 июня 1979 года. Государство-участник было обязано представить свой второй периодический доклад к апрелю 1983 года в соответствии с пунктом 1 а) статьи 40 Пакта. Комитет сожалеет о том, что государство-участник не выполнило свои обязательства по представлению доклада в соответствии со статьей 40 Пакта и, несмотря на многочисленные напоминания, не представило свой второй периодический доклад.</w:t>
      </w:r>
    </w:p>
    <w:p w:rsidR="00A04092" w:rsidRPr="00A04092" w:rsidRDefault="00A04092" w:rsidP="00A04092">
      <w:pPr>
        <w:pStyle w:val="SingleTxtGR"/>
      </w:pPr>
      <w:r w:rsidRPr="00A04092">
        <w:t>4.</w:t>
      </w:r>
      <w:r w:rsidRPr="00A04092">
        <w:tab/>
        <w:t>Комитет, тем не менее, высоко ценит предоставленную ему возможность провести с делегацией государства-участника конструктивный диалог по вопросу об осуществлении положений Пакта. Комитет благодарит государство-участник за письменные ответы (CCPR/C/GMB/Q/2/Add.1) на перечень вопросов (CCPR/C/GMB/Q/2), дополненные устными ответами делегации.</w:t>
      </w:r>
    </w:p>
    <w:p w:rsidR="00A04092" w:rsidRPr="00A04092" w:rsidRDefault="00A04092" w:rsidP="00A04092">
      <w:pPr>
        <w:pStyle w:val="SingleTxtGR"/>
      </w:pPr>
      <w:r w:rsidRPr="00A04092">
        <w:t>5.</w:t>
      </w:r>
      <w:r w:rsidRPr="00A04092">
        <w:tab/>
        <w:t xml:space="preserve">В свете подробных письменных ответов на перечень вопросов Комитета и конструктивного диалога, который Комитет провел с делегацией государства-участника, Комитет рассматривает письменные ответы в качестве второго периодического доклада государства-участника и просит государство-участник обновить свой общий базовый документ (HRI/CORE/GMB/2012) для содействия будущим обсуждениям. </w:t>
      </w:r>
    </w:p>
    <w:p w:rsidR="00A04092" w:rsidRPr="00A04092" w:rsidRDefault="00A04092" w:rsidP="00A04092">
      <w:pPr>
        <w:pStyle w:val="H1GR"/>
      </w:pPr>
      <w:r w:rsidRPr="00A04092">
        <w:tab/>
        <w:t>B.</w:t>
      </w:r>
      <w:r w:rsidRPr="00A04092">
        <w:tab/>
        <w:t>Позитивные аспекты</w:t>
      </w:r>
      <w:bookmarkStart w:id="1" w:name="_Toc491177785"/>
      <w:bookmarkEnd w:id="1"/>
    </w:p>
    <w:p w:rsidR="00A04092" w:rsidRPr="00A04092" w:rsidRDefault="00A04092" w:rsidP="00A04092">
      <w:pPr>
        <w:pStyle w:val="SingleTxtGR"/>
      </w:pPr>
      <w:r w:rsidRPr="00A04092">
        <w:t>6.</w:t>
      </w:r>
      <w:r w:rsidRPr="00A04092">
        <w:tab/>
        <w:t xml:space="preserve">Комитет с удовлетворением отмечает мирную передачу власти в государстве-участнике в январе 2017 года после 22 лет правления авторитарного режима, которое </w:t>
      </w:r>
      <w:r w:rsidRPr="00A04092">
        <w:lastRenderedPageBreak/>
        <w:t>началось в июле 1994 года. Комитет приветствует меры, принятые государством-участником для решения проблем, связанных со злоупотреблениями, совершенными в прошлом, и для восстановления демократических институтов в стране. К ним относятся освобождение политических заключенных; создание Комиссии по пересмотру Конституции, а также прогресс, достигнутый в создании Комиссии по установлению истины, примирению и возмещению ущерба и Национальной комиссии по правам человека; и ряд процессов законодательных и отраслевых реформ, в том числе в судебной системе, правоохранительных органах и органах безопасности. Комитет приветствует объявление моратория на смертную казнь, прогресс, достигнутый в ратификации второго Факультативного протокола к Международному пакту о гражданских и политических правах, направленного на отмену смертной казни, и решение не выходить из Международного уголовного суда.</w:t>
      </w:r>
    </w:p>
    <w:p w:rsidR="00A04092" w:rsidRPr="00A04092" w:rsidRDefault="00A04092" w:rsidP="00A04092">
      <w:pPr>
        <w:pStyle w:val="H1GR"/>
      </w:pPr>
      <w:r w:rsidRPr="00A04092">
        <w:tab/>
        <w:t>C.</w:t>
      </w:r>
      <w:r w:rsidRPr="00A04092">
        <w:tab/>
        <w:t>Основные вопросы, вызывающие обеспокоенность, и</w:t>
      </w:r>
      <w:r>
        <w:t> </w:t>
      </w:r>
      <w:r w:rsidRPr="00A04092">
        <w:t>рекомендации</w:t>
      </w:r>
      <w:bookmarkStart w:id="2" w:name="_Toc491177786"/>
      <w:bookmarkEnd w:id="2"/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Роль Пакта во внутренней правовой системе</w:t>
      </w:r>
      <w:bookmarkStart w:id="3" w:name="_Toc491177787"/>
      <w:bookmarkEnd w:id="3"/>
    </w:p>
    <w:p w:rsidR="00A04092" w:rsidRPr="00A04092" w:rsidRDefault="00A04092" w:rsidP="00A04092">
      <w:pPr>
        <w:pStyle w:val="SingleTxtGR"/>
      </w:pPr>
      <w:r w:rsidRPr="00A04092">
        <w:t>7.</w:t>
      </w:r>
      <w:r w:rsidRPr="00A04092">
        <w:tab/>
        <w:t>Комитет выражает обеспокоенность в связи с тем, что права, предусмотренные в Пакте, не были в полной мере инкорпорированы в билль о правах, закрепленный в нынешней Конституции. Отмечая, что в государстве-участнике действует дуалистическая правовая система, Комитет также обеспокоен тем, что положения Пакта никогда не применялись в национальных судах. Кроме того, он обеспокоен тем, что государство-участник не предприняло достаточных усилий для обеспечения толкования норм обычного права и законов шариата в соответствии с положениями Пакта (статья 2).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8.</w:t>
      </w:r>
      <w:r w:rsidRPr="00A04092">
        <w:tab/>
      </w:r>
      <w:r w:rsidRPr="00A04092">
        <w:rPr>
          <w:b/>
          <w:bCs/>
        </w:rPr>
        <w:t>Государству-участнику следует обеспечить, чтобы права, предусмотренные в Пакте, были в полной мере инкорпорированы в билль о правах, закрепленный в новой Конституции, и другие соответствующие положения внутреннего законодательства, и принять все необходимые меры для формулирования, толкования и применения всех законов, включая нормы обычного права и законы шариата, в полном соответствии с Пактом.</w:t>
      </w:r>
      <w:r w:rsidRPr="00A04092">
        <w:t xml:space="preserve"> </w:t>
      </w:r>
      <w:r w:rsidRPr="00A04092">
        <w:rPr>
          <w:b/>
          <w:bCs/>
        </w:rPr>
        <w:t>Ему также следует активизировать усилия по подготовке всех сотрудников судебных органов и юристов, включая судей, прокуроров, адвокатов и государственных должностных лиц, а также по повышению осведомленности общественности о правах, закрепленных в Пакте и Факультативных протоколах к нему, и их применении.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Национальное правозащитное учреждение</w:t>
      </w:r>
    </w:p>
    <w:p w:rsidR="00A04092" w:rsidRPr="00A04092" w:rsidRDefault="00A04092" w:rsidP="00A04092">
      <w:pPr>
        <w:pStyle w:val="SingleTxtGR"/>
      </w:pPr>
      <w:r w:rsidRPr="00A04092">
        <w:t>9.</w:t>
      </w:r>
      <w:r w:rsidRPr="00A04092">
        <w:tab/>
        <w:t>Приветствуя принятие Закона о создании Национальной комиссии по правам человека в 2017 году, Комитет вместе с тем с сожалением отмечает задержку в назначении ее членов и формировании ее секретариата (статья 2).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10.</w:t>
      </w:r>
      <w:r w:rsidRPr="00A04092">
        <w:tab/>
      </w:r>
      <w:r w:rsidRPr="00A04092">
        <w:rPr>
          <w:b/>
          <w:bCs/>
        </w:rPr>
        <w:t>Государству-участнику следует в срочном порядке назначить членов Национальной комиссии по правам человека и сформировать ее секретариат.</w:t>
      </w:r>
      <w:r w:rsidRPr="00A04092">
        <w:t xml:space="preserve"> </w:t>
      </w:r>
      <w:r w:rsidRPr="00A04092">
        <w:rPr>
          <w:b/>
          <w:bCs/>
        </w:rPr>
        <w:t>Ему следует также принять все меры, необходимые для обеспечения независимого и эффективного функционирования Комиссии в полном соответствии с принципами, касающимися статуса национальных учреждений по поощрению и защите прав человека (Парижскими принципами), в том числе путем предоставления ей достаточных финансовых и людских ресурсов для выполнения своего мандата.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 xml:space="preserve">Недискриминация </w:t>
      </w:r>
    </w:p>
    <w:p w:rsidR="00A04092" w:rsidRPr="00A04092" w:rsidRDefault="00A04092" w:rsidP="00A04092">
      <w:pPr>
        <w:pStyle w:val="SingleTxtGR"/>
      </w:pPr>
      <w:r w:rsidRPr="00A04092">
        <w:t>11.</w:t>
      </w:r>
      <w:r w:rsidRPr="00A04092">
        <w:tab/>
        <w:t xml:space="preserve">Комитет выражает обеспокоенность в связи с отсутствием в государстве-участнике всеобъемлющего антидискриминационного законодательства. Он также обеспокоен тем, что добровольные однополые отношения в государстве-участнике преследуются в уголовном порядке и что лесбиянки, гомосексуалисты, бисексуалы, </w:t>
      </w:r>
      <w:r w:rsidRPr="00A04092">
        <w:lastRenderedPageBreak/>
        <w:t>трансгендеры и интерсексуалы, как сообщается, по-прежнему подвергаются произвольным арестам и насилию (статьи 2, 9, 17 и 26).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12.</w:t>
      </w:r>
      <w:r w:rsidRPr="00A04092">
        <w:tab/>
      </w:r>
      <w:r w:rsidRPr="00A04092">
        <w:rPr>
          <w:b/>
          <w:bCs/>
        </w:rPr>
        <w:t>Государству-участнику следует принять антидискриминационное законодательство: а) гарантирующее полную и эффективную защиту от дискриминации во всех сферах, в том числе в частном секторе, и запрещающее прямую, косвенную и множественную дискриминацию;</w:t>
      </w:r>
      <w:r w:rsidRPr="00A04092">
        <w:t xml:space="preserve"> </w:t>
      </w:r>
      <w:r w:rsidRPr="00A04092">
        <w:rPr>
          <w:b/>
          <w:bCs/>
        </w:rPr>
        <w:t>b) содержащее исчерпывающий перечень оснований для дискриминации в соответствии с Пактом, включая сексуальную ориентацию и гендерную идентичность;</w:t>
      </w:r>
      <w:r w:rsidRPr="00A04092">
        <w:t xml:space="preserve"> </w:t>
      </w:r>
      <w:r w:rsidRPr="00A04092">
        <w:rPr>
          <w:b/>
          <w:bCs/>
        </w:rPr>
        <w:t>и с)</w:t>
      </w:r>
      <w:r>
        <w:rPr>
          <w:b/>
          <w:bCs/>
        </w:rPr>
        <w:t> </w:t>
      </w:r>
      <w:r w:rsidRPr="00A04092">
        <w:rPr>
          <w:b/>
          <w:bCs/>
        </w:rPr>
        <w:t>предусматривающее доступ жертв дискриминации к эффективным и надлежащим средствам правовой защиты.</w:t>
      </w:r>
      <w:r w:rsidRPr="00A04092">
        <w:t xml:space="preserve"> </w:t>
      </w:r>
      <w:r w:rsidRPr="00A04092">
        <w:rPr>
          <w:b/>
          <w:bCs/>
        </w:rPr>
        <w:t>Государству-участнику следует также отменить уголовную ответственность за добровольные однополые отношения между взрослыми лицами, принять меры, направленные на изменение представлений общества о лесбиянках, гомосексуалистах, бисексуалах, трансгендерах и интерсексуалах, и обеспечить их защиту от произвольных арестов и насилия.</w:t>
      </w:r>
      <w:r w:rsidRPr="00A04092">
        <w:t xml:space="preserve"> 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Дискриминация в отношении женщин</w:t>
      </w:r>
    </w:p>
    <w:p w:rsidR="00A04092" w:rsidRPr="00A04092" w:rsidRDefault="00A04092" w:rsidP="00A04092">
      <w:pPr>
        <w:pStyle w:val="SingleTxtGR"/>
      </w:pPr>
      <w:r w:rsidRPr="00A04092">
        <w:t>13.</w:t>
      </w:r>
      <w:r w:rsidRPr="00A04092">
        <w:tab/>
        <w:t>Комитет выражает обеспокоенность в связи с глубоко укоренившимися патриархальными взглядами и стереотипами в отношении роли мужчин и женщин в государстве-участнике, и в частности:</w:t>
      </w:r>
    </w:p>
    <w:p w:rsidR="00A04092" w:rsidRPr="00A04092" w:rsidRDefault="00A04092" w:rsidP="00A04092">
      <w:pPr>
        <w:pStyle w:val="SingleTxtGR"/>
      </w:pPr>
      <w:r w:rsidRPr="00A04092">
        <w:tab/>
        <w:t>a)</w:t>
      </w:r>
      <w:r w:rsidRPr="00A04092">
        <w:tab/>
        <w:t>дискриминационными по отношению к женщинам положениями законодательства в вопросах личного права, касающихся вступления в брак, развода, наследования, нажитого в браке имущества, усыновления и удочерения, захоронения и передачи имущества после смерти супруга, некоторые из которых были кодифицированы в Законе о положении женщин 2010 года;</w:t>
      </w:r>
    </w:p>
    <w:p w:rsidR="00A04092" w:rsidRPr="00A04092" w:rsidRDefault="00A04092" w:rsidP="00A04092">
      <w:pPr>
        <w:pStyle w:val="SingleTxtGR"/>
      </w:pPr>
      <w:r w:rsidRPr="00A04092">
        <w:tab/>
        <w:t>b)</w:t>
      </w:r>
      <w:r w:rsidRPr="00A04092">
        <w:tab/>
        <w:t>широко распространенной практикой заключения детских браков и проведения калечащих операций на женских половых органах, несмотря на предусмотренную за эти действия уголовную ответственность;</w:t>
      </w:r>
    </w:p>
    <w:p w:rsidR="00A04092" w:rsidRPr="00A04092" w:rsidRDefault="00A04092" w:rsidP="00A04092">
      <w:pPr>
        <w:pStyle w:val="SingleTxtGR"/>
      </w:pPr>
      <w:r w:rsidRPr="00A04092">
        <w:tab/>
        <w:t>c)</w:t>
      </w:r>
      <w:r w:rsidRPr="00A04092">
        <w:tab/>
        <w:t>весьма низким уровнем представленности женщин в общественной жизни, особенно на директивных и руководящих должностях в органах исполнительной власти, а также непринятием мер для урегулирования этой ситуации;</w:t>
      </w:r>
    </w:p>
    <w:p w:rsidR="00A04092" w:rsidRPr="00A04092" w:rsidRDefault="00A04092" w:rsidP="00A04092">
      <w:pPr>
        <w:pStyle w:val="SingleTxtGR"/>
      </w:pPr>
      <w:r w:rsidRPr="00A04092">
        <w:tab/>
        <w:t>d)</w:t>
      </w:r>
      <w:r w:rsidRPr="00A04092">
        <w:tab/>
        <w:t>непропорционально низким уровнем грамотности среди женщин и девочек, которая негативно влияет на их способность пользоваться своими правами, закрепленными в Пакте (статьи 2, 3, 7, 23, 25 и 26).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14.</w:t>
      </w:r>
      <w:r w:rsidRPr="00A04092">
        <w:tab/>
      </w:r>
      <w:r w:rsidRPr="00A04092">
        <w:rPr>
          <w:b/>
          <w:bCs/>
        </w:rPr>
        <w:t>Государству-участнику следует активизировать свои усилия по борьбе с глубоко укоренившимися патриархальными взглядами и стереотипами в отношении роли мужчин и женщин в государстве-участнике, и в частности: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a)</w:t>
      </w:r>
      <w:r w:rsidRPr="00A04092">
        <w:tab/>
      </w:r>
      <w:r w:rsidRPr="00A04092">
        <w:rPr>
          <w:b/>
          <w:bCs/>
        </w:rPr>
        <w:t>пересмотреть свои законы, в частности вопросы личного права и Закон о положении женщин, в целях устранения всех положений, которые являются дискриминационными по отношению к женщинам;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b)</w:t>
      </w:r>
      <w:r w:rsidRPr="00A04092">
        <w:tab/>
      </w:r>
      <w:r w:rsidRPr="00A04092">
        <w:rPr>
          <w:b/>
          <w:bCs/>
        </w:rPr>
        <w:t>обеспечить более строгое соблюдение Закона о детях (с внесенными в него поправками) 2016 года и Закона о положении женщин (с внесенными в него поправками) 2015 года, вводящих уголовную ответственность за заключение детских браков и проведение калечащих операций на женских половых органах соответственно, и принять меры для повышения осведомленности общественности, в особенности среди традиционных и религиозных лидеров, о</w:t>
      </w:r>
      <w:r w:rsidR="00C6386D">
        <w:rPr>
          <w:b/>
          <w:bCs/>
        </w:rPr>
        <w:t> </w:t>
      </w:r>
      <w:r w:rsidRPr="00A04092">
        <w:rPr>
          <w:b/>
          <w:bCs/>
        </w:rPr>
        <w:t>негативных последствиях таких видов практики в течение всей жизни;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с)</w:t>
      </w:r>
      <w:r w:rsidRPr="00A04092">
        <w:tab/>
      </w:r>
      <w:r w:rsidRPr="00A04092">
        <w:rPr>
          <w:b/>
          <w:bCs/>
        </w:rPr>
        <w:t>принять все меры, включая временные специальные меры, для обеспечения равной представленности женщин и мужчин на всех руководящих должностях как в государственном, так и в частном секторах;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d)</w:t>
      </w:r>
      <w:r w:rsidRPr="00A04092">
        <w:tab/>
      </w:r>
      <w:r w:rsidRPr="00A04092">
        <w:rPr>
          <w:b/>
          <w:bCs/>
        </w:rPr>
        <w:t>принять целенаправленные меры по повышению уровня грамотности среди женщин и девочек.</w:t>
      </w:r>
    </w:p>
    <w:p w:rsidR="00A04092" w:rsidRPr="00A04092" w:rsidRDefault="00A04092" w:rsidP="00A04092">
      <w:pPr>
        <w:pStyle w:val="H23GR"/>
      </w:pPr>
      <w:r w:rsidRPr="00A04092">
        <w:lastRenderedPageBreak/>
        <w:tab/>
      </w:r>
      <w:r w:rsidRPr="00A04092">
        <w:tab/>
        <w:t>Насилие в отношении женщин и насилие в семье</w:t>
      </w:r>
    </w:p>
    <w:p w:rsidR="00A04092" w:rsidRPr="00A04092" w:rsidRDefault="00A04092" w:rsidP="00A04092">
      <w:pPr>
        <w:pStyle w:val="SingleTxtGR"/>
      </w:pPr>
      <w:r w:rsidRPr="00A04092">
        <w:t>15.</w:t>
      </w:r>
      <w:r w:rsidRPr="00A04092">
        <w:tab/>
        <w:t xml:space="preserve">Приветствуя принятие в 2013 году Закона о насилии в семье и Закона о преступлениях сексуального характера, </w:t>
      </w:r>
      <w:r w:rsidR="00C6386D">
        <w:t>Комитет,</w:t>
      </w:r>
      <w:r w:rsidRPr="00A04092">
        <w:t xml:space="preserve"> тем не менее</w:t>
      </w:r>
      <w:r w:rsidR="00C6386D">
        <w:t>,</w:t>
      </w:r>
      <w:r w:rsidRPr="00A04092">
        <w:t xml:space="preserve"> выражает обеспокоенность в связи с неэффективным применением их положений и сохраняющимся насилием в отношении женщин и насилием в семье. Он особенно обеспокоен отсутствием эффективных механизмов информирования; незначительным числом случаев судебного преследования виновных; недостаточной поддержкой, предоставляемой жертвам насилия, включая правовую помощь, приюты и реабилитационные услуги; и отсутствием официальных дезагрегированных данных о случаях насилия в отношении женщин и девочек (статьи 2, 3, 6, 7, 23 и 26).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16.</w:t>
      </w:r>
      <w:r w:rsidRPr="00A04092">
        <w:tab/>
      </w:r>
      <w:r w:rsidRPr="00A04092">
        <w:rPr>
          <w:b/>
          <w:bCs/>
        </w:rPr>
        <w:t>Государству-участнику следует активизировать свои усилия в целях: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a)</w:t>
      </w:r>
      <w:r w:rsidRPr="00A04092">
        <w:tab/>
      </w:r>
      <w:r w:rsidRPr="00A04092">
        <w:rPr>
          <w:b/>
          <w:bCs/>
        </w:rPr>
        <w:t>эффективного применения положений Закона о насилии в семье и Закона о преступлениях на сексуальной почве;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b)</w:t>
      </w:r>
      <w:r w:rsidRPr="00A04092">
        <w:tab/>
      </w:r>
      <w:r w:rsidRPr="00A04092">
        <w:rPr>
          <w:b/>
          <w:bCs/>
        </w:rPr>
        <w:t>создания конфиденциальных и учитывающих гендерную специфику механизмов рассмотрения жалоб и увеличения числа женщин-полицейских и специализированных подразделений, занимающихся такими случаями;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c)</w:t>
      </w:r>
      <w:r w:rsidRPr="00A04092">
        <w:tab/>
      </w:r>
      <w:r w:rsidRPr="00A04092">
        <w:rPr>
          <w:b/>
          <w:bCs/>
        </w:rPr>
        <w:t>оперативного и тщательного расследования случаев насилия в отношении женщин и насилия в семье, и судебного преследования виновных;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d)</w:t>
      </w:r>
      <w:r w:rsidRPr="00A04092">
        <w:tab/>
      </w:r>
      <w:r w:rsidRPr="00A04092">
        <w:rPr>
          <w:b/>
          <w:bCs/>
        </w:rPr>
        <w:t>предоставления жертвам юридической, медицинской, финансовой и психологической помощи и доступа к эффективным средствам правовой защиты и иным средствам защиты;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e)</w:t>
      </w:r>
      <w:r w:rsidRPr="00A04092">
        <w:tab/>
      </w:r>
      <w:r w:rsidRPr="00A04092">
        <w:rPr>
          <w:b/>
          <w:bCs/>
        </w:rPr>
        <w:t>обеспечения постоянной подготовки судей, прокуроров и сотрудников правоохранительных органов, необходимой для эффективного и учитывающего гендерные аспекты рассмотрения дел, связанных с насилием в отношении женщин и насилием в семье;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f)</w:t>
      </w:r>
      <w:r w:rsidRPr="00A04092">
        <w:tab/>
      </w:r>
      <w:r w:rsidRPr="00A04092">
        <w:rPr>
          <w:b/>
          <w:bCs/>
        </w:rPr>
        <w:t>создания надежной системы сбора дезагрегированных статистических данных о насилии в отношении женщин и насилии в семье.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Добровольное прерывание беременности</w:t>
      </w:r>
    </w:p>
    <w:p w:rsidR="00A04092" w:rsidRPr="00A04092" w:rsidRDefault="00A04092" w:rsidP="00A04092">
      <w:pPr>
        <w:pStyle w:val="SingleTxtGR"/>
      </w:pPr>
      <w:r w:rsidRPr="00A04092">
        <w:t>17.</w:t>
      </w:r>
      <w:r w:rsidRPr="00A04092">
        <w:tab/>
        <w:t>Комитет обеспокоен тем, что в соответствии с положениями Уголовного кодекса добровольное прерывание беременности является преступлением, за исключением тех случаев, когда жизнь беременной женщины находится под угрозой, что, согласно сообщениям, заставляет женщин прибегать к подпольным абортам и является причиной высоких показателей материнской смертности. Он также обеспокоен высокими показателями материнской смертности в результате осложнений после аборта и сокращением ресурсов, выделяемых на охрану сексуального и репродуктивного здоровья. Кроме того, Комитет обеспокоен высокими показателями незапланированной беременности, особенно среди подростков, в силу ограниченного доступа к информации и службам сексуального и репродуктивного здоровья, в том числе к противозачаточным средствам (статьи 2, 3, 6, 7, 17, 24 и 26).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18.</w:t>
      </w:r>
      <w:r w:rsidRPr="00A04092">
        <w:tab/>
      </w:r>
      <w:r w:rsidRPr="00A04092">
        <w:rPr>
          <w:b/>
          <w:bCs/>
        </w:rPr>
        <w:t>Государству-участнику следует: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a)</w:t>
      </w:r>
      <w:r w:rsidRPr="00A04092">
        <w:tab/>
      </w:r>
      <w:r w:rsidRPr="00A04092">
        <w:rPr>
          <w:b/>
          <w:bCs/>
        </w:rPr>
        <w:t>пересмотреть свое законодательство с целью обеспечения безопасного, законного и эффективного доступа к услугам по прерыванию беременности в тех случаях, когда беременные женщины или девочки подвергаются риску или когда вынашивание беременности до положенного срока может причинить им значительную боль или страдания, особенно в тех случаях, когда беременность наступила в результате изнасилования или инцеста либо когда она является нежизнеспособной, и обеспечить неприменение уголовных санкций к женщинам и девочкам, делающим аборт, и к поставщикам медицинских услуг, оказывающих им в этом помощь, поскольку принятие подобных мер вынуждает женщин и девочек прибегать к небезопасным абортам;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lastRenderedPageBreak/>
        <w:tab/>
      </w:r>
      <w:r w:rsidRPr="004D4804">
        <w:rPr>
          <w:b/>
        </w:rPr>
        <w:t>b)</w:t>
      </w:r>
      <w:r w:rsidRPr="00A04092">
        <w:tab/>
      </w:r>
      <w:r w:rsidRPr="00A04092">
        <w:rPr>
          <w:b/>
          <w:bCs/>
        </w:rPr>
        <w:t>обеспечить наличие качественных медицинских услуг в дородовой период и после прерывания беременности при любых обстоятельствах и на конфиденциальной основе и эффективный доступ женщин и девочек к ним;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c)</w:t>
      </w:r>
      <w:r w:rsidRPr="00A04092">
        <w:tab/>
      </w:r>
      <w:r w:rsidRPr="00A04092">
        <w:rPr>
          <w:b/>
          <w:bCs/>
        </w:rPr>
        <w:t>обеспечить женщинам и мужчинам, и в особенности девочкам и мальчикам, доступ к качественной и основанной на объективных данных информации и просвещению по вопросам сексуального и репродуктивного здоровья и к широкому спектру доступных методов контрацепции;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d)</w:t>
      </w:r>
      <w:r w:rsidRPr="00A04092">
        <w:tab/>
      </w:r>
      <w:r w:rsidRPr="00A04092">
        <w:rPr>
          <w:b/>
          <w:bCs/>
        </w:rPr>
        <w:t>предотвращать стигматизацию женщин и девочек, стремящихся сделать аборт;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e)</w:t>
      </w:r>
      <w:r w:rsidRPr="00A04092">
        <w:tab/>
      </w:r>
      <w:r w:rsidRPr="00A04092">
        <w:rPr>
          <w:b/>
          <w:bCs/>
        </w:rPr>
        <w:t>выделить достаточный объем ресурсов на цели охраны сексуального и репродуктивного здоровья.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Отступления от прав в условиях чрезвычайного положения</w:t>
      </w:r>
    </w:p>
    <w:p w:rsidR="00A04092" w:rsidRPr="00A04092" w:rsidRDefault="00A04092" w:rsidP="00A04092">
      <w:pPr>
        <w:pStyle w:val="SingleTxtGR"/>
      </w:pPr>
      <w:r w:rsidRPr="00A04092">
        <w:t>19.</w:t>
      </w:r>
      <w:r w:rsidRPr="00A04092">
        <w:tab/>
        <w:t>Комитет выражает обеспокоенность в связи с тем, что пункт 2 статьи</w:t>
      </w:r>
      <w:r>
        <w:t> </w:t>
      </w:r>
      <w:r w:rsidRPr="00A04092">
        <w:t>35 Конституции, предусматривающий отступление от определенных прав в условиях чрезвычайного положения, включая право на свободу мысли, совести и религии и право на равенство перед законом, не соответствует в полной мере пункту 2 статьи</w:t>
      </w:r>
      <w:r>
        <w:t> </w:t>
      </w:r>
      <w:r w:rsidRPr="00A04092">
        <w:t xml:space="preserve">4 Пакта (статьи 4, 14 и 18).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20.</w:t>
      </w:r>
      <w:r w:rsidRPr="00A04092">
        <w:tab/>
      </w:r>
      <w:r w:rsidRPr="00A04092">
        <w:rPr>
          <w:b/>
          <w:bCs/>
        </w:rPr>
        <w:t>Государству-участнику следует пересмотреть пункт 2 статьи 35 своей Конституции в целях его приведения в соответствие с пунктом 2 статьи 4 Пакта, принимая во внимание замечание общего порядка № 29 (2001) Комитета об отступлениях от обязательств в связи с чрезвычайным положением.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Антитеррористическое законодательство</w:t>
      </w:r>
    </w:p>
    <w:p w:rsidR="00A04092" w:rsidRPr="00A04092" w:rsidRDefault="00A04092" w:rsidP="00A04092">
      <w:pPr>
        <w:pStyle w:val="SingleTxtGR"/>
      </w:pPr>
      <w:r w:rsidRPr="00A04092">
        <w:t>21.</w:t>
      </w:r>
      <w:r w:rsidRPr="00A04092">
        <w:tab/>
        <w:t>Комитет выражает обеспокоенность по поводу слишком широкого определения террористических актов, содержащегося в статье 2 Закона о борьбе с терроризмом 2002 года, в котором не проводится различие между террористическими и общеуголовными преступлениями, а также по поводу отсутствия информации о применении этого закона (статья 4).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22.</w:t>
      </w:r>
      <w:r w:rsidRPr="00A04092">
        <w:tab/>
      </w:r>
      <w:r w:rsidRPr="00A04092">
        <w:rPr>
          <w:b/>
          <w:bCs/>
        </w:rPr>
        <w:t>Государству-участнику следует пересмотреть Закон о борьбе с терроризмом в целях приведения содержащегося в нем определения терроризма в соответствие с международными стандартами и обеспечения того, чтобы он содержал надлежащие правовые гарантии и не препятствовал осуществлению прав, предусмотренных Пактом.</w:t>
      </w:r>
      <w:r w:rsidRPr="00A04092">
        <w:t xml:space="preserve"> </w:t>
      </w:r>
      <w:r w:rsidRPr="00A04092">
        <w:rPr>
          <w:b/>
          <w:bCs/>
        </w:rPr>
        <w:t>Ему следует также осуществлять сбор данных о применении Закона и отслеживать его влияние на осуществление прав, закрепленных в Пакте.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Правосудие переходного периода</w:t>
      </w:r>
    </w:p>
    <w:p w:rsidR="00A04092" w:rsidRPr="00A04092" w:rsidRDefault="00A04092" w:rsidP="00A04092">
      <w:pPr>
        <w:pStyle w:val="SingleTxtGR"/>
      </w:pPr>
      <w:r w:rsidRPr="00A04092">
        <w:t>23.</w:t>
      </w:r>
      <w:r w:rsidRPr="00A04092">
        <w:tab/>
        <w:t>Комитет с глубокой обеспокоенностью отмечает массовые нарушения прав человека, которые имели место в период с июля 1994 года по январь 2017 года, включая произвольные аресты и задержания, насильственные исчезновения, внесудебные убийства, пытки и нарушения прав на свободу выражения мнений, мирных собраний и ассоциации. Он приветствует создание по итогам проведения общенациональных консультаций Комиссии по установлению истины, на которую была возложена задача по подготовке беспристрастного исторического отчета о нарушениях прав человека и злоупотреблениях в этот период, выяснению местонахождения пропавших без вести жертв и обнародованию этой информации. Вместе с тем Комитет по-прежнему обеспокоен:</w:t>
      </w:r>
    </w:p>
    <w:p w:rsidR="00A04092" w:rsidRPr="00A04092" w:rsidRDefault="00A04092" w:rsidP="00A04092">
      <w:pPr>
        <w:pStyle w:val="SingleTxtGR"/>
      </w:pPr>
      <w:r w:rsidRPr="00A04092">
        <w:tab/>
        <w:t>a)</w:t>
      </w:r>
      <w:r w:rsidRPr="00A04092">
        <w:tab/>
        <w:t>задержкой в назначении членов Комиссии и формировании ее секретариата;</w:t>
      </w:r>
    </w:p>
    <w:p w:rsidR="00A04092" w:rsidRPr="00A04092" w:rsidRDefault="00A04092" w:rsidP="00A04092">
      <w:pPr>
        <w:pStyle w:val="SingleTxtGR"/>
      </w:pPr>
      <w:r w:rsidRPr="00A04092">
        <w:tab/>
        <w:t>b)</w:t>
      </w:r>
      <w:r w:rsidRPr="00A04092">
        <w:tab/>
        <w:t xml:space="preserve">очевидным непринятием государством-участником каких-либо мер, которые были бы направлены на то, чтобы в полной мере гарантировать сохранность архивов бывшего Национального разведывательного управления и других имеющихся </w:t>
      </w:r>
      <w:r w:rsidRPr="00A04092">
        <w:lastRenderedPageBreak/>
        <w:t>на местах доказательств, что может препятствовать осуществлению Комиссией своего мандата;</w:t>
      </w:r>
    </w:p>
    <w:p w:rsidR="00A04092" w:rsidRPr="00A04092" w:rsidRDefault="00A04092" w:rsidP="00A04092">
      <w:pPr>
        <w:pStyle w:val="SingleTxtGR"/>
      </w:pPr>
      <w:r w:rsidRPr="00A04092">
        <w:tab/>
        <w:t>c)</w:t>
      </w:r>
      <w:r w:rsidRPr="00A04092">
        <w:tab/>
        <w:t xml:space="preserve">сообщениями о том, что некоторые высокопоставленные должностные лица, которые обвиняются в нарушениях прав человека, включая бывшего начальника тюрьмы </w:t>
      </w:r>
      <w:r w:rsidR="00677CDD">
        <w:t>«</w:t>
      </w:r>
      <w:r w:rsidRPr="00A04092">
        <w:t>Майл ту</w:t>
      </w:r>
      <w:r w:rsidR="00677CDD">
        <w:t>»</w:t>
      </w:r>
      <w:r w:rsidRPr="00A04092">
        <w:t>, пользуются иммунитетом;</w:t>
      </w:r>
    </w:p>
    <w:p w:rsidR="00A04092" w:rsidRPr="00A04092" w:rsidRDefault="00A04092" w:rsidP="00A04092">
      <w:pPr>
        <w:pStyle w:val="SingleTxtGR"/>
      </w:pPr>
      <w:r w:rsidRPr="00A04092">
        <w:tab/>
        <w:t>d)</w:t>
      </w:r>
      <w:r w:rsidRPr="00A04092">
        <w:tab/>
        <w:t xml:space="preserve">сообщениями о том, что военнослужащие и сотрудники правоохранительных и разведывательных органов, которые обвиняются в нарушениях прав человека, совершенных в период правления авторитарного режима, по-прежнему занимают свои должности в связи с отсутствием процедур проверки (статьи 2, 6, 7, 9, 10, 14 и 15).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24.</w:t>
      </w:r>
      <w:r w:rsidRPr="00A04092">
        <w:tab/>
      </w:r>
      <w:r w:rsidRPr="00A04092">
        <w:rPr>
          <w:b/>
          <w:bCs/>
        </w:rPr>
        <w:t>Государству-участнику следует: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a)</w:t>
      </w:r>
      <w:r w:rsidRPr="00A04092">
        <w:tab/>
      </w:r>
      <w:r w:rsidRPr="00A04092">
        <w:rPr>
          <w:b/>
          <w:bCs/>
        </w:rPr>
        <w:t>ускорить назначение членов Комиссии по установлению истины, примирению и возмещению ущерба и формирование ее секретариата и обеспечить эффективное и независимое функционирование Комиссии;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b)</w:t>
      </w:r>
      <w:r w:rsidRPr="00A04092">
        <w:tab/>
      </w:r>
      <w:r w:rsidRPr="00A04092">
        <w:rPr>
          <w:b/>
          <w:bCs/>
        </w:rPr>
        <w:t>обеспечить оперативное, независимое и тщательное расследование всех сообщений о нарушениях прав человека и злоупотреблениях, привлечение виновных к суду и, в случае вынесения обвинительного приговора, назначение им наказаний, соразмерных тяжести совершенных ими преступлений;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с)</w:t>
      </w:r>
      <w:r w:rsidRPr="00A04092">
        <w:tab/>
      </w:r>
      <w:r w:rsidRPr="00A04092">
        <w:rPr>
          <w:b/>
          <w:bCs/>
        </w:rPr>
        <w:t>отменить все положения, предусматривающие полный иммунитет, включая соответствующие положения Закона 2001 года о предоставлении компенсации, и обеспечить привлечение всех виновных, включая высших должностных лиц</w:t>
      </w:r>
      <w:r w:rsidR="00811F67">
        <w:rPr>
          <w:b/>
          <w:bCs/>
        </w:rPr>
        <w:t>,</w:t>
      </w:r>
      <w:r w:rsidRPr="00A04092">
        <w:rPr>
          <w:b/>
          <w:bCs/>
        </w:rPr>
        <w:t xml:space="preserve"> к ответственности без каких-либо исключений;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d)</w:t>
      </w:r>
      <w:r w:rsidRPr="00A04092">
        <w:tab/>
      </w:r>
      <w:r w:rsidRPr="00A04092">
        <w:rPr>
          <w:b/>
          <w:bCs/>
        </w:rPr>
        <w:t>обеспечить, чтобы амнистия не распространялась на серьезные нарушения норм международного права прав человека и международного гуманитарного права;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e)</w:t>
      </w:r>
      <w:r w:rsidRPr="00A04092">
        <w:rPr>
          <w:b/>
        </w:rPr>
        <w:tab/>
        <w:t>обеспечить предоставление всем жертвам эффективных средств правовой защиты, включая надлежащую компенсацию, реституцию и реабилитацию, принимая во внимание Основные принципы и руководящие положения,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f)</w:t>
      </w:r>
      <w:r w:rsidRPr="00A04092">
        <w:tab/>
      </w:r>
      <w:r w:rsidRPr="00A04092">
        <w:rPr>
          <w:b/>
          <w:bCs/>
        </w:rPr>
        <w:t>обеспечить сохранность всех значимых документов и доказательств всех соответствующих государственных органов, в том числе архивов бывшего Национального разведывательного управления и других имеющихся на местах доказательств;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g)</w:t>
      </w:r>
      <w:r w:rsidRPr="00A04092">
        <w:tab/>
      </w:r>
      <w:r w:rsidRPr="00A04092">
        <w:rPr>
          <w:b/>
          <w:bCs/>
        </w:rPr>
        <w:t>внедрить процедуры проверки в армии и в правоохранительных и разведывательных органах и снять с должностей всех лиц, причастных к серьезным нарушениям прав человека.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Насильственные исчезновения и внесудебные казни</w:t>
      </w:r>
    </w:p>
    <w:p w:rsidR="00A04092" w:rsidRPr="00A04092" w:rsidRDefault="00A04092" w:rsidP="00A04092">
      <w:pPr>
        <w:pStyle w:val="SingleTxtGR"/>
      </w:pPr>
      <w:r w:rsidRPr="00A04092">
        <w:t>25.</w:t>
      </w:r>
      <w:r w:rsidRPr="00A04092">
        <w:tab/>
        <w:t xml:space="preserve">Комитет выражает обеспокоенность в связи с большим количеством случаев насильственных исчезновений и внесудебных казней, предположительно совершенных сотрудниками сил безопасности, в том числе Национального разведывательного управления и Национального агентства по борьбе с наркоторговлей, а также полувоенными формированиями, известными как </w:t>
      </w:r>
      <w:r w:rsidR="00677CDD">
        <w:t>«</w:t>
      </w:r>
      <w:r w:rsidRPr="00A04092">
        <w:t>Джанглерз</w:t>
      </w:r>
      <w:r w:rsidR="00677CDD">
        <w:t>»</w:t>
      </w:r>
      <w:r w:rsidRPr="00A04092">
        <w:t xml:space="preserve">, в период правления авторитарного режима. В числе жертв оказались около 50 иностранных граждан, в том числе 44 гражданина Ганы, которые были убиты сотрудниками сил безопасности в 2009 году. Комитет также обеспокоен тем, что расследования утверждений о насильственных исчезновениях и внесудебных казнях были приостановлены, помимо прочего, из-за недостаточного судебно-экспертного потенциала государства-участника и сохраняющегося отсутствия информации о местонахождении большинства жертв. Кроме того, он обеспокоен задержкой в исполнении решений Суда Экономического сообщества западноафриканских государств (ЭКОВАС) по делам о насильственных исчезновениях и внесудебных </w:t>
      </w:r>
      <w:r w:rsidRPr="00A04092">
        <w:lastRenderedPageBreak/>
        <w:t xml:space="preserve">казнях, в том числе по делам: </w:t>
      </w:r>
      <w:r w:rsidRPr="002B6F64">
        <w:rPr>
          <w:i/>
        </w:rPr>
        <w:t>Эбрима Манне против Республики Гамбия</w:t>
      </w:r>
      <w:r w:rsidRPr="00A04092">
        <w:t xml:space="preserve"> 2008 года; </w:t>
      </w:r>
      <w:r w:rsidRPr="002B6F64">
        <w:rPr>
          <w:i/>
        </w:rPr>
        <w:t>Муса Сайдихан против Республики Гамбия</w:t>
      </w:r>
      <w:r w:rsidRPr="00A04092">
        <w:t xml:space="preserve"> 2010 года, и </w:t>
      </w:r>
      <w:r w:rsidRPr="002B6F64">
        <w:rPr>
          <w:i/>
        </w:rPr>
        <w:t>Дейда Хидара мл. и Исмайла Хидара против Республики Гамбия</w:t>
      </w:r>
      <w:r w:rsidRPr="00A04092">
        <w:t xml:space="preserve"> 2014 года (статьи 2, 6, 7, 9, 14 и 16).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26.</w:t>
      </w:r>
      <w:r w:rsidRPr="00A04092">
        <w:tab/>
      </w:r>
      <w:r w:rsidRPr="00A04092">
        <w:rPr>
          <w:b/>
          <w:bCs/>
        </w:rPr>
        <w:t>Государству-участнику следует: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a)</w:t>
      </w:r>
      <w:r w:rsidRPr="00A04092">
        <w:tab/>
      </w:r>
      <w:r w:rsidRPr="00A04092">
        <w:rPr>
          <w:b/>
          <w:bCs/>
        </w:rPr>
        <w:t>обеспечить оперативное, беспристрастное и тщательное расследование всех сообщений о насильственных исчезновениях и внесудебных казнях, привлечение всех виновных к суду и в случае вынесения обвинительных приговоров назначение им наказаний, соразмерных тяжести совершенных ими преступлений;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b)</w:t>
      </w:r>
      <w:r w:rsidRPr="00A04092">
        <w:tab/>
      </w:r>
      <w:r w:rsidRPr="00A04092">
        <w:rPr>
          <w:b/>
          <w:bCs/>
        </w:rPr>
        <w:t>инициировать расследование дела о смерти 50 иностранных граждан, в том числе 44 ганцев, которые были убиты в 2009 году, в</w:t>
      </w:r>
      <w:r w:rsidR="002B1D6B">
        <w:rPr>
          <w:b/>
          <w:bCs/>
        </w:rPr>
        <w:t> </w:t>
      </w:r>
      <w:r w:rsidRPr="00A04092">
        <w:rPr>
          <w:b/>
          <w:bCs/>
        </w:rPr>
        <w:t>сотрудничестве с властями соответствующих стран, если это необходимо;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c)</w:t>
      </w:r>
      <w:r w:rsidRPr="00A04092">
        <w:tab/>
      </w:r>
      <w:r w:rsidRPr="00A04092">
        <w:rPr>
          <w:b/>
          <w:bCs/>
        </w:rPr>
        <w:t>выяснить судьбу и местонахождение жертв и обеспечить, чтобы информация о результатах расследований была доведена до сведения жертв насильственных исчезновений и их родственников;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d)</w:t>
      </w:r>
      <w:r w:rsidRPr="00A04092">
        <w:tab/>
      </w:r>
      <w:r w:rsidRPr="00A04092">
        <w:rPr>
          <w:b/>
          <w:bCs/>
        </w:rPr>
        <w:t>укрепить свой судебно-экспертный потенциал, в том числе за счет международного сотрудничества в тех случаях, когда это возможно;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e)</w:t>
      </w:r>
      <w:r w:rsidRPr="00A04092">
        <w:tab/>
      </w:r>
      <w:r w:rsidRPr="00A04092">
        <w:rPr>
          <w:b/>
          <w:bCs/>
        </w:rPr>
        <w:t>обеспечить исполнение решений суда ЭКОВАС без дальнейшего промедления;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f)</w:t>
      </w:r>
      <w:r w:rsidRPr="00A04092">
        <w:tab/>
      </w:r>
      <w:r w:rsidRPr="00A04092">
        <w:rPr>
          <w:b/>
          <w:bCs/>
        </w:rPr>
        <w:t>завершить процесс ратификации Международной конвенции для защиты всех лиц от насильственных исчезновений.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Смертная казнь</w:t>
      </w:r>
    </w:p>
    <w:p w:rsidR="00A04092" w:rsidRPr="00A04092" w:rsidRDefault="00A04092" w:rsidP="00A04092">
      <w:pPr>
        <w:pStyle w:val="SingleTxtGR"/>
      </w:pPr>
      <w:r w:rsidRPr="00A04092">
        <w:t>27.</w:t>
      </w:r>
      <w:r w:rsidRPr="00A04092">
        <w:tab/>
        <w:t>Комитет принимает к сведению тот факт, что смертная казнь в государстве-участнике была отменена в 1993 году и вновь восстановлена в 1995 году, и</w:t>
      </w:r>
      <w:r>
        <w:t> </w:t>
      </w:r>
      <w:r w:rsidRPr="00A04092">
        <w:t>приветствует официальное объявление моратория на ее применение в феврале 2018</w:t>
      </w:r>
      <w:r>
        <w:t> </w:t>
      </w:r>
      <w:r w:rsidRPr="00A04092">
        <w:t>года и замену смертных приговоров на пожизненное тюремное заключение. Комитет приветствует меры, принятые Национальной ассамблеей для ратификации второго Факультативного протокола к Пакту в 2018 году, несмотря на то, что процесс официального уведомления еще предстоит завершить. Вместе с тем Комитет обеспокоен тем, что смертная казнь до сих пор предусмотрена в Конституции (статья</w:t>
      </w:r>
      <w:r>
        <w:t> </w:t>
      </w:r>
      <w:r w:rsidRPr="00A04092">
        <w:t>6).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28.</w:t>
      </w:r>
      <w:r w:rsidRPr="00A04092">
        <w:tab/>
      </w:r>
      <w:r w:rsidRPr="00A04092">
        <w:rPr>
          <w:b/>
          <w:bCs/>
        </w:rPr>
        <w:t>Государству-участнику следует отменить смертную казнь в своем законодательстве и исключить ее из Конституции.</w:t>
      </w:r>
      <w:r w:rsidRPr="00A04092">
        <w:t xml:space="preserve"> </w:t>
      </w:r>
      <w:r w:rsidRPr="00A04092">
        <w:rPr>
          <w:b/>
          <w:bCs/>
        </w:rPr>
        <w:t>Комитет также настоятельно призывает государство-участник завершить процесс ратификации второго Факультативного протокола к Пакту.</w:t>
      </w:r>
      <w:r w:rsidRPr="00A04092">
        <w:t xml:space="preserve"> 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Применение силы</w:t>
      </w:r>
    </w:p>
    <w:p w:rsidR="00A04092" w:rsidRPr="00A04092" w:rsidRDefault="00A04092" w:rsidP="00A04092">
      <w:pPr>
        <w:pStyle w:val="SingleTxtGR"/>
      </w:pPr>
      <w:r w:rsidRPr="00A04092">
        <w:t>29.</w:t>
      </w:r>
      <w:r w:rsidRPr="00A04092">
        <w:tab/>
        <w:t>Комитет выражает обеспокоенность в связи с тем, что статья 18 Конституции и разделы 15 а) и 72 Уголовного кодекса допускают значительную свободу действий сотрудников правоохранительных органов в вопросах применения силы, а также в связи с тем, что пункты а) и b) статьи 2 Закона о предоставлении компенсации (с</w:t>
      </w:r>
      <w:r>
        <w:t> </w:t>
      </w:r>
      <w:r w:rsidRPr="00A04092">
        <w:t>внесенными в него в 2001 году поправками) освобождают всех государственных должностных лиц от гражданской и уголовной ответственности при исполнении ими своих обязанностей в контексте незаконных собраний, мятежей или чрезвычайных ситуаций в общественной жизни. Он также обеспокоен многочисленными случаями чрезмерного применения силы со стороны сотрудников правоохранительных органов и сотрудников сил безопасности в государстве-участнике, включая происшествие 18</w:t>
      </w:r>
      <w:r>
        <w:t> </w:t>
      </w:r>
      <w:r w:rsidRPr="00A04092">
        <w:t>июня 2018 года, когда силы безопасности открыли огонь боевыми патронами в Фараба-Банта во время акции протеста, в результате чего два человека погибли и еще восемь получили ранения (статьи 6, 7, 9, 19 и 21).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30.</w:t>
      </w:r>
      <w:r w:rsidRPr="00A04092">
        <w:tab/>
      </w:r>
      <w:r w:rsidRPr="00A04092">
        <w:rPr>
          <w:b/>
          <w:bCs/>
        </w:rPr>
        <w:t>Государству-участнику следует пересмотреть статью 18 Конституции, разделы 15 а) и 72 Уголовного кодекса и пункты а) и b) статьи 2 Закона о</w:t>
      </w:r>
      <w:r w:rsidR="00A22F88">
        <w:rPr>
          <w:b/>
          <w:bCs/>
        </w:rPr>
        <w:t> </w:t>
      </w:r>
      <w:r w:rsidRPr="00A04092">
        <w:rPr>
          <w:b/>
          <w:bCs/>
        </w:rPr>
        <w:t xml:space="preserve">предоставлении компенсации (с внесенными в него в 2001 году поправками), </w:t>
      </w:r>
      <w:r w:rsidRPr="00A04092">
        <w:rPr>
          <w:b/>
          <w:bCs/>
        </w:rPr>
        <w:lastRenderedPageBreak/>
        <w:t>с</w:t>
      </w:r>
      <w:r>
        <w:rPr>
          <w:b/>
          <w:bCs/>
        </w:rPr>
        <w:t> </w:t>
      </w:r>
      <w:r w:rsidRPr="00A04092">
        <w:rPr>
          <w:b/>
          <w:bCs/>
        </w:rPr>
        <w:t>тем чтобы привести их в соответствие с международными стандартами, в</w:t>
      </w:r>
      <w:r w:rsidR="00A22F88">
        <w:rPr>
          <w:b/>
          <w:bCs/>
        </w:rPr>
        <w:t> </w:t>
      </w:r>
      <w:r w:rsidRPr="00A04092">
        <w:rPr>
          <w:b/>
          <w:bCs/>
        </w:rPr>
        <w:t>частности, с Основными принципами применения силы и огнестрельного оружия должностными лицами по поддержанию правопорядка.</w:t>
      </w:r>
      <w:r w:rsidRPr="00A04092">
        <w:t xml:space="preserve"> </w:t>
      </w:r>
      <w:r w:rsidRPr="00A04092">
        <w:rPr>
          <w:b/>
          <w:bCs/>
        </w:rPr>
        <w:t>Ему следует обеспечить оперативное, независимое и тщательное расследование всех сообщений о чрезмерном применении силы, в частности по делу Фараба-Банта, и</w:t>
      </w:r>
      <w:r w:rsidR="00A22F88">
        <w:rPr>
          <w:b/>
          <w:bCs/>
        </w:rPr>
        <w:t> </w:t>
      </w:r>
      <w:r w:rsidRPr="00A04092">
        <w:rPr>
          <w:b/>
          <w:bCs/>
        </w:rPr>
        <w:t>привлечение виновных к ответственности.</w:t>
      </w:r>
      <w:r w:rsidRPr="00A04092">
        <w:t xml:space="preserve"> </w:t>
      </w:r>
      <w:r w:rsidRPr="00A04092">
        <w:rPr>
          <w:b/>
          <w:bCs/>
        </w:rPr>
        <w:t>Ему следует также принять меры в целях эффективного предупреждения и искоренения всех форм чрезмерного применения силы со стороны сотрудников правоохранительных органов и органов безопасности, в том числе за счет систематической профессиональной подготовки таких сотрудников, а также судей, прокуроров и других соответствующих должностных лиц, по вопросам применения силы.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Произвольный арест и задержание и содержание под стражей в досудебном порядке</w:t>
      </w:r>
    </w:p>
    <w:p w:rsidR="00A04092" w:rsidRPr="00A04092" w:rsidRDefault="00A04092" w:rsidP="00A04092">
      <w:pPr>
        <w:pStyle w:val="SingleTxtGR"/>
      </w:pPr>
      <w:r w:rsidRPr="00A04092">
        <w:t>31.</w:t>
      </w:r>
      <w:r w:rsidRPr="00A04092">
        <w:tab/>
        <w:t xml:space="preserve">Комитет выражает обеспокоенность в связи с сообщениями о широко распространенной практике произвольных арестов и задержаний со стороны сотрудников полиции и сил безопасности, имевшей место в период правления авторитарного режима, и о содержании лиц под стражей в неофициальных местах заключения, в том числе в так называемой </w:t>
      </w:r>
      <w:r w:rsidR="00677CDD">
        <w:t>«</w:t>
      </w:r>
      <w:r w:rsidRPr="00A04092">
        <w:t>крокодильей яме</w:t>
      </w:r>
      <w:r w:rsidR="00677CDD">
        <w:t>»</w:t>
      </w:r>
      <w:r w:rsidRPr="00A04092">
        <w:t xml:space="preserve"> в штаб-квартире Национального разведывательного управления. Он также выражает обеспокоенность по поводу чрезмерно продолжительных сроков содержания под стражей в досудебном порядке, связанных с неэффективностью системы отправления правосудия, большого числа заключенных, ожидающих суда в местах содержания под стражей, отказа в освобождении под залог и колоссальными суммами залога (статьи 9, 10 и 14).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32.</w:t>
      </w:r>
      <w:r w:rsidRPr="00A04092">
        <w:tab/>
      </w:r>
      <w:r w:rsidRPr="00A04092">
        <w:rPr>
          <w:b/>
          <w:bCs/>
        </w:rPr>
        <w:t>Государству-участнику следует: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a)</w:t>
      </w:r>
      <w:r w:rsidRPr="00A04092">
        <w:tab/>
      </w:r>
      <w:r w:rsidRPr="00A04092">
        <w:rPr>
          <w:b/>
          <w:bCs/>
        </w:rPr>
        <w:t>обеспечить оперативное, беспристрастное и тщательное расследование всех сообщений о произвольных арестах и задержаниях, привлечение к ответственности и наказание виновных, и предоставление жертвам эффективных средств правовой защиты;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b)</w:t>
      </w:r>
      <w:r w:rsidRPr="00A04092">
        <w:tab/>
      </w:r>
      <w:r w:rsidRPr="00A04092">
        <w:rPr>
          <w:b/>
          <w:bCs/>
        </w:rPr>
        <w:t>прямо запретить неофициальные места содержания под стражей и ввести уголовную ответственность за их использование;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c)</w:t>
      </w:r>
      <w:r w:rsidRPr="00A04092">
        <w:tab/>
      </w:r>
      <w:r w:rsidRPr="00A04092">
        <w:rPr>
          <w:b/>
          <w:bCs/>
        </w:rPr>
        <w:t>сократить сроки содержания под стражей в досудебном порядке за счет ускорения судебных процессов и введения альтернатив досудебному содержанию под стражей;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d)</w:t>
      </w:r>
      <w:r w:rsidRPr="00A04092">
        <w:tab/>
      </w:r>
      <w:r w:rsidRPr="00A04092">
        <w:rPr>
          <w:b/>
          <w:bCs/>
        </w:rPr>
        <w:t>обеспечить оперативное вынесение решений об освобождении под залог и разумность предъявляемых к нему требований.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Пытки, неправомерное обращение и условия содержания под стражей</w:t>
      </w:r>
    </w:p>
    <w:p w:rsidR="00A04092" w:rsidRPr="00A04092" w:rsidRDefault="00A04092" w:rsidP="00A04092">
      <w:pPr>
        <w:pStyle w:val="SingleTxtGR"/>
      </w:pPr>
      <w:r w:rsidRPr="00A04092">
        <w:t>33.</w:t>
      </w:r>
      <w:r w:rsidRPr="00A04092">
        <w:tab/>
      </w:r>
      <w:r w:rsidRPr="00A04092">
        <w:rPr>
          <w:bCs/>
        </w:rPr>
        <w:t>Комитет обеспокоен:</w:t>
      </w:r>
    </w:p>
    <w:p w:rsidR="00A04092" w:rsidRPr="00A04092" w:rsidRDefault="00A04092" w:rsidP="00A04092">
      <w:pPr>
        <w:pStyle w:val="SingleTxtGR"/>
      </w:pPr>
      <w:r w:rsidRPr="00A04092">
        <w:tab/>
        <w:t>a)</w:t>
      </w:r>
      <w:r w:rsidRPr="00A04092">
        <w:tab/>
        <w:t>сообщениями о широко распространенной практике применения пыток, избиений и неправомерного обращения со стороны сотрудников полиции, сил безопасности и исправительных учреждений в отношении лиц, содержащихся под стражей, имевшей место в период правления авторитарного режима, и</w:t>
      </w:r>
      <w:r w:rsidR="00A22F88">
        <w:t> </w:t>
      </w:r>
      <w:r w:rsidRPr="00A04092">
        <w:t>непривлечением виновных к ответственности;</w:t>
      </w:r>
    </w:p>
    <w:p w:rsidR="00A04092" w:rsidRPr="00A04092" w:rsidRDefault="00A04092" w:rsidP="00A04092">
      <w:pPr>
        <w:pStyle w:val="SingleTxtGR"/>
      </w:pPr>
      <w:r w:rsidRPr="00A04092">
        <w:tab/>
        <w:t>b)</w:t>
      </w:r>
      <w:r w:rsidRPr="00A04092">
        <w:tab/>
        <w:t>отсутствием уголовной ответственности за применение пыток в Уголовном кодексе, которое препятствует судебному преследованию лиц, виновных в совершении пыток, в рамках системы правосудия переходного периода;</w:t>
      </w:r>
    </w:p>
    <w:p w:rsidR="00A04092" w:rsidRPr="00A04092" w:rsidRDefault="00A04092" w:rsidP="00A04092">
      <w:pPr>
        <w:pStyle w:val="SingleTxtGR"/>
      </w:pPr>
      <w:r w:rsidRPr="00A04092">
        <w:tab/>
        <w:t>c)</w:t>
      </w:r>
      <w:r w:rsidRPr="00A04092">
        <w:tab/>
        <w:t xml:space="preserve">сохраняющимися тяжелыми и опасными для жизни условиями содержания, включая переполненность, в тюрьмах, в том числе в тюрьме </w:t>
      </w:r>
      <w:r w:rsidR="00677CDD">
        <w:t>«</w:t>
      </w:r>
      <w:r w:rsidRPr="00A04092">
        <w:t>Майл ту</w:t>
      </w:r>
      <w:r w:rsidR="00677CDD">
        <w:t>»</w:t>
      </w:r>
      <w:r w:rsidRPr="00A04092">
        <w:t>; низким качеством питания, бытовых условий, санитарных и медицинских услуг; и</w:t>
      </w:r>
      <w:r w:rsidR="00A22F88">
        <w:t> </w:t>
      </w:r>
      <w:r w:rsidRPr="00A04092">
        <w:t>многочисленными сообщениями о случаях смерти во время содержания под стражей (статьи 6, 7 и 10).</w:t>
      </w:r>
    </w:p>
    <w:p w:rsidR="00A04092" w:rsidRPr="00A04092" w:rsidRDefault="00A04092" w:rsidP="00A04092">
      <w:pPr>
        <w:pStyle w:val="SingleTxtGR"/>
        <w:pageBreakBefore/>
        <w:rPr>
          <w:b/>
          <w:bCs/>
        </w:rPr>
      </w:pPr>
      <w:r w:rsidRPr="00A04092">
        <w:lastRenderedPageBreak/>
        <w:t>34.</w:t>
      </w:r>
      <w:r w:rsidRPr="00A04092">
        <w:tab/>
      </w:r>
      <w:r w:rsidRPr="00A04092">
        <w:rPr>
          <w:b/>
          <w:bCs/>
        </w:rPr>
        <w:t>Государству-участнику следует: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a)</w:t>
      </w:r>
      <w:r w:rsidRPr="00A04092">
        <w:tab/>
      </w:r>
      <w:r w:rsidRPr="00A04092">
        <w:rPr>
          <w:b/>
          <w:bCs/>
        </w:rPr>
        <w:t>обеспечить оперативное, беспристрастное и тщательное расследование всех сообщений о применении пыток и неправомерном обращении, привлечение к ответственности и наказание виновных, и</w:t>
      </w:r>
      <w:r w:rsidR="00A22F88">
        <w:rPr>
          <w:b/>
          <w:bCs/>
        </w:rPr>
        <w:t> </w:t>
      </w:r>
      <w:r w:rsidRPr="00A04092">
        <w:rPr>
          <w:b/>
          <w:bCs/>
        </w:rPr>
        <w:t>предоставление жертвам эффективных средств правовой защиты;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b)</w:t>
      </w:r>
      <w:r w:rsidRPr="00A04092">
        <w:tab/>
      </w:r>
      <w:r w:rsidRPr="00A04092">
        <w:rPr>
          <w:b/>
          <w:bCs/>
        </w:rPr>
        <w:t>пересмотреть свой Уголовный кодекс, с тем чтобы включить в него пытки в качестве уголовного преступления, и завершить процесс ратификации Конвенции против пыток и других жестоких, бесчеловечных или унижающих достоинство видов обращения и наказания и Факультативного протокола к ней;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c)</w:t>
      </w:r>
      <w:r w:rsidRPr="00A04092">
        <w:tab/>
      </w:r>
      <w:r w:rsidRPr="00A04092">
        <w:rPr>
          <w:b/>
          <w:bCs/>
        </w:rPr>
        <w:t>предупреждать применение пыток и неправомерное обращение за счет, в том числе, укрепления существующих надзорных органов или создания независимого механизма для мониторинга условий содержания под стражей, и</w:t>
      </w:r>
      <w:r w:rsidR="00A22F88">
        <w:rPr>
          <w:b/>
          <w:bCs/>
        </w:rPr>
        <w:t> </w:t>
      </w:r>
      <w:r w:rsidRPr="00A04092">
        <w:rPr>
          <w:b/>
          <w:bCs/>
        </w:rPr>
        <w:t>обязательной подготовки сотрудников соответствующих правоохранительных органов, судей, прокуроров и других специалистов в области права по вопросам предупреждения пыток;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d)</w:t>
      </w:r>
      <w:r w:rsidRPr="00A04092">
        <w:tab/>
      </w:r>
      <w:r w:rsidRPr="00A04092">
        <w:rPr>
          <w:b/>
          <w:bCs/>
        </w:rPr>
        <w:t>пересмотреть Закон о тюрьмах в целях его приведения в соответствие с международными стандартами и принять меры для улучшения условий содержания под стражей в тюрьмах, в том числе в том, что касается питания, санитарных услуг и медицинской помощи;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e)</w:t>
      </w:r>
      <w:r w:rsidRPr="00A04092">
        <w:tab/>
      </w:r>
      <w:r w:rsidRPr="00A04092">
        <w:rPr>
          <w:b/>
          <w:bCs/>
        </w:rPr>
        <w:t>обеспечить оперативное, независимое и тщательное расследование обстоятельств смерти в местах содержания под стражей, привлечение виновных к ответственности в соответствующих случаях и предоставление семьям жертв средств правовой защиты, и принять все необходимые меры для недопущения повторения таких случаев в будущем.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Торговля людьми, незаконный провоз и принудительный труд</w:t>
      </w:r>
    </w:p>
    <w:p w:rsidR="00A04092" w:rsidRPr="00A04092" w:rsidRDefault="00A04092" w:rsidP="00A04092">
      <w:pPr>
        <w:pStyle w:val="SingleTxtGR"/>
      </w:pPr>
      <w:r w:rsidRPr="00A04092">
        <w:t>35.</w:t>
      </w:r>
      <w:r w:rsidRPr="00A04092">
        <w:tab/>
        <w:t>Отмечая прогресс, достигнутый государством-участником в борьбе с торговлей людьми, Комитет по-прежнему обеспокоен продолжающими поступать сообщениями о торговле людьми, особенно женщинами и детьми, в целях принудительного труда и сексуальной эксплуатации, включая секс-туризм; незаконным ввозом огромного числа мальчиков и юношей в Европу через открытое море и количеством людей, погибших или пропавших без вести в Средиземном море; а также положением детей, направляемых на обучение в коранические школы в соседние страны, которых могут принуждать к попрошайничеству их религиозные наставники (статьи 3, 8, 24 и 26).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36.</w:t>
      </w:r>
      <w:r w:rsidRPr="00A04092">
        <w:tab/>
      </w:r>
      <w:r w:rsidRPr="00A04092">
        <w:rPr>
          <w:b/>
          <w:bCs/>
        </w:rPr>
        <w:t>Государству-участнику следует активизировать свои усилия по борьбе с торговлей людьми и их незаконным провозом, путем, в частности: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a)</w:t>
      </w:r>
      <w:r w:rsidRPr="00A04092">
        <w:tab/>
      </w:r>
      <w:r w:rsidRPr="00A04092">
        <w:rPr>
          <w:b/>
          <w:bCs/>
        </w:rPr>
        <w:t>более эффективного применения соответствующего законодательства, в том числе Закона о пресечении торговли людьми (с</w:t>
      </w:r>
      <w:r>
        <w:rPr>
          <w:b/>
          <w:bCs/>
        </w:rPr>
        <w:t> </w:t>
      </w:r>
      <w:r w:rsidRPr="00A04092">
        <w:rPr>
          <w:b/>
          <w:bCs/>
        </w:rPr>
        <w:t>внесенными в него в 2010 году поправками), Закона о детях и Закона о преступлениях в сфере туризма;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b)</w:t>
      </w:r>
      <w:r w:rsidRPr="00A04092">
        <w:tab/>
      </w:r>
      <w:r w:rsidRPr="00A04092">
        <w:rPr>
          <w:b/>
          <w:bCs/>
        </w:rPr>
        <w:t>активизации своих усилий по подготовке судей, прокуроров и сотрудников правоохранительных органов, а также по проведению профилактических и информационных кампаний, посвященных негативным последствиям торговли людьми и их незаконного провоза, среди населения;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c)</w:t>
      </w:r>
      <w:r w:rsidRPr="00A04092">
        <w:tab/>
      </w:r>
      <w:r w:rsidRPr="00A04092">
        <w:rPr>
          <w:b/>
          <w:bCs/>
        </w:rPr>
        <w:t>более эффективного выявления жертв, особенно среди детей, направляемых на учебу в коранические школы, и создания системы оказания помощи жертвам торговли людьми;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d)</w:t>
      </w:r>
      <w:r w:rsidRPr="00A04092">
        <w:tab/>
      </w:r>
      <w:r w:rsidRPr="00A04092">
        <w:rPr>
          <w:b/>
          <w:bCs/>
        </w:rPr>
        <w:t>предоставления жертвам доступа к эффективным средствам правовой защиты, включая реабилитацию.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Право на справедливое судебное разбирательство</w:t>
      </w:r>
    </w:p>
    <w:p w:rsidR="00A04092" w:rsidRPr="00A04092" w:rsidRDefault="00A04092" w:rsidP="00A04092">
      <w:pPr>
        <w:pStyle w:val="SingleTxtGR"/>
      </w:pPr>
      <w:r w:rsidRPr="00A04092">
        <w:t>37.</w:t>
      </w:r>
      <w:r w:rsidRPr="00A04092">
        <w:tab/>
        <w:t xml:space="preserve">Признавая тот факт, что независимость судебных органов, была серьезно подорвана, Комитет приветствует восстановление Комиссии судебной службы и </w:t>
      </w:r>
      <w:r w:rsidRPr="00A04092">
        <w:lastRenderedPageBreak/>
        <w:t>отмену системы контрактов для судей. Вместе с тем Комитет обеспокоен значительным отставанием в рассмотрении уголовных дел, несмотря на меры, принимаемые государством-участнико</w:t>
      </w:r>
      <w:r w:rsidR="00A22F88">
        <w:t>м</w:t>
      </w:r>
      <w:r w:rsidRPr="00A04092">
        <w:t xml:space="preserve"> для его сокращения, ограниченным предоставлением бесплатной юридической помощи из-за нехватки ресурсов, выделяемых в этих целях Национальному агентству юридической помощи, и</w:t>
      </w:r>
      <w:r w:rsidR="00F7141C">
        <w:t> </w:t>
      </w:r>
      <w:r w:rsidRPr="00A04092">
        <w:t>недостаточным доступом к правосудию в сельских районах (статьи 14, 15 и 16).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38.</w:t>
      </w:r>
      <w:r w:rsidRPr="00A04092">
        <w:tab/>
      </w:r>
      <w:r w:rsidRPr="00A04092">
        <w:rPr>
          <w:b/>
          <w:bCs/>
        </w:rPr>
        <w:t>Государству-участнику следует активизировать свои усилия по укреплению независимости судебной системы, включая принятие законопроекта о вознаграждении судей и других льготах, и принять меры для предотвращения вмешательства в судебную систему исполнительных и законодательных органов;</w:t>
      </w:r>
      <w:r w:rsidRPr="00A04092">
        <w:t xml:space="preserve"> </w:t>
      </w:r>
      <w:r w:rsidRPr="00A04092">
        <w:rPr>
          <w:b/>
          <w:bCs/>
        </w:rPr>
        <w:t>сократить отставание в рассмотрении дел в судах и обеспечить проведение судебных разбирательств в разумные сроки;</w:t>
      </w:r>
      <w:r w:rsidRPr="00A04092">
        <w:t xml:space="preserve"> </w:t>
      </w:r>
      <w:r w:rsidRPr="00A04092">
        <w:rPr>
          <w:b/>
          <w:bCs/>
        </w:rPr>
        <w:t>расширить предоставление бесплатной правовой помощи по уголовным делам путем укрепления финансового и людского потенциала Национального агентства юридической помощи;</w:t>
      </w:r>
      <w:r w:rsidRPr="00A04092">
        <w:t xml:space="preserve"> </w:t>
      </w:r>
      <w:r w:rsidRPr="00A04092">
        <w:rPr>
          <w:b/>
          <w:bCs/>
        </w:rPr>
        <w:t>и принять меры, необходимые для облегчения доступа к правосудию жителей сельских районов, включая, в надлежащих случаях, выездные суды и юридические консультации.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 xml:space="preserve">Свобода мнений и их выражения </w:t>
      </w:r>
    </w:p>
    <w:p w:rsidR="00A04092" w:rsidRPr="00A04092" w:rsidRDefault="00A04092" w:rsidP="00A04092">
      <w:pPr>
        <w:pStyle w:val="SingleTxtGR"/>
      </w:pPr>
      <w:r w:rsidRPr="00A04092">
        <w:t>39.</w:t>
      </w:r>
      <w:r w:rsidRPr="00A04092">
        <w:tab/>
        <w:t>Приветствуя восстановление функционирования средств массовой информации, которые были запрещены в период правления предыдущего режима, и</w:t>
      </w:r>
      <w:r w:rsidR="00F7141C">
        <w:t> </w:t>
      </w:r>
      <w:r w:rsidRPr="00A04092">
        <w:t xml:space="preserve">создание Национального комитета по законодательству о СМИ, </w:t>
      </w:r>
      <w:r w:rsidR="00F7141C">
        <w:t>Комитет,</w:t>
      </w:r>
      <w:r w:rsidRPr="00A04092">
        <w:t xml:space="preserve"> тем не менее</w:t>
      </w:r>
      <w:r w:rsidR="00F7141C">
        <w:t>,</w:t>
      </w:r>
      <w:r w:rsidRPr="00A04092">
        <w:t xml:space="preserve"> выражает обеспокоенность в связи с:</w:t>
      </w:r>
    </w:p>
    <w:p w:rsidR="00A04092" w:rsidRPr="00A04092" w:rsidRDefault="00A04092" w:rsidP="00A04092">
      <w:pPr>
        <w:pStyle w:val="SingleTxtGR"/>
      </w:pPr>
      <w:r w:rsidRPr="00A04092">
        <w:tab/>
        <w:t>a)</w:t>
      </w:r>
      <w:r w:rsidRPr="00A04092">
        <w:tab/>
        <w:t>чрезмерно ограничительным законодательством государства-участника в отношении свободы выражения мнений, в частности законами, устанавливающими уголовную ответственность за клевету, антиправительственные заявления и распространение ложных новостей и предусматривающими наказание за них в виде лишения свободы, которые используются в целях запугивания журналистов и ограничения свободы выражения мнений;</w:t>
      </w:r>
    </w:p>
    <w:p w:rsidR="00A04092" w:rsidRPr="00A04092" w:rsidRDefault="00A04092" w:rsidP="00A04092">
      <w:pPr>
        <w:pStyle w:val="SingleTxtGR"/>
      </w:pPr>
      <w:r w:rsidRPr="00A04092">
        <w:tab/>
        <w:t>b)</w:t>
      </w:r>
      <w:r w:rsidRPr="00A04092">
        <w:tab/>
        <w:t xml:space="preserve">задержкой в исполнении решения Суда ЭКОВАС по делу </w:t>
      </w:r>
      <w:r w:rsidRPr="00021B3E">
        <w:rPr>
          <w:i/>
        </w:rPr>
        <w:t>Федерация африканских журналистов и др. против Республики Гамбия</w:t>
      </w:r>
      <w:r w:rsidRPr="00A04092">
        <w:t xml:space="preserve"> (ECW/CCJ/JUD/04/18), которым Суд постановил провести законодательную реформу и предоставить компенсацию жертвам;</w:t>
      </w:r>
    </w:p>
    <w:p w:rsidR="00A04092" w:rsidRPr="00A04092" w:rsidRDefault="00A04092" w:rsidP="00A04092">
      <w:pPr>
        <w:pStyle w:val="SingleTxtGR"/>
      </w:pPr>
      <w:r w:rsidRPr="00A04092">
        <w:tab/>
        <w:t>c)</w:t>
      </w:r>
      <w:r w:rsidRPr="00A04092">
        <w:tab/>
        <w:t xml:space="preserve">сообщениями о запугивании, преследовании, пытках и убийствах журналистов и правозащитников, осуществляющих свое право на свободу выражения мнений, происходящих на протяжении многих лет, и об отсутствии расследований и судебного преследования виновных в связи с ними; </w:t>
      </w:r>
    </w:p>
    <w:p w:rsidR="00A04092" w:rsidRPr="00A04092" w:rsidRDefault="00A04092" w:rsidP="00A04092">
      <w:pPr>
        <w:pStyle w:val="SingleTxtGR"/>
      </w:pPr>
      <w:r w:rsidRPr="00A04092">
        <w:tab/>
        <w:t>d)</w:t>
      </w:r>
      <w:r w:rsidRPr="00A04092">
        <w:tab/>
        <w:t>задержкой в принятии проекта Закона о доступе к информации (статьи</w:t>
      </w:r>
      <w:r w:rsidR="004D4804">
        <w:t> </w:t>
      </w:r>
      <w:r w:rsidRPr="00A04092">
        <w:t>19 и 22).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40.</w:t>
      </w:r>
      <w:r w:rsidRPr="00A04092">
        <w:tab/>
      </w:r>
      <w:r w:rsidRPr="00A04092">
        <w:rPr>
          <w:b/>
          <w:bCs/>
        </w:rPr>
        <w:t>Государству-участнику следует: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a)</w:t>
      </w:r>
      <w:r w:rsidRPr="00A04092">
        <w:tab/>
      </w:r>
      <w:r w:rsidRPr="00A04092">
        <w:rPr>
          <w:b/>
          <w:bCs/>
        </w:rPr>
        <w:t>внести поправки во все законы, включая положения Уголовного кодекса и Закона об информации и коммуникациях (с внесенными в него в 2013</w:t>
      </w:r>
      <w:r>
        <w:rPr>
          <w:b/>
          <w:bCs/>
        </w:rPr>
        <w:t> </w:t>
      </w:r>
      <w:r w:rsidRPr="00A04092">
        <w:rPr>
          <w:b/>
          <w:bCs/>
        </w:rPr>
        <w:t>году поправками), которые неоправданно ограничивают свободу выражения мнений, или отменить их, и завершить процесс законодательной реформы, начатый Национальным комитетом по законодательству о СМИ;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b)</w:t>
      </w:r>
      <w:r w:rsidRPr="00A04092">
        <w:tab/>
      </w:r>
      <w:r w:rsidRPr="00A04092">
        <w:rPr>
          <w:b/>
          <w:bCs/>
        </w:rPr>
        <w:t xml:space="preserve">ускорить исполнение решения Суда ЭКОВАС по делу </w:t>
      </w:r>
      <w:r w:rsidRPr="00E7244A">
        <w:rPr>
          <w:b/>
          <w:bCs/>
          <w:i/>
        </w:rPr>
        <w:t>Федерация африканских журналистов и др. против Республики Гамбия</w:t>
      </w:r>
      <w:r w:rsidRPr="00A04092">
        <w:rPr>
          <w:b/>
          <w:bCs/>
        </w:rPr>
        <w:t xml:space="preserve"> (ECW/CCJ/JUD/</w:t>
      </w:r>
      <w:r w:rsidR="00E7244A">
        <w:rPr>
          <w:b/>
          <w:bCs/>
        </w:rPr>
        <w:t xml:space="preserve"> </w:t>
      </w:r>
      <w:r w:rsidRPr="00A04092">
        <w:rPr>
          <w:b/>
          <w:bCs/>
        </w:rPr>
        <w:t>04/18);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с)</w:t>
      </w:r>
      <w:r w:rsidRPr="00A04092">
        <w:tab/>
      </w:r>
      <w:r w:rsidRPr="00A04092">
        <w:rPr>
          <w:b/>
          <w:bCs/>
        </w:rPr>
        <w:t>обеспечить оперативное, беспристрастное и тщательное расследование всех случаев запугивания журналистов и правозащитников, привлечение в ответственности и наказание виновных и предоставление жертвам эффективных средств правовой защиты;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ab/>
      </w:r>
      <w:r w:rsidRPr="004D4804">
        <w:rPr>
          <w:b/>
        </w:rPr>
        <w:t>d)</w:t>
      </w:r>
      <w:r w:rsidRPr="00A04092">
        <w:tab/>
      </w:r>
      <w:r w:rsidRPr="00A04092">
        <w:rPr>
          <w:b/>
          <w:bCs/>
        </w:rPr>
        <w:t>ускорить принятие проекта Закона о доступе к информации.</w:t>
      </w:r>
      <w:r w:rsidRPr="00A04092">
        <w:t xml:space="preserve"> </w:t>
      </w:r>
    </w:p>
    <w:p w:rsidR="00A04092" w:rsidRPr="00A04092" w:rsidRDefault="00A04092" w:rsidP="00A04092">
      <w:pPr>
        <w:pStyle w:val="H23GR"/>
      </w:pPr>
      <w:r w:rsidRPr="00A04092">
        <w:lastRenderedPageBreak/>
        <w:tab/>
      </w:r>
      <w:r w:rsidRPr="00A04092">
        <w:tab/>
        <w:t>Право на мирные собрания</w:t>
      </w:r>
    </w:p>
    <w:p w:rsidR="00A04092" w:rsidRPr="00A04092" w:rsidRDefault="00A04092" w:rsidP="00A04092">
      <w:pPr>
        <w:pStyle w:val="SingleTxtGR"/>
      </w:pPr>
      <w:r w:rsidRPr="00A04092">
        <w:t>41.</w:t>
      </w:r>
      <w:r w:rsidRPr="00A04092">
        <w:tab/>
        <w:t>Комитет выражает обеспокоенность по поводу статьи 5 Закона о поддержании общественного порядка, которая требует получения разрешения в полиции на проведение мирных собраний, и недавнего постановления Верховного суда, подтверждающего законность этого требования (статьи 9 и 21).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42.</w:t>
      </w:r>
      <w:r w:rsidRPr="00A04092">
        <w:tab/>
      </w:r>
      <w:r w:rsidRPr="00A04092">
        <w:rPr>
          <w:b/>
          <w:bCs/>
        </w:rPr>
        <w:t>Государству-участнику следует пересмотреть Закон о поддержании общественного порядка, с тем чтобы обеспечить соблюдение права всех лиц на мирные собрания, и чтобы любые ограничения этого права вводились строго в соответствии со статьей 21 Пакта.</w:t>
      </w:r>
      <w:r w:rsidRPr="00A04092">
        <w:t xml:space="preserve"> 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Право на свободу ассоциации</w:t>
      </w:r>
    </w:p>
    <w:p w:rsidR="00A04092" w:rsidRPr="00A04092" w:rsidRDefault="00A04092" w:rsidP="00A04092">
      <w:pPr>
        <w:pStyle w:val="SingleTxtGR"/>
      </w:pPr>
      <w:r w:rsidRPr="00A04092">
        <w:t>43.</w:t>
      </w:r>
      <w:r w:rsidRPr="00A04092">
        <w:tab/>
        <w:t>Комитет выражает обеспокоенность по поводу указа № 81 от 1996 года, вводящего обременительные процедуры регистрации неправительственных организаций (НПО), а также по поводу задержки в принятии проекта закона о НПО (статья 22).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44.</w:t>
      </w:r>
      <w:r w:rsidRPr="00A04092">
        <w:tab/>
      </w:r>
      <w:r w:rsidRPr="00A04092">
        <w:rPr>
          <w:b/>
          <w:bCs/>
        </w:rPr>
        <w:t>Государству-участнику следует отменить указ № 81 и в срочном порядке принять проект закона о НПО в полном соответствии с Пактом.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 xml:space="preserve">Беженцы, просители убежища и мигранты </w:t>
      </w:r>
    </w:p>
    <w:p w:rsidR="00A04092" w:rsidRPr="00A04092" w:rsidRDefault="00A04092" w:rsidP="00A04092">
      <w:pPr>
        <w:pStyle w:val="SingleTxtGR"/>
      </w:pPr>
      <w:r w:rsidRPr="00A04092">
        <w:t>45.</w:t>
      </w:r>
      <w:r w:rsidRPr="00A04092">
        <w:tab/>
        <w:t>Комитет выражает обеспокоенность в связи с ограниченностью ресурсов, выделяемых для эффективной работы и надлежащего обращения с беженцами и просителями убежища; сообщениями о том, что детям беженцев, родившимся в государстве-участнике или прибывшим на его территорию несовершеннолетними, не</w:t>
      </w:r>
      <w:r w:rsidR="00CB78D4">
        <w:t> </w:t>
      </w:r>
      <w:r w:rsidRPr="00A04092">
        <w:t>предоставляются документы, удостоверяющие личность, в результате чего они подвергаются серьезному риску оказаться в ситуации безгражданства; отсутствием транзитных центров как в сельских, так и в городских районах; а также в связи с отсутствием данных о положении вышеупомянутых лиц в связи с отсутствием надлежащей процедуры определения статуса беженца (статьи 2, 23, 24 и 26).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46.</w:t>
      </w:r>
      <w:r w:rsidRPr="00A04092">
        <w:tab/>
      </w:r>
      <w:r w:rsidRPr="00A04092">
        <w:rPr>
          <w:b/>
          <w:bCs/>
        </w:rPr>
        <w:t>Государству-участнику следует выделить надлежащие ресурсы Комиссии Гамбии по делам беженцев в целях обеспечения эффективной работы и надлежащего обращения с беженцами и просителями убежища;</w:t>
      </w:r>
      <w:r w:rsidRPr="00A04092">
        <w:t xml:space="preserve"> </w:t>
      </w:r>
      <w:r w:rsidRPr="00A04092">
        <w:rPr>
          <w:b/>
          <w:bCs/>
        </w:rPr>
        <w:t>увеличить число транзитных центров, располагающих надлежащими средствами и возможностями по предоставлению услуг;</w:t>
      </w:r>
      <w:r w:rsidRPr="00A04092">
        <w:t xml:space="preserve"> </w:t>
      </w:r>
      <w:r w:rsidRPr="00A04092">
        <w:rPr>
          <w:b/>
          <w:bCs/>
        </w:rPr>
        <w:t>обеспечить предоставление детям беженцев, родившимся в государстве-участнике или прибывшим на его территорию несовершеннолетними, документов, удостоверяющих личность, с</w:t>
      </w:r>
      <w:r w:rsidR="00CB78D4">
        <w:rPr>
          <w:b/>
          <w:bCs/>
        </w:rPr>
        <w:t> </w:t>
      </w:r>
      <w:r w:rsidRPr="00A04092">
        <w:rPr>
          <w:b/>
          <w:bCs/>
        </w:rPr>
        <w:t>тем чтобы избежать риска безгражданства;</w:t>
      </w:r>
      <w:r w:rsidRPr="00A04092">
        <w:t xml:space="preserve"> </w:t>
      </w:r>
      <w:r w:rsidRPr="00A04092">
        <w:rPr>
          <w:b/>
          <w:bCs/>
        </w:rPr>
        <w:t>и провести сбор данных о беженцах и просителях убежища путем разработки общенациональной процедуры определения статуса беженца.</w:t>
      </w:r>
      <w:r w:rsidRPr="00A04092">
        <w:t xml:space="preserve"> </w:t>
      </w:r>
    </w:p>
    <w:p w:rsidR="00A04092" w:rsidRPr="00A04092" w:rsidRDefault="00A04092" w:rsidP="00A04092">
      <w:pPr>
        <w:pStyle w:val="H23GR"/>
      </w:pPr>
      <w:r w:rsidRPr="00A04092">
        <w:tab/>
      </w:r>
      <w:r w:rsidRPr="00A04092">
        <w:tab/>
        <w:t>Регистрация рождений</w:t>
      </w:r>
    </w:p>
    <w:p w:rsidR="00A04092" w:rsidRPr="00A04092" w:rsidRDefault="00A04092" w:rsidP="00A04092">
      <w:pPr>
        <w:pStyle w:val="SingleTxtGR"/>
      </w:pPr>
      <w:r w:rsidRPr="00A04092">
        <w:t>47.</w:t>
      </w:r>
      <w:r w:rsidRPr="00A04092">
        <w:tab/>
        <w:t>Комитет обеспокоен значительным числом детей, которых не регистрируют сразу при рождении, а также препятствиями для регистрации детей, рожденных вне брака, из-за стигматизации матерей-одиночек (статьи 16, 23 и 24).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48.</w:t>
      </w:r>
      <w:r w:rsidRPr="00A04092">
        <w:tab/>
      </w:r>
      <w:r w:rsidRPr="00A04092">
        <w:rPr>
          <w:b/>
          <w:bCs/>
        </w:rPr>
        <w:t>Государству-участнику следует обеспечить, чтобы все дети, рожденные на его территории, особенно в сельских районах, в том числе дети, рожденные вне брака, регистрировались сразу при рождении, а также принять меры к тому, чтобы положить конец стигматизации детей, рожденных вне брака, и их матерей.</w:t>
      </w:r>
    </w:p>
    <w:p w:rsidR="00A04092" w:rsidRPr="00A04092" w:rsidRDefault="00A04092" w:rsidP="00A04092">
      <w:pPr>
        <w:pStyle w:val="H1GR"/>
      </w:pPr>
      <w:r w:rsidRPr="00A04092">
        <w:tab/>
        <w:t>D.</w:t>
      </w:r>
      <w:r w:rsidRPr="00A04092">
        <w:tab/>
        <w:t>Распространение информации и последующая деятельность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49.</w:t>
      </w:r>
      <w:r w:rsidRPr="00A04092">
        <w:tab/>
      </w:r>
      <w:r w:rsidRPr="00A04092">
        <w:rPr>
          <w:b/>
          <w:bCs/>
        </w:rPr>
        <w:t xml:space="preserve">Государству-участнику следует обеспечить широкое распространение Пакта, его двух Факультативных протоколов, письменных ответов на перечень вопросов Комитета и настоящих заключительных замечаний, с тем чтобы повысить уровень осведомленности о закрепленных в Пакте правах среди </w:t>
      </w:r>
      <w:r w:rsidRPr="00A04092">
        <w:rPr>
          <w:b/>
          <w:bCs/>
        </w:rPr>
        <w:lastRenderedPageBreak/>
        <w:t>представителей судебных, законодательных и административных органов, гражданского общества и неправительственных организаций, действующих в стране, а также широкой общественности.</w:t>
      </w:r>
      <w:r w:rsidRPr="00A04092">
        <w:t xml:space="preserve"> </w:t>
      </w:r>
    </w:p>
    <w:p w:rsidR="00A04092" w:rsidRPr="00A04092" w:rsidRDefault="00A04092" w:rsidP="00A04092">
      <w:pPr>
        <w:pStyle w:val="SingleTxtGR"/>
        <w:rPr>
          <w:b/>
          <w:bCs/>
        </w:rPr>
      </w:pPr>
      <w:r w:rsidRPr="00A04092">
        <w:t>50.</w:t>
      </w:r>
      <w:r w:rsidRPr="00A04092">
        <w:tab/>
      </w:r>
      <w:r w:rsidRPr="00A04092">
        <w:rPr>
          <w:b/>
          <w:bCs/>
        </w:rPr>
        <w:t xml:space="preserve">В </w:t>
      </w:r>
      <w:bookmarkStart w:id="4" w:name="_GoBack"/>
      <w:bookmarkEnd w:id="4"/>
      <w:r w:rsidRPr="00A04092">
        <w:rPr>
          <w:b/>
          <w:bCs/>
        </w:rPr>
        <w:t>соответствии с пунктом 5 правила 71 правил процедуры Комитета государству-участнику предлагается предоставить к 27 июля 2020 года информацию об осуществлении рекомендаций, вынесенных Комитетом в пунктах 8 (роль Пакта во внутренней правовой системе), 24 (правосудие переходного периода) и 34 (пытки, неправомерное обращение и условия содержания под стражей) выше.</w:t>
      </w:r>
    </w:p>
    <w:p w:rsidR="00A04092" w:rsidRDefault="00A04092" w:rsidP="00A04092">
      <w:pPr>
        <w:pStyle w:val="SingleTxtGR"/>
        <w:rPr>
          <w:b/>
          <w:bCs/>
        </w:rPr>
      </w:pPr>
      <w:r w:rsidRPr="00A04092">
        <w:t>51.</w:t>
      </w:r>
      <w:r w:rsidRPr="00A04092">
        <w:tab/>
      </w:r>
      <w:r w:rsidRPr="00A04092">
        <w:rPr>
          <w:b/>
          <w:bCs/>
        </w:rPr>
        <w:t>Комитет просит государство-участник представить свой следующий периодический доклад к 27 июля 2022 года и включить в этот доклад конкретную обновленную информацию об осуществлении рекомендаций, вынесенных в настоящих заключительных замечаниях, и Пакта в целом.</w:t>
      </w:r>
      <w:r w:rsidRPr="00A04092">
        <w:t xml:space="preserve"> </w:t>
      </w:r>
      <w:r w:rsidRPr="00A04092">
        <w:rPr>
          <w:b/>
          <w:bCs/>
        </w:rPr>
        <w:t>Комитет также просит государство-участник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организаций.</w:t>
      </w:r>
      <w:r w:rsidRPr="00A04092">
        <w:t xml:space="preserve"> </w:t>
      </w:r>
      <w:r w:rsidRPr="00A04092">
        <w:rPr>
          <w:b/>
          <w:bCs/>
        </w:rPr>
        <w:t>В соответствии с резолюцией 68/268 Генеральной Ассамблеи объем доклада не должен превышать 21 200 слов.</w:t>
      </w:r>
      <w:r w:rsidRPr="00A04092">
        <w:t xml:space="preserve"> </w:t>
      </w:r>
      <w:r w:rsidRPr="00A04092">
        <w:rPr>
          <w:b/>
          <w:bCs/>
        </w:rPr>
        <w:t>В</w:t>
      </w:r>
      <w:r>
        <w:rPr>
          <w:b/>
          <w:bCs/>
        </w:rPr>
        <w:t> </w:t>
      </w:r>
      <w:r w:rsidRPr="00A04092">
        <w:rPr>
          <w:b/>
          <w:bCs/>
        </w:rPr>
        <w:t>качестве альтернативы Комитет предлагает государству-участнику дать до 27</w:t>
      </w:r>
      <w:r>
        <w:rPr>
          <w:b/>
          <w:bCs/>
        </w:rPr>
        <w:t> </w:t>
      </w:r>
      <w:r w:rsidRPr="00A04092">
        <w:rPr>
          <w:b/>
          <w:bCs/>
        </w:rPr>
        <w:t>июля 2019 года согласие на использование его упрощенной процедуры представления докладов, в соответствии с которой Комитет препровождает государству-участнику перечень вопросов до представления им периодического доклада.</w:t>
      </w:r>
      <w:r w:rsidRPr="00A04092">
        <w:t xml:space="preserve"> </w:t>
      </w:r>
      <w:r w:rsidRPr="00A04092">
        <w:rPr>
          <w:b/>
          <w:bCs/>
        </w:rPr>
        <w:t>Ответы государства-участника на этот перечень вопросов будут представлять собой следующий периодический доклад, представляемый в соответствии со статьей 40 Пакта.</w:t>
      </w:r>
    </w:p>
    <w:p w:rsidR="00A04092" w:rsidRPr="00A04092" w:rsidRDefault="00A04092" w:rsidP="00A0409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4092" w:rsidRPr="00A04092" w:rsidSect="00A04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40" w:rsidRPr="00A312BC" w:rsidRDefault="00552640" w:rsidP="00A312BC"/>
  </w:endnote>
  <w:endnote w:type="continuationSeparator" w:id="0">
    <w:p w:rsidR="00552640" w:rsidRPr="00A312BC" w:rsidRDefault="005526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92" w:rsidRPr="00A04092" w:rsidRDefault="00A04092">
    <w:pPr>
      <w:pStyle w:val="a8"/>
    </w:pPr>
    <w:r w:rsidRPr="00A04092">
      <w:rPr>
        <w:b/>
        <w:sz w:val="18"/>
      </w:rPr>
      <w:fldChar w:fldCharType="begin"/>
    </w:r>
    <w:r w:rsidRPr="00A04092">
      <w:rPr>
        <w:b/>
        <w:sz w:val="18"/>
      </w:rPr>
      <w:instrText xml:space="preserve"> PAGE  \* MERGEFORMAT </w:instrText>
    </w:r>
    <w:r w:rsidRPr="00A04092">
      <w:rPr>
        <w:b/>
        <w:sz w:val="18"/>
      </w:rPr>
      <w:fldChar w:fldCharType="separate"/>
    </w:r>
    <w:r w:rsidR="00611A36">
      <w:rPr>
        <w:b/>
        <w:noProof/>
        <w:sz w:val="18"/>
      </w:rPr>
      <w:t>12</w:t>
    </w:r>
    <w:r w:rsidRPr="00A04092">
      <w:rPr>
        <w:b/>
        <w:sz w:val="18"/>
      </w:rPr>
      <w:fldChar w:fldCharType="end"/>
    </w:r>
    <w:r>
      <w:rPr>
        <w:b/>
        <w:sz w:val="18"/>
      </w:rPr>
      <w:tab/>
    </w:r>
    <w:r>
      <w:t>GE.18-14290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92" w:rsidRPr="00A04092" w:rsidRDefault="00A04092" w:rsidP="00A04092">
    <w:pPr>
      <w:pStyle w:val="a8"/>
      <w:tabs>
        <w:tab w:val="clear" w:pos="9639"/>
        <w:tab w:val="right" w:pos="9638"/>
      </w:tabs>
      <w:rPr>
        <w:b/>
        <w:sz w:val="18"/>
      </w:rPr>
    </w:pPr>
    <w:r>
      <w:t>GE.18-14290</w:t>
    </w:r>
    <w:r>
      <w:tab/>
    </w:r>
    <w:r w:rsidRPr="00A04092">
      <w:rPr>
        <w:b/>
        <w:sz w:val="18"/>
      </w:rPr>
      <w:fldChar w:fldCharType="begin"/>
    </w:r>
    <w:r w:rsidRPr="00A04092">
      <w:rPr>
        <w:b/>
        <w:sz w:val="18"/>
      </w:rPr>
      <w:instrText xml:space="preserve"> PAGE  \* MERGEFORMAT </w:instrText>
    </w:r>
    <w:r w:rsidRPr="00A04092">
      <w:rPr>
        <w:b/>
        <w:sz w:val="18"/>
      </w:rPr>
      <w:fldChar w:fldCharType="separate"/>
    </w:r>
    <w:r w:rsidR="00611A36">
      <w:rPr>
        <w:b/>
        <w:noProof/>
        <w:sz w:val="18"/>
      </w:rPr>
      <w:t>11</w:t>
    </w:r>
    <w:r w:rsidRPr="00A040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04092" w:rsidRDefault="00A04092" w:rsidP="00A0409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18-14290  (R)</w:t>
    </w:r>
    <w:r>
      <w:rPr>
        <w:lang w:val="en-US"/>
      </w:rPr>
      <w:t xml:space="preserve">  270918  270918</w:t>
    </w:r>
    <w:r>
      <w:br/>
    </w:r>
    <w:r w:rsidRPr="00A04092">
      <w:rPr>
        <w:rFonts w:ascii="C39T30Lfz" w:hAnsi="C39T30Lfz"/>
        <w:kern w:val="14"/>
        <w:sz w:val="56"/>
      </w:rPr>
      <w:t></w:t>
    </w:r>
    <w:r w:rsidRPr="00A04092">
      <w:rPr>
        <w:rFonts w:ascii="C39T30Lfz" w:hAnsi="C39T30Lfz"/>
        <w:kern w:val="14"/>
        <w:sz w:val="56"/>
      </w:rPr>
      <w:t></w:t>
    </w:r>
    <w:r w:rsidRPr="00A04092">
      <w:rPr>
        <w:rFonts w:ascii="C39T30Lfz" w:hAnsi="C39T30Lfz"/>
        <w:kern w:val="14"/>
        <w:sz w:val="56"/>
      </w:rPr>
      <w:t></w:t>
    </w:r>
    <w:r w:rsidRPr="00A04092">
      <w:rPr>
        <w:rFonts w:ascii="C39T30Lfz" w:hAnsi="C39T30Lfz"/>
        <w:kern w:val="14"/>
        <w:sz w:val="56"/>
      </w:rPr>
      <w:t></w:t>
    </w:r>
    <w:r w:rsidRPr="00A04092">
      <w:rPr>
        <w:rFonts w:ascii="C39T30Lfz" w:hAnsi="C39T30Lfz"/>
        <w:kern w:val="14"/>
        <w:sz w:val="56"/>
      </w:rPr>
      <w:t></w:t>
    </w:r>
    <w:r w:rsidRPr="00A04092">
      <w:rPr>
        <w:rFonts w:ascii="C39T30Lfz" w:hAnsi="C39T30Lfz"/>
        <w:kern w:val="14"/>
        <w:sz w:val="56"/>
      </w:rPr>
      <w:t></w:t>
    </w:r>
    <w:r w:rsidRPr="00A04092">
      <w:rPr>
        <w:rFonts w:ascii="C39T30Lfz" w:hAnsi="C39T30Lfz"/>
        <w:kern w:val="14"/>
        <w:sz w:val="56"/>
      </w:rPr>
      <w:t></w:t>
    </w:r>
    <w:r w:rsidRPr="00A04092">
      <w:rPr>
        <w:rFonts w:ascii="C39T30Lfz" w:hAnsi="C39T30Lfz"/>
        <w:kern w:val="14"/>
        <w:sz w:val="56"/>
      </w:rPr>
      <w:t></w:t>
    </w:r>
    <w:r w:rsidRPr="00A0409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GMB/CO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GMB/CO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40" w:rsidRPr="001075E9" w:rsidRDefault="005526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52640" w:rsidRDefault="005526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04092" w:rsidRPr="0011765E" w:rsidRDefault="00A04092" w:rsidP="00A04092">
      <w:pPr>
        <w:pStyle w:val="ad"/>
      </w:pPr>
      <w:r>
        <w:tab/>
      </w:r>
      <w:r w:rsidRPr="00A04092">
        <w:rPr>
          <w:sz w:val="20"/>
        </w:rPr>
        <w:t>*</w:t>
      </w:r>
      <w:r>
        <w:tab/>
        <w:t>Приняты Комитетом на его 123-й сессии (2–27 июля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92" w:rsidRPr="00A04092" w:rsidRDefault="00A04092">
    <w:pPr>
      <w:pStyle w:val="a5"/>
    </w:pPr>
    <w:fldSimple w:instr=" TITLE  \* MERGEFORMAT ">
      <w:r w:rsidR="00611A36">
        <w:t>CCPR/C/GMB/CO/2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92" w:rsidRPr="00A04092" w:rsidRDefault="00A04092" w:rsidP="00A04092">
    <w:pPr>
      <w:pStyle w:val="a5"/>
      <w:jc w:val="right"/>
    </w:pPr>
    <w:fldSimple w:instr=" TITLE  \* MERGEFORMAT ">
      <w:r w:rsidR="00611A36">
        <w:t>CCPR/C/GMB/CO/2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92" w:rsidRDefault="00A04092" w:rsidP="00A0409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40"/>
    <w:rsid w:val="00021B3E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1D6B"/>
    <w:rsid w:val="002B6F64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86F65"/>
    <w:rsid w:val="003958D0"/>
    <w:rsid w:val="003B00E5"/>
    <w:rsid w:val="00407B78"/>
    <w:rsid w:val="00424203"/>
    <w:rsid w:val="00452493"/>
    <w:rsid w:val="00454E07"/>
    <w:rsid w:val="00472C5C"/>
    <w:rsid w:val="004969B2"/>
    <w:rsid w:val="004A18C3"/>
    <w:rsid w:val="004D4804"/>
    <w:rsid w:val="0050108D"/>
    <w:rsid w:val="00513081"/>
    <w:rsid w:val="00517901"/>
    <w:rsid w:val="00526683"/>
    <w:rsid w:val="00552640"/>
    <w:rsid w:val="005709E0"/>
    <w:rsid w:val="00572E19"/>
    <w:rsid w:val="005961C8"/>
    <w:rsid w:val="005D7914"/>
    <w:rsid w:val="005E2B41"/>
    <w:rsid w:val="005F0B42"/>
    <w:rsid w:val="00611A36"/>
    <w:rsid w:val="00666B97"/>
    <w:rsid w:val="00677CDD"/>
    <w:rsid w:val="00681A10"/>
    <w:rsid w:val="006A1ED8"/>
    <w:rsid w:val="006C2031"/>
    <w:rsid w:val="006D461A"/>
    <w:rsid w:val="006F35EE"/>
    <w:rsid w:val="007021FF"/>
    <w:rsid w:val="00712895"/>
    <w:rsid w:val="00757357"/>
    <w:rsid w:val="00791B9D"/>
    <w:rsid w:val="00811F67"/>
    <w:rsid w:val="00825F8D"/>
    <w:rsid w:val="00834B71"/>
    <w:rsid w:val="0086445C"/>
    <w:rsid w:val="00875956"/>
    <w:rsid w:val="00894693"/>
    <w:rsid w:val="008A08D7"/>
    <w:rsid w:val="008B6909"/>
    <w:rsid w:val="009041FC"/>
    <w:rsid w:val="00906890"/>
    <w:rsid w:val="00911BE4"/>
    <w:rsid w:val="00951972"/>
    <w:rsid w:val="009608F3"/>
    <w:rsid w:val="009918E2"/>
    <w:rsid w:val="009A24AC"/>
    <w:rsid w:val="00A006FA"/>
    <w:rsid w:val="00A04092"/>
    <w:rsid w:val="00A14DA8"/>
    <w:rsid w:val="00A22F88"/>
    <w:rsid w:val="00A312BC"/>
    <w:rsid w:val="00A34D07"/>
    <w:rsid w:val="00A84021"/>
    <w:rsid w:val="00A84D35"/>
    <w:rsid w:val="00A917B3"/>
    <w:rsid w:val="00AB11CE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6386D"/>
    <w:rsid w:val="00C805C9"/>
    <w:rsid w:val="00C92939"/>
    <w:rsid w:val="00CA1679"/>
    <w:rsid w:val="00CB151C"/>
    <w:rsid w:val="00CB78D4"/>
    <w:rsid w:val="00CE5A1A"/>
    <w:rsid w:val="00CF55F6"/>
    <w:rsid w:val="00D33D63"/>
    <w:rsid w:val="00D90028"/>
    <w:rsid w:val="00D90138"/>
    <w:rsid w:val="00D9090B"/>
    <w:rsid w:val="00D92005"/>
    <w:rsid w:val="00DD78D1"/>
    <w:rsid w:val="00DE32CD"/>
    <w:rsid w:val="00DF71B9"/>
    <w:rsid w:val="00E005F7"/>
    <w:rsid w:val="00E06BEE"/>
    <w:rsid w:val="00E1674B"/>
    <w:rsid w:val="00E46656"/>
    <w:rsid w:val="00E7244A"/>
    <w:rsid w:val="00E73F76"/>
    <w:rsid w:val="00EA2C9F"/>
    <w:rsid w:val="00EA420E"/>
    <w:rsid w:val="00ED0BDA"/>
    <w:rsid w:val="00EF1360"/>
    <w:rsid w:val="00EF3220"/>
    <w:rsid w:val="00F04CAB"/>
    <w:rsid w:val="00F43903"/>
    <w:rsid w:val="00F7141C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FDC85D"/>
  <w15:docId w15:val="{E2C7EA61-5B19-4F88-B274-E5C501D8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005F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A04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AD6F8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AD6F87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AD6F8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R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AD6F87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3</TotalTime>
  <Pages>12</Pages>
  <Words>4664</Words>
  <Characters>31984</Characters>
  <Application>Microsoft Office Word</Application>
  <DocSecurity>0</DocSecurity>
  <Lines>579</Lines>
  <Paragraphs>145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CCPR/C/GMB/CO/2</vt:lpstr>
      <vt:lpstr>A/</vt:lpstr>
      <vt:lpstr>A/</vt:lpstr>
    </vt:vector>
  </TitlesOfParts>
  <Company>DCM</Company>
  <LinksUpToDate>false</LinksUpToDate>
  <CharactersWithSpaces>36649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CCPR/C/GMB/CO/2</dc:title>
  <dc:subject/>
  <dc:creator>Olga OVTCHINNIKOVA</dc:creator>
  <cp:keywords/>
  <cp:lastModifiedBy>Olga Ovchinnikova</cp:lastModifiedBy>
  <cp:revision>5</cp:revision>
  <cp:lastPrinted>2018-09-27T09:54:00Z</cp:lastPrinted>
  <dcterms:created xsi:type="dcterms:W3CDTF">2018-09-27T09:53:00Z</dcterms:created>
  <dcterms:modified xsi:type="dcterms:W3CDTF">2018-09-27T09:56:00Z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