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87760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B86CA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8776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B86CA3" w:rsidP="00B86CA3">
            <w:pPr>
              <w:jc w:val="right"/>
            </w:pPr>
            <w:r w:rsidRPr="00B86CA3">
              <w:rPr>
                <w:sz w:val="40"/>
              </w:rPr>
              <w:t>CED</w:t>
            </w:r>
            <w:r>
              <w:t>/C/SVK/CO/1</w:t>
            </w:r>
          </w:p>
        </w:tc>
      </w:tr>
      <w:tr w:rsidR="002D5AAC" w:rsidRPr="00B86CA3" w:rsidTr="008776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877609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616C312" wp14:editId="5246516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B36DF7" w:rsidP="00877609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sz w:val="34"/>
                <w:szCs w:val="34"/>
              </w:rPr>
              <w:t>Международная к</w:t>
            </w:r>
            <w:r w:rsidRPr="008B759B">
              <w:rPr>
                <w:b/>
                <w:spacing w:val="-4"/>
                <w:sz w:val="34"/>
                <w:szCs w:val="34"/>
              </w:rPr>
              <w:t>онвенция</w:t>
            </w:r>
            <w:r w:rsidRPr="00566BAD">
              <w:rPr>
                <w:b/>
                <w:spacing w:val="-4"/>
                <w:sz w:val="34"/>
                <w:szCs w:val="34"/>
              </w:rPr>
              <w:t xml:space="preserve"> </w:t>
            </w:r>
            <w:r>
              <w:rPr>
                <w:b/>
                <w:spacing w:val="-4"/>
                <w:sz w:val="34"/>
                <w:szCs w:val="34"/>
              </w:rPr>
              <w:br/>
              <w:t>для защиты всех лиц от</w:t>
            </w:r>
            <w:r>
              <w:rPr>
                <w:b/>
                <w:spacing w:val="-4"/>
                <w:sz w:val="34"/>
                <w:szCs w:val="34"/>
              </w:rPr>
              <w:br/>
              <w:t>насильственных исчезновений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B86CA3" w:rsidRDefault="00B86CA3" w:rsidP="00877609">
            <w:pPr>
              <w:spacing w:before="240"/>
              <w:rPr>
                <w:lang w:val="en-US"/>
              </w:rPr>
            </w:pPr>
            <w:r w:rsidRPr="00B86CA3">
              <w:rPr>
                <w:lang w:val="en-US"/>
              </w:rPr>
              <w:t>Distr.: General</w:t>
            </w:r>
          </w:p>
          <w:p w:rsidR="00B86CA3" w:rsidRPr="00B86CA3" w:rsidRDefault="00B86CA3" w:rsidP="00B86CA3">
            <w:pPr>
              <w:spacing w:line="240" w:lineRule="exact"/>
              <w:rPr>
                <w:lang w:val="en-US"/>
              </w:rPr>
            </w:pPr>
            <w:r w:rsidRPr="00B86CA3">
              <w:rPr>
                <w:lang w:val="en-US"/>
              </w:rPr>
              <w:t>24 October 2019</w:t>
            </w:r>
          </w:p>
          <w:p w:rsidR="00B86CA3" w:rsidRPr="00B86CA3" w:rsidRDefault="00B86CA3" w:rsidP="00B86CA3">
            <w:pPr>
              <w:spacing w:line="240" w:lineRule="exact"/>
              <w:rPr>
                <w:lang w:val="en-US"/>
              </w:rPr>
            </w:pPr>
            <w:r w:rsidRPr="00B86CA3">
              <w:rPr>
                <w:lang w:val="en-US"/>
              </w:rPr>
              <w:t>Russian</w:t>
            </w:r>
          </w:p>
          <w:p w:rsidR="00B86CA3" w:rsidRPr="00B86CA3" w:rsidRDefault="00B86CA3" w:rsidP="00B86CA3">
            <w:pPr>
              <w:spacing w:line="240" w:lineRule="exact"/>
              <w:rPr>
                <w:lang w:val="en-US"/>
              </w:rPr>
            </w:pPr>
            <w:r w:rsidRPr="00B86CA3">
              <w:rPr>
                <w:lang w:val="en-US"/>
              </w:rPr>
              <w:t>Original: English</w:t>
            </w:r>
          </w:p>
        </w:tc>
      </w:tr>
    </w:tbl>
    <w:p w:rsidR="00B86CA3" w:rsidRPr="00B86CA3" w:rsidRDefault="00B86CA3" w:rsidP="00B86CA3">
      <w:pPr>
        <w:spacing w:before="120"/>
        <w:rPr>
          <w:sz w:val="24"/>
          <w:szCs w:val="24"/>
        </w:rPr>
      </w:pPr>
      <w:r w:rsidRPr="00B86CA3">
        <w:rPr>
          <w:b/>
          <w:bCs/>
          <w:sz w:val="24"/>
          <w:szCs w:val="24"/>
        </w:rPr>
        <w:t>Комитет по насильственным исчезновениям</w:t>
      </w:r>
    </w:p>
    <w:p w:rsidR="00B86CA3" w:rsidRPr="00001DEA" w:rsidRDefault="00B86CA3" w:rsidP="00B86CA3">
      <w:pPr>
        <w:pStyle w:val="HChG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>Заключительные замечания по докладу, представленному Словакией в соответствии с пунктом 1 статьи 29 Конвенции</w:t>
      </w:r>
      <w:r w:rsidRPr="00B86CA3">
        <w:rPr>
          <w:rStyle w:val="aa"/>
          <w:b w:val="0"/>
          <w:bCs/>
          <w:sz w:val="20"/>
          <w:szCs w:val="22"/>
          <w:vertAlign w:val="baseline"/>
        </w:rPr>
        <w:footnoteReference w:customMarkFollows="1" w:id="1"/>
        <w:t>*</w:t>
      </w:r>
    </w:p>
    <w:p w:rsidR="00B86CA3" w:rsidRPr="00001DEA" w:rsidRDefault="00B86CA3" w:rsidP="00B86CA3">
      <w:pPr>
        <w:pStyle w:val="SingleTxtG"/>
      </w:pPr>
      <w:r>
        <w:t>1.</w:t>
      </w:r>
      <w:r>
        <w:tab/>
        <w:t>Комитет по насильственным исчезновениям рассмотрел доклад, представленный Словакией в соответствии с пунктом 1 статьи 29 Конвенции (CED/C/SVK/1), на своих 299-м и 300-м заседаниях (см. CED/C/SR.299 и 300), состоявшихся 2 и 3 октября 2019 года. На своем 309-м заседании 10 октября 2019 года он принял настоящие заключительные замечания.</w:t>
      </w:r>
    </w:p>
    <w:p w:rsidR="00B86CA3" w:rsidRPr="007D3907" w:rsidRDefault="00B86CA3" w:rsidP="00B86CA3">
      <w:pPr>
        <w:pStyle w:val="H1G"/>
      </w:pPr>
      <w:r>
        <w:rPr>
          <w:bCs/>
        </w:rPr>
        <w:tab/>
      </w:r>
      <w:r>
        <w:rPr>
          <w:bCs/>
        </w:rPr>
        <w:t>A.</w:t>
      </w:r>
      <w:r>
        <w:tab/>
      </w:r>
      <w:r>
        <w:tab/>
      </w:r>
      <w:r>
        <w:rPr>
          <w:bCs/>
        </w:rPr>
        <w:t>Введение</w:t>
      </w:r>
    </w:p>
    <w:p w:rsidR="00B86CA3" w:rsidRPr="00001DEA" w:rsidRDefault="00B86CA3" w:rsidP="00B86CA3">
      <w:pPr>
        <w:pStyle w:val="SingleTxtG"/>
      </w:pPr>
      <w:r>
        <w:t>2.</w:t>
      </w:r>
      <w:r>
        <w:tab/>
        <w:t xml:space="preserve">Комитет приветствует доклад, представленный Словакией в соответствии с пунктом 1 статьи 29 Конвенции и подготовленный с учетом руководящих принципов представления докладов, а также содержащуюся в нем информацию. Кроме того, Комитет выражает признательность за конструктивный диалог, который состоялся с делегацией государства-участника по вопросу о мерах, принятых для осуществления положений Конвенции, и позволил снять многие вопросы, вызывавшие у него обеспокоенность, и с особым удовлетворением отмечает открытость, с которой делегация отвечала на заданные им вопросы. </w:t>
      </w:r>
    </w:p>
    <w:p w:rsidR="00B86CA3" w:rsidRPr="00001DEA" w:rsidRDefault="00B86CA3" w:rsidP="00B86CA3">
      <w:pPr>
        <w:pStyle w:val="SingleTxtG"/>
      </w:pPr>
      <w:r>
        <w:t>3.</w:t>
      </w:r>
      <w:r>
        <w:tab/>
        <w:t>Комитет благодарит государство-участник за его письменные ответы (CED/C/SVK/Q/1/Add.1) на перечень вопросов (CED/C/SVK/Q/1), которые были дополнены устными ответами членов делегации в ходе диалога, а также за дополнительную информацию, представленную в письменном виде.</w:t>
      </w:r>
    </w:p>
    <w:p w:rsidR="00B86CA3" w:rsidRPr="007D3907" w:rsidRDefault="00B86CA3" w:rsidP="00B86CA3">
      <w:pPr>
        <w:pStyle w:val="H1G"/>
      </w:pPr>
      <w:r>
        <w:rPr>
          <w:bCs/>
        </w:rPr>
        <w:tab/>
      </w:r>
      <w:r>
        <w:rPr>
          <w:bCs/>
        </w:rPr>
        <w:t>B.</w:t>
      </w:r>
      <w:r>
        <w:tab/>
      </w:r>
      <w:r>
        <w:tab/>
      </w:r>
      <w:r>
        <w:rPr>
          <w:bCs/>
        </w:rPr>
        <w:t>Позитивные аспекты</w:t>
      </w:r>
      <w:r>
        <w:t xml:space="preserve"> </w:t>
      </w:r>
    </w:p>
    <w:p w:rsidR="00B86CA3" w:rsidRPr="00001DEA" w:rsidRDefault="00B86CA3" w:rsidP="00B86CA3">
      <w:pPr>
        <w:pStyle w:val="SingleTxtG"/>
      </w:pPr>
      <w:r>
        <w:t>4.</w:t>
      </w:r>
      <w:r>
        <w:tab/>
        <w:t>Комитет высоко оценивает тот факт, что государство-участник присоединилось практически ко всем основным договорам Организации Объединенных Наций по правам человека и факультативным протоколам к ним, а также к Римскому статуту Международного уголовного суда.</w:t>
      </w:r>
    </w:p>
    <w:p w:rsidR="00B86CA3" w:rsidRPr="00001DEA" w:rsidRDefault="00B86CA3" w:rsidP="00B86CA3">
      <w:pPr>
        <w:pStyle w:val="SingleTxtG"/>
      </w:pPr>
      <w:r>
        <w:t>5.</w:t>
      </w:r>
      <w:r>
        <w:tab/>
        <w:t>Комитет приветствует тот факт, что государство-участник признало компетенцию Комитета получать и рассматривать индивидуальные и межгосударственные сообщения в соответствии со статьями 31 и 32 Конвенции.</w:t>
      </w:r>
    </w:p>
    <w:p w:rsidR="00B86CA3" w:rsidRPr="00001DEA" w:rsidRDefault="00B86CA3" w:rsidP="00B86CA3">
      <w:pPr>
        <w:pStyle w:val="SingleTxtG"/>
      </w:pPr>
      <w:r>
        <w:t>6.</w:t>
      </w:r>
      <w:r>
        <w:tab/>
        <w:t xml:space="preserve">Комитет с удовлетворением отмечает представленную государством-участником информацию о том, что в соответствии с Конституцией Конвенция </w:t>
      </w:r>
      <w:r>
        <w:lastRenderedPageBreak/>
        <w:t xml:space="preserve">является неотъемлемой частью его внутреннего законодательства и поэтому подлежит прямому применению. </w:t>
      </w:r>
    </w:p>
    <w:p w:rsidR="00B86CA3" w:rsidRPr="00001DEA" w:rsidRDefault="00B86CA3" w:rsidP="00B86CA3">
      <w:pPr>
        <w:pStyle w:val="SingleTxtG"/>
      </w:pPr>
      <w:r>
        <w:t>7.</w:t>
      </w:r>
      <w:r>
        <w:tab/>
        <w:t>Комитет приветствует законодательные меры, принятые государством-участником по вопросам, связанным с Конвенцией, в частности следующие положения Уголовного кодекса:</w:t>
      </w:r>
    </w:p>
    <w:p w:rsidR="00B86CA3" w:rsidRPr="00001DEA" w:rsidRDefault="00B86CA3" w:rsidP="00B86CA3">
      <w:pPr>
        <w:pStyle w:val="SingleTxtG"/>
      </w:pPr>
      <w:r>
        <w:tab/>
      </w:r>
      <w:r>
        <w:tab/>
        <w:t>a)</w:t>
      </w:r>
      <w:r>
        <w:tab/>
        <w:t>статью 420 а), в которой насильственное исчезновение квалифицируется в качестве уголовного преступления в соответствии с определением, содержащимся в статье 2 Конвенции, устанавливается уголовная ответственность начальников в случаях насильственного исчезновения, определяется уголовная ответственность за неправомерное изъятие детей и подделку, сокрытие и уничтожение документов, удостоверяющих подлинную личность детей, подвергшихся неправомерному изъятию, и устанавливаются отягчающие обстоятельства насильственного исчезновения, когда преступление совершается в отношении уязвимого или находящегося под защитой лица либо влечет за собой тяжкие телесные повреждения или смерть;</w:t>
      </w:r>
    </w:p>
    <w:p w:rsidR="00B86CA3" w:rsidRPr="00001DEA" w:rsidRDefault="00B86CA3" w:rsidP="00B86CA3">
      <w:pPr>
        <w:pStyle w:val="SingleTxtG"/>
      </w:pPr>
      <w:r>
        <w:tab/>
      </w:r>
      <w:r>
        <w:tab/>
        <w:t>b)</w:t>
      </w:r>
      <w:r>
        <w:tab/>
        <w:t>пункт 2 статьи 28, в котором устанавливается, что никто не освобождается от судебного преследования за акты насильственных исчезновений, даже если они совершаются, в частности, на основании решения, принятого государственным органом;</w:t>
      </w:r>
    </w:p>
    <w:p w:rsidR="00B86CA3" w:rsidRPr="00001DEA" w:rsidRDefault="00B86CA3" w:rsidP="00B86CA3">
      <w:pPr>
        <w:pStyle w:val="SingleTxtG"/>
      </w:pPr>
      <w:r>
        <w:tab/>
      </w:r>
      <w:r>
        <w:tab/>
        <w:t>с)</w:t>
      </w:r>
      <w:r>
        <w:tab/>
        <w:t xml:space="preserve">статью 88, в которой устанавливается, что к уголовному преступлению насильственного исчезновения срок давности не применяется. </w:t>
      </w:r>
    </w:p>
    <w:p w:rsidR="00B86CA3" w:rsidRPr="00001DEA" w:rsidRDefault="00B86CA3" w:rsidP="00B86CA3">
      <w:pPr>
        <w:pStyle w:val="SingleTxtG"/>
      </w:pPr>
      <w:r>
        <w:t>8.</w:t>
      </w:r>
      <w:r>
        <w:tab/>
        <w:t xml:space="preserve">Комитет приветствует также утверждение государства-участника о том, что фраза </w:t>
      </w:r>
      <w:r>
        <w:t>«</w:t>
      </w:r>
      <w:r>
        <w:t>тем самым лишая их возможности осуществлять правовую защиту</w:t>
      </w:r>
      <w:r>
        <w:t>»</w:t>
      </w:r>
      <w:r>
        <w:t xml:space="preserve">, включенная в определение насильственного исчезновения, содержащееся в пункте 1 статьи </w:t>
      </w:r>
      <w:proofErr w:type="gramStart"/>
      <w:r>
        <w:t>420</w:t>
      </w:r>
      <w:proofErr w:type="gramEnd"/>
      <w:r>
        <w:t xml:space="preserve"> а) Уголовного кодекса, </w:t>
      </w:r>
      <w:r>
        <w:t>«</w:t>
      </w:r>
      <w:r>
        <w:t>должна толковаться как следствие поведения правонарушителя</w:t>
      </w:r>
      <w:r>
        <w:t>»</w:t>
      </w:r>
      <w:r>
        <w:t xml:space="preserve"> (CED/C/SVK/Q/1/Add.1, пункт 15). </w:t>
      </w:r>
    </w:p>
    <w:p w:rsidR="00B86CA3" w:rsidRPr="007D3907" w:rsidRDefault="00B86CA3" w:rsidP="00B86CA3">
      <w:pPr>
        <w:pStyle w:val="H1G"/>
      </w:pPr>
      <w:r>
        <w:rPr>
          <w:bCs/>
        </w:rPr>
        <w:tab/>
      </w:r>
      <w:r>
        <w:rPr>
          <w:bCs/>
        </w:rPr>
        <w:t>C.</w:t>
      </w:r>
      <w:r>
        <w:tab/>
      </w:r>
      <w:r>
        <w:tab/>
      </w:r>
      <w:r>
        <w:rPr>
          <w:bCs/>
        </w:rPr>
        <w:t>Основные вопросы</w:t>
      </w:r>
      <w:r>
        <w:rPr>
          <w:bCs/>
        </w:rPr>
        <w:t>, вызывающие обеспокоенность, и </w:t>
      </w:r>
      <w:r>
        <w:rPr>
          <w:bCs/>
        </w:rPr>
        <w:t>рекомендации</w:t>
      </w:r>
      <w:r>
        <w:t xml:space="preserve"> </w:t>
      </w:r>
    </w:p>
    <w:p w:rsidR="00B86CA3" w:rsidRPr="00001DEA" w:rsidRDefault="00B86CA3" w:rsidP="00B86CA3">
      <w:pPr>
        <w:pStyle w:val="SingleTxtG"/>
      </w:pPr>
      <w:r>
        <w:t>9.</w:t>
      </w:r>
      <w:r>
        <w:tab/>
        <w:t>Комитет высоко оценивает меры, принимавшиеся государством-участником для соблюдения положений Конвенции</w:t>
      </w:r>
      <w:r w:rsidRPr="0075715D">
        <w:t xml:space="preserve"> </w:t>
      </w:r>
      <w:r>
        <w:t>до настоящего времени. Комитет призывает государство-участник выполнять свои рекомендации, которые были сформулированы в конструктивном духе сотрудничества, с тем чтобы обеспечить полное осуществление Конвенции де-юре и де-факто.</w:t>
      </w:r>
    </w:p>
    <w:p w:rsidR="00B86CA3" w:rsidRPr="007D3907" w:rsidRDefault="00B86CA3" w:rsidP="00B86CA3">
      <w:pPr>
        <w:pStyle w:val="H23G"/>
      </w:pPr>
      <w:r>
        <w:rPr>
          <w:bCs/>
        </w:rPr>
        <w:tab/>
      </w:r>
      <w:r>
        <w:rPr>
          <w:bCs/>
        </w:rPr>
        <w:t>1.</w:t>
      </w:r>
      <w:r>
        <w:tab/>
      </w:r>
      <w:r>
        <w:tab/>
      </w:r>
      <w:r>
        <w:rPr>
          <w:bCs/>
        </w:rPr>
        <w:t>Общие сведения</w:t>
      </w:r>
    </w:p>
    <w:p w:rsidR="00B86CA3" w:rsidRPr="00505D16" w:rsidRDefault="00B86CA3" w:rsidP="00B86CA3">
      <w:pPr>
        <w:pStyle w:val="H23G"/>
        <w:rPr>
          <w:b w:val="0"/>
        </w:rPr>
      </w:pPr>
      <w:r>
        <w:tab/>
      </w:r>
      <w:r>
        <w:tab/>
      </w:r>
      <w:r>
        <w:rPr>
          <w:bCs/>
        </w:rPr>
        <w:t>Национальное правозащитное учреждение</w:t>
      </w:r>
    </w:p>
    <w:p w:rsidR="00B86CA3" w:rsidRPr="00001DEA" w:rsidRDefault="00B86CA3" w:rsidP="00B86CA3">
      <w:pPr>
        <w:pStyle w:val="SingleTxtG"/>
      </w:pPr>
      <w:r>
        <w:t>10.</w:t>
      </w:r>
      <w:r>
        <w:tab/>
        <w:t>Комитет с обеспокоенностью замечает, что Словацкий национальный центр по правам человека пока не в полной мере соответствует принципам, касающимся статуса национальных учреждений, занимающихся поощрением и защитой прав человека (Парижские принципы). С удовлетворением отмечая, что бюджет Национального центра был недавно увеличен на 40% и что численность его персонала возросла на семь человек, Комитет, тем не менее, сожалеет, что предложенная правительством законодательная реформа, направленная на совершенствование нормативной базы Национального центра, не получила необходимой поддержки в Национальном совете Словацкой Республики. В этой связи Комитет с интересом отмечает, что предложение о реформе будет вновь представлено Национальному совету в следующий срок.</w:t>
      </w:r>
    </w:p>
    <w:p w:rsidR="00B86CA3" w:rsidRPr="00001DEA" w:rsidRDefault="00B86CA3" w:rsidP="00B86CA3">
      <w:pPr>
        <w:pStyle w:val="SingleTxtG"/>
        <w:rPr>
          <w:b/>
        </w:rPr>
      </w:pPr>
      <w:r>
        <w:t>11.</w:t>
      </w:r>
      <w:r>
        <w:tab/>
      </w:r>
      <w:r>
        <w:rPr>
          <w:b/>
          <w:bCs/>
        </w:rPr>
        <w:t>Комитет рекомендует государству-участнику продолжать и активизировать усилия по приведению Словацкого национального центра по правам человека в полное соответствие с Парижскими принципами, в частности путем скорейшего проведения законодательной реформы, необходимой для совершенствования его нормативной базы.</w:t>
      </w:r>
    </w:p>
    <w:p w:rsidR="00B86CA3" w:rsidRPr="007D3907" w:rsidRDefault="00B86CA3" w:rsidP="00B86CA3">
      <w:pPr>
        <w:pStyle w:val="H23G"/>
      </w:pPr>
      <w:r>
        <w:rPr>
          <w:bCs/>
        </w:rPr>
        <w:lastRenderedPageBreak/>
        <w:tab/>
      </w:r>
      <w:r>
        <w:rPr>
          <w:bCs/>
        </w:rPr>
        <w:t>2.</w:t>
      </w:r>
      <w:r>
        <w:rPr>
          <w:bCs/>
        </w:rPr>
        <w:tab/>
      </w:r>
      <w:r>
        <w:tab/>
      </w:r>
      <w:r>
        <w:rPr>
          <w:bCs/>
        </w:rPr>
        <w:t>Уголовная ответственность и сотрудниче</w:t>
      </w:r>
      <w:r>
        <w:rPr>
          <w:bCs/>
        </w:rPr>
        <w:t>ство судебных органов в связи с </w:t>
      </w:r>
      <w:r>
        <w:rPr>
          <w:bCs/>
        </w:rPr>
        <w:t>насильственными исчезновениями (статьи 8–15)</w:t>
      </w:r>
      <w:r>
        <w:t xml:space="preserve"> </w:t>
      </w:r>
    </w:p>
    <w:p w:rsidR="00B86CA3" w:rsidRPr="00001DEA" w:rsidRDefault="00B86CA3" w:rsidP="00B86CA3">
      <w:pPr>
        <w:pStyle w:val="H23G"/>
      </w:pPr>
      <w:r>
        <w:tab/>
      </w:r>
      <w:r>
        <w:tab/>
      </w:r>
      <w:r>
        <w:rPr>
          <w:bCs/>
        </w:rPr>
        <w:t>Юрисдикция</w:t>
      </w:r>
    </w:p>
    <w:p w:rsidR="00B86CA3" w:rsidRPr="00001DEA" w:rsidRDefault="00B86CA3" w:rsidP="00B86CA3">
      <w:pPr>
        <w:pStyle w:val="SingleTxtG"/>
      </w:pPr>
      <w:r>
        <w:t>12.</w:t>
      </w:r>
      <w:r>
        <w:tab/>
        <w:t xml:space="preserve">Комитет принимает к сведению представленную государством-участником информацию о применимом к юрисдикции его судов </w:t>
      </w:r>
      <w:r>
        <w:t>законодательстве, включая пункт </w:t>
      </w:r>
      <w:r>
        <w:t xml:space="preserve">1 статьи 7 Уголовного кодекса, который гарантирует уголовную ответственность, если она предусмотрена международным договором, имеющим обязательную силу для государства-участника. Вместе с тем, с учетом статьи 6 Уголовного кодекса, Комитету неясно, будут ли национальные суды – в соответствии с пунктом 2 статьи 9 Конвенции – компетентны, согласно национальному законодательству, осуществлять юрисдикцию в отношении преступления насильственного исчезновения, если предполагаемый преступник, являющийся иностранным гражданином и не имеющий статуса постоянного жителя государства-участника, находится на его территории, если он не выдается и если страна, в которой предположительно имело место насильственное исчезновение, конкретно не квалифицирует его в качестве уголовного преступления (статья 9). </w:t>
      </w:r>
    </w:p>
    <w:p w:rsidR="00B86CA3" w:rsidRPr="00001DEA" w:rsidRDefault="00B86CA3" w:rsidP="00B86CA3">
      <w:pPr>
        <w:pStyle w:val="SingleTxtG"/>
        <w:rPr>
          <w:b/>
          <w:bCs/>
        </w:rPr>
      </w:pPr>
      <w:r>
        <w:t>13.</w:t>
      </w:r>
      <w:r>
        <w:tab/>
      </w:r>
      <w:r>
        <w:rPr>
          <w:b/>
          <w:bCs/>
        </w:rPr>
        <w:t>Комитет рекомендует государству-участнику обеспечить, чтобы никакие условия, не предусмотренные в Конвенции, в частности обоюдное признание деяния преступлением, не влияли на осуществление юрисдикции его судами в соответствии с пунктом 2 статьи 9 Конвенции.</w:t>
      </w:r>
      <w:r>
        <w:t xml:space="preserve"> </w:t>
      </w:r>
      <w:r>
        <w:rPr>
          <w:b/>
          <w:bCs/>
        </w:rPr>
        <w:t xml:space="preserve">Кроме того, Комитет призывает государство-участник рассмотреть возможность включения насильственных исчезновений (статья </w:t>
      </w:r>
      <w:proofErr w:type="gramStart"/>
      <w:r>
        <w:rPr>
          <w:b/>
          <w:bCs/>
        </w:rPr>
        <w:t>420</w:t>
      </w:r>
      <w:proofErr w:type="gramEnd"/>
      <w:r>
        <w:rPr>
          <w:b/>
          <w:bCs/>
        </w:rPr>
        <w:t xml:space="preserve"> а) Уголовного кодекса) в перечень преступлений, содержащийся в статье 5 а) Уголовного кодекса, что является основанием для универсальной юрисдикции.</w:t>
      </w:r>
    </w:p>
    <w:p w:rsidR="00B86CA3" w:rsidRPr="007D3907" w:rsidRDefault="00B86CA3" w:rsidP="00B86CA3">
      <w:pPr>
        <w:pStyle w:val="H23G"/>
      </w:pPr>
      <w:r>
        <w:rPr>
          <w:bCs/>
        </w:rPr>
        <w:tab/>
      </w:r>
      <w:r>
        <w:rPr>
          <w:bCs/>
        </w:rPr>
        <w:t>3.</w:t>
      </w:r>
      <w:r>
        <w:rPr>
          <w:bCs/>
        </w:rPr>
        <w:tab/>
      </w:r>
      <w:r>
        <w:tab/>
      </w:r>
      <w:r>
        <w:rPr>
          <w:bCs/>
        </w:rPr>
        <w:t>Меры по предупреждению насильственных исчезновений (статьи 16−23)</w:t>
      </w:r>
      <w:r>
        <w:t xml:space="preserve"> </w:t>
      </w:r>
    </w:p>
    <w:p w:rsidR="00B86CA3" w:rsidRPr="00001DEA" w:rsidRDefault="00B86CA3" w:rsidP="00B86CA3">
      <w:pPr>
        <w:pStyle w:val="H23G"/>
      </w:pPr>
      <w:r>
        <w:tab/>
      </w:r>
      <w:r>
        <w:tab/>
      </w:r>
      <w:proofErr w:type="spellStart"/>
      <w:r>
        <w:rPr>
          <w:bCs/>
        </w:rPr>
        <w:t>Невыдворение</w:t>
      </w:r>
      <w:proofErr w:type="spellEnd"/>
    </w:p>
    <w:p w:rsidR="00B86CA3" w:rsidRPr="00001DEA" w:rsidRDefault="00B86CA3" w:rsidP="00B86CA3">
      <w:pPr>
        <w:pStyle w:val="SingleTxtG"/>
      </w:pPr>
      <w:r>
        <w:t>14.</w:t>
      </w:r>
      <w:r>
        <w:tab/>
        <w:t xml:space="preserve">Комитет принимает к сведению представленную государством-участником информацию о действующем законодательстве в области выдачи и высылки в целях обеспечения соблюдения принципа </w:t>
      </w:r>
      <w:proofErr w:type="spellStart"/>
      <w:r>
        <w:t>невыдворения</w:t>
      </w:r>
      <w:proofErr w:type="spellEnd"/>
      <w:r>
        <w:t xml:space="preserve">, хотя и замечает, что насильственное исчезновение в этом контексте прямо не упоминается. Комитет отмечает также, что решение суда о приемлемости просьбы о выдаче может быть обжаловано в Верховный суд. Однако он обеспокоен тем, что решение министра юстиции о выдаче, принятое с учетом существующих в запрашивающем государстве рисков, является окончательным и обжалованию не подлежит. Кроме того, Комитет обеспокоен тем, что применение принципа </w:t>
      </w:r>
      <w:proofErr w:type="spellStart"/>
      <w:r>
        <w:t>невыдворения</w:t>
      </w:r>
      <w:proofErr w:type="spellEnd"/>
      <w:r>
        <w:t xml:space="preserve"> носит дискреционный характер в тех случаях, когда соответствующее лицо считается опасным для безопасности государства-участника или было осуждено за особо тяжкое преступление и представляет угрозу для государства-участника (статья 16).</w:t>
      </w:r>
    </w:p>
    <w:p w:rsidR="00B86CA3" w:rsidRPr="00001DEA" w:rsidRDefault="00B86CA3" w:rsidP="00B86CA3">
      <w:pPr>
        <w:pStyle w:val="SingleTxtG"/>
        <w:rPr>
          <w:b/>
          <w:bCs/>
        </w:rPr>
      </w:pPr>
      <w:r>
        <w:t>15.</w:t>
      </w:r>
      <w:r>
        <w:tab/>
      </w:r>
      <w:r>
        <w:rPr>
          <w:b/>
          <w:bCs/>
        </w:rPr>
        <w:t>Комитет рекомендует государству-участнику обеспечить строгое соблюдение</w:t>
      </w:r>
      <w:r>
        <w:t xml:space="preserve"> </w:t>
      </w:r>
      <w:r>
        <w:rPr>
          <w:b/>
          <w:bCs/>
        </w:rPr>
        <w:t xml:space="preserve">принципа </w:t>
      </w:r>
      <w:proofErr w:type="spellStart"/>
      <w:r>
        <w:rPr>
          <w:b/>
          <w:bCs/>
        </w:rPr>
        <w:t>невыдворения</w:t>
      </w:r>
      <w:proofErr w:type="spellEnd"/>
      <w:r>
        <w:rPr>
          <w:b/>
          <w:bCs/>
        </w:rPr>
        <w:t>, закрепленного в пункте 1 статьи 16 Конвенции, во всех случаях и без исключений.</w:t>
      </w:r>
      <w:r>
        <w:t xml:space="preserve"> </w:t>
      </w:r>
      <w:r>
        <w:rPr>
          <w:b/>
          <w:bCs/>
        </w:rPr>
        <w:t>В этой связи Комитет рекомендует государству-участнику:</w:t>
      </w:r>
      <w:r>
        <w:t xml:space="preserve"> </w:t>
      </w:r>
    </w:p>
    <w:p w:rsidR="00B86CA3" w:rsidRPr="00B86CA3" w:rsidRDefault="00B86CA3" w:rsidP="00B86CA3">
      <w:pPr>
        <w:pStyle w:val="SingleTxtG"/>
        <w:rPr>
          <w:b/>
          <w:bCs/>
        </w:rPr>
      </w:pPr>
      <w:r>
        <w:tab/>
      </w:r>
      <w:r>
        <w:tab/>
      </w:r>
      <w:r w:rsidRPr="00B86CA3">
        <w:rPr>
          <w:b/>
        </w:rPr>
        <w:t>a)</w:t>
      </w:r>
      <w:r w:rsidRPr="00B86CA3">
        <w:rPr>
          <w:b/>
        </w:rPr>
        <w:tab/>
      </w:r>
      <w:r w:rsidRPr="00B86CA3">
        <w:rPr>
          <w:b/>
          <w:bCs/>
        </w:rPr>
        <w:t>рассмотреть возможность включения в свое внутреннее законодательство конкретного положения, запрещающего высылку, выдворение, передачу или выдачу любого лица при наличии веских оснований полагать, что оно может подвергнуться опасности стать жертвой насильственного исчезновения;</w:t>
      </w:r>
    </w:p>
    <w:p w:rsidR="00B86CA3" w:rsidRPr="00B86CA3" w:rsidRDefault="00B86CA3" w:rsidP="00B86CA3">
      <w:pPr>
        <w:pStyle w:val="SingleTxtG"/>
        <w:rPr>
          <w:b/>
          <w:bCs/>
        </w:rPr>
      </w:pPr>
      <w:r w:rsidRPr="00B86CA3">
        <w:rPr>
          <w:b/>
        </w:rPr>
        <w:tab/>
      </w:r>
      <w:r w:rsidRPr="00B86CA3">
        <w:rPr>
          <w:b/>
        </w:rPr>
        <w:tab/>
        <w:t>b)</w:t>
      </w:r>
      <w:r w:rsidRPr="00B86CA3">
        <w:rPr>
          <w:b/>
        </w:rPr>
        <w:tab/>
      </w:r>
      <w:r w:rsidRPr="00B86CA3">
        <w:rPr>
          <w:b/>
          <w:bCs/>
        </w:rPr>
        <w:t>обеспечить возможность обжалования любого решения, принятого в контексте процедур высылки, выдворения, передачи или выдачи, предполагающих оценку риска насильственного исчезновения лица, а также приостанавливающее действие такой апелляции;</w:t>
      </w:r>
    </w:p>
    <w:p w:rsidR="00B86CA3" w:rsidRPr="00001DEA" w:rsidRDefault="00B86CA3" w:rsidP="00B86CA3">
      <w:pPr>
        <w:pStyle w:val="SingleTxtG"/>
        <w:rPr>
          <w:b/>
          <w:bCs/>
        </w:rPr>
      </w:pPr>
      <w:r w:rsidRPr="00B86CA3">
        <w:rPr>
          <w:b/>
        </w:rPr>
        <w:tab/>
      </w:r>
      <w:r w:rsidRPr="00B86CA3">
        <w:rPr>
          <w:b/>
        </w:rPr>
        <w:tab/>
        <w:t>с)</w:t>
      </w:r>
      <w:r w:rsidRPr="00B86CA3">
        <w:rPr>
          <w:b/>
        </w:rPr>
        <w:tab/>
      </w:r>
      <w:r w:rsidRPr="00B86CA3">
        <w:rPr>
          <w:b/>
          <w:bCs/>
        </w:rPr>
        <w:t>гар</w:t>
      </w:r>
      <w:r>
        <w:rPr>
          <w:b/>
          <w:bCs/>
        </w:rPr>
        <w:t xml:space="preserve">антировать независимость соблюдения принципа </w:t>
      </w:r>
      <w:proofErr w:type="spellStart"/>
      <w:r>
        <w:rPr>
          <w:b/>
          <w:bCs/>
        </w:rPr>
        <w:t>невыдворения</w:t>
      </w:r>
      <w:proofErr w:type="spellEnd"/>
      <w:r>
        <w:rPr>
          <w:b/>
          <w:bCs/>
        </w:rPr>
        <w:t xml:space="preserve"> от каких-либо условий.</w:t>
      </w:r>
    </w:p>
    <w:p w:rsidR="00B86CA3" w:rsidRPr="00001DEA" w:rsidRDefault="00B86CA3" w:rsidP="00B86CA3">
      <w:pPr>
        <w:pStyle w:val="H23G"/>
        <w:rPr>
          <w:bCs/>
        </w:rPr>
      </w:pPr>
      <w:r>
        <w:lastRenderedPageBreak/>
        <w:tab/>
      </w:r>
      <w:r>
        <w:tab/>
      </w:r>
      <w:r>
        <w:rPr>
          <w:bCs/>
        </w:rPr>
        <w:t>Основные правовые гарантии</w:t>
      </w:r>
    </w:p>
    <w:p w:rsidR="00B86CA3" w:rsidRPr="00001DEA" w:rsidRDefault="00B86CA3" w:rsidP="00B86CA3">
      <w:pPr>
        <w:pStyle w:val="SingleTxtG"/>
      </w:pPr>
      <w:r>
        <w:t>16.</w:t>
      </w:r>
      <w:r>
        <w:tab/>
        <w:t xml:space="preserve">Комитет обеспокоен по поводу информации о некоторых случаях, когда лишенным свободы лицам с момента лишения свободы не обеспечивались все основные правовые гарантии, в частности доступ к адвокату и возможность сообщить о лишении свободы семье или любому другому лицу по их выбору. Кроме того, Комитет обеспокоен тем, что в соответствии со статьей 34 Уголовно-процессуального кодекса правоохранительные органы не уведомляют родственников лиц, лишенных свободы, или других лиц по их выбору, если такая информация может помешать прояснению и расследованию дела. Помимо этого, Комитет приветствует представленную государством-участником информацию об усилиях, предпринятых для обеспечения надлежащей регистрации всех случаев лишения свободы </w:t>
      </w:r>
      <w:r>
        <w:br/>
      </w:r>
      <w:r>
        <w:t>(статьи</w:t>
      </w:r>
      <w:r>
        <w:t> </w:t>
      </w:r>
      <w:r>
        <w:t xml:space="preserve">17–18). </w:t>
      </w:r>
    </w:p>
    <w:p w:rsidR="00B86CA3" w:rsidRPr="00001DEA" w:rsidRDefault="00B86CA3" w:rsidP="00B86CA3">
      <w:pPr>
        <w:pStyle w:val="SingleTxtG"/>
        <w:rPr>
          <w:b/>
          <w:bCs/>
        </w:rPr>
      </w:pPr>
      <w:r>
        <w:t>17.</w:t>
      </w:r>
      <w:r>
        <w:tab/>
      </w:r>
      <w:r>
        <w:rPr>
          <w:b/>
          <w:bCs/>
        </w:rPr>
        <w:t>Комитет рекомендует государству-участнику принять необходимые меры для обеспечения на практике того, чтобы всем лишенным свободы лицам с момента лишения свободы предоставлялись все основные правовые гарантии, предусмотренные в статье 17 Конвенции, в частности доступ к адвокату и уведомление их родственников или любого лица по их выбору о лишении свободы и о месте, где они содержатся.</w:t>
      </w:r>
      <w:r>
        <w:t xml:space="preserve"> </w:t>
      </w:r>
      <w:r w:rsidRPr="00946D45">
        <w:rPr>
          <w:b/>
          <w:bCs/>
        </w:rPr>
        <w:t>Кроме того,</w:t>
      </w:r>
      <w:r>
        <w:t xml:space="preserve"> </w:t>
      </w:r>
      <w:r>
        <w:rPr>
          <w:b/>
          <w:bCs/>
        </w:rPr>
        <w:t>Комитет рекомендует государству-участнику пересмотреть статью 34 своего Уголовно-процессуального кодекса с целью обеспечения ее полного соответствия Конвенции.</w:t>
      </w:r>
    </w:p>
    <w:p w:rsidR="00B86CA3" w:rsidRPr="009E7C99" w:rsidRDefault="00B86CA3" w:rsidP="00B86CA3">
      <w:pPr>
        <w:pStyle w:val="H23G"/>
        <w:rPr>
          <w:bCs/>
        </w:rPr>
      </w:pPr>
      <w:r>
        <w:tab/>
      </w:r>
      <w:r>
        <w:tab/>
      </w:r>
      <w:r>
        <w:rPr>
          <w:bCs/>
        </w:rPr>
        <w:t>Инспектирование мест лишения свободы</w:t>
      </w:r>
      <w:r>
        <w:t xml:space="preserve"> </w:t>
      </w:r>
    </w:p>
    <w:p w:rsidR="00B86CA3" w:rsidRPr="00001DEA" w:rsidRDefault="00B86CA3" w:rsidP="00B86CA3">
      <w:pPr>
        <w:pStyle w:val="SingleTxtG"/>
        <w:rPr>
          <w:bCs/>
        </w:rPr>
      </w:pPr>
      <w:r>
        <w:t>18.</w:t>
      </w:r>
      <w:r>
        <w:tab/>
        <w:t>Отмечая, что Уполномоченный по правам человека может инспектировать и контролировать государственные места лишения свободы и выносить рекомендации соответствующим органам, Комитет, тем не менее, замечает, что не было создано никакого конкретного механизма, который осуществлял бы периодические посещения всех мест, в которых могут содержаться лишенные свободы лица. Кроме того, Комитет отмечает, что государство-участник подписало, но еще не ратифицировало Факультативный протокол к Конвенции против пыток и других жестоких, бесчеловечных или унижающих достоинство видов обращения и наказания, и принимает к сведению тот факт, что, прежде чем приступить к ратификации, Министерство юстиции разрабатывает необходимый правовой анализ, а также предложение о создании национального превентивного механизма. Комитет считает, что ратификация Факультативного протокола, а также создание национального превентивного механизма в соответствии с его положениями могут сыграть важную роль в предупреждении насильственных исчезновений и других нарушений прав и обязанностей, закрепленных в Конвенции (статья 17).</w:t>
      </w:r>
    </w:p>
    <w:p w:rsidR="00B86CA3" w:rsidRPr="00001DEA" w:rsidRDefault="00B86CA3" w:rsidP="00B86CA3">
      <w:pPr>
        <w:pStyle w:val="SingleTxtG"/>
        <w:rPr>
          <w:b/>
          <w:bCs/>
        </w:rPr>
      </w:pPr>
      <w:r>
        <w:t>19.</w:t>
      </w:r>
      <w:r>
        <w:tab/>
      </w:r>
      <w:r>
        <w:rPr>
          <w:b/>
          <w:bCs/>
        </w:rPr>
        <w:t>Комитет рекомендует государству-участнику создать конкретный независимый механизм, позволяющий беспрепятственно проводить необъявленные периодические посещения любых мест, где могут содержаться лица, лишенные свободы, независимо от их типа.</w:t>
      </w:r>
      <w:r>
        <w:t xml:space="preserve"> </w:t>
      </w:r>
      <w:r>
        <w:rPr>
          <w:b/>
          <w:bCs/>
        </w:rPr>
        <w:t>В этой связи Комитет призывает государство-участник ускорить процесс ратификации Факультативного протокола к Конвенции против пыток и других жестоких, бесчеловечных или унижающих достоинство видов обращения и наказания и оперативно создать полностью соответствующий ему национальный превентивный механизм.</w:t>
      </w:r>
    </w:p>
    <w:p w:rsidR="00B86CA3" w:rsidRPr="00001DEA" w:rsidRDefault="00B86CA3" w:rsidP="00B86CA3">
      <w:pPr>
        <w:pStyle w:val="H23G"/>
      </w:pPr>
      <w:r>
        <w:tab/>
      </w:r>
      <w:r>
        <w:tab/>
      </w:r>
      <w:r>
        <w:rPr>
          <w:bCs/>
        </w:rPr>
        <w:t>Доступ к информации для законно заинтересованных лиц</w:t>
      </w:r>
    </w:p>
    <w:p w:rsidR="00B86CA3" w:rsidRPr="00001DEA" w:rsidRDefault="00B86CA3" w:rsidP="00B86CA3">
      <w:pPr>
        <w:pStyle w:val="SingleTxtG"/>
      </w:pPr>
      <w:r>
        <w:t>20.</w:t>
      </w:r>
      <w:r>
        <w:tab/>
        <w:t xml:space="preserve">Комитет с обеспокоенностью отмечает, что определение понятия </w:t>
      </w:r>
      <w:r>
        <w:t>«</w:t>
      </w:r>
      <w:r>
        <w:t>близкий человек</w:t>
      </w:r>
      <w:r>
        <w:t>»</w:t>
      </w:r>
      <w:r>
        <w:t xml:space="preserve">, содержащееся в статье 116 Гражданского кодекса и предоставленное государством-участником для обозначения лиц, которые могут иметь доступ к информации согласно положениям статьи 18 Конвенции, является ограничительным и что условия для того, чтобы </w:t>
      </w:r>
      <w:r>
        <w:t>«</w:t>
      </w:r>
      <w:r>
        <w:t>близкими людьми</w:t>
      </w:r>
      <w:r>
        <w:t>»</w:t>
      </w:r>
      <w:r>
        <w:t xml:space="preserve"> считались лица, не являющиеся прямыми родственниками, могут быть трудновыполнимыми. Тем не менее Комитет с интересом отмечает утверждение государства-участника о том, что на практике </w:t>
      </w:r>
      <w:r>
        <w:lastRenderedPageBreak/>
        <w:t>лишенные свободы лица могут общаться с близкими людьми и что соответствующие органы не ставят их выбор под сомнение (статья 18).</w:t>
      </w:r>
    </w:p>
    <w:p w:rsidR="00B86CA3" w:rsidRPr="00001DEA" w:rsidRDefault="00B86CA3" w:rsidP="00B86CA3">
      <w:pPr>
        <w:pStyle w:val="SingleTxtG"/>
        <w:rPr>
          <w:b/>
          <w:bCs/>
        </w:rPr>
      </w:pPr>
      <w:r>
        <w:t>21.</w:t>
      </w:r>
      <w:r>
        <w:tab/>
      </w:r>
      <w:r>
        <w:rPr>
          <w:b/>
          <w:bCs/>
        </w:rPr>
        <w:t>Комитет рекомендует государству-участнику принять необходимые меры для того, чтобы любое законно заинтересованное лицо могло быстро и беспрепятственно получить доступ по крайней мере к информации, упомянутой в пункте 1 статьи 18 Конвенции.</w:t>
      </w:r>
      <w:r>
        <w:t xml:space="preserve"> </w:t>
      </w:r>
      <w:r>
        <w:rPr>
          <w:b/>
          <w:bCs/>
        </w:rPr>
        <w:t xml:space="preserve">Кроме того, Комитет призывает государство-участник пересмотреть определение понятия </w:t>
      </w:r>
      <w:r>
        <w:rPr>
          <w:b/>
          <w:bCs/>
        </w:rPr>
        <w:t>«</w:t>
      </w:r>
      <w:r>
        <w:rPr>
          <w:b/>
          <w:bCs/>
        </w:rPr>
        <w:t>близкий человек</w:t>
      </w:r>
      <w:r>
        <w:rPr>
          <w:b/>
          <w:bCs/>
        </w:rPr>
        <w:t>»</w:t>
      </w:r>
      <w:r>
        <w:rPr>
          <w:b/>
          <w:bCs/>
        </w:rPr>
        <w:t>, с тем чтобы привести его в соответствие с пунктом 1 статьи 18 Конвенции.</w:t>
      </w:r>
    </w:p>
    <w:p w:rsidR="00B86CA3" w:rsidRPr="00001DEA" w:rsidRDefault="00B86CA3" w:rsidP="00B86CA3">
      <w:pPr>
        <w:pStyle w:val="H23G"/>
      </w:pPr>
      <w:r>
        <w:tab/>
      </w:r>
      <w:r>
        <w:tab/>
      </w:r>
      <w:r>
        <w:rPr>
          <w:bCs/>
        </w:rPr>
        <w:t>Учебная подготовка</w:t>
      </w:r>
    </w:p>
    <w:p w:rsidR="00B86CA3" w:rsidRPr="00001DEA" w:rsidRDefault="00B86CA3" w:rsidP="00B86CA3">
      <w:pPr>
        <w:pStyle w:val="SingleTxtG"/>
      </w:pPr>
      <w:r>
        <w:t>22.</w:t>
      </w:r>
      <w:r>
        <w:tab/>
        <w:t>Комитет отмечает, что государство-участник не обеспечивает регулярной специализированной учебной подготовки по вопросам, касающимся Конвенции и такого преступления, как насильственное исчезновение. Принимая к сведению заявленные государством-участником возможные причины отсутствия специализированной подготовки, включая отсутствие экспертов, которые могли бы ее предоставить, Комитет напоминает, что в пункте 1 статьи 23 Конвенции закреплено обязательство государств-участников обеспечивать, чтобы профессиональная подготовка государственных должностных лиц включала в себя надлежащее изучение соответствующих положений Конвенции. В этой связи Комитет приветствует заинтересованность государства-участника в получении поддержки, связанной с учебной подготовкой по вопросам насильственных исчезновений (статья 23).</w:t>
      </w:r>
    </w:p>
    <w:p w:rsidR="00B86CA3" w:rsidRPr="00001DEA" w:rsidRDefault="00B86CA3" w:rsidP="00B86CA3">
      <w:pPr>
        <w:pStyle w:val="SingleTxtG"/>
        <w:rPr>
          <w:b/>
        </w:rPr>
      </w:pPr>
      <w:r>
        <w:t>23.</w:t>
      </w:r>
      <w:r>
        <w:tab/>
      </w:r>
      <w:r>
        <w:rPr>
          <w:b/>
          <w:bCs/>
        </w:rPr>
        <w:t>Комитет рекомендует государству-участнику обеспечить, чтобы все сотрудники правоохранительных органов и сил безопасности, гражданские или военные, медицинские работники, государственные должностные лица, а также другие лица, которые могут иметь отношение к содержанию под стражей или обращению с лицами, лишенными свободы, в том числе судьи, прокуроры и другие судебные работники, на регулярной основе проходили специализированную подготовку по положениям Конвенции в соответствии с пунктом 1 статьи 23 Конвенции.</w:t>
      </w:r>
      <w:r>
        <w:t xml:space="preserve"> </w:t>
      </w:r>
      <w:r>
        <w:rPr>
          <w:b/>
          <w:bCs/>
        </w:rPr>
        <w:t xml:space="preserve">Кроме того, Комитет призывает государство-участник организовать подготовку судей по вопросам преступления насильственного исчезновения, в частности для обеспечения его надлежащего применения и того, чтобы фраза </w:t>
      </w:r>
      <w:r>
        <w:rPr>
          <w:b/>
          <w:bCs/>
        </w:rPr>
        <w:t>«</w:t>
      </w:r>
      <w:r>
        <w:rPr>
          <w:b/>
          <w:bCs/>
        </w:rPr>
        <w:t>тем самым лишая их возможности осуществлять правовую защиту</w:t>
      </w:r>
      <w:r>
        <w:rPr>
          <w:b/>
          <w:bCs/>
        </w:rPr>
        <w:t>»</w:t>
      </w:r>
      <w:r>
        <w:rPr>
          <w:b/>
          <w:bCs/>
        </w:rPr>
        <w:t xml:space="preserve">, содержащаяся в пункте 1 статьи </w:t>
      </w:r>
      <w:proofErr w:type="gramStart"/>
      <w:r>
        <w:rPr>
          <w:b/>
          <w:bCs/>
        </w:rPr>
        <w:t>420</w:t>
      </w:r>
      <w:proofErr w:type="gramEnd"/>
      <w:r>
        <w:rPr>
          <w:b/>
          <w:bCs/>
        </w:rPr>
        <w:t xml:space="preserve"> а) Уголовного кодекса, всегда рассматривалась не как элемент умысла, а как следствие составных частей преступления насильственного исчезновения.</w:t>
      </w:r>
    </w:p>
    <w:p w:rsidR="00B86CA3" w:rsidRPr="007D3907" w:rsidRDefault="00B86CA3" w:rsidP="00B86CA3">
      <w:pPr>
        <w:pStyle w:val="H23G"/>
      </w:pPr>
      <w:r>
        <w:rPr>
          <w:bCs/>
        </w:rPr>
        <w:tab/>
      </w:r>
      <w:r>
        <w:rPr>
          <w:bCs/>
        </w:rPr>
        <w:t>4.</w:t>
      </w:r>
      <w:r>
        <w:tab/>
      </w:r>
      <w:r>
        <w:tab/>
      </w:r>
      <w:r>
        <w:rPr>
          <w:bCs/>
        </w:rPr>
        <w:t>Меры по возмещению ущерба и защите детей от насильственных исчезновений (статьи 24 и 25)</w:t>
      </w:r>
    </w:p>
    <w:p w:rsidR="00B86CA3" w:rsidRPr="00001DEA" w:rsidRDefault="00B86CA3" w:rsidP="00B86CA3">
      <w:pPr>
        <w:pStyle w:val="H23G"/>
      </w:pPr>
      <w:r>
        <w:tab/>
      </w:r>
      <w:r>
        <w:tab/>
      </w:r>
      <w:r>
        <w:rPr>
          <w:bCs/>
        </w:rPr>
        <w:t>Право на возмещение ущерба и получение быстрой, справедливой и адекватной компенсации</w:t>
      </w:r>
      <w:r>
        <w:t xml:space="preserve"> </w:t>
      </w:r>
    </w:p>
    <w:p w:rsidR="00B86CA3" w:rsidRPr="00001DEA" w:rsidRDefault="00B86CA3" w:rsidP="00B86CA3">
      <w:pPr>
        <w:pStyle w:val="SingleTxtG"/>
      </w:pPr>
      <w:r>
        <w:t>24.</w:t>
      </w:r>
      <w:r>
        <w:tab/>
        <w:t xml:space="preserve">Комитет принимает к сведению различные системы получения компенсации в государстве-участнике. Однако он обеспокоен тем, что внутреннее законодательство не в полной мере гарантирует право жертв насильственных исчезновений на получение адекватной компенсации и предусмотренных в пункте 5 статьи 24 Конвенции всех форм возмещения ущерба, за которые несет ответственность государство. В частности, Комитет обеспокоен ограничениями права на компенсацию, содержащимися в Законе о жертвах, в том числе такими, как: a) компенсация предоставляется не всем жертвам насильственных исчезновений, в частности она не положена </w:t>
      </w:r>
      <w:proofErr w:type="spellStart"/>
      <w:r>
        <w:t>негражданам</w:t>
      </w:r>
      <w:proofErr w:type="spellEnd"/>
      <w:r>
        <w:t>, если преступление было совершено за рубежом представителями государства-участника либо при их участии, или жертвам, которые отказываются дать согласие на возбуждение уголовного дела; b) компенсация за моральный ущерб не выплачивается жертвам насильственных исчезновений; и с) иски о компенсации подаются после вступления в силу судебного решения по уголовному делу и при условии, что жертва подала заявление о компенсации в ходе этого разбирательства до завершения предварительного следствия (статья 24).</w:t>
      </w:r>
    </w:p>
    <w:p w:rsidR="00B86CA3" w:rsidRPr="00001DEA" w:rsidRDefault="00B86CA3" w:rsidP="00B86CA3">
      <w:pPr>
        <w:pStyle w:val="SingleTxtG"/>
        <w:rPr>
          <w:b/>
        </w:rPr>
      </w:pPr>
      <w:r>
        <w:lastRenderedPageBreak/>
        <w:t>25.</w:t>
      </w:r>
      <w:r>
        <w:tab/>
      </w:r>
      <w:r>
        <w:rPr>
          <w:b/>
          <w:bCs/>
        </w:rPr>
        <w:t>Государству-участнику следует гарантировать право на возмещение ущерба и получение быстрой, справедливой и адекватной компенсации для всех лиц, независимо от их гражданства, которым в результате насильственного исчезновения был причинен непосредственный вред.</w:t>
      </w:r>
      <w:r>
        <w:t xml:space="preserve"> </w:t>
      </w:r>
      <w:r>
        <w:rPr>
          <w:b/>
          <w:bCs/>
        </w:rPr>
        <w:t>С этой целью Комитет рекомендует государству-участнику принять необходимые меры, включая пересмотр Закона о жертвах, для обеспечения того, чтобы его внутреннее законодательство предусматривало всеобъемлющую систему компенсации и возмещения ущерба, полностью соответствующую пунктам 4 и 5 статьи 24 Конвенции и другим соответствующим международным стандартам, за которые несет ответственность государство,</w:t>
      </w:r>
      <w:r>
        <w:t xml:space="preserve"> </w:t>
      </w:r>
      <w:r>
        <w:rPr>
          <w:b/>
          <w:bCs/>
        </w:rPr>
        <w:t>применимую, даже если не было возбуждено никакого уголовного дела,</w:t>
      </w:r>
      <w:r>
        <w:t xml:space="preserve"> </w:t>
      </w:r>
      <w:r>
        <w:rPr>
          <w:b/>
          <w:bCs/>
        </w:rPr>
        <w:t>и учитывающую индивидуальные особенности жертв, например их пол, сексуальную ориентацию, гендерную идентичность, возраст, этническое происхождение, социальное положение и инвалидность.</w:t>
      </w:r>
    </w:p>
    <w:p w:rsidR="00B86CA3" w:rsidRPr="00001DEA" w:rsidRDefault="00B86CA3" w:rsidP="00B86CA3">
      <w:pPr>
        <w:pStyle w:val="H23G"/>
        <w:rPr>
          <w:b w:val="0"/>
        </w:rPr>
      </w:pPr>
      <w:r>
        <w:tab/>
      </w:r>
      <w:r>
        <w:tab/>
      </w:r>
      <w:r>
        <w:rPr>
          <w:bCs/>
        </w:rPr>
        <w:t>Правовой статус исчезнувших лиц, судьба которых неизвестна, и</w:t>
      </w:r>
      <w:r>
        <w:rPr>
          <w:bCs/>
        </w:rPr>
        <w:t> </w:t>
      </w:r>
      <w:r>
        <w:rPr>
          <w:bCs/>
        </w:rPr>
        <w:t>их</w:t>
      </w:r>
      <w:r>
        <w:rPr>
          <w:bCs/>
        </w:rPr>
        <w:t> </w:t>
      </w:r>
      <w:r>
        <w:rPr>
          <w:bCs/>
        </w:rPr>
        <w:t>родственников</w:t>
      </w:r>
    </w:p>
    <w:p w:rsidR="00B86CA3" w:rsidRPr="00001DEA" w:rsidRDefault="00B86CA3" w:rsidP="00B86CA3">
      <w:pPr>
        <w:pStyle w:val="SingleTxtG"/>
      </w:pPr>
      <w:r>
        <w:t>26.</w:t>
      </w:r>
      <w:r>
        <w:tab/>
        <w:t xml:space="preserve">Комитет считает, что система, регулирующая правовой статус исчезнувших лиц, судьба которых неизвестна, не в полной мере учитывает сложность ситуаций, возникающих в связи с насильственными исчезновениями. В частности, он обеспокоен тем, что в соответствии с Гражданским кодексом лицо может быть объявлено умершим, если его местонахождение неизвестно в течение </w:t>
      </w:r>
      <w:r>
        <w:t>«</w:t>
      </w:r>
      <w:r>
        <w:t>длительного времени</w:t>
      </w:r>
      <w:r>
        <w:t>»</w:t>
      </w:r>
      <w:r>
        <w:t xml:space="preserve"> и </w:t>
      </w:r>
      <w:r>
        <w:t>«</w:t>
      </w:r>
      <w:r>
        <w:t>уголовное расследование не дало никакой дополнительной информации о его местонахождении</w:t>
      </w:r>
      <w:r>
        <w:t>»</w:t>
      </w:r>
      <w:r>
        <w:t xml:space="preserve"> (CED/C/SVK/Q/Add.1, пункт 88). Комитет вновь подтверждает свою позицию, которая заключается в том, что ввиду длящегося характера насильственного исчезновения, в принципе и в отсутствие конкретных доказательств обратного нет никаких оснований считать исчезнувшее лицо умершим до тех пор, пока его судьба не установлена. Принимая к сведению возможность назначения официального опекуна для защиты интересов исчезнувших лиц, Комитет, тем не менее, выражает сожаление в связи с отсутствием достаточной информации о правовом статусе исчезнувших лиц и их родственников в таких областях, как социальное обеспечение и семейное право (статья 24).</w:t>
      </w:r>
    </w:p>
    <w:p w:rsidR="00B86CA3" w:rsidRPr="00001DEA" w:rsidRDefault="00B86CA3" w:rsidP="00B86CA3">
      <w:pPr>
        <w:pStyle w:val="SingleTxtG"/>
        <w:rPr>
          <w:b/>
        </w:rPr>
      </w:pPr>
      <w:r>
        <w:t>27.</w:t>
      </w:r>
      <w:r>
        <w:tab/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свете пункта 6 статьи 24 Конвенции Комитет рекомендует государству-участнику принять необходимые меры для пересмотра своего внутреннего законодательства в целях обеспечения того, чтобы правовой статус исчезнувших лиц, судьба которых неизвестна, и их родственников в таких сферах, как социальное обеспечение, финансовые вопросы, семейное право и имущественные права, был должным образом урегулирован без необходимости объявлять исчезнувшее лицо умершим.</w:t>
      </w:r>
      <w:r>
        <w:t xml:space="preserve"> </w:t>
      </w:r>
      <w:r>
        <w:rPr>
          <w:b/>
          <w:bCs/>
        </w:rPr>
        <w:t>В этой связи Комитет призывает государство-участник установить процедуру получения свидетельства о безвестном отсутствии в результате насильственного исчезновения.</w:t>
      </w:r>
      <w:r>
        <w:t xml:space="preserve"> </w:t>
      </w:r>
    </w:p>
    <w:p w:rsidR="00B86CA3" w:rsidRPr="007D3907" w:rsidRDefault="00B86CA3" w:rsidP="00B86CA3">
      <w:pPr>
        <w:pStyle w:val="H1G"/>
      </w:pPr>
      <w:r>
        <w:rPr>
          <w:bCs/>
        </w:rPr>
        <w:tab/>
      </w:r>
      <w:r>
        <w:rPr>
          <w:bCs/>
        </w:rPr>
        <w:t>D.</w:t>
      </w:r>
      <w:r>
        <w:tab/>
      </w:r>
      <w:r>
        <w:tab/>
      </w:r>
      <w:r>
        <w:rPr>
          <w:bCs/>
        </w:rPr>
        <w:t>Распространение информации и последующая деятельность</w:t>
      </w:r>
    </w:p>
    <w:p w:rsidR="00B86CA3" w:rsidRPr="007D3907" w:rsidRDefault="00B86CA3" w:rsidP="00B86CA3">
      <w:pPr>
        <w:pStyle w:val="SingleTxtG"/>
        <w:rPr>
          <w:b/>
          <w:bCs/>
        </w:rPr>
      </w:pPr>
      <w:r>
        <w:t>28.</w:t>
      </w:r>
      <w:r>
        <w:tab/>
      </w:r>
      <w:r>
        <w:rPr>
          <w:b/>
          <w:bCs/>
        </w:rPr>
        <w:t>Комитет хотел бы напомнить об обязательствах, взятых на себя государствами при присоединении к Конвенции, и в этой связи настоятельно призывает государство-участник обеспечить, чтобы все принимаемые им меры, независимо от их характера или органа власти, распорядившегося об их принятии, в полной мере соответствовали обязательствам, которые взяло на себя государство при присоединении к Конвенции и другим соответствующим международным договорам.</w:t>
      </w:r>
      <w:r>
        <w:t xml:space="preserve"> </w:t>
      </w:r>
    </w:p>
    <w:p w:rsidR="00B86CA3" w:rsidRPr="007D3907" w:rsidRDefault="00B86CA3" w:rsidP="00B86CA3">
      <w:pPr>
        <w:pStyle w:val="SingleTxtG"/>
        <w:rPr>
          <w:b/>
          <w:bCs/>
        </w:rPr>
      </w:pPr>
      <w:r>
        <w:t>29.</w:t>
      </w:r>
      <w:r>
        <w:tab/>
      </w:r>
      <w:r>
        <w:rPr>
          <w:b/>
          <w:bCs/>
        </w:rPr>
        <w:t>Помимо этого, Комитет хотел бы подчеркнуть особо пагубные последствия насильственных исчезновений для прав человека женщин и детей.</w:t>
      </w:r>
      <w:r>
        <w:t xml:space="preserve"> </w:t>
      </w:r>
      <w:r>
        <w:rPr>
          <w:b/>
          <w:bCs/>
        </w:rPr>
        <w:t>Женщины, ставшие жертвами насильственных исчезновений, в наибольшей степени подвержены сексуальному и другим видам гендерного насилия.</w:t>
      </w:r>
      <w:r>
        <w:t xml:space="preserve"> </w:t>
      </w:r>
      <w:r>
        <w:rPr>
          <w:b/>
          <w:bCs/>
        </w:rPr>
        <w:t xml:space="preserve">Женщины, родственники которых стали жертвами насильственного исчезновения, особенно подвержены риску столкнуться с неблагоприятными социально-экономическими последствиями, а также с насилием, преследованиями и </w:t>
      </w:r>
      <w:r>
        <w:rPr>
          <w:b/>
          <w:bCs/>
        </w:rPr>
        <w:lastRenderedPageBreak/>
        <w:t>репрессиями при попытках найти своих близких.</w:t>
      </w:r>
      <w:r>
        <w:t xml:space="preserve"> </w:t>
      </w:r>
      <w:r>
        <w:rPr>
          <w:b/>
          <w:bCs/>
        </w:rPr>
        <w:t>В свою очередь, дети, ставшие жертвами насильственного исчезновения, будь то в личном качестве или в результате исчезновения их родственников, особо подвержены риску многочисленных нарушений прав человека, в том числе риску подмены их подлинной личности.</w:t>
      </w:r>
      <w:r>
        <w:t xml:space="preserve"> </w:t>
      </w:r>
      <w:r>
        <w:rPr>
          <w:b/>
          <w:bCs/>
        </w:rPr>
        <w:t>В этой связи Комитет особо подчеркивает необходимость учета государством-участником гендерной проблематики и интересов детей при осуществлении прав и обязательств, закрепленных в Конвенции.</w:t>
      </w:r>
    </w:p>
    <w:p w:rsidR="00B86CA3" w:rsidRPr="007D3907" w:rsidRDefault="00B86CA3" w:rsidP="00B86CA3">
      <w:pPr>
        <w:pStyle w:val="SingleTxtG"/>
        <w:rPr>
          <w:b/>
          <w:bCs/>
        </w:rPr>
      </w:pPr>
      <w:r>
        <w:t>30.</w:t>
      </w:r>
      <w:r>
        <w:tab/>
      </w:r>
      <w:r>
        <w:rPr>
          <w:b/>
          <w:bCs/>
        </w:rPr>
        <w:t>Государству-участнику предлагается обеспечить широкое распространение текста Конвенции, своего доклада, представленного в соответствии с пунктом 1 статьи 29 Конвенции, и настоящих заключительных замечаний в целях повышения осведомленности судебных, законодательных и административных органов, гражданского общества и неправительственных организаций, действующих в государстве-участнике, а также населения в целом.</w:t>
      </w:r>
      <w:r>
        <w:t xml:space="preserve"> </w:t>
      </w:r>
      <w:r>
        <w:rPr>
          <w:b/>
          <w:bCs/>
        </w:rPr>
        <w:t>Комитет призывает также государство-участник поощрять участие гражданского общества в осуществлении мер, предусмотренных настоящими заключительными замечаниями.</w:t>
      </w:r>
    </w:p>
    <w:p w:rsidR="00B86CA3" w:rsidRPr="007D3907" w:rsidRDefault="00B86CA3" w:rsidP="00B86CA3">
      <w:pPr>
        <w:pStyle w:val="SingleTxtG"/>
        <w:rPr>
          <w:b/>
          <w:bCs/>
        </w:rPr>
      </w:pPr>
      <w:r>
        <w:t>31.</w:t>
      </w:r>
      <w:r>
        <w:tab/>
      </w:r>
      <w:r>
        <w:rPr>
          <w:b/>
          <w:bCs/>
        </w:rPr>
        <w:t>Согласно правилам процедуры Комитета, государству-участнику следует не позднее 11 октября 2020 года представить соответствующую информацию о ходе выполнения им рекомендаций Комитета, содержащихся в пунктах 11 (национальное правозащитное учреждение), 23 (учебная подготовка) и 25 (право на возмещение ущерба и получение быстрой, справедливой и адекватной компенсации) настоящих заключительных замечаний.</w:t>
      </w:r>
    </w:p>
    <w:p w:rsidR="00381C24" w:rsidRPr="00B86CA3" w:rsidRDefault="00B86CA3" w:rsidP="00B86CA3">
      <w:pPr>
        <w:pStyle w:val="SingleTxtG"/>
      </w:pPr>
      <w:r>
        <w:t>32.</w:t>
      </w:r>
      <w:r>
        <w:tab/>
      </w:r>
      <w:r>
        <w:rPr>
          <w:b/>
          <w:bCs/>
        </w:rPr>
        <w:t>В соответствии с пунктом 4 статьи 29 Конвенции Комитет просит государство-участник представить не позднее 11 октября 2025 года конкретную и обновленную информацию об осуществлении всех его рекомендаций, а также любую другую новую информацию, касающуюся выполнения его обязательств по Конвенции, в документе, подго</w:t>
      </w:r>
      <w:bookmarkStart w:id="0" w:name="_GoBack"/>
      <w:bookmarkEnd w:id="0"/>
      <w:r>
        <w:rPr>
          <w:b/>
          <w:bCs/>
        </w:rPr>
        <w:t>товленном согласно руководящим принципам относительно формы и содержания докладов, которые должны быть представлены государствами – участниками в соответствии со статьей 29 Конвенции (CED/C/2, пункт 39).</w:t>
      </w:r>
      <w:r>
        <w:t xml:space="preserve"> </w:t>
      </w:r>
      <w:r>
        <w:rPr>
          <w:b/>
          <w:bCs/>
        </w:rPr>
        <w:t>Комитет призывает государство-участник поощрять и поддерживать участие гражданского общества в подготовке такой информации.</w:t>
      </w:r>
    </w:p>
    <w:p w:rsidR="00B86CA3" w:rsidRPr="00B86CA3" w:rsidRDefault="00B86CA3" w:rsidP="00B86CA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86CA3" w:rsidRPr="00B86CA3" w:rsidSect="00B86CA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6EC" w:rsidRPr="00A312BC" w:rsidRDefault="00A636EC" w:rsidP="00A312BC"/>
  </w:endnote>
  <w:endnote w:type="continuationSeparator" w:id="0">
    <w:p w:rsidR="00A636EC" w:rsidRPr="00A312BC" w:rsidRDefault="00A636E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CA3" w:rsidRPr="00B86CA3" w:rsidRDefault="00B86CA3">
    <w:pPr>
      <w:pStyle w:val="a8"/>
    </w:pPr>
    <w:r w:rsidRPr="00B86CA3">
      <w:rPr>
        <w:b/>
        <w:sz w:val="18"/>
      </w:rPr>
      <w:fldChar w:fldCharType="begin"/>
    </w:r>
    <w:r w:rsidRPr="00B86CA3">
      <w:rPr>
        <w:b/>
        <w:sz w:val="18"/>
      </w:rPr>
      <w:instrText xml:space="preserve"> PAGE  \* MERGEFORMAT </w:instrText>
    </w:r>
    <w:r w:rsidRPr="00B86CA3">
      <w:rPr>
        <w:b/>
        <w:sz w:val="18"/>
      </w:rPr>
      <w:fldChar w:fldCharType="separate"/>
    </w:r>
    <w:r w:rsidR="00C717B9">
      <w:rPr>
        <w:b/>
        <w:noProof/>
        <w:sz w:val="18"/>
      </w:rPr>
      <w:t>6</w:t>
    </w:r>
    <w:r w:rsidRPr="00B86CA3">
      <w:rPr>
        <w:b/>
        <w:sz w:val="18"/>
      </w:rPr>
      <w:fldChar w:fldCharType="end"/>
    </w:r>
    <w:r>
      <w:rPr>
        <w:b/>
        <w:sz w:val="18"/>
      </w:rPr>
      <w:tab/>
    </w:r>
    <w:r>
      <w:t>GE.19-18440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CA3" w:rsidRPr="00B86CA3" w:rsidRDefault="00B86CA3" w:rsidP="00B86CA3">
    <w:pPr>
      <w:pStyle w:val="a8"/>
      <w:tabs>
        <w:tab w:val="clear" w:pos="9639"/>
        <w:tab w:val="right" w:pos="9638"/>
      </w:tabs>
      <w:rPr>
        <w:b/>
        <w:sz w:val="18"/>
      </w:rPr>
    </w:pPr>
    <w:r>
      <w:t>GE.19-18440</w:t>
    </w:r>
    <w:r>
      <w:tab/>
    </w:r>
    <w:r w:rsidRPr="00B86CA3">
      <w:rPr>
        <w:b/>
        <w:sz w:val="18"/>
      </w:rPr>
      <w:fldChar w:fldCharType="begin"/>
    </w:r>
    <w:r w:rsidRPr="00B86CA3">
      <w:rPr>
        <w:b/>
        <w:sz w:val="18"/>
      </w:rPr>
      <w:instrText xml:space="preserve"> PAGE  \* MERGEFORMAT </w:instrText>
    </w:r>
    <w:r w:rsidRPr="00B86CA3">
      <w:rPr>
        <w:b/>
        <w:sz w:val="18"/>
      </w:rPr>
      <w:fldChar w:fldCharType="separate"/>
    </w:r>
    <w:r w:rsidR="00C717B9">
      <w:rPr>
        <w:b/>
        <w:noProof/>
        <w:sz w:val="18"/>
      </w:rPr>
      <w:t>7</w:t>
    </w:r>
    <w:r w:rsidRPr="00B86CA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B86CA3" w:rsidRDefault="00B86CA3" w:rsidP="00B86CA3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65A08FA" wp14:editId="27175DF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18440  (</w:t>
    </w:r>
    <w:proofErr w:type="gramEnd"/>
    <w:r>
      <w:t>R)</w:t>
    </w:r>
    <w:r>
      <w:rPr>
        <w:lang w:val="en-US"/>
      </w:rPr>
      <w:t xml:space="preserve">  161219  161219</w:t>
    </w:r>
    <w:r>
      <w:br/>
    </w:r>
    <w:r w:rsidRPr="00B86CA3">
      <w:rPr>
        <w:rFonts w:ascii="C39T30Lfz" w:hAnsi="C39T30Lfz"/>
        <w:kern w:val="14"/>
        <w:sz w:val="56"/>
      </w:rPr>
      <w:t></w:t>
    </w:r>
    <w:r w:rsidRPr="00B86CA3">
      <w:rPr>
        <w:rFonts w:ascii="C39T30Lfz" w:hAnsi="C39T30Lfz"/>
        <w:kern w:val="14"/>
        <w:sz w:val="56"/>
      </w:rPr>
      <w:t></w:t>
    </w:r>
    <w:r w:rsidRPr="00B86CA3">
      <w:rPr>
        <w:rFonts w:ascii="C39T30Lfz" w:hAnsi="C39T30Lfz"/>
        <w:kern w:val="14"/>
        <w:sz w:val="56"/>
      </w:rPr>
      <w:t></w:t>
    </w:r>
    <w:r w:rsidRPr="00B86CA3">
      <w:rPr>
        <w:rFonts w:ascii="C39T30Lfz" w:hAnsi="C39T30Lfz"/>
        <w:kern w:val="14"/>
        <w:sz w:val="56"/>
      </w:rPr>
      <w:t></w:t>
    </w:r>
    <w:r w:rsidRPr="00B86CA3">
      <w:rPr>
        <w:rFonts w:ascii="C39T30Lfz" w:hAnsi="C39T30Lfz"/>
        <w:kern w:val="14"/>
        <w:sz w:val="56"/>
      </w:rPr>
      <w:t></w:t>
    </w:r>
    <w:r w:rsidRPr="00B86CA3">
      <w:rPr>
        <w:rFonts w:ascii="C39T30Lfz" w:hAnsi="C39T30Lfz"/>
        <w:kern w:val="14"/>
        <w:sz w:val="56"/>
      </w:rPr>
      <w:t></w:t>
    </w:r>
    <w:r w:rsidRPr="00B86CA3">
      <w:rPr>
        <w:rFonts w:ascii="C39T30Lfz" w:hAnsi="C39T30Lfz"/>
        <w:kern w:val="14"/>
        <w:sz w:val="56"/>
      </w:rPr>
      <w:t></w:t>
    </w:r>
    <w:r w:rsidRPr="00B86CA3">
      <w:rPr>
        <w:rFonts w:ascii="C39T30Lfz" w:hAnsi="C39T30Lfz"/>
        <w:kern w:val="14"/>
        <w:sz w:val="56"/>
      </w:rPr>
      <w:t></w:t>
    </w:r>
    <w:r w:rsidRPr="00B86CA3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CED/C/SVK/CO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ED/C/SVK/CO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6EC" w:rsidRPr="001075E9" w:rsidRDefault="00A636E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636EC" w:rsidRDefault="00A636E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B86CA3" w:rsidRDefault="00B86CA3" w:rsidP="00B86CA3">
      <w:pPr>
        <w:pStyle w:val="ad"/>
      </w:pPr>
      <w:r>
        <w:tab/>
      </w:r>
      <w:r w:rsidRPr="00B86CA3">
        <w:rPr>
          <w:sz w:val="20"/>
        </w:rPr>
        <w:t>*</w:t>
      </w:r>
      <w:r>
        <w:tab/>
        <w:t>Приняты Комитетом на его семнадцатой сессии (30 сентября – 11 октября 2019 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CA3" w:rsidRPr="00B86CA3" w:rsidRDefault="00B86CA3">
    <w:pPr>
      <w:pStyle w:val="a5"/>
    </w:pPr>
    <w:fldSimple w:instr=" TITLE  \* MERGEFORMAT ">
      <w:r w:rsidR="00C717B9">
        <w:t>CED/C/SVK/CO/1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CA3" w:rsidRPr="00B86CA3" w:rsidRDefault="00B86CA3" w:rsidP="00B86CA3">
    <w:pPr>
      <w:pStyle w:val="a5"/>
      <w:jc w:val="right"/>
    </w:pPr>
    <w:fldSimple w:instr=" TITLE  \* MERGEFORMAT ">
      <w:r w:rsidR="00C717B9">
        <w:t>CED/C/SVK/CO/1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EC"/>
    <w:rsid w:val="00033EE1"/>
    <w:rsid w:val="00042B72"/>
    <w:rsid w:val="00046E2F"/>
    <w:rsid w:val="00052360"/>
    <w:rsid w:val="000558BD"/>
    <w:rsid w:val="000B57E7"/>
    <w:rsid w:val="000B6373"/>
    <w:rsid w:val="000F09DF"/>
    <w:rsid w:val="000F2F61"/>
    <w:rsid w:val="000F61B2"/>
    <w:rsid w:val="001075E9"/>
    <w:rsid w:val="00155C5C"/>
    <w:rsid w:val="00180183"/>
    <w:rsid w:val="0018024D"/>
    <w:rsid w:val="0018649F"/>
    <w:rsid w:val="00196389"/>
    <w:rsid w:val="001B3EF6"/>
    <w:rsid w:val="001C7A89"/>
    <w:rsid w:val="00206F9C"/>
    <w:rsid w:val="00215F21"/>
    <w:rsid w:val="00247BBB"/>
    <w:rsid w:val="00277A08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B00E5"/>
    <w:rsid w:val="00407B78"/>
    <w:rsid w:val="00424203"/>
    <w:rsid w:val="00452493"/>
    <w:rsid w:val="00454E07"/>
    <w:rsid w:val="00472C5C"/>
    <w:rsid w:val="00475A37"/>
    <w:rsid w:val="004E4CB3"/>
    <w:rsid w:val="004F21B5"/>
    <w:rsid w:val="004F2C88"/>
    <w:rsid w:val="0050108D"/>
    <w:rsid w:val="00513081"/>
    <w:rsid w:val="00517901"/>
    <w:rsid w:val="00526683"/>
    <w:rsid w:val="00536A7D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F35EE"/>
    <w:rsid w:val="007021FF"/>
    <w:rsid w:val="00712895"/>
    <w:rsid w:val="00725545"/>
    <w:rsid w:val="00757357"/>
    <w:rsid w:val="008027E5"/>
    <w:rsid w:val="008227B1"/>
    <w:rsid w:val="00825F8D"/>
    <w:rsid w:val="00834B71"/>
    <w:rsid w:val="0086445C"/>
    <w:rsid w:val="00877609"/>
    <w:rsid w:val="00894693"/>
    <w:rsid w:val="008A08D7"/>
    <w:rsid w:val="008B6909"/>
    <w:rsid w:val="00906890"/>
    <w:rsid w:val="00911BE4"/>
    <w:rsid w:val="00942A43"/>
    <w:rsid w:val="00951972"/>
    <w:rsid w:val="009608F3"/>
    <w:rsid w:val="009A24AC"/>
    <w:rsid w:val="00A14DA8"/>
    <w:rsid w:val="00A312BC"/>
    <w:rsid w:val="00A636EC"/>
    <w:rsid w:val="00A84021"/>
    <w:rsid w:val="00A84D35"/>
    <w:rsid w:val="00A917B3"/>
    <w:rsid w:val="00AB4B51"/>
    <w:rsid w:val="00B10CC7"/>
    <w:rsid w:val="00B36DF7"/>
    <w:rsid w:val="00B539E7"/>
    <w:rsid w:val="00B54E04"/>
    <w:rsid w:val="00B62458"/>
    <w:rsid w:val="00B86CA3"/>
    <w:rsid w:val="00BC18B2"/>
    <w:rsid w:val="00BD33EE"/>
    <w:rsid w:val="00C106D6"/>
    <w:rsid w:val="00C60F0C"/>
    <w:rsid w:val="00C717B9"/>
    <w:rsid w:val="00C805C9"/>
    <w:rsid w:val="00C92939"/>
    <w:rsid w:val="00CA1679"/>
    <w:rsid w:val="00CB151C"/>
    <w:rsid w:val="00CE5A1A"/>
    <w:rsid w:val="00CF55F6"/>
    <w:rsid w:val="00D33D63"/>
    <w:rsid w:val="00D36B65"/>
    <w:rsid w:val="00D55C9D"/>
    <w:rsid w:val="00D90028"/>
    <w:rsid w:val="00D90138"/>
    <w:rsid w:val="00DB0902"/>
    <w:rsid w:val="00DD78D1"/>
    <w:rsid w:val="00DE32CD"/>
    <w:rsid w:val="00DF71B9"/>
    <w:rsid w:val="00E61978"/>
    <w:rsid w:val="00E73F76"/>
    <w:rsid w:val="00EA2C9F"/>
    <w:rsid w:val="00EA420E"/>
    <w:rsid w:val="00ED0BDA"/>
    <w:rsid w:val="00EF1360"/>
    <w:rsid w:val="00EF3220"/>
    <w:rsid w:val="00F41C74"/>
    <w:rsid w:val="00F43903"/>
    <w:rsid w:val="00F94155"/>
    <w:rsid w:val="00F9777C"/>
    <w:rsid w:val="00F9783F"/>
    <w:rsid w:val="00FB7B74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9AFD30D"/>
  <w15:docId w15:val="{0FCED81A-402D-4404-8756-33234F9E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4F2C8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E61978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4E4CB3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4E4C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4E4C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4E4C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4E4CB3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4E4CB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4E4CB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4E4CB3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4E4C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0F2F6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E6197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E6197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E6197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E6197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E6197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E6197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0F2F6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E61978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E6197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E61978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E6197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E61978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E61978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0F2F6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6197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61978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E61978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E61978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E61978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E61978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E61978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E61978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E61978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4F2C8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E61978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E61978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E61978"/>
  </w:style>
  <w:style w:type="character" w:customStyle="1" w:styleId="af0">
    <w:name w:val="Текст концевой сноски Знак"/>
    <w:aliases w:val="2_G Знак"/>
    <w:basedOn w:val="a0"/>
    <w:link w:val="af"/>
    <w:rsid w:val="00E61978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E61978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E61978"/>
    <w:rPr>
      <w:color w:val="0000FF" w:themeColor="hyperlink"/>
      <w:u w:val="none"/>
    </w:rPr>
  </w:style>
  <w:style w:type="character" w:styleId="af2">
    <w:name w:val="FollowedHyperlink"/>
    <w:basedOn w:val="a0"/>
    <w:rsid w:val="00E61978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rsid w:val="00B86CA3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E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CED.dotm</Template>
  <TotalTime>2</TotalTime>
  <Pages>7</Pages>
  <Words>2660</Words>
  <Characters>19283</Characters>
  <Application>Microsoft Office Word</Application>
  <DocSecurity>0</DocSecurity>
  <Lines>340</Lines>
  <Paragraphs>64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CED/C/SVK/CO/1</vt:lpstr>
      <vt:lpstr>A/</vt:lpstr>
      <vt:lpstr>A/</vt:lpstr>
    </vt:vector>
  </TitlesOfParts>
  <Company>DCM</Company>
  <LinksUpToDate>false</LinksUpToDate>
  <CharactersWithSpaces>21949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CED/C/SVK/CO/1</dc:title>
  <dc:subject/>
  <dc:creator>Marina KOROTKOVA</dc:creator>
  <cp:keywords/>
  <cp:lastModifiedBy>Marina Korotkova</cp:lastModifiedBy>
  <cp:revision>3</cp:revision>
  <cp:lastPrinted>2019-12-16T14:47:00Z</cp:lastPrinted>
  <dcterms:created xsi:type="dcterms:W3CDTF">2019-12-16T14:47:00Z</dcterms:created>
  <dcterms:modified xsi:type="dcterms:W3CDTF">2019-12-16T14:49:00Z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