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DB4089" w:rsidP="00DB4089">
            <w:pPr>
              <w:suppressAutoHyphens w:val="0"/>
              <w:spacing w:after="20"/>
              <w:jc w:val="right"/>
            </w:pPr>
            <w:r w:rsidRPr="00DB4089">
              <w:rPr>
                <w:sz w:val="40"/>
              </w:rPr>
              <w:t>CRC</w:t>
            </w:r>
            <w:r>
              <w:t>/C/PRT/Q/5-6/Add.1</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DB4089" w:rsidP="00DB4089">
            <w:pPr>
              <w:spacing w:before="240"/>
            </w:pPr>
            <w:r>
              <w:t>Distr.: General</w:t>
            </w:r>
          </w:p>
          <w:p w:rsidR="00DB4089" w:rsidRDefault="00B62C37" w:rsidP="00DB4089">
            <w:pPr>
              <w:suppressAutoHyphens w:val="0"/>
            </w:pPr>
            <w:r>
              <w:t>4</w:t>
            </w:r>
            <w:r w:rsidR="00DB4089">
              <w:t xml:space="preserve"> July 2019</w:t>
            </w:r>
          </w:p>
          <w:p w:rsidR="00DB4089" w:rsidRDefault="00DB4089" w:rsidP="00DB4089">
            <w:pPr>
              <w:suppressAutoHyphens w:val="0"/>
            </w:pPr>
          </w:p>
          <w:p w:rsidR="00DB4089" w:rsidRDefault="00DB4089" w:rsidP="00DB4089">
            <w:pPr>
              <w:suppressAutoHyphens w:val="0"/>
            </w:pPr>
            <w:r>
              <w:t>Original: English</w:t>
            </w:r>
          </w:p>
          <w:p w:rsidR="00DB4089" w:rsidRDefault="00DB4089" w:rsidP="00DB4089">
            <w:pPr>
              <w:suppressAutoHyphens w:val="0"/>
            </w:pPr>
            <w:r>
              <w:t>English, French and Spanish only</w:t>
            </w:r>
          </w:p>
        </w:tc>
      </w:tr>
    </w:tbl>
    <w:p w:rsidR="00DB4089" w:rsidRPr="008442C6" w:rsidRDefault="00DB4089" w:rsidP="00BD77CC">
      <w:pPr>
        <w:spacing w:before="120"/>
        <w:rPr>
          <w:b/>
          <w:sz w:val="24"/>
          <w:szCs w:val="24"/>
        </w:rPr>
      </w:pPr>
      <w:r w:rsidRPr="008442C6">
        <w:rPr>
          <w:b/>
          <w:sz w:val="24"/>
          <w:szCs w:val="24"/>
        </w:rPr>
        <w:t xml:space="preserve">Committee </w:t>
      </w:r>
      <w:r w:rsidR="00BD77CC" w:rsidRPr="008442C6">
        <w:rPr>
          <w:b/>
          <w:sz w:val="24"/>
          <w:szCs w:val="24"/>
        </w:rPr>
        <w:t>on the Rights of the Child</w:t>
      </w:r>
    </w:p>
    <w:p w:rsidR="00BD77CC" w:rsidRPr="008442C6" w:rsidRDefault="00BD77CC" w:rsidP="00BD77CC">
      <w:pPr>
        <w:rPr>
          <w:b/>
          <w:bCs/>
        </w:rPr>
      </w:pPr>
      <w:r w:rsidRPr="008442C6">
        <w:rPr>
          <w:b/>
          <w:bCs/>
        </w:rPr>
        <w:t>Eighty-second session</w:t>
      </w:r>
    </w:p>
    <w:p w:rsidR="00BD77CC" w:rsidRPr="008442C6" w:rsidRDefault="00BD77CC" w:rsidP="00BD77CC">
      <w:r w:rsidRPr="008442C6">
        <w:t>9–27 September 2019</w:t>
      </w:r>
    </w:p>
    <w:p w:rsidR="00BD77CC" w:rsidRPr="008442C6" w:rsidRDefault="00BD77CC" w:rsidP="00BD77CC">
      <w:r w:rsidRPr="008442C6">
        <w:t>Item 4 of the provisional agenda</w:t>
      </w:r>
    </w:p>
    <w:p w:rsidR="00BD77CC" w:rsidRPr="008442C6" w:rsidRDefault="00BD77CC" w:rsidP="00BD77CC">
      <w:pPr>
        <w:rPr>
          <w:b/>
          <w:bCs/>
        </w:rPr>
      </w:pPr>
      <w:r w:rsidRPr="008442C6">
        <w:rPr>
          <w:b/>
          <w:bCs/>
        </w:rPr>
        <w:t>Consideration of reports of States parties</w:t>
      </w:r>
    </w:p>
    <w:p w:rsidR="00BD77CC" w:rsidRPr="008442C6" w:rsidRDefault="00BD77CC" w:rsidP="00BD77CC">
      <w:pPr>
        <w:pStyle w:val="HChG"/>
      </w:pPr>
      <w:r w:rsidRPr="008442C6">
        <w:tab/>
      </w:r>
      <w:r w:rsidRPr="008442C6">
        <w:tab/>
        <w:t>List of issues in relation to the combined fifth and sixth periodic reports of Portugal</w:t>
      </w:r>
    </w:p>
    <w:p w:rsidR="00BD77CC" w:rsidRPr="008442C6" w:rsidRDefault="00BD77CC" w:rsidP="00BD77CC">
      <w:pPr>
        <w:pStyle w:val="H23G"/>
      </w:pPr>
      <w:r w:rsidRPr="008442C6">
        <w:tab/>
      </w:r>
      <w:r w:rsidRPr="008442C6">
        <w:tab/>
        <w:t>Addendum</w:t>
      </w:r>
    </w:p>
    <w:p w:rsidR="00BD77CC" w:rsidRPr="008442C6" w:rsidRDefault="00BD77CC" w:rsidP="009C598B">
      <w:pPr>
        <w:pStyle w:val="HChG"/>
      </w:pPr>
      <w:r w:rsidRPr="008442C6">
        <w:tab/>
      </w:r>
      <w:r w:rsidRPr="008442C6">
        <w:tab/>
        <w:t xml:space="preserve">Replies of </w:t>
      </w:r>
      <w:r w:rsidR="009C598B" w:rsidRPr="008442C6">
        <w:t>Portugal to th</w:t>
      </w:r>
      <w:bookmarkStart w:id="0" w:name="_GoBack"/>
      <w:bookmarkEnd w:id="0"/>
      <w:r w:rsidR="009C598B" w:rsidRPr="008442C6">
        <w:t>e</w:t>
      </w:r>
      <w:r w:rsidRPr="008442C6">
        <w:t xml:space="preserve"> list of issues</w:t>
      </w:r>
      <w:r w:rsidRPr="008442C6">
        <w:rPr>
          <w:b w:val="0"/>
          <w:bCs/>
          <w:sz w:val="20"/>
        </w:rPr>
        <w:footnoteReference w:customMarkFollows="1" w:id="1"/>
        <w:t>*</w:t>
      </w:r>
      <w:r w:rsidRPr="008442C6">
        <w:rPr>
          <w:b w:val="0"/>
          <w:bCs/>
          <w:position w:val="8"/>
          <w:sz w:val="20"/>
        </w:rPr>
        <w:t>,</w:t>
      </w:r>
      <w:r w:rsidRPr="008442C6">
        <w:rPr>
          <w:b w:val="0"/>
          <w:bCs/>
          <w:sz w:val="20"/>
        </w:rPr>
        <w:t xml:space="preserve"> </w:t>
      </w:r>
      <w:r w:rsidRPr="008442C6">
        <w:rPr>
          <w:b w:val="0"/>
          <w:bCs/>
          <w:sz w:val="20"/>
        </w:rPr>
        <w:footnoteReference w:customMarkFollows="1" w:id="2"/>
        <w:t>**</w:t>
      </w:r>
    </w:p>
    <w:p w:rsidR="00BD77CC" w:rsidRPr="008442C6" w:rsidRDefault="00BD77CC" w:rsidP="009C598B">
      <w:pPr>
        <w:pStyle w:val="SingleTxtG"/>
        <w:jc w:val="right"/>
      </w:pPr>
      <w:r w:rsidRPr="008442C6">
        <w:t>[Date received: 28 June 2019]</w:t>
      </w:r>
    </w:p>
    <w:p w:rsidR="00BD77CC" w:rsidRPr="008442C6" w:rsidRDefault="00BD77CC" w:rsidP="009C598B">
      <w:pPr>
        <w:pStyle w:val="HChG"/>
      </w:pPr>
      <w:r w:rsidRPr="008442C6">
        <w:br w:type="page"/>
      </w:r>
      <w:r w:rsidRPr="008442C6">
        <w:lastRenderedPageBreak/>
        <w:tab/>
      </w:r>
      <w:r w:rsidRPr="008442C6">
        <w:tab/>
        <w:t>Part I</w:t>
      </w:r>
    </w:p>
    <w:p w:rsidR="00BD77CC" w:rsidRPr="008442C6" w:rsidRDefault="00BD77CC" w:rsidP="008C0B86">
      <w:pPr>
        <w:pStyle w:val="H1G"/>
      </w:pPr>
      <w:r w:rsidRPr="008442C6">
        <w:tab/>
      </w:r>
      <w:r w:rsidRPr="008442C6">
        <w:tab/>
        <w:t xml:space="preserve">Reply to paragraph 1 of the list of issues </w:t>
      </w:r>
    </w:p>
    <w:p w:rsidR="00BD77CC" w:rsidRPr="008442C6" w:rsidRDefault="00BD77CC" w:rsidP="009C598B">
      <w:pPr>
        <w:pStyle w:val="SingleTxtG"/>
      </w:pPr>
      <w:r w:rsidRPr="008442C6">
        <w:t>1.</w:t>
      </w:r>
      <w:r w:rsidRPr="008442C6">
        <w:tab/>
        <w:t>A clear measure of the state investment on the rights of children is the budget on pre-schooling, basic and secondary education. Although this budget was considerably affected by the economic crisis and the austerity policies, being reduced in 2012 and 2013 in around 20%, during the recent years it was improved (see graph below), and its proportion of the national GDP is above the average of OECD countries (OECD, Education at a Glance 2018).</w:t>
      </w:r>
    </w:p>
    <w:p w:rsidR="00BD77CC" w:rsidRPr="008442C6" w:rsidRDefault="001C32E5" w:rsidP="001C32E5">
      <w:pPr>
        <w:pStyle w:val="H23G"/>
      </w:pPr>
      <w:r>
        <w:tab/>
      </w:r>
      <w:r>
        <w:tab/>
      </w:r>
      <w:r w:rsidR="00BD77CC" w:rsidRPr="008442C6">
        <w:t xml:space="preserve">State budget allocated to pre-schooling, basic and secondary education (in million euros) </w:t>
      </w:r>
    </w:p>
    <w:p w:rsidR="00BD77CC" w:rsidRPr="008442C6" w:rsidRDefault="001C32E5" w:rsidP="001C32E5">
      <w:pPr>
        <w:pStyle w:val="H23G"/>
        <w:spacing w:after="240"/>
      </w:pPr>
      <w:r>
        <w:tab/>
      </w:r>
      <w:r>
        <w:tab/>
      </w:r>
      <w:r w:rsidR="00BD77CC" w:rsidRPr="008442C6">
        <w:t>Expenditure on education: budget implementation</w:t>
      </w:r>
    </w:p>
    <w:p w:rsidR="00BD77CC" w:rsidRPr="008442C6" w:rsidRDefault="00BD77CC" w:rsidP="009C598B">
      <w:pPr>
        <w:pStyle w:val="SingleTxtG"/>
      </w:pPr>
      <w:r w:rsidRPr="008442C6">
        <w:rPr>
          <w:noProof/>
        </w:rPr>
        <w:drawing>
          <wp:inline distT="0" distB="0" distL="0" distR="0" wp14:anchorId="32664CA8" wp14:editId="1997A139">
            <wp:extent cx="4616450" cy="1862273"/>
            <wp:effectExtent l="0" t="0" r="0" b="5080"/>
            <wp:docPr id="3" name="Imagem 2" descr="cid:image001.png@01D525E0.4A6E6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id:image001.png@01D525E0.4A6E6AF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631888" cy="1868501"/>
                    </a:xfrm>
                    <a:prstGeom prst="rect">
                      <a:avLst/>
                    </a:prstGeom>
                    <a:noFill/>
                    <a:ln>
                      <a:noFill/>
                    </a:ln>
                  </pic:spPr>
                </pic:pic>
              </a:graphicData>
            </a:graphic>
          </wp:inline>
        </w:drawing>
      </w:r>
    </w:p>
    <w:p w:rsidR="00BD77CC" w:rsidRPr="008442C6" w:rsidRDefault="00BD77CC" w:rsidP="009C598B">
      <w:pPr>
        <w:pStyle w:val="SingleTxtG"/>
      </w:pPr>
      <w:r w:rsidRPr="008442C6">
        <w:t>2.</w:t>
      </w:r>
      <w:r w:rsidRPr="008442C6">
        <w:tab/>
        <w:t>In recent years there has been a consistent effort to include students</w:t>
      </w:r>
      <w:r w:rsidR="00804846">
        <w:t>’</w:t>
      </w:r>
      <w:r w:rsidRPr="008442C6">
        <w:t xml:space="preserve"> perspective on the public policies, at different levels, as established in the 1986 Law of Education:</w:t>
      </w:r>
    </w:p>
    <w:p w:rsidR="00BD77CC" w:rsidRPr="008442C6" w:rsidRDefault="00DB6219" w:rsidP="00DB6219">
      <w:pPr>
        <w:pStyle w:val="Bullet1G"/>
        <w:numPr>
          <w:ilvl w:val="0"/>
          <w:numId w:val="0"/>
        </w:numPr>
        <w:tabs>
          <w:tab w:val="left" w:pos="1701"/>
        </w:tabs>
        <w:ind w:left="1701" w:hanging="170"/>
      </w:pPr>
      <w:r w:rsidRPr="008442C6">
        <w:t>•</w:t>
      </w:r>
      <w:r w:rsidRPr="008442C6">
        <w:tab/>
      </w:r>
      <w:r w:rsidR="00BD77CC" w:rsidRPr="008442C6">
        <w:t>Participation of students in schools</w:t>
      </w:r>
      <w:r w:rsidR="00804846">
        <w:t>’</w:t>
      </w:r>
      <w:r w:rsidR="00BD77CC" w:rsidRPr="008442C6">
        <w:t xml:space="preserve"> decision-making is considered as one of the indicators in the External School Evaluation programme;</w:t>
      </w:r>
    </w:p>
    <w:p w:rsidR="00BD77CC" w:rsidRPr="008442C6" w:rsidRDefault="00DB6219" w:rsidP="00DB6219">
      <w:pPr>
        <w:pStyle w:val="Bullet1G"/>
        <w:numPr>
          <w:ilvl w:val="0"/>
          <w:numId w:val="0"/>
        </w:numPr>
        <w:tabs>
          <w:tab w:val="left" w:pos="1701"/>
        </w:tabs>
        <w:ind w:left="1701" w:hanging="170"/>
      </w:pPr>
      <w:r w:rsidRPr="008442C6">
        <w:t>•</w:t>
      </w:r>
      <w:r w:rsidRPr="008442C6">
        <w:tab/>
      </w:r>
      <w:r w:rsidR="00BD77CC" w:rsidRPr="008442C6">
        <w:t xml:space="preserve">Since 2017 the initiative </w:t>
      </w:r>
      <w:r w:rsidR="00804846">
        <w:t>“</w:t>
      </w:r>
      <w:r w:rsidR="00BD77CC" w:rsidRPr="008442C6">
        <w:t>Voice of Student</w:t>
      </w:r>
      <w:r w:rsidR="00804846">
        <w:t>”</w:t>
      </w:r>
      <w:r w:rsidR="00BD77CC" w:rsidRPr="008442C6">
        <w:t xml:space="preserve"> is in place in order to generate in all public school spaces for collecting and discussing students</w:t>
      </w:r>
      <w:r w:rsidR="00804846">
        <w:t>’</w:t>
      </w:r>
      <w:r w:rsidR="00BD77CC" w:rsidRPr="008442C6">
        <w:t xml:space="preserve"> perspectives, especially regarding education priorities and human rights, and to make these contributions visible in national events with government members and high-level public administration officers;</w:t>
      </w:r>
    </w:p>
    <w:p w:rsidR="00BD77CC" w:rsidRPr="008442C6" w:rsidRDefault="00DB6219" w:rsidP="00DB6219">
      <w:pPr>
        <w:pStyle w:val="Bullet1G"/>
        <w:numPr>
          <w:ilvl w:val="0"/>
          <w:numId w:val="0"/>
        </w:numPr>
        <w:tabs>
          <w:tab w:val="left" w:pos="1701"/>
        </w:tabs>
        <w:ind w:left="1701" w:hanging="170"/>
      </w:pPr>
      <w:r w:rsidRPr="008442C6">
        <w:t>•</w:t>
      </w:r>
      <w:r w:rsidRPr="008442C6">
        <w:tab/>
      </w:r>
      <w:r w:rsidR="00BD77CC" w:rsidRPr="008442C6">
        <w:t xml:space="preserve">Since 2017 the initiative </w:t>
      </w:r>
      <w:r w:rsidR="00804846">
        <w:t>“</w:t>
      </w:r>
      <w:r w:rsidR="00BD77CC" w:rsidRPr="008442C6">
        <w:t>Participatory School Budget</w:t>
      </w:r>
      <w:r w:rsidR="00804846">
        <w:t>”</w:t>
      </w:r>
      <w:r w:rsidR="00BD77CC" w:rsidRPr="008442C6">
        <w:t xml:space="preserve"> is in place enabling all students in public lower and upper secondary schools (including vocational educational training) to develop, discuss and select proposals to manage a portion of the school yearly budget according to democratic procedures (applicable in more than 90% of public schools; schools not developing these procedures are not allowed to use this additional budget portion).</w:t>
      </w:r>
    </w:p>
    <w:p w:rsidR="00BD77CC" w:rsidRPr="008442C6" w:rsidRDefault="00BD77CC" w:rsidP="009C598B">
      <w:pPr>
        <w:pStyle w:val="SingleTxtG"/>
      </w:pPr>
      <w:r w:rsidRPr="008442C6">
        <w:t>3.</w:t>
      </w:r>
      <w:r w:rsidRPr="008442C6">
        <w:tab/>
        <w:t>Concerning primary and secondary prevention programmes on violence against women and girls and domestic violence, funding has been secured by the EEA Grants Mechanism (300.000€) regarding children and youth.</w:t>
      </w:r>
    </w:p>
    <w:p w:rsidR="00BD77CC" w:rsidRPr="008442C6" w:rsidRDefault="00BD77CC" w:rsidP="009C598B">
      <w:pPr>
        <w:pStyle w:val="SingleTxtG"/>
      </w:pPr>
      <w:r w:rsidRPr="008442C6">
        <w:t>4.</w:t>
      </w:r>
      <w:r w:rsidRPr="008442C6">
        <w:tab/>
        <w:t>At the primary prevention level there are action programmes that develop interpersonal skills free from gender stereotypes and a non-violence culture. This can range from early childhood and family-based approaches (namely aiming to reduce risk of child maltreatment; prevent views on gender roles and stereotypes, unbalanced relationships and acceptability of aggression and violence; reduce children</w:t>
      </w:r>
      <w:r w:rsidR="00804846">
        <w:t>’</w:t>
      </w:r>
      <w:r w:rsidRPr="008442C6">
        <w:t xml:space="preserve">s aggressive behaviour and promote the development of positive skills; and multi-component programmes) to school-based approaches through education of students and the whole school community (namely aiming to address violent behaviours and social norms that relate to forms of violence </w:t>
      </w:r>
      <w:r w:rsidRPr="008442C6">
        <w:lastRenderedPageBreak/>
        <w:t>against women, and promote cultural and attitudes shifts towards respect and equality), privileging multi-session programmes delivered over time, that are age-appropriate and include skill-building components that require the participants</w:t>
      </w:r>
      <w:r w:rsidR="00804846">
        <w:t>’</w:t>
      </w:r>
      <w:r w:rsidRPr="008442C6">
        <w:t xml:space="preserve"> active involvement. </w:t>
      </w:r>
    </w:p>
    <w:p w:rsidR="00BD77CC" w:rsidRPr="008442C6" w:rsidRDefault="00BD77CC" w:rsidP="009C598B">
      <w:pPr>
        <w:pStyle w:val="SingleTxtG"/>
      </w:pPr>
      <w:r w:rsidRPr="008442C6">
        <w:t>5.</w:t>
      </w:r>
      <w:r w:rsidRPr="008442C6">
        <w:tab/>
        <w:t xml:space="preserve">At the secondary prevention level there are intervention programmes that target children and youth or sub-groups showing early signs of engaging in or becoming a victim of violence against women and domestic violence, and work with relevant professionals for early detection and intervention (training, creating synergies and referral mechanisms with relevant authorities, among others), in articulation with the national network for the protection of domestic violence victims, and for the promotion and protection of children and youth. </w:t>
      </w:r>
    </w:p>
    <w:p w:rsidR="00BD77CC" w:rsidRPr="008442C6" w:rsidRDefault="00BD77CC" w:rsidP="009C598B">
      <w:pPr>
        <w:pStyle w:val="SingleTxtG"/>
      </w:pPr>
      <w:r w:rsidRPr="008442C6">
        <w:t>6.</w:t>
      </w:r>
      <w:r w:rsidRPr="008442C6">
        <w:tab/>
        <w:t xml:space="preserve">Under the same fund, around 700.000€ were allocated to finance projects that combat sexual segregation in educational and vocational choices and projects that address traditional/stereotypical ideas of masculinity, targeted at boys in the areas of education, health and risk behaviours. </w:t>
      </w:r>
    </w:p>
    <w:p w:rsidR="00BD77CC" w:rsidRPr="008442C6" w:rsidRDefault="00BD77CC" w:rsidP="009C598B">
      <w:pPr>
        <w:pStyle w:val="SingleTxtG"/>
      </w:pPr>
      <w:r w:rsidRPr="008442C6">
        <w:t>7.</w:t>
      </w:r>
      <w:r w:rsidRPr="008442C6">
        <w:tab/>
        <w:t>The National Plan for Youth, approved in 2018, includes several measures in the areas of education, health, housing and employment with implementation budgets, such as the extension of the Foreign and Borders Office Programme to issues of social reinsertion and protection of minors at risk, with a budget of 600.000€.</w:t>
      </w:r>
    </w:p>
    <w:p w:rsidR="00BD77CC" w:rsidRPr="008442C6" w:rsidRDefault="00BD77CC" w:rsidP="00887735">
      <w:pPr>
        <w:pStyle w:val="H1G"/>
      </w:pPr>
      <w:r w:rsidRPr="008442C6">
        <w:tab/>
      </w:r>
      <w:r w:rsidRPr="008442C6">
        <w:tab/>
        <w:t xml:space="preserve">Reply to paragraphs 2 and 3 of the list of issues </w:t>
      </w:r>
    </w:p>
    <w:p w:rsidR="00BD77CC" w:rsidRPr="008442C6" w:rsidRDefault="00BD77CC" w:rsidP="009C598B">
      <w:pPr>
        <w:pStyle w:val="SingleTxtG"/>
      </w:pPr>
      <w:r w:rsidRPr="008442C6">
        <w:t>8.</w:t>
      </w:r>
      <w:r w:rsidRPr="008442C6">
        <w:tab/>
        <w:t>The Prosecutor-General</w:t>
      </w:r>
      <w:r w:rsidR="00804846">
        <w:t>’</w:t>
      </w:r>
      <w:r w:rsidRPr="008442C6">
        <w:t>s Office (PGO) has been undertaking an internal assessment of existing resources and operational needs within ongoing efforts to collect relevant data on all systems that register proceedings relating to children – in particular local commissions for the protection of children and youngsters, public prosecution services and courts – for the establishment of a single platform for integrated registration of all such proceedings, as provided for under the National Youth Plan</w:t>
      </w:r>
      <w:r w:rsidRPr="008442C6">
        <w:rPr>
          <w:rStyle w:val="FootnoteReference"/>
        </w:rPr>
        <w:footnoteReference w:id="3"/>
      </w:r>
      <w:r w:rsidRPr="008442C6">
        <w:t xml:space="preserve"> and the activity plan of the National Commission for the Promotion of the Rights and Protection of Children and Youngsters (NCPRPCY).</w:t>
      </w:r>
    </w:p>
    <w:p w:rsidR="00BD77CC" w:rsidRPr="008442C6" w:rsidRDefault="00BD77CC" w:rsidP="009C598B">
      <w:pPr>
        <w:pStyle w:val="SingleTxtG"/>
      </w:pPr>
      <w:r w:rsidRPr="008442C6">
        <w:t>9.</w:t>
      </w:r>
      <w:r w:rsidRPr="008442C6">
        <w:tab/>
        <w:t>The Central Department of Investigation and Prosecution (CDIP) has been cooperating since 2013 with the United States´ National Centre for Missing &amp; Exploited Children (NCMEC) in the detection and investigation of child pornography. NCMEC collects data on missing and sexually exploited children and transmits it to competent police and judicial authorities. It has been particularly active in detecting users of websites which disseminate child pornography, as well as channels used to lure children into sexual activity and prostitution. Cases with a connection to Portugal are now reported directly to CDIP, which analyses them and, if warranted, initiates the relevant criminal inquiry, namely tracing the offender</w:t>
      </w:r>
      <w:r w:rsidR="00804846">
        <w:t>’</w:t>
      </w:r>
      <w:r w:rsidRPr="008442C6">
        <w:t xml:space="preserve">s identity and residence. Once this is achieved, proceedings are transmitted to locally competent judicial authorities for further investigation. </w:t>
      </w:r>
    </w:p>
    <w:p w:rsidR="00BD77CC" w:rsidRPr="008442C6" w:rsidRDefault="00BD77CC" w:rsidP="009C598B">
      <w:pPr>
        <w:pStyle w:val="SingleTxtG"/>
      </w:pPr>
      <w:r w:rsidRPr="008442C6">
        <w:t>10.</w:t>
      </w:r>
      <w:r w:rsidRPr="008442C6">
        <w:tab/>
        <w:t xml:space="preserve">According to an assessment report published in June 2018, the establishment of this cooperation mechanism had had very positive results, speeding up investigations in their crucial initial stages, thus allowing for the successful prosecution of crimes that otherwise would not be investigated. </w:t>
      </w:r>
    </w:p>
    <w:p w:rsidR="00BD77CC" w:rsidRPr="008442C6" w:rsidRDefault="00BD77CC" w:rsidP="009C598B">
      <w:pPr>
        <w:pStyle w:val="SingleTxtG"/>
      </w:pPr>
      <w:r w:rsidRPr="008442C6">
        <w:t>11.</w:t>
      </w:r>
      <w:r w:rsidRPr="008442C6">
        <w:tab/>
        <w:t>PGO has also been establishing cooperation agreements with several higher education institutions on information technologies which may have a positive impact on the collection of data on offences against children through digital platforms.</w:t>
      </w:r>
    </w:p>
    <w:p w:rsidR="00BD77CC" w:rsidRPr="008442C6" w:rsidRDefault="00BD77CC" w:rsidP="009C598B">
      <w:pPr>
        <w:pStyle w:val="SingleTxtG"/>
      </w:pPr>
      <w:r w:rsidRPr="008442C6">
        <w:t>12.</w:t>
      </w:r>
      <w:r w:rsidRPr="008442C6">
        <w:tab/>
        <w:t>In the case of data collected from criminal cases at the trial stage in the first instance judicial courts the Directorate General of Justice Policy (DGJP) has already implemented the disaggregation of crimes of homicide and personal offences determined by racial hatred or colour, as well as the crime of female genital mutilation.</w:t>
      </w:r>
    </w:p>
    <w:p w:rsidR="00BD77CC" w:rsidRPr="008442C6" w:rsidRDefault="00BD77CC" w:rsidP="009C598B">
      <w:pPr>
        <w:pStyle w:val="SingleTxtG"/>
      </w:pPr>
      <w:r w:rsidRPr="008442C6">
        <w:t>13.</w:t>
      </w:r>
      <w:r w:rsidRPr="008442C6">
        <w:tab/>
        <w:t>However, for this type of crime the number of processes, defendants and convicts has stayed below 3 units, so it is protected by statistics secrecy.</w:t>
      </w:r>
    </w:p>
    <w:p w:rsidR="00BD77CC" w:rsidRPr="008442C6" w:rsidRDefault="00BD77CC" w:rsidP="00C559C9">
      <w:pPr>
        <w:pStyle w:val="SingleTxtG"/>
        <w:spacing w:after="240"/>
      </w:pPr>
      <w:r w:rsidRPr="008442C6">
        <w:lastRenderedPageBreak/>
        <w:t>14.</w:t>
      </w:r>
      <w:r w:rsidRPr="008442C6">
        <w:tab/>
        <w:t>DGJP has already asked for the introduction of these new items in CITIUS,</w:t>
      </w:r>
      <w:r w:rsidRPr="008442C6">
        <w:rPr>
          <w:rStyle w:val="FootnoteReference"/>
        </w:rPr>
        <w:footnoteReference w:id="4"/>
      </w:r>
      <w:r w:rsidRPr="008442C6">
        <w:t xml:space="preserve"> the Portuguese case management system: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606"/>
        <w:gridCol w:w="2764"/>
      </w:tblGrid>
      <w:tr w:rsidR="00BD77CC" w:rsidRPr="008442C6" w:rsidTr="00C559C9">
        <w:trPr>
          <w:tblHeader/>
        </w:trPr>
        <w:tc>
          <w:tcPr>
            <w:tcW w:w="4606"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BD77CC" w:rsidRPr="008442C6" w:rsidRDefault="00BD77CC" w:rsidP="00C559C9">
            <w:pPr>
              <w:suppressAutoHyphens w:val="0"/>
              <w:spacing w:before="80" w:after="80" w:line="200" w:lineRule="exact"/>
              <w:ind w:right="113"/>
              <w:rPr>
                <w:i/>
                <w:sz w:val="16"/>
              </w:rPr>
            </w:pPr>
            <w:r w:rsidRPr="008442C6">
              <w:rPr>
                <w:i/>
                <w:sz w:val="16"/>
              </w:rPr>
              <w:t>Description</w:t>
            </w:r>
          </w:p>
        </w:tc>
        <w:tc>
          <w:tcPr>
            <w:tcW w:w="2764"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BD77CC" w:rsidRPr="008442C6" w:rsidRDefault="00BD77CC" w:rsidP="00C559C9">
            <w:pPr>
              <w:suppressAutoHyphens w:val="0"/>
              <w:spacing w:before="80" w:after="80" w:line="200" w:lineRule="exact"/>
              <w:ind w:right="113"/>
              <w:rPr>
                <w:i/>
                <w:sz w:val="16"/>
              </w:rPr>
            </w:pPr>
            <w:r w:rsidRPr="008442C6">
              <w:rPr>
                <w:i/>
                <w:sz w:val="16"/>
              </w:rPr>
              <w:t>Legal basis – Penal Code</w:t>
            </w:r>
          </w:p>
        </w:tc>
      </w:tr>
      <w:tr w:rsidR="00BD77CC" w:rsidRPr="008442C6" w:rsidTr="00C559C9">
        <w:tc>
          <w:tcPr>
            <w:tcW w:w="4606" w:type="dxa"/>
            <w:shd w:val="clear" w:color="auto" w:fill="auto"/>
            <w:noWrap/>
            <w:tcMar>
              <w:top w:w="0" w:type="dxa"/>
              <w:left w:w="70" w:type="dxa"/>
              <w:bottom w:w="0" w:type="dxa"/>
              <w:right w:w="70" w:type="dxa"/>
            </w:tcMar>
            <w:hideMark/>
          </w:tcPr>
          <w:p w:rsidR="00BD77CC" w:rsidRPr="008442C6" w:rsidRDefault="00BD77CC" w:rsidP="00C559C9">
            <w:pPr>
              <w:suppressAutoHyphens w:val="0"/>
              <w:spacing w:before="40" w:after="120" w:line="220" w:lineRule="exact"/>
              <w:ind w:right="113"/>
            </w:pPr>
            <w:r w:rsidRPr="008442C6">
              <w:t>Discrimination and incitement to hate and violence</w:t>
            </w:r>
          </w:p>
        </w:tc>
        <w:tc>
          <w:tcPr>
            <w:tcW w:w="2764" w:type="dxa"/>
            <w:shd w:val="clear" w:color="auto" w:fill="auto"/>
            <w:noWrap/>
            <w:tcMar>
              <w:top w:w="0" w:type="dxa"/>
              <w:left w:w="70" w:type="dxa"/>
              <w:bottom w:w="0" w:type="dxa"/>
              <w:right w:w="70" w:type="dxa"/>
            </w:tcMar>
            <w:hideMark/>
          </w:tcPr>
          <w:p w:rsidR="00BD77CC" w:rsidRPr="008442C6" w:rsidRDefault="00BD77CC" w:rsidP="00C559C9">
            <w:pPr>
              <w:suppressAutoHyphens w:val="0"/>
              <w:spacing w:before="40" w:after="120" w:line="220" w:lineRule="exact"/>
              <w:ind w:right="113"/>
            </w:pPr>
            <w:r w:rsidRPr="008442C6">
              <w:t>Article 240</w:t>
            </w:r>
          </w:p>
        </w:tc>
      </w:tr>
      <w:tr w:rsidR="00BD77CC" w:rsidRPr="008442C6" w:rsidTr="00C559C9">
        <w:tc>
          <w:tcPr>
            <w:tcW w:w="4606" w:type="dxa"/>
            <w:shd w:val="clear" w:color="auto" w:fill="auto"/>
            <w:noWrap/>
            <w:tcMar>
              <w:top w:w="0" w:type="dxa"/>
              <w:left w:w="70" w:type="dxa"/>
              <w:bottom w:w="0" w:type="dxa"/>
              <w:right w:w="70" w:type="dxa"/>
            </w:tcMar>
            <w:hideMark/>
          </w:tcPr>
          <w:p w:rsidR="00BD77CC" w:rsidRPr="008442C6" w:rsidRDefault="00BD77CC" w:rsidP="00C559C9">
            <w:pPr>
              <w:suppressAutoHyphens w:val="0"/>
              <w:spacing w:before="40" w:after="120" w:line="220" w:lineRule="exact"/>
              <w:ind w:right="113"/>
            </w:pPr>
            <w:r w:rsidRPr="008442C6">
              <w:t>Discrimination and incitement to hate and violence (attempt)</w:t>
            </w:r>
          </w:p>
        </w:tc>
        <w:tc>
          <w:tcPr>
            <w:tcW w:w="2764" w:type="dxa"/>
            <w:shd w:val="clear" w:color="auto" w:fill="auto"/>
            <w:noWrap/>
            <w:tcMar>
              <w:top w:w="0" w:type="dxa"/>
              <w:left w:w="70" w:type="dxa"/>
              <w:bottom w:w="0" w:type="dxa"/>
              <w:right w:w="70" w:type="dxa"/>
            </w:tcMar>
            <w:hideMark/>
          </w:tcPr>
          <w:p w:rsidR="00BD77CC" w:rsidRPr="008442C6" w:rsidRDefault="00BD77CC" w:rsidP="00C559C9">
            <w:pPr>
              <w:suppressAutoHyphens w:val="0"/>
              <w:spacing w:before="40" w:after="120" w:line="220" w:lineRule="exact"/>
              <w:ind w:right="113"/>
            </w:pPr>
            <w:r w:rsidRPr="008442C6">
              <w:t>Articles 240, 22 and 23</w:t>
            </w:r>
          </w:p>
        </w:tc>
      </w:tr>
      <w:tr w:rsidR="00BD77CC" w:rsidRPr="008442C6" w:rsidTr="00C559C9">
        <w:tc>
          <w:tcPr>
            <w:tcW w:w="4606" w:type="dxa"/>
            <w:shd w:val="clear" w:color="auto" w:fill="auto"/>
            <w:noWrap/>
            <w:tcMar>
              <w:top w:w="0" w:type="dxa"/>
              <w:left w:w="70" w:type="dxa"/>
              <w:bottom w:w="0" w:type="dxa"/>
              <w:right w:w="70" w:type="dxa"/>
            </w:tcMar>
            <w:hideMark/>
          </w:tcPr>
          <w:p w:rsidR="00BD77CC" w:rsidRPr="008442C6" w:rsidRDefault="00BD77CC" w:rsidP="00C559C9">
            <w:pPr>
              <w:suppressAutoHyphens w:val="0"/>
              <w:spacing w:before="40" w:after="120" w:line="220" w:lineRule="exact"/>
              <w:ind w:right="113"/>
            </w:pPr>
            <w:r w:rsidRPr="008442C6">
              <w:t>Aggravated threat determined by racial hatred or generated by colour</w:t>
            </w:r>
          </w:p>
        </w:tc>
        <w:tc>
          <w:tcPr>
            <w:tcW w:w="2764" w:type="dxa"/>
            <w:shd w:val="clear" w:color="auto" w:fill="auto"/>
            <w:noWrap/>
            <w:tcMar>
              <w:top w:w="0" w:type="dxa"/>
              <w:left w:w="70" w:type="dxa"/>
              <w:bottom w:w="0" w:type="dxa"/>
              <w:right w:w="70" w:type="dxa"/>
            </w:tcMar>
            <w:hideMark/>
          </w:tcPr>
          <w:p w:rsidR="00BD77CC" w:rsidRPr="008442C6" w:rsidRDefault="00BD77CC" w:rsidP="00BC27F1">
            <w:pPr>
              <w:suppressAutoHyphens w:val="0"/>
              <w:spacing w:before="40" w:after="120" w:line="220" w:lineRule="exact"/>
              <w:ind w:right="113"/>
            </w:pPr>
            <w:r w:rsidRPr="008442C6">
              <w:t>Articles 153 and 155 §1 2</w:t>
            </w:r>
          </w:p>
        </w:tc>
      </w:tr>
      <w:tr w:rsidR="00BD77CC" w:rsidRPr="008442C6" w:rsidTr="00C559C9">
        <w:tc>
          <w:tcPr>
            <w:tcW w:w="4606" w:type="dxa"/>
            <w:shd w:val="clear" w:color="auto" w:fill="auto"/>
            <w:noWrap/>
            <w:tcMar>
              <w:top w:w="0" w:type="dxa"/>
              <w:left w:w="70" w:type="dxa"/>
              <w:bottom w:w="0" w:type="dxa"/>
              <w:right w:w="70" w:type="dxa"/>
            </w:tcMar>
            <w:hideMark/>
          </w:tcPr>
          <w:p w:rsidR="00BD77CC" w:rsidRPr="008442C6" w:rsidRDefault="00BD77CC" w:rsidP="00C559C9">
            <w:pPr>
              <w:suppressAutoHyphens w:val="0"/>
              <w:spacing w:before="40" w:after="120" w:line="220" w:lineRule="exact"/>
              <w:ind w:right="113"/>
            </w:pPr>
            <w:r w:rsidRPr="008442C6">
              <w:t>Aggravated coercion determined by racial hatred or generated by colour</w:t>
            </w:r>
          </w:p>
        </w:tc>
        <w:tc>
          <w:tcPr>
            <w:tcW w:w="2764" w:type="dxa"/>
            <w:shd w:val="clear" w:color="auto" w:fill="auto"/>
            <w:noWrap/>
            <w:tcMar>
              <w:top w:w="0" w:type="dxa"/>
              <w:left w:w="70" w:type="dxa"/>
              <w:bottom w:w="0" w:type="dxa"/>
              <w:right w:w="70" w:type="dxa"/>
            </w:tcMar>
            <w:hideMark/>
          </w:tcPr>
          <w:p w:rsidR="00BD77CC" w:rsidRPr="008442C6" w:rsidRDefault="00BD77CC" w:rsidP="00BC27F1">
            <w:pPr>
              <w:suppressAutoHyphens w:val="0"/>
              <w:spacing w:before="40" w:after="120" w:line="220" w:lineRule="exact"/>
              <w:ind w:right="113"/>
            </w:pPr>
            <w:r w:rsidRPr="008442C6">
              <w:t>Articles 154 and 155 §1 2</w:t>
            </w:r>
          </w:p>
        </w:tc>
      </w:tr>
      <w:tr w:rsidR="00BD77CC" w:rsidRPr="008442C6" w:rsidTr="00C559C9">
        <w:tc>
          <w:tcPr>
            <w:tcW w:w="4606" w:type="dxa"/>
            <w:shd w:val="clear" w:color="auto" w:fill="auto"/>
            <w:noWrap/>
            <w:tcMar>
              <w:top w:w="0" w:type="dxa"/>
              <w:left w:w="70" w:type="dxa"/>
              <w:bottom w:w="0" w:type="dxa"/>
              <w:right w:w="70" w:type="dxa"/>
            </w:tcMar>
            <w:hideMark/>
          </w:tcPr>
          <w:p w:rsidR="00BD77CC" w:rsidRPr="008442C6" w:rsidRDefault="00BD77CC" w:rsidP="00C559C9">
            <w:pPr>
              <w:suppressAutoHyphens w:val="0"/>
              <w:spacing w:before="40" w:after="120" w:line="220" w:lineRule="exact"/>
              <w:ind w:right="113"/>
            </w:pPr>
            <w:r w:rsidRPr="008442C6">
              <w:t>Stalking aggravated by racial hatred or generated by colour</w:t>
            </w:r>
          </w:p>
        </w:tc>
        <w:tc>
          <w:tcPr>
            <w:tcW w:w="2764" w:type="dxa"/>
            <w:shd w:val="clear" w:color="auto" w:fill="auto"/>
            <w:noWrap/>
            <w:tcMar>
              <w:top w:w="0" w:type="dxa"/>
              <w:left w:w="70" w:type="dxa"/>
              <w:bottom w:w="0" w:type="dxa"/>
              <w:right w:w="70" w:type="dxa"/>
            </w:tcMar>
            <w:hideMark/>
          </w:tcPr>
          <w:p w:rsidR="00BD77CC" w:rsidRPr="008442C6" w:rsidRDefault="00BD77CC" w:rsidP="00804846">
            <w:pPr>
              <w:suppressAutoHyphens w:val="0"/>
              <w:spacing w:before="40" w:after="120" w:line="220" w:lineRule="exact"/>
              <w:ind w:right="113"/>
            </w:pPr>
            <w:r w:rsidRPr="008442C6">
              <w:t>Articles 154-A and 155 §1 2</w:t>
            </w:r>
          </w:p>
        </w:tc>
      </w:tr>
      <w:tr w:rsidR="00BD77CC" w:rsidRPr="008442C6" w:rsidTr="00C559C9">
        <w:tc>
          <w:tcPr>
            <w:tcW w:w="4606" w:type="dxa"/>
            <w:shd w:val="clear" w:color="auto" w:fill="auto"/>
            <w:noWrap/>
            <w:tcMar>
              <w:top w:w="0" w:type="dxa"/>
              <w:left w:w="70" w:type="dxa"/>
              <w:bottom w:w="0" w:type="dxa"/>
              <w:right w:w="70" w:type="dxa"/>
            </w:tcMar>
            <w:hideMark/>
          </w:tcPr>
          <w:p w:rsidR="00BD77CC" w:rsidRPr="008442C6" w:rsidRDefault="00BD77CC" w:rsidP="00C559C9">
            <w:pPr>
              <w:suppressAutoHyphens w:val="0"/>
              <w:spacing w:before="40" w:after="120" w:line="220" w:lineRule="exact"/>
              <w:ind w:right="113"/>
            </w:pPr>
            <w:r w:rsidRPr="008442C6">
              <w:t>Aggravated forced marriage by racial hatred or generated by colour</w:t>
            </w:r>
          </w:p>
        </w:tc>
        <w:tc>
          <w:tcPr>
            <w:tcW w:w="2764" w:type="dxa"/>
            <w:shd w:val="clear" w:color="auto" w:fill="auto"/>
            <w:noWrap/>
            <w:tcMar>
              <w:top w:w="0" w:type="dxa"/>
              <w:left w:w="70" w:type="dxa"/>
              <w:bottom w:w="0" w:type="dxa"/>
              <w:right w:w="70" w:type="dxa"/>
            </w:tcMar>
            <w:hideMark/>
          </w:tcPr>
          <w:p w:rsidR="00BD77CC" w:rsidRPr="008442C6" w:rsidRDefault="00BD77CC" w:rsidP="00804846">
            <w:pPr>
              <w:suppressAutoHyphens w:val="0"/>
              <w:spacing w:before="40" w:after="120" w:line="220" w:lineRule="exact"/>
              <w:ind w:right="113"/>
            </w:pPr>
            <w:r w:rsidRPr="008442C6">
              <w:t>Articles 154-B and 155 §1 2</w:t>
            </w:r>
          </w:p>
        </w:tc>
      </w:tr>
      <w:tr w:rsidR="00BD77CC" w:rsidRPr="008442C6" w:rsidTr="00C559C9">
        <w:tc>
          <w:tcPr>
            <w:tcW w:w="4606" w:type="dxa"/>
            <w:shd w:val="clear" w:color="auto" w:fill="auto"/>
            <w:noWrap/>
            <w:tcMar>
              <w:top w:w="0" w:type="dxa"/>
              <w:left w:w="70" w:type="dxa"/>
              <w:bottom w:w="0" w:type="dxa"/>
              <w:right w:w="70" w:type="dxa"/>
            </w:tcMar>
            <w:hideMark/>
          </w:tcPr>
          <w:p w:rsidR="00BD77CC" w:rsidRPr="008442C6" w:rsidRDefault="00BD77CC" w:rsidP="00C559C9">
            <w:pPr>
              <w:suppressAutoHyphens w:val="0"/>
              <w:spacing w:before="40" w:after="120" w:line="220" w:lineRule="exact"/>
              <w:ind w:right="113"/>
            </w:pPr>
            <w:r w:rsidRPr="008442C6">
              <w:t>Aggravated preparatory acts by racial hatred or generated by colour</w:t>
            </w:r>
          </w:p>
        </w:tc>
        <w:tc>
          <w:tcPr>
            <w:tcW w:w="2764" w:type="dxa"/>
            <w:shd w:val="clear" w:color="auto" w:fill="auto"/>
            <w:noWrap/>
            <w:tcMar>
              <w:top w:w="0" w:type="dxa"/>
              <w:left w:w="70" w:type="dxa"/>
              <w:bottom w:w="0" w:type="dxa"/>
              <w:right w:w="70" w:type="dxa"/>
            </w:tcMar>
            <w:hideMark/>
          </w:tcPr>
          <w:p w:rsidR="00BD77CC" w:rsidRPr="008442C6" w:rsidRDefault="00BC27F1" w:rsidP="00804846">
            <w:pPr>
              <w:suppressAutoHyphens w:val="0"/>
              <w:spacing w:before="40" w:after="120" w:line="220" w:lineRule="exact"/>
              <w:ind w:right="113"/>
            </w:pPr>
            <w:r w:rsidRPr="008442C6">
              <w:t>Articles 154-C and 155 §1 2</w:t>
            </w:r>
          </w:p>
        </w:tc>
      </w:tr>
    </w:tbl>
    <w:p w:rsidR="00BD77CC" w:rsidRPr="008442C6" w:rsidRDefault="00BD77CC" w:rsidP="00C559C9">
      <w:pPr>
        <w:pStyle w:val="SingleTxtG"/>
        <w:spacing w:before="240"/>
      </w:pPr>
      <w:r w:rsidRPr="008442C6">
        <w:t>15.</w:t>
      </w:r>
      <w:r w:rsidRPr="008442C6">
        <w:tab/>
        <w:t>Work is being done in relation to information which should be disaggregated (as victims´ characterisation in crime cases as age and sex).</w:t>
      </w:r>
    </w:p>
    <w:p w:rsidR="00BD77CC" w:rsidRPr="008442C6" w:rsidRDefault="00BD77CC" w:rsidP="009C598B">
      <w:pPr>
        <w:pStyle w:val="SingleTxtG"/>
      </w:pPr>
      <w:r w:rsidRPr="008442C6">
        <w:t>16.</w:t>
      </w:r>
      <w:r w:rsidRPr="008442C6">
        <w:tab/>
        <w:t xml:space="preserve">As for hate crimes, it is worth mentioning that in addition of these improvements and the higher degree of disaggregation in statistical information collected (namely in terms of collecting disaggregated crime types/aggravated offences determined by racial hatred or colour), the Ministry of Justice has participated actively in the </w:t>
      </w:r>
      <w:r w:rsidR="00804846">
        <w:t>“</w:t>
      </w:r>
      <w:r w:rsidRPr="008442C6">
        <w:t>Hate Crime Awareness Raising Workshop</w:t>
      </w:r>
      <w:r w:rsidR="00804846">
        <w:t>”</w:t>
      </w:r>
      <w:r w:rsidRPr="008442C6">
        <w:t xml:space="preserve"> sponsored by the European Union Agency for Fundamental Rights.</w:t>
      </w:r>
    </w:p>
    <w:p w:rsidR="00BD77CC" w:rsidRPr="008442C6" w:rsidRDefault="00BD77CC" w:rsidP="009C598B">
      <w:pPr>
        <w:pStyle w:val="SingleTxtG"/>
      </w:pPr>
      <w:r w:rsidRPr="008442C6">
        <w:t>17.</w:t>
      </w:r>
      <w:r w:rsidRPr="008442C6">
        <w:tab/>
        <w:t xml:space="preserve">The NCPRPCY made a proposal for a Strategy to implement the Convention on the Rights of the Child, which included an Axis with measures aimed at a better collection of data on the Rights of Children. This proposal is awaiting approval by the Council of Ministers. </w:t>
      </w:r>
    </w:p>
    <w:p w:rsidR="00BD77CC" w:rsidRPr="008442C6" w:rsidRDefault="00BD77CC" w:rsidP="009C598B">
      <w:pPr>
        <w:pStyle w:val="SingleTxtG"/>
      </w:pPr>
      <w:r w:rsidRPr="008442C6">
        <w:t>18.</w:t>
      </w:r>
      <w:r w:rsidRPr="008442C6">
        <w:tab/>
        <w:t>The Ministry of Health collects its own data for the reports of the Health Action for Children and Young at Risk.</w:t>
      </w:r>
    </w:p>
    <w:p w:rsidR="00BD77CC" w:rsidRPr="008442C6" w:rsidRDefault="00BD77CC" w:rsidP="00BC27F1">
      <w:pPr>
        <w:pStyle w:val="H1G"/>
      </w:pPr>
      <w:r w:rsidRPr="008442C6">
        <w:tab/>
      </w:r>
      <w:r w:rsidRPr="008442C6">
        <w:tab/>
        <w:t xml:space="preserve">Reply to paragraph 4 of the list of issues </w:t>
      </w:r>
    </w:p>
    <w:p w:rsidR="00BD77CC" w:rsidRPr="008442C6" w:rsidRDefault="00BD77CC" w:rsidP="009C598B">
      <w:pPr>
        <w:pStyle w:val="SingleTxtG"/>
      </w:pPr>
      <w:r w:rsidRPr="008442C6">
        <w:t>19.</w:t>
      </w:r>
      <w:r w:rsidRPr="008442C6">
        <w:tab/>
        <w:t>The National Health Programme for Child and Youth instruments were all elaborated according to the principle of non-discrimination, allowing registration of 2 fathers/2 mothers/other caregivers and in some documents caregiver 1 and caregiver 2.</w:t>
      </w:r>
    </w:p>
    <w:p w:rsidR="00BD77CC" w:rsidRPr="008442C6" w:rsidRDefault="00BD77CC" w:rsidP="00BC27F1">
      <w:pPr>
        <w:pStyle w:val="H1G"/>
      </w:pPr>
      <w:r w:rsidRPr="008442C6">
        <w:tab/>
      </w:r>
      <w:r w:rsidRPr="008442C6">
        <w:tab/>
        <w:t xml:space="preserve">Reply to paragraph 5 of the list of issues </w:t>
      </w:r>
    </w:p>
    <w:p w:rsidR="00BD77CC" w:rsidRPr="008442C6" w:rsidRDefault="00BD77CC" w:rsidP="009C598B">
      <w:pPr>
        <w:pStyle w:val="SingleTxtG"/>
      </w:pPr>
      <w:r w:rsidRPr="008442C6">
        <w:t>20.</w:t>
      </w:r>
      <w:r w:rsidRPr="008442C6">
        <w:tab/>
        <w:t>The amendments simplified the requirements for access to Portuguese nationality for children born in Portugal from foreigner parents, but did not directly target statelessness situations, since they were already provided for in the Law of Nationality.</w:t>
      </w:r>
    </w:p>
    <w:p w:rsidR="00BD77CC" w:rsidRPr="008442C6" w:rsidRDefault="00BD77CC" w:rsidP="00BC27F1">
      <w:pPr>
        <w:pStyle w:val="H1G"/>
      </w:pPr>
      <w:r w:rsidRPr="008442C6">
        <w:tab/>
      </w:r>
      <w:r w:rsidRPr="008442C6">
        <w:tab/>
        <w:t xml:space="preserve">Reply to paragraph 6 of the list of issues </w:t>
      </w:r>
    </w:p>
    <w:p w:rsidR="00BD77CC" w:rsidRPr="008442C6" w:rsidRDefault="00BD77CC" w:rsidP="009C598B">
      <w:pPr>
        <w:pStyle w:val="SingleTxtG"/>
      </w:pPr>
      <w:r w:rsidRPr="008442C6">
        <w:t>21.</w:t>
      </w:r>
      <w:r w:rsidRPr="008442C6">
        <w:tab/>
        <w:t>The Students</w:t>
      </w:r>
      <w:r w:rsidR="00804846">
        <w:t>’</w:t>
      </w:r>
      <w:r w:rsidRPr="008442C6">
        <w:t xml:space="preserve"> Status and School Ethics and the General Law of Labour in Public Activities are the legal framework documents for teachers</w:t>
      </w:r>
      <w:r w:rsidR="00804846">
        <w:t>’</w:t>
      </w:r>
      <w:r w:rsidRPr="008442C6">
        <w:t xml:space="preserve"> work, upon which the General Inspectorate for Education and Science (GIES) acts. GIES receives and investigates with </w:t>
      </w:r>
      <w:r w:rsidRPr="008442C6">
        <w:lastRenderedPageBreak/>
        <w:t>top priority all complaints received regarding violence against students by teachers or other school workers. It also applies sanctions (up to workers</w:t>
      </w:r>
      <w:r w:rsidR="00804846">
        <w:t>’</w:t>
      </w:r>
      <w:r w:rsidRPr="008442C6">
        <w:t xml:space="preserve"> dismissal) and addresses all the available information to the Public Ministry, where a larger investigation may be conducted according to the Penal Code (criminal process). </w:t>
      </w:r>
    </w:p>
    <w:p w:rsidR="00BD77CC" w:rsidRPr="008442C6" w:rsidRDefault="00BD77CC" w:rsidP="009C598B">
      <w:pPr>
        <w:pStyle w:val="SingleTxtG"/>
      </w:pPr>
      <w:r w:rsidRPr="008442C6">
        <w:t>22.</w:t>
      </w:r>
      <w:r w:rsidRPr="008442C6">
        <w:tab/>
        <w:t>Recent case laws:</w:t>
      </w:r>
    </w:p>
    <w:p w:rsidR="00BD77CC" w:rsidRPr="008442C6" w:rsidRDefault="00DB6219" w:rsidP="00DB6219">
      <w:pPr>
        <w:pStyle w:val="Bullet1G"/>
        <w:numPr>
          <w:ilvl w:val="0"/>
          <w:numId w:val="0"/>
        </w:numPr>
        <w:tabs>
          <w:tab w:val="left" w:pos="1701"/>
        </w:tabs>
        <w:ind w:left="1701" w:hanging="170"/>
      </w:pPr>
      <w:r w:rsidRPr="008442C6">
        <w:t>•</w:t>
      </w:r>
      <w:r w:rsidRPr="008442C6">
        <w:tab/>
      </w:r>
      <w:r w:rsidR="00BD77CC" w:rsidRPr="008442C6">
        <w:t xml:space="preserve">Family relationship: </w:t>
      </w:r>
    </w:p>
    <w:p w:rsidR="00BD77CC" w:rsidRPr="008442C6" w:rsidRDefault="00DB6219" w:rsidP="00DB6219">
      <w:pPr>
        <w:pStyle w:val="Bullet2G"/>
        <w:numPr>
          <w:ilvl w:val="0"/>
          <w:numId w:val="0"/>
        </w:numPr>
        <w:tabs>
          <w:tab w:val="left" w:pos="2268"/>
        </w:tabs>
        <w:ind w:left="2268" w:hanging="170"/>
      </w:pPr>
      <w:r w:rsidRPr="008442C6">
        <w:t>•</w:t>
      </w:r>
      <w:r w:rsidRPr="008442C6">
        <w:tab/>
      </w:r>
      <w:r w:rsidR="00BD77CC" w:rsidRPr="008442C6">
        <w:tab/>
        <w:t xml:space="preserve">http://www.dgsi.pt/jtrc.nsf/8fe0e606d8f56b22802576c0005637dc/0685250ad24e395180257b960039699b?OpenDocument; </w:t>
      </w:r>
    </w:p>
    <w:p w:rsidR="00BD77CC" w:rsidRPr="008442C6" w:rsidRDefault="00DB6219" w:rsidP="00DB6219">
      <w:pPr>
        <w:pStyle w:val="Bullet2G"/>
        <w:numPr>
          <w:ilvl w:val="0"/>
          <w:numId w:val="0"/>
        </w:numPr>
        <w:tabs>
          <w:tab w:val="left" w:pos="2268"/>
        </w:tabs>
        <w:ind w:left="2268" w:hanging="170"/>
      </w:pPr>
      <w:r w:rsidRPr="008442C6">
        <w:t>•</w:t>
      </w:r>
      <w:r w:rsidRPr="008442C6">
        <w:tab/>
      </w:r>
      <w:r w:rsidR="00BD77CC" w:rsidRPr="008442C6">
        <w:t>www.dgsi.pt/jtrl.nsf/.../e95883d19f5f0d5580258057002deccb?</w:t>
      </w:r>
      <w:r w:rsidR="00CF6DEA" w:rsidRPr="008442C6">
        <w:br/>
      </w:r>
      <w:r w:rsidR="00BD77CC" w:rsidRPr="008442C6">
        <w:t>OpenDocument;</w:t>
      </w:r>
    </w:p>
    <w:p w:rsidR="00BD77CC" w:rsidRPr="008442C6" w:rsidRDefault="00DB6219" w:rsidP="00DB6219">
      <w:pPr>
        <w:pStyle w:val="Bullet2G"/>
        <w:numPr>
          <w:ilvl w:val="0"/>
          <w:numId w:val="0"/>
        </w:numPr>
        <w:tabs>
          <w:tab w:val="left" w:pos="2268"/>
        </w:tabs>
        <w:ind w:left="2268" w:hanging="170"/>
      </w:pPr>
      <w:r w:rsidRPr="008442C6">
        <w:t>•</w:t>
      </w:r>
      <w:r w:rsidRPr="008442C6">
        <w:tab/>
      </w:r>
      <w:r w:rsidR="00BD77CC" w:rsidRPr="008442C6">
        <w:t>http://www.dgsi.pt/jtrl.nsf/33182fc732316039802565fa00497eec/e95883d19f5f0d</w:t>
      </w:r>
      <w:r w:rsidR="008D7868">
        <w:t>5580258057002deccb?OpenDocument;</w:t>
      </w:r>
    </w:p>
    <w:p w:rsidR="00BD77CC" w:rsidRPr="008442C6" w:rsidRDefault="00DB6219" w:rsidP="00DB6219">
      <w:pPr>
        <w:pStyle w:val="Bullet1G"/>
        <w:numPr>
          <w:ilvl w:val="0"/>
          <w:numId w:val="0"/>
        </w:numPr>
        <w:tabs>
          <w:tab w:val="left" w:pos="1701"/>
        </w:tabs>
        <w:ind w:left="1701" w:hanging="170"/>
      </w:pPr>
      <w:r w:rsidRPr="008442C6">
        <w:t>•</w:t>
      </w:r>
      <w:r w:rsidRPr="008442C6">
        <w:tab/>
      </w:r>
      <w:r w:rsidR="00BD77CC" w:rsidRPr="008442C6">
        <w:t>Care/professional relationship:</w:t>
      </w:r>
    </w:p>
    <w:p w:rsidR="00BD77CC" w:rsidRPr="008442C6" w:rsidRDefault="00DB6219" w:rsidP="00DB6219">
      <w:pPr>
        <w:pStyle w:val="Bullet2G"/>
        <w:numPr>
          <w:ilvl w:val="0"/>
          <w:numId w:val="0"/>
        </w:numPr>
        <w:tabs>
          <w:tab w:val="left" w:pos="2268"/>
        </w:tabs>
        <w:ind w:left="2268" w:hanging="170"/>
      </w:pPr>
      <w:r w:rsidRPr="008442C6">
        <w:t>•</w:t>
      </w:r>
      <w:r w:rsidRPr="008442C6">
        <w:tab/>
      </w:r>
      <w:r w:rsidR="00BD77CC" w:rsidRPr="008442C6">
        <w:t>http://www.dgsi.pt/jtrc.nsf/c3fb530030ea1c61802568d9005cd5bb/4ebd8d4f6e59e4848025755c004e23db?OpenDocument</w:t>
      </w:r>
      <w:r w:rsidR="007D3DB0" w:rsidRPr="008442C6">
        <w:t xml:space="preserve"> </w:t>
      </w:r>
      <w:r w:rsidR="00BD77CC" w:rsidRPr="008442C6">
        <w:t>;http://www.dgsi.pt/jtre.nsf/134973db04f39bf2802579bf005f080b/b92047fa14675e8780257de10056f7c0?OpenDocument;</w:t>
      </w:r>
    </w:p>
    <w:p w:rsidR="00BD77CC" w:rsidRPr="008442C6" w:rsidRDefault="00DB6219" w:rsidP="00DB6219">
      <w:pPr>
        <w:pStyle w:val="Bullet2G"/>
        <w:numPr>
          <w:ilvl w:val="0"/>
          <w:numId w:val="0"/>
        </w:numPr>
        <w:tabs>
          <w:tab w:val="left" w:pos="2268"/>
        </w:tabs>
        <w:ind w:left="2268" w:hanging="170"/>
      </w:pPr>
      <w:r w:rsidRPr="008442C6">
        <w:t>•</w:t>
      </w:r>
      <w:r w:rsidRPr="008442C6">
        <w:tab/>
      </w:r>
      <w:r w:rsidR="00BD77CC" w:rsidRPr="008442C6">
        <w:tab/>
        <w:t xml:space="preserve">http://www.dgsi.pt/jstj.nsf/954f0ce6ad9dd8b980256b5f003fa814/7b3cde591793c8b18025714d002b118c?OpenDocument. </w:t>
      </w:r>
    </w:p>
    <w:p w:rsidR="00BD77CC" w:rsidRPr="008442C6" w:rsidRDefault="00BD77CC" w:rsidP="009C598B">
      <w:pPr>
        <w:pStyle w:val="SingleTxtG"/>
      </w:pPr>
      <w:r w:rsidRPr="008442C6">
        <w:t>23.</w:t>
      </w:r>
      <w:r w:rsidRPr="008442C6">
        <w:tab/>
        <w:t>In 2018 the new National Strategy for Equality a</w:t>
      </w:r>
      <w:r w:rsidR="00804846">
        <w:t>nd Non-Discrimination 2018–</w:t>
      </w:r>
      <w:r w:rsidRPr="008442C6">
        <w:t>2030 (NSEND) brought under one umbrella areas which were embodied in separated national plans. This integrated approach fosters collaboration and coordination of efforts, valuing a common vision that simultaneously has a more structuring and sustainable effect on a desirable future.</w:t>
      </w:r>
    </w:p>
    <w:p w:rsidR="00BD77CC" w:rsidRPr="008442C6" w:rsidRDefault="00BD77CC" w:rsidP="009C598B">
      <w:pPr>
        <w:pStyle w:val="SingleTxtG"/>
      </w:pPr>
      <w:r w:rsidRPr="008442C6">
        <w:t>24.</w:t>
      </w:r>
      <w:r w:rsidRPr="008442C6">
        <w:tab/>
        <w:t xml:space="preserve">NSEND includes 3 Action Plans which define concrete measures for the first 4 years of implementation (up to 2021): </w:t>
      </w:r>
    </w:p>
    <w:p w:rsidR="00BD77CC" w:rsidRPr="008442C6" w:rsidRDefault="00DB6219" w:rsidP="00DB6219">
      <w:pPr>
        <w:pStyle w:val="Bullet1G"/>
        <w:numPr>
          <w:ilvl w:val="0"/>
          <w:numId w:val="0"/>
        </w:numPr>
        <w:tabs>
          <w:tab w:val="left" w:pos="1701"/>
        </w:tabs>
        <w:ind w:left="1701" w:hanging="170"/>
      </w:pPr>
      <w:r w:rsidRPr="008442C6">
        <w:t>•</w:t>
      </w:r>
      <w:r w:rsidRPr="008442C6">
        <w:tab/>
      </w:r>
      <w:r w:rsidR="00BD77CC" w:rsidRPr="008442C6">
        <w:t>Action plan for equality between women and men;</w:t>
      </w:r>
    </w:p>
    <w:p w:rsidR="00BD77CC" w:rsidRPr="008442C6" w:rsidRDefault="00DB6219" w:rsidP="00DB6219">
      <w:pPr>
        <w:pStyle w:val="Bullet1G"/>
        <w:numPr>
          <w:ilvl w:val="0"/>
          <w:numId w:val="0"/>
        </w:numPr>
        <w:tabs>
          <w:tab w:val="left" w:pos="1701"/>
        </w:tabs>
        <w:ind w:left="1701" w:hanging="170"/>
      </w:pPr>
      <w:r w:rsidRPr="008442C6">
        <w:t>•</w:t>
      </w:r>
      <w:r w:rsidRPr="008442C6">
        <w:tab/>
      </w:r>
      <w:r w:rsidR="00BD77CC" w:rsidRPr="008442C6">
        <w:t>Action plan for combatting discrimination on the grounds of sexual orientation, gender identity and expression and sexual characteristics;</w:t>
      </w:r>
    </w:p>
    <w:p w:rsidR="00BD77CC" w:rsidRPr="008442C6" w:rsidRDefault="00DB6219" w:rsidP="00DB6219">
      <w:pPr>
        <w:pStyle w:val="Bullet1G"/>
        <w:numPr>
          <w:ilvl w:val="0"/>
          <w:numId w:val="0"/>
        </w:numPr>
        <w:tabs>
          <w:tab w:val="left" w:pos="1701"/>
        </w:tabs>
        <w:ind w:left="1701" w:hanging="170"/>
      </w:pPr>
      <w:r w:rsidRPr="008442C6">
        <w:t>•</w:t>
      </w:r>
      <w:r w:rsidRPr="008442C6">
        <w:tab/>
      </w:r>
      <w:r w:rsidR="00BD77CC" w:rsidRPr="008442C6">
        <w:t xml:space="preserve">Action plan for preventing and combatting against violence against women and domestic violence. </w:t>
      </w:r>
    </w:p>
    <w:p w:rsidR="00BD77CC" w:rsidRPr="008442C6" w:rsidRDefault="00BD77CC" w:rsidP="009C598B">
      <w:pPr>
        <w:pStyle w:val="SingleTxtG"/>
      </w:pPr>
      <w:r w:rsidRPr="008442C6">
        <w:t>25.</w:t>
      </w:r>
      <w:r w:rsidRPr="008442C6">
        <w:tab/>
        <w:t>The Ministry of Justice does not have the information needed to evaluate the impact of Law 24/2017.</w:t>
      </w:r>
    </w:p>
    <w:p w:rsidR="00BD77CC" w:rsidRPr="008442C6" w:rsidRDefault="00BD77CC" w:rsidP="004B1B4D">
      <w:pPr>
        <w:pStyle w:val="H1G"/>
      </w:pPr>
      <w:r w:rsidRPr="008442C6">
        <w:tab/>
      </w:r>
      <w:r w:rsidRPr="008442C6">
        <w:tab/>
        <w:t xml:space="preserve">Reply to paragraphs 7 and 8 of the list of issues </w:t>
      </w:r>
    </w:p>
    <w:p w:rsidR="00BD77CC" w:rsidRPr="008442C6" w:rsidRDefault="00BD77CC" w:rsidP="009C598B">
      <w:pPr>
        <w:pStyle w:val="SingleTxtG"/>
      </w:pPr>
      <w:r w:rsidRPr="008442C6">
        <w:t>26.</w:t>
      </w:r>
      <w:r w:rsidRPr="008442C6">
        <w:tab/>
        <w:t xml:space="preserve">In the Portuguese National Health Service access to health care is free until the age of 18 and for pregnant women. The rates of child health surveillance surveys were not affected during the austerity period. </w:t>
      </w:r>
    </w:p>
    <w:p w:rsidR="00BD77CC" w:rsidRPr="008442C6" w:rsidRDefault="00BD77CC" w:rsidP="009C598B">
      <w:pPr>
        <w:pStyle w:val="SingleTxtG"/>
      </w:pPr>
      <w:r w:rsidRPr="008442C6">
        <w:t>27.</w:t>
      </w:r>
      <w:r w:rsidRPr="008442C6">
        <w:tab/>
        <w:t>In 2018 the Government relaunched the National Mental Health Plan, in which the area of childhood and adolescence plays a prominent role.</w:t>
      </w:r>
    </w:p>
    <w:p w:rsidR="00BD77CC" w:rsidRPr="008442C6" w:rsidRDefault="00BD77CC" w:rsidP="009C598B">
      <w:pPr>
        <w:pStyle w:val="SingleTxtG"/>
      </w:pPr>
      <w:r w:rsidRPr="008442C6">
        <w:t>28.</w:t>
      </w:r>
      <w:r w:rsidRPr="008442C6">
        <w:tab/>
        <w:t xml:space="preserve">In recent years there has been an increase in the demand for specialized mental health services for children and adolescents, both at the outpatient clinic and at the emergency department level, as well as an increase in the severity of the clinical picture presented in this age group. </w:t>
      </w:r>
    </w:p>
    <w:p w:rsidR="00BD77CC" w:rsidRPr="008442C6" w:rsidRDefault="00BD77CC" w:rsidP="009C598B">
      <w:pPr>
        <w:pStyle w:val="SingleTxtG"/>
      </w:pPr>
      <w:r w:rsidRPr="008442C6">
        <w:t>29.</w:t>
      </w:r>
      <w:r w:rsidRPr="008442C6">
        <w:tab/>
        <w:t xml:space="preserve">The public care network has had a positive development in the creation of services and units, whose impact is now reflected in the improvement of hospital indicators (number of professionals, number of consultations). Several health promotion and disease prevention programmes have been developed (including on suicide prevention), both in the school </w:t>
      </w:r>
      <w:r w:rsidRPr="008442C6">
        <w:lastRenderedPageBreak/>
        <w:t>environment and at Primary care level, involving training and preparation of intervention materials with children and their families.</w:t>
      </w:r>
    </w:p>
    <w:p w:rsidR="00BD77CC" w:rsidRPr="008442C6" w:rsidRDefault="00BD77CC" w:rsidP="009C598B">
      <w:pPr>
        <w:pStyle w:val="SingleTxtG"/>
      </w:pPr>
      <w:r w:rsidRPr="008442C6">
        <w:t>30.</w:t>
      </w:r>
      <w:r w:rsidRPr="008442C6">
        <w:tab/>
        <w:t xml:space="preserve">In the Hospital of São João the issue with facilities has already been solved. </w:t>
      </w:r>
    </w:p>
    <w:p w:rsidR="00BD77CC" w:rsidRPr="008442C6" w:rsidRDefault="00BD77CC" w:rsidP="009C598B">
      <w:pPr>
        <w:pStyle w:val="SingleTxtG"/>
      </w:pPr>
      <w:r w:rsidRPr="008442C6">
        <w:t>31.</w:t>
      </w:r>
      <w:r w:rsidRPr="008442C6">
        <w:tab/>
        <w:t>It is a priority for the National Mental Health Plan to correct the regional asymmetry of professionals across the country, to increase the links with Primary care and to improve the available offer, as there is a shortage of candidates to fill in the vacancies of this specialty.</w:t>
      </w:r>
    </w:p>
    <w:p w:rsidR="00BD77CC" w:rsidRPr="008442C6" w:rsidRDefault="00BD77CC" w:rsidP="004B1B4D">
      <w:pPr>
        <w:pStyle w:val="H1G"/>
      </w:pPr>
      <w:r w:rsidRPr="008442C6">
        <w:tab/>
      </w:r>
      <w:r w:rsidRPr="008442C6">
        <w:tab/>
        <w:t>Reply to paragraph 9 of the list of issues</w:t>
      </w:r>
    </w:p>
    <w:p w:rsidR="00BD77CC" w:rsidRPr="008442C6" w:rsidRDefault="00BD77CC" w:rsidP="009C598B">
      <w:pPr>
        <w:pStyle w:val="SingleTxtG"/>
      </w:pPr>
      <w:r w:rsidRPr="008442C6">
        <w:t>32.</w:t>
      </w:r>
      <w:r w:rsidRPr="008442C6">
        <w:tab/>
        <w:t>In 2015 the High Commission for Migration (HCM) launched the Fund to support the National Roma Communities Integration Strategy (NRCIS), now in its 3rd edition. The main goal of this Fund is to develop projects in partnership with different stakeholders, with a special focus on activities that fight discrimination targeting Roma and raise public awareness.</w:t>
      </w:r>
      <w:r w:rsidRPr="008442C6" w:rsidDel="00775E24">
        <w:t xml:space="preserve"> </w:t>
      </w:r>
      <w:r w:rsidRPr="008442C6">
        <w:t>The involvement of Roma associations and civil society is the Fund´s biggest asset.</w:t>
      </w:r>
    </w:p>
    <w:p w:rsidR="00BD77CC" w:rsidRPr="008442C6" w:rsidRDefault="00BD77CC" w:rsidP="009C598B">
      <w:pPr>
        <w:pStyle w:val="SingleTxtG"/>
      </w:pPr>
      <w:r w:rsidRPr="008442C6">
        <w:t>33.</w:t>
      </w:r>
      <w:r w:rsidRPr="008442C6">
        <w:tab/>
        <w:t>In the 1st edition (2015) the Fund had a financial envelope of 50.000€ and 11 projects were supported. In the 2nd edition (2016) the financial envelope was doubled to 100.000€ and 21 projects were supported. The 3rd edition was launched in 2017 with a financial envelope of 250.000€ and 18 projects were approved and will be developed until the end of 2019.</w:t>
      </w:r>
    </w:p>
    <w:p w:rsidR="00BD77CC" w:rsidRPr="008442C6" w:rsidRDefault="00BD77CC" w:rsidP="009C598B">
      <w:pPr>
        <w:pStyle w:val="SingleTxtG"/>
      </w:pPr>
      <w:r w:rsidRPr="008442C6">
        <w:t>34.</w:t>
      </w:r>
      <w:r w:rsidRPr="008442C6">
        <w:tab/>
        <w:t xml:space="preserve">In 2017 the Directorate-General for Education obtained a favourable opinion from the National Data Protection Commission to collect data on Roma students integrated into the educational system. The data collection took place between September and November 2017 by means of an electronic survey and it was possible to get an average response rate of 70%. </w:t>
      </w:r>
    </w:p>
    <w:p w:rsidR="00BD77CC" w:rsidRPr="008442C6" w:rsidRDefault="00BD77CC" w:rsidP="009C598B">
      <w:pPr>
        <w:pStyle w:val="SingleTxtG"/>
      </w:pPr>
      <w:r w:rsidRPr="008442C6">
        <w:t>35.</w:t>
      </w:r>
      <w:r w:rsidRPr="008442C6">
        <w:tab/>
        <w:t>The report is available online in Portuguese</w:t>
      </w:r>
      <w:r w:rsidRPr="008442C6">
        <w:rPr>
          <w:rStyle w:val="FootnoteReference"/>
        </w:rPr>
        <w:footnoteReference w:id="5"/>
      </w:r>
      <w:r w:rsidRPr="008442C6">
        <w:t xml:space="preserve"> and contains information on enrolments, school support and the results achieved by Roma students. It should be noted the following:</w:t>
      </w:r>
    </w:p>
    <w:p w:rsidR="00BD77CC" w:rsidRPr="008442C6" w:rsidRDefault="00DB6219" w:rsidP="00DB6219">
      <w:pPr>
        <w:pStyle w:val="Bullet1G"/>
        <w:numPr>
          <w:ilvl w:val="0"/>
          <w:numId w:val="0"/>
        </w:numPr>
        <w:tabs>
          <w:tab w:val="left" w:pos="1701"/>
        </w:tabs>
        <w:ind w:left="1701" w:hanging="170"/>
      </w:pPr>
      <w:r w:rsidRPr="008442C6">
        <w:t>•</w:t>
      </w:r>
      <w:r w:rsidRPr="008442C6">
        <w:tab/>
      </w:r>
      <w:r w:rsidR="00BD77CC" w:rsidRPr="008442C6">
        <w:t>Most Roma students benefit from the school socioeconomic support (for students in low-income families);</w:t>
      </w:r>
    </w:p>
    <w:p w:rsidR="00BD77CC" w:rsidRPr="008442C6" w:rsidRDefault="00DB6219" w:rsidP="00DB6219">
      <w:pPr>
        <w:pStyle w:val="Bullet1G"/>
        <w:numPr>
          <w:ilvl w:val="0"/>
          <w:numId w:val="0"/>
        </w:numPr>
        <w:tabs>
          <w:tab w:val="left" w:pos="1701"/>
        </w:tabs>
        <w:ind w:left="1701" w:hanging="170"/>
      </w:pPr>
      <w:r w:rsidRPr="008442C6">
        <w:t>•</w:t>
      </w:r>
      <w:r w:rsidRPr="008442C6">
        <w:tab/>
      </w:r>
      <w:r w:rsidR="00BD77CC" w:rsidRPr="008442C6">
        <w:t>The early school dropout in primary and lower secondary education is lower than 10%, but it is still worrying (higher than the average) and higher among girls than boys;</w:t>
      </w:r>
    </w:p>
    <w:p w:rsidR="00BD77CC" w:rsidRPr="008442C6" w:rsidRDefault="00DB6219" w:rsidP="00DB6219">
      <w:pPr>
        <w:pStyle w:val="Bullet1G"/>
        <w:numPr>
          <w:ilvl w:val="0"/>
          <w:numId w:val="0"/>
        </w:numPr>
        <w:tabs>
          <w:tab w:val="left" w:pos="1701"/>
        </w:tabs>
        <w:ind w:left="1701" w:hanging="170"/>
      </w:pPr>
      <w:r w:rsidRPr="008442C6">
        <w:t>•</w:t>
      </w:r>
      <w:r w:rsidRPr="008442C6">
        <w:tab/>
      </w:r>
      <w:r w:rsidR="00BD77CC" w:rsidRPr="008442C6">
        <w:t>Most Roma children already attend pre-schooling, although rates are lower than the overall attendance rate;</w:t>
      </w:r>
    </w:p>
    <w:p w:rsidR="00BD77CC" w:rsidRPr="008442C6" w:rsidRDefault="00DB6219" w:rsidP="00DB6219">
      <w:pPr>
        <w:pStyle w:val="Bullet1G"/>
        <w:numPr>
          <w:ilvl w:val="0"/>
          <w:numId w:val="0"/>
        </w:numPr>
        <w:tabs>
          <w:tab w:val="left" w:pos="1701"/>
        </w:tabs>
        <w:ind w:left="1701" w:hanging="170"/>
      </w:pPr>
      <w:r w:rsidRPr="008442C6">
        <w:t>•</w:t>
      </w:r>
      <w:r w:rsidRPr="008442C6">
        <w:tab/>
      </w:r>
      <w:r w:rsidR="00BD77CC" w:rsidRPr="008442C6">
        <w:t>Retention rates are still high in all education stages, but there was a decrease vis-à-vis the previous report (1997/1998);</w:t>
      </w:r>
    </w:p>
    <w:p w:rsidR="00BD77CC" w:rsidRPr="008442C6" w:rsidRDefault="00DB6219" w:rsidP="00DB6219">
      <w:pPr>
        <w:pStyle w:val="Bullet1G"/>
        <w:numPr>
          <w:ilvl w:val="0"/>
          <w:numId w:val="0"/>
        </w:numPr>
        <w:tabs>
          <w:tab w:val="left" w:pos="1701"/>
        </w:tabs>
        <w:ind w:left="1701" w:hanging="170"/>
      </w:pPr>
      <w:r w:rsidRPr="008442C6">
        <w:t>•</w:t>
      </w:r>
      <w:r w:rsidRPr="008442C6">
        <w:tab/>
      </w:r>
      <w:r w:rsidR="00BD77CC" w:rsidRPr="008442C6">
        <w:t>The number of Roma students in upper secondary education increased significantly during the last two decades, but it is still a minority and far from the overall attendance rate;</w:t>
      </w:r>
    </w:p>
    <w:p w:rsidR="00BD77CC" w:rsidRPr="008442C6" w:rsidRDefault="00DB6219" w:rsidP="00DB6219">
      <w:pPr>
        <w:pStyle w:val="Bullet1G"/>
        <w:numPr>
          <w:ilvl w:val="0"/>
          <w:numId w:val="0"/>
        </w:numPr>
        <w:tabs>
          <w:tab w:val="left" w:pos="1701"/>
        </w:tabs>
        <w:ind w:left="1701" w:hanging="170"/>
      </w:pPr>
      <w:r w:rsidRPr="008442C6">
        <w:t>•</w:t>
      </w:r>
      <w:r w:rsidRPr="008442C6">
        <w:tab/>
      </w:r>
      <w:r w:rsidR="00BD77CC" w:rsidRPr="008442C6">
        <w:t>Most Roma students are integrated in ordinary school groups in alternative curriculum paths;</w:t>
      </w:r>
    </w:p>
    <w:p w:rsidR="00BD77CC" w:rsidRPr="008442C6" w:rsidRDefault="00DB6219" w:rsidP="00DB6219">
      <w:pPr>
        <w:pStyle w:val="Bullet1G"/>
        <w:numPr>
          <w:ilvl w:val="0"/>
          <w:numId w:val="0"/>
        </w:numPr>
        <w:tabs>
          <w:tab w:val="left" w:pos="1701"/>
        </w:tabs>
        <w:ind w:left="1701" w:hanging="170"/>
      </w:pPr>
      <w:r w:rsidRPr="008442C6">
        <w:t>•</w:t>
      </w:r>
      <w:r w:rsidRPr="008442C6">
        <w:tab/>
      </w:r>
      <w:r w:rsidR="00BD77CC" w:rsidRPr="008442C6">
        <w:t>There is a high dispersion rate of these students in the public-school network: most school clusters reported Roma students within their educational community.</w:t>
      </w:r>
    </w:p>
    <w:p w:rsidR="00BD77CC" w:rsidRPr="008442C6" w:rsidRDefault="00BD77CC" w:rsidP="009C598B">
      <w:pPr>
        <w:pStyle w:val="SingleTxtG"/>
      </w:pPr>
      <w:r w:rsidRPr="008442C6">
        <w:t>36.</w:t>
      </w:r>
      <w:r w:rsidRPr="008442C6">
        <w:tab/>
        <w:t>A 2nd edition of this Study will be issued by the end of 2019, with data from the academic year 2018/2019.</w:t>
      </w:r>
    </w:p>
    <w:p w:rsidR="00BD77CC" w:rsidRPr="008442C6" w:rsidRDefault="00BD77CC" w:rsidP="009C598B">
      <w:pPr>
        <w:pStyle w:val="SingleTxtG"/>
      </w:pPr>
      <w:r w:rsidRPr="008442C6">
        <w:t>37.</w:t>
      </w:r>
      <w:r w:rsidRPr="008442C6">
        <w:tab/>
        <w:t xml:space="preserve">The integration of Roma children is a two-way process, involving both the Roma community and the educational system, ensuring equal access and the right to education, whilst respecting the values and traditions of Roma citizens. Early school dropout among </w:t>
      </w:r>
      <w:r w:rsidRPr="008442C6">
        <w:lastRenderedPageBreak/>
        <w:t>Roma children is a major challenge. NRCIS foresees measures to guarantee Roma</w:t>
      </w:r>
      <w:r w:rsidR="00804846">
        <w:t>’</w:t>
      </w:r>
      <w:r w:rsidRPr="008442C6">
        <w:t xml:space="preserve">s effective access to education, their educational success and lifelong learning: dissemination of Roma history and culture; follow-up mechanisms by the educational inspectorate on the integration of Roma children; activities in the framework of the </w:t>
      </w:r>
      <w:r w:rsidR="00804846">
        <w:t>“</w:t>
      </w:r>
      <w:r w:rsidRPr="008442C6">
        <w:t>Choices Programme</w:t>
      </w:r>
      <w:r w:rsidR="00804846">
        <w:t>”</w:t>
      </w:r>
      <w:r w:rsidRPr="008442C6">
        <w:t xml:space="preserve"> with young Roma school dropouts and their families; scholarships for Roma to attend secondary and higher education; training teaching and non-teaching staff. </w:t>
      </w:r>
    </w:p>
    <w:p w:rsidR="00BD77CC" w:rsidRPr="008442C6" w:rsidRDefault="00BD77CC" w:rsidP="005B4576">
      <w:pPr>
        <w:pStyle w:val="SingleTxtG"/>
      </w:pPr>
      <w:r w:rsidRPr="008442C6">
        <w:t>38.</w:t>
      </w:r>
      <w:r w:rsidRPr="008442C6">
        <w:tab/>
        <w:t>The 6th generation</w:t>
      </w:r>
      <w:r w:rsidR="005B4576" w:rsidRPr="008442C6">
        <w:t xml:space="preserve"> of the Choices Programme (2016–</w:t>
      </w:r>
      <w:r w:rsidRPr="008442C6">
        <w:t>2018)</w:t>
      </w:r>
      <w:r w:rsidR="005B4576" w:rsidRPr="008442C6">
        <w:t>,</w:t>
      </w:r>
      <w:r w:rsidRPr="008442C6">
        <w:rPr>
          <w:rStyle w:val="FootnoteReference"/>
        </w:rPr>
        <w:footnoteReference w:id="6"/>
      </w:r>
      <w:r w:rsidRPr="008442C6">
        <w:t xml:space="preserve"> created in 2001, aimed at the promotion of social inclusion of children and young people from socioeconomic vulnerable contexts, in a perspective of equal opportunities and social cohesion. During this period 112 projects were supported involving around 85.000 people across the country, as well as two pilot experiences in Europe – Luxembourg and London (ended in December 2017). The projects were structured in five main categories: 1) School inclusion and non-formal education; 2) Vocational training and employability; 3) Community and civic participation; 4) Digital inclusion; 5) Entrepreneurship and empowerment.</w:t>
      </w:r>
    </w:p>
    <w:p w:rsidR="00BD77CC" w:rsidRPr="008442C6" w:rsidRDefault="00BD77CC" w:rsidP="009C598B">
      <w:pPr>
        <w:pStyle w:val="SingleTxtG"/>
      </w:pPr>
      <w:r w:rsidRPr="008442C6">
        <w:t>39.</w:t>
      </w:r>
      <w:r w:rsidRPr="008442C6">
        <w:tab/>
        <w:t>The action of each local project targeted children and young people between 6 and 30 years of age and involved family members and the community at large. A strong investment was made in the combat against lack of school success and absenteeism.</w:t>
      </w:r>
    </w:p>
    <w:p w:rsidR="00BD77CC" w:rsidRPr="008442C6" w:rsidRDefault="00BD77CC" w:rsidP="009C598B">
      <w:pPr>
        <w:pStyle w:val="SingleTxtG"/>
      </w:pPr>
      <w:r w:rsidRPr="008442C6">
        <w:t>40.</w:t>
      </w:r>
      <w:r w:rsidRPr="008442C6">
        <w:tab/>
        <w:t xml:space="preserve">The consortiums required for these projects mobilized over 1.000 entities as formal partners, namely municipalities, parishes, schools, the Institute for Employment and Vocational Training, NCPRPCY, migrant associations, youth associations, NGOs, social security institutions, among others. </w:t>
      </w:r>
    </w:p>
    <w:p w:rsidR="00BD77CC" w:rsidRPr="008442C6" w:rsidRDefault="00BD77CC" w:rsidP="009C598B">
      <w:pPr>
        <w:pStyle w:val="SingleTxtG"/>
      </w:pPr>
      <w:r w:rsidRPr="008442C6">
        <w:t>41.</w:t>
      </w:r>
      <w:r w:rsidRPr="008442C6">
        <w:tab/>
        <w:t>Until 30 June 2018, the projects´ results were:</w:t>
      </w:r>
    </w:p>
    <w:p w:rsidR="00BD77CC" w:rsidRPr="008442C6" w:rsidRDefault="00DB6219" w:rsidP="00DB6219">
      <w:pPr>
        <w:pStyle w:val="Bullet1G"/>
        <w:numPr>
          <w:ilvl w:val="0"/>
          <w:numId w:val="0"/>
        </w:numPr>
        <w:tabs>
          <w:tab w:val="left" w:pos="1701"/>
        </w:tabs>
        <w:ind w:left="1701" w:hanging="170"/>
      </w:pPr>
      <w:r w:rsidRPr="008442C6">
        <w:t>•</w:t>
      </w:r>
      <w:r w:rsidRPr="008442C6">
        <w:tab/>
      </w:r>
      <w:r w:rsidR="00BD77CC" w:rsidRPr="008442C6">
        <w:t>7.772 school and vocational school referrals;</w:t>
      </w:r>
    </w:p>
    <w:p w:rsidR="00BD77CC" w:rsidRPr="008442C6" w:rsidRDefault="00DB6219" w:rsidP="00DB6219">
      <w:pPr>
        <w:pStyle w:val="Bullet1G"/>
        <w:numPr>
          <w:ilvl w:val="0"/>
          <w:numId w:val="0"/>
        </w:numPr>
        <w:tabs>
          <w:tab w:val="left" w:pos="1701"/>
        </w:tabs>
        <w:ind w:left="1701" w:hanging="170"/>
      </w:pPr>
      <w:r w:rsidRPr="008442C6">
        <w:t>•</w:t>
      </w:r>
      <w:r w:rsidRPr="008442C6">
        <w:tab/>
      </w:r>
      <w:r w:rsidR="00BD77CC" w:rsidRPr="008442C6">
        <w:t>7.480 employment referrals;</w:t>
      </w:r>
    </w:p>
    <w:p w:rsidR="00BD77CC" w:rsidRPr="008442C6" w:rsidRDefault="00DB6219" w:rsidP="00DB6219">
      <w:pPr>
        <w:pStyle w:val="Bullet1G"/>
        <w:numPr>
          <w:ilvl w:val="0"/>
          <w:numId w:val="0"/>
        </w:numPr>
        <w:tabs>
          <w:tab w:val="left" w:pos="1701"/>
        </w:tabs>
        <w:ind w:left="1701" w:hanging="170"/>
      </w:pPr>
      <w:r w:rsidRPr="008442C6">
        <w:t>•</w:t>
      </w:r>
      <w:r w:rsidRPr="008442C6">
        <w:tab/>
      </w:r>
      <w:r w:rsidR="00BD77CC" w:rsidRPr="008442C6">
        <w:t>3.637 enrolments in vocational school;</w:t>
      </w:r>
    </w:p>
    <w:p w:rsidR="00BD77CC" w:rsidRPr="008442C6" w:rsidRDefault="00DB6219" w:rsidP="00DB6219">
      <w:pPr>
        <w:pStyle w:val="Bullet1G"/>
        <w:numPr>
          <w:ilvl w:val="0"/>
          <w:numId w:val="0"/>
        </w:numPr>
        <w:tabs>
          <w:tab w:val="left" w:pos="1701"/>
        </w:tabs>
        <w:ind w:left="1701" w:hanging="170"/>
      </w:pPr>
      <w:r w:rsidRPr="008442C6">
        <w:t>•</w:t>
      </w:r>
      <w:r w:rsidRPr="008442C6">
        <w:tab/>
      </w:r>
      <w:r w:rsidR="00BD77CC" w:rsidRPr="008442C6">
        <w:t>3.185 employment contracts;</w:t>
      </w:r>
    </w:p>
    <w:p w:rsidR="00BD77CC" w:rsidRPr="008442C6" w:rsidRDefault="00DB6219" w:rsidP="00DB6219">
      <w:pPr>
        <w:pStyle w:val="Bullet1G"/>
        <w:numPr>
          <w:ilvl w:val="0"/>
          <w:numId w:val="0"/>
        </w:numPr>
        <w:tabs>
          <w:tab w:val="left" w:pos="1701"/>
        </w:tabs>
        <w:ind w:left="1701" w:hanging="170"/>
      </w:pPr>
      <w:r w:rsidRPr="008442C6">
        <w:t>•</w:t>
      </w:r>
      <w:r w:rsidRPr="008442C6">
        <w:tab/>
      </w:r>
      <w:r w:rsidR="00BD77CC" w:rsidRPr="008442C6">
        <w:t>37 associations created;</w:t>
      </w:r>
    </w:p>
    <w:p w:rsidR="00BD77CC" w:rsidRPr="008442C6" w:rsidRDefault="00DB6219" w:rsidP="00DB6219">
      <w:pPr>
        <w:pStyle w:val="Bullet1G"/>
        <w:numPr>
          <w:ilvl w:val="0"/>
          <w:numId w:val="0"/>
        </w:numPr>
        <w:tabs>
          <w:tab w:val="left" w:pos="1701"/>
        </w:tabs>
        <w:ind w:left="1701" w:hanging="170"/>
      </w:pPr>
      <w:r w:rsidRPr="008442C6">
        <w:t>•</w:t>
      </w:r>
      <w:r w:rsidRPr="008442C6">
        <w:tab/>
      </w:r>
      <w:r w:rsidR="00BD77CC" w:rsidRPr="008442C6">
        <w:t>15.402 individuals certified in the Digital Inclusion Centres;</w:t>
      </w:r>
    </w:p>
    <w:p w:rsidR="00BD77CC" w:rsidRPr="008442C6" w:rsidRDefault="00DB6219" w:rsidP="00DB6219">
      <w:pPr>
        <w:pStyle w:val="Bullet1G"/>
        <w:numPr>
          <w:ilvl w:val="0"/>
          <w:numId w:val="0"/>
        </w:numPr>
        <w:tabs>
          <w:tab w:val="left" w:pos="1701"/>
        </w:tabs>
        <w:ind w:left="1701" w:hanging="170"/>
      </w:pPr>
      <w:r w:rsidRPr="008442C6">
        <w:t>•</w:t>
      </w:r>
      <w:r w:rsidRPr="008442C6">
        <w:tab/>
      </w:r>
      <w:r w:rsidR="00BD77CC" w:rsidRPr="008442C6">
        <w:t>37.142 participants in associativism and entrepreneurship activities.</w:t>
      </w:r>
    </w:p>
    <w:p w:rsidR="00BD77CC" w:rsidRPr="008442C6" w:rsidRDefault="00BD77CC" w:rsidP="009C598B">
      <w:pPr>
        <w:pStyle w:val="SingleTxtG"/>
      </w:pPr>
      <w:r w:rsidRPr="008442C6">
        <w:t>42.</w:t>
      </w:r>
      <w:r w:rsidRPr="008442C6">
        <w:tab/>
        <w:t>68.914 individuals were involved in these projects until December 2018, of which 76,7% were children and young people, 12,7% were family members and 10,6% were categorized as other participants. In the 496.114 sessions held during this period, there was a slight predominance of girls (51%) over boys.</w:t>
      </w:r>
    </w:p>
    <w:p w:rsidR="00BD77CC" w:rsidRPr="008442C6" w:rsidRDefault="00BD77CC" w:rsidP="009C598B">
      <w:pPr>
        <w:pStyle w:val="SingleTxtG"/>
      </w:pPr>
      <w:r w:rsidRPr="008442C6">
        <w:t>43.</w:t>
      </w:r>
      <w:r w:rsidRPr="008442C6">
        <w:tab/>
        <w:t xml:space="preserve">In 2016 the Operational Programme for the Promotion of Education (OPPE) was launched as an innovative measure to encourage the integration of Roma communities in higher education cycles. This initiative includes in the requirements a 40% mandatory representation of each sex for the beneficiaries, therefore promoting gender parity. </w:t>
      </w:r>
    </w:p>
    <w:p w:rsidR="00BD77CC" w:rsidRPr="008442C6" w:rsidRDefault="00BD77CC" w:rsidP="009C598B">
      <w:pPr>
        <w:pStyle w:val="SingleTxtG"/>
      </w:pPr>
      <w:r w:rsidRPr="008442C6">
        <w:t>44.</w:t>
      </w:r>
      <w:r w:rsidRPr="008442C6">
        <w:tab/>
        <w:t>In its 1st edition (2016) 11 men and 13 women, between 18 and 39 years old, from 19 municipalities across the country, participated in OPPE. In the 2017 edition there were 25 university scholarships, supporting 32 Roma students, 14 women and 18 men, from 22 municipalities.</w:t>
      </w:r>
    </w:p>
    <w:p w:rsidR="00BD77CC" w:rsidRPr="008442C6" w:rsidRDefault="00BD77CC" w:rsidP="009C598B">
      <w:pPr>
        <w:pStyle w:val="SingleTxtG"/>
      </w:pPr>
      <w:r w:rsidRPr="008442C6">
        <w:t>45.</w:t>
      </w:r>
      <w:r w:rsidRPr="008442C6">
        <w:tab/>
        <w:t xml:space="preserve">OPPE was developed by the HCM in partnership with civil society organisations. The Programme is not limited to providing financial support, as it also offers a capacity building programme and specialized technical support, awareness raising and family and community mediation, as well as individual support and tutoring for the students. </w:t>
      </w:r>
    </w:p>
    <w:p w:rsidR="00BD77CC" w:rsidRPr="008442C6" w:rsidRDefault="00BD77CC" w:rsidP="009C598B">
      <w:pPr>
        <w:pStyle w:val="SingleTxtG"/>
      </w:pPr>
      <w:r w:rsidRPr="008442C6">
        <w:t>46.</w:t>
      </w:r>
      <w:r w:rsidRPr="008442C6">
        <w:tab/>
        <w:t>Other initiatives were developed to promote educational success and protect the rights of all pupils, especially those most vulnerable to school failure and/or from poor backgrounds:</w:t>
      </w:r>
    </w:p>
    <w:p w:rsidR="00BD77CC" w:rsidRPr="008442C6" w:rsidRDefault="005B4576" w:rsidP="009C598B">
      <w:pPr>
        <w:pStyle w:val="SingleTxtG"/>
      </w:pPr>
      <w:r w:rsidRPr="008442C6">
        <w:lastRenderedPageBreak/>
        <w:tab/>
      </w:r>
      <w:r w:rsidR="00BD77CC" w:rsidRPr="008442C6">
        <w:t>(a)</w:t>
      </w:r>
      <w:r w:rsidR="00BD77CC" w:rsidRPr="008442C6">
        <w:tab/>
        <w:t xml:space="preserve">The </w:t>
      </w:r>
      <w:r w:rsidR="00804846">
        <w:t>“</w:t>
      </w:r>
      <w:r w:rsidR="00BD77CC" w:rsidRPr="008442C6">
        <w:t>National Programme for School Success</w:t>
      </w:r>
      <w:r w:rsidR="00804846">
        <w:t>”</w:t>
      </w:r>
      <w:r w:rsidR="00BD77CC" w:rsidRPr="008442C6">
        <w:t>, launched in 2016, to promote quality education for all and fight school failure;</w:t>
      </w:r>
    </w:p>
    <w:p w:rsidR="00BD77CC" w:rsidRPr="008442C6" w:rsidRDefault="005B4576" w:rsidP="009C598B">
      <w:pPr>
        <w:pStyle w:val="SingleTxtG"/>
      </w:pPr>
      <w:r w:rsidRPr="008442C6">
        <w:tab/>
      </w:r>
      <w:r w:rsidR="00BD77CC" w:rsidRPr="008442C6">
        <w:t>(b)</w:t>
      </w:r>
      <w:r w:rsidR="00BD77CC" w:rsidRPr="008442C6">
        <w:tab/>
        <w:t xml:space="preserve">In the framework of the </w:t>
      </w:r>
      <w:r w:rsidR="00804846">
        <w:t>“</w:t>
      </w:r>
      <w:r w:rsidR="00BD77CC" w:rsidRPr="008442C6">
        <w:t>No Hate Campaign</w:t>
      </w:r>
      <w:r w:rsidR="00804846">
        <w:t>”</w:t>
      </w:r>
      <w:r w:rsidR="00BD77CC" w:rsidRPr="008442C6">
        <w:t>, the Portuguese Institute of Sports and Youth supported youth organisations and other NGOs in the development of non-formal education activities that promoted the rights of young Roma and their access to education and professional integration.</w:t>
      </w:r>
    </w:p>
    <w:p w:rsidR="00BD77CC" w:rsidRPr="008442C6" w:rsidRDefault="00BD77CC" w:rsidP="005B4576">
      <w:pPr>
        <w:pStyle w:val="H1G"/>
      </w:pPr>
      <w:r w:rsidRPr="008442C6">
        <w:tab/>
      </w:r>
      <w:r w:rsidRPr="008442C6">
        <w:tab/>
        <w:t>Reply to paragraph 10</w:t>
      </w:r>
      <w:r w:rsidR="009F130B">
        <w:t xml:space="preserve"> </w:t>
      </w:r>
      <w:r w:rsidRPr="008442C6">
        <w:t>(a), (b) of the list of issues</w:t>
      </w:r>
    </w:p>
    <w:p w:rsidR="00BD77CC" w:rsidRPr="008442C6" w:rsidRDefault="00BD77CC" w:rsidP="009C598B">
      <w:pPr>
        <w:pStyle w:val="SingleTxtG"/>
      </w:pPr>
      <w:r w:rsidRPr="008442C6">
        <w:t>47.</w:t>
      </w:r>
      <w:r w:rsidRPr="008442C6">
        <w:tab/>
        <w:t>In 2017, PGO</w:t>
      </w:r>
      <w:r w:rsidR="00804846">
        <w:t>’</w:t>
      </w:r>
      <w:r w:rsidRPr="008442C6">
        <w:t xml:space="preserve">s Office on Family, Children and Youngsters (see reply to question 13) participated in a Working Group (WG) chaired by the Secretary of State for Citizenship and Equality and composed by representatives of the High Council of the Bench, the NCPRPCY, the HCM, the Foreigners and Borders Office (FBO) and the Institute of Social Security with the purpose of promoting early coordination among these entities engaged in giving responses to the situation of unaccompanied foreign children. </w:t>
      </w:r>
    </w:p>
    <w:p w:rsidR="00BD77CC" w:rsidRPr="008442C6" w:rsidRDefault="00BD77CC" w:rsidP="009C598B">
      <w:pPr>
        <w:pStyle w:val="SingleTxtG"/>
      </w:pPr>
      <w:r w:rsidRPr="008442C6">
        <w:t>48.</w:t>
      </w:r>
      <w:r w:rsidRPr="008442C6">
        <w:tab/>
        <w:t xml:space="preserve">Within this WG an organizational chart was developed to facilitate the handling of procedures relating to the entry and care of such children, from the initial asylum and protection request to judicial decisions thereon and execution of reception measures. </w:t>
      </w:r>
    </w:p>
    <w:p w:rsidR="00BD77CC" w:rsidRPr="008442C6" w:rsidRDefault="00BD77CC" w:rsidP="009C598B">
      <w:pPr>
        <w:pStyle w:val="SingleTxtG"/>
      </w:pPr>
      <w:r w:rsidRPr="008442C6">
        <w:t>49.</w:t>
      </w:r>
      <w:r w:rsidRPr="008442C6">
        <w:tab/>
        <w:t>A communication protocol has been agreed between the FBO and the Public Prosecution for dealing with unaccompanied foreign children entering national territory, aiming to: appoint a representative for each child so as to facilitate the exercise of his/her rights within asylum and protection proceedings; initiate proceedings to promote and protect the rights of the child, within which a determination will be made regarding the child</w:t>
      </w:r>
      <w:r w:rsidR="00804846">
        <w:t>’</w:t>
      </w:r>
      <w:r w:rsidRPr="008442C6">
        <w:t xml:space="preserve">s care and provisions taken regarding monitoring and follow-up of such measures. </w:t>
      </w:r>
    </w:p>
    <w:p w:rsidR="00BD77CC" w:rsidRPr="008442C6" w:rsidRDefault="00BD77CC" w:rsidP="005B4576">
      <w:pPr>
        <w:pStyle w:val="H1G"/>
      </w:pPr>
      <w:r w:rsidRPr="008442C6">
        <w:tab/>
      </w:r>
      <w:r w:rsidRPr="008442C6">
        <w:tab/>
        <w:t>Reply to paragraph 11</w:t>
      </w:r>
      <w:r w:rsidR="009F130B">
        <w:t xml:space="preserve"> </w:t>
      </w:r>
      <w:r w:rsidRPr="008442C6">
        <w:t>(a), (c) of the list of issues</w:t>
      </w:r>
    </w:p>
    <w:p w:rsidR="00BD77CC" w:rsidRPr="008442C6" w:rsidRDefault="00BD77CC" w:rsidP="009C598B">
      <w:pPr>
        <w:pStyle w:val="SingleTxtG"/>
      </w:pPr>
      <w:r w:rsidRPr="008442C6">
        <w:t>50.</w:t>
      </w:r>
      <w:r w:rsidRPr="008442C6">
        <w:tab/>
        <w:t>Answer to a) and c): The Ministry of Justice constituted a WG with the exclusive purpose of analysing international recommendations on the subject, which met for 2 years and concluded its work.</w:t>
      </w:r>
    </w:p>
    <w:p w:rsidR="00BD77CC" w:rsidRPr="008442C6" w:rsidRDefault="00BD77CC" w:rsidP="005B4576">
      <w:pPr>
        <w:pStyle w:val="H1G"/>
      </w:pPr>
      <w:r w:rsidRPr="008442C6">
        <w:tab/>
      </w:r>
      <w:r w:rsidRPr="008442C6">
        <w:tab/>
        <w:t>Reply to paragraph 11</w:t>
      </w:r>
      <w:r w:rsidR="009F130B">
        <w:t xml:space="preserve"> </w:t>
      </w:r>
      <w:r w:rsidRPr="008442C6">
        <w:t xml:space="preserve">(b) of the list of issues </w:t>
      </w:r>
    </w:p>
    <w:p w:rsidR="00BD77CC" w:rsidRPr="008442C6" w:rsidRDefault="00BD77CC" w:rsidP="009C598B">
      <w:pPr>
        <w:pStyle w:val="SingleTxtG"/>
      </w:pPr>
      <w:r w:rsidRPr="008442C6">
        <w:t>51.</w:t>
      </w:r>
      <w:r w:rsidRPr="008442C6">
        <w:tab/>
        <w:t>The act 103/2015, of 24 August amended the Criminal Code and created the criminal identification record system of convicted offenders against children</w:t>
      </w:r>
      <w:r w:rsidR="00804846">
        <w:t>’</w:t>
      </w:r>
      <w:r w:rsidRPr="008442C6">
        <w:t>s sexual freedom and self-determination, allowing for the implementation of legal mechanisms in the field of sexual abuse, including online, by laying down criminal legal types and procedural and follow-up measures regarding this phenomenon.</w:t>
      </w:r>
    </w:p>
    <w:p w:rsidR="00BD77CC" w:rsidRPr="008442C6" w:rsidRDefault="00BD77CC" w:rsidP="009C598B">
      <w:pPr>
        <w:pStyle w:val="SingleTxtG"/>
      </w:pPr>
      <w:r w:rsidRPr="008442C6">
        <w:t>52.</w:t>
      </w:r>
      <w:r w:rsidRPr="008442C6">
        <w:tab/>
        <w:t>Studies and a working group have already been initiated aiming to address the phenomenon of sex tourism.</w:t>
      </w:r>
    </w:p>
    <w:p w:rsidR="00BD77CC" w:rsidRPr="008442C6" w:rsidRDefault="00BD77CC" w:rsidP="009C598B">
      <w:pPr>
        <w:pStyle w:val="SingleTxtG"/>
      </w:pPr>
      <w:r w:rsidRPr="008442C6">
        <w:t>53.</w:t>
      </w:r>
      <w:r w:rsidRPr="008442C6">
        <w:tab/>
        <w:t>The Criminal Police set up a National Unit for Fighting Cybercrime and Technological Crime,</w:t>
      </w:r>
      <w:r w:rsidRPr="008442C6">
        <w:rPr>
          <w:rStyle w:val="FootnoteReference"/>
        </w:rPr>
        <w:footnoteReference w:id="7"/>
      </w:r>
      <w:r w:rsidRPr="008442C6">
        <w:t xml:space="preserve"> in particular of the Forensic Science field, to achieve the necessary structural, preventive and repressive response to cybercrime and cyberterrorism. This Unit was drawn on the model adopted by the EC3 (European Cybercrime Center) of EUROPOL, whose main areas are sexual abuse of children through the internet, card fraud and fraud committed via other electronic and virtual means of payment, pure computer crime and offences committed resorting to computer means.</w:t>
      </w:r>
    </w:p>
    <w:p w:rsidR="00BD77CC" w:rsidRPr="008442C6" w:rsidRDefault="00BD77CC" w:rsidP="001E4FA0">
      <w:pPr>
        <w:pStyle w:val="SingleTxtG"/>
      </w:pPr>
      <w:r w:rsidRPr="008442C6">
        <w:t>54.</w:t>
      </w:r>
      <w:r w:rsidRPr="008442C6">
        <w:tab/>
        <w:t xml:space="preserve">In 2018 the Project iEye </w:t>
      </w:r>
      <w:r w:rsidR="001E4FA0" w:rsidRPr="008442C6">
        <w:t>–</w:t>
      </w:r>
      <w:r w:rsidRPr="008442C6">
        <w:t xml:space="preserve"> Image and video processing solution was implemented, co-financed by the Internal Security Fund, which concluded that as regards the investigation of modern forms of crime and, in particular, those related to child pornography offences, image and video processing is a key part of the criminal </w:t>
      </w:r>
      <w:r w:rsidRPr="008442C6">
        <w:lastRenderedPageBreak/>
        <w:t>investigation, without which it is not possible to further increase the efficiency levels of law enforcement and judicial authorities.</w:t>
      </w:r>
    </w:p>
    <w:p w:rsidR="00BD77CC" w:rsidRPr="008442C6" w:rsidRDefault="00BD77CC" w:rsidP="009C598B">
      <w:pPr>
        <w:pStyle w:val="SingleTxtG"/>
      </w:pPr>
      <w:r w:rsidRPr="008442C6">
        <w:t>55.</w:t>
      </w:r>
      <w:r w:rsidRPr="008442C6">
        <w:tab/>
        <w:t>The National Cyberspac</w:t>
      </w:r>
      <w:r w:rsidR="00804846">
        <w:t>e Security Strategy 2019–</w:t>
      </w:r>
      <w:r w:rsidRPr="008442C6">
        <w:t>2023 was recently approved with the purpose, inter alia, to promote the free, safe and efficient use of cyberspace by all citizens, companies and public and private entities. Under this strategy, competent authorities must be able to prepare legislative proposals to adjust criminal material and procedural rules, especially those related to cross-border access to data (digital evidence), cooperation with foreign communications operators, research and update of the legal framework on data retention and seizure of electronic mail and other communications of a similar nature (consult answer above).</w:t>
      </w:r>
    </w:p>
    <w:p w:rsidR="00BD77CC" w:rsidRPr="008442C6" w:rsidRDefault="00BD77CC" w:rsidP="001E4FA0">
      <w:pPr>
        <w:pStyle w:val="H1G"/>
      </w:pPr>
      <w:r w:rsidRPr="008442C6">
        <w:tab/>
      </w:r>
      <w:r w:rsidRPr="008442C6">
        <w:tab/>
        <w:t>Reply to paragraph 12</w:t>
      </w:r>
      <w:r w:rsidR="001E4FA0" w:rsidRPr="008442C6">
        <w:t xml:space="preserve"> </w:t>
      </w:r>
      <w:r w:rsidRPr="008442C6">
        <w:t xml:space="preserve">(a) of the list of issues </w:t>
      </w:r>
    </w:p>
    <w:p w:rsidR="00BD77CC" w:rsidRPr="008442C6" w:rsidRDefault="00BD77CC" w:rsidP="009C598B">
      <w:pPr>
        <w:pStyle w:val="SingleTxtG"/>
      </w:pPr>
      <w:r w:rsidRPr="008442C6">
        <w:t>56.</w:t>
      </w:r>
      <w:r w:rsidRPr="008442C6">
        <w:tab/>
        <w:t>This measure is already in place by Law 31/2004 that adapts national legislation to the International Criminal Court Statute and qualifies this behaviour as a war crime against people.</w:t>
      </w:r>
    </w:p>
    <w:p w:rsidR="00BD77CC" w:rsidRPr="008442C6" w:rsidRDefault="00BD77CC" w:rsidP="001E4FA0">
      <w:pPr>
        <w:pStyle w:val="H1G"/>
      </w:pPr>
      <w:r w:rsidRPr="008442C6">
        <w:tab/>
      </w:r>
      <w:r w:rsidRPr="008442C6">
        <w:tab/>
        <w:t>Reply to paragraph 12</w:t>
      </w:r>
      <w:r w:rsidR="009F130B">
        <w:t xml:space="preserve"> </w:t>
      </w:r>
      <w:r w:rsidRPr="008442C6">
        <w:t xml:space="preserve">(b), (c) of the list of issues </w:t>
      </w:r>
    </w:p>
    <w:p w:rsidR="00BD77CC" w:rsidRPr="008442C6" w:rsidRDefault="00BD77CC" w:rsidP="009C598B">
      <w:pPr>
        <w:pStyle w:val="SingleTxtG"/>
      </w:pPr>
      <w:r w:rsidRPr="008442C6">
        <w:t>57.</w:t>
      </w:r>
      <w:r w:rsidRPr="008442C6">
        <w:tab/>
        <w:t>According to the Decree-Law 125/2015, of July 7, military schools (</w:t>
      </w:r>
      <w:r w:rsidRPr="008442C6">
        <w:rPr>
          <w:i/>
          <w:iCs/>
        </w:rPr>
        <w:t>Colégio Militar</w:t>
      </w:r>
      <w:r w:rsidRPr="008442C6">
        <w:t xml:space="preserve"> and </w:t>
      </w:r>
      <w:r w:rsidRPr="008442C6">
        <w:rPr>
          <w:i/>
          <w:iCs/>
        </w:rPr>
        <w:t>Instituto dos Pupilos do Exército</w:t>
      </w:r>
      <w:r w:rsidRPr="008442C6">
        <w:t xml:space="preserve">) are integrated in the Portuguese Army structure and are under the political control of the Ministry of National Defence (MND). Both schools are effectively integrated in the Portuguese Education System, with pedagogical parity with other public and private schools and a joint decree for the evaluation system is in place that allows the coordination between the MND and the Ministry of Education. Military schools are planned to be involved in the current cycle of the School External Evaluation programme. </w:t>
      </w:r>
    </w:p>
    <w:p w:rsidR="00BD77CC" w:rsidRPr="008442C6" w:rsidRDefault="00BD77CC" w:rsidP="009C598B">
      <w:pPr>
        <w:pStyle w:val="SingleTxtG"/>
      </w:pPr>
      <w:r w:rsidRPr="008442C6">
        <w:t>58.</w:t>
      </w:r>
      <w:r w:rsidRPr="008442C6">
        <w:tab/>
        <w:t>The General-Inspectorate of Education and Science (GIES) participates in the auditing boards of military schools regarding curriculum development, pedagogic organization and inquiries on complaints of maltreatment or misapplication of discipline. Usually, such boards are composed by inspectors from the education and defence sectors. GIES also carries out controlling actions on the implementation process of national exams.</w:t>
      </w:r>
    </w:p>
    <w:p w:rsidR="00BD77CC" w:rsidRPr="008442C6" w:rsidRDefault="00BD77CC" w:rsidP="001E4FA0">
      <w:pPr>
        <w:pStyle w:val="HChG"/>
      </w:pPr>
      <w:r w:rsidRPr="008442C6">
        <w:tab/>
      </w:r>
      <w:r w:rsidRPr="008442C6">
        <w:tab/>
        <w:t>Part II</w:t>
      </w:r>
    </w:p>
    <w:p w:rsidR="00BD77CC" w:rsidRPr="008442C6" w:rsidRDefault="00BD77CC" w:rsidP="001E4FA0">
      <w:pPr>
        <w:pStyle w:val="H1G"/>
      </w:pPr>
      <w:r w:rsidRPr="008442C6">
        <w:tab/>
      </w:r>
      <w:r w:rsidRPr="008442C6">
        <w:tab/>
        <w:t>Reply to paragraph 13</w:t>
      </w:r>
      <w:r w:rsidR="001E4FA0" w:rsidRPr="008442C6">
        <w:t xml:space="preserve"> </w:t>
      </w:r>
      <w:r w:rsidRPr="008442C6">
        <w:t xml:space="preserve">(a) of the list of issues </w:t>
      </w:r>
    </w:p>
    <w:p w:rsidR="00BD77CC" w:rsidRPr="008442C6" w:rsidRDefault="00BD77CC" w:rsidP="009C598B">
      <w:pPr>
        <w:pStyle w:val="SingleTxtG"/>
      </w:pPr>
      <w:r w:rsidRPr="008442C6">
        <w:t>59.</w:t>
      </w:r>
      <w:r w:rsidRPr="008442C6">
        <w:tab/>
        <w:t>Aiming at the educational success for all, the Ministry of Education designed the document Student</w:t>
      </w:r>
      <w:r w:rsidR="00804846">
        <w:t>’</w:t>
      </w:r>
      <w:r w:rsidRPr="008442C6">
        <w:t>s Profile by the End of Compulsory Schooling (12 years), established the National Strategy for Citizenship Education and launched the Project for Autonomy and Curriculum Flexibility.</w:t>
      </w:r>
    </w:p>
    <w:p w:rsidR="00BD77CC" w:rsidRPr="008442C6" w:rsidRDefault="00BD77CC" w:rsidP="009C598B">
      <w:pPr>
        <w:pStyle w:val="SingleTxtG"/>
      </w:pPr>
      <w:r w:rsidRPr="008442C6">
        <w:t>60.</w:t>
      </w:r>
      <w:r w:rsidRPr="008442C6">
        <w:tab/>
        <w:t>The Student</w:t>
      </w:r>
      <w:r w:rsidR="00804846">
        <w:t>’</w:t>
      </w:r>
      <w:r w:rsidRPr="008442C6">
        <w:t>s Profile is a reference document for the organization of the whole educational system, contributing to the convergence and coordination of the decisions inherent to the several dimensions of curriculum development. Thus, it works as a matrix for decision-making to be adopted by managers and other educational professionals of the bodies responsible for</w:t>
      </w:r>
      <w:r w:rsidR="007D3DB0" w:rsidRPr="008442C6">
        <w:t xml:space="preserve"> </w:t>
      </w:r>
      <w:r w:rsidRPr="008442C6">
        <w:t>educational policies and for school clusters and schools.</w:t>
      </w:r>
    </w:p>
    <w:p w:rsidR="00BD77CC" w:rsidRPr="008442C6" w:rsidRDefault="00BD77CC" w:rsidP="009C598B">
      <w:pPr>
        <w:pStyle w:val="SingleTxtG"/>
      </w:pPr>
      <w:r w:rsidRPr="008442C6">
        <w:t>61.</w:t>
      </w:r>
      <w:r w:rsidRPr="008442C6">
        <w:tab/>
        <w:t>The Student</w:t>
      </w:r>
      <w:r w:rsidR="00804846">
        <w:t>’</w:t>
      </w:r>
      <w:r w:rsidRPr="008442C6">
        <w:t>s Profile aims to ensure the quality of inclusive education, enabling lifelong learning, including curriculum and Citizenship Education, in an intentionally integrated way. This framing document allows an answer to the inclusive and multifaceted nature of schools, ensuring that, regardless of the learning paths, all learning is guided by principles, values and by an explicit vision defined by social consensus.</w:t>
      </w:r>
    </w:p>
    <w:p w:rsidR="00BD77CC" w:rsidRPr="008442C6" w:rsidRDefault="00BD77CC" w:rsidP="009C598B">
      <w:pPr>
        <w:pStyle w:val="SingleTxtG"/>
      </w:pPr>
      <w:r w:rsidRPr="008442C6">
        <w:t>62.</w:t>
      </w:r>
      <w:r w:rsidRPr="008442C6">
        <w:tab/>
        <w:t xml:space="preserve">Compulsory education is for all, fostering equality and democracy. The National Strategy for Citizenship Education was established through the introduction of the curriculum component </w:t>
      </w:r>
      <w:r w:rsidR="00804846">
        <w:t>“</w:t>
      </w:r>
      <w:r w:rsidRPr="008442C6">
        <w:t>Citizenship and Development</w:t>
      </w:r>
      <w:r w:rsidR="00804846">
        <w:t>”</w:t>
      </w:r>
      <w:r w:rsidRPr="008442C6">
        <w:t xml:space="preserve"> and is aligned to the document </w:t>
      </w:r>
      <w:r w:rsidRPr="008442C6">
        <w:lastRenderedPageBreak/>
        <w:t>Student</w:t>
      </w:r>
      <w:r w:rsidR="00804846">
        <w:t>’</w:t>
      </w:r>
      <w:r w:rsidRPr="008442C6">
        <w:t xml:space="preserve">s Profile. The Strategy aims to support students in the development and active participation in projects, which promote fairer and inclusive societies in the context of democracy, respect for diversity and the defence of Human Rights. </w:t>
      </w:r>
    </w:p>
    <w:p w:rsidR="00BD77CC" w:rsidRPr="008442C6" w:rsidRDefault="00BD77CC" w:rsidP="009C598B">
      <w:pPr>
        <w:pStyle w:val="SingleTxtG"/>
      </w:pPr>
      <w:r w:rsidRPr="008442C6">
        <w:t>63.</w:t>
      </w:r>
      <w:r w:rsidRPr="008442C6">
        <w:tab/>
        <w:t>The Project for Autonomy and Curriculum Flexibility</w:t>
      </w:r>
      <w:r w:rsidRPr="008442C6">
        <w:rPr>
          <w:rStyle w:val="FootnoteReference"/>
        </w:rPr>
        <w:footnoteReference w:id="8"/>
      </w:r>
      <w:r w:rsidRPr="008442C6">
        <w:t xml:space="preserve"> defines the guiding principles and rules for the design, implementation and assessment of the curriculum of both primary and secondary education, so that the Student</w:t>
      </w:r>
      <w:r w:rsidR="00804846">
        <w:t>’</w:t>
      </w:r>
      <w:r w:rsidRPr="008442C6">
        <w:t>s Profile can be achieved.</w:t>
      </w:r>
    </w:p>
    <w:p w:rsidR="00BD77CC" w:rsidRPr="008442C6" w:rsidRDefault="00BD77CC" w:rsidP="009C598B">
      <w:pPr>
        <w:pStyle w:val="SingleTxtG"/>
      </w:pPr>
      <w:r w:rsidRPr="008442C6">
        <w:t>64.</w:t>
      </w:r>
      <w:r w:rsidRPr="008442C6">
        <w:tab/>
        <w:t>As an outcome of all the reflection work on the new curriculum design, the Decree-Law 55/2018, of 6 July, was approved establishing the curriculum of primary and secondary education, the guiding principles for the learning design, implementation and assessment, so as to ensure that all students acquire the knowledge and develop the skills and attitudes, which contribute to the attainment of the expected skills in the Student</w:t>
      </w:r>
      <w:r w:rsidR="00804846">
        <w:t>’</w:t>
      </w:r>
      <w:r w:rsidRPr="008442C6">
        <w:t xml:space="preserve">s Profile. </w:t>
      </w:r>
    </w:p>
    <w:p w:rsidR="00BD77CC" w:rsidRPr="008442C6" w:rsidRDefault="00BD77CC" w:rsidP="009C598B">
      <w:pPr>
        <w:pStyle w:val="SingleTxtG"/>
      </w:pPr>
      <w:r w:rsidRPr="008442C6">
        <w:t>65.</w:t>
      </w:r>
      <w:r w:rsidRPr="008442C6">
        <w:tab/>
        <w:t>The N</w:t>
      </w:r>
      <w:r w:rsidR="00804846">
        <w:t>ational Plan for the Arts (2019–</w:t>
      </w:r>
      <w:r w:rsidRPr="008442C6">
        <w:t>2029), supervised by the Ministries of Culture and Education</w:t>
      </w:r>
      <w:r w:rsidRPr="008442C6">
        <w:rPr>
          <w:rStyle w:val="FootnoteReference"/>
        </w:rPr>
        <w:footnoteReference w:id="9"/>
      </w:r>
      <w:r w:rsidRPr="008442C6">
        <w:t xml:space="preserve"> responds to the need to organize and combine all existing initiatives aimed at the community, namely by contributing to the achievement of the areas of competences registered in the Students´ Profile by the End of Compulsory Schooling, as those related to critical and creative thinking and aesthetic and artistic sensitivity.</w:t>
      </w:r>
    </w:p>
    <w:p w:rsidR="00BD77CC" w:rsidRPr="008442C6" w:rsidRDefault="00BD77CC" w:rsidP="009C598B">
      <w:pPr>
        <w:pStyle w:val="SingleTxtG"/>
      </w:pPr>
      <w:r w:rsidRPr="008442C6">
        <w:t>66.</w:t>
      </w:r>
      <w:r w:rsidRPr="008442C6">
        <w:tab/>
        <w:t>The Ministerial Implementing Order 69/2019, of 26 February regulates the educational modalities of home schooling by parents and home schooling by tutors, referred to</w:t>
      </w:r>
      <w:r w:rsidR="007D3DB0" w:rsidRPr="008442C6">
        <w:t xml:space="preserve"> </w:t>
      </w:r>
      <w:r w:rsidRPr="008442C6">
        <w:t>respectively in</w:t>
      </w:r>
      <w:r w:rsidR="007D3DB0" w:rsidRPr="008442C6">
        <w:t xml:space="preserve"> </w:t>
      </w:r>
      <w:r w:rsidRPr="008442C6">
        <w:t>paragraphs</w:t>
      </w:r>
      <w:r w:rsidR="007D3DB0" w:rsidRPr="008442C6">
        <w:t xml:space="preserve"> </w:t>
      </w:r>
      <w:r w:rsidRPr="008442C6">
        <w:t>b) e c), n. º 1 of Article 8 of by Decree-Law 55/2018, of 6 July.</w:t>
      </w:r>
    </w:p>
    <w:p w:rsidR="00BD77CC" w:rsidRPr="008442C6" w:rsidRDefault="00BD77CC" w:rsidP="009C598B">
      <w:pPr>
        <w:pStyle w:val="SingleTxtG"/>
      </w:pPr>
      <w:r w:rsidRPr="008442C6">
        <w:t>67.</w:t>
      </w:r>
      <w:r w:rsidRPr="008442C6">
        <w:tab/>
        <w:t>The Ministerial Implementing Order 223-A/2018 regulates the educational provisions of primary education provided for in n.º 2 , Article 7 of Decree-Law 55/2018, of 6 July.</w:t>
      </w:r>
    </w:p>
    <w:p w:rsidR="00BD77CC" w:rsidRPr="008442C6" w:rsidRDefault="00BD77CC" w:rsidP="009C598B">
      <w:pPr>
        <w:pStyle w:val="SingleTxtG"/>
      </w:pPr>
      <w:r w:rsidRPr="008442C6">
        <w:t>68.</w:t>
      </w:r>
      <w:r w:rsidRPr="008442C6">
        <w:tab/>
        <w:t>The Ministerial Implementing Order 226-A/2018 regulates the Scientific humanistic courses, referred</w:t>
      </w:r>
      <w:r w:rsidR="007D3DB0" w:rsidRPr="008442C6">
        <w:t xml:space="preserve"> </w:t>
      </w:r>
      <w:r w:rsidRPr="008442C6">
        <w:t>to</w:t>
      </w:r>
      <w:r w:rsidR="007D3DB0" w:rsidRPr="008442C6">
        <w:t xml:space="preserve"> </w:t>
      </w:r>
      <w:r w:rsidRPr="008442C6">
        <w:t>in paragraph a) of n.º 4, article 7 of Decree-Law 55/2018, of 6 July.</w:t>
      </w:r>
    </w:p>
    <w:p w:rsidR="00BD77CC" w:rsidRPr="008442C6" w:rsidRDefault="00BD77CC" w:rsidP="007D3DB0">
      <w:pPr>
        <w:pStyle w:val="SingleTxtG"/>
      </w:pPr>
      <w:r w:rsidRPr="008442C6">
        <w:t>69.</w:t>
      </w:r>
      <w:r w:rsidRPr="008442C6">
        <w:tab/>
        <w:t>With the publication of Decree-Law 54/2018, of 6 July, Portugal clearly makes a commitment to inclusive education as a process aimed at responding to the diversity of pupils</w:t>
      </w:r>
      <w:r w:rsidR="00804846">
        <w:t>’</w:t>
      </w:r>
      <w:r w:rsidRPr="008442C6">
        <w:t xml:space="preserve"> needs through increased participation of all. This commitment also aims to meet the 2030 Agenda Sustainable Development Goals. This new political approach expands the 2008 effort and is oriented towards the (full) inclusive education model, assuming inclusiveness – in the broad sense – as the cornerstone of all education policy and a key responsibility of the public educational system. This law assumes that there is no need to categorize to intervene; labelling students is avoided. The continuous and integrated vision of the educational approach that is now promoted, requires an evaluation process of the needed learning supports </w:t>
      </w:r>
      <w:r w:rsidR="007D3DB0" w:rsidRPr="008442C6">
        <w:t>–</w:t>
      </w:r>
      <w:r w:rsidRPr="008442C6">
        <w:t xml:space="preserve"> which considers the student</w:t>
      </w:r>
      <w:r w:rsidR="00804846">
        <w:t>’</w:t>
      </w:r>
      <w:r w:rsidRPr="008442C6">
        <w:t>s academic, behavioural, social and emotional aspects, but also environmental factors – a decisive step in the sequencing and dynamics of any intervention. All children are in mainstreaming educational settings, regardless their gender, race, religion, skills, social condition, etc.</w:t>
      </w:r>
    </w:p>
    <w:p w:rsidR="00BD77CC" w:rsidRPr="008442C6" w:rsidRDefault="00BD77CC" w:rsidP="009C598B">
      <w:pPr>
        <w:pStyle w:val="SingleTxtG"/>
      </w:pPr>
      <w:r w:rsidRPr="008442C6">
        <w:t>70.</w:t>
      </w:r>
      <w:r w:rsidRPr="008442C6">
        <w:tab/>
        <w:t>With the mission to promote youth mainstreaming in public policies for strengthening the special protection of young people, the National Plan for Youth was approved by Resolution of the Council of Ministers 114-A/2018.</w:t>
      </w:r>
    </w:p>
    <w:p w:rsidR="00BD77CC" w:rsidRPr="008442C6" w:rsidRDefault="00BD77CC" w:rsidP="009C598B">
      <w:pPr>
        <w:pStyle w:val="SingleTxtG"/>
      </w:pPr>
      <w:r w:rsidRPr="008442C6">
        <w:t>71.</w:t>
      </w:r>
      <w:r w:rsidRPr="008442C6">
        <w:tab/>
        <w:t>Other regulations:</w:t>
      </w:r>
    </w:p>
    <w:p w:rsidR="00BD77CC" w:rsidRPr="008442C6" w:rsidRDefault="00DB6219" w:rsidP="00DB6219">
      <w:pPr>
        <w:pStyle w:val="Bullet1G"/>
        <w:numPr>
          <w:ilvl w:val="0"/>
          <w:numId w:val="0"/>
        </w:numPr>
        <w:tabs>
          <w:tab w:val="left" w:pos="1701"/>
        </w:tabs>
        <w:ind w:left="1701" w:hanging="170"/>
      </w:pPr>
      <w:r w:rsidRPr="008442C6">
        <w:t>•</w:t>
      </w:r>
      <w:r w:rsidRPr="008442C6">
        <w:tab/>
      </w:r>
      <w:r w:rsidR="00BD77CC" w:rsidRPr="008442C6">
        <w:t>Council of Ministers Resolution 151/2018, of 22 November – renewal of the Choices Programme (2019</w:t>
      </w:r>
      <w:r w:rsidR="00804846">
        <w:t>–</w:t>
      </w:r>
      <w:r w:rsidR="00BD77CC" w:rsidRPr="008442C6">
        <w:t>2020);</w:t>
      </w:r>
    </w:p>
    <w:p w:rsidR="00BD77CC" w:rsidRPr="008442C6" w:rsidRDefault="00DB6219" w:rsidP="00DB6219">
      <w:pPr>
        <w:pStyle w:val="Bullet1G"/>
        <w:numPr>
          <w:ilvl w:val="0"/>
          <w:numId w:val="0"/>
        </w:numPr>
        <w:tabs>
          <w:tab w:val="left" w:pos="1701"/>
        </w:tabs>
        <w:ind w:left="1701" w:hanging="170"/>
      </w:pPr>
      <w:r w:rsidRPr="008442C6">
        <w:t>•</w:t>
      </w:r>
      <w:r w:rsidRPr="008442C6">
        <w:tab/>
      </w:r>
      <w:r w:rsidR="00BD77CC" w:rsidRPr="008442C6">
        <w:t>Council of Ministers Resolution 61/2018, of 21 May – approval of the National Strategy for Equality and Non-Discrimination Portugal + Igual;</w:t>
      </w:r>
    </w:p>
    <w:p w:rsidR="00BD77CC" w:rsidRPr="008442C6" w:rsidRDefault="00DB6219" w:rsidP="00DB6219">
      <w:pPr>
        <w:pStyle w:val="Bullet1G"/>
        <w:numPr>
          <w:ilvl w:val="0"/>
          <w:numId w:val="0"/>
        </w:numPr>
        <w:tabs>
          <w:tab w:val="left" w:pos="1701"/>
        </w:tabs>
        <w:ind w:left="1701" w:hanging="170"/>
      </w:pPr>
      <w:r w:rsidRPr="008442C6">
        <w:t>•</w:t>
      </w:r>
      <w:r w:rsidRPr="008442C6">
        <w:tab/>
      </w:r>
      <w:r w:rsidR="00BD77CC" w:rsidRPr="008442C6">
        <w:t xml:space="preserve">Council of Ministers Resolution 80/2018, of 19 July </w:t>
      </w:r>
      <w:r w:rsidR="00804846">
        <w:t>–</w:t>
      </w:r>
      <w:r w:rsidR="00BD77CC" w:rsidRPr="008442C6">
        <w:t xml:space="preserve"> approval of the Fourth Action Plan for preventing and combating trafficking in human beings (2018</w:t>
      </w:r>
      <w:r w:rsidR="00804846">
        <w:t>–</w:t>
      </w:r>
      <w:r w:rsidR="00BD77CC" w:rsidRPr="008442C6">
        <w:t>2021);</w:t>
      </w:r>
    </w:p>
    <w:p w:rsidR="00BD77CC" w:rsidRPr="008442C6" w:rsidRDefault="00DB6219" w:rsidP="00DB6219">
      <w:pPr>
        <w:pStyle w:val="Bullet1G"/>
        <w:numPr>
          <w:ilvl w:val="0"/>
          <w:numId w:val="0"/>
        </w:numPr>
        <w:tabs>
          <w:tab w:val="left" w:pos="1701"/>
        </w:tabs>
        <w:ind w:left="1701" w:hanging="170"/>
      </w:pPr>
      <w:r w:rsidRPr="008442C6">
        <w:lastRenderedPageBreak/>
        <w:t>•</w:t>
      </w:r>
      <w:r w:rsidRPr="008442C6">
        <w:tab/>
      </w:r>
      <w:r w:rsidR="00BD77CC" w:rsidRPr="008442C6">
        <w:t>Council of Ministers Resolution 54/2018, of 29 November – approval of the National Strategy for the Integration of Roma Communities, extending it until 2022;</w:t>
      </w:r>
    </w:p>
    <w:p w:rsidR="00BD77CC" w:rsidRPr="008442C6" w:rsidRDefault="00DB6219" w:rsidP="00DB6219">
      <w:pPr>
        <w:pStyle w:val="Bullet1G"/>
        <w:numPr>
          <w:ilvl w:val="0"/>
          <w:numId w:val="0"/>
        </w:numPr>
        <w:tabs>
          <w:tab w:val="left" w:pos="1701"/>
        </w:tabs>
        <w:ind w:left="1701" w:hanging="170"/>
      </w:pPr>
      <w:r w:rsidRPr="008442C6">
        <w:t>•</w:t>
      </w:r>
      <w:r w:rsidRPr="008442C6">
        <w:tab/>
      </w:r>
      <w:r w:rsidR="00BD77CC" w:rsidRPr="008442C6">
        <w:t>Act 93/2017, of 23 August, laying down the legal framework for preventing, prohibiting and combating discrimination on the grounds of racial and ethnic origin, colour, nationality, descent and territory of origin;</w:t>
      </w:r>
    </w:p>
    <w:p w:rsidR="00BD77CC" w:rsidRPr="008442C6" w:rsidRDefault="00DB6219" w:rsidP="00DB6219">
      <w:pPr>
        <w:pStyle w:val="Bullet1G"/>
        <w:numPr>
          <w:ilvl w:val="0"/>
          <w:numId w:val="0"/>
        </w:numPr>
        <w:tabs>
          <w:tab w:val="left" w:pos="1701"/>
        </w:tabs>
        <w:ind w:left="1701" w:hanging="170"/>
      </w:pPr>
      <w:r w:rsidRPr="008442C6">
        <w:t>•</w:t>
      </w:r>
      <w:r w:rsidRPr="008442C6">
        <w:tab/>
      </w:r>
      <w:r w:rsidR="00BD77CC" w:rsidRPr="008442C6">
        <w:t>Implementing Decree 2/2018, of 24 January on the conditions for the organisation and functioning of assistance structures, emergency reception solutions and shelters within the national network for the support of victims of domestic violence, as provided for in Act 112/2009, of 16 September, as amended;</w:t>
      </w:r>
    </w:p>
    <w:p w:rsidR="00BD77CC" w:rsidRPr="008442C6" w:rsidRDefault="00DB6219" w:rsidP="00DB6219">
      <w:pPr>
        <w:pStyle w:val="Bullet1G"/>
        <w:numPr>
          <w:ilvl w:val="0"/>
          <w:numId w:val="0"/>
        </w:numPr>
        <w:tabs>
          <w:tab w:val="left" w:pos="1701"/>
        </w:tabs>
        <w:ind w:left="1701" w:hanging="170"/>
      </w:pPr>
      <w:r w:rsidRPr="008442C6">
        <w:t>•</w:t>
      </w:r>
      <w:r w:rsidRPr="008442C6">
        <w:tab/>
      </w:r>
      <w:r w:rsidR="00BD77CC" w:rsidRPr="008442C6">
        <w:t>Act 26/2018, of 5 July on the regularisation of the legal status of children and young people with foreign nationality hosted in State institutions or similar.</w:t>
      </w:r>
    </w:p>
    <w:p w:rsidR="00BD77CC" w:rsidRPr="008442C6" w:rsidRDefault="00BD77CC" w:rsidP="007D3DB0">
      <w:pPr>
        <w:pStyle w:val="H1G"/>
      </w:pPr>
      <w:r w:rsidRPr="008442C6">
        <w:tab/>
      </w:r>
      <w:r w:rsidRPr="008442C6">
        <w:tab/>
        <w:t>Reply to paragraph 13</w:t>
      </w:r>
      <w:r w:rsidR="009F130B">
        <w:t xml:space="preserve"> </w:t>
      </w:r>
      <w:r w:rsidRPr="008442C6">
        <w:t>(b),</w:t>
      </w:r>
      <w:r w:rsidR="007D3DB0" w:rsidRPr="008442C6">
        <w:t xml:space="preserve"> </w:t>
      </w:r>
      <w:r w:rsidRPr="008442C6">
        <w:t xml:space="preserve">(c) of the list of issues </w:t>
      </w:r>
    </w:p>
    <w:p w:rsidR="00BD77CC" w:rsidRPr="008442C6" w:rsidRDefault="00BD77CC" w:rsidP="009C598B">
      <w:pPr>
        <w:pStyle w:val="SingleTxtG"/>
      </w:pPr>
      <w:r w:rsidRPr="008442C6">
        <w:t>72.</w:t>
      </w:r>
      <w:r w:rsidRPr="008442C6">
        <w:tab/>
        <w:t xml:space="preserve">Having as main purpose the promotion of equal opportunities in the access to the curriculum and to educational success for all students, throughout compulsory schooling and in order to meet the challenges set by the contemporary society, schools were granted with Autonomy and Curriculum Flexibility, in such a way that they can manage the curriculum, according to their needs and interests, both in primary and in secondary education (Decree-Law 55/2018, of 6 July). </w:t>
      </w:r>
    </w:p>
    <w:p w:rsidR="00BD77CC" w:rsidRPr="008442C6" w:rsidRDefault="00BD77CC" w:rsidP="009C598B">
      <w:pPr>
        <w:pStyle w:val="SingleTxtG"/>
      </w:pPr>
      <w:r w:rsidRPr="008442C6">
        <w:t>73.</w:t>
      </w:r>
      <w:r w:rsidRPr="008442C6">
        <w:tab/>
        <w:t>A change of organizational and pedagogical practices is encouraged based on curriculum framing documents that define the core curriculum competences to be carried out by all students, in order to foster the most meaningful learning and ensure that they achieve the expected skills in the Student</w:t>
      </w:r>
      <w:r w:rsidR="00804846">
        <w:t>’</w:t>
      </w:r>
      <w:r w:rsidRPr="008442C6">
        <w:t xml:space="preserve">s Profile by the End of Compulsory Schooling. </w:t>
      </w:r>
    </w:p>
    <w:p w:rsidR="00BD77CC" w:rsidRPr="008442C6" w:rsidRDefault="00BD77CC" w:rsidP="009C598B">
      <w:pPr>
        <w:pStyle w:val="SingleTxtG"/>
      </w:pPr>
      <w:r w:rsidRPr="008442C6">
        <w:t>74.</w:t>
      </w:r>
      <w:r w:rsidRPr="008442C6">
        <w:tab/>
        <w:t xml:space="preserve">The Decree-Law 54/2018, of 6 July established simultaneously principles and rules for the inclusion of all students as a process aiming to meet the diversity of needs and potential of each student, through an increasing participation in learning processes and in the life of the educational community. For this purpose, the measures to support learning and inclusion were identified in the specific curriculum areas, as well as the specific resources to be mobilized. </w:t>
      </w:r>
    </w:p>
    <w:p w:rsidR="00BD77CC" w:rsidRPr="008442C6" w:rsidRDefault="00BD77CC" w:rsidP="009C598B">
      <w:pPr>
        <w:pStyle w:val="SingleTxtG"/>
      </w:pPr>
      <w:r w:rsidRPr="008442C6">
        <w:t>75.</w:t>
      </w:r>
      <w:r w:rsidRPr="008442C6">
        <w:tab/>
        <w:t xml:space="preserve">In order to support schools, the Directorate-General for Education (DGE) published the document </w:t>
      </w:r>
      <w:r w:rsidR="00804846">
        <w:t>“</w:t>
      </w:r>
      <w:r w:rsidRPr="008442C6">
        <w:t>For an Inclusive Education – Handbook to Support Practice</w:t>
      </w:r>
      <w:r w:rsidR="00804846">
        <w:t>”</w:t>
      </w:r>
      <w:r w:rsidRPr="008442C6">
        <w:t xml:space="preserve"> in 2018.</w:t>
      </w:r>
    </w:p>
    <w:p w:rsidR="00BD77CC" w:rsidRPr="008442C6" w:rsidRDefault="00BD77CC" w:rsidP="009C598B">
      <w:pPr>
        <w:pStyle w:val="SingleTxtG"/>
      </w:pPr>
      <w:r w:rsidRPr="008442C6">
        <w:t>76.</w:t>
      </w:r>
      <w:r w:rsidRPr="008442C6">
        <w:tab/>
        <w:t xml:space="preserve">Portuguese as a Second or Foreign language (PFL) was a subject made available with the goal of promoting the inclusion of students who are newcomers to the educational system both in primary and secondary education curricula. </w:t>
      </w:r>
    </w:p>
    <w:p w:rsidR="00BD77CC" w:rsidRPr="008442C6" w:rsidRDefault="00BD77CC" w:rsidP="009C598B">
      <w:pPr>
        <w:pStyle w:val="SingleTxtG"/>
      </w:pPr>
      <w:r w:rsidRPr="008442C6">
        <w:t>77.</w:t>
      </w:r>
      <w:r w:rsidRPr="008442C6">
        <w:tab/>
        <w:t>PFL students who are placed as beginners may benefit from educational measures to smooth their access to the curriculum.</w:t>
      </w:r>
    </w:p>
    <w:p w:rsidR="00BD77CC" w:rsidRPr="008442C6" w:rsidRDefault="00BD77CC" w:rsidP="009C598B">
      <w:pPr>
        <w:pStyle w:val="SingleTxtG"/>
      </w:pPr>
      <w:r w:rsidRPr="008442C6">
        <w:t>78.</w:t>
      </w:r>
      <w:r w:rsidRPr="008442C6">
        <w:tab/>
        <w:t>In the scope of the European Union</w:t>
      </w:r>
      <w:r w:rsidR="00804846">
        <w:t>’</w:t>
      </w:r>
      <w:r w:rsidRPr="008442C6">
        <w:t xml:space="preserve">s Migration Agenda extraordinary educational measures were created for students who have refugee status and asylum seekers with the purpose of promoting inclusion in the Portuguese educational system, such as granting equivalences of foreign qualifications and offering Social School Action. To support schools fulfilling their role, DGE has released the </w:t>
      </w:r>
      <w:r w:rsidR="00804846">
        <w:t>“Host Guide –</w:t>
      </w:r>
      <w:r w:rsidRPr="008442C6">
        <w:t xml:space="preserve"> Preschool education (primary and secondary education)</w:t>
      </w:r>
      <w:r w:rsidR="00804846">
        <w:t>”</w:t>
      </w:r>
      <w:r w:rsidRPr="008442C6">
        <w:t>, in 2016.</w:t>
      </w:r>
    </w:p>
    <w:p w:rsidR="00BD77CC" w:rsidRPr="008442C6" w:rsidRDefault="00BD77CC" w:rsidP="009C598B">
      <w:pPr>
        <w:pStyle w:val="SingleTxtG"/>
      </w:pPr>
      <w:r w:rsidRPr="008442C6">
        <w:t>79.</w:t>
      </w:r>
      <w:r w:rsidRPr="008442C6">
        <w:tab/>
        <w:t>The Act 69/2019, of 26 February on home schooling created the conditions that allow students</w:t>
      </w:r>
      <w:r w:rsidR="00804846">
        <w:t>’</w:t>
      </w:r>
      <w:r w:rsidRPr="008442C6">
        <w:t xml:space="preserve"> educational success, ensuring compliance with current curriculum frameworks and an education with quality. It set up the procedures, follow-up requirements and monitoring of the educational process under these arrangements, as well as the parents and schools´ responsibilities where they are enrolled. </w:t>
      </w:r>
    </w:p>
    <w:p w:rsidR="00BD77CC" w:rsidRPr="008442C6" w:rsidRDefault="00BD77CC" w:rsidP="009C598B">
      <w:pPr>
        <w:pStyle w:val="SingleTxtG"/>
      </w:pPr>
      <w:r w:rsidRPr="008442C6">
        <w:t>80.</w:t>
      </w:r>
      <w:r w:rsidRPr="008442C6">
        <w:tab/>
        <w:t>Another measure in place since 2006</w:t>
      </w:r>
      <w:r w:rsidRPr="008442C6">
        <w:rPr>
          <w:rStyle w:val="FootnoteReference"/>
        </w:rPr>
        <w:footnoteReference w:id="10"/>
      </w:r>
      <w:r w:rsidRPr="008442C6">
        <w:t xml:space="preserve"> is related to the action in educational territories of priority intervention, in particular the promotion and support of educational </w:t>
      </w:r>
      <w:r w:rsidRPr="008442C6">
        <w:lastRenderedPageBreak/>
        <w:t>projects that aim to improve the quality of education, fostering school success, change to adult life, as well as community integration.</w:t>
      </w:r>
    </w:p>
    <w:p w:rsidR="00BD77CC" w:rsidRPr="008442C6" w:rsidRDefault="00BD77CC" w:rsidP="009C598B">
      <w:pPr>
        <w:pStyle w:val="SingleTxtG"/>
      </w:pPr>
      <w:r w:rsidRPr="008442C6">
        <w:t>81.</w:t>
      </w:r>
      <w:r w:rsidRPr="008442C6">
        <w:tab/>
        <w:t>The defence of children</w:t>
      </w:r>
      <w:r w:rsidR="00804846">
        <w:t>’</w:t>
      </w:r>
      <w:r w:rsidRPr="008442C6">
        <w:t xml:space="preserve">s rights, with emphasis on juvenile justice, constitutes a priority area for public prosecution authorities. In 2017 PGO created an Office on Family, Children and Youngsters where PGO and the NCPRPCY meet with every prosecutor acting in the area of family and children and representatives of local child protection commissions in all 23 judicial constituencies, in order to identify obstacles, difficulties and best practices in interventions on children and youngsters, evaluate shortcomings and flag training deficits, at the national and local levels. This initiative includes the elaboration of a final report with potential indicators of problems and unnecessary obstacles to interventions and may serve as a basis for the adoption of those amendments deemed in guidelines for the work of relevant professionals. </w:t>
      </w:r>
    </w:p>
    <w:p w:rsidR="00BD77CC" w:rsidRPr="008442C6" w:rsidRDefault="00BD77CC" w:rsidP="009C598B">
      <w:pPr>
        <w:pStyle w:val="SingleTxtG"/>
      </w:pPr>
      <w:r w:rsidRPr="008442C6">
        <w:t>82.</w:t>
      </w:r>
      <w:r w:rsidRPr="008442C6">
        <w:tab/>
        <w:t xml:space="preserve">PGO has launched a new website with a wealth of updated information on the rights of the child and related areas: such as parental responsibilities and their limitation and inhibition; adoption; guardianship; promotion and protection of the rights of children. A new section devoted to the human rights of children has been launched in May 2018, including detailed information on the work of the Committee on the Rights of the Child and other relevant regional and universal bodies dealing with child-related matters, including the text of all reports submitted by Portugal to such bodies, concluding observations and other relevant documentation thereon; Portuguese versions of the vast majority of universal and regional human rights instruments on children; databases, jurisprudence, documents, publications and information notes on the rights of the child. </w:t>
      </w:r>
    </w:p>
    <w:p w:rsidR="00BD77CC" w:rsidRPr="008442C6" w:rsidRDefault="00BD77CC" w:rsidP="009C598B">
      <w:pPr>
        <w:pStyle w:val="SingleTxtG"/>
      </w:pPr>
      <w:r w:rsidRPr="008442C6">
        <w:t>83.</w:t>
      </w:r>
      <w:r w:rsidRPr="008442C6">
        <w:tab/>
        <w:t xml:space="preserve">A new project on Electronic Assistance to Citizens has been developed that will provide practical and simplified information on those areas where public prosecution is competent to act in court, including the protection of rights of children and youngsters, and enable registered users to submit petitions to public prosecution authorities directly via a digital platform. </w:t>
      </w:r>
    </w:p>
    <w:p w:rsidR="00BD77CC" w:rsidRPr="008442C6" w:rsidRDefault="00BD77CC" w:rsidP="009C598B">
      <w:pPr>
        <w:pStyle w:val="SingleTxtG"/>
      </w:pPr>
      <w:r w:rsidRPr="008442C6">
        <w:t>84.</w:t>
      </w:r>
      <w:r w:rsidRPr="008442C6">
        <w:tab/>
        <w:t>Public prosecution authorities have signed protocols at the local and international levels to share good practices and enhance cooperation in legal proceedings involving children: for example, with the Prosecutor-General</w:t>
      </w:r>
      <w:r w:rsidR="00804846">
        <w:t>’</w:t>
      </w:r>
      <w:r w:rsidRPr="008442C6">
        <w:t xml:space="preserve">s Offices of Mozambique (2014), Angola (2016) and Andorra (2018). Also relevant in this regard are protocols dealing, for instance, with transnational crime, namely cybercrime and trafficking in persons (Cuba, 2016 and 2019; Argentina, 2017; Egypt, 2018; Cape Verde, 2018). </w:t>
      </w:r>
    </w:p>
    <w:p w:rsidR="00BD77CC" w:rsidRPr="008442C6" w:rsidRDefault="00BD77CC" w:rsidP="00804846">
      <w:pPr>
        <w:pStyle w:val="SingleTxtG"/>
      </w:pPr>
      <w:r w:rsidRPr="008442C6">
        <w:t>85.</w:t>
      </w:r>
      <w:r w:rsidRPr="008442C6">
        <w:tab/>
        <w:t xml:space="preserve">PGO has signed agreements for the protection of victims of domestic and gender-based violence aimed namely at enhancing the training of prosecutors, law enforcement and other professionals, disseminating best practices and providing practical guidance for their work have been celebrated with NGOs (eg. Portuguese Association for Victim´s Support </w:t>
      </w:r>
      <w:r w:rsidR="00804846">
        <w:t>–</w:t>
      </w:r>
      <w:r w:rsidRPr="008442C6">
        <w:t xml:space="preserve"> PAVS, 2016) and public bodies, including security forces (2018). Six Offices for Assisting Victims (GAV) are due to start operating throughout the country in May 2019, pursuant to protocols signed by PGO, the Ministry of Justice and three NGOs. GAV will bring together prosecutors, law enforcement officers and NGO experts to ensure continuous reception, information and support and personalized referral of victims of domestic violence and gender-based violence. Also, within its partnership with PAVS, PGO is participating in the Provictims and ROAR projects, aimed at enhancing support to victims of crime (in general) and cybercrime. A new directive for prosecutors containing professional guidelines for cases of domestic viol</w:t>
      </w:r>
      <w:r w:rsidR="005E74A9">
        <w:t>ence is about to be published.</w:t>
      </w:r>
    </w:p>
    <w:p w:rsidR="00BD77CC" w:rsidRPr="008442C6" w:rsidRDefault="00BD77CC" w:rsidP="009C598B">
      <w:pPr>
        <w:pStyle w:val="SingleTxtG"/>
      </w:pPr>
      <w:r w:rsidRPr="008442C6">
        <w:t>86.</w:t>
      </w:r>
      <w:r w:rsidRPr="008442C6">
        <w:tab/>
        <w:t xml:space="preserve">In February 2019, PGO launched a plan of action on </w:t>
      </w:r>
      <w:r w:rsidR="00804846">
        <w:t>“</w:t>
      </w:r>
      <w:r w:rsidRPr="008442C6">
        <w:t>Children and crimes in the Internet</w:t>
      </w:r>
      <w:r w:rsidR="00804846">
        <w:t>”</w:t>
      </w:r>
      <w:r w:rsidRPr="008442C6">
        <w:t xml:space="preserve"> for professionals with responsibilities on children and youth, and the overall community, which identifies acts typified as a crime committed through the Internet by or against children; provide specialized training thereon to prosecutors; promote coordination between prosecutors from criminal and family and children jurisdictions; and foster dialogue and information-sharing between prosecutors and other actors of child protection and juvenile justice systems. This plan of action includes seminars, thematic workshops for relevant professionals and training activities in all judicial constituencies. </w:t>
      </w:r>
    </w:p>
    <w:p w:rsidR="00BD77CC" w:rsidRPr="008442C6" w:rsidRDefault="00BD77CC" w:rsidP="009C598B">
      <w:pPr>
        <w:pStyle w:val="SingleTxtG"/>
      </w:pPr>
      <w:r w:rsidRPr="008442C6">
        <w:t>87.</w:t>
      </w:r>
      <w:r w:rsidRPr="008442C6">
        <w:tab/>
        <w:t xml:space="preserve">PGO is also participating in the elaboration of two reference guides: on human rights education for pre-school, basic and secondary students; and on the care of children and </w:t>
      </w:r>
      <w:r w:rsidRPr="008442C6">
        <w:lastRenderedPageBreak/>
        <w:t>youngsters in therapeutic communities, with the purpose of indicating steps to be taken as from the identification of a situation of risk until the end of intervention, as well as available resources in the area.</w:t>
      </w:r>
    </w:p>
    <w:p w:rsidR="00BD77CC" w:rsidRPr="008442C6" w:rsidRDefault="00BD77CC" w:rsidP="009C598B">
      <w:pPr>
        <w:pStyle w:val="SingleTxtG"/>
      </w:pPr>
      <w:r w:rsidRPr="008442C6">
        <w:t>88.</w:t>
      </w:r>
      <w:r w:rsidRPr="008442C6">
        <w:tab/>
        <w:t xml:space="preserve">The Portuguese Criminal Police dedicates attention to children in all stages of the investigation. For example, there is an exclusive room where children can stay whenever needed, which is duly equipped with toys, a television set and a computer; this room is not intended for interviews. </w:t>
      </w:r>
    </w:p>
    <w:p w:rsidR="00BD77CC" w:rsidRPr="008442C6" w:rsidRDefault="00BD77CC" w:rsidP="009C598B">
      <w:pPr>
        <w:pStyle w:val="SingleTxtG"/>
      </w:pPr>
      <w:r w:rsidRPr="008442C6">
        <w:t>89.</w:t>
      </w:r>
      <w:r w:rsidRPr="008442C6">
        <w:tab/>
        <w:t>Squads investigating offences against sexual self-determination were also equipped with car seats for children, as there may be a need to ensure transportation between the facilities of the Criminal Police, medical care establishments, residence, among others.</w:t>
      </w:r>
    </w:p>
    <w:p w:rsidR="00BD77CC" w:rsidRPr="008442C6" w:rsidRDefault="00BD77CC" w:rsidP="00804846">
      <w:pPr>
        <w:pStyle w:val="SingleTxtG"/>
      </w:pPr>
      <w:r w:rsidRPr="008442C6">
        <w:t>90.</w:t>
      </w:r>
      <w:r w:rsidRPr="008442C6">
        <w:tab/>
        <w:t xml:space="preserve">The Child Support Institute hotline </w:t>
      </w:r>
      <w:r w:rsidR="00804846">
        <w:t>“</w:t>
      </w:r>
      <w:r w:rsidRPr="008442C6">
        <w:t>SOS</w:t>
      </w:r>
      <w:r w:rsidR="00804846">
        <w:t xml:space="preserve"> – </w:t>
      </w:r>
      <w:r w:rsidRPr="008442C6">
        <w:t>Criança</w:t>
      </w:r>
      <w:r w:rsidR="00804846">
        <w:t>”</w:t>
      </w:r>
      <w:r w:rsidRPr="008442C6">
        <w:t xml:space="preserve"> [SOS-Child] is forwarded to the 24/7 response service of the Criminal Police every working day between 7 p.m. and 9 a.m., and 24h at weekends and holidays.</w:t>
      </w:r>
    </w:p>
    <w:p w:rsidR="00BD77CC" w:rsidRPr="008442C6" w:rsidRDefault="00BD77CC" w:rsidP="005233D2">
      <w:pPr>
        <w:pStyle w:val="H1G"/>
      </w:pPr>
      <w:r w:rsidRPr="008442C6">
        <w:tab/>
      </w:r>
      <w:r w:rsidRPr="008442C6">
        <w:tab/>
        <w:t xml:space="preserve">Reply to paragraph 13(d) of the list of issues </w:t>
      </w:r>
    </w:p>
    <w:p w:rsidR="00BD77CC" w:rsidRPr="008442C6" w:rsidRDefault="00BD77CC" w:rsidP="009C598B">
      <w:pPr>
        <w:pStyle w:val="SingleTxtG"/>
      </w:pPr>
      <w:r w:rsidRPr="008442C6">
        <w:t>91.</w:t>
      </w:r>
      <w:r w:rsidRPr="008442C6">
        <w:tab/>
        <w:t>Since 2014 Portugal has ratified 18 human rights conventions:</w:t>
      </w:r>
    </w:p>
    <w:p w:rsidR="00BD77CC" w:rsidRPr="008442C6" w:rsidRDefault="005233D2" w:rsidP="009C598B">
      <w:pPr>
        <w:pStyle w:val="SingleTxtG"/>
      </w:pPr>
      <w:r w:rsidRPr="008442C6">
        <w:tab/>
      </w:r>
      <w:r w:rsidR="00BD77CC" w:rsidRPr="008442C6">
        <w:t>(a)</w:t>
      </w:r>
      <w:r w:rsidR="00BD77CC" w:rsidRPr="008442C6">
        <w:tab/>
        <w:t>European Agreement relating to persons participating in proceedings of the European Court of Human Rights;</w:t>
      </w:r>
    </w:p>
    <w:p w:rsidR="00BD77CC" w:rsidRPr="008442C6" w:rsidRDefault="005233D2" w:rsidP="009C598B">
      <w:pPr>
        <w:pStyle w:val="SingleTxtG"/>
      </w:pPr>
      <w:r w:rsidRPr="008442C6">
        <w:tab/>
      </w:r>
      <w:r w:rsidR="00BD77CC" w:rsidRPr="008442C6">
        <w:t>(b)</w:t>
      </w:r>
      <w:r w:rsidR="00BD77CC" w:rsidRPr="008442C6">
        <w:tab/>
        <w:t>Sixth Protocol to the General Agreement on Privileges and Immunities of the Council of Europe;</w:t>
      </w:r>
    </w:p>
    <w:p w:rsidR="00BD77CC" w:rsidRPr="008442C6" w:rsidRDefault="005233D2" w:rsidP="009C598B">
      <w:pPr>
        <w:pStyle w:val="SingleTxtG"/>
      </w:pPr>
      <w:r w:rsidRPr="008442C6">
        <w:tab/>
      </w:r>
      <w:r w:rsidR="00BD77CC" w:rsidRPr="008442C6">
        <w:t>(c)</w:t>
      </w:r>
      <w:r w:rsidR="00BD77CC" w:rsidRPr="008442C6">
        <w:tab/>
        <w:t>Protocol No. 12 to the Convention for the Protection of Human Rights and Fundamental Freedoms;</w:t>
      </w:r>
    </w:p>
    <w:p w:rsidR="00BD77CC" w:rsidRPr="008442C6" w:rsidRDefault="005233D2" w:rsidP="009C598B">
      <w:pPr>
        <w:pStyle w:val="SingleTxtG"/>
      </w:pPr>
      <w:r w:rsidRPr="008442C6">
        <w:tab/>
      </w:r>
      <w:r w:rsidR="00BD77CC" w:rsidRPr="008442C6">
        <w:t>(d)</w:t>
      </w:r>
      <w:r w:rsidR="00BD77CC" w:rsidRPr="008442C6">
        <w:tab/>
        <w:t>Additional Protocol to the Convention on Human Rights and Biomedicine concerning Transplantation of Organs and Tissues of Human Origin;</w:t>
      </w:r>
    </w:p>
    <w:p w:rsidR="00BD77CC" w:rsidRPr="008442C6" w:rsidRDefault="005233D2" w:rsidP="009C598B">
      <w:pPr>
        <w:pStyle w:val="SingleTxtG"/>
      </w:pPr>
      <w:r w:rsidRPr="008442C6">
        <w:tab/>
      </w:r>
      <w:r w:rsidR="00BD77CC" w:rsidRPr="008442C6">
        <w:t>(e)</w:t>
      </w:r>
      <w:r w:rsidR="00BD77CC" w:rsidRPr="008442C6">
        <w:tab/>
        <w:t>Protocol amending the European Convention on the Suppression of Terrorism;</w:t>
      </w:r>
    </w:p>
    <w:p w:rsidR="00BD77CC" w:rsidRPr="008442C6" w:rsidRDefault="005233D2" w:rsidP="009C598B">
      <w:pPr>
        <w:pStyle w:val="SingleTxtG"/>
      </w:pPr>
      <w:r w:rsidRPr="008442C6">
        <w:tab/>
      </w:r>
      <w:r w:rsidR="00BD77CC" w:rsidRPr="008442C6">
        <w:t>(f)</w:t>
      </w:r>
      <w:r w:rsidR="00BD77CC" w:rsidRPr="008442C6">
        <w:tab/>
        <w:t>Additional Protocol to the Criminal Law Convention on Corruption;</w:t>
      </w:r>
    </w:p>
    <w:p w:rsidR="00BD77CC" w:rsidRPr="008442C6" w:rsidRDefault="005233D2" w:rsidP="009C598B">
      <w:pPr>
        <w:pStyle w:val="SingleTxtG"/>
      </w:pPr>
      <w:r w:rsidRPr="008442C6">
        <w:tab/>
      </w:r>
      <w:r w:rsidR="00BD77CC" w:rsidRPr="008442C6">
        <w:t>(g)</w:t>
      </w:r>
      <w:r w:rsidR="00BD77CC" w:rsidRPr="008442C6">
        <w:tab/>
        <w:t>Additional Protocol to the Convention on Human Rights and Biomedicine, concerning Biomedical Research;</w:t>
      </w:r>
    </w:p>
    <w:p w:rsidR="00BD77CC" w:rsidRPr="008442C6" w:rsidRDefault="005233D2" w:rsidP="009C598B">
      <w:pPr>
        <w:pStyle w:val="SingleTxtG"/>
      </w:pPr>
      <w:r w:rsidRPr="008442C6">
        <w:tab/>
      </w:r>
      <w:r w:rsidR="00BD77CC" w:rsidRPr="008442C6">
        <w:t>(h)</w:t>
      </w:r>
      <w:r w:rsidR="00BD77CC" w:rsidRPr="008442C6">
        <w:tab/>
        <w:t>Council of Europe Convention on the Prevention of Terrorism;</w:t>
      </w:r>
    </w:p>
    <w:p w:rsidR="00BD77CC" w:rsidRPr="008442C6" w:rsidRDefault="005233D2" w:rsidP="009C598B">
      <w:pPr>
        <w:pStyle w:val="SingleTxtG"/>
      </w:pPr>
      <w:r w:rsidRPr="008442C6">
        <w:tab/>
      </w:r>
      <w:r w:rsidR="00BD77CC" w:rsidRPr="008442C6">
        <w:t>(i)</w:t>
      </w:r>
      <w:r w:rsidR="00BD77CC" w:rsidRPr="008442C6">
        <w:tab/>
        <w:t>Additional Protocol to the Convention on Human Rights and Biomedicine concerning Genetic Testing for Health Purposes;</w:t>
      </w:r>
    </w:p>
    <w:p w:rsidR="00BD77CC" w:rsidRPr="008442C6" w:rsidRDefault="005233D2" w:rsidP="009C598B">
      <w:pPr>
        <w:pStyle w:val="SingleTxtG"/>
      </w:pPr>
      <w:r w:rsidRPr="008442C6">
        <w:tab/>
      </w:r>
      <w:r w:rsidR="00BD77CC" w:rsidRPr="008442C6">
        <w:t>(j)</w:t>
      </w:r>
      <w:r w:rsidR="00BD77CC" w:rsidRPr="008442C6">
        <w:tab/>
        <w:t>Third Additional Protocol to the European Convention on Extradition;</w:t>
      </w:r>
    </w:p>
    <w:p w:rsidR="00BD77CC" w:rsidRPr="008442C6" w:rsidRDefault="005233D2" w:rsidP="009C598B">
      <w:pPr>
        <w:pStyle w:val="SingleTxtG"/>
      </w:pPr>
      <w:r w:rsidRPr="008442C6">
        <w:tab/>
      </w:r>
      <w:r w:rsidR="00BD77CC" w:rsidRPr="008442C6">
        <w:t>(k)</w:t>
      </w:r>
      <w:r w:rsidR="00BD77CC" w:rsidRPr="008442C6">
        <w:tab/>
        <w:t>Council of Europe Convention on the counterfeiting of medical products and similar crimes involving threats to public health;</w:t>
      </w:r>
    </w:p>
    <w:p w:rsidR="00BD77CC" w:rsidRPr="008442C6" w:rsidRDefault="005233D2" w:rsidP="009C598B">
      <w:pPr>
        <w:pStyle w:val="SingleTxtG"/>
      </w:pPr>
      <w:r w:rsidRPr="008442C6">
        <w:tab/>
      </w:r>
      <w:r w:rsidR="00BD77CC" w:rsidRPr="008442C6">
        <w:t>(l)</w:t>
      </w:r>
      <w:r w:rsidR="00BD77CC" w:rsidRPr="008442C6">
        <w:tab/>
        <w:t>Protocol No. 15 amending the Convention for the Protection of Human Rights and Fundamental Freedoms;</w:t>
      </w:r>
    </w:p>
    <w:p w:rsidR="00BD77CC" w:rsidRPr="008442C6" w:rsidRDefault="005233D2" w:rsidP="009C598B">
      <w:pPr>
        <w:pStyle w:val="SingleTxtG"/>
      </w:pPr>
      <w:r w:rsidRPr="008442C6">
        <w:tab/>
      </w:r>
      <w:r w:rsidR="00BD77CC" w:rsidRPr="008442C6">
        <w:t>(m)</w:t>
      </w:r>
      <w:r w:rsidR="00BD77CC" w:rsidRPr="008442C6">
        <w:tab/>
        <w:t>Council of Europe Convention on the Manipulation of Sports Competitions;</w:t>
      </w:r>
    </w:p>
    <w:p w:rsidR="00BD77CC" w:rsidRPr="008442C6" w:rsidRDefault="005233D2" w:rsidP="009C598B">
      <w:pPr>
        <w:pStyle w:val="SingleTxtG"/>
      </w:pPr>
      <w:r w:rsidRPr="008442C6">
        <w:tab/>
      </w:r>
      <w:r w:rsidR="00BD77CC" w:rsidRPr="008442C6">
        <w:t>(n)</w:t>
      </w:r>
      <w:r w:rsidR="00BD77CC" w:rsidRPr="008442C6">
        <w:tab/>
        <w:t>Council of Europe Convention against Trafficking in Human Organs;</w:t>
      </w:r>
    </w:p>
    <w:p w:rsidR="00BD77CC" w:rsidRPr="008442C6" w:rsidRDefault="005233D2" w:rsidP="009C598B">
      <w:pPr>
        <w:pStyle w:val="SingleTxtG"/>
      </w:pPr>
      <w:r w:rsidRPr="008442C6">
        <w:tab/>
      </w:r>
      <w:r w:rsidR="00BD77CC" w:rsidRPr="008442C6">
        <w:t>(o)</w:t>
      </w:r>
      <w:r w:rsidR="00BD77CC" w:rsidRPr="008442C6">
        <w:tab/>
        <w:t>Additional Protocol to the Council of Europe Convention on the Prevention of Terrorism;</w:t>
      </w:r>
    </w:p>
    <w:p w:rsidR="00BD77CC" w:rsidRPr="008442C6" w:rsidRDefault="005233D2" w:rsidP="009C598B">
      <w:pPr>
        <w:pStyle w:val="SingleTxtG"/>
      </w:pPr>
      <w:r w:rsidRPr="008442C6">
        <w:tab/>
      </w:r>
      <w:r w:rsidR="00BD77CC" w:rsidRPr="008442C6">
        <w:t>(p)</w:t>
      </w:r>
      <w:r w:rsidR="00BD77CC" w:rsidRPr="008442C6">
        <w:tab/>
        <w:t>Council of Europe Convention on an Integrated Safety, Security and Service Approach at Football Matches and Other Sports Events.</w:t>
      </w:r>
    </w:p>
    <w:p w:rsidR="00BD77CC" w:rsidRPr="008442C6" w:rsidRDefault="005233D2" w:rsidP="009C598B">
      <w:pPr>
        <w:pStyle w:val="SingleTxtG"/>
      </w:pPr>
      <w:r w:rsidRPr="008442C6">
        <w:tab/>
      </w:r>
      <w:r w:rsidR="00BD77CC" w:rsidRPr="008442C6">
        <w:t>(q)</w:t>
      </w:r>
      <w:r w:rsidR="00BD77CC" w:rsidRPr="008442C6">
        <w:tab/>
        <w:t>Kampala Amendments to the Rome Statute of the International Criminal Court;</w:t>
      </w:r>
    </w:p>
    <w:p w:rsidR="00BD77CC" w:rsidRPr="008442C6" w:rsidRDefault="005233D2" w:rsidP="009C598B">
      <w:pPr>
        <w:pStyle w:val="SingleTxtG"/>
      </w:pPr>
      <w:r w:rsidRPr="008442C6">
        <w:tab/>
      </w:r>
      <w:r w:rsidR="00BD77CC" w:rsidRPr="008442C6">
        <w:t>(r)</w:t>
      </w:r>
      <w:r w:rsidR="00BD77CC" w:rsidRPr="008442C6">
        <w:tab/>
        <w:t>Amendment to article 124 of the Rome Statute of the International Criminal Court.</w:t>
      </w:r>
    </w:p>
    <w:p w:rsidR="00BD77CC" w:rsidRPr="008442C6" w:rsidRDefault="00BD77CC" w:rsidP="008D7868">
      <w:pPr>
        <w:pStyle w:val="HChG"/>
      </w:pPr>
      <w:r w:rsidRPr="008442C6">
        <w:lastRenderedPageBreak/>
        <w:tab/>
      </w:r>
      <w:r w:rsidRPr="008442C6">
        <w:tab/>
        <w:t>Part III</w:t>
      </w:r>
      <w:r w:rsidR="008D7868">
        <w:br/>
      </w:r>
      <w:r w:rsidRPr="008442C6">
        <w:br/>
        <w:t>Data, statistics and other information, if available</w:t>
      </w:r>
    </w:p>
    <w:p w:rsidR="00BD77CC" w:rsidRPr="008442C6" w:rsidRDefault="00BD77CC" w:rsidP="007B0A56">
      <w:pPr>
        <w:pStyle w:val="H1G"/>
      </w:pPr>
      <w:r w:rsidRPr="008442C6">
        <w:tab/>
      </w:r>
      <w:r w:rsidRPr="008442C6">
        <w:tab/>
        <w:t>Reply to paragraphs 14, 15</w:t>
      </w:r>
      <w:r w:rsidR="00501204" w:rsidRPr="008442C6">
        <w:t xml:space="preserve"> </w:t>
      </w:r>
      <w:r w:rsidRPr="008442C6">
        <w:t xml:space="preserve">(a) of the list of issues </w:t>
      </w:r>
    </w:p>
    <w:p w:rsidR="00BD77CC" w:rsidRPr="008442C6" w:rsidRDefault="00BD77CC" w:rsidP="009C598B">
      <w:pPr>
        <w:pStyle w:val="SingleTxtG"/>
      </w:pPr>
      <w:r w:rsidRPr="008442C6">
        <w:t>92.</w:t>
      </w:r>
      <w:r w:rsidRPr="008442C6">
        <w:tab/>
        <w:t>National citizens 0 to 17 years (as 12.05.2019):</w:t>
      </w:r>
    </w:p>
    <w:p w:rsidR="00BD77CC" w:rsidRPr="008442C6" w:rsidRDefault="00DB6219" w:rsidP="00DB6219">
      <w:pPr>
        <w:pStyle w:val="Bullet1G"/>
        <w:numPr>
          <w:ilvl w:val="0"/>
          <w:numId w:val="0"/>
        </w:numPr>
        <w:tabs>
          <w:tab w:val="left" w:pos="1701"/>
        </w:tabs>
        <w:ind w:left="1701" w:hanging="170"/>
      </w:pPr>
      <w:r w:rsidRPr="008442C6">
        <w:t>•</w:t>
      </w:r>
      <w:r w:rsidRPr="008442C6">
        <w:tab/>
      </w:r>
      <w:r w:rsidR="00BD77CC" w:rsidRPr="008442C6">
        <w:t>Number of persons residing in Portugal: 1.771.842;</w:t>
      </w:r>
    </w:p>
    <w:p w:rsidR="00BD77CC" w:rsidRPr="008442C6" w:rsidRDefault="00DB6219" w:rsidP="00DB6219">
      <w:pPr>
        <w:pStyle w:val="Bullet1G"/>
        <w:numPr>
          <w:ilvl w:val="0"/>
          <w:numId w:val="0"/>
        </w:numPr>
        <w:tabs>
          <w:tab w:val="left" w:pos="1701"/>
        </w:tabs>
        <w:ind w:left="1701" w:hanging="170"/>
      </w:pPr>
      <w:r w:rsidRPr="008442C6">
        <w:t>•</w:t>
      </w:r>
      <w:r w:rsidRPr="008442C6">
        <w:tab/>
      </w:r>
      <w:r w:rsidR="00BD77CC" w:rsidRPr="008442C6">
        <w:t xml:space="preserve">Number of foreign residents: 374.459 (Source: Ministry of Justice). </w:t>
      </w:r>
    </w:p>
    <w:p w:rsidR="00BD77CC" w:rsidRPr="008442C6" w:rsidRDefault="00BD77CC" w:rsidP="007B0A56">
      <w:pPr>
        <w:pStyle w:val="H1G"/>
      </w:pPr>
      <w:r w:rsidRPr="008442C6">
        <w:tab/>
      </w:r>
      <w:r w:rsidRPr="008442C6">
        <w:tab/>
        <w:t>Reply to paragraph 15</w:t>
      </w:r>
      <w:r w:rsidR="00501204" w:rsidRPr="008442C6">
        <w:t xml:space="preserve"> </w:t>
      </w:r>
      <w:r w:rsidRPr="008442C6">
        <w:t xml:space="preserve">(b) of the list of issues </w:t>
      </w:r>
    </w:p>
    <w:p w:rsidR="00BD77CC" w:rsidRPr="008442C6" w:rsidRDefault="00BD77CC" w:rsidP="009C598B">
      <w:pPr>
        <w:pStyle w:val="SingleTxtG"/>
      </w:pPr>
      <w:r w:rsidRPr="008442C6">
        <w:t>93.</w:t>
      </w:r>
      <w:r w:rsidRPr="008442C6">
        <w:tab/>
        <w:t>Number of married children 16 to 18 years old:</w:t>
      </w:r>
    </w:p>
    <w:p w:rsidR="00BD77CC" w:rsidRPr="008442C6" w:rsidRDefault="00DB6219" w:rsidP="00DB6219">
      <w:pPr>
        <w:pStyle w:val="Bullet1G"/>
        <w:numPr>
          <w:ilvl w:val="0"/>
          <w:numId w:val="0"/>
        </w:numPr>
        <w:tabs>
          <w:tab w:val="left" w:pos="1701"/>
        </w:tabs>
        <w:ind w:left="1701" w:hanging="170"/>
      </w:pPr>
      <w:r w:rsidRPr="008442C6">
        <w:t>•</w:t>
      </w:r>
      <w:r w:rsidRPr="008442C6">
        <w:tab/>
      </w:r>
      <w:r w:rsidR="00BD77CC" w:rsidRPr="008442C6">
        <w:t>2016: 107;</w:t>
      </w:r>
    </w:p>
    <w:p w:rsidR="00BD77CC" w:rsidRPr="008442C6" w:rsidRDefault="00DB6219" w:rsidP="00DB6219">
      <w:pPr>
        <w:pStyle w:val="Bullet1G"/>
        <w:numPr>
          <w:ilvl w:val="0"/>
          <w:numId w:val="0"/>
        </w:numPr>
        <w:tabs>
          <w:tab w:val="left" w:pos="1701"/>
        </w:tabs>
        <w:ind w:left="1701" w:hanging="170"/>
      </w:pPr>
      <w:r w:rsidRPr="008442C6">
        <w:t>•</w:t>
      </w:r>
      <w:r w:rsidRPr="008442C6">
        <w:tab/>
      </w:r>
      <w:r w:rsidR="00BD77CC" w:rsidRPr="008442C6">
        <w:t>2017: 132;</w:t>
      </w:r>
    </w:p>
    <w:p w:rsidR="00BD77CC" w:rsidRPr="008442C6" w:rsidRDefault="00DB6219" w:rsidP="00DB6219">
      <w:pPr>
        <w:pStyle w:val="Bullet1G"/>
        <w:numPr>
          <w:ilvl w:val="0"/>
          <w:numId w:val="0"/>
        </w:numPr>
        <w:tabs>
          <w:tab w:val="left" w:pos="1701"/>
        </w:tabs>
        <w:ind w:left="1701" w:hanging="170"/>
      </w:pPr>
      <w:r w:rsidRPr="008442C6">
        <w:t>•</w:t>
      </w:r>
      <w:r w:rsidRPr="008442C6">
        <w:tab/>
      </w:r>
      <w:r w:rsidR="00BD77CC" w:rsidRPr="008442C6">
        <w:t>2018: 154(Source: Ministry of Justice).</w:t>
      </w:r>
    </w:p>
    <w:p w:rsidR="00BD77CC" w:rsidRPr="008442C6" w:rsidRDefault="00BD77CC" w:rsidP="007B0A56">
      <w:pPr>
        <w:pStyle w:val="H1G"/>
      </w:pPr>
      <w:r w:rsidRPr="008442C6">
        <w:tab/>
      </w:r>
      <w:r w:rsidRPr="008442C6">
        <w:tab/>
        <w:t>Reply to paragraph 15</w:t>
      </w:r>
      <w:r w:rsidR="00501204" w:rsidRPr="008442C6">
        <w:t xml:space="preserve"> </w:t>
      </w:r>
      <w:r w:rsidRPr="008442C6">
        <w:t xml:space="preserve">(c) of the list of issues </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94"/>
        <w:gridCol w:w="1417"/>
        <w:gridCol w:w="1134"/>
        <w:gridCol w:w="1134"/>
        <w:gridCol w:w="991"/>
      </w:tblGrid>
      <w:tr w:rsidR="00666140" w:rsidRPr="008442C6" w:rsidTr="001D427C">
        <w:trPr>
          <w:tblHeader/>
        </w:trPr>
        <w:tc>
          <w:tcPr>
            <w:tcW w:w="2694" w:type="dxa"/>
            <w:vMerge w:val="restart"/>
            <w:tcBorders>
              <w:top w:val="single" w:sz="4" w:space="0" w:color="auto"/>
              <w:bottom w:val="single" w:sz="12" w:space="0" w:color="auto"/>
            </w:tcBorders>
            <w:shd w:val="clear" w:color="auto" w:fill="auto"/>
            <w:vAlign w:val="bottom"/>
          </w:tcPr>
          <w:p w:rsidR="00666140" w:rsidRPr="008442C6" w:rsidRDefault="00666140" w:rsidP="001D427C">
            <w:pPr>
              <w:suppressAutoHyphens w:val="0"/>
              <w:spacing w:before="80" w:after="80" w:line="200" w:lineRule="exact"/>
              <w:ind w:right="113"/>
              <w:rPr>
                <w:i/>
                <w:sz w:val="16"/>
              </w:rPr>
            </w:pPr>
            <w:r w:rsidRPr="008442C6">
              <w:rPr>
                <w:i/>
                <w:sz w:val="16"/>
              </w:rPr>
              <w:t>Crime</w:t>
            </w:r>
          </w:p>
        </w:tc>
        <w:tc>
          <w:tcPr>
            <w:tcW w:w="1417" w:type="dxa"/>
            <w:vMerge w:val="restart"/>
            <w:tcBorders>
              <w:top w:val="single" w:sz="4" w:space="0" w:color="auto"/>
              <w:bottom w:val="single" w:sz="12" w:space="0" w:color="auto"/>
            </w:tcBorders>
            <w:shd w:val="clear" w:color="auto" w:fill="auto"/>
            <w:vAlign w:val="bottom"/>
          </w:tcPr>
          <w:p w:rsidR="00666140" w:rsidRPr="008442C6" w:rsidRDefault="00666140" w:rsidP="001D427C">
            <w:pPr>
              <w:suppressAutoHyphens w:val="0"/>
              <w:spacing w:before="80" w:after="80" w:line="200" w:lineRule="exact"/>
              <w:ind w:right="113"/>
              <w:rPr>
                <w:i/>
                <w:sz w:val="16"/>
              </w:rPr>
            </w:pPr>
            <w:r w:rsidRPr="008442C6">
              <w:rPr>
                <w:i/>
                <w:sz w:val="16"/>
              </w:rPr>
              <w:t>Age</w:t>
            </w:r>
          </w:p>
        </w:tc>
        <w:tc>
          <w:tcPr>
            <w:tcW w:w="3259" w:type="dxa"/>
            <w:gridSpan w:val="3"/>
            <w:tcBorders>
              <w:top w:val="single" w:sz="4" w:space="0" w:color="auto"/>
              <w:bottom w:val="single" w:sz="4" w:space="0" w:color="auto"/>
            </w:tcBorders>
            <w:shd w:val="clear" w:color="auto" w:fill="auto"/>
            <w:vAlign w:val="bottom"/>
          </w:tcPr>
          <w:p w:rsidR="00666140" w:rsidRPr="008442C6" w:rsidRDefault="00666140" w:rsidP="001D427C">
            <w:pPr>
              <w:suppressAutoHyphens w:val="0"/>
              <w:spacing w:before="80" w:after="80" w:line="200" w:lineRule="exact"/>
              <w:ind w:right="113"/>
              <w:jc w:val="right"/>
              <w:rPr>
                <w:i/>
                <w:sz w:val="16"/>
              </w:rPr>
            </w:pPr>
            <w:r w:rsidRPr="008442C6">
              <w:rPr>
                <w:i/>
                <w:sz w:val="16"/>
              </w:rPr>
              <w:t>Number of persons injured/offended</w:t>
            </w:r>
          </w:p>
        </w:tc>
      </w:tr>
      <w:tr w:rsidR="00666140" w:rsidRPr="008442C6" w:rsidTr="00501204">
        <w:trPr>
          <w:tblHeader/>
        </w:trPr>
        <w:tc>
          <w:tcPr>
            <w:tcW w:w="2694" w:type="dxa"/>
            <w:vMerge/>
            <w:tcBorders>
              <w:top w:val="nil"/>
              <w:bottom w:val="single" w:sz="12" w:space="0" w:color="auto"/>
            </w:tcBorders>
            <w:shd w:val="clear" w:color="auto" w:fill="auto"/>
            <w:vAlign w:val="bottom"/>
          </w:tcPr>
          <w:p w:rsidR="00666140" w:rsidRPr="008442C6" w:rsidRDefault="00666140" w:rsidP="001D427C">
            <w:pPr>
              <w:suppressAutoHyphens w:val="0"/>
              <w:spacing w:before="40" w:after="40" w:line="220" w:lineRule="exact"/>
              <w:ind w:right="113"/>
              <w:rPr>
                <w:i/>
                <w:iCs/>
                <w:sz w:val="18"/>
                <w:szCs w:val="16"/>
              </w:rPr>
            </w:pPr>
          </w:p>
        </w:tc>
        <w:tc>
          <w:tcPr>
            <w:tcW w:w="1417" w:type="dxa"/>
            <w:vMerge/>
            <w:tcBorders>
              <w:top w:val="nil"/>
              <w:bottom w:val="single" w:sz="12" w:space="0" w:color="auto"/>
            </w:tcBorders>
            <w:shd w:val="clear" w:color="auto" w:fill="auto"/>
            <w:vAlign w:val="bottom"/>
          </w:tcPr>
          <w:p w:rsidR="00666140" w:rsidRPr="008442C6" w:rsidRDefault="00666140" w:rsidP="001D427C">
            <w:pPr>
              <w:suppressAutoHyphens w:val="0"/>
              <w:spacing w:before="40" w:after="40" w:line="220" w:lineRule="exact"/>
              <w:ind w:right="113"/>
              <w:jc w:val="right"/>
              <w:rPr>
                <w:i/>
                <w:iCs/>
                <w:sz w:val="18"/>
                <w:szCs w:val="16"/>
              </w:rPr>
            </w:pPr>
          </w:p>
        </w:tc>
        <w:tc>
          <w:tcPr>
            <w:tcW w:w="1134" w:type="dxa"/>
            <w:tcBorders>
              <w:top w:val="single" w:sz="4" w:space="0" w:color="auto"/>
              <w:bottom w:val="single" w:sz="12" w:space="0" w:color="auto"/>
            </w:tcBorders>
            <w:shd w:val="clear" w:color="auto" w:fill="auto"/>
            <w:vAlign w:val="bottom"/>
          </w:tcPr>
          <w:p w:rsidR="00666140" w:rsidRPr="008442C6" w:rsidRDefault="00666140" w:rsidP="001D427C">
            <w:pPr>
              <w:suppressAutoHyphens w:val="0"/>
              <w:spacing w:before="80" w:after="80" w:line="200" w:lineRule="exact"/>
              <w:ind w:right="113"/>
              <w:jc w:val="right"/>
              <w:rPr>
                <w:i/>
                <w:iCs/>
                <w:sz w:val="16"/>
                <w:szCs w:val="16"/>
              </w:rPr>
            </w:pPr>
            <w:r w:rsidRPr="008442C6">
              <w:rPr>
                <w:i/>
                <w:iCs/>
                <w:sz w:val="16"/>
                <w:szCs w:val="16"/>
              </w:rPr>
              <w:t>2018</w:t>
            </w:r>
          </w:p>
        </w:tc>
        <w:tc>
          <w:tcPr>
            <w:tcW w:w="1134" w:type="dxa"/>
            <w:tcBorders>
              <w:top w:val="single" w:sz="4" w:space="0" w:color="auto"/>
              <w:bottom w:val="single" w:sz="12" w:space="0" w:color="auto"/>
            </w:tcBorders>
            <w:shd w:val="clear" w:color="auto" w:fill="auto"/>
            <w:vAlign w:val="bottom"/>
          </w:tcPr>
          <w:p w:rsidR="00666140" w:rsidRPr="008442C6" w:rsidRDefault="00666140" w:rsidP="001D427C">
            <w:pPr>
              <w:suppressAutoHyphens w:val="0"/>
              <w:spacing w:before="80" w:after="80" w:line="200" w:lineRule="exact"/>
              <w:ind w:right="113"/>
              <w:jc w:val="right"/>
              <w:rPr>
                <w:i/>
                <w:iCs/>
                <w:sz w:val="16"/>
                <w:szCs w:val="16"/>
              </w:rPr>
            </w:pPr>
            <w:r w:rsidRPr="008442C6">
              <w:rPr>
                <w:i/>
                <w:iCs/>
                <w:sz w:val="16"/>
                <w:szCs w:val="16"/>
              </w:rPr>
              <w:t>2017</w:t>
            </w:r>
          </w:p>
        </w:tc>
        <w:tc>
          <w:tcPr>
            <w:tcW w:w="991" w:type="dxa"/>
            <w:tcBorders>
              <w:top w:val="single" w:sz="4" w:space="0" w:color="auto"/>
              <w:bottom w:val="single" w:sz="12" w:space="0" w:color="auto"/>
            </w:tcBorders>
            <w:shd w:val="clear" w:color="auto" w:fill="auto"/>
            <w:vAlign w:val="bottom"/>
          </w:tcPr>
          <w:p w:rsidR="00666140" w:rsidRPr="008442C6" w:rsidRDefault="00666140" w:rsidP="001D427C">
            <w:pPr>
              <w:suppressAutoHyphens w:val="0"/>
              <w:spacing w:before="80" w:after="80" w:line="200" w:lineRule="exact"/>
              <w:ind w:right="113"/>
              <w:jc w:val="right"/>
              <w:rPr>
                <w:i/>
                <w:iCs/>
                <w:sz w:val="16"/>
                <w:szCs w:val="16"/>
              </w:rPr>
            </w:pPr>
            <w:r w:rsidRPr="008442C6">
              <w:rPr>
                <w:i/>
                <w:iCs/>
                <w:sz w:val="16"/>
                <w:szCs w:val="16"/>
              </w:rPr>
              <w:t>2016</w:t>
            </w:r>
          </w:p>
        </w:tc>
      </w:tr>
      <w:tr w:rsidR="00766012" w:rsidRPr="008442C6" w:rsidTr="00501204">
        <w:tc>
          <w:tcPr>
            <w:tcW w:w="2694" w:type="dxa"/>
            <w:tcBorders>
              <w:top w:val="single" w:sz="12" w:space="0" w:color="auto"/>
            </w:tcBorders>
            <w:shd w:val="clear" w:color="auto" w:fill="auto"/>
          </w:tcPr>
          <w:p w:rsidR="00BD77CC" w:rsidRPr="008442C6" w:rsidRDefault="00BD77CC" w:rsidP="001D427C">
            <w:pPr>
              <w:suppressAutoHyphens w:val="0"/>
              <w:spacing w:before="40" w:after="40" w:line="220" w:lineRule="exact"/>
              <w:ind w:right="113"/>
              <w:rPr>
                <w:sz w:val="18"/>
              </w:rPr>
            </w:pPr>
            <w:r w:rsidRPr="008442C6">
              <w:rPr>
                <w:sz w:val="18"/>
              </w:rPr>
              <w:t>Discrimination and incitement to hate and violence (article 240 Penal Code)</w:t>
            </w:r>
          </w:p>
        </w:tc>
        <w:tc>
          <w:tcPr>
            <w:tcW w:w="1417" w:type="dxa"/>
            <w:tcBorders>
              <w:top w:val="single" w:sz="12" w:space="0" w:color="auto"/>
            </w:tcBorders>
            <w:shd w:val="clear" w:color="auto" w:fill="auto"/>
            <w:vAlign w:val="bottom"/>
          </w:tcPr>
          <w:p w:rsidR="00BD77CC" w:rsidRPr="008442C6" w:rsidRDefault="00BD77CC" w:rsidP="001D427C">
            <w:pPr>
              <w:suppressAutoHyphens w:val="0"/>
              <w:spacing w:before="40" w:after="40" w:line="220" w:lineRule="exact"/>
              <w:ind w:right="113"/>
              <w:rPr>
                <w:sz w:val="18"/>
              </w:rPr>
            </w:pPr>
            <w:r w:rsidRPr="008442C6">
              <w:rPr>
                <w:sz w:val="18"/>
              </w:rPr>
              <w:t>Up to 16 years</w:t>
            </w:r>
          </w:p>
        </w:tc>
        <w:tc>
          <w:tcPr>
            <w:tcW w:w="1134" w:type="dxa"/>
            <w:tcBorders>
              <w:top w:val="single" w:sz="12" w:space="0" w:color="auto"/>
            </w:tcBorders>
            <w:shd w:val="clear" w:color="auto" w:fill="auto"/>
            <w:vAlign w:val="bottom"/>
          </w:tcPr>
          <w:p w:rsidR="00BD77CC" w:rsidRPr="008442C6" w:rsidRDefault="00BD77CC" w:rsidP="001D427C">
            <w:pPr>
              <w:suppressAutoHyphens w:val="0"/>
              <w:spacing w:before="40" w:after="40" w:line="220" w:lineRule="exact"/>
              <w:ind w:right="113"/>
              <w:jc w:val="right"/>
              <w:rPr>
                <w:sz w:val="18"/>
              </w:rPr>
            </w:pPr>
            <w:r w:rsidRPr="008442C6">
              <w:rPr>
                <w:sz w:val="18"/>
              </w:rPr>
              <w:t>9</w:t>
            </w:r>
          </w:p>
        </w:tc>
        <w:tc>
          <w:tcPr>
            <w:tcW w:w="1134" w:type="dxa"/>
            <w:tcBorders>
              <w:top w:val="single" w:sz="12" w:space="0" w:color="auto"/>
            </w:tcBorders>
            <w:shd w:val="clear" w:color="auto" w:fill="auto"/>
            <w:vAlign w:val="bottom"/>
          </w:tcPr>
          <w:p w:rsidR="00BD77CC" w:rsidRPr="008442C6" w:rsidRDefault="00BD77CC" w:rsidP="001D427C">
            <w:pPr>
              <w:suppressAutoHyphens w:val="0"/>
              <w:spacing w:before="40" w:after="40" w:line="220" w:lineRule="exact"/>
              <w:ind w:right="113"/>
              <w:jc w:val="right"/>
              <w:rPr>
                <w:sz w:val="18"/>
              </w:rPr>
            </w:pPr>
            <w:r w:rsidRPr="008442C6">
              <w:rPr>
                <w:sz w:val="18"/>
              </w:rPr>
              <w:t>-</w:t>
            </w:r>
          </w:p>
        </w:tc>
        <w:tc>
          <w:tcPr>
            <w:tcW w:w="991" w:type="dxa"/>
            <w:tcBorders>
              <w:top w:val="single" w:sz="12" w:space="0" w:color="auto"/>
            </w:tcBorders>
            <w:shd w:val="clear" w:color="auto" w:fill="auto"/>
            <w:vAlign w:val="bottom"/>
          </w:tcPr>
          <w:p w:rsidR="00BD77CC" w:rsidRPr="008442C6" w:rsidRDefault="00BD77CC" w:rsidP="001D427C">
            <w:pPr>
              <w:suppressAutoHyphens w:val="0"/>
              <w:spacing w:before="40" w:after="40" w:line="220" w:lineRule="exact"/>
              <w:ind w:right="113"/>
              <w:jc w:val="right"/>
              <w:rPr>
                <w:sz w:val="18"/>
              </w:rPr>
            </w:pPr>
            <w:r w:rsidRPr="008442C6">
              <w:rPr>
                <w:sz w:val="18"/>
              </w:rPr>
              <w:t>-</w:t>
            </w:r>
          </w:p>
        </w:tc>
      </w:tr>
      <w:tr w:rsidR="00766012" w:rsidRPr="008442C6" w:rsidTr="001D427C">
        <w:tc>
          <w:tcPr>
            <w:tcW w:w="2694" w:type="dxa"/>
            <w:shd w:val="clear" w:color="auto" w:fill="auto"/>
          </w:tcPr>
          <w:p w:rsidR="00BD77CC" w:rsidRPr="008442C6" w:rsidRDefault="00BD77CC" w:rsidP="001D427C">
            <w:pPr>
              <w:suppressAutoHyphens w:val="0"/>
              <w:spacing w:before="40" w:after="40" w:line="220" w:lineRule="exact"/>
              <w:ind w:right="113"/>
              <w:rPr>
                <w:sz w:val="18"/>
              </w:rPr>
            </w:pPr>
          </w:p>
        </w:tc>
        <w:tc>
          <w:tcPr>
            <w:tcW w:w="1417" w:type="dxa"/>
            <w:shd w:val="clear" w:color="auto" w:fill="auto"/>
            <w:vAlign w:val="bottom"/>
          </w:tcPr>
          <w:p w:rsidR="00BD77CC" w:rsidRPr="008442C6" w:rsidRDefault="00BD77CC" w:rsidP="001D427C">
            <w:pPr>
              <w:suppressAutoHyphens w:val="0"/>
              <w:spacing w:before="40" w:after="40" w:line="220" w:lineRule="exact"/>
              <w:ind w:right="113"/>
              <w:rPr>
                <w:sz w:val="18"/>
              </w:rPr>
            </w:pPr>
            <w:r w:rsidRPr="008442C6">
              <w:rPr>
                <w:sz w:val="18"/>
              </w:rPr>
              <w:t>16 to 24 years</w:t>
            </w:r>
          </w:p>
        </w:tc>
        <w:tc>
          <w:tcPr>
            <w:tcW w:w="1134" w:type="dxa"/>
            <w:shd w:val="clear" w:color="auto" w:fill="auto"/>
            <w:vAlign w:val="bottom"/>
          </w:tcPr>
          <w:p w:rsidR="00BD77CC" w:rsidRPr="008442C6" w:rsidRDefault="00BD77CC" w:rsidP="001D427C">
            <w:pPr>
              <w:suppressAutoHyphens w:val="0"/>
              <w:spacing w:before="40" w:after="40" w:line="220" w:lineRule="exact"/>
              <w:ind w:right="113"/>
              <w:jc w:val="right"/>
              <w:rPr>
                <w:sz w:val="18"/>
              </w:rPr>
            </w:pPr>
            <w:r w:rsidRPr="008442C6">
              <w:rPr>
                <w:sz w:val="18"/>
              </w:rPr>
              <w:t>8</w:t>
            </w:r>
          </w:p>
        </w:tc>
        <w:tc>
          <w:tcPr>
            <w:tcW w:w="1134" w:type="dxa"/>
            <w:shd w:val="clear" w:color="auto" w:fill="auto"/>
            <w:vAlign w:val="bottom"/>
          </w:tcPr>
          <w:p w:rsidR="00BD77CC" w:rsidRPr="008442C6" w:rsidRDefault="00BD77CC" w:rsidP="001D427C">
            <w:pPr>
              <w:suppressAutoHyphens w:val="0"/>
              <w:spacing w:before="40" w:after="40" w:line="220" w:lineRule="exact"/>
              <w:ind w:right="113"/>
              <w:jc w:val="right"/>
              <w:rPr>
                <w:sz w:val="18"/>
              </w:rPr>
            </w:pPr>
            <w:r w:rsidRPr="008442C6">
              <w:rPr>
                <w:sz w:val="18"/>
              </w:rPr>
              <w:t>7</w:t>
            </w:r>
          </w:p>
        </w:tc>
        <w:tc>
          <w:tcPr>
            <w:tcW w:w="991" w:type="dxa"/>
            <w:shd w:val="clear" w:color="auto" w:fill="auto"/>
            <w:vAlign w:val="bottom"/>
          </w:tcPr>
          <w:p w:rsidR="00BD77CC" w:rsidRPr="008442C6" w:rsidRDefault="00BD77CC" w:rsidP="001D427C">
            <w:pPr>
              <w:suppressAutoHyphens w:val="0"/>
              <w:spacing w:before="40" w:after="40" w:line="220" w:lineRule="exact"/>
              <w:ind w:right="113"/>
              <w:jc w:val="right"/>
              <w:rPr>
                <w:sz w:val="18"/>
              </w:rPr>
            </w:pPr>
            <w:r w:rsidRPr="008442C6">
              <w:rPr>
                <w:sz w:val="18"/>
              </w:rPr>
              <w:t>5</w:t>
            </w:r>
          </w:p>
        </w:tc>
      </w:tr>
    </w:tbl>
    <w:p w:rsidR="00BD77CC" w:rsidRPr="008442C6" w:rsidRDefault="00BD77CC" w:rsidP="00CB202D">
      <w:pPr>
        <w:spacing w:before="120"/>
        <w:ind w:left="1134" w:right="1134" w:firstLine="170"/>
        <w:rPr>
          <w:sz w:val="18"/>
          <w:szCs w:val="18"/>
        </w:rPr>
      </w:pPr>
      <w:r w:rsidRPr="008442C6">
        <w:rPr>
          <w:i/>
          <w:iCs/>
          <w:sz w:val="18"/>
          <w:szCs w:val="18"/>
        </w:rPr>
        <w:t>Last update</w:t>
      </w:r>
      <w:r w:rsidR="00A22E38" w:rsidRPr="008442C6">
        <w:rPr>
          <w:sz w:val="18"/>
          <w:szCs w:val="18"/>
        </w:rPr>
        <w:t>: 27/03/2019.</w:t>
      </w:r>
    </w:p>
    <w:p w:rsidR="00BD77CC" w:rsidRPr="008442C6" w:rsidRDefault="00BD77CC" w:rsidP="009712D8">
      <w:pPr>
        <w:spacing w:after="240"/>
        <w:ind w:left="1134" w:right="1134" w:firstLine="170"/>
        <w:rPr>
          <w:sz w:val="18"/>
          <w:szCs w:val="18"/>
        </w:rPr>
      </w:pPr>
      <w:r w:rsidRPr="008442C6">
        <w:rPr>
          <w:i/>
          <w:iCs/>
          <w:sz w:val="18"/>
          <w:szCs w:val="18"/>
        </w:rPr>
        <w:t>Source</w:t>
      </w:r>
      <w:r w:rsidR="00A22E38" w:rsidRPr="008442C6">
        <w:rPr>
          <w:sz w:val="18"/>
          <w:szCs w:val="18"/>
        </w:rPr>
        <w:t>: Ministry of Justice.</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00"/>
        <w:gridCol w:w="1087"/>
        <w:gridCol w:w="991"/>
        <w:gridCol w:w="992"/>
      </w:tblGrid>
      <w:tr w:rsidR="00BD77CC" w:rsidRPr="008442C6" w:rsidTr="00666140">
        <w:trPr>
          <w:tblHeader/>
        </w:trPr>
        <w:tc>
          <w:tcPr>
            <w:tcW w:w="4300" w:type="dxa"/>
            <w:vMerge w:val="restart"/>
            <w:tcBorders>
              <w:top w:val="single" w:sz="4" w:space="0" w:color="auto"/>
              <w:bottom w:val="single" w:sz="12" w:space="0" w:color="auto"/>
            </w:tcBorders>
            <w:shd w:val="clear" w:color="auto" w:fill="auto"/>
            <w:vAlign w:val="bottom"/>
          </w:tcPr>
          <w:p w:rsidR="00BD77CC" w:rsidRPr="008442C6" w:rsidRDefault="00BD77CC" w:rsidP="00666140">
            <w:pPr>
              <w:suppressAutoHyphens w:val="0"/>
              <w:spacing w:before="80" w:after="80" w:line="200" w:lineRule="exact"/>
              <w:ind w:right="113"/>
              <w:rPr>
                <w:i/>
                <w:sz w:val="16"/>
              </w:rPr>
            </w:pPr>
            <w:r w:rsidRPr="008442C6">
              <w:rPr>
                <w:i/>
                <w:sz w:val="16"/>
              </w:rPr>
              <w:t>Crimes recorded by the criminal police bodies</w:t>
            </w:r>
          </w:p>
        </w:tc>
        <w:tc>
          <w:tcPr>
            <w:tcW w:w="3070" w:type="dxa"/>
            <w:gridSpan w:val="3"/>
            <w:tcBorders>
              <w:top w:val="single" w:sz="4" w:space="0" w:color="auto"/>
              <w:bottom w:val="single" w:sz="4" w:space="0" w:color="auto"/>
            </w:tcBorders>
            <w:shd w:val="clear" w:color="auto" w:fill="auto"/>
            <w:vAlign w:val="bottom"/>
          </w:tcPr>
          <w:p w:rsidR="00BD77CC" w:rsidRPr="008442C6" w:rsidRDefault="00BD77CC" w:rsidP="00666140">
            <w:pPr>
              <w:suppressAutoHyphens w:val="0"/>
              <w:spacing w:before="80" w:after="80" w:line="200" w:lineRule="exact"/>
              <w:ind w:right="113"/>
              <w:jc w:val="center"/>
              <w:rPr>
                <w:i/>
                <w:sz w:val="16"/>
              </w:rPr>
            </w:pPr>
            <w:r w:rsidRPr="008442C6">
              <w:rPr>
                <w:i/>
                <w:sz w:val="16"/>
              </w:rPr>
              <w:t>Number of crimes</w:t>
            </w:r>
          </w:p>
        </w:tc>
      </w:tr>
      <w:tr w:rsidR="00BD77CC" w:rsidRPr="008442C6" w:rsidTr="001D427C">
        <w:trPr>
          <w:tblHeader/>
        </w:trPr>
        <w:tc>
          <w:tcPr>
            <w:tcW w:w="4300" w:type="dxa"/>
            <w:vMerge/>
            <w:tcBorders>
              <w:top w:val="single" w:sz="12" w:space="0" w:color="auto"/>
              <w:bottom w:val="single" w:sz="12" w:space="0" w:color="auto"/>
            </w:tcBorders>
            <w:shd w:val="clear" w:color="auto" w:fill="auto"/>
            <w:vAlign w:val="bottom"/>
          </w:tcPr>
          <w:p w:rsidR="00BD77CC" w:rsidRPr="008442C6" w:rsidRDefault="00BD77CC" w:rsidP="00666140">
            <w:pPr>
              <w:suppressAutoHyphens w:val="0"/>
              <w:spacing w:before="40" w:after="40" w:line="220" w:lineRule="exact"/>
              <w:ind w:right="113"/>
              <w:rPr>
                <w:sz w:val="18"/>
              </w:rPr>
            </w:pPr>
          </w:p>
        </w:tc>
        <w:tc>
          <w:tcPr>
            <w:tcW w:w="1087" w:type="dxa"/>
            <w:tcBorders>
              <w:top w:val="single" w:sz="4" w:space="0" w:color="auto"/>
              <w:bottom w:val="single" w:sz="12" w:space="0" w:color="auto"/>
            </w:tcBorders>
            <w:shd w:val="clear" w:color="auto" w:fill="auto"/>
            <w:vAlign w:val="bottom"/>
          </w:tcPr>
          <w:p w:rsidR="00BD77CC" w:rsidRPr="008442C6" w:rsidRDefault="00BD77CC" w:rsidP="00666140">
            <w:pPr>
              <w:suppressAutoHyphens w:val="0"/>
              <w:spacing w:before="80" w:after="80" w:line="200" w:lineRule="exact"/>
              <w:ind w:right="113"/>
              <w:jc w:val="right"/>
              <w:rPr>
                <w:i/>
                <w:iCs/>
                <w:sz w:val="16"/>
                <w:szCs w:val="16"/>
              </w:rPr>
            </w:pPr>
            <w:r w:rsidRPr="008442C6">
              <w:rPr>
                <w:i/>
                <w:iCs/>
                <w:sz w:val="16"/>
                <w:szCs w:val="16"/>
              </w:rPr>
              <w:t>2018</w:t>
            </w:r>
          </w:p>
        </w:tc>
        <w:tc>
          <w:tcPr>
            <w:tcW w:w="991" w:type="dxa"/>
            <w:tcBorders>
              <w:top w:val="single" w:sz="4" w:space="0" w:color="auto"/>
              <w:bottom w:val="single" w:sz="12" w:space="0" w:color="auto"/>
            </w:tcBorders>
            <w:shd w:val="clear" w:color="auto" w:fill="auto"/>
            <w:vAlign w:val="bottom"/>
          </w:tcPr>
          <w:p w:rsidR="00BD77CC" w:rsidRPr="008442C6" w:rsidRDefault="00BD77CC" w:rsidP="00666140">
            <w:pPr>
              <w:suppressAutoHyphens w:val="0"/>
              <w:spacing w:before="80" w:after="80" w:line="200" w:lineRule="exact"/>
              <w:ind w:right="113"/>
              <w:jc w:val="right"/>
              <w:rPr>
                <w:i/>
                <w:iCs/>
                <w:sz w:val="16"/>
                <w:szCs w:val="16"/>
              </w:rPr>
            </w:pPr>
            <w:r w:rsidRPr="008442C6">
              <w:rPr>
                <w:i/>
                <w:iCs/>
                <w:sz w:val="16"/>
                <w:szCs w:val="16"/>
              </w:rPr>
              <w:t>2017</w:t>
            </w:r>
          </w:p>
        </w:tc>
        <w:tc>
          <w:tcPr>
            <w:tcW w:w="992" w:type="dxa"/>
            <w:tcBorders>
              <w:top w:val="single" w:sz="4" w:space="0" w:color="auto"/>
              <w:bottom w:val="single" w:sz="12" w:space="0" w:color="auto"/>
            </w:tcBorders>
            <w:shd w:val="clear" w:color="auto" w:fill="auto"/>
            <w:vAlign w:val="bottom"/>
          </w:tcPr>
          <w:p w:rsidR="00BD77CC" w:rsidRPr="008442C6" w:rsidRDefault="00BD77CC" w:rsidP="00666140">
            <w:pPr>
              <w:suppressAutoHyphens w:val="0"/>
              <w:spacing w:before="80" w:after="80" w:line="200" w:lineRule="exact"/>
              <w:ind w:right="113"/>
              <w:jc w:val="right"/>
              <w:rPr>
                <w:i/>
                <w:iCs/>
                <w:sz w:val="16"/>
                <w:szCs w:val="16"/>
              </w:rPr>
            </w:pPr>
            <w:r w:rsidRPr="008442C6">
              <w:rPr>
                <w:i/>
                <w:iCs/>
                <w:sz w:val="16"/>
                <w:szCs w:val="16"/>
              </w:rPr>
              <w:t>2016</w:t>
            </w:r>
          </w:p>
        </w:tc>
      </w:tr>
      <w:tr w:rsidR="00BD77CC" w:rsidRPr="008442C6" w:rsidTr="001D427C">
        <w:tc>
          <w:tcPr>
            <w:tcW w:w="4300" w:type="dxa"/>
            <w:tcBorders>
              <w:top w:val="single" w:sz="12" w:space="0" w:color="auto"/>
            </w:tcBorders>
            <w:shd w:val="clear" w:color="auto" w:fill="auto"/>
          </w:tcPr>
          <w:p w:rsidR="00BD77CC" w:rsidRPr="008442C6" w:rsidRDefault="00BD77CC" w:rsidP="00666140">
            <w:pPr>
              <w:suppressAutoHyphens w:val="0"/>
              <w:spacing w:before="40" w:after="40" w:line="220" w:lineRule="exact"/>
              <w:ind w:right="113"/>
              <w:rPr>
                <w:sz w:val="18"/>
              </w:rPr>
            </w:pPr>
            <w:r w:rsidRPr="008442C6">
              <w:rPr>
                <w:sz w:val="18"/>
              </w:rPr>
              <w:t>Discrimination and incitement to hate and violence (article 240 Penal Code)</w:t>
            </w:r>
          </w:p>
        </w:tc>
        <w:tc>
          <w:tcPr>
            <w:tcW w:w="1087" w:type="dxa"/>
            <w:tcBorders>
              <w:top w:val="single" w:sz="12" w:space="0" w:color="auto"/>
            </w:tcBorders>
            <w:shd w:val="clear" w:color="auto" w:fill="auto"/>
            <w:vAlign w:val="bottom"/>
          </w:tcPr>
          <w:p w:rsidR="00BD77CC" w:rsidRPr="008442C6" w:rsidRDefault="00BD77CC" w:rsidP="00666140">
            <w:pPr>
              <w:suppressAutoHyphens w:val="0"/>
              <w:spacing w:before="40" w:after="40" w:line="220" w:lineRule="exact"/>
              <w:ind w:right="113"/>
              <w:jc w:val="right"/>
              <w:rPr>
                <w:sz w:val="18"/>
              </w:rPr>
            </w:pPr>
            <w:r w:rsidRPr="008442C6">
              <w:rPr>
                <w:sz w:val="18"/>
              </w:rPr>
              <w:t>63</w:t>
            </w:r>
          </w:p>
        </w:tc>
        <w:tc>
          <w:tcPr>
            <w:tcW w:w="991" w:type="dxa"/>
            <w:tcBorders>
              <w:top w:val="single" w:sz="12" w:space="0" w:color="auto"/>
            </w:tcBorders>
            <w:shd w:val="clear" w:color="auto" w:fill="auto"/>
            <w:vAlign w:val="bottom"/>
          </w:tcPr>
          <w:p w:rsidR="00BD77CC" w:rsidRPr="008442C6" w:rsidRDefault="00BD77CC" w:rsidP="00666140">
            <w:pPr>
              <w:suppressAutoHyphens w:val="0"/>
              <w:spacing w:before="40" w:after="40" w:line="220" w:lineRule="exact"/>
              <w:ind w:right="113"/>
              <w:jc w:val="right"/>
              <w:rPr>
                <w:sz w:val="18"/>
              </w:rPr>
            </w:pPr>
            <w:r w:rsidRPr="008442C6">
              <w:rPr>
                <w:sz w:val="18"/>
              </w:rPr>
              <w:t>48</w:t>
            </w:r>
          </w:p>
        </w:tc>
        <w:tc>
          <w:tcPr>
            <w:tcW w:w="992" w:type="dxa"/>
            <w:tcBorders>
              <w:top w:val="single" w:sz="12" w:space="0" w:color="auto"/>
            </w:tcBorders>
            <w:shd w:val="clear" w:color="auto" w:fill="auto"/>
            <w:vAlign w:val="bottom"/>
          </w:tcPr>
          <w:p w:rsidR="00BD77CC" w:rsidRPr="008442C6" w:rsidRDefault="00BD77CC" w:rsidP="00666140">
            <w:pPr>
              <w:suppressAutoHyphens w:val="0"/>
              <w:spacing w:before="40" w:after="40" w:line="220" w:lineRule="exact"/>
              <w:ind w:right="113"/>
              <w:jc w:val="right"/>
              <w:rPr>
                <w:sz w:val="18"/>
              </w:rPr>
            </w:pPr>
            <w:r w:rsidRPr="008442C6">
              <w:rPr>
                <w:sz w:val="18"/>
              </w:rPr>
              <w:t>25</w:t>
            </w:r>
          </w:p>
        </w:tc>
      </w:tr>
    </w:tbl>
    <w:p w:rsidR="00BD77CC" w:rsidRPr="008442C6" w:rsidRDefault="00BD77CC" w:rsidP="00CB202D">
      <w:pPr>
        <w:spacing w:before="120"/>
        <w:ind w:left="1134" w:right="1134" w:firstLine="170"/>
        <w:rPr>
          <w:sz w:val="18"/>
          <w:szCs w:val="18"/>
        </w:rPr>
      </w:pPr>
      <w:r w:rsidRPr="008442C6">
        <w:rPr>
          <w:i/>
          <w:iCs/>
          <w:sz w:val="18"/>
          <w:szCs w:val="18"/>
        </w:rPr>
        <w:t>Last update</w:t>
      </w:r>
      <w:r w:rsidR="00422648" w:rsidRPr="008442C6">
        <w:rPr>
          <w:sz w:val="18"/>
          <w:szCs w:val="18"/>
        </w:rPr>
        <w:t>: 27/03/2019.</w:t>
      </w:r>
    </w:p>
    <w:p w:rsidR="00BD77CC" w:rsidRPr="008442C6" w:rsidRDefault="00BD77CC" w:rsidP="00422648">
      <w:pPr>
        <w:spacing w:after="240"/>
        <w:ind w:left="1134" w:right="1134" w:firstLine="170"/>
        <w:rPr>
          <w:sz w:val="18"/>
          <w:szCs w:val="18"/>
        </w:rPr>
      </w:pPr>
      <w:r w:rsidRPr="008442C6">
        <w:rPr>
          <w:i/>
          <w:iCs/>
          <w:sz w:val="18"/>
          <w:szCs w:val="18"/>
        </w:rPr>
        <w:t>Source</w:t>
      </w:r>
      <w:r w:rsidRPr="008442C6">
        <w:rPr>
          <w:sz w:val="18"/>
          <w:szCs w:val="18"/>
        </w:rPr>
        <w:t xml:space="preserve">: </w:t>
      </w:r>
      <w:r w:rsidRPr="008442C6">
        <w:rPr>
          <w:i/>
          <w:iCs/>
          <w:sz w:val="18"/>
          <w:szCs w:val="18"/>
        </w:rPr>
        <w:t>Ministry</w:t>
      </w:r>
      <w:r w:rsidR="00422648" w:rsidRPr="008442C6">
        <w:rPr>
          <w:sz w:val="18"/>
          <w:szCs w:val="18"/>
        </w:rPr>
        <w:t xml:space="preserve"> of Justice.</w:t>
      </w:r>
    </w:p>
    <w:p w:rsidR="00BD77CC" w:rsidRPr="008442C6" w:rsidRDefault="00BD77CC" w:rsidP="00422648">
      <w:pPr>
        <w:pStyle w:val="H1G"/>
      </w:pPr>
      <w:r w:rsidRPr="008442C6">
        <w:tab/>
      </w:r>
      <w:r w:rsidRPr="008442C6">
        <w:tab/>
        <w:t>Reply to paragraph 15</w:t>
      </w:r>
      <w:r w:rsidR="009F130B">
        <w:t xml:space="preserve"> </w:t>
      </w:r>
      <w:r w:rsidRPr="008442C6">
        <w:t xml:space="preserve">(d), (e) and (f) of the list of issues </w:t>
      </w:r>
    </w:p>
    <w:p w:rsidR="00BD77CC" w:rsidRPr="008442C6" w:rsidRDefault="00BD77CC" w:rsidP="009C598B">
      <w:pPr>
        <w:pStyle w:val="SingleTxtG"/>
      </w:pPr>
      <w:r w:rsidRPr="008442C6">
        <w:t>95.</w:t>
      </w:r>
      <w:r w:rsidRPr="008442C6">
        <w:tab/>
        <w:t>Number of children (above the age of 16) who have changed their name and gender:</w:t>
      </w:r>
    </w:p>
    <w:p w:rsidR="00BD77CC" w:rsidRPr="008442C6" w:rsidRDefault="00DB6219" w:rsidP="00DB6219">
      <w:pPr>
        <w:pStyle w:val="Bullet1G"/>
        <w:numPr>
          <w:ilvl w:val="0"/>
          <w:numId w:val="0"/>
        </w:numPr>
        <w:tabs>
          <w:tab w:val="left" w:pos="1701"/>
        </w:tabs>
        <w:ind w:left="1701" w:hanging="170"/>
      </w:pPr>
      <w:r w:rsidRPr="008442C6">
        <w:t>•</w:t>
      </w:r>
      <w:r w:rsidRPr="008442C6">
        <w:tab/>
      </w:r>
      <w:r w:rsidR="00BD77CC" w:rsidRPr="008442C6">
        <w:t>2016: 0;</w:t>
      </w:r>
    </w:p>
    <w:p w:rsidR="00BD77CC" w:rsidRPr="008442C6" w:rsidRDefault="00DB6219" w:rsidP="00DB6219">
      <w:pPr>
        <w:pStyle w:val="Bullet1G"/>
        <w:numPr>
          <w:ilvl w:val="0"/>
          <w:numId w:val="0"/>
        </w:numPr>
        <w:tabs>
          <w:tab w:val="left" w:pos="1701"/>
        </w:tabs>
        <w:ind w:left="1701" w:hanging="170"/>
      </w:pPr>
      <w:r w:rsidRPr="008442C6">
        <w:t>•</w:t>
      </w:r>
      <w:r w:rsidRPr="008442C6">
        <w:tab/>
      </w:r>
      <w:r w:rsidR="00BD77CC" w:rsidRPr="008442C6">
        <w:t>2017: 0;</w:t>
      </w:r>
    </w:p>
    <w:p w:rsidR="00BD77CC" w:rsidRPr="008442C6" w:rsidRDefault="00DB6219" w:rsidP="00DB6219">
      <w:pPr>
        <w:pStyle w:val="Bullet1G"/>
        <w:numPr>
          <w:ilvl w:val="0"/>
          <w:numId w:val="0"/>
        </w:numPr>
        <w:tabs>
          <w:tab w:val="left" w:pos="1701"/>
        </w:tabs>
        <w:ind w:left="1701" w:hanging="170"/>
      </w:pPr>
      <w:r w:rsidRPr="008442C6">
        <w:t>•</w:t>
      </w:r>
      <w:r w:rsidRPr="008442C6">
        <w:tab/>
      </w:r>
      <w:r w:rsidR="00BD77CC" w:rsidRPr="008442C6">
        <w:t>2018: 16 years (3), 17 years (8) – (All cases respect the change into the masculine gender. Source: Ministry of Justice).</w:t>
      </w:r>
    </w:p>
    <w:p w:rsidR="00BD77CC" w:rsidRPr="008442C6" w:rsidRDefault="00BD77CC" w:rsidP="005D5F95">
      <w:pPr>
        <w:pStyle w:val="H1G"/>
      </w:pPr>
      <w:r w:rsidRPr="008442C6">
        <w:lastRenderedPageBreak/>
        <w:tab/>
      </w:r>
      <w:r w:rsidRPr="008442C6">
        <w:tab/>
        <w:t>Reply to paragraph 15</w:t>
      </w:r>
      <w:r w:rsidR="00501204" w:rsidRPr="008442C6">
        <w:t xml:space="preserve"> </w:t>
      </w:r>
      <w:r w:rsidRPr="008442C6">
        <w:t xml:space="preserve">(g) of the list of issues </w:t>
      </w:r>
    </w:p>
    <w:p w:rsidR="00BD77CC" w:rsidRPr="008442C6" w:rsidRDefault="00B60025" w:rsidP="00B60025">
      <w:pPr>
        <w:pStyle w:val="H23G"/>
        <w:spacing w:after="240"/>
      </w:pPr>
      <w:r w:rsidRPr="008442C6">
        <w:tab/>
      </w:r>
      <w:r w:rsidRPr="008442C6">
        <w:tab/>
      </w:r>
      <w:r w:rsidR="00BD77CC" w:rsidRPr="008442C6">
        <w:t>Cases, defendants, and convicted in criminal cases (trial stage) ended in the first instance judicial courts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04"/>
        <w:gridCol w:w="1027"/>
        <w:gridCol w:w="1027"/>
        <w:gridCol w:w="1028"/>
        <w:gridCol w:w="1028"/>
        <w:gridCol w:w="1028"/>
        <w:gridCol w:w="1028"/>
      </w:tblGrid>
      <w:tr w:rsidR="00BD77CC" w:rsidRPr="008442C6" w:rsidTr="00114D0D">
        <w:trPr>
          <w:tblHeader/>
        </w:trPr>
        <w:tc>
          <w:tcPr>
            <w:tcW w:w="1572" w:type="dxa"/>
            <w:tcBorders>
              <w:top w:val="single" w:sz="4" w:space="0" w:color="auto"/>
              <w:bottom w:val="single" w:sz="4" w:space="0" w:color="auto"/>
            </w:tcBorders>
            <w:shd w:val="clear" w:color="auto" w:fill="auto"/>
            <w:vAlign w:val="bottom"/>
            <w:hideMark/>
          </w:tcPr>
          <w:p w:rsidR="00BD77CC" w:rsidRPr="008442C6" w:rsidRDefault="00BD77CC" w:rsidP="005D5F95">
            <w:pPr>
              <w:keepNext/>
              <w:keepLines/>
              <w:suppressAutoHyphens w:val="0"/>
              <w:spacing w:before="80" w:after="80" w:line="200" w:lineRule="exact"/>
              <w:ind w:right="113"/>
              <w:rPr>
                <w:i/>
                <w:sz w:val="16"/>
              </w:rPr>
            </w:pPr>
            <w:r w:rsidRPr="008442C6">
              <w:rPr>
                <w:i/>
                <w:sz w:val="16"/>
              </w:rPr>
              <w:t>Crime</w:t>
            </w:r>
          </w:p>
        </w:tc>
        <w:tc>
          <w:tcPr>
            <w:tcW w:w="4027" w:type="dxa"/>
            <w:gridSpan w:val="3"/>
            <w:tcBorders>
              <w:top w:val="single" w:sz="4" w:space="0" w:color="auto"/>
              <w:bottom w:val="single" w:sz="4" w:space="0" w:color="auto"/>
            </w:tcBorders>
            <w:shd w:val="clear" w:color="auto" w:fill="auto"/>
            <w:vAlign w:val="bottom"/>
            <w:hideMark/>
          </w:tcPr>
          <w:p w:rsidR="00BD77CC" w:rsidRPr="008442C6" w:rsidRDefault="00BD77CC" w:rsidP="005D5F95">
            <w:pPr>
              <w:keepNext/>
              <w:keepLines/>
              <w:suppressAutoHyphens w:val="0"/>
              <w:spacing w:before="80" w:after="80" w:line="200" w:lineRule="exact"/>
              <w:ind w:right="113"/>
              <w:jc w:val="right"/>
              <w:rPr>
                <w:i/>
                <w:sz w:val="16"/>
              </w:rPr>
            </w:pPr>
            <w:r w:rsidRPr="008442C6">
              <w:rPr>
                <w:i/>
                <w:sz w:val="16"/>
              </w:rPr>
              <w:t>Sexual abuse of children (article 171</w:t>
            </w:r>
            <w:r w:rsidRPr="008442C6">
              <w:rPr>
                <w:i/>
                <w:sz w:val="16"/>
              </w:rPr>
              <w:br/>
              <w:t xml:space="preserve"> Penal Code)</w:t>
            </w:r>
          </w:p>
        </w:tc>
        <w:tc>
          <w:tcPr>
            <w:tcW w:w="4029" w:type="dxa"/>
            <w:gridSpan w:val="3"/>
            <w:tcBorders>
              <w:top w:val="single" w:sz="4" w:space="0" w:color="auto"/>
              <w:bottom w:val="single" w:sz="4" w:space="0" w:color="auto"/>
            </w:tcBorders>
            <w:shd w:val="clear" w:color="auto" w:fill="auto"/>
            <w:vAlign w:val="bottom"/>
            <w:hideMark/>
          </w:tcPr>
          <w:p w:rsidR="00BD77CC" w:rsidRPr="008442C6" w:rsidRDefault="00BD77CC" w:rsidP="0094015C">
            <w:pPr>
              <w:keepNext/>
              <w:keepLines/>
              <w:suppressAutoHyphens w:val="0"/>
              <w:spacing w:before="80" w:after="80" w:line="200" w:lineRule="exact"/>
              <w:ind w:right="113"/>
              <w:jc w:val="right"/>
              <w:rPr>
                <w:i/>
                <w:sz w:val="16"/>
              </w:rPr>
            </w:pPr>
            <w:r w:rsidRPr="008442C6">
              <w:rPr>
                <w:i/>
                <w:sz w:val="16"/>
              </w:rPr>
              <w:t>Pandering/trafficking of children (article 175/article 160 § 2 and § 5 Penal Code)</w:t>
            </w:r>
          </w:p>
        </w:tc>
      </w:tr>
      <w:tr w:rsidR="00BD77CC" w:rsidRPr="008442C6" w:rsidTr="00114D0D">
        <w:tc>
          <w:tcPr>
            <w:tcW w:w="1572" w:type="dxa"/>
            <w:tcBorders>
              <w:top w:val="single" w:sz="4" w:space="0" w:color="auto"/>
              <w:bottom w:val="single" w:sz="12" w:space="0" w:color="auto"/>
            </w:tcBorders>
            <w:shd w:val="clear" w:color="auto" w:fill="auto"/>
            <w:hideMark/>
          </w:tcPr>
          <w:p w:rsidR="00BD77CC" w:rsidRPr="008442C6" w:rsidRDefault="00BD77CC" w:rsidP="005D5F95">
            <w:pPr>
              <w:suppressAutoHyphens w:val="0"/>
              <w:spacing w:before="80" w:after="80" w:line="200" w:lineRule="exact"/>
              <w:ind w:right="113"/>
              <w:rPr>
                <w:i/>
                <w:iCs/>
                <w:sz w:val="16"/>
                <w:szCs w:val="16"/>
              </w:rPr>
            </w:pPr>
            <w:r w:rsidRPr="008442C6">
              <w:rPr>
                <w:i/>
                <w:iCs/>
                <w:sz w:val="16"/>
                <w:szCs w:val="16"/>
              </w:rPr>
              <w:t>Year</w:t>
            </w:r>
          </w:p>
        </w:tc>
        <w:tc>
          <w:tcPr>
            <w:tcW w:w="1342" w:type="dxa"/>
            <w:tcBorders>
              <w:top w:val="single" w:sz="4" w:space="0" w:color="auto"/>
              <w:bottom w:val="single" w:sz="12" w:space="0" w:color="auto"/>
            </w:tcBorders>
            <w:shd w:val="clear" w:color="auto" w:fill="auto"/>
            <w:vAlign w:val="bottom"/>
            <w:hideMark/>
          </w:tcPr>
          <w:p w:rsidR="00BD77CC" w:rsidRPr="008442C6" w:rsidRDefault="00BD77CC" w:rsidP="005D5F95">
            <w:pPr>
              <w:suppressAutoHyphens w:val="0"/>
              <w:spacing w:before="80" w:after="80" w:line="200" w:lineRule="exact"/>
              <w:ind w:right="113"/>
              <w:jc w:val="right"/>
              <w:rPr>
                <w:i/>
                <w:iCs/>
                <w:sz w:val="16"/>
                <w:szCs w:val="16"/>
              </w:rPr>
            </w:pPr>
            <w:r w:rsidRPr="008442C6">
              <w:rPr>
                <w:i/>
                <w:iCs/>
                <w:sz w:val="16"/>
                <w:szCs w:val="16"/>
              </w:rPr>
              <w:t>2017</w:t>
            </w:r>
          </w:p>
        </w:tc>
        <w:tc>
          <w:tcPr>
            <w:tcW w:w="1342" w:type="dxa"/>
            <w:tcBorders>
              <w:top w:val="single" w:sz="4" w:space="0" w:color="auto"/>
              <w:bottom w:val="single" w:sz="12" w:space="0" w:color="auto"/>
            </w:tcBorders>
            <w:shd w:val="clear" w:color="auto" w:fill="auto"/>
            <w:vAlign w:val="bottom"/>
            <w:hideMark/>
          </w:tcPr>
          <w:p w:rsidR="00BD77CC" w:rsidRPr="008442C6" w:rsidRDefault="00BD77CC" w:rsidP="005D5F95">
            <w:pPr>
              <w:suppressAutoHyphens w:val="0"/>
              <w:spacing w:before="80" w:after="80" w:line="200" w:lineRule="exact"/>
              <w:ind w:right="113"/>
              <w:jc w:val="right"/>
              <w:rPr>
                <w:i/>
                <w:iCs/>
                <w:sz w:val="16"/>
                <w:szCs w:val="16"/>
              </w:rPr>
            </w:pPr>
            <w:r w:rsidRPr="008442C6">
              <w:rPr>
                <w:i/>
                <w:iCs/>
                <w:sz w:val="16"/>
                <w:szCs w:val="16"/>
              </w:rPr>
              <w:t>2016</w:t>
            </w:r>
          </w:p>
        </w:tc>
        <w:tc>
          <w:tcPr>
            <w:tcW w:w="1343" w:type="dxa"/>
            <w:tcBorders>
              <w:top w:val="single" w:sz="4" w:space="0" w:color="auto"/>
              <w:bottom w:val="single" w:sz="12" w:space="0" w:color="auto"/>
            </w:tcBorders>
            <w:shd w:val="clear" w:color="auto" w:fill="auto"/>
            <w:vAlign w:val="bottom"/>
            <w:hideMark/>
          </w:tcPr>
          <w:p w:rsidR="00BD77CC" w:rsidRPr="008442C6" w:rsidRDefault="00BD77CC" w:rsidP="005D5F95">
            <w:pPr>
              <w:suppressAutoHyphens w:val="0"/>
              <w:spacing w:before="80" w:after="80" w:line="200" w:lineRule="exact"/>
              <w:ind w:right="113"/>
              <w:jc w:val="right"/>
              <w:rPr>
                <w:i/>
                <w:iCs/>
                <w:sz w:val="16"/>
                <w:szCs w:val="16"/>
              </w:rPr>
            </w:pPr>
            <w:r w:rsidRPr="008442C6">
              <w:rPr>
                <w:i/>
                <w:iCs/>
                <w:sz w:val="16"/>
                <w:szCs w:val="16"/>
              </w:rPr>
              <w:t>2015</w:t>
            </w:r>
          </w:p>
        </w:tc>
        <w:tc>
          <w:tcPr>
            <w:tcW w:w="1343" w:type="dxa"/>
            <w:tcBorders>
              <w:top w:val="single" w:sz="4" w:space="0" w:color="auto"/>
              <w:bottom w:val="single" w:sz="12" w:space="0" w:color="auto"/>
            </w:tcBorders>
            <w:shd w:val="clear" w:color="auto" w:fill="auto"/>
            <w:vAlign w:val="bottom"/>
            <w:hideMark/>
          </w:tcPr>
          <w:p w:rsidR="00BD77CC" w:rsidRPr="008442C6" w:rsidRDefault="00BD77CC" w:rsidP="005D5F95">
            <w:pPr>
              <w:suppressAutoHyphens w:val="0"/>
              <w:spacing w:before="80" w:after="80" w:line="200" w:lineRule="exact"/>
              <w:ind w:right="113"/>
              <w:jc w:val="right"/>
              <w:rPr>
                <w:i/>
                <w:iCs/>
                <w:sz w:val="16"/>
                <w:szCs w:val="16"/>
              </w:rPr>
            </w:pPr>
            <w:r w:rsidRPr="008442C6">
              <w:rPr>
                <w:i/>
                <w:iCs/>
                <w:sz w:val="16"/>
                <w:szCs w:val="16"/>
              </w:rPr>
              <w:t>2017</w:t>
            </w:r>
          </w:p>
        </w:tc>
        <w:tc>
          <w:tcPr>
            <w:tcW w:w="1343" w:type="dxa"/>
            <w:tcBorders>
              <w:top w:val="single" w:sz="4" w:space="0" w:color="auto"/>
              <w:bottom w:val="single" w:sz="12" w:space="0" w:color="auto"/>
            </w:tcBorders>
            <w:shd w:val="clear" w:color="auto" w:fill="auto"/>
            <w:vAlign w:val="bottom"/>
            <w:hideMark/>
          </w:tcPr>
          <w:p w:rsidR="00BD77CC" w:rsidRPr="008442C6" w:rsidRDefault="00BD77CC" w:rsidP="005D5F95">
            <w:pPr>
              <w:suppressAutoHyphens w:val="0"/>
              <w:spacing w:before="80" w:after="80" w:line="200" w:lineRule="exact"/>
              <w:ind w:right="113"/>
              <w:jc w:val="right"/>
              <w:rPr>
                <w:i/>
                <w:iCs/>
                <w:sz w:val="16"/>
                <w:szCs w:val="16"/>
              </w:rPr>
            </w:pPr>
            <w:r w:rsidRPr="008442C6">
              <w:rPr>
                <w:i/>
                <w:iCs/>
                <w:sz w:val="16"/>
                <w:szCs w:val="16"/>
              </w:rPr>
              <w:t>2016</w:t>
            </w:r>
          </w:p>
        </w:tc>
        <w:tc>
          <w:tcPr>
            <w:tcW w:w="1343" w:type="dxa"/>
            <w:tcBorders>
              <w:top w:val="single" w:sz="4" w:space="0" w:color="auto"/>
              <w:bottom w:val="single" w:sz="12" w:space="0" w:color="auto"/>
            </w:tcBorders>
            <w:shd w:val="clear" w:color="auto" w:fill="auto"/>
            <w:vAlign w:val="bottom"/>
            <w:hideMark/>
          </w:tcPr>
          <w:p w:rsidR="00BD77CC" w:rsidRPr="008442C6" w:rsidRDefault="00BD77CC" w:rsidP="005D5F95">
            <w:pPr>
              <w:suppressAutoHyphens w:val="0"/>
              <w:spacing w:before="80" w:after="80" w:line="200" w:lineRule="exact"/>
              <w:ind w:right="113"/>
              <w:jc w:val="right"/>
              <w:rPr>
                <w:i/>
                <w:iCs/>
                <w:sz w:val="16"/>
                <w:szCs w:val="16"/>
              </w:rPr>
            </w:pPr>
            <w:r w:rsidRPr="008442C6">
              <w:rPr>
                <w:i/>
                <w:iCs/>
                <w:sz w:val="16"/>
                <w:szCs w:val="16"/>
              </w:rPr>
              <w:t>2015</w:t>
            </w:r>
          </w:p>
        </w:tc>
      </w:tr>
      <w:tr w:rsidR="00BD77CC" w:rsidRPr="008442C6" w:rsidTr="00114D0D">
        <w:tc>
          <w:tcPr>
            <w:tcW w:w="1572" w:type="dxa"/>
            <w:tcBorders>
              <w:top w:val="single" w:sz="12" w:space="0" w:color="auto"/>
            </w:tcBorders>
            <w:shd w:val="clear" w:color="auto" w:fill="auto"/>
            <w:hideMark/>
          </w:tcPr>
          <w:p w:rsidR="00BD77CC" w:rsidRPr="008442C6" w:rsidRDefault="00BD77CC" w:rsidP="00422648">
            <w:pPr>
              <w:suppressAutoHyphens w:val="0"/>
              <w:spacing w:before="40" w:after="40" w:line="220" w:lineRule="exact"/>
              <w:ind w:right="113"/>
              <w:rPr>
                <w:sz w:val="18"/>
              </w:rPr>
            </w:pPr>
            <w:r w:rsidRPr="008442C6">
              <w:rPr>
                <w:sz w:val="18"/>
              </w:rPr>
              <w:t>Cases</w:t>
            </w:r>
          </w:p>
        </w:tc>
        <w:tc>
          <w:tcPr>
            <w:tcW w:w="1342" w:type="dxa"/>
            <w:tcBorders>
              <w:top w:val="single" w:sz="12" w:space="0" w:color="auto"/>
            </w:tcBorders>
            <w:shd w:val="clear" w:color="auto" w:fill="auto"/>
            <w:vAlign w:val="bottom"/>
            <w:hideMark/>
          </w:tcPr>
          <w:p w:rsidR="00BD77CC" w:rsidRPr="008442C6" w:rsidRDefault="00BD77CC" w:rsidP="00422648">
            <w:pPr>
              <w:suppressAutoHyphens w:val="0"/>
              <w:spacing w:before="40" w:after="40" w:line="220" w:lineRule="exact"/>
              <w:ind w:right="113"/>
              <w:jc w:val="right"/>
              <w:rPr>
                <w:sz w:val="18"/>
              </w:rPr>
            </w:pPr>
            <w:r w:rsidRPr="008442C6">
              <w:rPr>
                <w:sz w:val="18"/>
              </w:rPr>
              <w:t>360</w:t>
            </w:r>
          </w:p>
        </w:tc>
        <w:tc>
          <w:tcPr>
            <w:tcW w:w="1342" w:type="dxa"/>
            <w:tcBorders>
              <w:top w:val="single" w:sz="12" w:space="0" w:color="auto"/>
            </w:tcBorders>
            <w:shd w:val="clear" w:color="auto" w:fill="auto"/>
            <w:vAlign w:val="bottom"/>
            <w:hideMark/>
          </w:tcPr>
          <w:p w:rsidR="00BD77CC" w:rsidRPr="008442C6" w:rsidRDefault="00BD77CC" w:rsidP="00422648">
            <w:pPr>
              <w:suppressAutoHyphens w:val="0"/>
              <w:spacing w:before="40" w:after="40" w:line="220" w:lineRule="exact"/>
              <w:ind w:right="113"/>
              <w:jc w:val="right"/>
              <w:rPr>
                <w:sz w:val="18"/>
              </w:rPr>
            </w:pPr>
            <w:r w:rsidRPr="008442C6">
              <w:rPr>
                <w:sz w:val="18"/>
              </w:rPr>
              <w:t>333</w:t>
            </w:r>
          </w:p>
        </w:tc>
        <w:tc>
          <w:tcPr>
            <w:tcW w:w="1343" w:type="dxa"/>
            <w:tcBorders>
              <w:top w:val="single" w:sz="12" w:space="0" w:color="auto"/>
            </w:tcBorders>
            <w:shd w:val="clear" w:color="auto" w:fill="auto"/>
            <w:vAlign w:val="bottom"/>
            <w:hideMark/>
          </w:tcPr>
          <w:p w:rsidR="00BD77CC" w:rsidRPr="008442C6" w:rsidRDefault="00BD77CC" w:rsidP="00422648">
            <w:pPr>
              <w:suppressAutoHyphens w:val="0"/>
              <w:spacing w:before="40" w:after="40" w:line="220" w:lineRule="exact"/>
              <w:ind w:right="113"/>
              <w:jc w:val="right"/>
              <w:rPr>
                <w:sz w:val="18"/>
              </w:rPr>
            </w:pPr>
            <w:r w:rsidRPr="008442C6">
              <w:rPr>
                <w:sz w:val="18"/>
              </w:rPr>
              <w:t>351</w:t>
            </w:r>
          </w:p>
        </w:tc>
        <w:tc>
          <w:tcPr>
            <w:tcW w:w="1343" w:type="dxa"/>
            <w:tcBorders>
              <w:top w:val="single" w:sz="12" w:space="0" w:color="auto"/>
            </w:tcBorders>
            <w:shd w:val="clear" w:color="auto" w:fill="auto"/>
            <w:vAlign w:val="bottom"/>
            <w:hideMark/>
          </w:tcPr>
          <w:p w:rsidR="00BD77CC" w:rsidRPr="008442C6" w:rsidRDefault="00BD77CC" w:rsidP="00422648">
            <w:pPr>
              <w:suppressAutoHyphens w:val="0"/>
              <w:spacing w:before="40" w:after="40" w:line="220" w:lineRule="exact"/>
              <w:ind w:right="113"/>
              <w:jc w:val="right"/>
              <w:rPr>
                <w:sz w:val="18"/>
              </w:rPr>
            </w:pPr>
          </w:p>
        </w:tc>
        <w:tc>
          <w:tcPr>
            <w:tcW w:w="1343" w:type="dxa"/>
            <w:tcBorders>
              <w:top w:val="single" w:sz="12" w:space="0" w:color="auto"/>
            </w:tcBorders>
            <w:shd w:val="clear" w:color="auto" w:fill="auto"/>
            <w:vAlign w:val="bottom"/>
            <w:hideMark/>
          </w:tcPr>
          <w:p w:rsidR="00BD77CC" w:rsidRPr="008442C6" w:rsidRDefault="00BD77CC" w:rsidP="00422648">
            <w:pPr>
              <w:suppressAutoHyphens w:val="0"/>
              <w:spacing w:before="40" w:after="40" w:line="220" w:lineRule="exact"/>
              <w:ind w:right="113"/>
              <w:jc w:val="right"/>
              <w:rPr>
                <w:sz w:val="18"/>
              </w:rPr>
            </w:pPr>
            <w:r w:rsidRPr="008442C6">
              <w:rPr>
                <w:sz w:val="18"/>
              </w:rPr>
              <w:t>3</w:t>
            </w:r>
          </w:p>
        </w:tc>
        <w:tc>
          <w:tcPr>
            <w:tcW w:w="1343" w:type="dxa"/>
            <w:tcBorders>
              <w:top w:val="single" w:sz="12" w:space="0" w:color="auto"/>
            </w:tcBorders>
            <w:shd w:val="clear" w:color="auto" w:fill="auto"/>
            <w:vAlign w:val="bottom"/>
            <w:hideMark/>
          </w:tcPr>
          <w:p w:rsidR="00BD77CC" w:rsidRPr="008442C6" w:rsidRDefault="00BD77CC" w:rsidP="00422648">
            <w:pPr>
              <w:suppressAutoHyphens w:val="0"/>
              <w:spacing w:before="40" w:after="40" w:line="220" w:lineRule="exact"/>
              <w:ind w:right="113"/>
              <w:jc w:val="right"/>
              <w:rPr>
                <w:sz w:val="18"/>
              </w:rPr>
            </w:pPr>
            <w:r w:rsidRPr="008442C6">
              <w:rPr>
                <w:sz w:val="18"/>
              </w:rPr>
              <w:t>6</w:t>
            </w:r>
          </w:p>
        </w:tc>
      </w:tr>
      <w:tr w:rsidR="00BD77CC" w:rsidRPr="008442C6" w:rsidTr="00422648">
        <w:tc>
          <w:tcPr>
            <w:tcW w:w="1572" w:type="dxa"/>
            <w:shd w:val="clear" w:color="auto" w:fill="auto"/>
            <w:hideMark/>
          </w:tcPr>
          <w:p w:rsidR="00BD77CC" w:rsidRPr="008442C6" w:rsidRDefault="00BD77CC" w:rsidP="00422648">
            <w:pPr>
              <w:suppressAutoHyphens w:val="0"/>
              <w:spacing w:before="40" w:after="40" w:line="220" w:lineRule="exact"/>
              <w:ind w:right="113"/>
              <w:rPr>
                <w:sz w:val="18"/>
              </w:rPr>
            </w:pPr>
            <w:r w:rsidRPr="008442C6">
              <w:rPr>
                <w:sz w:val="18"/>
              </w:rPr>
              <w:t>Defendants</w:t>
            </w:r>
          </w:p>
        </w:tc>
        <w:tc>
          <w:tcPr>
            <w:tcW w:w="1342" w:type="dxa"/>
            <w:shd w:val="clear" w:color="auto" w:fill="auto"/>
            <w:vAlign w:val="bottom"/>
            <w:hideMark/>
          </w:tcPr>
          <w:p w:rsidR="00BD77CC" w:rsidRPr="008442C6" w:rsidRDefault="00BD77CC" w:rsidP="00422648">
            <w:pPr>
              <w:suppressAutoHyphens w:val="0"/>
              <w:spacing w:before="40" w:after="40" w:line="220" w:lineRule="exact"/>
              <w:ind w:right="113"/>
              <w:jc w:val="right"/>
              <w:rPr>
                <w:sz w:val="18"/>
              </w:rPr>
            </w:pPr>
            <w:r w:rsidRPr="008442C6">
              <w:rPr>
                <w:sz w:val="18"/>
              </w:rPr>
              <w:t>389</w:t>
            </w:r>
          </w:p>
        </w:tc>
        <w:tc>
          <w:tcPr>
            <w:tcW w:w="1342" w:type="dxa"/>
            <w:shd w:val="clear" w:color="auto" w:fill="auto"/>
            <w:vAlign w:val="bottom"/>
            <w:hideMark/>
          </w:tcPr>
          <w:p w:rsidR="00BD77CC" w:rsidRPr="008442C6" w:rsidRDefault="00BD77CC" w:rsidP="00422648">
            <w:pPr>
              <w:suppressAutoHyphens w:val="0"/>
              <w:spacing w:before="40" w:after="40" w:line="220" w:lineRule="exact"/>
              <w:ind w:right="113"/>
              <w:jc w:val="right"/>
              <w:rPr>
                <w:sz w:val="18"/>
              </w:rPr>
            </w:pPr>
            <w:r w:rsidRPr="008442C6">
              <w:rPr>
                <w:sz w:val="18"/>
              </w:rPr>
              <w:t>369</w:t>
            </w:r>
          </w:p>
        </w:tc>
        <w:tc>
          <w:tcPr>
            <w:tcW w:w="1343" w:type="dxa"/>
            <w:shd w:val="clear" w:color="auto" w:fill="auto"/>
            <w:vAlign w:val="bottom"/>
            <w:hideMark/>
          </w:tcPr>
          <w:p w:rsidR="00BD77CC" w:rsidRPr="008442C6" w:rsidRDefault="00BD77CC" w:rsidP="00422648">
            <w:pPr>
              <w:suppressAutoHyphens w:val="0"/>
              <w:spacing w:before="40" w:after="40" w:line="220" w:lineRule="exact"/>
              <w:ind w:right="113"/>
              <w:jc w:val="right"/>
              <w:rPr>
                <w:sz w:val="18"/>
              </w:rPr>
            </w:pPr>
            <w:r w:rsidRPr="008442C6">
              <w:rPr>
                <w:sz w:val="18"/>
              </w:rPr>
              <w:t>399</w:t>
            </w:r>
          </w:p>
        </w:tc>
        <w:tc>
          <w:tcPr>
            <w:tcW w:w="1343" w:type="dxa"/>
            <w:shd w:val="clear" w:color="auto" w:fill="auto"/>
            <w:vAlign w:val="bottom"/>
            <w:hideMark/>
          </w:tcPr>
          <w:p w:rsidR="00BD77CC" w:rsidRPr="008442C6" w:rsidRDefault="00BD77CC" w:rsidP="00422648">
            <w:pPr>
              <w:suppressAutoHyphens w:val="0"/>
              <w:spacing w:before="40" w:after="40" w:line="220" w:lineRule="exact"/>
              <w:ind w:right="113"/>
              <w:jc w:val="right"/>
              <w:rPr>
                <w:sz w:val="18"/>
              </w:rPr>
            </w:pPr>
            <w:r w:rsidRPr="008442C6">
              <w:rPr>
                <w:sz w:val="18"/>
              </w:rPr>
              <w:t>3</w:t>
            </w:r>
          </w:p>
        </w:tc>
        <w:tc>
          <w:tcPr>
            <w:tcW w:w="1343" w:type="dxa"/>
            <w:shd w:val="clear" w:color="auto" w:fill="auto"/>
            <w:vAlign w:val="bottom"/>
            <w:hideMark/>
          </w:tcPr>
          <w:p w:rsidR="00BD77CC" w:rsidRPr="008442C6" w:rsidRDefault="00BD77CC" w:rsidP="00422648">
            <w:pPr>
              <w:suppressAutoHyphens w:val="0"/>
              <w:spacing w:before="40" w:after="40" w:line="220" w:lineRule="exact"/>
              <w:ind w:right="113"/>
              <w:jc w:val="right"/>
              <w:rPr>
                <w:sz w:val="18"/>
              </w:rPr>
            </w:pPr>
            <w:r w:rsidRPr="008442C6">
              <w:rPr>
                <w:sz w:val="18"/>
              </w:rPr>
              <w:t>3</w:t>
            </w:r>
          </w:p>
        </w:tc>
        <w:tc>
          <w:tcPr>
            <w:tcW w:w="1343" w:type="dxa"/>
            <w:shd w:val="clear" w:color="auto" w:fill="auto"/>
            <w:vAlign w:val="bottom"/>
            <w:hideMark/>
          </w:tcPr>
          <w:p w:rsidR="00BD77CC" w:rsidRPr="008442C6" w:rsidRDefault="00BD77CC" w:rsidP="00422648">
            <w:pPr>
              <w:suppressAutoHyphens w:val="0"/>
              <w:spacing w:before="40" w:after="40" w:line="220" w:lineRule="exact"/>
              <w:ind w:right="113"/>
              <w:jc w:val="right"/>
              <w:rPr>
                <w:sz w:val="18"/>
              </w:rPr>
            </w:pPr>
            <w:r w:rsidRPr="008442C6">
              <w:rPr>
                <w:sz w:val="18"/>
              </w:rPr>
              <w:t>6</w:t>
            </w:r>
          </w:p>
        </w:tc>
      </w:tr>
      <w:tr w:rsidR="00BD77CC" w:rsidRPr="008442C6" w:rsidTr="00422648">
        <w:tc>
          <w:tcPr>
            <w:tcW w:w="1572" w:type="dxa"/>
            <w:shd w:val="clear" w:color="auto" w:fill="auto"/>
            <w:hideMark/>
          </w:tcPr>
          <w:p w:rsidR="00BD77CC" w:rsidRPr="008442C6" w:rsidRDefault="00BD77CC" w:rsidP="00422648">
            <w:pPr>
              <w:suppressAutoHyphens w:val="0"/>
              <w:spacing w:before="40" w:after="40" w:line="220" w:lineRule="exact"/>
              <w:ind w:right="113"/>
              <w:rPr>
                <w:sz w:val="18"/>
              </w:rPr>
            </w:pPr>
            <w:r w:rsidRPr="008442C6">
              <w:rPr>
                <w:sz w:val="18"/>
              </w:rPr>
              <w:t>Convicted</w:t>
            </w:r>
          </w:p>
        </w:tc>
        <w:tc>
          <w:tcPr>
            <w:tcW w:w="1342" w:type="dxa"/>
            <w:shd w:val="clear" w:color="auto" w:fill="auto"/>
            <w:vAlign w:val="bottom"/>
            <w:hideMark/>
          </w:tcPr>
          <w:p w:rsidR="00BD77CC" w:rsidRPr="008442C6" w:rsidRDefault="00BD77CC" w:rsidP="00422648">
            <w:pPr>
              <w:suppressAutoHyphens w:val="0"/>
              <w:spacing w:before="40" w:after="40" w:line="220" w:lineRule="exact"/>
              <w:ind w:right="113"/>
              <w:jc w:val="right"/>
              <w:rPr>
                <w:sz w:val="18"/>
              </w:rPr>
            </w:pPr>
            <w:r w:rsidRPr="008442C6">
              <w:rPr>
                <w:sz w:val="18"/>
              </w:rPr>
              <w:t>302</w:t>
            </w:r>
          </w:p>
        </w:tc>
        <w:tc>
          <w:tcPr>
            <w:tcW w:w="1342" w:type="dxa"/>
            <w:shd w:val="clear" w:color="auto" w:fill="auto"/>
            <w:vAlign w:val="bottom"/>
            <w:hideMark/>
          </w:tcPr>
          <w:p w:rsidR="00BD77CC" w:rsidRPr="008442C6" w:rsidRDefault="00BD77CC" w:rsidP="00422648">
            <w:pPr>
              <w:suppressAutoHyphens w:val="0"/>
              <w:spacing w:before="40" w:after="40" w:line="220" w:lineRule="exact"/>
              <w:ind w:right="113"/>
              <w:jc w:val="right"/>
              <w:rPr>
                <w:sz w:val="18"/>
              </w:rPr>
            </w:pPr>
            <w:r w:rsidRPr="008442C6">
              <w:rPr>
                <w:sz w:val="18"/>
              </w:rPr>
              <w:t>280</w:t>
            </w:r>
          </w:p>
        </w:tc>
        <w:tc>
          <w:tcPr>
            <w:tcW w:w="1343" w:type="dxa"/>
            <w:shd w:val="clear" w:color="auto" w:fill="auto"/>
            <w:vAlign w:val="bottom"/>
            <w:hideMark/>
          </w:tcPr>
          <w:p w:rsidR="00BD77CC" w:rsidRPr="008442C6" w:rsidRDefault="00BD77CC" w:rsidP="00422648">
            <w:pPr>
              <w:suppressAutoHyphens w:val="0"/>
              <w:spacing w:before="40" w:after="40" w:line="220" w:lineRule="exact"/>
              <w:ind w:right="113"/>
              <w:jc w:val="right"/>
              <w:rPr>
                <w:sz w:val="18"/>
              </w:rPr>
            </w:pPr>
            <w:r w:rsidRPr="008442C6">
              <w:rPr>
                <w:sz w:val="18"/>
              </w:rPr>
              <w:t>323</w:t>
            </w:r>
          </w:p>
        </w:tc>
        <w:tc>
          <w:tcPr>
            <w:tcW w:w="1343" w:type="dxa"/>
            <w:shd w:val="clear" w:color="auto" w:fill="auto"/>
            <w:vAlign w:val="bottom"/>
            <w:hideMark/>
          </w:tcPr>
          <w:p w:rsidR="00BD77CC" w:rsidRPr="008442C6" w:rsidRDefault="00BD77CC" w:rsidP="00422648">
            <w:pPr>
              <w:suppressAutoHyphens w:val="0"/>
              <w:spacing w:before="40" w:after="40" w:line="220" w:lineRule="exact"/>
              <w:ind w:right="113"/>
              <w:jc w:val="right"/>
              <w:rPr>
                <w:sz w:val="18"/>
              </w:rPr>
            </w:pPr>
          </w:p>
        </w:tc>
        <w:tc>
          <w:tcPr>
            <w:tcW w:w="1343" w:type="dxa"/>
            <w:shd w:val="clear" w:color="auto" w:fill="auto"/>
            <w:vAlign w:val="bottom"/>
            <w:hideMark/>
          </w:tcPr>
          <w:p w:rsidR="00BD77CC" w:rsidRPr="008442C6" w:rsidRDefault="00BD77CC" w:rsidP="00422648">
            <w:pPr>
              <w:suppressAutoHyphens w:val="0"/>
              <w:spacing w:before="40" w:after="40" w:line="220" w:lineRule="exact"/>
              <w:ind w:right="113"/>
              <w:jc w:val="right"/>
              <w:rPr>
                <w:sz w:val="18"/>
              </w:rPr>
            </w:pPr>
          </w:p>
        </w:tc>
        <w:tc>
          <w:tcPr>
            <w:tcW w:w="1343" w:type="dxa"/>
            <w:shd w:val="clear" w:color="auto" w:fill="auto"/>
            <w:vAlign w:val="bottom"/>
            <w:hideMark/>
          </w:tcPr>
          <w:p w:rsidR="00BD77CC" w:rsidRPr="008442C6" w:rsidRDefault="00BD77CC" w:rsidP="00422648">
            <w:pPr>
              <w:suppressAutoHyphens w:val="0"/>
              <w:spacing w:before="40" w:after="40" w:line="220" w:lineRule="exact"/>
              <w:ind w:right="113"/>
              <w:jc w:val="right"/>
              <w:rPr>
                <w:sz w:val="18"/>
              </w:rPr>
            </w:pPr>
            <w:r w:rsidRPr="008442C6">
              <w:rPr>
                <w:sz w:val="18"/>
              </w:rPr>
              <w:t>3</w:t>
            </w:r>
          </w:p>
        </w:tc>
      </w:tr>
    </w:tbl>
    <w:p w:rsidR="00BD77CC" w:rsidRPr="008442C6" w:rsidRDefault="00BD77CC" w:rsidP="00CB202D">
      <w:pPr>
        <w:spacing w:before="120"/>
        <w:ind w:left="1134" w:right="1134" w:firstLine="170"/>
        <w:rPr>
          <w:sz w:val="18"/>
          <w:szCs w:val="18"/>
        </w:rPr>
      </w:pPr>
      <w:r w:rsidRPr="008442C6">
        <w:rPr>
          <w:i/>
          <w:iCs/>
          <w:sz w:val="18"/>
          <w:szCs w:val="18"/>
        </w:rPr>
        <w:t>Last update</w:t>
      </w:r>
      <w:r w:rsidRPr="008442C6">
        <w:rPr>
          <w:sz w:val="18"/>
          <w:szCs w:val="18"/>
        </w:rPr>
        <w:t>: 31/10/2018</w:t>
      </w:r>
      <w:r w:rsidR="00AE69CA" w:rsidRPr="008442C6">
        <w:rPr>
          <w:sz w:val="18"/>
          <w:szCs w:val="18"/>
        </w:rPr>
        <w:t>.</w:t>
      </w:r>
    </w:p>
    <w:p w:rsidR="00BD77CC" w:rsidRPr="008442C6" w:rsidRDefault="00BD77CC" w:rsidP="00114D0D">
      <w:pPr>
        <w:ind w:left="1134" w:right="1134" w:firstLine="170"/>
        <w:rPr>
          <w:sz w:val="18"/>
          <w:szCs w:val="18"/>
        </w:rPr>
      </w:pPr>
      <w:r w:rsidRPr="008442C6">
        <w:rPr>
          <w:i/>
          <w:iCs/>
          <w:sz w:val="18"/>
          <w:szCs w:val="18"/>
        </w:rPr>
        <w:t>Source</w:t>
      </w:r>
      <w:r w:rsidR="00AE69CA" w:rsidRPr="008442C6">
        <w:rPr>
          <w:sz w:val="18"/>
          <w:szCs w:val="18"/>
        </w:rPr>
        <w:t>: Ministry of Justice.</w:t>
      </w:r>
    </w:p>
    <w:p w:rsidR="00BD77CC" w:rsidRPr="008442C6" w:rsidRDefault="00BD77CC" w:rsidP="0094015C">
      <w:pPr>
        <w:spacing w:after="60"/>
        <w:ind w:left="1134" w:right="1134" w:firstLine="170"/>
        <w:rPr>
          <w:sz w:val="18"/>
        </w:rPr>
      </w:pPr>
      <w:r w:rsidRPr="008442C6">
        <w:rPr>
          <w:i/>
          <w:iCs/>
          <w:sz w:val="18"/>
        </w:rPr>
        <w:t>Notes</w:t>
      </w:r>
      <w:r w:rsidR="00AE69CA" w:rsidRPr="008442C6">
        <w:rPr>
          <w:sz w:val="18"/>
        </w:rPr>
        <w:t>:</w:t>
      </w:r>
    </w:p>
    <w:p w:rsidR="00BD77CC" w:rsidRPr="008442C6" w:rsidRDefault="00BD77CC" w:rsidP="00C306C9">
      <w:pPr>
        <w:pStyle w:val="SingleTxtG"/>
        <w:spacing w:after="0"/>
        <w:ind w:left="1843" w:hanging="539"/>
        <w:jc w:val="left"/>
        <w:rPr>
          <w:sz w:val="18"/>
          <w:szCs w:val="18"/>
        </w:rPr>
      </w:pPr>
      <w:r w:rsidRPr="008442C6">
        <w:rPr>
          <w:sz w:val="18"/>
          <w:szCs w:val="18"/>
        </w:rPr>
        <w:t>(</w:t>
      </w:r>
      <w:r w:rsidRPr="008442C6">
        <w:rPr>
          <w:i/>
          <w:iCs/>
          <w:sz w:val="18"/>
          <w:szCs w:val="18"/>
        </w:rPr>
        <w:t>a</w:t>
      </w:r>
      <w:r w:rsidRPr="008442C6">
        <w:rPr>
          <w:sz w:val="18"/>
          <w:szCs w:val="18"/>
        </w:rPr>
        <w:t>)</w:t>
      </w:r>
      <w:r w:rsidRPr="008442C6">
        <w:rPr>
          <w:sz w:val="18"/>
          <w:szCs w:val="18"/>
        </w:rPr>
        <w:tab/>
        <w:t>The counting of the cases takes into consideration the most serious crime of the case; the counting of defendants takes into consideration the most serious crime of which they were accused of; the counting of the convicted takes into consideration the more serious crime of which they were convicted;</w:t>
      </w:r>
    </w:p>
    <w:p w:rsidR="00BD77CC" w:rsidRDefault="00BD77CC" w:rsidP="00C306C9">
      <w:pPr>
        <w:pStyle w:val="SingleTxtG"/>
        <w:spacing w:after="0"/>
        <w:ind w:left="1843" w:hanging="539"/>
        <w:jc w:val="left"/>
        <w:rPr>
          <w:sz w:val="18"/>
          <w:szCs w:val="18"/>
        </w:rPr>
      </w:pPr>
      <w:r w:rsidRPr="008442C6">
        <w:rPr>
          <w:sz w:val="18"/>
          <w:szCs w:val="18"/>
        </w:rPr>
        <w:t>(</w:t>
      </w:r>
      <w:r w:rsidRPr="008442C6">
        <w:rPr>
          <w:i/>
          <w:iCs/>
          <w:sz w:val="18"/>
          <w:szCs w:val="18"/>
        </w:rPr>
        <w:t>b</w:t>
      </w:r>
      <w:r w:rsidRPr="008442C6">
        <w:rPr>
          <w:sz w:val="18"/>
          <w:szCs w:val="18"/>
        </w:rPr>
        <w:t>)</w:t>
      </w:r>
      <w:r w:rsidRPr="008442C6">
        <w:rPr>
          <w:sz w:val="18"/>
          <w:szCs w:val="18"/>
        </w:rPr>
        <w:tab/>
        <w:t>The cases that were joined, embedded or integrated and forwarded to another entity;</w:t>
      </w:r>
    </w:p>
    <w:p w:rsidR="00D36337" w:rsidRPr="008442C6" w:rsidRDefault="00D36337" w:rsidP="008A12AE">
      <w:pPr>
        <w:pStyle w:val="SingleTxtG"/>
        <w:spacing w:after="0"/>
        <w:ind w:left="1843" w:hanging="539"/>
        <w:jc w:val="left"/>
        <w:rPr>
          <w:sz w:val="18"/>
          <w:szCs w:val="18"/>
        </w:rPr>
      </w:pPr>
      <w:r>
        <w:rPr>
          <w:sz w:val="18"/>
          <w:szCs w:val="18"/>
        </w:rPr>
        <w:t>(</w:t>
      </w:r>
      <w:r w:rsidRPr="00D36337">
        <w:rPr>
          <w:i/>
          <w:iCs/>
          <w:sz w:val="18"/>
          <w:szCs w:val="18"/>
        </w:rPr>
        <w:t>c</w:t>
      </w:r>
      <w:r>
        <w:rPr>
          <w:sz w:val="18"/>
          <w:szCs w:val="18"/>
        </w:rPr>
        <w:t>)</w:t>
      </w:r>
      <w:r>
        <w:rPr>
          <w:sz w:val="18"/>
          <w:szCs w:val="18"/>
        </w:rPr>
        <w:tab/>
        <w:t>Since January 2007 the statistical data on proceedings before the courts of 1</w:t>
      </w:r>
      <w:r w:rsidRPr="00D36337">
        <w:rPr>
          <w:sz w:val="18"/>
          <w:szCs w:val="18"/>
        </w:rPr>
        <w:t xml:space="preserve">st </w:t>
      </w:r>
      <w:r>
        <w:rPr>
          <w:sz w:val="18"/>
          <w:szCs w:val="18"/>
        </w:rPr>
        <w:t xml:space="preserve">instance is collected </w:t>
      </w:r>
      <w:r w:rsidRPr="00C306C9">
        <w:rPr>
          <w:sz w:val="18"/>
          <w:szCs w:val="18"/>
        </w:rPr>
        <w:t>from the court’s computer system, representing the situation of the cases registered in that system. Void result/protected by statistical secrecy.</w:t>
      </w:r>
    </w:p>
    <w:p w:rsidR="00BD77CC" w:rsidRPr="008442C6" w:rsidRDefault="00BD77CC" w:rsidP="00253B3A">
      <w:pPr>
        <w:pStyle w:val="H1G"/>
      </w:pPr>
      <w:r w:rsidRPr="008442C6">
        <w:tab/>
      </w:r>
      <w:r w:rsidRPr="008442C6">
        <w:tab/>
        <w:t>Reply to paragraph 15</w:t>
      </w:r>
      <w:r w:rsidR="006C6BEA" w:rsidRPr="008442C6">
        <w:t xml:space="preserve"> </w:t>
      </w:r>
      <w:r w:rsidRPr="008442C6">
        <w:t xml:space="preserve">(h) of the list of issues </w:t>
      </w:r>
    </w:p>
    <w:p w:rsidR="00BD77CC" w:rsidRPr="008442C6" w:rsidRDefault="00BD77CC" w:rsidP="009C598B">
      <w:pPr>
        <w:pStyle w:val="SingleTxtG"/>
      </w:pPr>
      <w:r w:rsidRPr="008442C6">
        <w:t>96.</w:t>
      </w:r>
      <w:r w:rsidRPr="008442C6">
        <w:tab/>
        <w:t>The Ministry of Health has registered, between 2014 and 2017, 237 female genital mutilations.</w:t>
      </w:r>
    </w:p>
    <w:p w:rsidR="00BD77CC" w:rsidRPr="008442C6" w:rsidRDefault="00BD77CC" w:rsidP="006C6BEA">
      <w:pPr>
        <w:pStyle w:val="H1G"/>
      </w:pPr>
      <w:r w:rsidRPr="008442C6">
        <w:tab/>
      </w:r>
      <w:r w:rsidRPr="008442C6">
        <w:tab/>
        <w:t>Reply to paragraph 15</w:t>
      </w:r>
      <w:r w:rsidR="006C6BEA" w:rsidRPr="008442C6">
        <w:t xml:space="preserve"> </w:t>
      </w:r>
      <w:r w:rsidRPr="008442C6">
        <w:t xml:space="preserve">(i) of the list of issues </w:t>
      </w:r>
    </w:p>
    <w:p w:rsidR="00BD77CC" w:rsidRPr="008442C6" w:rsidRDefault="00BD77CC" w:rsidP="009C598B">
      <w:pPr>
        <w:pStyle w:val="SingleTxtG"/>
      </w:pPr>
      <w:r w:rsidRPr="008442C6">
        <w:t>97.</w:t>
      </w:r>
      <w:r w:rsidRPr="008442C6">
        <w:tab/>
        <w:t xml:space="preserve">The Decree-Law 23/2014 established the operating regulations of artistic performances, the installation and inspection of fixed hosting venues for artistic performances and increased the viewers age for tauromachy shows from 6 to 12 years of age. </w:t>
      </w:r>
    </w:p>
    <w:p w:rsidR="00BD77CC" w:rsidRPr="008442C6" w:rsidRDefault="00BD77CC" w:rsidP="009C598B">
      <w:pPr>
        <w:pStyle w:val="SingleTxtG"/>
      </w:pPr>
      <w:r w:rsidRPr="008442C6">
        <w:t>98.</w:t>
      </w:r>
      <w:r w:rsidRPr="008442C6">
        <w:tab/>
        <w:t xml:space="preserve">As far as underage performers are concerned, the minimum age for performing is 16 years of age (Law 31/2015 in conjunction with Law 105/2009), with the permission of the Commission for the Protection of Children and Young People. There was only 1 case registered in 2014 and 2 cases in 2017. </w:t>
      </w:r>
    </w:p>
    <w:p w:rsidR="00BD77CC" w:rsidRPr="008442C6" w:rsidRDefault="00BD77CC" w:rsidP="009C598B">
      <w:pPr>
        <w:pStyle w:val="SingleTxtG"/>
      </w:pPr>
      <w:r w:rsidRPr="008442C6">
        <w:t>99.</w:t>
      </w:r>
      <w:r w:rsidRPr="008442C6">
        <w:tab/>
        <w:t>There are no official data on training taking place in bullfighting schools.</w:t>
      </w:r>
    </w:p>
    <w:p w:rsidR="00BD77CC" w:rsidRPr="008442C6" w:rsidRDefault="00BD77CC" w:rsidP="006C6BEA">
      <w:pPr>
        <w:pStyle w:val="H1G"/>
      </w:pPr>
      <w:r w:rsidRPr="008442C6">
        <w:tab/>
      </w:r>
      <w:r w:rsidRPr="008442C6">
        <w:tab/>
        <w:t>Reply to paragraph 15</w:t>
      </w:r>
      <w:r w:rsidR="006C6BEA" w:rsidRPr="008442C6">
        <w:t xml:space="preserve"> </w:t>
      </w:r>
      <w:r w:rsidRPr="008442C6">
        <w:t xml:space="preserve">(j) of the list of issues </w:t>
      </w:r>
    </w:p>
    <w:p w:rsidR="00BD77CC" w:rsidRPr="008442C6" w:rsidRDefault="00BD77CC" w:rsidP="009C598B">
      <w:pPr>
        <w:pStyle w:val="SingleTxtG"/>
      </w:pPr>
      <w:r w:rsidRPr="008442C6">
        <w:t>100.</w:t>
      </w:r>
      <w:r w:rsidRPr="008442C6">
        <w:tab/>
        <w:t xml:space="preserve">No cases were reported in 2016, 2017 and 2018 (source: Ministry of Justice). </w:t>
      </w:r>
    </w:p>
    <w:p w:rsidR="00BD77CC" w:rsidRPr="008442C6" w:rsidRDefault="00BD77CC" w:rsidP="006C6BEA">
      <w:pPr>
        <w:pStyle w:val="H1G"/>
      </w:pPr>
      <w:r w:rsidRPr="008442C6">
        <w:tab/>
      </w:r>
      <w:r w:rsidRPr="008442C6">
        <w:tab/>
        <w:t>Reply to paragraph 15</w:t>
      </w:r>
      <w:r w:rsidR="006C6BEA" w:rsidRPr="008442C6">
        <w:t xml:space="preserve"> </w:t>
      </w:r>
      <w:r w:rsidRPr="008442C6">
        <w:t xml:space="preserve">(k), (l) of the list of issues </w:t>
      </w:r>
    </w:p>
    <w:p w:rsidR="00BD77CC" w:rsidRPr="008442C6" w:rsidRDefault="00BD77CC" w:rsidP="009C598B">
      <w:pPr>
        <w:pStyle w:val="SingleTxtG"/>
      </w:pPr>
      <w:r w:rsidRPr="008442C6">
        <w:t>101.</w:t>
      </w:r>
      <w:r w:rsidRPr="008442C6">
        <w:tab/>
        <w:t>Children are authorized to stay with their mothers in a prison setting, in accordance with the Code for the Enforcement of Sentences and Deprivation of Liberty Measures, Law 115/2009, of 12 October. Only the Prison of Tires (District of Lisbon) and of Santa Cruz do Bispo (District of Porto) have the conditions to accommodate the children of the detainees. As 1 April 2019, 29 children were in this situation (source: Ministry of Justice).</w:t>
      </w:r>
    </w:p>
    <w:p w:rsidR="00BD77CC" w:rsidRPr="008442C6" w:rsidRDefault="00BD77CC" w:rsidP="004D2AC1">
      <w:pPr>
        <w:pStyle w:val="H1G"/>
      </w:pPr>
      <w:r w:rsidRPr="008442C6">
        <w:lastRenderedPageBreak/>
        <w:tab/>
      </w:r>
      <w:r w:rsidRPr="008442C6">
        <w:tab/>
        <w:t>Reply to paragraph 15</w:t>
      </w:r>
      <w:r w:rsidR="004D2AC1" w:rsidRPr="008442C6">
        <w:t xml:space="preserve"> </w:t>
      </w:r>
      <w:r w:rsidRPr="008442C6">
        <w:t xml:space="preserve">(m) of the list of issues </w:t>
      </w:r>
    </w:p>
    <w:p w:rsidR="00BD77CC" w:rsidRPr="008442C6" w:rsidRDefault="00B60025" w:rsidP="00B60025">
      <w:pPr>
        <w:pStyle w:val="H23G"/>
        <w:spacing w:after="240"/>
      </w:pPr>
      <w:r w:rsidRPr="008442C6">
        <w:tab/>
      </w:r>
      <w:r w:rsidRPr="008442C6">
        <w:tab/>
      </w:r>
      <w:r w:rsidR="00BD77CC" w:rsidRPr="008442C6">
        <w:t>Number of HIV infection cases diagnosed, according to the year of diagnosis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39"/>
        <w:gridCol w:w="1819"/>
        <w:gridCol w:w="1793"/>
        <w:gridCol w:w="1919"/>
      </w:tblGrid>
      <w:tr w:rsidR="00BD77CC" w:rsidRPr="008442C6" w:rsidTr="004D2AC1">
        <w:trPr>
          <w:tblHeader/>
        </w:trPr>
        <w:tc>
          <w:tcPr>
            <w:tcW w:w="2403" w:type="dxa"/>
            <w:tcBorders>
              <w:top w:val="single" w:sz="4" w:space="0" w:color="auto"/>
              <w:bottom w:val="single" w:sz="12" w:space="0" w:color="auto"/>
            </w:tcBorders>
            <w:shd w:val="clear" w:color="auto" w:fill="auto"/>
            <w:vAlign w:val="bottom"/>
          </w:tcPr>
          <w:p w:rsidR="00BD77CC" w:rsidRPr="008442C6" w:rsidRDefault="00BD77CC" w:rsidP="004D2AC1">
            <w:pPr>
              <w:suppressAutoHyphens w:val="0"/>
              <w:spacing w:before="80" w:after="80" w:line="200" w:lineRule="exact"/>
              <w:ind w:right="113"/>
              <w:rPr>
                <w:i/>
                <w:sz w:val="16"/>
              </w:rPr>
            </w:pPr>
            <w:r w:rsidRPr="008442C6">
              <w:rPr>
                <w:i/>
                <w:sz w:val="16"/>
              </w:rPr>
              <w:t>Age group</w:t>
            </w:r>
          </w:p>
        </w:tc>
        <w:tc>
          <w:tcPr>
            <w:tcW w:w="7225" w:type="dxa"/>
            <w:gridSpan w:val="3"/>
            <w:tcBorders>
              <w:top w:val="single" w:sz="4" w:space="0" w:color="auto"/>
              <w:bottom w:val="single" w:sz="12" w:space="0" w:color="auto"/>
            </w:tcBorders>
            <w:shd w:val="clear" w:color="auto" w:fill="auto"/>
            <w:vAlign w:val="bottom"/>
          </w:tcPr>
          <w:p w:rsidR="00BD77CC" w:rsidRPr="008442C6" w:rsidRDefault="00BD77CC" w:rsidP="004D2AC1">
            <w:pPr>
              <w:suppressAutoHyphens w:val="0"/>
              <w:spacing w:before="80" w:after="80" w:line="200" w:lineRule="exact"/>
              <w:ind w:right="113"/>
              <w:jc w:val="center"/>
              <w:rPr>
                <w:i/>
                <w:sz w:val="16"/>
              </w:rPr>
            </w:pPr>
            <w:r w:rsidRPr="008442C6">
              <w:rPr>
                <w:i/>
                <w:sz w:val="16"/>
              </w:rPr>
              <w:t>&lt; 18 years old</w:t>
            </w:r>
          </w:p>
        </w:tc>
      </w:tr>
      <w:tr w:rsidR="00BD77CC" w:rsidRPr="008442C6" w:rsidTr="004D2AC1">
        <w:tc>
          <w:tcPr>
            <w:tcW w:w="2403" w:type="dxa"/>
            <w:tcBorders>
              <w:top w:val="single" w:sz="12" w:space="0" w:color="auto"/>
            </w:tcBorders>
            <w:shd w:val="clear" w:color="auto" w:fill="auto"/>
          </w:tcPr>
          <w:p w:rsidR="00BD77CC" w:rsidRPr="008442C6" w:rsidRDefault="00BD77CC" w:rsidP="004D2AC1">
            <w:pPr>
              <w:suppressAutoHyphens w:val="0"/>
              <w:spacing w:before="80" w:after="80" w:line="200" w:lineRule="exact"/>
              <w:ind w:right="113"/>
              <w:rPr>
                <w:i/>
                <w:iCs/>
                <w:sz w:val="16"/>
                <w:szCs w:val="16"/>
              </w:rPr>
            </w:pPr>
            <w:r w:rsidRPr="008442C6">
              <w:rPr>
                <w:i/>
                <w:iCs/>
                <w:sz w:val="16"/>
                <w:szCs w:val="16"/>
              </w:rPr>
              <w:t>Year</w:t>
            </w:r>
          </w:p>
        </w:tc>
        <w:tc>
          <w:tcPr>
            <w:tcW w:w="2376" w:type="dxa"/>
            <w:tcBorders>
              <w:top w:val="single" w:sz="12" w:space="0" w:color="auto"/>
            </w:tcBorders>
            <w:shd w:val="clear" w:color="auto" w:fill="auto"/>
            <w:vAlign w:val="bottom"/>
          </w:tcPr>
          <w:p w:rsidR="00BD77CC" w:rsidRPr="008442C6" w:rsidRDefault="00BD77CC" w:rsidP="004D2AC1">
            <w:pPr>
              <w:suppressAutoHyphens w:val="0"/>
              <w:spacing w:before="80" w:after="80" w:line="200" w:lineRule="exact"/>
              <w:ind w:right="113"/>
              <w:jc w:val="right"/>
              <w:rPr>
                <w:i/>
                <w:iCs/>
                <w:sz w:val="16"/>
                <w:szCs w:val="16"/>
              </w:rPr>
            </w:pPr>
            <w:r w:rsidRPr="008442C6">
              <w:rPr>
                <w:i/>
                <w:iCs/>
                <w:sz w:val="16"/>
                <w:szCs w:val="16"/>
              </w:rPr>
              <w:t>Total</w:t>
            </w:r>
          </w:p>
        </w:tc>
        <w:tc>
          <w:tcPr>
            <w:tcW w:w="2342" w:type="dxa"/>
            <w:tcBorders>
              <w:top w:val="single" w:sz="12" w:space="0" w:color="auto"/>
            </w:tcBorders>
            <w:shd w:val="clear" w:color="auto" w:fill="auto"/>
            <w:vAlign w:val="bottom"/>
          </w:tcPr>
          <w:p w:rsidR="00BD77CC" w:rsidRPr="008442C6" w:rsidRDefault="00BD77CC" w:rsidP="004D2AC1">
            <w:pPr>
              <w:suppressAutoHyphens w:val="0"/>
              <w:spacing w:before="80" w:after="80" w:line="200" w:lineRule="exact"/>
              <w:ind w:right="113"/>
              <w:jc w:val="right"/>
              <w:rPr>
                <w:i/>
                <w:iCs/>
                <w:sz w:val="16"/>
                <w:szCs w:val="16"/>
              </w:rPr>
            </w:pPr>
            <w:r w:rsidRPr="008442C6">
              <w:rPr>
                <w:i/>
                <w:iCs/>
                <w:sz w:val="16"/>
                <w:szCs w:val="16"/>
              </w:rPr>
              <w:t>Men</w:t>
            </w:r>
          </w:p>
        </w:tc>
        <w:tc>
          <w:tcPr>
            <w:tcW w:w="2507" w:type="dxa"/>
            <w:tcBorders>
              <w:top w:val="single" w:sz="12" w:space="0" w:color="auto"/>
            </w:tcBorders>
            <w:shd w:val="clear" w:color="auto" w:fill="auto"/>
            <w:vAlign w:val="bottom"/>
          </w:tcPr>
          <w:p w:rsidR="00BD77CC" w:rsidRPr="008442C6" w:rsidRDefault="00BD77CC" w:rsidP="004D2AC1">
            <w:pPr>
              <w:suppressAutoHyphens w:val="0"/>
              <w:spacing w:before="80" w:after="80" w:line="200" w:lineRule="exact"/>
              <w:ind w:right="113"/>
              <w:jc w:val="right"/>
              <w:rPr>
                <w:i/>
                <w:iCs/>
                <w:sz w:val="16"/>
                <w:szCs w:val="16"/>
              </w:rPr>
            </w:pPr>
            <w:r w:rsidRPr="008442C6">
              <w:rPr>
                <w:i/>
                <w:iCs/>
                <w:sz w:val="16"/>
                <w:szCs w:val="16"/>
              </w:rPr>
              <w:t>Women</w:t>
            </w:r>
          </w:p>
        </w:tc>
      </w:tr>
      <w:tr w:rsidR="00BD77CC" w:rsidRPr="008442C6" w:rsidTr="004D2AC1">
        <w:tc>
          <w:tcPr>
            <w:tcW w:w="2403" w:type="dxa"/>
            <w:shd w:val="clear" w:color="auto" w:fill="auto"/>
          </w:tcPr>
          <w:p w:rsidR="00BD77CC" w:rsidRPr="008442C6" w:rsidRDefault="00BD77CC" w:rsidP="004D2AC1">
            <w:pPr>
              <w:suppressAutoHyphens w:val="0"/>
              <w:spacing w:before="40" w:after="40" w:line="220" w:lineRule="exact"/>
              <w:ind w:right="113"/>
              <w:rPr>
                <w:sz w:val="18"/>
              </w:rPr>
            </w:pPr>
            <w:r w:rsidRPr="008442C6">
              <w:rPr>
                <w:sz w:val="18"/>
              </w:rPr>
              <w:t>2016</w:t>
            </w:r>
          </w:p>
        </w:tc>
        <w:tc>
          <w:tcPr>
            <w:tcW w:w="2376" w:type="dxa"/>
            <w:shd w:val="clear" w:color="auto" w:fill="auto"/>
            <w:vAlign w:val="bottom"/>
          </w:tcPr>
          <w:p w:rsidR="00BD77CC" w:rsidRPr="008442C6" w:rsidRDefault="00BD77CC" w:rsidP="004D2AC1">
            <w:pPr>
              <w:suppressAutoHyphens w:val="0"/>
              <w:spacing w:before="40" w:after="40" w:line="220" w:lineRule="exact"/>
              <w:ind w:right="113"/>
              <w:jc w:val="right"/>
              <w:rPr>
                <w:sz w:val="18"/>
              </w:rPr>
            </w:pPr>
            <w:r w:rsidRPr="008442C6">
              <w:rPr>
                <w:sz w:val="18"/>
              </w:rPr>
              <w:t>15</w:t>
            </w:r>
          </w:p>
        </w:tc>
        <w:tc>
          <w:tcPr>
            <w:tcW w:w="2342" w:type="dxa"/>
            <w:shd w:val="clear" w:color="auto" w:fill="auto"/>
            <w:vAlign w:val="bottom"/>
          </w:tcPr>
          <w:p w:rsidR="00BD77CC" w:rsidRPr="008442C6" w:rsidRDefault="00BD77CC" w:rsidP="004D2AC1">
            <w:pPr>
              <w:suppressAutoHyphens w:val="0"/>
              <w:spacing w:before="40" w:after="40" w:line="220" w:lineRule="exact"/>
              <w:ind w:right="113"/>
              <w:jc w:val="right"/>
              <w:rPr>
                <w:sz w:val="18"/>
              </w:rPr>
            </w:pPr>
            <w:r w:rsidRPr="008442C6">
              <w:rPr>
                <w:sz w:val="18"/>
              </w:rPr>
              <w:t>9</w:t>
            </w:r>
          </w:p>
        </w:tc>
        <w:tc>
          <w:tcPr>
            <w:tcW w:w="2507" w:type="dxa"/>
            <w:shd w:val="clear" w:color="auto" w:fill="auto"/>
            <w:vAlign w:val="bottom"/>
          </w:tcPr>
          <w:p w:rsidR="00BD77CC" w:rsidRPr="008442C6" w:rsidRDefault="00BD77CC" w:rsidP="004D2AC1">
            <w:pPr>
              <w:suppressAutoHyphens w:val="0"/>
              <w:spacing w:before="40" w:after="40" w:line="220" w:lineRule="exact"/>
              <w:ind w:right="113"/>
              <w:jc w:val="right"/>
              <w:rPr>
                <w:sz w:val="18"/>
              </w:rPr>
            </w:pPr>
            <w:r w:rsidRPr="008442C6">
              <w:rPr>
                <w:sz w:val="18"/>
              </w:rPr>
              <w:t>6</w:t>
            </w:r>
          </w:p>
        </w:tc>
      </w:tr>
      <w:tr w:rsidR="00BD77CC" w:rsidRPr="008442C6" w:rsidTr="004D2AC1">
        <w:tc>
          <w:tcPr>
            <w:tcW w:w="2403" w:type="dxa"/>
            <w:shd w:val="clear" w:color="auto" w:fill="auto"/>
          </w:tcPr>
          <w:p w:rsidR="00BD77CC" w:rsidRPr="008442C6" w:rsidRDefault="00BD77CC" w:rsidP="004D2AC1">
            <w:pPr>
              <w:suppressAutoHyphens w:val="0"/>
              <w:spacing w:before="40" w:after="40" w:line="220" w:lineRule="exact"/>
              <w:ind w:right="113"/>
              <w:rPr>
                <w:sz w:val="18"/>
              </w:rPr>
            </w:pPr>
            <w:r w:rsidRPr="008442C6">
              <w:rPr>
                <w:sz w:val="18"/>
              </w:rPr>
              <w:t>2015</w:t>
            </w:r>
          </w:p>
        </w:tc>
        <w:tc>
          <w:tcPr>
            <w:tcW w:w="2376" w:type="dxa"/>
            <w:shd w:val="clear" w:color="auto" w:fill="auto"/>
            <w:vAlign w:val="bottom"/>
          </w:tcPr>
          <w:p w:rsidR="00BD77CC" w:rsidRPr="008442C6" w:rsidRDefault="00BD77CC" w:rsidP="004D2AC1">
            <w:pPr>
              <w:suppressAutoHyphens w:val="0"/>
              <w:spacing w:before="40" w:after="40" w:line="220" w:lineRule="exact"/>
              <w:ind w:right="113"/>
              <w:jc w:val="right"/>
              <w:rPr>
                <w:sz w:val="18"/>
              </w:rPr>
            </w:pPr>
            <w:r w:rsidRPr="008442C6">
              <w:rPr>
                <w:sz w:val="18"/>
              </w:rPr>
              <w:t>15</w:t>
            </w:r>
          </w:p>
        </w:tc>
        <w:tc>
          <w:tcPr>
            <w:tcW w:w="2342" w:type="dxa"/>
            <w:shd w:val="clear" w:color="auto" w:fill="auto"/>
            <w:vAlign w:val="bottom"/>
          </w:tcPr>
          <w:p w:rsidR="00BD77CC" w:rsidRPr="008442C6" w:rsidRDefault="00BD77CC" w:rsidP="004D2AC1">
            <w:pPr>
              <w:suppressAutoHyphens w:val="0"/>
              <w:spacing w:before="40" w:after="40" w:line="220" w:lineRule="exact"/>
              <w:ind w:right="113"/>
              <w:jc w:val="right"/>
              <w:rPr>
                <w:sz w:val="18"/>
              </w:rPr>
            </w:pPr>
            <w:r w:rsidRPr="008442C6">
              <w:rPr>
                <w:sz w:val="18"/>
              </w:rPr>
              <w:t>9</w:t>
            </w:r>
          </w:p>
        </w:tc>
        <w:tc>
          <w:tcPr>
            <w:tcW w:w="2507" w:type="dxa"/>
            <w:shd w:val="clear" w:color="auto" w:fill="auto"/>
            <w:vAlign w:val="bottom"/>
          </w:tcPr>
          <w:p w:rsidR="00BD77CC" w:rsidRPr="008442C6" w:rsidRDefault="00BD77CC" w:rsidP="004D2AC1">
            <w:pPr>
              <w:suppressAutoHyphens w:val="0"/>
              <w:spacing w:before="40" w:after="40" w:line="220" w:lineRule="exact"/>
              <w:ind w:right="113"/>
              <w:jc w:val="right"/>
              <w:rPr>
                <w:sz w:val="18"/>
              </w:rPr>
            </w:pPr>
            <w:r w:rsidRPr="008442C6">
              <w:rPr>
                <w:sz w:val="18"/>
              </w:rPr>
              <w:t>6</w:t>
            </w:r>
          </w:p>
        </w:tc>
      </w:tr>
      <w:tr w:rsidR="00BD77CC" w:rsidRPr="008442C6" w:rsidTr="004D2AC1">
        <w:tc>
          <w:tcPr>
            <w:tcW w:w="2403" w:type="dxa"/>
            <w:shd w:val="clear" w:color="auto" w:fill="auto"/>
          </w:tcPr>
          <w:p w:rsidR="00BD77CC" w:rsidRPr="008442C6" w:rsidRDefault="00BD77CC" w:rsidP="004D2AC1">
            <w:pPr>
              <w:suppressAutoHyphens w:val="0"/>
              <w:spacing w:before="40" w:after="40" w:line="220" w:lineRule="exact"/>
              <w:ind w:right="113"/>
              <w:rPr>
                <w:sz w:val="18"/>
              </w:rPr>
            </w:pPr>
            <w:r w:rsidRPr="008442C6">
              <w:rPr>
                <w:sz w:val="18"/>
              </w:rPr>
              <w:t>2014</w:t>
            </w:r>
          </w:p>
        </w:tc>
        <w:tc>
          <w:tcPr>
            <w:tcW w:w="2376" w:type="dxa"/>
            <w:shd w:val="clear" w:color="auto" w:fill="auto"/>
            <w:vAlign w:val="bottom"/>
          </w:tcPr>
          <w:p w:rsidR="00BD77CC" w:rsidRPr="008442C6" w:rsidRDefault="00BD77CC" w:rsidP="004D2AC1">
            <w:pPr>
              <w:suppressAutoHyphens w:val="0"/>
              <w:spacing w:before="40" w:after="40" w:line="220" w:lineRule="exact"/>
              <w:ind w:right="113"/>
              <w:jc w:val="right"/>
              <w:rPr>
                <w:sz w:val="18"/>
              </w:rPr>
            </w:pPr>
            <w:r w:rsidRPr="008442C6">
              <w:rPr>
                <w:sz w:val="18"/>
              </w:rPr>
              <w:t>21</w:t>
            </w:r>
          </w:p>
        </w:tc>
        <w:tc>
          <w:tcPr>
            <w:tcW w:w="2342" w:type="dxa"/>
            <w:shd w:val="clear" w:color="auto" w:fill="auto"/>
            <w:vAlign w:val="bottom"/>
          </w:tcPr>
          <w:p w:rsidR="00BD77CC" w:rsidRPr="008442C6" w:rsidRDefault="00BD77CC" w:rsidP="004D2AC1">
            <w:pPr>
              <w:suppressAutoHyphens w:val="0"/>
              <w:spacing w:before="40" w:after="40" w:line="220" w:lineRule="exact"/>
              <w:ind w:right="113"/>
              <w:jc w:val="right"/>
              <w:rPr>
                <w:sz w:val="18"/>
              </w:rPr>
            </w:pPr>
            <w:r w:rsidRPr="008442C6">
              <w:rPr>
                <w:sz w:val="18"/>
              </w:rPr>
              <w:t>9</w:t>
            </w:r>
          </w:p>
        </w:tc>
        <w:tc>
          <w:tcPr>
            <w:tcW w:w="2507" w:type="dxa"/>
            <w:shd w:val="clear" w:color="auto" w:fill="auto"/>
            <w:vAlign w:val="bottom"/>
          </w:tcPr>
          <w:p w:rsidR="00BD77CC" w:rsidRPr="008442C6" w:rsidRDefault="00BD77CC" w:rsidP="004D2AC1">
            <w:pPr>
              <w:suppressAutoHyphens w:val="0"/>
              <w:spacing w:before="40" w:after="40" w:line="220" w:lineRule="exact"/>
              <w:ind w:right="113"/>
              <w:jc w:val="right"/>
              <w:rPr>
                <w:sz w:val="18"/>
              </w:rPr>
            </w:pPr>
            <w:r w:rsidRPr="008442C6">
              <w:rPr>
                <w:sz w:val="18"/>
              </w:rPr>
              <w:t>12</w:t>
            </w:r>
          </w:p>
        </w:tc>
      </w:tr>
    </w:tbl>
    <w:p w:rsidR="00BD77CC" w:rsidRPr="008442C6" w:rsidRDefault="00BD77CC" w:rsidP="00CB202D">
      <w:pPr>
        <w:spacing w:before="120"/>
        <w:ind w:left="1134" w:right="1134" w:firstLine="170"/>
        <w:rPr>
          <w:sz w:val="18"/>
        </w:rPr>
      </w:pPr>
      <w:r w:rsidRPr="008442C6">
        <w:rPr>
          <w:i/>
          <w:iCs/>
          <w:sz w:val="18"/>
        </w:rPr>
        <w:t>Source</w:t>
      </w:r>
      <w:r w:rsidRPr="008442C6">
        <w:rPr>
          <w:sz w:val="18"/>
        </w:rPr>
        <w:t>: National Programme for HIV/AIDS Infection, Directorate-General of Health</w:t>
      </w:r>
      <w:r w:rsidR="00CB202D" w:rsidRPr="008442C6">
        <w:rPr>
          <w:sz w:val="18"/>
        </w:rPr>
        <w:t>.</w:t>
      </w:r>
    </w:p>
    <w:p w:rsidR="00BD77CC" w:rsidRPr="008442C6" w:rsidRDefault="00BD77CC" w:rsidP="00CB202D">
      <w:pPr>
        <w:pStyle w:val="H1G"/>
      </w:pPr>
      <w:r w:rsidRPr="008442C6">
        <w:tab/>
      </w:r>
      <w:r w:rsidRPr="008442C6">
        <w:tab/>
        <w:t>Reply to paragraph 15</w:t>
      </w:r>
      <w:r w:rsidR="00CB202D" w:rsidRPr="008442C6">
        <w:t xml:space="preserve"> </w:t>
      </w:r>
      <w:r w:rsidRPr="008442C6">
        <w:t xml:space="preserve">(n) of the list of issues </w:t>
      </w:r>
    </w:p>
    <w:p w:rsidR="00BD77CC" w:rsidRPr="008442C6" w:rsidRDefault="00B60025" w:rsidP="00804846">
      <w:pPr>
        <w:pStyle w:val="H23G"/>
        <w:spacing w:after="240"/>
      </w:pPr>
      <w:r w:rsidRPr="008442C6">
        <w:tab/>
      </w:r>
      <w:r w:rsidRPr="008442C6">
        <w:tab/>
      </w:r>
      <w:r w:rsidR="00BD77CC" w:rsidRPr="008442C6">
        <w:t>Prevalence of consumption of any illicit substance throughout life 13</w:t>
      </w:r>
      <w:r w:rsidR="00804846">
        <w:t>–</w:t>
      </w:r>
      <w:r w:rsidR="00BD77CC" w:rsidRPr="008442C6">
        <w:t>18 years old, in 2015</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83"/>
        <w:gridCol w:w="3887"/>
      </w:tblGrid>
      <w:tr w:rsidR="00BD77CC" w:rsidRPr="008442C6" w:rsidTr="009A0517">
        <w:trPr>
          <w:tblHeader/>
        </w:trPr>
        <w:tc>
          <w:tcPr>
            <w:tcW w:w="3533" w:type="dxa"/>
            <w:tcBorders>
              <w:top w:val="single" w:sz="4" w:space="0" w:color="auto"/>
              <w:bottom w:val="single" w:sz="12" w:space="0" w:color="auto"/>
            </w:tcBorders>
            <w:shd w:val="clear" w:color="auto" w:fill="auto"/>
            <w:vAlign w:val="bottom"/>
          </w:tcPr>
          <w:p w:rsidR="00BD77CC" w:rsidRPr="008442C6" w:rsidRDefault="00BD77CC" w:rsidP="009A0517">
            <w:pPr>
              <w:suppressAutoHyphens w:val="0"/>
              <w:spacing w:before="80" w:after="80" w:line="200" w:lineRule="exact"/>
              <w:ind w:right="113"/>
              <w:rPr>
                <w:i/>
                <w:sz w:val="16"/>
              </w:rPr>
            </w:pPr>
            <w:r w:rsidRPr="008442C6">
              <w:rPr>
                <w:i/>
                <w:sz w:val="16"/>
              </w:rPr>
              <w:t>Ages</w:t>
            </w:r>
          </w:p>
        </w:tc>
        <w:tc>
          <w:tcPr>
            <w:tcW w:w="3943" w:type="dxa"/>
            <w:tcBorders>
              <w:top w:val="single" w:sz="4" w:space="0" w:color="auto"/>
              <w:bottom w:val="single" w:sz="12" w:space="0" w:color="auto"/>
            </w:tcBorders>
            <w:shd w:val="clear" w:color="auto" w:fill="auto"/>
            <w:vAlign w:val="bottom"/>
          </w:tcPr>
          <w:p w:rsidR="00BD77CC" w:rsidRPr="008442C6" w:rsidRDefault="00BD77CC" w:rsidP="009A0517">
            <w:pPr>
              <w:suppressAutoHyphens w:val="0"/>
              <w:spacing w:before="80" w:after="80" w:line="200" w:lineRule="exact"/>
              <w:ind w:right="113"/>
              <w:jc w:val="right"/>
              <w:rPr>
                <w:i/>
                <w:sz w:val="16"/>
              </w:rPr>
            </w:pPr>
            <w:r w:rsidRPr="008442C6">
              <w:rPr>
                <w:i/>
                <w:sz w:val="16"/>
              </w:rPr>
              <w:t>% of population</w:t>
            </w:r>
          </w:p>
        </w:tc>
      </w:tr>
      <w:tr w:rsidR="00BD77CC" w:rsidRPr="008442C6" w:rsidTr="009A0517">
        <w:tc>
          <w:tcPr>
            <w:tcW w:w="3533" w:type="dxa"/>
            <w:tcBorders>
              <w:top w:val="single" w:sz="12" w:space="0" w:color="auto"/>
            </w:tcBorders>
            <w:shd w:val="clear" w:color="auto" w:fill="auto"/>
          </w:tcPr>
          <w:p w:rsidR="00BD77CC" w:rsidRPr="008442C6" w:rsidRDefault="00BD77CC" w:rsidP="009A0517">
            <w:pPr>
              <w:suppressAutoHyphens w:val="0"/>
              <w:spacing w:before="40" w:after="40" w:line="220" w:lineRule="exact"/>
              <w:ind w:right="113"/>
              <w:rPr>
                <w:sz w:val="18"/>
              </w:rPr>
            </w:pPr>
            <w:r w:rsidRPr="008442C6">
              <w:rPr>
                <w:sz w:val="18"/>
              </w:rPr>
              <w:t xml:space="preserve">13 </w:t>
            </w:r>
          </w:p>
        </w:tc>
        <w:tc>
          <w:tcPr>
            <w:tcW w:w="3943" w:type="dxa"/>
            <w:tcBorders>
              <w:top w:val="single" w:sz="12" w:space="0" w:color="auto"/>
            </w:tcBorders>
            <w:shd w:val="clear" w:color="auto" w:fill="auto"/>
            <w:vAlign w:val="bottom"/>
          </w:tcPr>
          <w:p w:rsidR="00BD77CC" w:rsidRPr="008442C6" w:rsidRDefault="00BD77CC" w:rsidP="009A0517">
            <w:pPr>
              <w:suppressAutoHyphens w:val="0"/>
              <w:spacing w:before="40" w:after="40" w:line="220" w:lineRule="exact"/>
              <w:ind w:right="113"/>
              <w:jc w:val="right"/>
              <w:rPr>
                <w:sz w:val="18"/>
              </w:rPr>
            </w:pPr>
            <w:r w:rsidRPr="008442C6">
              <w:rPr>
                <w:sz w:val="18"/>
              </w:rPr>
              <w:t>2</w:t>
            </w:r>
            <w:r w:rsidR="009A0517" w:rsidRPr="008442C6">
              <w:rPr>
                <w:sz w:val="18"/>
              </w:rPr>
              <w:t>.</w:t>
            </w:r>
            <w:r w:rsidRPr="008442C6">
              <w:rPr>
                <w:sz w:val="18"/>
              </w:rPr>
              <w:t>7%</w:t>
            </w:r>
          </w:p>
        </w:tc>
      </w:tr>
      <w:tr w:rsidR="00BD77CC" w:rsidRPr="008442C6" w:rsidTr="009A0517">
        <w:tc>
          <w:tcPr>
            <w:tcW w:w="3533" w:type="dxa"/>
            <w:shd w:val="clear" w:color="auto" w:fill="auto"/>
          </w:tcPr>
          <w:p w:rsidR="00BD77CC" w:rsidRPr="008442C6" w:rsidRDefault="00BD77CC" w:rsidP="009A0517">
            <w:pPr>
              <w:suppressAutoHyphens w:val="0"/>
              <w:spacing w:before="40" w:after="40" w:line="220" w:lineRule="exact"/>
              <w:ind w:right="113"/>
              <w:rPr>
                <w:sz w:val="18"/>
              </w:rPr>
            </w:pPr>
            <w:r w:rsidRPr="008442C6">
              <w:rPr>
                <w:sz w:val="18"/>
              </w:rPr>
              <w:t xml:space="preserve">14 </w:t>
            </w:r>
          </w:p>
        </w:tc>
        <w:tc>
          <w:tcPr>
            <w:tcW w:w="3943" w:type="dxa"/>
            <w:shd w:val="clear" w:color="auto" w:fill="auto"/>
            <w:vAlign w:val="bottom"/>
          </w:tcPr>
          <w:p w:rsidR="00BD77CC" w:rsidRPr="008442C6" w:rsidRDefault="00BD77CC" w:rsidP="009A0517">
            <w:pPr>
              <w:suppressAutoHyphens w:val="0"/>
              <w:spacing w:before="40" w:after="40" w:line="220" w:lineRule="exact"/>
              <w:ind w:right="113"/>
              <w:jc w:val="right"/>
              <w:rPr>
                <w:sz w:val="18"/>
              </w:rPr>
            </w:pPr>
            <w:r w:rsidRPr="008442C6">
              <w:rPr>
                <w:sz w:val="18"/>
              </w:rPr>
              <w:t>5</w:t>
            </w:r>
            <w:r w:rsidR="009A0517" w:rsidRPr="008442C6">
              <w:rPr>
                <w:sz w:val="18"/>
              </w:rPr>
              <w:t>.</w:t>
            </w:r>
            <w:r w:rsidRPr="008442C6">
              <w:rPr>
                <w:sz w:val="18"/>
              </w:rPr>
              <w:t>9%</w:t>
            </w:r>
          </w:p>
        </w:tc>
      </w:tr>
      <w:tr w:rsidR="00BD77CC" w:rsidRPr="008442C6" w:rsidTr="009A0517">
        <w:tc>
          <w:tcPr>
            <w:tcW w:w="3533" w:type="dxa"/>
            <w:shd w:val="clear" w:color="auto" w:fill="auto"/>
          </w:tcPr>
          <w:p w:rsidR="00BD77CC" w:rsidRPr="008442C6" w:rsidRDefault="00BD77CC" w:rsidP="009A0517">
            <w:pPr>
              <w:suppressAutoHyphens w:val="0"/>
              <w:spacing w:before="40" w:after="40" w:line="220" w:lineRule="exact"/>
              <w:ind w:right="113"/>
              <w:rPr>
                <w:sz w:val="18"/>
              </w:rPr>
            </w:pPr>
            <w:r w:rsidRPr="008442C6">
              <w:rPr>
                <w:sz w:val="18"/>
              </w:rPr>
              <w:t xml:space="preserve">15 </w:t>
            </w:r>
          </w:p>
        </w:tc>
        <w:tc>
          <w:tcPr>
            <w:tcW w:w="3943" w:type="dxa"/>
            <w:shd w:val="clear" w:color="auto" w:fill="auto"/>
            <w:vAlign w:val="bottom"/>
          </w:tcPr>
          <w:p w:rsidR="00BD77CC" w:rsidRPr="008442C6" w:rsidRDefault="00BD77CC" w:rsidP="009A0517">
            <w:pPr>
              <w:suppressAutoHyphens w:val="0"/>
              <w:spacing w:before="40" w:after="40" w:line="220" w:lineRule="exact"/>
              <w:ind w:right="113"/>
              <w:jc w:val="right"/>
              <w:rPr>
                <w:sz w:val="18"/>
              </w:rPr>
            </w:pPr>
            <w:r w:rsidRPr="008442C6">
              <w:rPr>
                <w:sz w:val="18"/>
              </w:rPr>
              <w:t>10</w:t>
            </w:r>
            <w:r w:rsidR="009A0517" w:rsidRPr="008442C6">
              <w:rPr>
                <w:sz w:val="18"/>
              </w:rPr>
              <w:t>.</w:t>
            </w:r>
            <w:r w:rsidRPr="008442C6">
              <w:rPr>
                <w:sz w:val="18"/>
              </w:rPr>
              <w:t>1%</w:t>
            </w:r>
          </w:p>
        </w:tc>
      </w:tr>
      <w:tr w:rsidR="00BD77CC" w:rsidRPr="008442C6" w:rsidTr="009A0517">
        <w:tc>
          <w:tcPr>
            <w:tcW w:w="3533" w:type="dxa"/>
            <w:shd w:val="clear" w:color="auto" w:fill="auto"/>
          </w:tcPr>
          <w:p w:rsidR="00BD77CC" w:rsidRPr="008442C6" w:rsidRDefault="00BD77CC" w:rsidP="009A0517">
            <w:pPr>
              <w:suppressAutoHyphens w:val="0"/>
              <w:spacing w:before="40" w:after="40" w:line="220" w:lineRule="exact"/>
              <w:ind w:right="113"/>
              <w:rPr>
                <w:sz w:val="18"/>
              </w:rPr>
            </w:pPr>
            <w:r w:rsidRPr="008442C6">
              <w:rPr>
                <w:sz w:val="18"/>
              </w:rPr>
              <w:t xml:space="preserve">16 </w:t>
            </w:r>
          </w:p>
        </w:tc>
        <w:tc>
          <w:tcPr>
            <w:tcW w:w="3943" w:type="dxa"/>
            <w:shd w:val="clear" w:color="auto" w:fill="auto"/>
            <w:vAlign w:val="bottom"/>
          </w:tcPr>
          <w:p w:rsidR="00BD77CC" w:rsidRPr="008442C6" w:rsidRDefault="00BD77CC" w:rsidP="009A0517">
            <w:pPr>
              <w:suppressAutoHyphens w:val="0"/>
              <w:spacing w:before="40" w:after="40" w:line="220" w:lineRule="exact"/>
              <w:ind w:right="113"/>
              <w:jc w:val="right"/>
              <w:rPr>
                <w:sz w:val="18"/>
              </w:rPr>
            </w:pPr>
            <w:r w:rsidRPr="008442C6">
              <w:rPr>
                <w:sz w:val="18"/>
              </w:rPr>
              <w:t>17</w:t>
            </w:r>
            <w:r w:rsidR="009A0517" w:rsidRPr="008442C6">
              <w:rPr>
                <w:sz w:val="18"/>
              </w:rPr>
              <w:t>.</w:t>
            </w:r>
            <w:r w:rsidRPr="008442C6">
              <w:rPr>
                <w:sz w:val="18"/>
              </w:rPr>
              <w:t>7%</w:t>
            </w:r>
          </w:p>
        </w:tc>
      </w:tr>
      <w:tr w:rsidR="00BD77CC" w:rsidRPr="008442C6" w:rsidTr="009A0517">
        <w:tc>
          <w:tcPr>
            <w:tcW w:w="3533" w:type="dxa"/>
            <w:shd w:val="clear" w:color="auto" w:fill="auto"/>
          </w:tcPr>
          <w:p w:rsidR="00BD77CC" w:rsidRPr="008442C6" w:rsidRDefault="00BD77CC" w:rsidP="009A0517">
            <w:pPr>
              <w:suppressAutoHyphens w:val="0"/>
              <w:spacing w:before="40" w:after="40" w:line="220" w:lineRule="exact"/>
              <w:ind w:right="113"/>
              <w:rPr>
                <w:sz w:val="18"/>
              </w:rPr>
            </w:pPr>
            <w:r w:rsidRPr="008442C6">
              <w:rPr>
                <w:sz w:val="18"/>
              </w:rPr>
              <w:t xml:space="preserve">17 </w:t>
            </w:r>
          </w:p>
        </w:tc>
        <w:tc>
          <w:tcPr>
            <w:tcW w:w="3943" w:type="dxa"/>
            <w:shd w:val="clear" w:color="auto" w:fill="auto"/>
            <w:vAlign w:val="bottom"/>
          </w:tcPr>
          <w:p w:rsidR="00BD77CC" w:rsidRPr="008442C6" w:rsidRDefault="00BD77CC" w:rsidP="009A0517">
            <w:pPr>
              <w:suppressAutoHyphens w:val="0"/>
              <w:spacing w:before="40" w:after="40" w:line="220" w:lineRule="exact"/>
              <w:ind w:right="113"/>
              <w:jc w:val="right"/>
              <w:rPr>
                <w:sz w:val="18"/>
              </w:rPr>
            </w:pPr>
            <w:r w:rsidRPr="008442C6">
              <w:rPr>
                <w:sz w:val="18"/>
              </w:rPr>
              <w:t>27.0%</w:t>
            </w:r>
          </w:p>
        </w:tc>
      </w:tr>
      <w:tr w:rsidR="00BD77CC" w:rsidRPr="008442C6" w:rsidTr="009A0517">
        <w:tc>
          <w:tcPr>
            <w:tcW w:w="3533" w:type="dxa"/>
            <w:shd w:val="clear" w:color="auto" w:fill="auto"/>
          </w:tcPr>
          <w:p w:rsidR="00BD77CC" w:rsidRPr="008442C6" w:rsidRDefault="00BD77CC" w:rsidP="009A0517">
            <w:pPr>
              <w:suppressAutoHyphens w:val="0"/>
              <w:spacing w:before="40" w:after="40" w:line="220" w:lineRule="exact"/>
              <w:ind w:right="113"/>
              <w:rPr>
                <w:sz w:val="18"/>
              </w:rPr>
            </w:pPr>
            <w:r w:rsidRPr="008442C6">
              <w:rPr>
                <w:sz w:val="18"/>
              </w:rPr>
              <w:t xml:space="preserve">18 </w:t>
            </w:r>
          </w:p>
        </w:tc>
        <w:tc>
          <w:tcPr>
            <w:tcW w:w="3943" w:type="dxa"/>
            <w:shd w:val="clear" w:color="auto" w:fill="auto"/>
            <w:vAlign w:val="bottom"/>
          </w:tcPr>
          <w:p w:rsidR="00BD77CC" w:rsidRPr="008442C6" w:rsidRDefault="00BD77CC" w:rsidP="009A0517">
            <w:pPr>
              <w:suppressAutoHyphens w:val="0"/>
              <w:spacing w:before="40" w:after="40" w:line="220" w:lineRule="exact"/>
              <w:ind w:right="113"/>
              <w:jc w:val="right"/>
              <w:rPr>
                <w:sz w:val="18"/>
              </w:rPr>
            </w:pPr>
            <w:r w:rsidRPr="008442C6">
              <w:rPr>
                <w:sz w:val="18"/>
              </w:rPr>
              <w:t>35</w:t>
            </w:r>
            <w:r w:rsidR="009A0517" w:rsidRPr="008442C6">
              <w:rPr>
                <w:sz w:val="18"/>
              </w:rPr>
              <w:t>.</w:t>
            </w:r>
            <w:r w:rsidRPr="008442C6">
              <w:rPr>
                <w:sz w:val="18"/>
              </w:rPr>
              <w:t>2%</w:t>
            </w:r>
          </w:p>
        </w:tc>
      </w:tr>
    </w:tbl>
    <w:p w:rsidR="00BD77CC" w:rsidRPr="008442C6" w:rsidRDefault="00BD77CC" w:rsidP="00DF3A4A">
      <w:pPr>
        <w:spacing w:before="120"/>
        <w:ind w:left="1134" w:right="1134" w:firstLine="170"/>
        <w:rPr>
          <w:sz w:val="18"/>
          <w:szCs w:val="18"/>
        </w:rPr>
      </w:pPr>
      <w:r w:rsidRPr="008442C6">
        <w:rPr>
          <w:i/>
          <w:iCs/>
          <w:sz w:val="18"/>
          <w:szCs w:val="18"/>
        </w:rPr>
        <w:t>Source</w:t>
      </w:r>
      <w:r w:rsidRPr="008442C6">
        <w:rPr>
          <w:sz w:val="18"/>
          <w:szCs w:val="18"/>
        </w:rPr>
        <w:t>: Feijão, 2009, Feijão et al. 2012; Feijão, 2016/Intervention Services in Addict</w:t>
      </w:r>
      <w:r w:rsidR="008A12AE">
        <w:rPr>
          <w:sz w:val="18"/>
          <w:szCs w:val="18"/>
        </w:rPr>
        <w:t>ive Behaviours and Dependencies.</w:t>
      </w:r>
    </w:p>
    <w:p w:rsidR="00BD77CC" w:rsidRPr="008442C6" w:rsidRDefault="00BD77CC" w:rsidP="00DF3A4A">
      <w:pPr>
        <w:pStyle w:val="SingleTxtG"/>
        <w:spacing w:before="240"/>
      </w:pPr>
      <w:r w:rsidRPr="008442C6">
        <w:t>102.</w:t>
      </w:r>
      <w:r w:rsidRPr="008442C6">
        <w:tab/>
        <w:t>Recent studies on children using illicit drugs or substances in Portugal:</w:t>
      </w:r>
    </w:p>
    <w:p w:rsidR="00BD77CC" w:rsidRPr="008442C6" w:rsidRDefault="00A04651" w:rsidP="00804846">
      <w:pPr>
        <w:pStyle w:val="SingleTxtG"/>
      </w:pPr>
      <w:r w:rsidRPr="008442C6">
        <w:tab/>
      </w:r>
      <w:r w:rsidR="00BD77CC" w:rsidRPr="008442C6">
        <w:t>(a)</w:t>
      </w:r>
      <w:r w:rsidR="00BD77CC" w:rsidRPr="008442C6">
        <w:tab/>
        <w:t>Survey on Addictive Behaviours conducted for the 3rd time targeting youth who completed 18 years old in 2017, called for the National Defence Day (82 872 individuals)</w:t>
      </w:r>
      <w:r w:rsidRPr="008442C6">
        <w:t>.</w:t>
      </w:r>
      <w:r w:rsidR="00BD77CC" w:rsidRPr="008442C6">
        <w:rPr>
          <w:rStyle w:val="FootnoteReference"/>
        </w:rPr>
        <w:footnoteReference w:id="11"/>
      </w:r>
      <w:r w:rsidRPr="008442C6">
        <w:t xml:space="preserve"> </w:t>
      </w:r>
      <w:r w:rsidR="00BD77CC" w:rsidRPr="008442C6">
        <w:t xml:space="preserve">The prevalence of use of any drug </w:t>
      </w:r>
      <w:r w:rsidR="00804846">
        <w:t>–</w:t>
      </w:r>
      <w:r w:rsidR="00BD77CC" w:rsidRPr="008442C6">
        <w:t xml:space="preserve"> 34% lifetime prevalence, 26% in the last 12 months and 16% in the last 30 days </w:t>
      </w:r>
      <w:r w:rsidR="00804846">
        <w:t>–</w:t>
      </w:r>
      <w:r w:rsidR="00BD77CC" w:rsidRPr="008442C6">
        <w:t xml:space="preserve"> were broadly in line with the pattern of previous year</w:t>
      </w:r>
      <w:r w:rsidR="00804846">
        <w:t>’</w:t>
      </w:r>
      <w:r w:rsidR="00BD77CC" w:rsidRPr="008442C6">
        <w:t>s results and other recent studies in school populations of the same age, although showing a higher frequency of cannabis use and also higher prevalence of use of illicit substances other than cannabis. Consumption continued to be more expressive in boys;</w:t>
      </w:r>
    </w:p>
    <w:p w:rsidR="00BD77CC" w:rsidRPr="008442C6" w:rsidRDefault="00A04651" w:rsidP="009C598B">
      <w:pPr>
        <w:pStyle w:val="SingleTxtG"/>
      </w:pPr>
      <w:r w:rsidRPr="008442C6">
        <w:tab/>
      </w:r>
      <w:r w:rsidR="00BD77CC" w:rsidRPr="008442C6">
        <w:t>(b)</w:t>
      </w:r>
      <w:r w:rsidR="00BD77CC" w:rsidRPr="008442C6">
        <w:tab/>
        <w:t>Survey on Alcohol, Tobacco and Drug Use,</w:t>
      </w:r>
      <w:r w:rsidR="00BD77CC" w:rsidRPr="008442C6">
        <w:rPr>
          <w:rStyle w:val="FootnoteReference"/>
        </w:rPr>
        <w:footnoteReference w:id="12"/>
      </w:r>
      <w:r w:rsidR="00BD77CC" w:rsidRPr="008442C6">
        <w:t xml:space="preserve"> conducted in 2015, targeting students from 13 to 18 years old. The lifetime prevalence of any drug (between 3% at 13 years old and 35% at 18 years old) was very similar to those of cannabis (between 2% at 13 years old and 34% at 18 years old). Prevalence of recent cannabis use ranged from 1 % (13 years old) to 27 % (18 years old) and of current use from 0,7 % (13 years old) to 14 % (18 years old). Between 2011 and 2015 a decline in prevalence of use of any drug at almost all ages was registered except older ones (stability at 17 and rise at 18 years old). As in previous years, overall, illicit substance use was more expressive among boys than girls of all ages;</w:t>
      </w:r>
    </w:p>
    <w:p w:rsidR="00BD77CC" w:rsidRPr="008442C6" w:rsidRDefault="00A04651" w:rsidP="00A04651">
      <w:pPr>
        <w:pStyle w:val="SingleTxtG"/>
      </w:pPr>
      <w:r w:rsidRPr="008442C6">
        <w:tab/>
      </w:r>
      <w:r w:rsidR="00BD77CC" w:rsidRPr="008442C6">
        <w:t>(c)</w:t>
      </w:r>
      <w:r w:rsidR="00BD77CC" w:rsidRPr="008442C6">
        <w:tab/>
        <w:t>A European School Survey Project on Alcohol and Other Drugs</w:t>
      </w:r>
      <w:r w:rsidR="00BD77CC" w:rsidRPr="008442C6">
        <w:rPr>
          <w:rStyle w:val="FootnoteReference"/>
        </w:rPr>
        <w:footnoteReference w:id="13"/>
      </w:r>
      <w:r w:rsidR="00BD77CC" w:rsidRPr="008442C6">
        <w:t xml:space="preserve"> was conducted in 2015 targeting 16 years old students. Portugal registered, in general, </w:t>
      </w:r>
      <w:r w:rsidR="00BD77CC" w:rsidRPr="008442C6">
        <w:lastRenderedPageBreak/>
        <w:t xml:space="preserve">prevalence of use of any drug (16%), cannabis (15%) and other illicit substances (4%) lower than the European average, with lower prevalence among boys and very similar among girls. Between 2011 and 2015 there was a decrease in the prevalence of use of most of the drugs considered, more significantly in the male group. About 1% of respondents reported having daily/almost daily cannabis use, as in 2011. It should be noted that the lifetime prevalence of use of other substances, namely new psychoactive substances and medicines, was equal to or lower than 2% in the various studies conducted in 2014 and 2015, except for the use of tranquillisers/sedatives, in particular with prescription, which registered higher prevalence. </w:t>
      </w:r>
    </w:p>
    <w:p w:rsidR="00BD77CC" w:rsidRPr="008442C6" w:rsidRDefault="00BD77CC" w:rsidP="00A04651">
      <w:pPr>
        <w:pStyle w:val="H1G"/>
      </w:pPr>
      <w:r w:rsidRPr="008442C6">
        <w:tab/>
      </w:r>
      <w:r w:rsidRPr="008442C6">
        <w:tab/>
        <w:t>Reply to paragraph 15</w:t>
      </w:r>
      <w:r w:rsidR="008A12AE">
        <w:t xml:space="preserve"> </w:t>
      </w:r>
      <w:r w:rsidRPr="008442C6">
        <w:t xml:space="preserve">(o) of the list of issues </w:t>
      </w:r>
    </w:p>
    <w:p w:rsidR="00BD77CC" w:rsidRPr="008442C6" w:rsidRDefault="00B60025" w:rsidP="002C13AD">
      <w:pPr>
        <w:pStyle w:val="H23G"/>
        <w:spacing w:after="240"/>
      </w:pPr>
      <w:r w:rsidRPr="008442C6">
        <w:tab/>
      </w:r>
      <w:r w:rsidRPr="008442C6">
        <w:tab/>
      </w:r>
      <w:r w:rsidR="008A12AE">
        <w:t>Requests for i</w:t>
      </w:r>
      <w:r w:rsidR="00BD77CC" w:rsidRPr="008442C6">
        <w:t xml:space="preserve">nternational </w:t>
      </w:r>
      <w:r w:rsidR="002C13AD" w:rsidRPr="008442C6">
        <w:t>p</w:t>
      </w:r>
      <w:r w:rsidR="00BD77CC" w:rsidRPr="008442C6">
        <w:t>rotection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45"/>
        <w:gridCol w:w="1244"/>
        <w:gridCol w:w="1194"/>
        <w:gridCol w:w="1194"/>
        <w:gridCol w:w="1194"/>
        <w:gridCol w:w="1199"/>
      </w:tblGrid>
      <w:tr w:rsidR="00BD77CC" w:rsidRPr="008442C6" w:rsidTr="0069257E">
        <w:trPr>
          <w:tblHeader/>
        </w:trPr>
        <w:tc>
          <w:tcPr>
            <w:tcW w:w="1345" w:type="dxa"/>
            <w:vMerge w:val="restart"/>
            <w:tcBorders>
              <w:top w:val="single" w:sz="4" w:space="0" w:color="auto"/>
              <w:bottom w:val="single" w:sz="12" w:space="0" w:color="auto"/>
            </w:tcBorders>
            <w:shd w:val="clear" w:color="auto" w:fill="auto"/>
            <w:tcMar>
              <w:top w:w="0" w:type="dxa"/>
              <w:left w:w="70" w:type="dxa"/>
              <w:bottom w:w="0" w:type="dxa"/>
              <w:right w:w="70" w:type="dxa"/>
            </w:tcMar>
            <w:vAlign w:val="bottom"/>
            <w:hideMark/>
          </w:tcPr>
          <w:p w:rsidR="00BD77CC" w:rsidRPr="008442C6" w:rsidRDefault="00BD77CC" w:rsidP="0069257E">
            <w:pPr>
              <w:suppressAutoHyphens w:val="0"/>
              <w:spacing w:before="80" w:after="80" w:line="200" w:lineRule="exact"/>
              <w:ind w:right="113"/>
              <w:rPr>
                <w:i/>
                <w:sz w:val="16"/>
              </w:rPr>
            </w:pPr>
            <w:r w:rsidRPr="008442C6">
              <w:rPr>
                <w:i/>
                <w:sz w:val="16"/>
              </w:rPr>
              <w:t>2018</w:t>
            </w:r>
          </w:p>
        </w:tc>
        <w:tc>
          <w:tcPr>
            <w:tcW w:w="6025" w:type="dxa"/>
            <w:gridSpan w:val="5"/>
            <w:tcBorders>
              <w:top w:val="single" w:sz="4" w:space="0" w:color="auto"/>
              <w:bottom w:val="single" w:sz="4" w:space="0" w:color="auto"/>
            </w:tcBorders>
            <w:shd w:val="clear" w:color="auto" w:fill="auto"/>
            <w:tcMar>
              <w:top w:w="0" w:type="dxa"/>
              <w:left w:w="70" w:type="dxa"/>
              <w:bottom w:w="0" w:type="dxa"/>
              <w:right w:w="70" w:type="dxa"/>
            </w:tcMar>
            <w:vAlign w:val="bottom"/>
            <w:hideMark/>
          </w:tcPr>
          <w:p w:rsidR="00BD77CC" w:rsidRPr="008442C6" w:rsidRDefault="00BD77CC" w:rsidP="0069257E">
            <w:pPr>
              <w:suppressAutoHyphens w:val="0"/>
              <w:spacing w:before="80" w:after="80" w:line="200" w:lineRule="exact"/>
              <w:ind w:right="113"/>
              <w:jc w:val="center"/>
              <w:rPr>
                <w:i/>
                <w:sz w:val="16"/>
              </w:rPr>
            </w:pPr>
            <w:r w:rsidRPr="008442C6">
              <w:rPr>
                <w:i/>
                <w:sz w:val="16"/>
              </w:rPr>
              <w:t>Age group</w:t>
            </w:r>
          </w:p>
        </w:tc>
      </w:tr>
      <w:tr w:rsidR="00BD77CC" w:rsidRPr="008442C6" w:rsidTr="00AF2054">
        <w:trPr>
          <w:tblHeader/>
        </w:trPr>
        <w:tc>
          <w:tcPr>
            <w:tcW w:w="1345" w:type="dxa"/>
            <w:vMerge/>
            <w:tcBorders>
              <w:top w:val="single" w:sz="12" w:space="0" w:color="auto"/>
              <w:bottom w:val="single" w:sz="12" w:space="0" w:color="auto"/>
            </w:tcBorders>
            <w:shd w:val="clear" w:color="auto" w:fill="auto"/>
            <w:vAlign w:val="bottom"/>
            <w:hideMark/>
          </w:tcPr>
          <w:p w:rsidR="00BD77CC" w:rsidRPr="008442C6" w:rsidRDefault="00BD77CC" w:rsidP="0069257E">
            <w:pPr>
              <w:suppressAutoHyphens w:val="0"/>
              <w:spacing w:before="40" w:after="40" w:line="220" w:lineRule="exact"/>
              <w:ind w:right="113"/>
              <w:rPr>
                <w:sz w:val="18"/>
              </w:rPr>
            </w:pPr>
          </w:p>
        </w:tc>
        <w:tc>
          <w:tcPr>
            <w:tcW w:w="1244" w:type="dxa"/>
            <w:tcBorders>
              <w:top w:val="single" w:sz="4" w:space="0" w:color="auto"/>
              <w:bottom w:val="single" w:sz="12" w:space="0" w:color="auto"/>
            </w:tcBorders>
            <w:shd w:val="clear" w:color="auto" w:fill="auto"/>
            <w:tcMar>
              <w:top w:w="0" w:type="dxa"/>
              <w:left w:w="70" w:type="dxa"/>
              <w:bottom w:w="0" w:type="dxa"/>
              <w:right w:w="70" w:type="dxa"/>
            </w:tcMar>
            <w:vAlign w:val="bottom"/>
            <w:hideMark/>
          </w:tcPr>
          <w:p w:rsidR="00BD77CC" w:rsidRPr="008442C6" w:rsidRDefault="00BD77CC" w:rsidP="006D40B2">
            <w:pPr>
              <w:suppressAutoHyphens w:val="0"/>
              <w:spacing w:before="80" w:after="80" w:line="200" w:lineRule="exact"/>
              <w:ind w:right="113"/>
              <w:jc w:val="right"/>
              <w:rPr>
                <w:i/>
                <w:iCs/>
                <w:sz w:val="16"/>
                <w:szCs w:val="16"/>
              </w:rPr>
            </w:pPr>
            <w:r w:rsidRPr="008442C6">
              <w:rPr>
                <w:i/>
                <w:iCs/>
                <w:sz w:val="16"/>
                <w:szCs w:val="16"/>
              </w:rPr>
              <w:t>Total</w:t>
            </w:r>
          </w:p>
        </w:tc>
        <w:tc>
          <w:tcPr>
            <w:tcW w:w="1194" w:type="dxa"/>
            <w:tcBorders>
              <w:top w:val="single" w:sz="4" w:space="0" w:color="auto"/>
              <w:bottom w:val="single" w:sz="12" w:space="0" w:color="auto"/>
            </w:tcBorders>
            <w:shd w:val="clear" w:color="auto" w:fill="auto"/>
            <w:tcMar>
              <w:top w:w="0" w:type="dxa"/>
              <w:left w:w="70" w:type="dxa"/>
              <w:bottom w:w="0" w:type="dxa"/>
              <w:right w:w="70" w:type="dxa"/>
            </w:tcMar>
            <w:vAlign w:val="bottom"/>
            <w:hideMark/>
          </w:tcPr>
          <w:p w:rsidR="00BD77CC" w:rsidRPr="008442C6" w:rsidRDefault="00BD77CC" w:rsidP="006D40B2">
            <w:pPr>
              <w:suppressAutoHyphens w:val="0"/>
              <w:spacing w:before="80" w:after="80" w:line="200" w:lineRule="exact"/>
              <w:ind w:right="113"/>
              <w:jc w:val="right"/>
              <w:rPr>
                <w:i/>
                <w:iCs/>
                <w:sz w:val="16"/>
                <w:szCs w:val="16"/>
              </w:rPr>
            </w:pPr>
            <w:r w:rsidRPr="008442C6">
              <w:rPr>
                <w:i/>
                <w:iCs/>
                <w:sz w:val="16"/>
                <w:szCs w:val="16"/>
              </w:rPr>
              <w:t>0</w:t>
            </w:r>
            <w:r w:rsidR="00AF2054" w:rsidRPr="008442C6">
              <w:rPr>
                <w:i/>
                <w:iCs/>
                <w:sz w:val="16"/>
                <w:szCs w:val="16"/>
              </w:rPr>
              <w:t>–</w:t>
            </w:r>
            <w:r w:rsidRPr="008442C6">
              <w:rPr>
                <w:i/>
                <w:iCs/>
                <w:sz w:val="16"/>
                <w:szCs w:val="16"/>
              </w:rPr>
              <w:t>18</w:t>
            </w:r>
          </w:p>
        </w:tc>
        <w:tc>
          <w:tcPr>
            <w:tcW w:w="1194" w:type="dxa"/>
            <w:tcBorders>
              <w:top w:val="single" w:sz="4" w:space="0" w:color="auto"/>
              <w:bottom w:val="single" w:sz="12" w:space="0" w:color="auto"/>
            </w:tcBorders>
            <w:shd w:val="clear" w:color="auto" w:fill="auto"/>
            <w:tcMar>
              <w:top w:w="0" w:type="dxa"/>
              <w:left w:w="70" w:type="dxa"/>
              <w:bottom w:w="0" w:type="dxa"/>
              <w:right w:w="70" w:type="dxa"/>
            </w:tcMar>
            <w:vAlign w:val="bottom"/>
            <w:hideMark/>
          </w:tcPr>
          <w:p w:rsidR="00BD77CC" w:rsidRPr="008442C6" w:rsidRDefault="00BD77CC" w:rsidP="006D40B2">
            <w:pPr>
              <w:suppressAutoHyphens w:val="0"/>
              <w:spacing w:before="80" w:after="80" w:line="200" w:lineRule="exact"/>
              <w:ind w:right="113"/>
              <w:jc w:val="right"/>
              <w:rPr>
                <w:i/>
                <w:iCs/>
                <w:sz w:val="16"/>
                <w:szCs w:val="16"/>
              </w:rPr>
            </w:pPr>
            <w:r w:rsidRPr="008442C6">
              <w:rPr>
                <w:i/>
                <w:iCs/>
                <w:sz w:val="16"/>
                <w:szCs w:val="16"/>
              </w:rPr>
              <w:t>19</w:t>
            </w:r>
            <w:r w:rsidR="00AF2054" w:rsidRPr="008442C6">
              <w:rPr>
                <w:i/>
                <w:iCs/>
                <w:sz w:val="16"/>
                <w:szCs w:val="16"/>
              </w:rPr>
              <w:t>–</w:t>
            </w:r>
            <w:r w:rsidRPr="008442C6">
              <w:rPr>
                <w:i/>
                <w:iCs/>
                <w:sz w:val="16"/>
                <w:szCs w:val="16"/>
              </w:rPr>
              <w:t>39</w:t>
            </w:r>
          </w:p>
        </w:tc>
        <w:tc>
          <w:tcPr>
            <w:tcW w:w="1194" w:type="dxa"/>
            <w:tcBorders>
              <w:top w:val="single" w:sz="4" w:space="0" w:color="auto"/>
              <w:bottom w:val="single" w:sz="12" w:space="0" w:color="auto"/>
            </w:tcBorders>
            <w:shd w:val="clear" w:color="auto" w:fill="auto"/>
            <w:tcMar>
              <w:top w:w="0" w:type="dxa"/>
              <w:left w:w="70" w:type="dxa"/>
              <w:bottom w:w="0" w:type="dxa"/>
              <w:right w:w="70" w:type="dxa"/>
            </w:tcMar>
            <w:vAlign w:val="bottom"/>
            <w:hideMark/>
          </w:tcPr>
          <w:p w:rsidR="00BD77CC" w:rsidRPr="008442C6" w:rsidRDefault="00BD77CC" w:rsidP="006D40B2">
            <w:pPr>
              <w:suppressAutoHyphens w:val="0"/>
              <w:spacing w:before="80" w:after="80" w:line="200" w:lineRule="exact"/>
              <w:ind w:right="113"/>
              <w:jc w:val="right"/>
              <w:rPr>
                <w:i/>
                <w:iCs/>
                <w:sz w:val="16"/>
                <w:szCs w:val="16"/>
              </w:rPr>
            </w:pPr>
            <w:r w:rsidRPr="008442C6">
              <w:rPr>
                <w:i/>
                <w:iCs/>
                <w:sz w:val="16"/>
                <w:szCs w:val="16"/>
              </w:rPr>
              <w:t>40</w:t>
            </w:r>
            <w:r w:rsidR="00AF2054" w:rsidRPr="008442C6">
              <w:rPr>
                <w:i/>
                <w:iCs/>
                <w:sz w:val="16"/>
                <w:szCs w:val="16"/>
              </w:rPr>
              <w:t>–</w:t>
            </w:r>
            <w:r w:rsidRPr="008442C6">
              <w:rPr>
                <w:i/>
                <w:iCs/>
                <w:sz w:val="16"/>
                <w:szCs w:val="16"/>
              </w:rPr>
              <w:t>64</w:t>
            </w:r>
          </w:p>
        </w:tc>
        <w:tc>
          <w:tcPr>
            <w:tcW w:w="1199" w:type="dxa"/>
            <w:tcBorders>
              <w:top w:val="single" w:sz="4" w:space="0" w:color="auto"/>
              <w:bottom w:val="single" w:sz="12" w:space="0" w:color="auto"/>
            </w:tcBorders>
            <w:shd w:val="clear" w:color="auto" w:fill="auto"/>
            <w:tcMar>
              <w:top w:w="0" w:type="dxa"/>
              <w:left w:w="70" w:type="dxa"/>
              <w:bottom w:w="0" w:type="dxa"/>
              <w:right w:w="70" w:type="dxa"/>
            </w:tcMar>
            <w:vAlign w:val="bottom"/>
            <w:hideMark/>
          </w:tcPr>
          <w:p w:rsidR="00BD77CC" w:rsidRPr="008442C6" w:rsidRDefault="00BD77CC" w:rsidP="006D40B2">
            <w:pPr>
              <w:pStyle w:val="SingleTxtG"/>
              <w:suppressAutoHyphens w:val="0"/>
              <w:spacing w:before="80" w:after="80" w:line="200" w:lineRule="exact"/>
              <w:ind w:left="0" w:right="113"/>
              <w:jc w:val="right"/>
              <w:rPr>
                <w:i/>
                <w:iCs/>
                <w:sz w:val="16"/>
                <w:szCs w:val="16"/>
              </w:rPr>
            </w:pPr>
            <w:r w:rsidRPr="008442C6">
              <w:rPr>
                <w:i/>
                <w:iCs/>
                <w:sz w:val="16"/>
                <w:szCs w:val="16"/>
              </w:rPr>
              <w:t>+65</w:t>
            </w:r>
          </w:p>
        </w:tc>
      </w:tr>
      <w:tr w:rsidR="00BD77CC" w:rsidRPr="008442C6" w:rsidTr="00AF2054">
        <w:tc>
          <w:tcPr>
            <w:tcW w:w="1345" w:type="dxa"/>
            <w:tcBorders>
              <w:top w:val="single" w:sz="12" w:space="0" w:color="auto"/>
              <w:bottom w:val="single" w:sz="4" w:space="0" w:color="auto"/>
            </w:tcBorders>
            <w:shd w:val="clear" w:color="auto" w:fill="auto"/>
            <w:tcMar>
              <w:top w:w="0" w:type="dxa"/>
              <w:left w:w="70" w:type="dxa"/>
              <w:bottom w:w="0" w:type="dxa"/>
              <w:right w:w="70" w:type="dxa"/>
            </w:tcMar>
            <w:hideMark/>
          </w:tcPr>
          <w:p w:rsidR="00BD77CC" w:rsidRPr="008442C6" w:rsidRDefault="00BD77CC" w:rsidP="002C2E64">
            <w:pPr>
              <w:suppressAutoHyphens w:val="0"/>
              <w:spacing w:before="80" w:after="80" w:line="220" w:lineRule="exact"/>
              <w:ind w:left="283"/>
              <w:rPr>
                <w:b/>
                <w:bCs/>
                <w:sz w:val="18"/>
              </w:rPr>
            </w:pPr>
            <w:r w:rsidRPr="008442C6">
              <w:rPr>
                <w:b/>
                <w:bCs/>
                <w:sz w:val="18"/>
              </w:rPr>
              <w:t>Total</w:t>
            </w:r>
          </w:p>
        </w:tc>
        <w:tc>
          <w:tcPr>
            <w:tcW w:w="1244" w:type="dxa"/>
            <w:tcBorders>
              <w:top w:val="single" w:sz="12" w:space="0" w:color="auto"/>
              <w:bottom w:val="single" w:sz="4" w:space="0" w:color="auto"/>
            </w:tcBorders>
            <w:shd w:val="clear" w:color="auto" w:fill="auto"/>
            <w:tcMar>
              <w:top w:w="0" w:type="dxa"/>
              <w:left w:w="70" w:type="dxa"/>
              <w:bottom w:w="0" w:type="dxa"/>
              <w:right w:w="70" w:type="dxa"/>
            </w:tcMar>
            <w:vAlign w:val="bottom"/>
            <w:hideMark/>
          </w:tcPr>
          <w:p w:rsidR="00BD77CC" w:rsidRPr="008442C6" w:rsidRDefault="00BD77CC" w:rsidP="002C2E64">
            <w:pPr>
              <w:suppressAutoHyphens w:val="0"/>
              <w:spacing w:before="40" w:after="40" w:line="220" w:lineRule="exact"/>
              <w:ind w:right="113"/>
              <w:jc w:val="right"/>
              <w:rPr>
                <w:b/>
                <w:sz w:val="18"/>
              </w:rPr>
            </w:pPr>
            <w:r w:rsidRPr="008442C6">
              <w:rPr>
                <w:b/>
                <w:sz w:val="18"/>
              </w:rPr>
              <w:t>1 270</w:t>
            </w:r>
          </w:p>
        </w:tc>
        <w:tc>
          <w:tcPr>
            <w:tcW w:w="1194" w:type="dxa"/>
            <w:tcBorders>
              <w:top w:val="single" w:sz="12" w:space="0" w:color="auto"/>
              <w:bottom w:val="single" w:sz="4" w:space="0" w:color="auto"/>
            </w:tcBorders>
            <w:shd w:val="clear" w:color="auto" w:fill="auto"/>
            <w:tcMar>
              <w:top w:w="0" w:type="dxa"/>
              <w:left w:w="70" w:type="dxa"/>
              <w:bottom w:w="0" w:type="dxa"/>
              <w:right w:w="70" w:type="dxa"/>
            </w:tcMar>
            <w:vAlign w:val="bottom"/>
            <w:hideMark/>
          </w:tcPr>
          <w:p w:rsidR="00BD77CC" w:rsidRPr="008442C6" w:rsidRDefault="00BD77CC" w:rsidP="0069257E">
            <w:pPr>
              <w:suppressAutoHyphens w:val="0"/>
              <w:spacing w:before="40" w:after="40" w:line="220" w:lineRule="exact"/>
              <w:ind w:right="113"/>
              <w:jc w:val="right"/>
              <w:rPr>
                <w:b/>
                <w:sz w:val="18"/>
              </w:rPr>
            </w:pPr>
            <w:r w:rsidRPr="008442C6">
              <w:rPr>
                <w:b/>
                <w:sz w:val="18"/>
              </w:rPr>
              <w:t>346</w:t>
            </w:r>
          </w:p>
        </w:tc>
        <w:tc>
          <w:tcPr>
            <w:tcW w:w="1194" w:type="dxa"/>
            <w:tcBorders>
              <w:top w:val="single" w:sz="12" w:space="0" w:color="auto"/>
              <w:bottom w:val="single" w:sz="4" w:space="0" w:color="auto"/>
            </w:tcBorders>
            <w:shd w:val="clear" w:color="auto" w:fill="auto"/>
            <w:tcMar>
              <w:top w:w="0" w:type="dxa"/>
              <w:left w:w="70" w:type="dxa"/>
              <w:bottom w:w="0" w:type="dxa"/>
              <w:right w:w="70" w:type="dxa"/>
            </w:tcMar>
            <w:vAlign w:val="bottom"/>
            <w:hideMark/>
          </w:tcPr>
          <w:p w:rsidR="00BD77CC" w:rsidRPr="008442C6" w:rsidRDefault="00BD77CC" w:rsidP="0069257E">
            <w:pPr>
              <w:suppressAutoHyphens w:val="0"/>
              <w:spacing w:before="40" w:after="40" w:line="220" w:lineRule="exact"/>
              <w:ind w:right="113"/>
              <w:jc w:val="right"/>
              <w:rPr>
                <w:b/>
                <w:sz w:val="18"/>
              </w:rPr>
            </w:pPr>
            <w:r w:rsidRPr="008442C6">
              <w:rPr>
                <w:b/>
                <w:sz w:val="18"/>
              </w:rPr>
              <w:t>743</w:t>
            </w:r>
          </w:p>
        </w:tc>
        <w:tc>
          <w:tcPr>
            <w:tcW w:w="1194" w:type="dxa"/>
            <w:tcBorders>
              <w:top w:val="single" w:sz="12" w:space="0" w:color="auto"/>
              <w:bottom w:val="single" w:sz="4" w:space="0" w:color="auto"/>
            </w:tcBorders>
            <w:shd w:val="clear" w:color="auto" w:fill="auto"/>
            <w:tcMar>
              <w:top w:w="0" w:type="dxa"/>
              <w:left w:w="70" w:type="dxa"/>
              <w:bottom w:w="0" w:type="dxa"/>
              <w:right w:w="70" w:type="dxa"/>
            </w:tcMar>
            <w:vAlign w:val="bottom"/>
            <w:hideMark/>
          </w:tcPr>
          <w:p w:rsidR="00BD77CC" w:rsidRPr="008442C6" w:rsidRDefault="00BD77CC" w:rsidP="0069257E">
            <w:pPr>
              <w:suppressAutoHyphens w:val="0"/>
              <w:spacing w:before="40" w:after="40" w:line="220" w:lineRule="exact"/>
              <w:ind w:right="113"/>
              <w:jc w:val="right"/>
              <w:rPr>
                <w:b/>
                <w:sz w:val="18"/>
              </w:rPr>
            </w:pPr>
            <w:r w:rsidRPr="008442C6">
              <w:rPr>
                <w:b/>
                <w:sz w:val="18"/>
              </w:rPr>
              <w:t>173</w:t>
            </w:r>
          </w:p>
        </w:tc>
        <w:tc>
          <w:tcPr>
            <w:tcW w:w="1199" w:type="dxa"/>
            <w:tcBorders>
              <w:top w:val="single" w:sz="12" w:space="0" w:color="auto"/>
              <w:bottom w:val="single" w:sz="4" w:space="0" w:color="auto"/>
            </w:tcBorders>
            <w:shd w:val="clear" w:color="auto" w:fill="auto"/>
            <w:tcMar>
              <w:top w:w="0" w:type="dxa"/>
              <w:left w:w="70" w:type="dxa"/>
              <w:bottom w:w="0" w:type="dxa"/>
              <w:right w:w="70" w:type="dxa"/>
            </w:tcMar>
            <w:vAlign w:val="bottom"/>
            <w:hideMark/>
          </w:tcPr>
          <w:p w:rsidR="00BD77CC" w:rsidRPr="008442C6" w:rsidRDefault="00BD77CC" w:rsidP="0069257E">
            <w:pPr>
              <w:pStyle w:val="SingleTxtG"/>
              <w:suppressAutoHyphens w:val="0"/>
              <w:spacing w:before="40" w:after="40" w:line="220" w:lineRule="exact"/>
              <w:ind w:left="0" w:right="113"/>
              <w:jc w:val="right"/>
              <w:rPr>
                <w:b/>
                <w:sz w:val="18"/>
              </w:rPr>
            </w:pPr>
            <w:r w:rsidRPr="008442C6">
              <w:rPr>
                <w:b/>
                <w:sz w:val="18"/>
              </w:rPr>
              <w:t>8</w:t>
            </w:r>
          </w:p>
        </w:tc>
      </w:tr>
      <w:tr w:rsidR="00BD77CC" w:rsidRPr="008442C6" w:rsidTr="00AF2054">
        <w:tc>
          <w:tcPr>
            <w:tcW w:w="1345" w:type="dxa"/>
            <w:tcBorders>
              <w:top w:val="single" w:sz="4" w:space="0" w:color="auto"/>
            </w:tcBorders>
            <w:shd w:val="clear" w:color="auto" w:fill="auto"/>
            <w:tcMar>
              <w:top w:w="0" w:type="dxa"/>
              <w:left w:w="70" w:type="dxa"/>
              <w:bottom w:w="0" w:type="dxa"/>
              <w:right w:w="70" w:type="dxa"/>
            </w:tcMar>
            <w:hideMark/>
          </w:tcPr>
          <w:p w:rsidR="00BD77CC" w:rsidRPr="008442C6" w:rsidRDefault="00BD77CC" w:rsidP="0069257E">
            <w:pPr>
              <w:suppressAutoHyphens w:val="0"/>
              <w:spacing w:before="40" w:after="40" w:line="220" w:lineRule="exact"/>
              <w:ind w:right="113"/>
              <w:rPr>
                <w:sz w:val="18"/>
              </w:rPr>
            </w:pPr>
            <w:r w:rsidRPr="008442C6">
              <w:rPr>
                <w:sz w:val="18"/>
              </w:rPr>
              <w:t>Men</w:t>
            </w:r>
          </w:p>
        </w:tc>
        <w:tc>
          <w:tcPr>
            <w:tcW w:w="1244" w:type="dxa"/>
            <w:tcBorders>
              <w:top w:val="single" w:sz="4" w:space="0" w:color="auto"/>
            </w:tcBorders>
            <w:shd w:val="clear" w:color="auto" w:fill="auto"/>
            <w:tcMar>
              <w:top w:w="0" w:type="dxa"/>
              <w:left w:w="70" w:type="dxa"/>
              <w:bottom w:w="0" w:type="dxa"/>
              <w:right w:w="70" w:type="dxa"/>
            </w:tcMar>
            <w:vAlign w:val="bottom"/>
            <w:hideMark/>
          </w:tcPr>
          <w:p w:rsidR="00BD77CC" w:rsidRPr="008442C6" w:rsidRDefault="00BD77CC" w:rsidP="0069257E">
            <w:pPr>
              <w:suppressAutoHyphens w:val="0"/>
              <w:spacing w:before="40" w:after="40" w:line="220" w:lineRule="exact"/>
              <w:ind w:right="113"/>
              <w:jc w:val="right"/>
              <w:rPr>
                <w:sz w:val="18"/>
              </w:rPr>
            </w:pPr>
            <w:r w:rsidRPr="008442C6">
              <w:rPr>
                <w:sz w:val="18"/>
              </w:rPr>
              <w:t>829</w:t>
            </w:r>
          </w:p>
        </w:tc>
        <w:tc>
          <w:tcPr>
            <w:tcW w:w="1194" w:type="dxa"/>
            <w:tcBorders>
              <w:top w:val="single" w:sz="4" w:space="0" w:color="auto"/>
            </w:tcBorders>
            <w:shd w:val="clear" w:color="auto" w:fill="auto"/>
            <w:tcMar>
              <w:top w:w="0" w:type="dxa"/>
              <w:left w:w="70" w:type="dxa"/>
              <w:bottom w:w="0" w:type="dxa"/>
              <w:right w:w="70" w:type="dxa"/>
            </w:tcMar>
            <w:vAlign w:val="bottom"/>
            <w:hideMark/>
          </w:tcPr>
          <w:p w:rsidR="00BD77CC" w:rsidRPr="008442C6" w:rsidRDefault="00BD77CC" w:rsidP="0069257E">
            <w:pPr>
              <w:suppressAutoHyphens w:val="0"/>
              <w:spacing w:before="40" w:after="40" w:line="220" w:lineRule="exact"/>
              <w:ind w:right="113"/>
              <w:jc w:val="right"/>
              <w:rPr>
                <w:sz w:val="18"/>
              </w:rPr>
            </w:pPr>
            <w:r w:rsidRPr="008442C6">
              <w:rPr>
                <w:sz w:val="18"/>
              </w:rPr>
              <w:t>204</w:t>
            </w:r>
          </w:p>
        </w:tc>
        <w:tc>
          <w:tcPr>
            <w:tcW w:w="1194" w:type="dxa"/>
            <w:tcBorders>
              <w:top w:val="single" w:sz="4" w:space="0" w:color="auto"/>
            </w:tcBorders>
            <w:shd w:val="clear" w:color="auto" w:fill="auto"/>
            <w:tcMar>
              <w:top w:w="0" w:type="dxa"/>
              <w:left w:w="70" w:type="dxa"/>
              <w:bottom w:w="0" w:type="dxa"/>
              <w:right w:w="70" w:type="dxa"/>
            </w:tcMar>
            <w:vAlign w:val="bottom"/>
            <w:hideMark/>
          </w:tcPr>
          <w:p w:rsidR="00BD77CC" w:rsidRPr="008442C6" w:rsidRDefault="00BD77CC" w:rsidP="0069257E">
            <w:pPr>
              <w:suppressAutoHyphens w:val="0"/>
              <w:spacing w:before="40" w:after="40" w:line="220" w:lineRule="exact"/>
              <w:ind w:right="113"/>
              <w:jc w:val="right"/>
              <w:rPr>
                <w:sz w:val="18"/>
              </w:rPr>
            </w:pPr>
            <w:r w:rsidRPr="008442C6">
              <w:rPr>
                <w:sz w:val="18"/>
              </w:rPr>
              <w:t>509</w:t>
            </w:r>
          </w:p>
        </w:tc>
        <w:tc>
          <w:tcPr>
            <w:tcW w:w="1194" w:type="dxa"/>
            <w:tcBorders>
              <w:top w:val="single" w:sz="4" w:space="0" w:color="auto"/>
            </w:tcBorders>
            <w:shd w:val="clear" w:color="auto" w:fill="auto"/>
            <w:tcMar>
              <w:top w:w="0" w:type="dxa"/>
              <w:left w:w="70" w:type="dxa"/>
              <w:bottom w:w="0" w:type="dxa"/>
              <w:right w:w="70" w:type="dxa"/>
            </w:tcMar>
            <w:vAlign w:val="bottom"/>
            <w:hideMark/>
          </w:tcPr>
          <w:p w:rsidR="00BD77CC" w:rsidRPr="008442C6" w:rsidRDefault="00BD77CC" w:rsidP="0069257E">
            <w:pPr>
              <w:suppressAutoHyphens w:val="0"/>
              <w:spacing w:before="40" w:after="40" w:line="220" w:lineRule="exact"/>
              <w:ind w:right="113"/>
              <w:jc w:val="right"/>
              <w:rPr>
                <w:sz w:val="18"/>
              </w:rPr>
            </w:pPr>
            <w:r w:rsidRPr="008442C6">
              <w:rPr>
                <w:sz w:val="18"/>
              </w:rPr>
              <w:t>113</w:t>
            </w:r>
          </w:p>
        </w:tc>
        <w:tc>
          <w:tcPr>
            <w:tcW w:w="1199" w:type="dxa"/>
            <w:tcBorders>
              <w:top w:val="single" w:sz="4" w:space="0" w:color="auto"/>
            </w:tcBorders>
            <w:shd w:val="clear" w:color="auto" w:fill="auto"/>
            <w:tcMar>
              <w:top w:w="0" w:type="dxa"/>
              <w:left w:w="70" w:type="dxa"/>
              <w:bottom w:w="0" w:type="dxa"/>
              <w:right w:w="70" w:type="dxa"/>
            </w:tcMar>
            <w:vAlign w:val="bottom"/>
            <w:hideMark/>
          </w:tcPr>
          <w:p w:rsidR="00BD77CC" w:rsidRPr="008442C6" w:rsidRDefault="00BD77CC" w:rsidP="0069257E">
            <w:pPr>
              <w:pStyle w:val="SingleTxtG"/>
              <w:suppressAutoHyphens w:val="0"/>
              <w:spacing w:before="40" w:after="40" w:line="220" w:lineRule="exact"/>
              <w:ind w:left="0" w:right="113"/>
              <w:jc w:val="right"/>
              <w:rPr>
                <w:sz w:val="18"/>
              </w:rPr>
            </w:pPr>
            <w:r w:rsidRPr="008442C6">
              <w:rPr>
                <w:sz w:val="18"/>
              </w:rPr>
              <w:t>3</w:t>
            </w:r>
          </w:p>
        </w:tc>
      </w:tr>
      <w:tr w:rsidR="00BD77CC" w:rsidRPr="008442C6" w:rsidTr="00D0691F">
        <w:tc>
          <w:tcPr>
            <w:tcW w:w="1345" w:type="dxa"/>
            <w:shd w:val="clear" w:color="auto" w:fill="auto"/>
            <w:tcMar>
              <w:top w:w="0" w:type="dxa"/>
              <w:left w:w="70" w:type="dxa"/>
              <w:bottom w:w="0" w:type="dxa"/>
              <w:right w:w="70" w:type="dxa"/>
            </w:tcMar>
            <w:hideMark/>
          </w:tcPr>
          <w:p w:rsidR="00BD77CC" w:rsidRPr="008442C6" w:rsidRDefault="00BD77CC" w:rsidP="0069257E">
            <w:pPr>
              <w:suppressAutoHyphens w:val="0"/>
              <w:spacing w:before="40" w:after="40" w:line="220" w:lineRule="exact"/>
              <w:ind w:right="113"/>
              <w:rPr>
                <w:sz w:val="18"/>
              </w:rPr>
            </w:pPr>
            <w:r w:rsidRPr="008442C6">
              <w:rPr>
                <w:sz w:val="18"/>
              </w:rPr>
              <w:t>Women</w:t>
            </w:r>
          </w:p>
        </w:tc>
        <w:tc>
          <w:tcPr>
            <w:tcW w:w="1244" w:type="dxa"/>
            <w:tcBorders>
              <w:bottom w:val="single" w:sz="4" w:space="0" w:color="auto"/>
            </w:tcBorders>
            <w:shd w:val="clear" w:color="auto" w:fill="auto"/>
            <w:tcMar>
              <w:top w:w="0" w:type="dxa"/>
              <w:left w:w="70" w:type="dxa"/>
              <w:bottom w:w="0" w:type="dxa"/>
              <w:right w:w="70" w:type="dxa"/>
            </w:tcMar>
            <w:vAlign w:val="bottom"/>
            <w:hideMark/>
          </w:tcPr>
          <w:p w:rsidR="00BD77CC" w:rsidRPr="008442C6" w:rsidRDefault="00BD77CC" w:rsidP="0069257E">
            <w:pPr>
              <w:suppressAutoHyphens w:val="0"/>
              <w:spacing w:before="40" w:after="40" w:line="220" w:lineRule="exact"/>
              <w:ind w:right="113"/>
              <w:jc w:val="right"/>
              <w:rPr>
                <w:sz w:val="18"/>
              </w:rPr>
            </w:pPr>
            <w:r w:rsidRPr="008442C6">
              <w:rPr>
                <w:sz w:val="18"/>
              </w:rPr>
              <w:t>441</w:t>
            </w:r>
          </w:p>
        </w:tc>
        <w:tc>
          <w:tcPr>
            <w:tcW w:w="1194" w:type="dxa"/>
            <w:tcBorders>
              <w:bottom w:val="single" w:sz="4" w:space="0" w:color="auto"/>
            </w:tcBorders>
            <w:shd w:val="clear" w:color="auto" w:fill="auto"/>
            <w:tcMar>
              <w:top w:w="0" w:type="dxa"/>
              <w:left w:w="70" w:type="dxa"/>
              <w:bottom w:w="0" w:type="dxa"/>
              <w:right w:w="70" w:type="dxa"/>
            </w:tcMar>
            <w:vAlign w:val="bottom"/>
            <w:hideMark/>
          </w:tcPr>
          <w:p w:rsidR="00BD77CC" w:rsidRPr="008442C6" w:rsidRDefault="00BD77CC" w:rsidP="0069257E">
            <w:pPr>
              <w:suppressAutoHyphens w:val="0"/>
              <w:spacing w:before="40" w:after="40" w:line="220" w:lineRule="exact"/>
              <w:ind w:right="113"/>
              <w:jc w:val="right"/>
              <w:rPr>
                <w:sz w:val="18"/>
              </w:rPr>
            </w:pPr>
            <w:r w:rsidRPr="008442C6">
              <w:rPr>
                <w:sz w:val="18"/>
              </w:rPr>
              <w:t>142</w:t>
            </w:r>
          </w:p>
        </w:tc>
        <w:tc>
          <w:tcPr>
            <w:tcW w:w="1194" w:type="dxa"/>
            <w:tcBorders>
              <w:bottom w:val="single" w:sz="4" w:space="0" w:color="auto"/>
            </w:tcBorders>
            <w:shd w:val="clear" w:color="auto" w:fill="auto"/>
            <w:tcMar>
              <w:top w:w="0" w:type="dxa"/>
              <w:left w:w="70" w:type="dxa"/>
              <w:bottom w:w="0" w:type="dxa"/>
              <w:right w:w="70" w:type="dxa"/>
            </w:tcMar>
            <w:vAlign w:val="bottom"/>
            <w:hideMark/>
          </w:tcPr>
          <w:p w:rsidR="00BD77CC" w:rsidRPr="008442C6" w:rsidRDefault="00BD77CC" w:rsidP="0069257E">
            <w:pPr>
              <w:suppressAutoHyphens w:val="0"/>
              <w:spacing w:before="40" w:after="40" w:line="220" w:lineRule="exact"/>
              <w:ind w:right="113"/>
              <w:jc w:val="right"/>
              <w:rPr>
                <w:sz w:val="18"/>
              </w:rPr>
            </w:pPr>
            <w:r w:rsidRPr="008442C6">
              <w:rPr>
                <w:sz w:val="18"/>
              </w:rPr>
              <w:t>234</w:t>
            </w:r>
          </w:p>
        </w:tc>
        <w:tc>
          <w:tcPr>
            <w:tcW w:w="1194" w:type="dxa"/>
            <w:tcBorders>
              <w:bottom w:val="single" w:sz="4" w:space="0" w:color="auto"/>
            </w:tcBorders>
            <w:shd w:val="clear" w:color="auto" w:fill="auto"/>
            <w:tcMar>
              <w:top w:w="0" w:type="dxa"/>
              <w:left w:w="70" w:type="dxa"/>
              <w:bottom w:w="0" w:type="dxa"/>
              <w:right w:w="70" w:type="dxa"/>
            </w:tcMar>
            <w:vAlign w:val="bottom"/>
            <w:hideMark/>
          </w:tcPr>
          <w:p w:rsidR="00BD77CC" w:rsidRPr="008442C6" w:rsidRDefault="00BD77CC" w:rsidP="0069257E">
            <w:pPr>
              <w:suppressAutoHyphens w:val="0"/>
              <w:spacing w:before="40" w:after="40" w:line="220" w:lineRule="exact"/>
              <w:ind w:right="113"/>
              <w:jc w:val="right"/>
              <w:rPr>
                <w:sz w:val="18"/>
              </w:rPr>
            </w:pPr>
            <w:r w:rsidRPr="008442C6">
              <w:rPr>
                <w:sz w:val="18"/>
              </w:rPr>
              <w:t>60</w:t>
            </w:r>
          </w:p>
        </w:tc>
        <w:tc>
          <w:tcPr>
            <w:tcW w:w="1199" w:type="dxa"/>
            <w:tcBorders>
              <w:bottom w:val="single" w:sz="4" w:space="0" w:color="auto"/>
            </w:tcBorders>
            <w:shd w:val="clear" w:color="auto" w:fill="auto"/>
            <w:tcMar>
              <w:top w:w="0" w:type="dxa"/>
              <w:left w:w="70" w:type="dxa"/>
              <w:bottom w:w="0" w:type="dxa"/>
              <w:right w:w="70" w:type="dxa"/>
            </w:tcMar>
            <w:vAlign w:val="bottom"/>
            <w:hideMark/>
          </w:tcPr>
          <w:p w:rsidR="00BD77CC" w:rsidRPr="008442C6" w:rsidRDefault="00BD77CC" w:rsidP="0069257E">
            <w:pPr>
              <w:pStyle w:val="SingleTxtG"/>
              <w:suppressAutoHyphens w:val="0"/>
              <w:spacing w:before="40" w:after="40" w:line="220" w:lineRule="exact"/>
              <w:ind w:left="0" w:right="113"/>
              <w:jc w:val="right"/>
              <w:rPr>
                <w:sz w:val="18"/>
              </w:rPr>
            </w:pPr>
            <w:r w:rsidRPr="008442C6">
              <w:rPr>
                <w:sz w:val="18"/>
              </w:rPr>
              <w:t>5</w:t>
            </w:r>
          </w:p>
        </w:tc>
      </w:tr>
      <w:tr w:rsidR="00BD77CC" w:rsidRPr="008442C6" w:rsidTr="008F4BC0">
        <w:tc>
          <w:tcPr>
            <w:tcW w:w="1345" w:type="dxa"/>
            <w:vMerge w:val="restart"/>
            <w:shd w:val="clear" w:color="auto" w:fill="auto"/>
            <w:tcMar>
              <w:top w:w="0" w:type="dxa"/>
              <w:left w:w="70" w:type="dxa"/>
              <w:bottom w:w="0" w:type="dxa"/>
              <w:right w:w="70" w:type="dxa"/>
            </w:tcMar>
            <w:vAlign w:val="bottom"/>
            <w:hideMark/>
          </w:tcPr>
          <w:p w:rsidR="00BD77CC" w:rsidRPr="008442C6" w:rsidRDefault="00BD77CC" w:rsidP="006D40B2">
            <w:pPr>
              <w:suppressAutoHyphens w:val="0"/>
              <w:spacing w:before="80" w:after="80" w:line="200" w:lineRule="exact"/>
              <w:ind w:right="113"/>
              <w:rPr>
                <w:i/>
                <w:iCs/>
                <w:sz w:val="16"/>
                <w:szCs w:val="16"/>
              </w:rPr>
            </w:pPr>
            <w:r w:rsidRPr="008442C6">
              <w:rPr>
                <w:i/>
                <w:iCs/>
                <w:sz w:val="16"/>
                <w:szCs w:val="16"/>
              </w:rPr>
              <w:t>2017</w:t>
            </w:r>
          </w:p>
        </w:tc>
        <w:tc>
          <w:tcPr>
            <w:tcW w:w="6025" w:type="dxa"/>
            <w:gridSpan w:val="5"/>
            <w:tcBorders>
              <w:top w:val="single" w:sz="4" w:space="0" w:color="auto"/>
              <w:bottom w:val="single" w:sz="12" w:space="0" w:color="auto"/>
            </w:tcBorders>
            <w:shd w:val="clear" w:color="auto" w:fill="auto"/>
            <w:tcMar>
              <w:top w:w="0" w:type="dxa"/>
              <w:left w:w="70" w:type="dxa"/>
              <w:bottom w:w="0" w:type="dxa"/>
              <w:right w:w="70" w:type="dxa"/>
            </w:tcMar>
            <w:vAlign w:val="bottom"/>
            <w:hideMark/>
          </w:tcPr>
          <w:p w:rsidR="00BD77CC" w:rsidRPr="008442C6" w:rsidRDefault="00BD77CC" w:rsidP="006D40B2">
            <w:pPr>
              <w:suppressAutoHyphens w:val="0"/>
              <w:spacing w:before="80" w:after="80" w:line="200" w:lineRule="exact"/>
              <w:ind w:right="113"/>
              <w:jc w:val="center"/>
              <w:rPr>
                <w:i/>
                <w:iCs/>
                <w:sz w:val="16"/>
                <w:szCs w:val="16"/>
              </w:rPr>
            </w:pPr>
            <w:r w:rsidRPr="008442C6">
              <w:rPr>
                <w:i/>
                <w:iCs/>
                <w:sz w:val="16"/>
                <w:szCs w:val="16"/>
              </w:rPr>
              <w:t>Age group</w:t>
            </w:r>
          </w:p>
        </w:tc>
      </w:tr>
      <w:tr w:rsidR="00BD77CC" w:rsidRPr="008442C6" w:rsidTr="008F4BC0">
        <w:tc>
          <w:tcPr>
            <w:tcW w:w="1345" w:type="dxa"/>
            <w:vMerge/>
            <w:tcBorders>
              <w:bottom w:val="single" w:sz="4" w:space="0" w:color="auto"/>
            </w:tcBorders>
            <w:shd w:val="clear" w:color="auto" w:fill="auto"/>
            <w:hideMark/>
          </w:tcPr>
          <w:p w:rsidR="00BD77CC" w:rsidRPr="008442C6" w:rsidRDefault="00BD77CC" w:rsidP="006D40B2">
            <w:pPr>
              <w:suppressAutoHyphens w:val="0"/>
              <w:spacing w:before="80" w:after="80" w:line="200" w:lineRule="exact"/>
              <w:ind w:right="113"/>
              <w:rPr>
                <w:i/>
                <w:iCs/>
                <w:sz w:val="16"/>
                <w:szCs w:val="16"/>
              </w:rPr>
            </w:pPr>
          </w:p>
        </w:tc>
        <w:tc>
          <w:tcPr>
            <w:tcW w:w="1244" w:type="dxa"/>
            <w:tcBorders>
              <w:top w:val="single" w:sz="12" w:space="0" w:color="auto"/>
              <w:bottom w:val="single" w:sz="4" w:space="0" w:color="auto"/>
            </w:tcBorders>
            <w:shd w:val="clear" w:color="auto" w:fill="auto"/>
            <w:tcMar>
              <w:top w:w="0" w:type="dxa"/>
              <w:left w:w="70" w:type="dxa"/>
              <w:bottom w:w="0" w:type="dxa"/>
              <w:right w:w="70" w:type="dxa"/>
            </w:tcMar>
            <w:vAlign w:val="bottom"/>
            <w:hideMark/>
          </w:tcPr>
          <w:p w:rsidR="00BD77CC" w:rsidRPr="008442C6" w:rsidRDefault="00BD77CC" w:rsidP="006D40B2">
            <w:pPr>
              <w:suppressAutoHyphens w:val="0"/>
              <w:spacing w:before="80" w:after="80" w:line="200" w:lineRule="exact"/>
              <w:ind w:right="113"/>
              <w:jc w:val="right"/>
              <w:rPr>
                <w:i/>
                <w:iCs/>
                <w:sz w:val="16"/>
                <w:szCs w:val="16"/>
              </w:rPr>
            </w:pPr>
            <w:r w:rsidRPr="008442C6">
              <w:rPr>
                <w:i/>
                <w:iCs/>
                <w:sz w:val="16"/>
                <w:szCs w:val="16"/>
              </w:rPr>
              <w:t>Total</w:t>
            </w:r>
          </w:p>
        </w:tc>
        <w:tc>
          <w:tcPr>
            <w:tcW w:w="1194" w:type="dxa"/>
            <w:tcBorders>
              <w:top w:val="single" w:sz="12" w:space="0" w:color="auto"/>
              <w:bottom w:val="single" w:sz="4" w:space="0" w:color="auto"/>
            </w:tcBorders>
            <w:shd w:val="clear" w:color="auto" w:fill="auto"/>
            <w:tcMar>
              <w:top w:w="0" w:type="dxa"/>
              <w:left w:w="70" w:type="dxa"/>
              <w:bottom w:w="0" w:type="dxa"/>
              <w:right w:w="70" w:type="dxa"/>
            </w:tcMar>
            <w:vAlign w:val="bottom"/>
            <w:hideMark/>
          </w:tcPr>
          <w:p w:rsidR="00BD77CC" w:rsidRPr="008442C6" w:rsidRDefault="00BD77CC" w:rsidP="006D40B2">
            <w:pPr>
              <w:suppressAutoHyphens w:val="0"/>
              <w:spacing w:before="80" w:after="80" w:line="200" w:lineRule="exact"/>
              <w:ind w:right="113"/>
              <w:jc w:val="right"/>
              <w:rPr>
                <w:i/>
                <w:iCs/>
                <w:sz w:val="16"/>
                <w:szCs w:val="16"/>
              </w:rPr>
            </w:pPr>
            <w:r w:rsidRPr="008442C6">
              <w:rPr>
                <w:i/>
                <w:iCs/>
                <w:sz w:val="16"/>
                <w:szCs w:val="16"/>
              </w:rPr>
              <w:t>0</w:t>
            </w:r>
            <w:r w:rsidR="00D0691F" w:rsidRPr="008442C6">
              <w:rPr>
                <w:i/>
                <w:iCs/>
                <w:sz w:val="16"/>
                <w:szCs w:val="16"/>
              </w:rPr>
              <w:t>–</w:t>
            </w:r>
            <w:r w:rsidRPr="008442C6">
              <w:rPr>
                <w:i/>
                <w:iCs/>
                <w:sz w:val="16"/>
                <w:szCs w:val="16"/>
              </w:rPr>
              <w:t>18</w:t>
            </w:r>
          </w:p>
        </w:tc>
        <w:tc>
          <w:tcPr>
            <w:tcW w:w="1194" w:type="dxa"/>
            <w:tcBorders>
              <w:top w:val="single" w:sz="12" w:space="0" w:color="auto"/>
              <w:bottom w:val="single" w:sz="4" w:space="0" w:color="auto"/>
            </w:tcBorders>
            <w:shd w:val="clear" w:color="auto" w:fill="auto"/>
            <w:tcMar>
              <w:top w:w="0" w:type="dxa"/>
              <w:left w:w="70" w:type="dxa"/>
              <w:bottom w:w="0" w:type="dxa"/>
              <w:right w:w="70" w:type="dxa"/>
            </w:tcMar>
            <w:vAlign w:val="bottom"/>
            <w:hideMark/>
          </w:tcPr>
          <w:p w:rsidR="00BD77CC" w:rsidRPr="008442C6" w:rsidRDefault="00BD77CC" w:rsidP="006D40B2">
            <w:pPr>
              <w:suppressAutoHyphens w:val="0"/>
              <w:spacing w:before="80" w:after="80" w:line="200" w:lineRule="exact"/>
              <w:ind w:right="113"/>
              <w:jc w:val="right"/>
              <w:rPr>
                <w:i/>
                <w:iCs/>
                <w:sz w:val="16"/>
                <w:szCs w:val="16"/>
              </w:rPr>
            </w:pPr>
            <w:r w:rsidRPr="008442C6">
              <w:rPr>
                <w:i/>
                <w:iCs/>
                <w:sz w:val="16"/>
                <w:szCs w:val="16"/>
              </w:rPr>
              <w:t>19</w:t>
            </w:r>
            <w:r w:rsidR="00D0691F" w:rsidRPr="008442C6">
              <w:rPr>
                <w:i/>
                <w:iCs/>
                <w:sz w:val="16"/>
                <w:szCs w:val="16"/>
              </w:rPr>
              <w:t>–</w:t>
            </w:r>
            <w:r w:rsidRPr="008442C6">
              <w:rPr>
                <w:i/>
                <w:iCs/>
                <w:sz w:val="16"/>
                <w:szCs w:val="16"/>
              </w:rPr>
              <w:t>39</w:t>
            </w:r>
          </w:p>
        </w:tc>
        <w:tc>
          <w:tcPr>
            <w:tcW w:w="1194" w:type="dxa"/>
            <w:tcBorders>
              <w:top w:val="single" w:sz="12" w:space="0" w:color="auto"/>
              <w:bottom w:val="single" w:sz="4" w:space="0" w:color="auto"/>
            </w:tcBorders>
            <w:shd w:val="clear" w:color="auto" w:fill="auto"/>
            <w:tcMar>
              <w:top w:w="0" w:type="dxa"/>
              <w:left w:w="70" w:type="dxa"/>
              <w:bottom w:w="0" w:type="dxa"/>
              <w:right w:w="70" w:type="dxa"/>
            </w:tcMar>
            <w:vAlign w:val="bottom"/>
            <w:hideMark/>
          </w:tcPr>
          <w:p w:rsidR="00BD77CC" w:rsidRPr="008442C6" w:rsidRDefault="00BD77CC" w:rsidP="006D40B2">
            <w:pPr>
              <w:suppressAutoHyphens w:val="0"/>
              <w:spacing w:before="80" w:after="80" w:line="200" w:lineRule="exact"/>
              <w:ind w:right="113"/>
              <w:jc w:val="right"/>
              <w:rPr>
                <w:i/>
                <w:iCs/>
                <w:sz w:val="16"/>
                <w:szCs w:val="16"/>
              </w:rPr>
            </w:pPr>
            <w:r w:rsidRPr="008442C6">
              <w:rPr>
                <w:i/>
                <w:iCs/>
                <w:sz w:val="16"/>
                <w:szCs w:val="16"/>
              </w:rPr>
              <w:t>40</w:t>
            </w:r>
            <w:r w:rsidR="00D0691F" w:rsidRPr="008442C6">
              <w:rPr>
                <w:i/>
                <w:iCs/>
                <w:sz w:val="16"/>
                <w:szCs w:val="16"/>
              </w:rPr>
              <w:t>–</w:t>
            </w:r>
            <w:r w:rsidRPr="008442C6">
              <w:rPr>
                <w:i/>
                <w:iCs/>
                <w:sz w:val="16"/>
                <w:szCs w:val="16"/>
              </w:rPr>
              <w:t>64</w:t>
            </w:r>
          </w:p>
        </w:tc>
        <w:tc>
          <w:tcPr>
            <w:tcW w:w="1199" w:type="dxa"/>
            <w:tcBorders>
              <w:top w:val="single" w:sz="12" w:space="0" w:color="auto"/>
              <w:bottom w:val="single" w:sz="4" w:space="0" w:color="auto"/>
            </w:tcBorders>
            <w:shd w:val="clear" w:color="auto" w:fill="auto"/>
            <w:tcMar>
              <w:top w:w="0" w:type="dxa"/>
              <w:left w:w="70" w:type="dxa"/>
              <w:bottom w:w="0" w:type="dxa"/>
              <w:right w:w="70" w:type="dxa"/>
            </w:tcMar>
            <w:vAlign w:val="bottom"/>
            <w:hideMark/>
          </w:tcPr>
          <w:p w:rsidR="00BD77CC" w:rsidRPr="008442C6" w:rsidRDefault="00BD77CC" w:rsidP="006D40B2">
            <w:pPr>
              <w:pStyle w:val="SingleTxtG"/>
              <w:suppressAutoHyphens w:val="0"/>
              <w:spacing w:before="80" w:after="80" w:line="200" w:lineRule="exact"/>
              <w:ind w:left="0" w:right="113"/>
              <w:jc w:val="right"/>
              <w:rPr>
                <w:i/>
                <w:iCs/>
                <w:sz w:val="16"/>
                <w:szCs w:val="16"/>
              </w:rPr>
            </w:pPr>
            <w:r w:rsidRPr="008442C6">
              <w:rPr>
                <w:i/>
                <w:iCs/>
                <w:sz w:val="16"/>
                <w:szCs w:val="16"/>
              </w:rPr>
              <w:t>+65</w:t>
            </w:r>
          </w:p>
        </w:tc>
      </w:tr>
      <w:tr w:rsidR="00BD77CC" w:rsidRPr="008442C6" w:rsidTr="002C2E64">
        <w:tc>
          <w:tcPr>
            <w:tcW w:w="1345" w:type="dxa"/>
            <w:tcBorders>
              <w:top w:val="single" w:sz="4" w:space="0" w:color="auto"/>
              <w:bottom w:val="single" w:sz="4" w:space="0" w:color="auto"/>
            </w:tcBorders>
            <w:shd w:val="clear" w:color="auto" w:fill="auto"/>
            <w:tcMar>
              <w:top w:w="0" w:type="dxa"/>
              <w:left w:w="70" w:type="dxa"/>
              <w:bottom w:w="0" w:type="dxa"/>
              <w:right w:w="70" w:type="dxa"/>
            </w:tcMar>
            <w:hideMark/>
          </w:tcPr>
          <w:p w:rsidR="00BD77CC" w:rsidRPr="008442C6" w:rsidRDefault="00BD77CC" w:rsidP="002C2E64">
            <w:pPr>
              <w:suppressAutoHyphens w:val="0"/>
              <w:spacing w:before="80" w:after="80" w:line="220" w:lineRule="exact"/>
              <w:ind w:left="283"/>
              <w:rPr>
                <w:b/>
                <w:sz w:val="18"/>
              </w:rPr>
            </w:pPr>
            <w:r w:rsidRPr="008442C6">
              <w:rPr>
                <w:b/>
                <w:sz w:val="18"/>
              </w:rPr>
              <w:t>Total</w:t>
            </w:r>
          </w:p>
        </w:tc>
        <w:tc>
          <w:tcPr>
            <w:tcW w:w="1244" w:type="dxa"/>
            <w:tcBorders>
              <w:top w:val="single" w:sz="4" w:space="0" w:color="auto"/>
              <w:bottom w:val="single" w:sz="4" w:space="0" w:color="auto"/>
            </w:tcBorders>
            <w:shd w:val="clear" w:color="auto" w:fill="auto"/>
            <w:tcMar>
              <w:top w:w="0" w:type="dxa"/>
              <w:left w:w="70" w:type="dxa"/>
              <w:bottom w:w="0" w:type="dxa"/>
              <w:right w:w="70" w:type="dxa"/>
            </w:tcMar>
            <w:vAlign w:val="bottom"/>
            <w:hideMark/>
          </w:tcPr>
          <w:p w:rsidR="00BD77CC" w:rsidRPr="008442C6" w:rsidRDefault="00BD77CC" w:rsidP="002C2E64">
            <w:pPr>
              <w:suppressAutoHyphens w:val="0"/>
              <w:spacing w:before="40" w:after="40" w:line="220" w:lineRule="exact"/>
              <w:ind w:right="113"/>
              <w:jc w:val="right"/>
              <w:rPr>
                <w:b/>
                <w:bCs/>
                <w:sz w:val="18"/>
              </w:rPr>
            </w:pPr>
            <w:r w:rsidRPr="008442C6">
              <w:rPr>
                <w:b/>
                <w:bCs/>
                <w:sz w:val="18"/>
              </w:rPr>
              <w:t>1 741</w:t>
            </w:r>
          </w:p>
        </w:tc>
        <w:tc>
          <w:tcPr>
            <w:tcW w:w="1194" w:type="dxa"/>
            <w:tcBorders>
              <w:top w:val="single" w:sz="4" w:space="0" w:color="auto"/>
              <w:bottom w:val="single" w:sz="4" w:space="0" w:color="auto"/>
            </w:tcBorders>
            <w:shd w:val="clear" w:color="auto" w:fill="auto"/>
            <w:tcMar>
              <w:top w:w="0" w:type="dxa"/>
              <w:left w:w="70" w:type="dxa"/>
              <w:bottom w:w="0" w:type="dxa"/>
              <w:right w:w="70" w:type="dxa"/>
            </w:tcMar>
            <w:vAlign w:val="bottom"/>
            <w:hideMark/>
          </w:tcPr>
          <w:p w:rsidR="00BD77CC" w:rsidRPr="008442C6" w:rsidRDefault="00BD77CC" w:rsidP="0069257E">
            <w:pPr>
              <w:suppressAutoHyphens w:val="0"/>
              <w:spacing w:before="40" w:after="40" w:line="220" w:lineRule="exact"/>
              <w:ind w:right="113"/>
              <w:jc w:val="right"/>
              <w:rPr>
                <w:b/>
                <w:bCs/>
                <w:sz w:val="18"/>
              </w:rPr>
            </w:pPr>
            <w:r w:rsidRPr="008442C6">
              <w:rPr>
                <w:b/>
                <w:bCs/>
                <w:sz w:val="18"/>
              </w:rPr>
              <w:t>585</w:t>
            </w:r>
          </w:p>
        </w:tc>
        <w:tc>
          <w:tcPr>
            <w:tcW w:w="1194" w:type="dxa"/>
            <w:tcBorders>
              <w:top w:val="single" w:sz="4" w:space="0" w:color="auto"/>
              <w:bottom w:val="single" w:sz="4" w:space="0" w:color="auto"/>
            </w:tcBorders>
            <w:shd w:val="clear" w:color="auto" w:fill="auto"/>
            <w:tcMar>
              <w:top w:w="0" w:type="dxa"/>
              <w:left w:w="70" w:type="dxa"/>
              <w:bottom w:w="0" w:type="dxa"/>
              <w:right w:w="70" w:type="dxa"/>
            </w:tcMar>
            <w:vAlign w:val="bottom"/>
            <w:hideMark/>
          </w:tcPr>
          <w:p w:rsidR="00BD77CC" w:rsidRPr="008442C6" w:rsidRDefault="00BD77CC" w:rsidP="0069257E">
            <w:pPr>
              <w:suppressAutoHyphens w:val="0"/>
              <w:spacing w:before="40" w:after="40" w:line="220" w:lineRule="exact"/>
              <w:ind w:right="113"/>
              <w:jc w:val="right"/>
              <w:rPr>
                <w:b/>
                <w:bCs/>
                <w:sz w:val="18"/>
              </w:rPr>
            </w:pPr>
            <w:r w:rsidRPr="008442C6">
              <w:rPr>
                <w:b/>
                <w:bCs/>
                <w:sz w:val="18"/>
              </w:rPr>
              <w:t>949</w:t>
            </w:r>
          </w:p>
        </w:tc>
        <w:tc>
          <w:tcPr>
            <w:tcW w:w="1194" w:type="dxa"/>
            <w:tcBorders>
              <w:top w:val="single" w:sz="4" w:space="0" w:color="auto"/>
              <w:bottom w:val="single" w:sz="4" w:space="0" w:color="auto"/>
            </w:tcBorders>
            <w:shd w:val="clear" w:color="auto" w:fill="auto"/>
            <w:tcMar>
              <w:top w:w="0" w:type="dxa"/>
              <w:left w:w="70" w:type="dxa"/>
              <w:bottom w:w="0" w:type="dxa"/>
              <w:right w:w="70" w:type="dxa"/>
            </w:tcMar>
            <w:vAlign w:val="bottom"/>
            <w:hideMark/>
          </w:tcPr>
          <w:p w:rsidR="00BD77CC" w:rsidRPr="008442C6" w:rsidRDefault="00BD77CC" w:rsidP="0069257E">
            <w:pPr>
              <w:suppressAutoHyphens w:val="0"/>
              <w:spacing w:before="40" w:after="40" w:line="220" w:lineRule="exact"/>
              <w:ind w:right="113"/>
              <w:jc w:val="right"/>
              <w:rPr>
                <w:b/>
                <w:bCs/>
                <w:sz w:val="18"/>
              </w:rPr>
            </w:pPr>
            <w:r w:rsidRPr="008442C6">
              <w:rPr>
                <w:b/>
                <w:bCs/>
                <w:sz w:val="18"/>
              </w:rPr>
              <w:t>196</w:t>
            </w:r>
          </w:p>
        </w:tc>
        <w:tc>
          <w:tcPr>
            <w:tcW w:w="1199" w:type="dxa"/>
            <w:tcBorders>
              <w:top w:val="single" w:sz="4" w:space="0" w:color="auto"/>
              <w:bottom w:val="single" w:sz="4" w:space="0" w:color="auto"/>
            </w:tcBorders>
            <w:shd w:val="clear" w:color="auto" w:fill="auto"/>
            <w:tcMar>
              <w:top w:w="0" w:type="dxa"/>
              <w:left w:w="70" w:type="dxa"/>
              <w:bottom w:w="0" w:type="dxa"/>
              <w:right w:w="70" w:type="dxa"/>
            </w:tcMar>
            <w:vAlign w:val="bottom"/>
            <w:hideMark/>
          </w:tcPr>
          <w:p w:rsidR="00BD77CC" w:rsidRPr="008442C6" w:rsidRDefault="00BD77CC" w:rsidP="0069257E">
            <w:pPr>
              <w:pStyle w:val="SingleTxtG"/>
              <w:suppressAutoHyphens w:val="0"/>
              <w:spacing w:before="40" w:after="40" w:line="220" w:lineRule="exact"/>
              <w:ind w:left="0" w:right="113"/>
              <w:jc w:val="right"/>
              <w:rPr>
                <w:b/>
                <w:bCs/>
                <w:sz w:val="18"/>
              </w:rPr>
            </w:pPr>
            <w:r w:rsidRPr="008442C6">
              <w:rPr>
                <w:b/>
                <w:bCs/>
                <w:sz w:val="18"/>
              </w:rPr>
              <w:t>11</w:t>
            </w:r>
          </w:p>
        </w:tc>
      </w:tr>
      <w:tr w:rsidR="00BD77CC" w:rsidRPr="008442C6" w:rsidTr="002C2E64">
        <w:tc>
          <w:tcPr>
            <w:tcW w:w="1345" w:type="dxa"/>
            <w:tcBorders>
              <w:top w:val="single" w:sz="4" w:space="0" w:color="auto"/>
            </w:tcBorders>
            <w:shd w:val="clear" w:color="auto" w:fill="auto"/>
            <w:tcMar>
              <w:top w:w="0" w:type="dxa"/>
              <w:left w:w="70" w:type="dxa"/>
              <w:bottom w:w="0" w:type="dxa"/>
              <w:right w:w="70" w:type="dxa"/>
            </w:tcMar>
            <w:hideMark/>
          </w:tcPr>
          <w:p w:rsidR="00BD77CC" w:rsidRPr="008442C6" w:rsidRDefault="00BD77CC" w:rsidP="0069257E">
            <w:pPr>
              <w:suppressAutoHyphens w:val="0"/>
              <w:spacing w:before="40" w:after="40" w:line="220" w:lineRule="exact"/>
              <w:ind w:right="113"/>
              <w:rPr>
                <w:sz w:val="18"/>
              </w:rPr>
            </w:pPr>
            <w:r w:rsidRPr="008442C6">
              <w:rPr>
                <w:sz w:val="18"/>
              </w:rPr>
              <w:t>Men</w:t>
            </w:r>
          </w:p>
        </w:tc>
        <w:tc>
          <w:tcPr>
            <w:tcW w:w="1244" w:type="dxa"/>
            <w:tcBorders>
              <w:top w:val="single" w:sz="4" w:space="0" w:color="auto"/>
            </w:tcBorders>
            <w:shd w:val="clear" w:color="auto" w:fill="auto"/>
            <w:tcMar>
              <w:top w:w="0" w:type="dxa"/>
              <w:left w:w="70" w:type="dxa"/>
              <w:bottom w:w="0" w:type="dxa"/>
              <w:right w:w="70" w:type="dxa"/>
            </w:tcMar>
            <w:vAlign w:val="bottom"/>
            <w:hideMark/>
          </w:tcPr>
          <w:p w:rsidR="00BD77CC" w:rsidRPr="008442C6" w:rsidRDefault="00BD77CC" w:rsidP="0069257E">
            <w:pPr>
              <w:suppressAutoHyphens w:val="0"/>
              <w:spacing w:before="40" w:after="40" w:line="220" w:lineRule="exact"/>
              <w:ind w:right="113"/>
              <w:jc w:val="right"/>
              <w:rPr>
                <w:sz w:val="18"/>
              </w:rPr>
            </w:pPr>
            <w:r w:rsidRPr="008442C6">
              <w:rPr>
                <w:sz w:val="18"/>
              </w:rPr>
              <w:t>1 067</w:t>
            </w:r>
          </w:p>
        </w:tc>
        <w:tc>
          <w:tcPr>
            <w:tcW w:w="1194" w:type="dxa"/>
            <w:tcBorders>
              <w:top w:val="single" w:sz="4" w:space="0" w:color="auto"/>
            </w:tcBorders>
            <w:shd w:val="clear" w:color="auto" w:fill="auto"/>
            <w:tcMar>
              <w:top w:w="0" w:type="dxa"/>
              <w:left w:w="70" w:type="dxa"/>
              <w:bottom w:w="0" w:type="dxa"/>
              <w:right w:w="70" w:type="dxa"/>
            </w:tcMar>
            <w:vAlign w:val="bottom"/>
            <w:hideMark/>
          </w:tcPr>
          <w:p w:rsidR="00BD77CC" w:rsidRPr="008442C6" w:rsidRDefault="00BD77CC" w:rsidP="0069257E">
            <w:pPr>
              <w:suppressAutoHyphens w:val="0"/>
              <w:spacing w:before="40" w:after="40" w:line="220" w:lineRule="exact"/>
              <w:ind w:right="113"/>
              <w:jc w:val="right"/>
              <w:rPr>
                <w:sz w:val="18"/>
              </w:rPr>
            </w:pPr>
            <w:r w:rsidRPr="008442C6">
              <w:rPr>
                <w:sz w:val="18"/>
              </w:rPr>
              <w:t>328</w:t>
            </w:r>
          </w:p>
        </w:tc>
        <w:tc>
          <w:tcPr>
            <w:tcW w:w="1194" w:type="dxa"/>
            <w:tcBorders>
              <w:top w:val="single" w:sz="4" w:space="0" w:color="auto"/>
            </w:tcBorders>
            <w:shd w:val="clear" w:color="auto" w:fill="auto"/>
            <w:tcMar>
              <w:top w:w="0" w:type="dxa"/>
              <w:left w:w="70" w:type="dxa"/>
              <w:bottom w:w="0" w:type="dxa"/>
              <w:right w:w="70" w:type="dxa"/>
            </w:tcMar>
            <w:vAlign w:val="bottom"/>
            <w:hideMark/>
          </w:tcPr>
          <w:p w:rsidR="00BD77CC" w:rsidRPr="008442C6" w:rsidRDefault="00BD77CC" w:rsidP="0069257E">
            <w:pPr>
              <w:suppressAutoHyphens w:val="0"/>
              <w:spacing w:before="40" w:after="40" w:line="220" w:lineRule="exact"/>
              <w:ind w:right="113"/>
              <w:jc w:val="right"/>
              <w:rPr>
                <w:sz w:val="18"/>
              </w:rPr>
            </w:pPr>
            <w:r w:rsidRPr="008442C6">
              <w:rPr>
                <w:sz w:val="18"/>
              </w:rPr>
              <w:t>612</w:t>
            </w:r>
          </w:p>
        </w:tc>
        <w:tc>
          <w:tcPr>
            <w:tcW w:w="1194" w:type="dxa"/>
            <w:tcBorders>
              <w:top w:val="single" w:sz="4" w:space="0" w:color="auto"/>
            </w:tcBorders>
            <w:shd w:val="clear" w:color="auto" w:fill="auto"/>
            <w:tcMar>
              <w:top w:w="0" w:type="dxa"/>
              <w:left w:w="70" w:type="dxa"/>
              <w:bottom w:w="0" w:type="dxa"/>
              <w:right w:w="70" w:type="dxa"/>
            </w:tcMar>
            <w:vAlign w:val="bottom"/>
            <w:hideMark/>
          </w:tcPr>
          <w:p w:rsidR="00BD77CC" w:rsidRPr="008442C6" w:rsidRDefault="00BD77CC" w:rsidP="0069257E">
            <w:pPr>
              <w:suppressAutoHyphens w:val="0"/>
              <w:spacing w:before="40" w:after="40" w:line="220" w:lineRule="exact"/>
              <w:ind w:right="113"/>
              <w:jc w:val="right"/>
              <w:rPr>
                <w:sz w:val="18"/>
              </w:rPr>
            </w:pPr>
            <w:r w:rsidRPr="008442C6">
              <w:rPr>
                <w:sz w:val="18"/>
              </w:rPr>
              <w:t>123</w:t>
            </w:r>
          </w:p>
        </w:tc>
        <w:tc>
          <w:tcPr>
            <w:tcW w:w="1199" w:type="dxa"/>
            <w:tcBorders>
              <w:top w:val="single" w:sz="4" w:space="0" w:color="auto"/>
            </w:tcBorders>
            <w:shd w:val="clear" w:color="auto" w:fill="auto"/>
            <w:tcMar>
              <w:top w:w="0" w:type="dxa"/>
              <w:left w:w="70" w:type="dxa"/>
              <w:bottom w:w="0" w:type="dxa"/>
              <w:right w:w="70" w:type="dxa"/>
            </w:tcMar>
            <w:vAlign w:val="bottom"/>
            <w:hideMark/>
          </w:tcPr>
          <w:p w:rsidR="00BD77CC" w:rsidRPr="008442C6" w:rsidRDefault="00BD77CC" w:rsidP="0069257E">
            <w:pPr>
              <w:pStyle w:val="SingleTxtG"/>
              <w:suppressAutoHyphens w:val="0"/>
              <w:spacing w:before="40" w:after="40" w:line="220" w:lineRule="exact"/>
              <w:ind w:left="0" w:right="113"/>
              <w:jc w:val="right"/>
              <w:rPr>
                <w:sz w:val="18"/>
              </w:rPr>
            </w:pPr>
            <w:r w:rsidRPr="008442C6">
              <w:rPr>
                <w:sz w:val="18"/>
              </w:rPr>
              <w:t>4</w:t>
            </w:r>
          </w:p>
        </w:tc>
      </w:tr>
      <w:tr w:rsidR="00BD77CC" w:rsidRPr="008442C6" w:rsidTr="002D7980">
        <w:tc>
          <w:tcPr>
            <w:tcW w:w="1345" w:type="dxa"/>
            <w:shd w:val="clear" w:color="auto" w:fill="auto"/>
            <w:tcMar>
              <w:top w:w="0" w:type="dxa"/>
              <w:left w:w="70" w:type="dxa"/>
              <w:bottom w:w="0" w:type="dxa"/>
              <w:right w:w="70" w:type="dxa"/>
            </w:tcMar>
            <w:hideMark/>
          </w:tcPr>
          <w:p w:rsidR="00BD77CC" w:rsidRPr="008442C6" w:rsidRDefault="00BD77CC" w:rsidP="0069257E">
            <w:pPr>
              <w:suppressAutoHyphens w:val="0"/>
              <w:spacing w:before="40" w:after="40" w:line="220" w:lineRule="exact"/>
              <w:ind w:right="113"/>
              <w:rPr>
                <w:sz w:val="18"/>
              </w:rPr>
            </w:pPr>
            <w:r w:rsidRPr="008442C6">
              <w:rPr>
                <w:sz w:val="18"/>
              </w:rPr>
              <w:t>Women</w:t>
            </w:r>
          </w:p>
        </w:tc>
        <w:tc>
          <w:tcPr>
            <w:tcW w:w="1244" w:type="dxa"/>
            <w:tcBorders>
              <w:bottom w:val="single" w:sz="4" w:space="0" w:color="auto"/>
            </w:tcBorders>
            <w:shd w:val="clear" w:color="auto" w:fill="auto"/>
            <w:tcMar>
              <w:top w:w="0" w:type="dxa"/>
              <w:left w:w="70" w:type="dxa"/>
              <w:bottom w:w="0" w:type="dxa"/>
              <w:right w:w="70" w:type="dxa"/>
            </w:tcMar>
            <w:vAlign w:val="bottom"/>
            <w:hideMark/>
          </w:tcPr>
          <w:p w:rsidR="00BD77CC" w:rsidRPr="008442C6" w:rsidRDefault="00BD77CC" w:rsidP="0069257E">
            <w:pPr>
              <w:suppressAutoHyphens w:val="0"/>
              <w:spacing w:before="40" w:after="40" w:line="220" w:lineRule="exact"/>
              <w:ind w:right="113"/>
              <w:jc w:val="right"/>
              <w:rPr>
                <w:sz w:val="18"/>
              </w:rPr>
            </w:pPr>
            <w:r w:rsidRPr="008442C6">
              <w:rPr>
                <w:sz w:val="18"/>
              </w:rPr>
              <w:t>674</w:t>
            </w:r>
          </w:p>
        </w:tc>
        <w:tc>
          <w:tcPr>
            <w:tcW w:w="1194" w:type="dxa"/>
            <w:tcBorders>
              <w:bottom w:val="single" w:sz="4" w:space="0" w:color="auto"/>
            </w:tcBorders>
            <w:shd w:val="clear" w:color="auto" w:fill="auto"/>
            <w:tcMar>
              <w:top w:w="0" w:type="dxa"/>
              <w:left w:w="70" w:type="dxa"/>
              <w:bottom w:w="0" w:type="dxa"/>
              <w:right w:w="70" w:type="dxa"/>
            </w:tcMar>
            <w:vAlign w:val="bottom"/>
            <w:hideMark/>
          </w:tcPr>
          <w:p w:rsidR="00BD77CC" w:rsidRPr="008442C6" w:rsidRDefault="00BD77CC" w:rsidP="0069257E">
            <w:pPr>
              <w:suppressAutoHyphens w:val="0"/>
              <w:spacing w:before="40" w:after="40" w:line="220" w:lineRule="exact"/>
              <w:ind w:right="113"/>
              <w:jc w:val="right"/>
              <w:rPr>
                <w:sz w:val="18"/>
              </w:rPr>
            </w:pPr>
            <w:r w:rsidRPr="008442C6">
              <w:rPr>
                <w:sz w:val="18"/>
              </w:rPr>
              <w:t>257</w:t>
            </w:r>
          </w:p>
        </w:tc>
        <w:tc>
          <w:tcPr>
            <w:tcW w:w="1194" w:type="dxa"/>
            <w:tcBorders>
              <w:bottom w:val="single" w:sz="4" w:space="0" w:color="auto"/>
            </w:tcBorders>
            <w:shd w:val="clear" w:color="auto" w:fill="auto"/>
            <w:tcMar>
              <w:top w:w="0" w:type="dxa"/>
              <w:left w:w="70" w:type="dxa"/>
              <w:bottom w:w="0" w:type="dxa"/>
              <w:right w:w="70" w:type="dxa"/>
            </w:tcMar>
            <w:vAlign w:val="bottom"/>
            <w:hideMark/>
          </w:tcPr>
          <w:p w:rsidR="00BD77CC" w:rsidRPr="008442C6" w:rsidRDefault="00BD77CC" w:rsidP="0069257E">
            <w:pPr>
              <w:suppressAutoHyphens w:val="0"/>
              <w:spacing w:before="40" w:after="40" w:line="220" w:lineRule="exact"/>
              <w:ind w:right="113"/>
              <w:jc w:val="right"/>
              <w:rPr>
                <w:sz w:val="18"/>
              </w:rPr>
            </w:pPr>
            <w:r w:rsidRPr="008442C6">
              <w:rPr>
                <w:sz w:val="18"/>
              </w:rPr>
              <w:t>337</w:t>
            </w:r>
          </w:p>
        </w:tc>
        <w:tc>
          <w:tcPr>
            <w:tcW w:w="1194" w:type="dxa"/>
            <w:tcBorders>
              <w:bottom w:val="single" w:sz="4" w:space="0" w:color="auto"/>
            </w:tcBorders>
            <w:shd w:val="clear" w:color="auto" w:fill="auto"/>
            <w:tcMar>
              <w:top w:w="0" w:type="dxa"/>
              <w:left w:w="70" w:type="dxa"/>
              <w:bottom w:w="0" w:type="dxa"/>
              <w:right w:w="70" w:type="dxa"/>
            </w:tcMar>
            <w:vAlign w:val="bottom"/>
            <w:hideMark/>
          </w:tcPr>
          <w:p w:rsidR="00BD77CC" w:rsidRPr="008442C6" w:rsidRDefault="00BD77CC" w:rsidP="0069257E">
            <w:pPr>
              <w:suppressAutoHyphens w:val="0"/>
              <w:spacing w:before="40" w:after="40" w:line="220" w:lineRule="exact"/>
              <w:ind w:right="113"/>
              <w:jc w:val="right"/>
              <w:rPr>
                <w:sz w:val="18"/>
              </w:rPr>
            </w:pPr>
            <w:r w:rsidRPr="008442C6">
              <w:rPr>
                <w:sz w:val="18"/>
              </w:rPr>
              <w:t>73</w:t>
            </w:r>
          </w:p>
        </w:tc>
        <w:tc>
          <w:tcPr>
            <w:tcW w:w="1199" w:type="dxa"/>
            <w:tcBorders>
              <w:bottom w:val="single" w:sz="4" w:space="0" w:color="auto"/>
            </w:tcBorders>
            <w:shd w:val="clear" w:color="auto" w:fill="auto"/>
            <w:tcMar>
              <w:top w:w="0" w:type="dxa"/>
              <w:left w:w="70" w:type="dxa"/>
              <w:bottom w:w="0" w:type="dxa"/>
              <w:right w:w="70" w:type="dxa"/>
            </w:tcMar>
            <w:vAlign w:val="bottom"/>
            <w:hideMark/>
          </w:tcPr>
          <w:p w:rsidR="00BD77CC" w:rsidRPr="008442C6" w:rsidRDefault="00BD77CC" w:rsidP="0069257E">
            <w:pPr>
              <w:pStyle w:val="SingleTxtG"/>
              <w:suppressAutoHyphens w:val="0"/>
              <w:spacing w:before="40" w:after="40" w:line="220" w:lineRule="exact"/>
              <w:ind w:left="0" w:right="113"/>
              <w:jc w:val="right"/>
              <w:rPr>
                <w:sz w:val="18"/>
              </w:rPr>
            </w:pPr>
            <w:r w:rsidRPr="008442C6">
              <w:rPr>
                <w:sz w:val="18"/>
              </w:rPr>
              <w:t>7</w:t>
            </w:r>
          </w:p>
        </w:tc>
      </w:tr>
      <w:tr w:rsidR="00BD77CC" w:rsidRPr="008442C6" w:rsidTr="002D7980">
        <w:tc>
          <w:tcPr>
            <w:tcW w:w="1345" w:type="dxa"/>
            <w:vMerge w:val="restart"/>
            <w:shd w:val="clear" w:color="auto" w:fill="auto"/>
            <w:tcMar>
              <w:top w:w="0" w:type="dxa"/>
              <w:left w:w="70" w:type="dxa"/>
              <w:bottom w:w="0" w:type="dxa"/>
              <w:right w:w="70" w:type="dxa"/>
            </w:tcMar>
            <w:vAlign w:val="bottom"/>
            <w:hideMark/>
          </w:tcPr>
          <w:p w:rsidR="00BD77CC" w:rsidRPr="008442C6" w:rsidRDefault="00BD77CC" w:rsidP="002773F5">
            <w:pPr>
              <w:suppressAutoHyphens w:val="0"/>
              <w:spacing w:before="80" w:after="80" w:line="200" w:lineRule="exact"/>
              <w:ind w:right="113"/>
              <w:rPr>
                <w:i/>
                <w:iCs/>
                <w:sz w:val="16"/>
                <w:szCs w:val="16"/>
              </w:rPr>
            </w:pPr>
            <w:r w:rsidRPr="008442C6">
              <w:rPr>
                <w:i/>
                <w:iCs/>
                <w:sz w:val="16"/>
                <w:szCs w:val="16"/>
              </w:rPr>
              <w:t>2016</w:t>
            </w:r>
          </w:p>
        </w:tc>
        <w:tc>
          <w:tcPr>
            <w:tcW w:w="6025" w:type="dxa"/>
            <w:gridSpan w:val="5"/>
            <w:tcBorders>
              <w:top w:val="single" w:sz="4" w:space="0" w:color="auto"/>
              <w:bottom w:val="single" w:sz="12" w:space="0" w:color="auto"/>
            </w:tcBorders>
            <w:shd w:val="clear" w:color="auto" w:fill="auto"/>
            <w:tcMar>
              <w:top w:w="0" w:type="dxa"/>
              <w:left w:w="70" w:type="dxa"/>
              <w:bottom w:w="0" w:type="dxa"/>
              <w:right w:w="70" w:type="dxa"/>
            </w:tcMar>
            <w:vAlign w:val="bottom"/>
            <w:hideMark/>
          </w:tcPr>
          <w:p w:rsidR="00BD77CC" w:rsidRPr="008442C6" w:rsidRDefault="00BD77CC" w:rsidP="002773F5">
            <w:pPr>
              <w:suppressAutoHyphens w:val="0"/>
              <w:spacing w:before="80" w:after="80" w:line="200" w:lineRule="exact"/>
              <w:ind w:right="113"/>
              <w:jc w:val="center"/>
              <w:rPr>
                <w:i/>
                <w:iCs/>
                <w:sz w:val="16"/>
                <w:szCs w:val="16"/>
              </w:rPr>
            </w:pPr>
            <w:r w:rsidRPr="008442C6">
              <w:rPr>
                <w:i/>
                <w:iCs/>
                <w:sz w:val="16"/>
                <w:szCs w:val="16"/>
              </w:rPr>
              <w:t>Age group</w:t>
            </w:r>
          </w:p>
        </w:tc>
      </w:tr>
      <w:tr w:rsidR="00BD77CC" w:rsidRPr="008442C6" w:rsidTr="002D7980">
        <w:tc>
          <w:tcPr>
            <w:tcW w:w="1345" w:type="dxa"/>
            <w:vMerge/>
            <w:tcBorders>
              <w:bottom w:val="single" w:sz="4" w:space="0" w:color="auto"/>
            </w:tcBorders>
            <w:shd w:val="clear" w:color="auto" w:fill="auto"/>
            <w:hideMark/>
          </w:tcPr>
          <w:p w:rsidR="00BD77CC" w:rsidRPr="008442C6" w:rsidRDefault="00BD77CC" w:rsidP="002773F5">
            <w:pPr>
              <w:suppressAutoHyphens w:val="0"/>
              <w:spacing w:before="80" w:after="80" w:line="200" w:lineRule="exact"/>
              <w:ind w:right="113"/>
              <w:rPr>
                <w:i/>
                <w:iCs/>
                <w:sz w:val="16"/>
                <w:szCs w:val="16"/>
              </w:rPr>
            </w:pPr>
          </w:p>
        </w:tc>
        <w:tc>
          <w:tcPr>
            <w:tcW w:w="1244" w:type="dxa"/>
            <w:tcBorders>
              <w:top w:val="single" w:sz="12" w:space="0" w:color="auto"/>
              <w:bottom w:val="single" w:sz="4" w:space="0" w:color="auto"/>
            </w:tcBorders>
            <w:shd w:val="clear" w:color="auto" w:fill="auto"/>
            <w:tcMar>
              <w:top w:w="0" w:type="dxa"/>
              <w:left w:w="70" w:type="dxa"/>
              <w:bottom w:w="0" w:type="dxa"/>
              <w:right w:w="70" w:type="dxa"/>
            </w:tcMar>
            <w:vAlign w:val="bottom"/>
            <w:hideMark/>
          </w:tcPr>
          <w:p w:rsidR="00BD77CC" w:rsidRPr="008442C6" w:rsidRDefault="00BD77CC" w:rsidP="002773F5">
            <w:pPr>
              <w:suppressAutoHyphens w:val="0"/>
              <w:spacing w:before="80" w:after="80" w:line="200" w:lineRule="exact"/>
              <w:ind w:right="113"/>
              <w:jc w:val="right"/>
              <w:rPr>
                <w:i/>
                <w:iCs/>
                <w:sz w:val="16"/>
                <w:szCs w:val="16"/>
              </w:rPr>
            </w:pPr>
            <w:r w:rsidRPr="008442C6">
              <w:rPr>
                <w:i/>
                <w:iCs/>
                <w:sz w:val="16"/>
                <w:szCs w:val="16"/>
              </w:rPr>
              <w:t>Total</w:t>
            </w:r>
          </w:p>
        </w:tc>
        <w:tc>
          <w:tcPr>
            <w:tcW w:w="1194" w:type="dxa"/>
            <w:tcBorders>
              <w:top w:val="single" w:sz="12" w:space="0" w:color="auto"/>
              <w:bottom w:val="single" w:sz="4" w:space="0" w:color="auto"/>
            </w:tcBorders>
            <w:shd w:val="clear" w:color="auto" w:fill="auto"/>
            <w:tcMar>
              <w:top w:w="0" w:type="dxa"/>
              <w:left w:w="70" w:type="dxa"/>
              <w:bottom w:w="0" w:type="dxa"/>
              <w:right w:w="70" w:type="dxa"/>
            </w:tcMar>
            <w:vAlign w:val="bottom"/>
            <w:hideMark/>
          </w:tcPr>
          <w:p w:rsidR="00BD77CC" w:rsidRPr="008442C6" w:rsidRDefault="00BD77CC" w:rsidP="002773F5">
            <w:pPr>
              <w:suppressAutoHyphens w:val="0"/>
              <w:spacing w:before="80" w:after="80" w:line="200" w:lineRule="exact"/>
              <w:ind w:right="113"/>
              <w:jc w:val="right"/>
              <w:rPr>
                <w:i/>
                <w:iCs/>
                <w:sz w:val="16"/>
                <w:szCs w:val="16"/>
              </w:rPr>
            </w:pPr>
            <w:r w:rsidRPr="008442C6">
              <w:rPr>
                <w:i/>
                <w:iCs/>
                <w:sz w:val="16"/>
                <w:szCs w:val="16"/>
              </w:rPr>
              <w:t>0</w:t>
            </w:r>
            <w:r w:rsidR="00A06E96" w:rsidRPr="008442C6">
              <w:rPr>
                <w:i/>
                <w:iCs/>
                <w:sz w:val="16"/>
                <w:szCs w:val="16"/>
              </w:rPr>
              <w:t>–</w:t>
            </w:r>
            <w:r w:rsidRPr="008442C6">
              <w:rPr>
                <w:i/>
                <w:iCs/>
                <w:sz w:val="16"/>
                <w:szCs w:val="16"/>
              </w:rPr>
              <w:t>18</w:t>
            </w:r>
          </w:p>
        </w:tc>
        <w:tc>
          <w:tcPr>
            <w:tcW w:w="1194" w:type="dxa"/>
            <w:tcBorders>
              <w:top w:val="single" w:sz="12" w:space="0" w:color="auto"/>
              <w:bottom w:val="single" w:sz="4" w:space="0" w:color="auto"/>
            </w:tcBorders>
            <w:shd w:val="clear" w:color="auto" w:fill="auto"/>
            <w:tcMar>
              <w:top w:w="0" w:type="dxa"/>
              <w:left w:w="70" w:type="dxa"/>
              <w:bottom w:w="0" w:type="dxa"/>
              <w:right w:w="70" w:type="dxa"/>
            </w:tcMar>
            <w:vAlign w:val="bottom"/>
            <w:hideMark/>
          </w:tcPr>
          <w:p w:rsidR="00BD77CC" w:rsidRPr="008442C6" w:rsidRDefault="00BD77CC" w:rsidP="002773F5">
            <w:pPr>
              <w:suppressAutoHyphens w:val="0"/>
              <w:spacing w:before="80" w:after="80" w:line="200" w:lineRule="exact"/>
              <w:ind w:right="113"/>
              <w:jc w:val="right"/>
              <w:rPr>
                <w:i/>
                <w:iCs/>
                <w:sz w:val="16"/>
                <w:szCs w:val="16"/>
              </w:rPr>
            </w:pPr>
            <w:r w:rsidRPr="008442C6">
              <w:rPr>
                <w:i/>
                <w:iCs/>
                <w:sz w:val="16"/>
                <w:szCs w:val="16"/>
              </w:rPr>
              <w:t>19</w:t>
            </w:r>
            <w:r w:rsidR="00A06E96" w:rsidRPr="008442C6">
              <w:rPr>
                <w:i/>
                <w:iCs/>
                <w:sz w:val="16"/>
                <w:szCs w:val="16"/>
              </w:rPr>
              <w:t>–</w:t>
            </w:r>
            <w:r w:rsidRPr="008442C6">
              <w:rPr>
                <w:i/>
                <w:iCs/>
                <w:sz w:val="16"/>
                <w:szCs w:val="16"/>
              </w:rPr>
              <w:t>39</w:t>
            </w:r>
          </w:p>
        </w:tc>
        <w:tc>
          <w:tcPr>
            <w:tcW w:w="1194" w:type="dxa"/>
            <w:tcBorders>
              <w:top w:val="single" w:sz="12" w:space="0" w:color="auto"/>
              <w:bottom w:val="single" w:sz="4" w:space="0" w:color="auto"/>
            </w:tcBorders>
            <w:shd w:val="clear" w:color="auto" w:fill="auto"/>
            <w:tcMar>
              <w:top w:w="0" w:type="dxa"/>
              <w:left w:w="70" w:type="dxa"/>
              <w:bottom w:w="0" w:type="dxa"/>
              <w:right w:w="70" w:type="dxa"/>
            </w:tcMar>
            <w:vAlign w:val="bottom"/>
            <w:hideMark/>
          </w:tcPr>
          <w:p w:rsidR="00BD77CC" w:rsidRPr="008442C6" w:rsidRDefault="00BD77CC" w:rsidP="002773F5">
            <w:pPr>
              <w:suppressAutoHyphens w:val="0"/>
              <w:spacing w:before="80" w:after="80" w:line="200" w:lineRule="exact"/>
              <w:ind w:right="113"/>
              <w:jc w:val="right"/>
              <w:rPr>
                <w:i/>
                <w:iCs/>
                <w:sz w:val="16"/>
                <w:szCs w:val="16"/>
              </w:rPr>
            </w:pPr>
            <w:r w:rsidRPr="008442C6">
              <w:rPr>
                <w:i/>
                <w:iCs/>
                <w:sz w:val="16"/>
                <w:szCs w:val="16"/>
              </w:rPr>
              <w:t>40</w:t>
            </w:r>
            <w:r w:rsidR="00A06E96" w:rsidRPr="008442C6">
              <w:rPr>
                <w:i/>
                <w:iCs/>
                <w:sz w:val="16"/>
                <w:szCs w:val="16"/>
              </w:rPr>
              <w:t>–</w:t>
            </w:r>
            <w:r w:rsidRPr="008442C6">
              <w:rPr>
                <w:i/>
                <w:iCs/>
                <w:sz w:val="16"/>
                <w:szCs w:val="16"/>
              </w:rPr>
              <w:t>64</w:t>
            </w:r>
          </w:p>
        </w:tc>
        <w:tc>
          <w:tcPr>
            <w:tcW w:w="1199" w:type="dxa"/>
            <w:tcBorders>
              <w:top w:val="single" w:sz="12" w:space="0" w:color="auto"/>
              <w:bottom w:val="single" w:sz="4" w:space="0" w:color="auto"/>
            </w:tcBorders>
            <w:shd w:val="clear" w:color="auto" w:fill="auto"/>
            <w:tcMar>
              <w:top w:w="0" w:type="dxa"/>
              <w:left w:w="70" w:type="dxa"/>
              <w:bottom w:w="0" w:type="dxa"/>
              <w:right w:w="70" w:type="dxa"/>
            </w:tcMar>
            <w:vAlign w:val="bottom"/>
            <w:hideMark/>
          </w:tcPr>
          <w:p w:rsidR="00BD77CC" w:rsidRPr="008442C6" w:rsidRDefault="00BD77CC" w:rsidP="002773F5">
            <w:pPr>
              <w:pStyle w:val="SingleTxtG"/>
              <w:suppressAutoHyphens w:val="0"/>
              <w:spacing w:before="80" w:after="80" w:line="200" w:lineRule="exact"/>
              <w:ind w:left="0" w:right="113"/>
              <w:jc w:val="right"/>
              <w:rPr>
                <w:i/>
                <w:iCs/>
                <w:sz w:val="16"/>
                <w:szCs w:val="16"/>
              </w:rPr>
            </w:pPr>
            <w:r w:rsidRPr="008442C6">
              <w:rPr>
                <w:i/>
                <w:iCs/>
                <w:sz w:val="16"/>
                <w:szCs w:val="16"/>
              </w:rPr>
              <w:t>+65</w:t>
            </w:r>
          </w:p>
        </w:tc>
      </w:tr>
      <w:tr w:rsidR="00BD77CC" w:rsidRPr="008442C6" w:rsidTr="00A06E96">
        <w:tc>
          <w:tcPr>
            <w:tcW w:w="1345" w:type="dxa"/>
            <w:tcBorders>
              <w:top w:val="single" w:sz="4" w:space="0" w:color="auto"/>
              <w:bottom w:val="single" w:sz="4" w:space="0" w:color="auto"/>
            </w:tcBorders>
            <w:shd w:val="clear" w:color="auto" w:fill="auto"/>
            <w:tcMar>
              <w:top w:w="0" w:type="dxa"/>
              <w:left w:w="70" w:type="dxa"/>
              <w:bottom w:w="0" w:type="dxa"/>
              <w:right w:w="70" w:type="dxa"/>
            </w:tcMar>
            <w:hideMark/>
          </w:tcPr>
          <w:p w:rsidR="00BD77CC" w:rsidRPr="008442C6" w:rsidRDefault="00BD77CC" w:rsidP="00A06E96">
            <w:pPr>
              <w:suppressAutoHyphens w:val="0"/>
              <w:spacing w:before="80" w:after="80" w:line="220" w:lineRule="exact"/>
              <w:ind w:left="283"/>
              <w:rPr>
                <w:b/>
                <w:sz w:val="18"/>
              </w:rPr>
            </w:pPr>
            <w:r w:rsidRPr="008442C6">
              <w:rPr>
                <w:b/>
                <w:sz w:val="18"/>
              </w:rPr>
              <w:t>Total</w:t>
            </w:r>
          </w:p>
        </w:tc>
        <w:tc>
          <w:tcPr>
            <w:tcW w:w="1244" w:type="dxa"/>
            <w:tcBorders>
              <w:top w:val="single" w:sz="4" w:space="0" w:color="auto"/>
              <w:bottom w:val="single" w:sz="4" w:space="0" w:color="auto"/>
            </w:tcBorders>
            <w:shd w:val="clear" w:color="auto" w:fill="auto"/>
            <w:tcMar>
              <w:top w:w="0" w:type="dxa"/>
              <w:left w:w="70" w:type="dxa"/>
              <w:bottom w:w="0" w:type="dxa"/>
              <w:right w:w="70" w:type="dxa"/>
            </w:tcMar>
            <w:vAlign w:val="bottom"/>
            <w:hideMark/>
          </w:tcPr>
          <w:p w:rsidR="00BD77CC" w:rsidRPr="008442C6" w:rsidRDefault="00BD77CC" w:rsidP="0069257E">
            <w:pPr>
              <w:suppressAutoHyphens w:val="0"/>
              <w:spacing w:before="40" w:after="40" w:line="220" w:lineRule="exact"/>
              <w:ind w:right="113"/>
              <w:jc w:val="right"/>
              <w:rPr>
                <w:b/>
                <w:bCs/>
                <w:sz w:val="18"/>
              </w:rPr>
            </w:pPr>
            <w:r w:rsidRPr="008442C6">
              <w:rPr>
                <w:b/>
                <w:bCs/>
                <w:sz w:val="18"/>
              </w:rPr>
              <w:t>1 460</w:t>
            </w:r>
          </w:p>
        </w:tc>
        <w:tc>
          <w:tcPr>
            <w:tcW w:w="1194" w:type="dxa"/>
            <w:tcBorders>
              <w:top w:val="single" w:sz="4" w:space="0" w:color="auto"/>
              <w:bottom w:val="single" w:sz="4" w:space="0" w:color="auto"/>
            </w:tcBorders>
            <w:shd w:val="clear" w:color="auto" w:fill="auto"/>
            <w:tcMar>
              <w:top w:w="0" w:type="dxa"/>
              <w:left w:w="70" w:type="dxa"/>
              <w:bottom w:w="0" w:type="dxa"/>
              <w:right w:w="70" w:type="dxa"/>
            </w:tcMar>
            <w:vAlign w:val="bottom"/>
            <w:hideMark/>
          </w:tcPr>
          <w:p w:rsidR="00BD77CC" w:rsidRPr="008442C6" w:rsidRDefault="00BD77CC" w:rsidP="0069257E">
            <w:pPr>
              <w:suppressAutoHyphens w:val="0"/>
              <w:spacing w:before="40" w:after="40" w:line="220" w:lineRule="exact"/>
              <w:ind w:right="113"/>
              <w:jc w:val="right"/>
              <w:rPr>
                <w:b/>
                <w:bCs/>
                <w:sz w:val="18"/>
              </w:rPr>
            </w:pPr>
            <w:r w:rsidRPr="008442C6">
              <w:rPr>
                <w:b/>
                <w:bCs/>
                <w:sz w:val="18"/>
              </w:rPr>
              <w:t>381</w:t>
            </w:r>
          </w:p>
        </w:tc>
        <w:tc>
          <w:tcPr>
            <w:tcW w:w="1194" w:type="dxa"/>
            <w:tcBorders>
              <w:top w:val="single" w:sz="4" w:space="0" w:color="auto"/>
              <w:bottom w:val="single" w:sz="4" w:space="0" w:color="auto"/>
            </w:tcBorders>
            <w:shd w:val="clear" w:color="auto" w:fill="auto"/>
            <w:tcMar>
              <w:top w:w="0" w:type="dxa"/>
              <w:left w:w="70" w:type="dxa"/>
              <w:bottom w:w="0" w:type="dxa"/>
              <w:right w:w="70" w:type="dxa"/>
            </w:tcMar>
            <w:vAlign w:val="bottom"/>
            <w:hideMark/>
          </w:tcPr>
          <w:p w:rsidR="00BD77CC" w:rsidRPr="008442C6" w:rsidRDefault="00BD77CC" w:rsidP="0069257E">
            <w:pPr>
              <w:suppressAutoHyphens w:val="0"/>
              <w:spacing w:before="40" w:after="40" w:line="220" w:lineRule="exact"/>
              <w:ind w:right="113"/>
              <w:jc w:val="right"/>
              <w:rPr>
                <w:b/>
                <w:bCs/>
                <w:sz w:val="18"/>
              </w:rPr>
            </w:pPr>
            <w:r w:rsidRPr="008442C6">
              <w:rPr>
                <w:b/>
                <w:bCs/>
                <w:sz w:val="18"/>
              </w:rPr>
              <w:t>904</w:t>
            </w:r>
          </w:p>
        </w:tc>
        <w:tc>
          <w:tcPr>
            <w:tcW w:w="1194" w:type="dxa"/>
            <w:tcBorders>
              <w:top w:val="single" w:sz="4" w:space="0" w:color="auto"/>
              <w:bottom w:val="single" w:sz="4" w:space="0" w:color="auto"/>
            </w:tcBorders>
            <w:shd w:val="clear" w:color="auto" w:fill="auto"/>
            <w:tcMar>
              <w:top w:w="0" w:type="dxa"/>
              <w:left w:w="70" w:type="dxa"/>
              <w:bottom w:w="0" w:type="dxa"/>
              <w:right w:w="70" w:type="dxa"/>
            </w:tcMar>
            <w:vAlign w:val="bottom"/>
            <w:hideMark/>
          </w:tcPr>
          <w:p w:rsidR="00BD77CC" w:rsidRPr="008442C6" w:rsidRDefault="00BD77CC" w:rsidP="0069257E">
            <w:pPr>
              <w:suppressAutoHyphens w:val="0"/>
              <w:spacing w:before="40" w:after="40" w:line="220" w:lineRule="exact"/>
              <w:ind w:right="113"/>
              <w:jc w:val="right"/>
              <w:rPr>
                <w:b/>
                <w:bCs/>
                <w:sz w:val="18"/>
              </w:rPr>
            </w:pPr>
            <w:r w:rsidRPr="008442C6">
              <w:rPr>
                <w:b/>
                <w:bCs/>
                <w:sz w:val="18"/>
              </w:rPr>
              <w:t>164</w:t>
            </w:r>
          </w:p>
        </w:tc>
        <w:tc>
          <w:tcPr>
            <w:tcW w:w="1199" w:type="dxa"/>
            <w:tcBorders>
              <w:top w:val="single" w:sz="4" w:space="0" w:color="auto"/>
              <w:bottom w:val="single" w:sz="4" w:space="0" w:color="auto"/>
            </w:tcBorders>
            <w:shd w:val="clear" w:color="auto" w:fill="auto"/>
            <w:tcMar>
              <w:top w:w="0" w:type="dxa"/>
              <w:left w:w="70" w:type="dxa"/>
              <w:bottom w:w="0" w:type="dxa"/>
              <w:right w:w="70" w:type="dxa"/>
            </w:tcMar>
            <w:vAlign w:val="bottom"/>
            <w:hideMark/>
          </w:tcPr>
          <w:p w:rsidR="00BD77CC" w:rsidRPr="008442C6" w:rsidRDefault="00BD77CC" w:rsidP="0069257E">
            <w:pPr>
              <w:pStyle w:val="SingleTxtG"/>
              <w:suppressAutoHyphens w:val="0"/>
              <w:spacing w:before="40" w:after="40" w:line="220" w:lineRule="exact"/>
              <w:ind w:left="0" w:right="113"/>
              <w:jc w:val="right"/>
              <w:rPr>
                <w:b/>
                <w:bCs/>
                <w:sz w:val="18"/>
              </w:rPr>
            </w:pPr>
            <w:r w:rsidRPr="008442C6">
              <w:rPr>
                <w:b/>
                <w:bCs/>
                <w:sz w:val="18"/>
              </w:rPr>
              <w:t>11</w:t>
            </w:r>
          </w:p>
        </w:tc>
      </w:tr>
      <w:tr w:rsidR="00BD77CC" w:rsidRPr="008442C6" w:rsidTr="00A06E96">
        <w:tc>
          <w:tcPr>
            <w:tcW w:w="1345" w:type="dxa"/>
            <w:tcBorders>
              <w:top w:val="single" w:sz="4" w:space="0" w:color="auto"/>
            </w:tcBorders>
            <w:shd w:val="clear" w:color="auto" w:fill="auto"/>
            <w:tcMar>
              <w:top w:w="0" w:type="dxa"/>
              <w:left w:w="70" w:type="dxa"/>
              <w:bottom w:w="0" w:type="dxa"/>
              <w:right w:w="70" w:type="dxa"/>
            </w:tcMar>
            <w:hideMark/>
          </w:tcPr>
          <w:p w:rsidR="00BD77CC" w:rsidRPr="008442C6" w:rsidRDefault="00BD77CC" w:rsidP="0069257E">
            <w:pPr>
              <w:suppressAutoHyphens w:val="0"/>
              <w:spacing w:before="40" w:after="40" w:line="220" w:lineRule="exact"/>
              <w:ind w:right="113"/>
              <w:rPr>
                <w:sz w:val="18"/>
              </w:rPr>
            </w:pPr>
            <w:r w:rsidRPr="008442C6">
              <w:rPr>
                <w:sz w:val="18"/>
              </w:rPr>
              <w:t>Men</w:t>
            </w:r>
          </w:p>
        </w:tc>
        <w:tc>
          <w:tcPr>
            <w:tcW w:w="1244" w:type="dxa"/>
            <w:tcBorders>
              <w:top w:val="single" w:sz="4" w:space="0" w:color="auto"/>
            </w:tcBorders>
            <w:shd w:val="clear" w:color="auto" w:fill="auto"/>
            <w:tcMar>
              <w:top w:w="0" w:type="dxa"/>
              <w:left w:w="70" w:type="dxa"/>
              <w:bottom w:w="0" w:type="dxa"/>
              <w:right w:w="70" w:type="dxa"/>
            </w:tcMar>
            <w:vAlign w:val="bottom"/>
            <w:hideMark/>
          </w:tcPr>
          <w:p w:rsidR="00BD77CC" w:rsidRPr="008442C6" w:rsidRDefault="00BD77CC" w:rsidP="0069257E">
            <w:pPr>
              <w:suppressAutoHyphens w:val="0"/>
              <w:spacing w:before="40" w:after="40" w:line="220" w:lineRule="exact"/>
              <w:ind w:right="113"/>
              <w:jc w:val="right"/>
              <w:rPr>
                <w:sz w:val="18"/>
              </w:rPr>
            </w:pPr>
            <w:r w:rsidRPr="008442C6">
              <w:rPr>
                <w:sz w:val="18"/>
              </w:rPr>
              <w:t>978</w:t>
            </w:r>
          </w:p>
        </w:tc>
        <w:tc>
          <w:tcPr>
            <w:tcW w:w="1194" w:type="dxa"/>
            <w:tcBorders>
              <w:top w:val="single" w:sz="4" w:space="0" w:color="auto"/>
            </w:tcBorders>
            <w:shd w:val="clear" w:color="auto" w:fill="auto"/>
            <w:tcMar>
              <w:top w:w="0" w:type="dxa"/>
              <w:left w:w="70" w:type="dxa"/>
              <w:bottom w:w="0" w:type="dxa"/>
              <w:right w:w="70" w:type="dxa"/>
            </w:tcMar>
            <w:vAlign w:val="bottom"/>
            <w:hideMark/>
          </w:tcPr>
          <w:p w:rsidR="00BD77CC" w:rsidRPr="008442C6" w:rsidRDefault="00BD77CC" w:rsidP="0069257E">
            <w:pPr>
              <w:suppressAutoHyphens w:val="0"/>
              <w:spacing w:before="40" w:after="40" w:line="220" w:lineRule="exact"/>
              <w:ind w:right="113"/>
              <w:jc w:val="right"/>
              <w:rPr>
                <w:sz w:val="18"/>
              </w:rPr>
            </w:pPr>
            <w:r w:rsidRPr="008442C6">
              <w:rPr>
                <w:sz w:val="18"/>
              </w:rPr>
              <w:t>214</w:t>
            </w:r>
          </w:p>
        </w:tc>
        <w:tc>
          <w:tcPr>
            <w:tcW w:w="1194" w:type="dxa"/>
            <w:tcBorders>
              <w:top w:val="single" w:sz="4" w:space="0" w:color="auto"/>
            </w:tcBorders>
            <w:shd w:val="clear" w:color="auto" w:fill="auto"/>
            <w:tcMar>
              <w:top w:w="0" w:type="dxa"/>
              <w:left w:w="70" w:type="dxa"/>
              <w:bottom w:w="0" w:type="dxa"/>
              <w:right w:w="70" w:type="dxa"/>
            </w:tcMar>
            <w:vAlign w:val="bottom"/>
            <w:hideMark/>
          </w:tcPr>
          <w:p w:rsidR="00BD77CC" w:rsidRPr="008442C6" w:rsidRDefault="00BD77CC" w:rsidP="0069257E">
            <w:pPr>
              <w:suppressAutoHyphens w:val="0"/>
              <w:spacing w:before="40" w:after="40" w:line="220" w:lineRule="exact"/>
              <w:ind w:right="113"/>
              <w:jc w:val="right"/>
              <w:rPr>
                <w:sz w:val="18"/>
              </w:rPr>
            </w:pPr>
            <w:r w:rsidRPr="008442C6">
              <w:rPr>
                <w:sz w:val="18"/>
              </w:rPr>
              <w:t>648</w:t>
            </w:r>
          </w:p>
        </w:tc>
        <w:tc>
          <w:tcPr>
            <w:tcW w:w="1194" w:type="dxa"/>
            <w:tcBorders>
              <w:top w:val="single" w:sz="4" w:space="0" w:color="auto"/>
            </w:tcBorders>
            <w:shd w:val="clear" w:color="auto" w:fill="auto"/>
            <w:tcMar>
              <w:top w:w="0" w:type="dxa"/>
              <w:left w:w="70" w:type="dxa"/>
              <w:bottom w:w="0" w:type="dxa"/>
              <w:right w:w="70" w:type="dxa"/>
            </w:tcMar>
            <w:vAlign w:val="bottom"/>
            <w:hideMark/>
          </w:tcPr>
          <w:p w:rsidR="00BD77CC" w:rsidRPr="008442C6" w:rsidRDefault="00BD77CC" w:rsidP="0069257E">
            <w:pPr>
              <w:suppressAutoHyphens w:val="0"/>
              <w:spacing w:before="40" w:after="40" w:line="220" w:lineRule="exact"/>
              <w:ind w:right="113"/>
              <w:jc w:val="right"/>
              <w:rPr>
                <w:sz w:val="18"/>
              </w:rPr>
            </w:pPr>
            <w:r w:rsidRPr="008442C6">
              <w:rPr>
                <w:sz w:val="18"/>
              </w:rPr>
              <w:t>112</w:t>
            </w:r>
          </w:p>
        </w:tc>
        <w:tc>
          <w:tcPr>
            <w:tcW w:w="1199" w:type="dxa"/>
            <w:tcBorders>
              <w:top w:val="single" w:sz="4" w:space="0" w:color="auto"/>
            </w:tcBorders>
            <w:shd w:val="clear" w:color="auto" w:fill="auto"/>
            <w:tcMar>
              <w:top w:w="0" w:type="dxa"/>
              <w:left w:w="70" w:type="dxa"/>
              <w:bottom w:w="0" w:type="dxa"/>
              <w:right w:w="70" w:type="dxa"/>
            </w:tcMar>
            <w:vAlign w:val="bottom"/>
            <w:hideMark/>
          </w:tcPr>
          <w:p w:rsidR="00BD77CC" w:rsidRPr="008442C6" w:rsidRDefault="00BD77CC" w:rsidP="0069257E">
            <w:pPr>
              <w:pStyle w:val="SingleTxtG"/>
              <w:suppressAutoHyphens w:val="0"/>
              <w:spacing w:before="40" w:after="40" w:line="220" w:lineRule="exact"/>
              <w:ind w:left="0" w:right="113"/>
              <w:jc w:val="right"/>
              <w:rPr>
                <w:sz w:val="18"/>
              </w:rPr>
            </w:pPr>
            <w:r w:rsidRPr="008442C6">
              <w:rPr>
                <w:sz w:val="18"/>
              </w:rPr>
              <w:t>4</w:t>
            </w:r>
          </w:p>
        </w:tc>
      </w:tr>
      <w:tr w:rsidR="00BD77CC" w:rsidRPr="008442C6" w:rsidTr="0069257E">
        <w:tc>
          <w:tcPr>
            <w:tcW w:w="1345" w:type="dxa"/>
            <w:shd w:val="clear" w:color="auto" w:fill="auto"/>
            <w:tcMar>
              <w:top w:w="0" w:type="dxa"/>
              <w:left w:w="70" w:type="dxa"/>
              <w:bottom w:w="0" w:type="dxa"/>
              <w:right w:w="70" w:type="dxa"/>
            </w:tcMar>
            <w:hideMark/>
          </w:tcPr>
          <w:p w:rsidR="00BD77CC" w:rsidRPr="008442C6" w:rsidRDefault="00BD77CC" w:rsidP="0069257E">
            <w:pPr>
              <w:suppressAutoHyphens w:val="0"/>
              <w:spacing w:before="40" w:after="40" w:line="220" w:lineRule="exact"/>
              <w:ind w:right="113"/>
              <w:rPr>
                <w:sz w:val="18"/>
              </w:rPr>
            </w:pPr>
            <w:r w:rsidRPr="008442C6">
              <w:rPr>
                <w:sz w:val="18"/>
              </w:rPr>
              <w:t>Women</w:t>
            </w:r>
          </w:p>
        </w:tc>
        <w:tc>
          <w:tcPr>
            <w:tcW w:w="1244" w:type="dxa"/>
            <w:shd w:val="clear" w:color="auto" w:fill="auto"/>
            <w:tcMar>
              <w:top w:w="0" w:type="dxa"/>
              <w:left w:w="70" w:type="dxa"/>
              <w:bottom w:w="0" w:type="dxa"/>
              <w:right w:w="70" w:type="dxa"/>
            </w:tcMar>
            <w:vAlign w:val="bottom"/>
            <w:hideMark/>
          </w:tcPr>
          <w:p w:rsidR="00BD77CC" w:rsidRPr="008442C6" w:rsidRDefault="00BD77CC" w:rsidP="0069257E">
            <w:pPr>
              <w:suppressAutoHyphens w:val="0"/>
              <w:spacing w:before="40" w:after="40" w:line="220" w:lineRule="exact"/>
              <w:ind w:right="113"/>
              <w:jc w:val="right"/>
              <w:rPr>
                <w:sz w:val="18"/>
              </w:rPr>
            </w:pPr>
            <w:r w:rsidRPr="008442C6">
              <w:rPr>
                <w:sz w:val="18"/>
              </w:rPr>
              <w:t>482</w:t>
            </w:r>
          </w:p>
        </w:tc>
        <w:tc>
          <w:tcPr>
            <w:tcW w:w="1194" w:type="dxa"/>
            <w:shd w:val="clear" w:color="auto" w:fill="auto"/>
            <w:tcMar>
              <w:top w:w="0" w:type="dxa"/>
              <w:left w:w="70" w:type="dxa"/>
              <w:bottom w:w="0" w:type="dxa"/>
              <w:right w:w="70" w:type="dxa"/>
            </w:tcMar>
            <w:vAlign w:val="bottom"/>
            <w:hideMark/>
          </w:tcPr>
          <w:p w:rsidR="00BD77CC" w:rsidRPr="008442C6" w:rsidRDefault="00BD77CC" w:rsidP="0069257E">
            <w:pPr>
              <w:suppressAutoHyphens w:val="0"/>
              <w:spacing w:before="40" w:after="40" w:line="220" w:lineRule="exact"/>
              <w:ind w:right="113"/>
              <w:jc w:val="right"/>
              <w:rPr>
                <w:sz w:val="18"/>
              </w:rPr>
            </w:pPr>
            <w:r w:rsidRPr="008442C6">
              <w:rPr>
                <w:sz w:val="18"/>
              </w:rPr>
              <w:t>167</w:t>
            </w:r>
          </w:p>
        </w:tc>
        <w:tc>
          <w:tcPr>
            <w:tcW w:w="1194" w:type="dxa"/>
            <w:shd w:val="clear" w:color="auto" w:fill="auto"/>
            <w:tcMar>
              <w:top w:w="0" w:type="dxa"/>
              <w:left w:w="70" w:type="dxa"/>
              <w:bottom w:w="0" w:type="dxa"/>
              <w:right w:w="70" w:type="dxa"/>
            </w:tcMar>
            <w:vAlign w:val="bottom"/>
            <w:hideMark/>
          </w:tcPr>
          <w:p w:rsidR="00BD77CC" w:rsidRPr="008442C6" w:rsidRDefault="00BD77CC" w:rsidP="0069257E">
            <w:pPr>
              <w:suppressAutoHyphens w:val="0"/>
              <w:spacing w:before="40" w:after="40" w:line="220" w:lineRule="exact"/>
              <w:ind w:right="113"/>
              <w:jc w:val="right"/>
              <w:rPr>
                <w:sz w:val="18"/>
              </w:rPr>
            </w:pPr>
            <w:r w:rsidRPr="008442C6">
              <w:rPr>
                <w:sz w:val="18"/>
              </w:rPr>
              <w:t>256</w:t>
            </w:r>
          </w:p>
        </w:tc>
        <w:tc>
          <w:tcPr>
            <w:tcW w:w="1194" w:type="dxa"/>
            <w:shd w:val="clear" w:color="auto" w:fill="auto"/>
            <w:tcMar>
              <w:top w:w="0" w:type="dxa"/>
              <w:left w:w="70" w:type="dxa"/>
              <w:bottom w:w="0" w:type="dxa"/>
              <w:right w:w="70" w:type="dxa"/>
            </w:tcMar>
            <w:vAlign w:val="bottom"/>
            <w:hideMark/>
          </w:tcPr>
          <w:p w:rsidR="00BD77CC" w:rsidRPr="008442C6" w:rsidRDefault="00BD77CC" w:rsidP="0069257E">
            <w:pPr>
              <w:suppressAutoHyphens w:val="0"/>
              <w:spacing w:before="40" w:after="40" w:line="220" w:lineRule="exact"/>
              <w:ind w:right="113"/>
              <w:jc w:val="right"/>
              <w:rPr>
                <w:sz w:val="18"/>
              </w:rPr>
            </w:pPr>
            <w:r w:rsidRPr="008442C6">
              <w:rPr>
                <w:sz w:val="18"/>
              </w:rPr>
              <w:t>52</w:t>
            </w:r>
          </w:p>
        </w:tc>
        <w:tc>
          <w:tcPr>
            <w:tcW w:w="1199" w:type="dxa"/>
            <w:shd w:val="clear" w:color="auto" w:fill="auto"/>
            <w:tcMar>
              <w:top w:w="0" w:type="dxa"/>
              <w:left w:w="70" w:type="dxa"/>
              <w:bottom w:w="0" w:type="dxa"/>
              <w:right w:w="70" w:type="dxa"/>
            </w:tcMar>
            <w:vAlign w:val="bottom"/>
            <w:hideMark/>
          </w:tcPr>
          <w:p w:rsidR="00BD77CC" w:rsidRPr="008442C6" w:rsidRDefault="00BD77CC" w:rsidP="0069257E">
            <w:pPr>
              <w:pStyle w:val="SingleTxtG"/>
              <w:suppressAutoHyphens w:val="0"/>
              <w:spacing w:before="40" w:after="40" w:line="220" w:lineRule="exact"/>
              <w:ind w:left="0" w:right="113"/>
              <w:jc w:val="right"/>
              <w:rPr>
                <w:sz w:val="18"/>
              </w:rPr>
            </w:pPr>
            <w:r w:rsidRPr="008442C6">
              <w:rPr>
                <w:sz w:val="18"/>
              </w:rPr>
              <w:t>7</w:t>
            </w:r>
          </w:p>
        </w:tc>
      </w:tr>
    </w:tbl>
    <w:p w:rsidR="00BD77CC" w:rsidRPr="008442C6" w:rsidRDefault="00BD77CC" w:rsidP="00DF3A4A">
      <w:pPr>
        <w:spacing w:before="120"/>
        <w:ind w:left="1134" w:right="1134" w:firstLine="170"/>
        <w:rPr>
          <w:sz w:val="18"/>
          <w:szCs w:val="18"/>
        </w:rPr>
      </w:pPr>
      <w:r w:rsidRPr="008442C6">
        <w:rPr>
          <w:i/>
          <w:iCs/>
          <w:sz w:val="18"/>
          <w:szCs w:val="18"/>
        </w:rPr>
        <w:t>Source</w:t>
      </w:r>
      <w:r w:rsidRPr="008442C6">
        <w:rPr>
          <w:sz w:val="18"/>
          <w:szCs w:val="18"/>
        </w:rPr>
        <w:t>: Foreigners and Borders Office</w:t>
      </w:r>
      <w:r w:rsidR="008F4BC0" w:rsidRPr="008442C6">
        <w:rPr>
          <w:sz w:val="18"/>
          <w:szCs w:val="18"/>
        </w:rPr>
        <w:t>.</w:t>
      </w:r>
    </w:p>
    <w:p w:rsidR="00BD77CC" w:rsidRPr="008442C6" w:rsidRDefault="00B60025" w:rsidP="002C13AD">
      <w:pPr>
        <w:pStyle w:val="H23G"/>
        <w:spacing w:after="240"/>
      </w:pPr>
      <w:r w:rsidRPr="008442C6">
        <w:tab/>
      </w:r>
      <w:r w:rsidRPr="008442C6">
        <w:tab/>
      </w:r>
      <w:r w:rsidR="008A12AE">
        <w:t>Concession of i</w:t>
      </w:r>
      <w:r w:rsidR="00BD77CC" w:rsidRPr="008442C6">
        <w:t xml:space="preserve">nternational </w:t>
      </w:r>
      <w:r w:rsidR="002C13AD" w:rsidRPr="008442C6">
        <w:t>p</w:t>
      </w:r>
      <w:r w:rsidR="00BD77CC" w:rsidRPr="008442C6">
        <w:t>rotection</w:t>
      </w:r>
    </w:p>
    <w:tbl>
      <w:tblPr>
        <w:tblW w:w="9639" w:type="dxa"/>
        <w:jc w:val="center"/>
        <w:tblLayout w:type="fixed"/>
        <w:tblCellMar>
          <w:left w:w="0" w:type="dxa"/>
          <w:right w:w="0" w:type="dxa"/>
        </w:tblCellMar>
        <w:tblLook w:val="04A0" w:firstRow="1" w:lastRow="0" w:firstColumn="1" w:lastColumn="0" w:noHBand="0" w:noVBand="1"/>
      </w:tblPr>
      <w:tblGrid>
        <w:gridCol w:w="850"/>
        <w:gridCol w:w="708"/>
        <w:gridCol w:w="596"/>
        <w:gridCol w:w="819"/>
        <w:gridCol w:w="526"/>
        <w:gridCol w:w="574"/>
        <w:gridCol w:w="732"/>
        <w:gridCol w:w="526"/>
        <w:gridCol w:w="761"/>
        <w:gridCol w:w="780"/>
        <w:gridCol w:w="653"/>
        <w:gridCol w:w="786"/>
        <w:gridCol w:w="780"/>
        <w:gridCol w:w="548"/>
      </w:tblGrid>
      <w:tr w:rsidR="00D6330D" w:rsidRPr="008442C6" w:rsidTr="00683D48">
        <w:trPr>
          <w:tblHeader/>
          <w:jc w:val="center"/>
        </w:trPr>
        <w:tc>
          <w:tcPr>
            <w:tcW w:w="850" w:type="dxa"/>
            <w:vMerge w:val="restart"/>
            <w:tcBorders>
              <w:top w:val="single" w:sz="4" w:space="0" w:color="auto"/>
              <w:bottom w:val="single" w:sz="4" w:space="0" w:color="auto"/>
            </w:tcBorders>
            <w:shd w:val="clear" w:color="auto" w:fill="auto"/>
            <w:tcMar>
              <w:top w:w="0" w:type="dxa"/>
              <w:left w:w="70" w:type="dxa"/>
              <w:bottom w:w="0" w:type="dxa"/>
              <w:right w:w="70" w:type="dxa"/>
            </w:tcMar>
            <w:vAlign w:val="center"/>
            <w:hideMark/>
          </w:tcPr>
          <w:p w:rsidR="00D6330D" w:rsidRPr="008442C6" w:rsidRDefault="00D6330D" w:rsidP="00683D48">
            <w:pPr>
              <w:pStyle w:val="SingleTxtG"/>
              <w:suppressAutoHyphens w:val="0"/>
              <w:spacing w:before="80" w:after="80" w:line="200" w:lineRule="exact"/>
              <w:ind w:left="0" w:right="0"/>
              <w:jc w:val="left"/>
              <w:rPr>
                <w:i/>
                <w:sz w:val="16"/>
                <w:szCs w:val="18"/>
              </w:rPr>
            </w:pPr>
            <w:r w:rsidRPr="008442C6">
              <w:rPr>
                <w:i/>
                <w:sz w:val="16"/>
                <w:szCs w:val="18"/>
              </w:rPr>
              <w:t>2018</w:t>
            </w:r>
          </w:p>
        </w:tc>
        <w:tc>
          <w:tcPr>
            <w:tcW w:w="8789" w:type="dxa"/>
            <w:gridSpan w:val="13"/>
            <w:tcBorders>
              <w:top w:val="single" w:sz="4" w:space="0" w:color="auto"/>
              <w:left w:val="nil"/>
              <w:bottom w:val="single" w:sz="4" w:space="0" w:color="auto"/>
            </w:tcBorders>
            <w:shd w:val="clear" w:color="auto" w:fill="auto"/>
            <w:tcMar>
              <w:top w:w="0" w:type="dxa"/>
              <w:left w:w="70" w:type="dxa"/>
              <w:bottom w:w="0" w:type="dxa"/>
              <w:right w:w="70" w:type="dxa"/>
            </w:tcMar>
            <w:vAlign w:val="bottom"/>
            <w:hideMark/>
          </w:tcPr>
          <w:p w:rsidR="00D6330D" w:rsidRPr="008442C6" w:rsidRDefault="00D6330D" w:rsidP="00E01E2D">
            <w:pPr>
              <w:pStyle w:val="SingleTxtG"/>
              <w:suppressAutoHyphens w:val="0"/>
              <w:spacing w:before="80" w:after="80" w:line="200" w:lineRule="exact"/>
              <w:ind w:left="0" w:right="0"/>
              <w:jc w:val="center"/>
              <w:rPr>
                <w:bCs/>
                <w:i/>
                <w:sz w:val="16"/>
                <w:szCs w:val="18"/>
              </w:rPr>
            </w:pPr>
            <w:r w:rsidRPr="008442C6">
              <w:rPr>
                <w:bCs/>
                <w:i/>
                <w:sz w:val="16"/>
                <w:szCs w:val="18"/>
              </w:rPr>
              <w:t xml:space="preserve">Age </w:t>
            </w:r>
            <w:r w:rsidR="00E01E2D" w:rsidRPr="008442C6">
              <w:rPr>
                <w:bCs/>
                <w:i/>
                <w:sz w:val="16"/>
                <w:szCs w:val="18"/>
              </w:rPr>
              <w:t>g</w:t>
            </w:r>
            <w:r w:rsidRPr="008442C6">
              <w:rPr>
                <w:bCs/>
                <w:i/>
                <w:sz w:val="16"/>
                <w:szCs w:val="18"/>
              </w:rPr>
              <w:t>roups</w:t>
            </w:r>
          </w:p>
        </w:tc>
      </w:tr>
      <w:tr w:rsidR="00D6330D" w:rsidRPr="008442C6" w:rsidTr="009564AB">
        <w:trPr>
          <w:tblHeader/>
          <w:jc w:val="center"/>
        </w:trPr>
        <w:tc>
          <w:tcPr>
            <w:tcW w:w="850" w:type="dxa"/>
            <w:vMerge/>
            <w:tcBorders>
              <w:top w:val="single" w:sz="4" w:space="0" w:color="auto"/>
            </w:tcBorders>
            <w:shd w:val="clear" w:color="auto" w:fill="auto"/>
            <w:vAlign w:val="bottom"/>
            <w:hideMark/>
          </w:tcPr>
          <w:p w:rsidR="00D6330D" w:rsidRPr="008442C6" w:rsidRDefault="00D6330D" w:rsidP="00683D48">
            <w:pPr>
              <w:pStyle w:val="SingleTxtG"/>
              <w:suppressAutoHyphens w:val="0"/>
              <w:spacing w:before="40" w:after="40" w:line="220" w:lineRule="exact"/>
              <w:ind w:left="0" w:right="0"/>
              <w:rPr>
                <w:sz w:val="18"/>
                <w:szCs w:val="18"/>
              </w:rPr>
            </w:pPr>
          </w:p>
        </w:tc>
        <w:tc>
          <w:tcPr>
            <w:tcW w:w="708" w:type="dxa"/>
            <w:vMerge w:val="restart"/>
            <w:tcBorders>
              <w:top w:val="single" w:sz="4" w:space="0" w:color="auto"/>
              <w:left w:val="nil"/>
            </w:tcBorders>
            <w:shd w:val="clear" w:color="auto" w:fill="auto"/>
            <w:tcMar>
              <w:top w:w="0" w:type="dxa"/>
              <w:left w:w="70" w:type="dxa"/>
              <w:bottom w:w="0" w:type="dxa"/>
              <w:right w:w="70" w:type="dxa"/>
            </w:tcMar>
            <w:vAlign w:val="center"/>
            <w:hideMark/>
          </w:tcPr>
          <w:p w:rsidR="00D6330D" w:rsidRPr="008442C6" w:rsidRDefault="00D6330D" w:rsidP="0023616A">
            <w:pPr>
              <w:pStyle w:val="SingleTxtG"/>
              <w:suppressAutoHyphens w:val="0"/>
              <w:spacing w:before="80" w:after="80" w:line="200" w:lineRule="exact"/>
              <w:ind w:left="0" w:right="0"/>
              <w:jc w:val="right"/>
              <w:rPr>
                <w:bCs/>
                <w:i/>
                <w:spacing w:val="4"/>
                <w:w w:val="103"/>
                <w:kern w:val="14"/>
                <w:sz w:val="16"/>
                <w:szCs w:val="18"/>
              </w:rPr>
            </w:pPr>
            <w:r w:rsidRPr="008442C6">
              <w:rPr>
                <w:bCs/>
                <w:i/>
                <w:spacing w:val="4"/>
                <w:w w:val="103"/>
                <w:kern w:val="14"/>
                <w:sz w:val="16"/>
                <w:szCs w:val="18"/>
              </w:rPr>
              <w:t>Total</w:t>
            </w:r>
          </w:p>
        </w:tc>
        <w:tc>
          <w:tcPr>
            <w:tcW w:w="1941" w:type="dxa"/>
            <w:gridSpan w:val="3"/>
            <w:tcBorders>
              <w:top w:val="single" w:sz="4" w:space="0" w:color="auto"/>
              <w:left w:val="nil"/>
              <w:bottom w:val="single" w:sz="4" w:space="0" w:color="auto"/>
              <w:right w:val="single" w:sz="24" w:space="0" w:color="FFFFFF" w:themeColor="background1"/>
            </w:tcBorders>
            <w:shd w:val="clear" w:color="auto" w:fill="auto"/>
            <w:tcMar>
              <w:top w:w="0" w:type="dxa"/>
              <w:left w:w="70" w:type="dxa"/>
              <w:bottom w:w="0" w:type="dxa"/>
              <w:right w:w="70" w:type="dxa"/>
            </w:tcMar>
            <w:vAlign w:val="center"/>
            <w:hideMark/>
          </w:tcPr>
          <w:p w:rsidR="00D6330D" w:rsidRPr="008442C6" w:rsidRDefault="00D6330D" w:rsidP="00D6330D">
            <w:pPr>
              <w:pStyle w:val="SingleTxtG"/>
              <w:suppressAutoHyphens w:val="0"/>
              <w:spacing w:before="80" w:after="80" w:line="200" w:lineRule="exact"/>
              <w:ind w:left="0" w:right="0"/>
              <w:jc w:val="center"/>
              <w:rPr>
                <w:bCs/>
                <w:i/>
                <w:spacing w:val="4"/>
                <w:w w:val="103"/>
                <w:kern w:val="14"/>
                <w:sz w:val="16"/>
                <w:szCs w:val="18"/>
              </w:rPr>
            </w:pPr>
            <w:r w:rsidRPr="008442C6">
              <w:rPr>
                <w:bCs/>
                <w:i/>
                <w:spacing w:val="4"/>
                <w:w w:val="103"/>
                <w:kern w:val="14"/>
                <w:sz w:val="16"/>
                <w:szCs w:val="18"/>
              </w:rPr>
              <w:t>0–18</w:t>
            </w:r>
          </w:p>
        </w:tc>
        <w:tc>
          <w:tcPr>
            <w:tcW w:w="1832"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top w:w="0" w:type="dxa"/>
              <w:left w:w="70" w:type="dxa"/>
              <w:bottom w:w="0" w:type="dxa"/>
              <w:right w:w="70" w:type="dxa"/>
            </w:tcMar>
            <w:vAlign w:val="center"/>
            <w:hideMark/>
          </w:tcPr>
          <w:p w:rsidR="00D6330D" w:rsidRPr="008442C6" w:rsidRDefault="00D6330D" w:rsidP="00D6330D">
            <w:pPr>
              <w:pStyle w:val="SingleTxtG"/>
              <w:suppressAutoHyphens w:val="0"/>
              <w:spacing w:before="80" w:after="80" w:line="200" w:lineRule="exact"/>
              <w:ind w:left="0" w:right="0"/>
              <w:jc w:val="center"/>
              <w:rPr>
                <w:bCs/>
                <w:i/>
                <w:spacing w:val="4"/>
                <w:w w:val="103"/>
                <w:kern w:val="14"/>
                <w:sz w:val="16"/>
                <w:szCs w:val="18"/>
              </w:rPr>
            </w:pPr>
            <w:r w:rsidRPr="008442C6">
              <w:rPr>
                <w:bCs/>
                <w:i/>
                <w:spacing w:val="4"/>
                <w:w w:val="103"/>
                <w:kern w:val="14"/>
                <w:sz w:val="16"/>
                <w:szCs w:val="18"/>
              </w:rPr>
              <w:t>19–39</w:t>
            </w:r>
          </w:p>
        </w:tc>
        <w:tc>
          <w:tcPr>
            <w:tcW w:w="2194"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top w:w="0" w:type="dxa"/>
              <w:left w:w="70" w:type="dxa"/>
              <w:bottom w:w="0" w:type="dxa"/>
              <w:right w:w="70" w:type="dxa"/>
            </w:tcMar>
            <w:vAlign w:val="center"/>
            <w:hideMark/>
          </w:tcPr>
          <w:p w:rsidR="00D6330D" w:rsidRPr="008442C6" w:rsidRDefault="00D6330D" w:rsidP="00D6330D">
            <w:pPr>
              <w:pStyle w:val="SingleTxtG"/>
              <w:suppressAutoHyphens w:val="0"/>
              <w:spacing w:before="80" w:after="80" w:line="200" w:lineRule="exact"/>
              <w:ind w:left="0" w:right="0"/>
              <w:jc w:val="center"/>
              <w:rPr>
                <w:bCs/>
                <w:i/>
                <w:spacing w:val="4"/>
                <w:w w:val="103"/>
                <w:kern w:val="14"/>
                <w:sz w:val="16"/>
                <w:szCs w:val="18"/>
              </w:rPr>
            </w:pPr>
            <w:r w:rsidRPr="008442C6">
              <w:rPr>
                <w:bCs/>
                <w:i/>
                <w:spacing w:val="4"/>
                <w:w w:val="103"/>
                <w:kern w:val="14"/>
                <w:sz w:val="16"/>
                <w:szCs w:val="18"/>
              </w:rPr>
              <w:t>40–64</w:t>
            </w:r>
          </w:p>
        </w:tc>
        <w:tc>
          <w:tcPr>
            <w:tcW w:w="2114" w:type="dxa"/>
            <w:gridSpan w:val="3"/>
            <w:tcBorders>
              <w:top w:val="single" w:sz="4" w:space="0" w:color="auto"/>
              <w:left w:val="single" w:sz="24" w:space="0" w:color="FFFFFF" w:themeColor="background1"/>
              <w:bottom w:val="single" w:sz="4" w:space="0" w:color="auto"/>
            </w:tcBorders>
            <w:shd w:val="clear" w:color="auto" w:fill="auto"/>
            <w:tcMar>
              <w:top w:w="0" w:type="dxa"/>
              <w:left w:w="70" w:type="dxa"/>
              <w:bottom w:w="0" w:type="dxa"/>
              <w:right w:w="70" w:type="dxa"/>
            </w:tcMar>
            <w:vAlign w:val="center"/>
            <w:hideMark/>
          </w:tcPr>
          <w:p w:rsidR="00D6330D" w:rsidRPr="008442C6" w:rsidRDefault="00D6330D" w:rsidP="00683D48">
            <w:pPr>
              <w:pStyle w:val="SingleTxtG"/>
              <w:suppressAutoHyphens w:val="0"/>
              <w:spacing w:before="80" w:after="80" w:line="200" w:lineRule="exact"/>
              <w:ind w:left="0" w:right="0"/>
              <w:jc w:val="center"/>
              <w:rPr>
                <w:bCs/>
                <w:i/>
                <w:spacing w:val="4"/>
                <w:w w:val="103"/>
                <w:kern w:val="14"/>
                <w:sz w:val="16"/>
                <w:szCs w:val="18"/>
              </w:rPr>
            </w:pPr>
            <w:r w:rsidRPr="008442C6">
              <w:rPr>
                <w:bCs/>
                <w:i/>
                <w:spacing w:val="4"/>
                <w:w w:val="103"/>
                <w:kern w:val="14"/>
                <w:sz w:val="16"/>
                <w:szCs w:val="18"/>
              </w:rPr>
              <w:t>+65</w:t>
            </w:r>
          </w:p>
        </w:tc>
      </w:tr>
      <w:tr w:rsidR="00D6330D" w:rsidRPr="008442C6" w:rsidTr="006776CA">
        <w:trPr>
          <w:tblHeader/>
          <w:jc w:val="center"/>
        </w:trPr>
        <w:tc>
          <w:tcPr>
            <w:tcW w:w="850" w:type="dxa"/>
            <w:vMerge/>
            <w:tcBorders>
              <w:top w:val="single" w:sz="4" w:space="0" w:color="auto"/>
              <w:bottom w:val="single" w:sz="12" w:space="0" w:color="auto"/>
            </w:tcBorders>
            <w:shd w:val="clear" w:color="auto" w:fill="auto"/>
            <w:vAlign w:val="bottom"/>
            <w:hideMark/>
          </w:tcPr>
          <w:p w:rsidR="00D6330D" w:rsidRPr="008442C6" w:rsidRDefault="00D6330D" w:rsidP="00683D48">
            <w:pPr>
              <w:pStyle w:val="SingleTxtG"/>
              <w:suppressAutoHyphens w:val="0"/>
              <w:spacing w:before="40" w:after="40" w:line="220" w:lineRule="exact"/>
              <w:ind w:left="0" w:right="0"/>
              <w:rPr>
                <w:sz w:val="18"/>
                <w:szCs w:val="18"/>
              </w:rPr>
            </w:pPr>
          </w:p>
        </w:tc>
        <w:tc>
          <w:tcPr>
            <w:tcW w:w="708" w:type="dxa"/>
            <w:vMerge/>
            <w:tcBorders>
              <w:top w:val="single" w:sz="4" w:space="0" w:color="auto"/>
              <w:left w:val="nil"/>
              <w:bottom w:val="single" w:sz="12" w:space="0" w:color="auto"/>
            </w:tcBorders>
            <w:shd w:val="clear" w:color="auto" w:fill="auto"/>
            <w:vAlign w:val="bottom"/>
            <w:hideMark/>
          </w:tcPr>
          <w:p w:rsidR="00D6330D" w:rsidRPr="008442C6" w:rsidRDefault="00D6330D" w:rsidP="00683D48">
            <w:pPr>
              <w:pStyle w:val="SingleTxtG"/>
              <w:suppressAutoHyphens w:val="0"/>
              <w:spacing w:before="80" w:after="80" w:line="200" w:lineRule="exact"/>
              <w:ind w:left="0" w:right="0"/>
              <w:jc w:val="left"/>
              <w:rPr>
                <w:bCs/>
                <w:i/>
                <w:spacing w:val="4"/>
                <w:w w:val="103"/>
                <w:kern w:val="14"/>
                <w:sz w:val="16"/>
                <w:szCs w:val="18"/>
              </w:rPr>
            </w:pPr>
          </w:p>
        </w:tc>
        <w:tc>
          <w:tcPr>
            <w:tcW w:w="596" w:type="dxa"/>
            <w:tcBorders>
              <w:top w:val="single" w:sz="4" w:space="0" w:color="auto"/>
              <w:left w:val="nil"/>
              <w:bottom w:val="single" w:sz="12" w:space="0" w:color="auto"/>
            </w:tcBorders>
            <w:shd w:val="clear" w:color="auto" w:fill="auto"/>
            <w:tcMar>
              <w:top w:w="0" w:type="dxa"/>
              <w:left w:w="70" w:type="dxa"/>
              <w:bottom w:w="0" w:type="dxa"/>
              <w:right w:w="70" w:type="dxa"/>
            </w:tcMar>
            <w:vAlign w:val="bottom"/>
            <w:hideMark/>
          </w:tcPr>
          <w:p w:rsidR="00D6330D" w:rsidRPr="008442C6" w:rsidRDefault="00D6330D" w:rsidP="00683D48">
            <w:pPr>
              <w:pStyle w:val="SingleTxtG"/>
              <w:suppressAutoHyphens w:val="0"/>
              <w:spacing w:before="80" w:after="80" w:line="200" w:lineRule="exact"/>
              <w:ind w:left="0" w:right="0"/>
              <w:jc w:val="right"/>
              <w:rPr>
                <w:bCs/>
                <w:i/>
                <w:spacing w:val="4"/>
                <w:w w:val="103"/>
                <w:kern w:val="14"/>
                <w:sz w:val="16"/>
                <w:szCs w:val="18"/>
              </w:rPr>
            </w:pPr>
            <w:r w:rsidRPr="008442C6">
              <w:rPr>
                <w:bCs/>
                <w:i/>
                <w:spacing w:val="4"/>
                <w:w w:val="103"/>
                <w:kern w:val="14"/>
                <w:sz w:val="16"/>
                <w:szCs w:val="18"/>
              </w:rPr>
              <w:t>Total</w:t>
            </w:r>
          </w:p>
        </w:tc>
        <w:tc>
          <w:tcPr>
            <w:tcW w:w="819" w:type="dxa"/>
            <w:tcBorders>
              <w:top w:val="single" w:sz="4" w:space="0" w:color="auto"/>
              <w:bottom w:val="single" w:sz="12" w:space="0" w:color="auto"/>
            </w:tcBorders>
            <w:shd w:val="clear" w:color="auto" w:fill="auto"/>
            <w:tcMar>
              <w:top w:w="0" w:type="dxa"/>
              <w:left w:w="70" w:type="dxa"/>
              <w:bottom w:w="0" w:type="dxa"/>
              <w:right w:w="70" w:type="dxa"/>
            </w:tcMar>
            <w:vAlign w:val="bottom"/>
            <w:hideMark/>
          </w:tcPr>
          <w:p w:rsidR="00D6330D" w:rsidRPr="008442C6" w:rsidRDefault="00D6330D" w:rsidP="00683D48">
            <w:pPr>
              <w:pStyle w:val="SingleTxtG"/>
              <w:suppressAutoHyphens w:val="0"/>
              <w:spacing w:before="80" w:after="80" w:line="200" w:lineRule="exact"/>
              <w:ind w:left="0" w:right="0"/>
              <w:jc w:val="right"/>
              <w:rPr>
                <w:bCs/>
                <w:i/>
                <w:spacing w:val="4"/>
                <w:w w:val="103"/>
                <w:kern w:val="14"/>
                <w:sz w:val="16"/>
                <w:szCs w:val="18"/>
              </w:rPr>
            </w:pPr>
            <w:r w:rsidRPr="008442C6">
              <w:rPr>
                <w:bCs/>
                <w:i/>
                <w:spacing w:val="4"/>
                <w:w w:val="103"/>
                <w:kern w:val="14"/>
                <w:sz w:val="16"/>
                <w:szCs w:val="18"/>
              </w:rPr>
              <w:t>AR RH</w:t>
            </w:r>
          </w:p>
        </w:tc>
        <w:tc>
          <w:tcPr>
            <w:tcW w:w="526" w:type="dxa"/>
            <w:tcBorders>
              <w:top w:val="single" w:sz="4" w:space="0" w:color="auto"/>
              <w:bottom w:val="single" w:sz="12" w:space="0" w:color="auto"/>
              <w:right w:val="single" w:sz="24" w:space="0" w:color="FFFFFF" w:themeColor="background1"/>
            </w:tcBorders>
            <w:shd w:val="clear" w:color="auto" w:fill="auto"/>
            <w:tcMar>
              <w:top w:w="0" w:type="dxa"/>
              <w:left w:w="70" w:type="dxa"/>
              <w:bottom w:w="0" w:type="dxa"/>
              <w:right w:w="70" w:type="dxa"/>
            </w:tcMar>
            <w:vAlign w:val="bottom"/>
            <w:hideMark/>
          </w:tcPr>
          <w:p w:rsidR="00D6330D" w:rsidRPr="008442C6" w:rsidRDefault="00D6330D" w:rsidP="00683D48">
            <w:pPr>
              <w:pStyle w:val="SingleTxtG"/>
              <w:suppressAutoHyphens w:val="0"/>
              <w:spacing w:before="80" w:after="80" w:line="200" w:lineRule="exact"/>
              <w:ind w:left="0" w:right="0"/>
              <w:jc w:val="right"/>
              <w:rPr>
                <w:bCs/>
                <w:i/>
                <w:spacing w:val="4"/>
                <w:w w:val="103"/>
                <w:kern w:val="14"/>
                <w:sz w:val="16"/>
                <w:szCs w:val="18"/>
              </w:rPr>
            </w:pPr>
            <w:r w:rsidRPr="008442C6">
              <w:rPr>
                <w:bCs/>
                <w:i/>
                <w:spacing w:val="4"/>
                <w:w w:val="103"/>
                <w:kern w:val="14"/>
                <w:sz w:val="16"/>
                <w:szCs w:val="18"/>
              </w:rPr>
              <w:t>REF</w:t>
            </w:r>
          </w:p>
        </w:tc>
        <w:tc>
          <w:tcPr>
            <w:tcW w:w="574" w:type="dxa"/>
            <w:tcBorders>
              <w:top w:val="single" w:sz="4" w:space="0" w:color="auto"/>
              <w:left w:val="single" w:sz="24" w:space="0" w:color="FFFFFF" w:themeColor="background1"/>
              <w:bottom w:val="single" w:sz="12" w:space="0" w:color="auto"/>
            </w:tcBorders>
            <w:shd w:val="clear" w:color="auto" w:fill="auto"/>
            <w:tcMar>
              <w:top w:w="0" w:type="dxa"/>
              <w:left w:w="70" w:type="dxa"/>
              <w:bottom w:w="0" w:type="dxa"/>
              <w:right w:w="70" w:type="dxa"/>
            </w:tcMar>
            <w:hideMark/>
          </w:tcPr>
          <w:p w:rsidR="00D6330D" w:rsidRPr="008442C6" w:rsidRDefault="00D6330D" w:rsidP="00683D48">
            <w:pPr>
              <w:pStyle w:val="SingleTxtG"/>
              <w:suppressAutoHyphens w:val="0"/>
              <w:spacing w:before="80" w:after="80" w:line="200" w:lineRule="exact"/>
              <w:ind w:left="0" w:right="0"/>
              <w:jc w:val="right"/>
              <w:rPr>
                <w:bCs/>
                <w:i/>
                <w:spacing w:val="4"/>
                <w:w w:val="103"/>
                <w:kern w:val="14"/>
                <w:sz w:val="16"/>
                <w:szCs w:val="18"/>
              </w:rPr>
            </w:pPr>
            <w:r w:rsidRPr="008442C6">
              <w:rPr>
                <w:bCs/>
                <w:i/>
                <w:spacing w:val="4"/>
                <w:w w:val="103"/>
                <w:kern w:val="14"/>
                <w:sz w:val="16"/>
                <w:szCs w:val="18"/>
              </w:rPr>
              <w:t>Total</w:t>
            </w:r>
          </w:p>
        </w:tc>
        <w:tc>
          <w:tcPr>
            <w:tcW w:w="732" w:type="dxa"/>
            <w:tcBorders>
              <w:top w:val="single" w:sz="4" w:space="0" w:color="auto"/>
              <w:bottom w:val="single" w:sz="12" w:space="0" w:color="auto"/>
            </w:tcBorders>
            <w:shd w:val="clear" w:color="auto" w:fill="auto"/>
            <w:tcMar>
              <w:top w:w="0" w:type="dxa"/>
              <w:left w:w="70" w:type="dxa"/>
              <w:bottom w:w="0" w:type="dxa"/>
              <w:right w:w="70" w:type="dxa"/>
            </w:tcMar>
            <w:vAlign w:val="bottom"/>
            <w:hideMark/>
          </w:tcPr>
          <w:p w:rsidR="00D6330D" w:rsidRPr="008442C6" w:rsidRDefault="00D6330D" w:rsidP="00683D48">
            <w:pPr>
              <w:pStyle w:val="SingleTxtG"/>
              <w:suppressAutoHyphens w:val="0"/>
              <w:spacing w:before="80" w:after="80" w:line="200" w:lineRule="exact"/>
              <w:ind w:left="0" w:right="0"/>
              <w:jc w:val="right"/>
              <w:rPr>
                <w:bCs/>
                <w:i/>
                <w:spacing w:val="4"/>
                <w:w w:val="103"/>
                <w:kern w:val="14"/>
                <w:sz w:val="16"/>
                <w:szCs w:val="18"/>
              </w:rPr>
            </w:pPr>
            <w:r w:rsidRPr="008442C6">
              <w:rPr>
                <w:bCs/>
                <w:i/>
                <w:spacing w:val="4"/>
                <w:w w:val="103"/>
                <w:kern w:val="14"/>
                <w:sz w:val="16"/>
                <w:szCs w:val="18"/>
              </w:rPr>
              <w:t>AR RH</w:t>
            </w:r>
          </w:p>
        </w:tc>
        <w:tc>
          <w:tcPr>
            <w:tcW w:w="526" w:type="dxa"/>
            <w:tcBorders>
              <w:top w:val="single" w:sz="4" w:space="0" w:color="auto"/>
              <w:bottom w:val="single" w:sz="12" w:space="0" w:color="auto"/>
              <w:right w:val="single" w:sz="24" w:space="0" w:color="FFFFFF" w:themeColor="background1"/>
            </w:tcBorders>
            <w:shd w:val="clear" w:color="auto" w:fill="auto"/>
            <w:tcMar>
              <w:top w:w="0" w:type="dxa"/>
              <w:left w:w="70" w:type="dxa"/>
              <w:bottom w:w="0" w:type="dxa"/>
              <w:right w:w="70" w:type="dxa"/>
            </w:tcMar>
            <w:vAlign w:val="bottom"/>
            <w:hideMark/>
          </w:tcPr>
          <w:p w:rsidR="00D6330D" w:rsidRPr="008442C6" w:rsidRDefault="00D6330D" w:rsidP="00683D48">
            <w:pPr>
              <w:pStyle w:val="SingleTxtG"/>
              <w:suppressAutoHyphens w:val="0"/>
              <w:spacing w:before="80" w:after="80" w:line="200" w:lineRule="exact"/>
              <w:ind w:left="0" w:right="0"/>
              <w:jc w:val="right"/>
              <w:rPr>
                <w:bCs/>
                <w:i/>
                <w:spacing w:val="4"/>
                <w:w w:val="103"/>
                <w:kern w:val="14"/>
                <w:sz w:val="16"/>
                <w:szCs w:val="18"/>
              </w:rPr>
            </w:pPr>
            <w:r w:rsidRPr="008442C6">
              <w:rPr>
                <w:bCs/>
                <w:i/>
                <w:spacing w:val="4"/>
                <w:w w:val="103"/>
                <w:kern w:val="14"/>
                <w:sz w:val="16"/>
                <w:szCs w:val="18"/>
              </w:rPr>
              <w:t>REF</w:t>
            </w:r>
          </w:p>
        </w:tc>
        <w:tc>
          <w:tcPr>
            <w:tcW w:w="761" w:type="dxa"/>
            <w:tcBorders>
              <w:top w:val="single" w:sz="4" w:space="0" w:color="auto"/>
              <w:left w:val="single" w:sz="24" w:space="0" w:color="FFFFFF" w:themeColor="background1"/>
              <w:bottom w:val="single" w:sz="12" w:space="0" w:color="auto"/>
            </w:tcBorders>
            <w:shd w:val="clear" w:color="auto" w:fill="auto"/>
            <w:tcMar>
              <w:top w:w="0" w:type="dxa"/>
              <w:left w:w="70" w:type="dxa"/>
              <w:bottom w:w="0" w:type="dxa"/>
              <w:right w:w="70" w:type="dxa"/>
            </w:tcMar>
            <w:vAlign w:val="center"/>
            <w:hideMark/>
          </w:tcPr>
          <w:p w:rsidR="00D6330D" w:rsidRPr="008442C6" w:rsidRDefault="00D6330D" w:rsidP="00683D48">
            <w:pPr>
              <w:pStyle w:val="SingleTxtG"/>
              <w:suppressAutoHyphens w:val="0"/>
              <w:spacing w:before="80" w:after="80" w:line="200" w:lineRule="exact"/>
              <w:ind w:left="0" w:right="0"/>
              <w:jc w:val="right"/>
              <w:rPr>
                <w:bCs/>
                <w:i/>
                <w:spacing w:val="4"/>
                <w:w w:val="103"/>
                <w:kern w:val="14"/>
                <w:sz w:val="16"/>
                <w:szCs w:val="18"/>
              </w:rPr>
            </w:pPr>
            <w:r w:rsidRPr="008442C6">
              <w:rPr>
                <w:bCs/>
                <w:i/>
                <w:spacing w:val="4"/>
                <w:w w:val="103"/>
                <w:kern w:val="14"/>
                <w:sz w:val="16"/>
                <w:szCs w:val="18"/>
              </w:rPr>
              <w:t>Total</w:t>
            </w:r>
          </w:p>
        </w:tc>
        <w:tc>
          <w:tcPr>
            <w:tcW w:w="780" w:type="dxa"/>
            <w:tcBorders>
              <w:top w:val="single" w:sz="4" w:space="0" w:color="auto"/>
              <w:bottom w:val="single" w:sz="12" w:space="0" w:color="auto"/>
            </w:tcBorders>
            <w:shd w:val="clear" w:color="auto" w:fill="auto"/>
            <w:tcMar>
              <w:top w:w="0" w:type="dxa"/>
              <w:left w:w="70" w:type="dxa"/>
              <w:bottom w:w="0" w:type="dxa"/>
              <w:right w:w="70" w:type="dxa"/>
            </w:tcMar>
            <w:vAlign w:val="bottom"/>
            <w:hideMark/>
          </w:tcPr>
          <w:p w:rsidR="00D6330D" w:rsidRPr="008442C6" w:rsidRDefault="00D6330D" w:rsidP="00683D48">
            <w:pPr>
              <w:pStyle w:val="SingleTxtG"/>
              <w:suppressAutoHyphens w:val="0"/>
              <w:spacing w:before="80" w:after="80" w:line="200" w:lineRule="exact"/>
              <w:ind w:left="0" w:right="0"/>
              <w:jc w:val="right"/>
              <w:rPr>
                <w:bCs/>
                <w:i/>
                <w:spacing w:val="4"/>
                <w:w w:val="103"/>
                <w:kern w:val="14"/>
                <w:sz w:val="16"/>
                <w:szCs w:val="18"/>
              </w:rPr>
            </w:pPr>
            <w:r w:rsidRPr="008442C6">
              <w:rPr>
                <w:bCs/>
                <w:i/>
                <w:spacing w:val="4"/>
                <w:w w:val="103"/>
                <w:kern w:val="14"/>
                <w:sz w:val="16"/>
                <w:szCs w:val="18"/>
              </w:rPr>
              <w:t>AR RH</w:t>
            </w:r>
          </w:p>
        </w:tc>
        <w:tc>
          <w:tcPr>
            <w:tcW w:w="653" w:type="dxa"/>
            <w:tcBorders>
              <w:top w:val="single" w:sz="4" w:space="0" w:color="auto"/>
              <w:bottom w:val="single" w:sz="12" w:space="0" w:color="auto"/>
              <w:right w:val="single" w:sz="24" w:space="0" w:color="FFFFFF" w:themeColor="background1"/>
            </w:tcBorders>
            <w:shd w:val="clear" w:color="auto" w:fill="auto"/>
            <w:tcMar>
              <w:top w:w="0" w:type="dxa"/>
              <w:left w:w="70" w:type="dxa"/>
              <w:bottom w:w="0" w:type="dxa"/>
              <w:right w:w="70" w:type="dxa"/>
            </w:tcMar>
            <w:vAlign w:val="bottom"/>
            <w:hideMark/>
          </w:tcPr>
          <w:p w:rsidR="00D6330D" w:rsidRPr="008442C6" w:rsidRDefault="00D6330D" w:rsidP="00683D48">
            <w:pPr>
              <w:pStyle w:val="SingleTxtG"/>
              <w:suppressAutoHyphens w:val="0"/>
              <w:spacing w:before="80" w:after="80" w:line="200" w:lineRule="exact"/>
              <w:ind w:left="0" w:right="0"/>
              <w:jc w:val="right"/>
              <w:rPr>
                <w:bCs/>
                <w:i/>
                <w:spacing w:val="4"/>
                <w:w w:val="103"/>
                <w:kern w:val="14"/>
                <w:sz w:val="16"/>
                <w:szCs w:val="18"/>
              </w:rPr>
            </w:pPr>
            <w:r w:rsidRPr="008442C6">
              <w:rPr>
                <w:bCs/>
                <w:i/>
                <w:spacing w:val="4"/>
                <w:w w:val="103"/>
                <w:kern w:val="14"/>
                <w:sz w:val="16"/>
                <w:szCs w:val="18"/>
              </w:rPr>
              <w:t>REF</w:t>
            </w:r>
          </w:p>
        </w:tc>
        <w:tc>
          <w:tcPr>
            <w:tcW w:w="786" w:type="dxa"/>
            <w:tcBorders>
              <w:top w:val="single" w:sz="4" w:space="0" w:color="auto"/>
              <w:left w:val="single" w:sz="24" w:space="0" w:color="FFFFFF" w:themeColor="background1"/>
              <w:bottom w:val="single" w:sz="12" w:space="0" w:color="auto"/>
            </w:tcBorders>
            <w:shd w:val="clear" w:color="auto" w:fill="auto"/>
            <w:tcMar>
              <w:top w:w="0" w:type="dxa"/>
              <w:left w:w="70" w:type="dxa"/>
              <w:bottom w:w="0" w:type="dxa"/>
              <w:right w:w="70" w:type="dxa"/>
            </w:tcMar>
            <w:vAlign w:val="bottom"/>
            <w:hideMark/>
          </w:tcPr>
          <w:p w:rsidR="00D6330D" w:rsidRPr="008442C6" w:rsidRDefault="00D6330D" w:rsidP="00683D48">
            <w:pPr>
              <w:pStyle w:val="SingleTxtG"/>
              <w:suppressAutoHyphens w:val="0"/>
              <w:spacing w:before="80" w:after="80" w:line="200" w:lineRule="exact"/>
              <w:ind w:left="0" w:right="0"/>
              <w:jc w:val="right"/>
              <w:rPr>
                <w:bCs/>
                <w:i/>
                <w:spacing w:val="4"/>
                <w:w w:val="103"/>
                <w:kern w:val="14"/>
                <w:sz w:val="16"/>
                <w:szCs w:val="18"/>
              </w:rPr>
            </w:pPr>
            <w:r w:rsidRPr="008442C6">
              <w:rPr>
                <w:bCs/>
                <w:i/>
                <w:spacing w:val="4"/>
                <w:w w:val="103"/>
                <w:kern w:val="14"/>
                <w:sz w:val="16"/>
                <w:szCs w:val="18"/>
              </w:rPr>
              <w:t>Total</w:t>
            </w:r>
          </w:p>
        </w:tc>
        <w:tc>
          <w:tcPr>
            <w:tcW w:w="780" w:type="dxa"/>
            <w:tcBorders>
              <w:top w:val="single" w:sz="4" w:space="0" w:color="auto"/>
              <w:bottom w:val="single" w:sz="12" w:space="0" w:color="auto"/>
            </w:tcBorders>
            <w:shd w:val="clear" w:color="auto" w:fill="auto"/>
            <w:tcMar>
              <w:top w:w="0" w:type="dxa"/>
              <w:left w:w="70" w:type="dxa"/>
              <w:bottom w:w="0" w:type="dxa"/>
              <w:right w:w="70" w:type="dxa"/>
            </w:tcMar>
            <w:vAlign w:val="bottom"/>
            <w:hideMark/>
          </w:tcPr>
          <w:p w:rsidR="00D6330D" w:rsidRPr="008442C6" w:rsidRDefault="00D6330D" w:rsidP="00683D48">
            <w:pPr>
              <w:pStyle w:val="SingleTxtG"/>
              <w:suppressAutoHyphens w:val="0"/>
              <w:spacing w:before="80" w:after="80" w:line="200" w:lineRule="exact"/>
              <w:ind w:left="0" w:right="0"/>
              <w:jc w:val="right"/>
              <w:rPr>
                <w:bCs/>
                <w:i/>
                <w:spacing w:val="4"/>
                <w:w w:val="103"/>
                <w:kern w:val="14"/>
                <w:sz w:val="16"/>
                <w:szCs w:val="18"/>
              </w:rPr>
            </w:pPr>
            <w:r w:rsidRPr="008442C6">
              <w:rPr>
                <w:bCs/>
                <w:i/>
                <w:spacing w:val="4"/>
                <w:w w:val="103"/>
                <w:kern w:val="14"/>
                <w:sz w:val="16"/>
                <w:szCs w:val="18"/>
              </w:rPr>
              <w:t>AR RH</w:t>
            </w:r>
          </w:p>
        </w:tc>
        <w:tc>
          <w:tcPr>
            <w:tcW w:w="548" w:type="dxa"/>
            <w:tcBorders>
              <w:top w:val="single" w:sz="4" w:space="0" w:color="auto"/>
              <w:left w:val="nil"/>
              <w:bottom w:val="single" w:sz="12" w:space="0" w:color="auto"/>
            </w:tcBorders>
            <w:shd w:val="clear" w:color="auto" w:fill="auto"/>
            <w:tcMar>
              <w:top w:w="0" w:type="dxa"/>
              <w:left w:w="70" w:type="dxa"/>
              <w:bottom w:w="0" w:type="dxa"/>
              <w:right w:w="70" w:type="dxa"/>
            </w:tcMar>
            <w:vAlign w:val="bottom"/>
            <w:hideMark/>
          </w:tcPr>
          <w:p w:rsidR="00D6330D" w:rsidRPr="008442C6" w:rsidRDefault="00D6330D" w:rsidP="00683D48">
            <w:pPr>
              <w:pStyle w:val="SingleTxtG"/>
              <w:suppressAutoHyphens w:val="0"/>
              <w:spacing w:before="80" w:after="80" w:line="200" w:lineRule="exact"/>
              <w:ind w:left="0" w:right="0"/>
              <w:jc w:val="right"/>
              <w:rPr>
                <w:bCs/>
                <w:i/>
                <w:spacing w:val="4"/>
                <w:w w:val="103"/>
                <w:kern w:val="14"/>
                <w:sz w:val="16"/>
                <w:szCs w:val="18"/>
              </w:rPr>
            </w:pPr>
            <w:r w:rsidRPr="008442C6">
              <w:rPr>
                <w:bCs/>
                <w:i/>
                <w:spacing w:val="4"/>
                <w:w w:val="103"/>
                <w:kern w:val="14"/>
                <w:sz w:val="16"/>
                <w:szCs w:val="18"/>
              </w:rPr>
              <w:t>REF</w:t>
            </w:r>
          </w:p>
        </w:tc>
      </w:tr>
      <w:tr w:rsidR="00D6330D" w:rsidRPr="008442C6" w:rsidTr="006776CA">
        <w:trPr>
          <w:jc w:val="center"/>
        </w:trPr>
        <w:tc>
          <w:tcPr>
            <w:tcW w:w="850" w:type="dxa"/>
            <w:tcBorders>
              <w:top w:val="single" w:sz="12" w:space="0" w:color="auto"/>
              <w:bottom w:val="single" w:sz="4" w:space="0" w:color="auto"/>
            </w:tcBorders>
            <w:shd w:val="clear" w:color="auto" w:fill="auto"/>
            <w:tcMar>
              <w:top w:w="0" w:type="dxa"/>
              <w:left w:w="70" w:type="dxa"/>
              <w:bottom w:w="0" w:type="dxa"/>
              <w:right w:w="70" w:type="dxa"/>
            </w:tcMar>
            <w:vAlign w:val="bottom"/>
            <w:hideMark/>
          </w:tcPr>
          <w:p w:rsidR="00D6330D" w:rsidRPr="008967F9" w:rsidRDefault="008967F9" w:rsidP="008967F9">
            <w:pPr>
              <w:pStyle w:val="SingleTxtG"/>
              <w:suppressAutoHyphens w:val="0"/>
              <w:spacing w:before="80" w:after="80" w:line="220" w:lineRule="exact"/>
              <w:ind w:left="0" w:right="0"/>
              <w:jc w:val="right"/>
              <w:rPr>
                <w:b/>
                <w:bCs/>
                <w:sz w:val="18"/>
                <w:szCs w:val="18"/>
              </w:rPr>
            </w:pPr>
            <w:r w:rsidRPr="008967F9">
              <w:rPr>
                <w:b/>
                <w:sz w:val="18"/>
                <w:szCs w:val="18"/>
              </w:rPr>
              <w:t>Total</w:t>
            </w:r>
          </w:p>
        </w:tc>
        <w:tc>
          <w:tcPr>
            <w:tcW w:w="708" w:type="dxa"/>
            <w:tcBorders>
              <w:top w:val="single" w:sz="12" w:space="0" w:color="auto"/>
              <w:left w:val="nil"/>
              <w:bottom w:val="single" w:sz="4" w:space="0" w:color="auto"/>
            </w:tcBorders>
            <w:shd w:val="clear" w:color="auto" w:fill="auto"/>
            <w:tcMar>
              <w:top w:w="0" w:type="dxa"/>
              <w:left w:w="70" w:type="dxa"/>
              <w:bottom w:w="0" w:type="dxa"/>
              <w:right w:w="70" w:type="dxa"/>
            </w:tcMar>
            <w:vAlign w:val="bottom"/>
            <w:hideMark/>
          </w:tcPr>
          <w:p w:rsidR="00D6330D" w:rsidRPr="008442C6" w:rsidRDefault="00D6330D" w:rsidP="008967F9">
            <w:pPr>
              <w:pStyle w:val="SingleTxtG"/>
              <w:suppressAutoHyphens w:val="0"/>
              <w:spacing w:before="80" w:after="80" w:line="220" w:lineRule="exact"/>
              <w:ind w:left="0" w:right="0"/>
              <w:jc w:val="right"/>
              <w:rPr>
                <w:b/>
                <w:sz w:val="18"/>
                <w:szCs w:val="18"/>
              </w:rPr>
            </w:pPr>
            <w:r w:rsidRPr="008442C6">
              <w:rPr>
                <w:b/>
                <w:sz w:val="18"/>
                <w:szCs w:val="18"/>
              </w:rPr>
              <w:t>691</w:t>
            </w:r>
          </w:p>
        </w:tc>
        <w:tc>
          <w:tcPr>
            <w:tcW w:w="596" w:type="dxa"/>
            <w:tcBorders>
              <w:top w:val="single" w:sz="12" w:space="0" w:color="auto"/>
              <w:left w:val="nil"/>
              <w:bottom w:val="single" w:sz="4" w:space="0" w:color="auto"/>
            </w:tcBorders>
            <w:shd w:val="clear" w:color="auto" w:fill="auto"/>
            <w:tcMar>
              <w:top w:w="0" w:type="dxa"/>
              <w:left w:w="70" w:type="dxa"/>
              <w:bottom w:w="0" w:type="dxa"/>
              <w:right w:w="70" w:type="dxa"/>
            </w:tcMar>
            <w:vAlign w:val="bottom"/>
            <w:hideMark/>
          </w:tcPr>
          <w:p w:rsidR="00D6330D" w:rsidRPr="008442C6" w:rsidRDefault="00D6330D" w:rsidP="008967F9">
            <w:pPr>
              <w:pStyle w:val="SingleTxtG"/>
              <w:suppressAutoHyphens w:val="0"/>
              <w:spacing w:before="80" w:after="80" w:line="220" w:lineRule="exact"/>
              <w:ind w:left="0" w:right="0"/>
              <w:jc w:val="right"/>
              <w:rPr>
                <w:b/>
                <w:sz w:val="18"/>
                <w:szCs w:val="18"/>
              </w:rPr>
            </w:pPr>
            <w:r w:rsidRPr="008442C6">
              <w:rPr>
                <w:b/>
                <w:sz w:val="18"/>
                <w:szCs w:val="18"/>
              </w:rPr>
              <w:t>279</w:t>
            </w:r>
          </w:p>
        </w:tc>
        <w:tc>
          <w:tcPr>
            <w:tcW w:w="819" w:type="dxa"/>
            <w:tcBorders>
              <w:top w:val="single" w:sz="12" w:space="0" w:color="auto"/>
              <w:bottom w:val="single" w:sz="4" w:space="0" w:color="auto"/>
            </w:tcBorders>
            <w:shd w:val="clear" w:color="auto" w:fill="auto"/>
            <w:tcMar>
              <w:top w:w="0" w:type="dxa"/>
              <w:left w:w="70" w:type="dxa"/>
              <w:bottom w:w="0" w:type="dxa"/>
              <w:right w:w="70" w:type="dxa"/>
            </w:tcMar>
            <w:vAlign w:val="bottom"/>
            <w:hideMark/>
          </w:tcPr>
          <w:p w:rsidR="00D6330D" w:rsidRPr="008442C6" w:rsidRDefault="00D6330D" w:rsidP="008967F9">
            <w:pPr>
              <w:pStyle w:val="SingleTxtG"/>
              <w:suppressAutoHyphens w:val="0"/>
              <w:spacing w:before="80" w:after="80" w:line="220" w:lineRule="exact"/>
              <w:ind w:left="0" w:right="0"/>
              <w:jc w:val="right"/>
              <w:rPr>
                <w:b/>
                <w:sz w:val="18"/>
                <w:szCs w:val="18"/>
              </w:rPr>
            </w:pPr>
            <w:r w:rsidRPr="008442C6">
              <w:rPr>
                <w:b/>
                <w:sz w:val="18"/>
                <w:szCs w:val="18"/>
              </w:rPr>
              <w:t>164</w:t>
            </w:r>
          </w:p>
        </w:tc>
        <w:tc>
          <w:tcPr>
            <w:tcW w:w="526" w:type="dxa"/>
            <w:tcBorders>
              <w:top w:val="single" w:sz="12" w:space="0" w:color="auto"/>
              <w:bottom w:val="single" w:sz="4" w:space="0" w:color="auto"/>
            </w:tcBorders>
            <w:shd w:val="clear" w:color="auto" w:fill="auto"/>
            <w:tcMar>
              <w:top w:w="0" w:type="dxa"/>
              <w:left w:w="70" w:type="dxa"/>
              <w:bottom w:w="0" w:type="dxa"/>
              <w:right w:w="70" w:type="dxa"/>
            </w:tcMar>
            <w:vAlign w:val="bottom"/>
            <w:hideMark/>
          </w:tcPr>
          <w:p w:rsidR="00D6330D" w:rsidRPr="008442C6" w:rsidRDefault="00D6330D" w:rsidP="008967F9">
            <w:pPr>
              <w:pStyle w:val="SingleTxtG"/>
              <w:suppressAutoHyphens w:val="0"/>
              <w:spacing w:before="80" w:after="80" w:line="220" w:lineRule="exact"/>
              <w:ind w:left="0" w:right="0"/>
              <w:jc w:val="right"/>
              <w:rPr>
                <w:b/>
                <w:sz w:val="18"/>
                <w:szCs w:val="18"/>
              </w:rPr>
            </w:pPr>
            <w:r w:rsidRPr="008442C6">
              <w:rPr>
                <w:b/>
                <w:sz w:val="18"/>
                <w:szCs w:val="18"/>
              </w:rPr>
              <w:t>115</w:t>
            </w:r>
          </w:p>
        </w:tc>
        <w:tc>
          <w:tcPr>
            <w:tcW w:w="574" w:type="dxa"/>
            <w:tcBorders>
              <w:top w:val="single" w:sz="12" w:space="0" w:color="auto"/>
              <w:left w:val="nil"/>
              <w:bottom w:val="single" w:sz="4" w:space="0" w:color="auto"/>
            </w:tcBorders>
            <w:shd w:val="clear" w:color="auto" w:fill="auto"/>
            <w:tcMar>
              <w:top w:w="0" w:type="dxa"/>
              <w:left w:w="70" w:type="dxa"/>
              <w:bottom w:w="0" w:type="dxa"/>
              <w:right w:w="70" w:type="dxa"/>
            </w:tcMar>
            <w:vAlign w:val="bottom"/>
            <w:hideMark/>
          </w:tcPr>
          <w:p w:rsidR="00D6330D" w:rsidRPr="008442C6" w:rsidRDefault="00D6330D" w:rsidP="008967F9">
            <w:pPr>
              <w:pStyle w:val="SingleTxtG"/>
              <w:suppressAutoHyphens w:val="0"/>
              <w:spacing w:before="80" w:after="80" w:line="220" w:lineRule="exact"/>
              <w:ind w:left="0" w:right="0"/>
              <w:jc w:val="right"/>
              <w:rPr>
                <w:b/>
                <w:sz w:val="18"/>
                <w:szCs w:val="18"/>
              </w:rPr>
            </w:pPr>
            <w:r w:rsidRPr="008442C6">
              <w:rPr>
                <w:b/>
                <w:sz w:val="18"/>
                <w:szCs w:val="18"/>
              </w:rPr>
              <w:t>309</w:t>
            </w:r>
          </w:p>
        </w:tc>
        <w:tc>
          <w:tcPr>
            <w:tcW w:w="732" w:type="dxa"/>
            <w:tcBorders>
              <w:top w:val="single" w:sz="12" w:space="0" w:color="auto"/>
              <w:bottom w:val="single" w:sz="4" w:space="0" w:color="auto"/>
            </w:tcBorders>
            <w:shd w:val="clear" w:color="auto" w:fill="auto"/>
            <w:tcMar>
              <w:top w:w="0" w:type="dxa"/>
              <w:left w:w="70" w:type="dxa"/>
              <w:bottom w:w="0" w:type="dxa"/>
              <w:right w:w="70" w:type="dxa"/>
            </w:tcMar>
            <w:vAlign w:val="bottom"/>
            <w:hideMark/>
          </w:tcPr>
          <w:p w:rsidR="00D6330D" w:rsidRPr="008442C6" w:rsidRDefault="00D6330D" w:rsidP="008967F9">
            <w:pPr>
              <w:pStyle w:val="SingleTxtG"/>
              <w:suppressAutoHyphens w:val="0"/>
              <w:spacing w:before="80" w:after="80" w:line="220" w:lineRule="exact"/>
              <w:ind w:left="0" w:right="0"/>
              <w:jc w:val="right"/>
              <w:rPr>
                <w:b/>
                <w:sz w:val="18"/>
                <w:szCs w:val="18"/>
              </w:rPr>
            </w:pPr>
            <w:r w:rsidRPr="008442C6">
              <w:rPr>
                <w:b/>
                <w:sz w:val="18"/>
                <w:szCs w:val="18"/>
              </w:rPr>
              <w:t>179</w:t>
            </w:r>
          </w:p>
        </w:tc>
        <w:tc>
          <w:tcPr>
            <w:tcW w:w="526" w:type="dxa"/>
            <w:tcBorders>
              <w:top w:val="single" w:sz="12" w:space="0" w:color="auto"/>
              <w:bottom w:val="single" w:sz="4" w:space="0" w:color="auto"/>
            </w:tcBorders>
            <w:shd w:val="clear" w:color="auto" w:fill="auto"/>
            <w:tcMar>
              <w:top w:w="0" w:type="dxa"/>
              <w:left w:w="70" w:type="dxa"/>
              <w:bottom w:w="0" w:type="dxa"/>
              <w:right w:w="70" w:type="dxa"/>
            </w:tcMar>
            <w:vAlign w:val="bottom"/>
            <w:hideMark/>
          </w:tcPr>
          <w:p w:rsidR="00D6330D" w:rsidRPr="008442C6" w:rsidRDefault="00D6330D" w:rsidP="008967F9">
            <w:pPr>
              <w:pStyle w:val="SingleTxtG"/>
              <w:suppressAutoHyphens w:val="0"/>
              <w:spacing w:before="80" w:after="80" w:line="220" w:lineRule="exact"/>
              <w:ind w:left="0" w:right="0"/>
              <w:jc w:val="right"/>
              <w:rPr>
                <w:b/>
                <w:sz w:val="18"/>
                <w:szCs w:val="18"/>
              </w:rPr>
            </w:pPr>
            <w:r w:rsidRPr="008442C6">
              <w:rPr>
                <w:b/>
                <w:sz w:val="18"/>
                <w:szCs w:val="18"/>
              </w:rPr>
              <w:t>130</w:t>
            </w:r>
          </w:p>
        </w:tc>
        <w:tc>
          <w:tcPr>
            <w:tcW w:w="761" w:type="dxa"/>
            <w:tcBorders>
              <w:top w:val="single" w:sz="12" w:space="0" w:color="auto"/>
              <w:left w:val="nil"/>
              <w:bottom w:val="single" w:sz="4" w:space="0" w:color="auto"/>
            </w:tcBorders>
            <w:shd w:val="clear" w:color="auto" w:fill="auto"/>
            <w:tcMar>
              <w:top w:w="0" w:type="dxa"/>
              <w:left w:w="70" w:type="dxa"/>
              <w:bottom w:w="0" w:type="dxa"/>
              <w:right w:w="70" w:type="dxa"/>
            </w:tcMar>
            <w:vAlign w:val="bottom"/>
            <w:hideMark/>
          </w:tcPr>
          <w:p w:rsidR="00D6330D" w:rsidRPr="008442C6" w:rsidRDefault="00D6330D" w:rsidP="008967F9">
            <w:pPr>
              <w:pStyle w:val="SingleTxtG"/>
              <w:suppressAutoHyphens w:val="0"/>
              <w:spacing w:before="80" w:after="80" w:line="220" w:lineRule="exact"/>
              <w:ind w:left="0" w:right="0"/>
              <w:jc w:val="right"/>
              <w:rPr>
                <w:b/>
                <w:sz w:val="18"/>
                <w:szCs w:val="18"/>
              </w:rPr>
            </w:pPr>
            <w:r w:rsidRPr="008442C6">
              <w:rPr>
                <w:b/>
                <w:sz w:val="18"/>
                <w:szCs w:val="18"/>
              </w:rPr>
              <w:t>98</w:t>
            </w:r>
          </w:p>
        </w:tc>
        <w:tc>
          <w:tcPr>
            <w:tcW w:w="780" w:type="dxa"/>
            <w:tcBorders>
              <w:top w:val="single" w:sz="12" w:space="0" w:color="auto"/>
              <w:bottom w:val="single" w:sz="4" w:space="0" w:color="auto"/>
            </w:tcBorders>
            <w:shd w:val="clear" w:color="auto" w:fill="auto"/>
            <w:tcMar>
              <w:top w:w="0" w:type="dxa"/>
              <w:left w:w="70" w:type="dxa"/>
              <w:bottom w:w="0" w:type="dxa"/>
              <w:right w:w="70" w:type="dxa"/>
            </w:tcMar>
            <w:vAlign w:val="bottom"/>
            <w:hideMark/>
          </w:tcPr>
          <w:p w:rsidR="00D6330D" w:rsidRPr="008442C6" w:rsidRDefault="00D6330D" w:rsidP="008967F9">
            <w:pPr>
              <w:pStyle w:val="SingleTxtG"/>
              <w:suppressAutoHyphens w:val="0"/>
              <w:spacing w:before="80" w:after="80" w:line="220" w:lineRule="exact"/>
              <w:ind w:left="0" w:right="0"/>
              <w:jc w:val="right"/>
              <w:rPr>
                <w:b/>
                <w:sz w:val="18"/>
                <w:szCs w:val="18"/>
              </w:rPr>
            </w:pPr>
            <w:r w:rsidRPr="008442C6">
              <w:rPr>
                <w:b/>
                <w:sz w:val="18"/>
                <w:szCs w:val="18"/>
              </w:rPr>
              <w:t>59</w:t>
            </w:r>
          </w:p>
        </w:tc>
        <w:tc>
          <w:tcPr>
            <w:tcW w:w="653" w:type="dxa"/>
            <w:tcBorders>
              <w:top w:val="single" w:sz="12" w:space="0" w:color="auto"/>
              <w:bottom w:val="single" w:sz="4" w:space="0" w:color="auto"/>
            </w:tcBorders>
            <w:shd w:val="clear" w:color="auto" w:fill="auto"/>
            <w:tcMar>
              <w:top w:w="0" w:type="dxa"/>
              <w:left w:w="70" w:type="dxa"/>
              <w:bottom w:w="0" w:type="dxa"/>
              <w:right w:w="70" w:type="dxa"/>
            </w:tcMar>
            <w:vAlign w:val="bottom"/>
            <w:hideMark/>
          </w:tcPr>
          <w:p w:rsidR="00D6330D" w:rsidRPr="008442C6" w:rsidRDefault="00D6330D" w:rsidP="008967F9">
            <w:pPr>
              <w:pStyle w:val="SingleTxtG"/>
              <w:suppressAutoHyphens w:val="0"/>
              <w:spacing w:before="80" w:after="80" w:line="220" w:lineRule="exact"/>
              <w:ind w:left="0" w:right="0"/>
              <w:jc w:val="right"/>
              <w:rPr>
                <w:b/>
                <w:sz w:val="18"/>
                <w:szCs w:val="18"/>
              </w:rPr>
            </w:pPr>
            <w:r w:rsidRPr="008442C6">
              <w:rPr>
                <w:b/>
                <w:sz w:val="18"/>
                <w:szCs w:val="18"/>
              </w:rPr>
              <w:t>39</w:t>
            </w:r>
          </w:p>
        </w:tc>
        <w:tc>
          <w:tcPr>
            <w:tcW w:w="786" w:type="dxa"/>
            <w:tcBorders>
              <w:top w:val="single" w:sz="12" w:space="0" w:color="auto"/>
              <w:left w:val="nil"/>
              <w:bottom w:val="single" w:sz="4" w:space="0" w:color="auto"/>
            </w:tcBorders>
            <w:shd w:val="clear" w:color="auto" w:fill="auto"/>
            <w:tcMar>
              <w:top w:w="0" w:type="dxa"/>
              <w:left w:w="70" w:type="dxa"/>
              <w:bottom w:w="0" w:type="dxa"/>
              <w:right w:w="70" w:type="dxa"/>
            </w:tcMar>
            <w:vAlign w:val="bottom"/>
            <w:hideMark/>
          </w:tcPr>
          <w:p w:rsidR="00D6330D" w:rsidRPr="008442C6" w:rsidRDefault="00D6330D" w:rsidP="008967F9">
            <w:pPr>
              <w:pStyle w:val="SingleTxtG"/>
              <w:suppressAutoHyphens w:val="0"/>
              <w:spacing w:before="80" w:after="80" w:line="220" w:lineRule="exact"/>
              <w:ind w:left="0" w:right="0"/>
              <w:jc w:val="right"/>
              <w:rPr>
                <w:b/>
                <w:sz w:val="18"/>
                <w:szCs w:val="18"/>
              </w:rPr>
            </w:pPr>
            <w:r w:rsidRPr="008442C6">
              <w:rPr>
                <w:b/>
                <w:sz w:val="18"/>
                <w:szCs w:val="18"/>
              </w:rPr>
              <w:t>5</w:t>
            </w:r>
          </w:p>
        </w:tc>
        <w:tc>
          <w:tcPr>
            <w:tcW w:w="780" w:type="dxa"/>
            <w:tcBorders>
              <w:top w:val="single" w:sz="12" w:space="0" w:color="auto"/>
              <w:bottom w:val="single" w:sz="4" w:space="0" w:color="auto"/>
            </w:tcBorders>
            <w:shd w:val="clear" w:color="auto" w:fill="auto"/>
            <w:tcMar>
              <w:top w:w="0" w:type="dxa"/>
              <w:left w:w="70" w:type="dxa"/>
              <w:bottom w:w="0" w:type="dxa"/>
              <w:right w:w="70" w:type="dxa"/>
            </w:tcMar>
            <w:vAlign w:val="bottom"/>
            <w:hideMark/>
          </w:tcPr>
          <w:p w:rsidR="00D6330D" w:rsidRPr="008442C6" w:rsidRDefault="00D6330D" w:rsidP="008967F9">
            <w:pPr>
              <w:pStyle w:val="SingleTxtG"/>
              <w:suppressAutoHyphens w:val="0"/>
              <w:spacing w:before="80" w:after="80" w:line="220" w:lineRule="exact"/>
              <w:ind w:left="0" w:right="0"/>
              <w:jc w:val="right"/>
              <w:rPr>
                <w:b/>
                <w:sz w:val="18"/>
                <w:szCs w:val="18"/>
              </w:rPr>
            </w:pPr>
            <w:r w:rsidRPr="008442C6">
              <w:rPr>
                <w:b/>
                <w:sz w:val="18"/>
                <w:szCs w:val="18"/>
              </w:rPr>
              <w:t>3</w:t>
            </w:r>
          </w:p>
        </w:tc>
        <w:tc>
          <w:tcPr>
            <w:tcW w:w="548" w:type="dxa"/>
            <w:tcBorders>
              <w:top w:val="single" w:sz="12" w:space="0" w:color="auto"/>
              <w:bottom w:val="single" w:sz="4" w:space="0" w:color="auto"/>
            </w:tcBorders>
            <w:shd w:val="clear" w:color="auto" w:fill="auto"/>
            <w:tcMar>
              <w:top w:w="0" w:type="dxa"/>
              <w:left w:w="70" w:type="dxa"/>
              <w:bottom w:w="0" w:type="dxa"/>
              <w:right w:w="70" w:type="dxa"/>
            </w:tcMar>
            <w:vAlign w:val="bottom"/>
            <w:hideMark/>
          </w:tcPr>
          <w:p w:rsidR="00D6330D" w:rsidRPr="008442C6" w:rsidRDefault="00D6330D" w:rsidP="008967F9">
            <w:pPr>
              <w:pStyle w:val="SingleTxtG"/>
              <w:suppressAutoHyphens w:val="0"/>
              <w:spacing w:before="80" w:after="80" w:line="220" w:lineRule="exact"/>
              <w:ind w:left="0" w:right="0"/>
              <w:jc w:val="right"/>
              <w:rPr>
                <w:b/>
                <w:sz w:val="18"/>
                <w:szCs w:val="18"/>
              </w:rPr>
            </w:pPr>
            <w:r w:rsidRPr="008442C6">
              <w:rPr>
                <w:b/>
                <w:sz w:val="18"/>
                <w:szCs w:val="18"/>
              </w:rPr>
              <w:t>2</w:t>
            </w:r>
          </w:p>
        </w:tc>
      </w:tr>
      <w:tr w:rsidR="00D6330D" w:rsidRPr="008442C6" w:rsidTr="006776CA">
        <w:trPr>
          <w:jc w:val="center"/>
        </w:trPr>
        <w:tc>
          <w:tcPr>
            <w:tcW w:w="850" w:type="dxa"/>
            <w:tcBorders>
              <w:top w:val="single" w:sz="4" w:space="0" w:color="auto"/>
            </w:tcBorders>
            <w:shd w:val="clear" w:color="auto" w:fill="auto"/>
            <w:tcMar>
              <w:top w:w="0" w:type="dxa"/>
              <w:left w:w="70" w:type="dxa"/>
              <w:bottom w:w="0" w:type="dxa"/>
              <w:right w:w="70" w:type="dxa"/>
            </w:tcMar>
            <w:hideMark/>
          </w:tcPr>
          <w:p w:rsidR="00D6330D" w:rsidRPr="008442C6" w:rsidRDefault="00D6330D" w:rsidP="00683D48">
            <w:pPr>
              <w:pStyle w:val="SingleTxtG"/>
              <w:suppressAutoHyphens w:val="0"/>
              <w:spacing w:before="40" w:after="40" w:line="220" w:lineRule="exact"/>
              <w:ind w:left="0" w:right="0"/>
              <w:rPr>
                <w:bCs/>
                <w:sz w:val="18"/>
              </w:rPr>
            </w:pPr>
            <w:r w:rsidRPr="008442C6">
              <w:rPr>
                <w:bCs/>
                <w:sz w:val="18"/>
              </w:rPr>
              <w:t>Men</w:t>
            </w:r>
          </w:p>
        </w:tc>
        <w:tc>
          <w:tcPr>
            <w:tcW w:w="708" w:type="dxa"/>
            <w:tcBorders>
              <w:top w:val="single" w:sz="4" w:space="0" w:color="auto"/>
              <w:left w:val="nil"/>
            </w:tcBorders>
            <w:shd w:val="clear" w:color="auto" w:fill="auto"/>
            <w:tcMar>
              <w:top w:w="0" w:type="dxa"/>
              <w:left w:w="70" w:type="dxa"/>
              <w:bottom w:w="0" w:type="dxa"/>
              <w:right w:w="70" w:type="dxa"/>
            </w:tcMar>
            <w:vAlign w:val="bottom"/>
            <w:hideMark/>
          </w:tcPr>
          <w:p w:rsidR="00D6330D" w:rsidRPr="008442C6" w:rsidRDefault="00D6330D" w:rsidP="00F76CBB">
            <w:pPr>
              <w:pStyle w:val="SingleTxtG"/>
              <w:suppressAutoHyphens w:val="0"/>
              <w:spacing w:before="40" w:after="40" w:line="220" w:lineRule="exact"/>
              <w:ind w:left="0" w:right="0"/>
              <w:jc w:val="right"/>
              <w:rPr>
                <w:bCs/>
                <w:sz w:val="18"/>
              </w:rPr>
            </w:pPr>
            <w:r w:rsidRPr="008442C6">
              <w:rPr>
                <w:bCs/>
                <w:sz w:val="18"/>
              </w:rPr>
              <w:t>400</w:t>
            </w:r>
          </w:p>
        </w:tc>
        <w:tc>
          <w:tcPr>
            <w:tcW w:w="596" w:type="dxa"/>
            <w:tcBorders>
              <w:top w:val="single" w:sz="4" w:space="0" w:color="auto"/>
              <w:left w:val="nil"/>
            </w:tcBorders>
            <w:shd w:val="clear" w:color="auto" w:fill="auto"/>
            <w:tcMar>
              <w:top w:w="0" w:type="dxa"/>
              <w:left w:w="70" w:type="dxa"/>
              <w:bottom w:w="0" w:type="dxa"/>
              <w:right w:w="70" w:type="dxa"/>
            </w:tcMar>
            <w:vAlign w:val="bottom"/>
            <w:hideMark/>
          </w:tcPr>
          <w:p w:rsidR="00D6330D" w:rsidRPr="008442C6" w:rsidRDefault="00D6330D" w:rsidP="00F76CBB">
            <w:pPr>
              <w:pStyle w:val="SingleTxtG"/>
              <w:suppressAutoHyphens w:val="0"/>
              <w:spacing w:before="40" w:after="40" w:line="220" w:lineRule="exact"/>
              <w:ind w:left="0" w:right="0"/>
              <w:jc w:val="right"/>
              <w:rPr>
                <w:bCs/>
                <w:sz w:val="18"/>
              </w:rPr>
            </w:pPr>
            <w:r w:rsidRPr="008442C6">
              <w:rPr>
                <w:bCs/>
                <w:sz w:val="18"/>
              </w:rPr>
              <w:t>153</w:t>
            </w:r>
          </w:p>
        </w:tc>
        <w:tc>
          <w:tcPr>
            <w:tcW w:w="819" w:type="dxa"/>
            <w:tcBorders>
              <w:top w:val="single" w:sz="4" w:space="0" w:color="auto"/>
            </w:tcBorders>
            <w:shd w:val="clear" w:color="auto" w:fill="auto"/>
            <w:tcMar>
              <w:top w:w="0" w:type="dxa"/>
              <w:left w:w="70" w:type="dxa"/>
              <w:bottom w:w="0" w:type="dxa"/>
              <w:right w:w="70" w:type="dxa"/>
            </w:tcMar>
            <w:vAlign w:val="bottom"/>
            <w:hideMark/>
          </w:tcPr>
          <w:p w:rsidR="00D6330D" w:rsidRPr="008442C6" w:rsidRDefault="00D6330D" w:rsidP="00F76CBB">
            <w:pPr>
              <w:pStyle w:val="SingleTxtG"/>
              <w:suppressAutoHyphens w:val="0"/>
              <w:spacing w:before="40" w:after="40" w:line="220" w:lineRule="exact"/>
              <w:ind w:left="0" w:right="0"/>
              <w:jc w:val="right"/>
              <w:rPr>
                <w:bCs/>
                <w:sz w:val="18"/>
              </w:rPr>
            </w:pPr>
            <w:r w:rsidRPr="008442C6">
              <w:rPr>
                <w:bCs/>
                <w:sz w:val="18"/>
              </w:rPr>
              <w:t>87</w:t>
            </w:r>
          </w:p>
        </w:tc>
        <w:tc>
          <w:tcPr>
            <w:tcW w:w="526" w:type="dxa"/>
            <w:tcBorders>
              <w:top w:val="single" w:sz="4" w:space="0" w:color="auto"/>
            </w:tcBorders>
            <w:shd w:val="clear" w:color="auto" w:fill="auto"/>
            <w:tcMar>
              <w:top w:w="0" w:type="dxa"/>
              <w:left w:w="70" w:type="dxa"/>
              <w:bottom w:w="0" w:type="dxa"/>
              <w:right w:w="70" w:type="dxa"/>
            </w:tcMar>
            <w:vAlign w:val="bottom"/>
            <w:hideMark/>
          </w:tcPr>
          <w:p w:rsidR="00D6330D" w:rsidRPr="008442C6" w:rsidRDefault="00D6330D" w:rsidP="00F76CBB">
            <w:pPr>
              <w:pStyle w:val="SingleTxtG"/>
              <w:suppressAutoHyphens w:val="0"/>
              <w:spacing w:before="40" w:after="40" w:line="220" w:lineRule="exact"/>
              <w:ind w:left="0" w:right="0"/>
              <w:jc w:val="right"/>
              <w:rPr>
                <w:bCs/>
                <w:sz w:val="18"/>
              </w:rPr>
            </w:pPr>
            <w:r w:rsidRPr="008442C6">
              <w:rPr>
                <w:bCs/>
                <w:sz w:val="18"/>
              </w:rPr>
              <w:t>66</w:t>
            </w:r>
          </w:p>
        </w:tc>
        <w:tc>
          <w:tcPr>
            <w:tcW w:w="574" w:type="dxa"/>
            <w:tcBorders>
              <w:top w:val="single" w:sz="4" w:space="0" w:color="auto"/>
              <w:left w:val="nil"/>
            </w:tcBorders>
            <w:shd w:val="clear" w:color="auto" w:fill="auto"/>
            <w:tcMar>
              <w:top w:w="0" w:type="dxa"/>
              <w:left w:w="70" w:type="dxa"/>
              <w:bottom w:w="0" w:type="dxa"/>
              <w:right w:w="70" w:type="dxa"/>
            </w:tcMar>
            <w:vAlign w:val="bottom"/>
            <w:hideMark/>
          </w:tcPr>
          <w:p w:rsidR="00D6330D" w:rsidRPr="008442C6" w:rsidRDefault="00D6330D" w:rsidP="00F76CBB">
            <w:pPr>
              <w:pStyle w:val="SingleTxtG"/>
              <w:suppressAutoHyphens w:val="0"/>
              <w:spacing w:before="40" w:after="40" w:line="220" w:lineRule="exact"/>
              <w:ind w:left="0" w:right="0"/>
              <w:jc w:val="right"/>
              <w:rPr>
                <w:bCs/>
                <w:sz w:val="18"/>
              </w:rPr>
            </w:pPr>
            <w:r w:rsidRPr="008442C6">
              <w:rPr>
                <w:bCs/>
                <w:sz w:val="18"/>
              </w:rPr>
              <w:t>192</w:t>
            </w:r>
          </w:p>
        </w:tc>
        <w:tc>
          <w:tcPr>
            <w:tcW w:w="732" w:type="dxa"/>
            <w:tcBorders>
              <w:top w:val="single" w:sz="4" w:space="0" w:color="auto"/>
            </w:tcBorders>
            <w:shd w:val="clear" w:color="auto" w:fill="auto"/>
            <w:tcMar>
              <w:top w:w="0" w:type="dxa"/>
              <w:left w:w="70" w:type="dxa"/>
              <w:bottom w:w="0" w:type="dxa"/>
              <w:right w:w="70" w:type="dxa"/>
            </w:tcMar>
            <w:vAlign w:val="bottom"/>
            <w:hideMark/>
          </w:tcPr>
          <w:p w:rsidR="00D6330D" w:rsidRPr="008442C6" w:rsidRDefault="00D6330D" w:rsidP="00F76CBB">
            <w:pPr>
              <w:pStyle w:val="SingleTxtG"/>
              <w:suppressAutoHyphens w:val="0"/>
              <w:spacing w:before="40" w:after="40" w:line="220" w:lineRule="exact"/>
              <w:ind w:left="0" w:right="0"/>
              <w:jc w:val="right"/>
              <w:rPr>
                <w:bCs/>
                <w:sz w:val="18"/>
              </w:rPr>
            </w:pPr>
            <w:r w:rsidRPr="008442C6">
              <w:rPr>
                <w:bCs/>
                <w:sz w:val="18"/>
              </w:rPr>
              <w:t>115</w:t>
            </w:r>
          </w:p>
        </w:tc>
        <w:tc>
          <w:tcPr>
            <w:tcW w:w="526" w:type="dxa"/>
            <w:tcBorders>
              <w:top w:val="single" w:sz="4" w:space="0" w:color="auto"/>
            </w:tcBorders>
            <w:shd w:val="clear" w:color="auto" w:fill="auto"/>
            <w:tcMar>
              <w:top w:w="0" w:type="dxa"/>
              <w:left w:w="70" w:type="dxa"/>
              <w:bottom w:w="0" w:type="dxa"/>
              <w:right w:w="70" w:type="dxa"/>
            </w:tcMar>
            <w:vAlign w:val="bottom"/>
            <w:hideMark/>
          </w:tcPr>
          <w:p w:rsidR="00D6330D" w:rsidRPr="008442C6" w:rsidRDefault="00D6330D" w:rsidP="00F76CBB">
            <w:pPr>
              <w:pStyle w:val="SingleTxtG"/>
              <w:suppressAutoHyphens w:val="0"/>
              <w:spacing w:before="40" w:after="40" w:line="220" w:lineRule="exact"/>
              <w:ind w:left="0" w:right="0"/>
              <w:jc w:val="right"/>
              <w:rPr>
                <w:bCs/>
                <w:sz w:val="18"/>
              </w:rPr>
            </w:pPr>
            <w:r w:rsidRPr="008442C6">
              <w:rPr>
                <w:bCs/>
                <w:sz w:val="18"/>
              </w:rPr>
              <w:t>77</w:t>
            </w:r>
          </w:p>
        </w:tc>
        <w:tc>
          <w:tcPr>
            <w:tcW w:w="761" w:type="dxa"/>
            <w:tcBorders>
              <w:top w:val="single" w:sz="4" w:space="0" w:color="auto"/>
              <w:left w:val="nil"/>
            </w:tcBorders>
            <w:shd w:val="clear" w:color="auto" w:fill="auto"/>
            <w:tcMar>
              <w:top w:w="0" w:type="dxa"/>
              <w:left w:w="70" w:type="dxa"/>
              <w:bottom w:w="0" w:type="dxa"/>
              <w:right w:w="70" w:type="dxa"/>
            </w:tcMar>
            <w:vAlign w:val="bottom"/>
            <w:hideMark/>
          </w:tcPr>
          <w:p w:rsidR="00D6330D" w:rsidRPr="008442C6" w:rsidRDefault="00D6330D" w:rsidP="00F76CBB">
            <w:pPr>
              <w:pStyle w:val="SingleTxtG"/>
              <w:suppressAutoHyphens w:val="0"/>
              <w:spacing w:before="40" w:after="40" w:line="220" w:lineRule="exact"/>
              <w:ind w:left="0" w:right="0"/>
              <w:jc w:val="right"/>
              <w:rPr>
                <w:bCs/>
                <w:sz w:val="18"/>
              </w:rPr>
            </w:pPr>
            <w:r w:rsidRPr="008442C6">
              <w:rPr>
                <w:bCs/>
                <w:sz w:val="18"/>
              </w:rPr>
              <w:t>53</w:t>
            </w:r>
          </w:p>
        </w:tc>
        <w:tc>
          <w:tcPr>
            <w:tcW w:w="780" w:type="dxa"/>
            <w:tcBorders>
              <w:top w:val="single" w:sz="4" w:space="0" w:color="auto"/>
            </w:tcBorders>
            <w:shd w:val="clear" w:color="auto" w:fill="auto"/>
            <w:tcMar>
              <w:top w:w="0" w:type="dxa"/>
              <w:left w:w="70" w:type="dxa"/>
              <w:bottom w:w="0" w:type="dxa"/>
              <w:right w:w="70" w:type="dxa"/>
            </w:tcMar>
            <w:vAlign w:val="bottom"/>
            <w:hideMark/>
          </w:tcPr>
          <w:p w:rsidR="00D6330D" w:rsidRPr="008442C6" w:rsidRDefault="00D6330D" w:rsidP="00F76CBB">
            <w:pPr>
              <w:pStyle w:val="SingleTxtG"/>
              <w:suppressAutoHyphens w:val="0"/>
              <w:spacing w:before="40" w:after="40" w:line="220" w:lineRule="exact"/>
              <w:ind w:left="0" w:right="0"/>
              <w:jc w:val="right"/>
              <w:rPr>
                <w:bCs/>
                <w:sz w:val="18"/>
              </w:rPr>
            </w:pPr>
            <w:r w:rsidRPr="008442C6">
              <w:rPr>
                <w:bCs/>
                <w:sz w:val="18"/>
              </w:rPr>
              <w:t>35</w:t>
            </w:r>
          </w:p>
        </w:tc>
        <w:tc>
          <w:tcPr>
            <w:tcW w:w="653" w:type="dxa"/>
            <w:tcBorders>
              <w:top w:val="single" w:sz="4" w:space="0" w:color="auto"/>
            </w:tcBorders>
            <w:shd w:val="clear" w:color="auto" w:fill="auto"/>
            <w:tcMar>
              <w:top w:w="0" w:type="dxa"/>
              <w:left w:w="70" w:type="dxa"/>
              <w:bottom w:w="0" w:type="dxa"/>
              <w:right w:w="70" w:type="dxa"/>
            </w:tcMar>
            <w:vAlign w:val="bottom"/>
            <w:hideMark/>
          </w:tcPr>
          <w:p w:rsidR="00D6330D" w:rsidRPr="008442C6" w:rsidRDefault="00D6330D" w:rsidP="00F76CBB">
            <w:pPr>
              <w:pStyle w:val="SingleTxtG"/>
              <w:suppressAutoHyphens w:val="0"/>
              <w:spacing w:before="40" w:after="40" w:line="220" w:lineRule="exact"/>
              <w:ind w:left="0" w:right="0"/>
              <w:jc w:val="right"/>
              <w:rPr>
                <w:bCs/>
                <w:sz w:val="18"/>
              </w:rPr>
            </w:pPr>
            <w:r w:rsidRPr="008442C6">
              <w:rPr>
                <w:bCs/>
                <w:sz w:val="18"/>
              </w:rPr>
              <w:t>18</w:t>
            </w:r>
          </w:p>
        </w:tc>
        <w:tc>
          <w:tcPr>
            <w:tcW w:w="786" w:type="dxa"/>
            <w:tcBorders>
              <w:top w:val="single" w:sz="4" w:space="0" w:color="auto"/>
              <w:left w:val="nil"/>
            </w:tcBorders>
            <w:shd w:val="clear" w:color="auto" w:fill="auto"/>
            <w:tcMar>
              <w:top w:w="0" w:type="dxa"/>
              <w:left w:w="70" w:type="dxa"/>
              <w:bottom w:w="0" w:type="dxa"/>
              <w:right w:w="70" w:type="dxa"/>
            </w:tcMar>
            <w:vAlign w:val="bottom"/>
            <w:hideMark/>
          </w:tcPr>
          <w:p w:rsidR="00D6330D" w:rsidRPr="008442C6" w:rsidRDefault="00D6330D" w:rsidP="00F76CBB">
            <w:pPr>
              <w:pStyle w:val="SingleTxtG"/>
              <w:suppressAutoHyphens w:val="0"/>
              <w:spacing w:before="40" w:after="40" w:line="220" w:lineRule="exact"/>
              <w:ind w:left="0" w:right="0"/>
              <w:jc w:val="right"/>
              <w:rPr>
                <w:bCs/>
                <w:sz w:val="18"/>
              </w:rPr>
            </w:pPr>
            <w:r w:rsidRPr="008442C6">
              <w:rPr>
                <w:bCs/>
                <w:sz w:val="18"/>
              </w:rPr>
              <w:t>2</w:t>
            </w:r>
          </w:p>
        </w:tc>
        <w:tc>
          <w:tcPr>
            <w:tcW w:w="780" w:type="dxa"/>
            <w:tcBorders>
              <w:top w:val="single" w:sz="4" w:space="0" w:color="auto"/>
            </w:tcBorders>
            <w:shd w:val="clear" w:color="auto" w:fill="auto"/>
            <w:tcMar>
              <w:top w:w="0" w:type="dxa"/>
              <w:left w:w="70" w:type="dxa"/>
              <w:bottom w:w="0" w:type="dxa"/>
              <w:right w:w="70" w:type="dxa"/>
            </w:tcMar>
            <w:vAlign w:val="bottom"/>
            <w:hideMark/>
          </w:tcPr>
          <w:p w:rsidR="00D6330D" w:rsidRPr="008442C6" w:rsidRDefault="00D6330D" w:rsidP="00F76CBB">
            <w:pPr>
              <w:pStyle w:val="SingleTxtG"/>
              <w:suppressAutoHyphens w:val="0"/>
              <w:spacing w:before="40" w:after="40" w:line="220" w:lineRule="exact"/>
              <w:ind w:left="0" w:right="0"/>
              <w:jc w:val="right"/>
              <w:rPr>
                <w:bCs/>
                <w:sz w:val="18"/>
              </w:rPr>
            </w:pPr>
            <w:r w:rsidRPr="008442C6">
              <w:rPr>
                <w:bCs/>
                <w:sz w:val="18"/>
              </w:rPr>
              <w:t>1</w:t>
            </w:r>
          </w:p>
        </w:tc>
        <w:tc>
          <w:tcPr>
            <w:tcW w:w="548" w:type="dxa"/>
            <w:tcBorders>
              <w:top w:val="single" w:sz="4" w:space="0" w:color="auto"/>
            </w:tcBorders>
            <w:shd w:val="clear" w:color="auto" w:fill="auto"/>
            <w:tcMar>
              <w:top w:w="0" w:type="dxa"/>
              <w:left w:w="70" w:type="dxa"/>
              <w:bottom w:w="0" w:type="dxa"/>
              <w:right w:w="70" w:type="dxa"/>
            </w:tcMar>
            <w:vAlign w:val="bottom"/>
            <w:hideMark/>
          </w:tcPr>
          <w:p w:rsidR="00D6330D" w:rsidRPr="008442C6" w:rsidRDefault="00D6330D" w:rsidP="00F76CBB">
            <w:pPr>
              <w:pStyle w:val="SingleTxtG"/>
              <w:suppressAutoHyphens w:val="0"/>
              <w:spacing w:before="40" w:after="40" w:line="220" w:lineRule="exact"/>
              <w:ind w:left="0" w:right="0"/>
              <w:jc w:val="right"/>
              <w:rPr>
                <w:bCs/>
                <w:sz w:val="18"/>
              </w:rPr>
            </w:pPr>
            <w:r w:rsidRPr="008442C6">
              <w:rPr>
                <w:bCs/>
                <w:sz w:val="18"/>
              </w:rPr>
              <w:t>1</w:t>
            </w:r>
          </w:p>
        </w:tc>
      </w:tr>
      <w:tr w:rsidR="00D6330D" w:rsidRPr="008442C6" w:rsidTr="00683D48">
        <w:trPr>
          <w:jc w:val="center"/>
        </w:trPr>
        <w:tc>
          <w:tcPr>
            <w:tcW w:w="850" w:type="dxa"/>
            <w:tcBorders>
              <w:bottom w:val="single" w:sz="12" w:space="0" w:color="auto"/>
            </w:tcBorders>
            <w:shd w:val="clear" w:color="auto" w:fill="auto"/>
            <w:tcMar>
              <w:top w:w="0" w:type="dxa"/>
              <w:left w:w="70" w:type="dxa"/>
              <w:bottom w:w="0" w:type="dxa"/>
              <w:right w:w="70" w:type="dxa"/>
            </w:tcMar>
            <w:hideMark/>
          </w:tcPr>
          <w:p w:rsidR="00D6330D" w:rsidRPr="008442C6" w:rsidRDefault="00D6330D" w:rsidP="00683D48">
            <w:pPr>
              <w:pStyle w:val="SingleTxtG"/>
              <w:suppressAutoHyphens w:val="0"/>
              <w:spacing w:before="40" w:after="40" w:line="220" w:lineRule="exact"/>
              <w:ind w:left="0" w:right="0"/>
              <w:rPr>
                <w:bCs/>
                <w:sz w:val="18"/>
              </w:rPr>
            </w:pPr>
            <w:r w:rsidRPr="008442C6">
              <w:rPr>
                <w:bCs/>
                <w:sz w:val="18"/>
              </w:rPr>
              <w:t>Women</w:t>
            </w:r>
          </w:p>
        </w:tc>
        <w:tc>
          <w:tcPr>
            <w:tcW w:w="708" w:type="dxa"/>
            <w:tcBorders>
              <w:left w:val="nil"/>
              <w:bottom w:val="single" w:sz="12" w:space="0" w:color="auto"/>
            </w:tcBorders>
            <w:shd w:val="clear" w:color="auto" w:fill="auto"/>
            <w:tcMar>
              <w:top w:w="0" w:type="dxa"/>
              <w:left w:w="70" w:type="dxa"/>
              <w:bottom w:w="0" w:type="dxa"/>
              <w:right w:w="70" w:type="dxa"/>
            </w:tcMar>
            <w:vAlign w:val="bottom"/>
            <w:hideMark/>
          </w:tcPr>
          <w:p w:rsidR="00D6330D" w:rsidRPr="008442C6" w:rsidRDefault="00D6330D" w:rsidP="00F76CBB">
            <w:pPr>
              <w:pStyle w:val="SingleTxtG"/>
              <w:suppressAutoHyphens w:val="0"/>
              <w:spacing w:before="40" w:after="40" w:line="220" w:lineRule="exact"/>
              <w:ind w:left="0" w:right="0"/>
              <w:jc w:val="right"/>
              <w:rPr>
                <w:bCs/>
                <w:sz w:val="18"/>
              </w:rPr>
            </w:pPr>
            <w:r w:rsidRPr="008442C6">
              <w:rPr>
                <w:bCs/>
                <w:sz w:val="18"/>
              </w:rPr>
              <w:t>291</w:t>
            </w:r>
          </w:p>
        </w:tc>
        <w:tc>
          <w:tcPr>
            <w:tcW w:w="596" w:type="dxa"/>
            <w:tcBorders>
              <w:left w:val="nil"/>
              <w:bottom w:val="single" w:sz="12" w:space="0" w:color="auto"/>
            </w:tcBorders>
            <w:shd w:val="clear" w:color="auto" w:fill="auto"/>
            <w:tcMar>
              <w:top w:w="0" w:type="dxa"/>
              <w:left w:w="70" w:type="dxa"/>
              <w:bottom w:w="0" w:type="dxa"/>
              <w:right w:w="70" w:type="dxa"/>
            </w:tcMar>
            <w:vAlign w:val="bottom"/>
            <w:hideMark/>
          </w:tcPr>
          <w:p w:rsidR="00D6330D" w:rsidRPr="008442C6" w:rsidRDefault="00D6330D" w:rsidP="00F76CBB">
            <w:pPr>
              <w:pStyle w:val="SingleTxtG"/>
              <w:suppressAutoHyphens w:val="0"/>
              <w:spacing w:before="40" w:after="40" w:line="220" w:lineRule="exact"/>
              <w:ind w:left="0" w:right="0"/>
              <w:jc w:val="right"/>
              <w:rPr>
                <w:bCs/>
                <w:sz w:val="18"/>
              </w:rPr>
            </w:pPr>
            <w:r w:rsidRPr="008442C6">
              <w:rPr>
                <w:bCs/>
                <w:sz w:val="18"/>
              </w:rPr>
              <w:t>126</w:t>
            </w:r>
          </w:p>
        </w:tc>
        <w:tc>
          <w:tcPr>
            <w:tcW w:w="819" w:type="dxa"/>
            <w:tcBorders>
              <w:bottom w:val="single" w:sz="12" w:space="0" w:color="auto"/>
            </w:tcBorders>
            <w:shd w:val="clear" w:color="auto" w:fill="auto"/>
            <w:tcMar>
              <w:top w:w="0" w:type="dxa"/>
              <w:left w:w="70" w:type="dxa"/>
              <w:bottom w:w="0" w:type="dxa"/>
              <w:right w:w="70" w:type="dxa"/>
            </w:tcMar>
            <w:vAlign w:val="bottom"/>
            <w:hideMark/>
          </w:tcPr>
          <w:p w:rsidR="00D6330D" w:rsidRPr="008442C6" w:rsidRDefault="00D6330D" w:rsidP="00F76CBB">
            <w:pPr>
              <w:pStyle w:val="SingleTxtG"/>
              <w:suppressAutoHyphens w:val="0"/>
              <w:spacing w:before="40" w:after="40" w:line="220" w:lineRule="exact"/>
              <w:ind w:left="0" w:right="0"/>
              <w:jc w:val="right"/>
              <w:rPr>
                <w:bCs/>
                <w:sz w:val="18"/>
              </w:rPr>
            </w:pPr>
            <w:r w:rsidRPr="008442C6">
              <w:rPr>
                <w:bCs/>
                <w:sz w:val="18"/>
              </w:rPr>
              <w:t>77</w:t>
            </w:r>
          </w:p>
        </w:tc>
        <w:tc>
          <w:tcPr>
            <w:tcW w:w="526" w:type="dxa"/>
            <w:tcBorders>
              <w:bottom w:val="single" w:sz="12" w:space="0" w:color="auto"/>
            </w:tcBorders>
            <w:shd w:val="clear" w:color="auto" w:fill="auto"/>
            <w:tcMar>
              <w:top w:w="0" w:type="dxa"/>
              <w:left w:w="70" w:type="dxa"/>
              <w:bottom w:w="0" w:type="dxa"/>
              <w:right w:w="70" w:type="dxa"/>
            </w:tcMar>
            <w:vAlign w:val="bottom"/>
            <w:hideMark/>
          </w:tcPr>
          <w:p w:rsidR="00D6330D" w:rsidRPr="008442C6" w:rsidRDefault="00D6330D" w:rsidP="00F76CBB">
            <w:pPr>
              <w:pStyle w:val="SingleTxtG"/>
              <w:suppressAutoHyphens w:val="0"/>
              <w:spacing w:before="40" w:after="40" w:line="220" w:lineRule="exact"/>
              <w:ind w:left="0" w:right="0"/>
              <w:jc w:val="right"/>
              <w:rPr>
                <w:bCs/>
                <w:sz w:val="18"/>
              </w:rPr>
            </w:pPr>
            <w:r w:rsidRPr="008442C6">
              <w:rPr>
                <w:bCs/>
                <w:sz w:val="18"/>
              </w:rPr>
              <w:t>49</w:t>
            </w:r>
          </w:p>
        </w:tc>
        <w:tc>
          <w:tcPr>
            <w:tcW w:w="574" w:type="dxa"/>
            <w:tcBorders>
              <w:left w:val="nil"/>
              <w:bottom w:val="single" w:sz="12" w:space="0" w:color="auto"/>
            </w:tcBorders>
            <w:shd w:val="clear" w:color="auto" w:fill="auto"/>
            <w:tcMar>
              <w:top w:w="0" w:type="dxa"/>
              <w:left w:w="70" w:type="dxa"/>
              <w:bottom w:w="0" w:type="dxa"/>
              <w:right w:w="70" w:type="dxa"/>
            </w:tcMar>
            <w:vAlign w:val="bottom"/>
            <w:hideMark/>
          </w:tcPr>
          <w:p w:rsidR="00D6330D" w:rsidRPr="008442C6" w:rsidRDefault="00D6330D" w:rsidP="00F76CBB">
            <w:pPr>
              <w:pStyle w:val="SingleTxtG"/>
              <w:suppressAutoHyphens w:val="0"/>
              <w:spacing w:before="40" w:after="40" w:line="220" w:lineRule="exact"/>
              <w:ind w:left="0" w:right="0"/>
              <w:jc w:val="right"/>
              <w:rPr>
                <w:bCs/>
                <w:sz w:val="18"/>
              </w:rPr>
            </w:pPr>
            <w:r w:rsidRPr="008442C6">
              <w:rPr>
                <w:bCs/>
                <w:sz w:val="18"/>
              </w:rPr>
              <w:t>117</w:t>
            </w:r>
          </w:p>
        </w:tc>
        <w:tc>
          <w:tcPr>
            <w:tcW w:w="732" w:type="dxa"/>
            <w:tcBorders>
              <w:bottom w:val="single" w:sz="12" w:space="0" w:color="auto"/>
            </w:tcBorders>
            <w:shd w:val="clear" w:color="auto" w:fill="auto"/>
            <w:tcMar>
              <w:top w:w="0" w:type="dxa"/>
              <w:left w:w="70" w:type="dxa"/>
              <w:bottom w:w="0" w:type="dxa"/>
              <w:right w:w="70" w:type="dxa"/>
            </w:tcMar>
            <w:vAlign w:val="bottom"/>
            <w:hideMark/>
          </w:tcPr>
          <w:p w:rsidR="00D6330D" w:rsidRPr="008442C6" w:rsidRDefault="00D6330D" w:rsidP="00F76CBB">
            <w:pPr>
              <w:pStyle w:val="SingleTxtG"/>
              <w:suppressAutoHyphens w:val="0"/>
              <w:spacing w:before="40" w:after="40" w:line="220" w:lineRule="exact"/>
              <w:ind w:left="0" w:right="0"/>
              <w:jc w:val="right"/>
              <w:rPr>
                <w:bCs/>
                <w:sz w:val="18"/>
              </w:rPr>
            </w:pPr>
            <w:r w:rsidRPr="008442C6">
              <w:rPr>
                <w:bCs/>
                <w:sz w:val="18"/>
              </w:rPr>
              <w:t>64</w:t>
            </w:r>
          </w:p>
        </w:tc>
        <w:tc>
          <w:tcPr>
            <w:tcW w:w="526" w:type="dxa"/>
            <w:tcBorders>
              <w:bottom w:val="single" w:sz="12" w:space="0" w:color="auto"/>
            </w:tcBorders>
            <w:shd w:val="clear" w:color="auto" w:fill="auto"/>
            <w:tcMar>
              <w:top w:w="0" w:type="dxa"/>
              <w:left w:w="70" w:type="dxa"/>
              <w:bottom w:w="0" w:type="dxa"/>
              <w:right w:w="70" w:type="dxa"/>
            </w:tcMar>
            <w:vAlign w:val="bottom"/>
            <w:hideMark/>
          </w:tcPr>
          <w:p w:rsidR="00D6330D" w:rsidRPr="008442C6" w:rsidRDefault="00D6330D" w:rsidP="00F76CBB">
            <w:pPr>
              <w:pStyle w:val="SingleTxtG"/>
              <w:suppressAutoHyphens w:val="0"/>
              <w:spacing w:before="40" w:after="40" w:line="220" w:lineRule="exact"/>
              <w:ind w:left="0" w:right="0"/>
              <w:jc w:val="right"/>
              <w:rPr>
                <w:bCs/>
                <w:sz w:val="18"/>
              </w:rPr>
            </w:pPr>
            <w:r w:rsidRPr="008442C6">
              <w:rPr>
                <w:bCs/>
                <w:sz w:val="18"/>
              </w:rPr>
              <w:t>53</w:t>
            </w:r>
          </w:p>
        </w:tc>
        <w:tc>
          <w:tcPr>
            <w:tcW w:w="761" w:type="dxa"/>
            <w:tcBorders>
              <w:left w:val="nil"/>
              <w:bottom w:val="single" w:sz="12" w:space="0" w:color="auto"/>
            </w:tcBorders>
            <w:shd w:val="clear" w:color="auto" w:fill="auto"/>
            <w:tcMar>
              <w:top w:w="0" w:type="dxa"/>
              <w:left w:w="70" w:type="dxa"/>
              <w:bottom w:w="0" w:type="dxa"/>
              <w:right w:w="70" w:type="dxa"/>
            </w:tcMar>
            <w:vAlign w:val="bottom"/>
            <w:hideMark/>
          </w:tcPr>
          <w:p w:rsidR="00D6330D" w:rsidRPr="008442C6" w:rsidRDefault="00D6330D" w:rsidP="00F76CBB">
            <w:pPr>
              <w:pStyle w:val="SingleTxtG"/>
              <w:suppressAutoHyphens w:val="0"/>
              <w:spacing w:before="40" w:after="40" w:line="220" w:lineRule="exact"/>
              <w:ind w:left="0" w:right="0"/>
              <w:jc w:val="right"/>
              <w:rPr>
                <w:bCs/>
                <w:sz w:val="18"/>
              </w:rPr>
            </w:pPr>
            <w:r w:rsidRPr="008442C6">
              <w:rPr>
                <w:bCs/>
                <w:sz w:val="18"/>
              </w:rPr>
              <w:t>45</w:t>
            </w:r>
          </w:p>
        </w:tc>
        <w:tc>
          <w:tcPr>
            <w:tcW w:w="780" w:type="dxa"/>
            <w:tcBorders>
              <w:bottom w:val="single" w:sz="12" w:space="0" w:color="auto"/>
            </w:tcBorders>
            <w:shd w:val="clear" w:color="auto" w:fill="auto"/>
            <w:tcMar>
              <w:top w:w="0" w:type="dxa"/>
              <w:left w:w="70" w:type="dxa"/>
              <w:bottom w:w="0" w:type="dxa"/>
              <w:right w:w="70" w:type="dxa"/>
            </w:tcMar>
            <w:vAlign w:val="bottom"/>
            <w:hideMark/>
          </w:tcPr>
          <w:p w:rsidR="00D6330D" w:rsidRPr="008442C6" w:rsidRDefault="00D6330D" w:rsidP="00F76CBB">
            <w:pPr>
              <w:pStyle w:val="SingleTxtG"/>
              <w:suppressAutoHyphens w:val="0"/>
              <w:spacing w:before="40" w:after="40" w:line="220" w:lineRule="exact"/>
              <w:ind w:left="0" w:right="0"/>
              <w:jc w:val="right"/>
              <w:rPr>
                <w:bCs/>
                <w:sz w:val="18"/>
              </w:rPr>
            </w:pPr>
            <w:r w:rsidRPr="008442C6">
              <w:rPr>
                <w:bCs/>
                <w:sz w:val="18"/>
              </w:rPr>
              <w:t>24</w:t>
            </w:r>
          </w:p>
        </w:tc>
        <w:tc>
          <w:tcPr>
            <w:tcW w:w="653" w:type="dxa"/>
            <w:tcBorders>
              <w:bottom w:val="single" w:sz="12" w:space="0" w:color="auto"/>
            </w:tcBorders>
            <w:shd w:val="clear" w:color="auto" w:fill="auto"/>
            <w:tcMar>
              <w:top w:w="0" w:type="dxa"/>
              <w:left w:w="70" w:type="dxa"/>
              <w:bottom w:w="0" w:type="dxa"/>
              <w:right w:w="70" w:type="dxa"/>
            </w:tcMar>
            <w:vAlign w:val="bottom"/>
            <w:hideMark/>
          </w:tcPr>
          <w:p w:rsidR="00D6330D" w:rsidRPr="008442C6" w:rsidRDefault="00D6330D" w:rsidP="00F76CBB">
            <w:pPr>
              <w:pStyle w:val="SingleTxtG"/>
              <w:suppressAutoHyphens w:val="0"/>
              <w:spacing w:before="40" w:after="40" w:line="220" w:lineRule="exact"/>
              <w:ind w:left="0" w:right="0"/>
              <w:jc w:val="right"/>
              <w:rPr>
                <w:bCs/>
                <w:sz w:val="18"/>
              </w:rPr>
            </w:pPr>
            <w:r w:rsidRPr="008442C6">
              <w:rPr>
                <w:bCs/>
                <w:sz w:val="18"/>
              </w:rPr>
              <w:t>21</w:t>
            </w:r>
          </w:p>
        </w:tc>
        <w:tc>
          <w:tcPr>
            <w:tcW w:w="786" w:type="dxa"/>
            <w:tcBorders>
              <w:left w:val="nil"/>
              <w:bottom w:val="single" w:sz="12" w:space="0" w:color="auto"/>
            </w:tcBorders>
            <w:shd w:val="clear" w:color="auto" w:fill="auto"/>
            <w:tcMar>
              <w:top w:w="0" w:type="dxa"/>
              <w:left w:w="70" w:type="dxa"/>
              <w:bottom w:w="0" w:type="dxa"/>
              <w:right w:w="70" w:type="dxa"/>
            </w:tcMar>
            <w:vAlign w:val="bottom"/>
            <w:hideMark/>
          </w:tcPr>
          <w:p w:rsidR="00D6330D" w:rsidRPr="008442C6" w:rsidRDefault="00D6330D" w:rsidP="00F76CBB">
            <w:pPr>
              <w:pStyle w:val="SingleTxtG"/>
              <w:suppressAutoHyphens w:val="0"/>
              <w:spacing w:before="40" w:after="40" w:line="220" w:lineRule="exact"/>
              <w:ind w:left="0" w:right="0"/>
              <w:jc w:val="right"/>
              <w:rPr>
                <w:bCs/>
                <w:sz w:val="18"/>
              </w:rPr>
            </w:pPr>
            <w:r w:rsidRPr="008442C6">
              <w:rPr>
                <w:bCs/>
                <w:sz w:val="18"/>
              </w:rPr>
              <w:t>3</w:t>
            </w:r>
          </w:p>
        </w:tc>
        <w:tc>
          <w:tcPr>
            <w:tcW w:w="780" w:type="dxa"/>
            <w:tcBorders>
              <w:bottom w:val="single" w:sz="12" w:space="0" w:color="auto"/>
            </w:tcBorders>
            <w:shd w:val="clear" w:color="auto" w:fill="auto"/>
            <w:tcMar>
              <w:top w:w="0" w:type="dxa"/>
              <w:left w:w="70" w:type="dxa"/>
              <w:bottom w:w="0" w:type="dxa"/>
              <w:right w:w="70" w:type="dxa"/>
            </w:tcMar>
            <w:vAlign w:val="bottom"/>
            <w:hideMark/>
          </w:tcPr>
          <w:p w:rsidR="00D6330D" w:rsidRPr="008442C6" w:rsidRDefault="00D6330D" w:rsidP="00F76CBB">
            <w:pPr>
              <w:pStyle w:val="SingleTxtG"/>
              <w:suppressAutoHyphens w:val="0"/>
              <w:spacing w:before="40" w:after="40" w:line="220" w:lineRule="exact"/>
              <w:ind w:left="0" w:right="0"/>
              <w:jc w:val="right"/>
              <w:rPr>
                <w:bCs/>
                <w:sz w:val="18"/>
              </w:rPr>
            </w:pPr>
            <w:r w:rsidRPr="008442C6">
              <w:rPr>
                <w:bCs/>
                <w:sz w:val="18"/>
              </w:rPr>
              <w:t>2</w:t>
            </w:r>
          </w:p>
        </w:tc>
        <w:tc>
          <w:tcPr>
            <w:tcW w:w="548" w:type="dxa"/>
            <w:tcBorders>
              <w:bottom w:val="single" w:sz="12" w:space="0" w:color="auto"/>
            </w:tcBorders>
            <w:shd w:val="clear" w:color="auto" w:fill="auto"/>
            <w:tcMar>
              <w:top w:w="0" w:type="dxa"/>
              <w:left w:w="70" w:type="dxa"/>
              <w:bottom w:w="0" w:type="dxa"/>
              <w:right w:w="70" w:type="dxa"/>
            </w:tcMar>
            <w:vAlign w:val="bottom"/>
            <w:hideMark/>
          </w:tcPr>
          <w:p w:rsidR="00D6330D" w:rsidRPr="008442C6" w:rsidRDefault="00D6330D" w:rsidP="00F76CBB">
            <w:pPr>
              <w:pStyle w:val="SingleTxtG"/>
              <w:suppressAutoHyphens w:val="0"/>
              <w:spacing w:before="40" w:after="40" w:line="220" w:lineRule="exact"/>
              <w:ind w:left="0" w:right="0"/>
              <w:jc w:val="right"/>
              <w:rPr>
                <w:bCs/>
                <w:sz w:val="18"/>
              </w:rPr>
            </w:pPr>
            <w:r w:rsidRPr="008442C6">
              <w:rPr>
                <w:bCs/>
                <w:sz w:val="18"/>
              </w:rPr>
              <w:t>1</w:t>
            </w:r>
          </w:p>
        </w:tc>
      </w:tr>
    </w:tbl>
    <w:p w:rsidR="00BD77CC" w:rsidRPr="008442C6" w:rsidRDefault="00BD77CC" w:rsidP="00F76CBB">
      <w:pPr>
        <w:spacing w:before="120"/>
        <w:ind w:left="113" w:right="1134" w:firstLine="170"/>
        <w:rPr>
          <w:sz w:val="18"/>
          <w:szCs w:val="18"/>
        </w:rPr>
      </w:pPr>
      <w:r w:rsidRPr="008442C6">
        <w:rPr>
          <w:i/>
          <w:iCs/>
          <w:sz w:val="18"/>
          <w:szCs w:val="18"/>
        </w:rPr>
        <w:t>Source</w:t>
      </w:r>
      <w:r w:rsidRPr="008442C6">
        <w:rPr>
          <w:sz w:val="18"/>
          <w:szCs w:val="18"/>
        </w:rPr>
        <w:t>: Foreigners and Borders Office</w:t>
      </w:r>
      <w:r w:rsidR="00F76CBB" w:rsidRPr="008442C6">
        <w:rPr>
          <w:sz w:val="18"/>
          <w:szCs w:val="18"/>
        </w:rPr>
        <w:t>.</w:t>
      </w:r>
    </w:p>
    <w:p w:rsidR="00BD77CC" w:rsidRPr="008442C6" w:rsidRDefault="00BD77CC" w:rsidP="00804846">
      <w:pPr>
        <w:spacing w:after="240"/>
        <w:ind w:left="113" w:right="1134" w:firstLine="170"/>
        <w:rPr>
          <w:sz w:val="18"/>
          <w:szCs w:val="18"/>
        </w:rPr>
      </w:pPr>
      <w:r w:rsidRPr="008442C6">
        <w:rPr>
          <w:i/>
          <w:iCs/>
          <w:sz w:val="18"/>
          <w:szCs w:val="18"/>
        </w:rPr>
        <w:t>Note</w:t>
      </w:r>
      <w:r w:rsidRPr="008442C6">
        <w:rPr>
          <w:sz w:val="18"/>
          <w:szCs w:val="18"/>
        </w:rPr>
        <w:t xml:space="preserve">: AR RH </w:t>
      </w:r>
      <w:r w:rsidR="00804846">
        <w:rPr>
          <w:sz w:val="18"/>
          <w:szCs w:val="18"/>
        </w:rPr>
        <w:t>–</w:t>
      </w:r>
      <w:r w:rsidRPr="008442C6">
        <w:rPr>
          <w:sz w:val="18"/>
          <w:szCs w:val="18"/>
        </w:rPr>
        <w:t xml:space="preserve"> Residence permits for humanitarian reasons; REF </w:t>
      </w:r>
      <w:r w:rsidR="00804846">
        <w:rPr>
          <w:sz w:val="18"/>
          <w:szCs w:val="18"/>
        </w:rPr>
        <w:t>–</w:t>
      </w:r>
      <w:r w:rsidRPr="008442C6">
        <w:rPr>
          <w:sz w:val="18"/>
          <w:szCs w:val="18"/>
        </w:rPr>
        <w:t xml:space="preserve"> Recognized refugee status</w:t>
      </w:r>
      <w:r w:rsidR="00DF3A4A" w:rsidRPr="008442C6">
        <w:rPr>
          <w:sz w:val="18"/>
          <w:szCs w:val="18"/>
        </w:rPr>
        <w:t xml:space="preserve">. </w:t>
      </w:r>
    </w:p>
    <w:tbl>
      <w:tblPr>
        <w:tblW w:w="9639" w:type="dxa"/>
        <w:jc w:val="center"/>
        <w:tblLayout w:type="fixed"/>
        <w:tblCellMar>
          <w:left w:w="0" w:type="dxa"/>
          <w:right w:w="0" w:type="dxa"/>
        </w:tblCellMar>
        <w:tblLook w:val="04A0" w:firstRow="1" w:lastRow="0" w:firstColumn="1" w:lastColumn="0" w:noHBand="0" w:noVBand="1"/>
      </w:tblPr>
      <w:tblGrid>
        <w:gridCol w:w="850"/>
        <w:gridCol w:w="708"/>
        <w:gridCol w:w="596"/>
        <w:gridCol w:w="819"/>
        <w:gridCol w:w="526"/>
        <w:gridCol w:w="574"/>
        <w:gridCol w:w="732"/>
        <w:gridCol w:w="526"/>
        <w:gridCol w:w="761"/>
        <w:gridCol w:w="780"/>
        <w:gridCol w:w="653"/>
        <w:gridCol w:w="786"/>
        <w:gridCol w:w="780"/>
        <w:gridCol w:w="548"/>
      </w:tblGrid>
      <w:tr w:rsidR="00683D48" w:rsidRPr="008442C6" w:rsidTr="00683D48">
        <w:trPr>
          <w:tblHeader/>
          <w:jc w:val="center"/>
        </w:trPr>
        <w:tc>
          <w:tcPr>
            <w:tcW w:w="850" w:type="dxa"/>
            <w:vMerge w:val="restart"/>
            <w:tcBorders>
              <w:top w:val="single" w:sz="4" w:space="0" w:color="auto"/>
              <w:bottom w:val="single" w:sz="12" w:space="0" w:color="auto"/>
            </w:tcBorders>
            <w:shd w:val="clear" w:color="auto" w:fill="auto"/>
            <w:tcMar>
              <w:top w:w="0" w:type="dxa"/>
              <w:left w:w="70" w:type="dxa"/>
              <w:bottom w:w="0" w:type="dxa"/>
              <w:right w:w="70" w:type="dxa"/>
            </w:tcMar>
            <w:vAlign w:val="center"/>
            <w:hideMark/>
          </w:tcPr>
          <w:p w:rsidR="00683D48" w:rsidRPr="008442C6" w:rsidRDefault="00683D48" w:rsidP="00716E76">
            <w:pPr>
              <w:pStyle w:val="SingleTxtG"/>
              <w:keepNext/>
              <w:keepLines/>
              <w:suppressAutoHyphens w:val="0"/>
              <w:spacing w:before="80" w:after="80" w:line="200" w:lineRule="exact"/>
              <w:ind w:left="0" w:right="0"/>
              <w:jc w:val="left"/>
              <w:rPr>
                <w:i/>
                <w:sz w:val="16"/>
                <w:szCs w:val="18"/>
              </w:rPr>
            </w:pPr>
            <w:r w:rsidRPr="008442C6">
              <w:rPr>
                <w:i/>
                <w:sz w:val="16"/>
                <w:szCs w:val="18"/>
              </w:rPr>
              <w:lastRenderedPageBreak/>
              <w:t>2017</w:t>
            </w:r>
          </w:p>
        </w:tc>
        <w:tc>
          <w:tcPr>
            <w:tcW w:w="8789" w:type="dxa"/>
            <w:gridSpan w:val="13"/>
            <w:tcBorders>
              <w:top w:val="single" w:sz="4" w:space="0" w:color="auto"/>
              <w:left w:val="nil"/>
              <w:bottom w:val="single" w:sz="4" w:space="0" w:color="auto"/>
            </w:tcBorders>
            <w:shd w:val="clear" w:color="auto" w:fill="auto"/>
            <w:tcMar>
              <w:top w:w="0" w:type="dxa"/>
              <w:left w:w="70" w:type="dxa"/>
              <w:bottom w:w="0" w:type="dxa"/>
              <w:right w:w="70" w:type="dxa"/>
            </w:tcMar>
            <w:vAlign w:val="bottom"/>
            <w:hideMark/>
          </w:tcPr>
          <w:p w:rsidR="00683D48" w:rsidRPr="008442C6" w:rsidRDefault="00683D48" w:rsidP="00E01E2D">
            <w:pPr>
              <w:pStyle w:val="SingleTxtG"/>
              <w:keepNext/>
              <w:keepLines/>
              <w:suppressAutoHyphens w:val="0"/>
              <w:spacing w:before="80" w:after="80" w:line="200" w:lineRule="exact"/>
              <w:ind w:left="0" w:right="0"/>
              <w:jc w:val="center"/>
              <w:rPr>
                <w:bCs/>
                <w:i/>
                <w:sz w:val="16"/>
                <w:szCs w:val="18"/>
              </w:rPr>
            </w:pPr>
            <w:r w:rsidRPr="008442C6">
              <w:rPr>
                <w:bCs/>
                <w:i/>
                <w:sz w:val="16"/>
                <w:szCs w:val="18"/>
              </w:rPr>
              <w:t xml:space="preserve">Age </w:t>
            </w:r>
            <w:r w:rsidR="00E01E2D" w:rsidRPr="008442C6">
              <w:rPr>
                <w:bCs/>
                <w:i/>
                <w:sz w:val="16"/>
                <w:szCs w:val="18"/>
              </w:rPr>
              <w:t>g</w:t>
            </w:r>
            <w:r w:rsidRPr="008442C6">
              <w:rPr>
                <w:bCs/>
                <w:i/>
                <w:sz w:val="16"/>
                <w:szCs w:val="18"/>
              </w:rPr>
              <w:t>roups</w:t>
            </w:r>
          </w:p>
        </w:tc>
      </w:tr>
      <w:tr w:rsidR="00683D48" w:rsidRPr="008442C6" w:rsidTr="00810305">
        <w:trPr>
          <w:tblHeader/>
          <w:jc w:val="center"/>
        </w:trPr>
        <w:tc>
          <w:tcPr>
            <w:tcW w:w="850" w:type="dxa"/>
            <w:vMerge/>
            <w:tcBorders>
              <w:top w:val="single" w:sz="12" w:space="0" w:color="auto"/>
            </w:tcBorders>
            <w:shd w:val="clear" w:color="auto" w:fill="auto"/>
            <w:vAlign w:val="bottom"/>
            <w:hideMark/>
          </w:tcPr>
          <w:p w:rsidR="00683D48" w:rsidRPr="008442C6" w:rsidRDefault="00683D48" w:rsidP="00716E76">
            <w:pPr>
              <w:pStyle w:val="SingleTxtG"/>
              <w:keepNext/>
              <w:keepLines/>
              <w:suppressAutoHyphens w:val="0"/>
              <w:spacing w:before="80" w:after="80" w:line="200" w:lineRule="exact"/>
              <w:ind w:left="0" w:right="0"/>
              <w:rPr>
                <w:sz w:val="18"/>
                <w:szCs w:val="18"/>
              </w:rPr>
            </w:pPr>
          </w:p>
        </w:tc>
        <w:tc>
          <w:tcPr>
            <w:tcW w:w="708" w:type="dxa"/>
            <w:vMerge w:val="restart"/>
            <w:tcBorders>
              <w:top w:val="single" w:sz="4" w:space="0" w:color="auto"/>
              <w:left w:val="nil"/>
            </w:tcBorders>
            <w:shd w:val="clear" w:color="auto" w:fill="auto"/>
            <w:tcMar>
              <w:top w:w="0" w:type="dxa"/>
              <w:left w:w="70" w:type="dxa"/>
              <w:bottom w:w="0" w:type="dxa"/>
              <w:right w:w="70" w:type="dxa"/>
            </w:tcMar>
            <w:vAlign w:val="center"/>
            <w:hideMark/>
          </w:tcPr>
          <w:p w:rsidR="00683D48" w:rsidRPr="008442C6" w:rsidRDefault="00683D48" w:rsidP="009564AB">
            <w:pPr>
              <w:pStyle w:val="SingleTxtG"/>
              <w:keepNext/>
              <w:keepLines/>
              <w:suppressAutoHyphens w:val="0"/>
              <w:spacing w:before="80" w:after="80" w:line="200" w:lineRule="exact"/>
              <w:ind w:left="0" w:right="0"/>
              <w:jc w:val="right"/>
              <w:rPr>
                <w:bCs/>
                <w:i/>
                <w:spacing w:val="4"/>
                <w:w w:val="103"/>
                <w:kern w:val="14"/>
                <w:sz w:val="16"/>
                <w:szCs w:val="18"/>
              </w:rPr>
            </w:pPr>
            <w:r w:rsidRPr="008442C6">
              <w:rPr>
                <w:bCs/>
                <w:i/>
                <w:spacing w:val="4"/>
                <w:w w:val="103"/>
                <w:kern w:val="14"/>
                <w:sz w:val="16"/>
                <w:szCs w:val="18"/>
              </w:rPr>
              <w:t>Total</w:t>
            </w:r>
          </w:p>
        </w:tc>
        <w:tc>
          <w:tcPr>
            <w:tcW w:w="1941" w:type="dxa"/>
            <w:gridSpan w:val="3"/>
            <w:tcBorders>
              <w:top w:val="single" w:sz="4" w:space="0" w:color="auto"/>
              <w:left w:val="nil"/>
              <w:bottom w:val="single" w:sz="4" w:space="0" w:color="auto"/>
              <w:right w:val="single" w:sz="24" w:space="0" w:color="FFFFFF" w:themeColor="background1"/>
            </w:tcBorders>
            <w:shd w:val="clear" w:color="auto" w:fill="auto"/>
            <w:tcMar>
              <w:top w:w="0" w:type="dxa"/>
              <w:left w:w="70" w:type="dxa"/>
              <w:bottom w:w="0" w:type="dxa"/>
              <w:right w:w="70" w:type="dxa"/>
            </w:tcMar>
            <w:vAlign w:val="center"/>
            <w:hideMark/>
          </w:tcPr>
          <w:p w:rsidR="00683D48" w:rsidRPr="008442C6" w:rsidRDefault="00683D48" w:rsidP="00716E76">
            <w:pPr>
              <w:pStyle w:val="SingleTxtG"/>
              <w:keepNext/>
              <w:keepLines/>
              <w:suppressAutoHyphens w:val="0"/>
              <w:spacing w:before="80" w:after="80" w:line="200" w:lineRule="exact"/>
              <w:ind w:left="0" w:right="0"/>
              <w:jc w:val="center"/>
              <w:rPr>
                <w:bCs/>
                <w:i/>
                <w:spacing w:val="4"/>
                <w:w w:val="103"/>
                <w:kern w:val="14"/>
                <w:sz w:val="16"/>
                <w:szCs w:val="18"/>
              </w:rPr>
            </w:pPr>
            <w:r w:rsidRPr="008442C6">
              <w:rPr>
                <w:bCs/>
                <w:i/>
                <w:spacing w:val="4"/>
                <w:w w:val="103"/>
                <w:kern w:val="14"/>
                <w:sz w:val="16"/>
                <w:szCs w:val="18"/>
              </w:rPr>
              <w:t>0</w:t>
            </w:r>
            <w:r w:rsidR="00716E76" w:rsidRPr="008442C6">
              <w:rPr>
                <w:bCs/>
                <w:i/>
                <w:spacing w:val="4"/>
                <w:w w:val="103"/>
                <w:kern w:val="14"/>
                <w:sz w:val="16"/>
                <w:szCs w:val="18"/>
              </w:rPr>
              <w:t>–</w:t>
            </w:r>
            <w:r w:rsidRPr="008442C6">
              <w:rPr>
                <w:bCs/>
                <w:i/>
                <w:spacing w:val="4"/>
                <w:w w:val="103"/>
                <w:kern w:val="14"/>
                <w:sz w:val="16"/>
                <w:szCs w:val="18"/>
              </w:rPr>
              <w:t>18</w:t>
            </w:r>
          </w:p>
        </w:tc>
        <w:tc>
          <w:tcPr>
            <w:tcW w:w="1832"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top w:w="0" w:type="dxa"/>
              <w:left w:w="70" w:type="dxa"/>
              <w:bottom w:w="0" w:type="dxa"/>
              <w:right w:w="70" w:type="dxa"/>
            </w:tcMar>
            <w:vAlign w:val="center"/>
            <w:hideMark/>
          </w:tcPr>
          <w:p w:rsidR="00683D48" w:rsidRPr="008442C6" w:rsidRDefault="00683D48" w:rsidP="00716E76">
            <w:pPr>
              <w:pStyle w:val="SingleTxtG"/>
              <w:keepNext/>
              <w:keepLines/>
              <w:suppressAutoHyphens w:val="0"/>
              <w:spacing w:before="80" w:after="80" w:line="200" w:lineRule="exact"/>
              <w:ind w:left="0" w:right="0"/>
              <w:jc w:val="center"/>
              <w:rPr>
                <w:bCs/>
                <w:i/>
                <w:spacing w:val="4"/>
                <w:w w:val="103"/>
                <w:kern w:val="14"/>
                <w:sz w:val="16"/>
                <w:szCs w:val="18"/>
              </w:rPr>
            </w:pPr>
            <w:r w:rsidRPr="008442C6">
              <w:rPr>
                <w:bCs/>
                <w:i/>
                <w:spacing w:val="4"/>
                <w:w w:val="103"/>
                <w:kern w:val="14"/>
                <w:sz w:val="16"/>
                <w:szCs w:val="18"/>
              </w:rPr>
              <w:t>19</w:t>
            </w:r>
            <w:r w:rsidR="00716E76" w:rsidRPr="008442C6">
              <w:rPr>
                <w:bCs/>
                <w:i/>
                <w:spacing w:val="4"/>
                <w:w w:val="103"/>
                <w:kern w:val="14"/>
                <w:sz w:val="16"/>
                <w:szCs w:val="18"/>
              </w:rPr>
              <w:t>–</w:t>
            </w:r>
            <w:r w:rsidRPr="008442C6">
              <w:rPr>
                <w:bCs/>
                <w:i/>
                <w:spacing w:val="4"/>
                <w:w w:val="103"/>
                <w:kern w:val="14"/>
                <w:sz w:val="16"/>
                <w:szCs w:val="18"/>
              </w:rPr>
              <w:t>39</w:t>
            </w:r>
          </w:p>
        </w:tc>
        <w:tc>
          <w:tcPr>
            <w:tcW w:w="2194"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top w:w="0" w:type="dxa"/>
              <w:left w:w="70" w:type="dxa"/>
              <w:bottom w:w="0" w:type="dxa"/>
              <w:right w:w="70" w:type="dxa"/>
            </w:tcMar>
            <w:vAlign w:val="center"/>
            <w:hideMark/>
          </w:tcPr>
          <w:p w:rsidR="00683D48" w:rsidRPr="008442C6" w:rsidRDefault="00683D48" w:rsidP="00716E76">
            <w:pPr>
              <w:pStyle w:val="SingleTxtG"/>
              <w:keepNext/>
              <w:keepLines/>
              <w:suppressAutoHyphens w:val="0"/>
              <w:spacing w:before="80" w:after="80" w:line="200" w:lineRule="exact"/>
              <w:ind w:left="0" w:right="0"/>
              <w:jc w:val="center"/>
              <w:rPr>
                <w:bCs/>
                <w:i/>
                <w:spacing w:val="4"/>
                <w:w w:val="103"/>
                <w:kern w:val="14"/>
                <w:sz w:val="16"/>
                <w:szCs w:val="18"/>
              </w:rPr>
            </w:pPr>
            <w:r w:rsidRPr="008442C6">
              <w:rPr>
                <w:bCs/>
                <w:i/>
                <w:spacing w:val="4"/>
                <w:w w:val="103"/>
                <w:kern w:val="14"/>
                <w:sz w:val="16"/>
                <w:szCs w:val="18"/>
              </w:rPr>
              <w:t>40</w:t>
            </w:r>
            <w:r w:rsidR="00716E76" w:rsidRPr="008442C6">
              <w:rPr>
                <w:bCs/>
                <w:i/>
                <w:spacing w:val="4"/>
                <w:w w:val="103"/>
                <w:kern w:val="14"/>
                <w:sz w:val="16"/>
                <w:szCs w:val="18"/>
              </w:rPr>
              <w:t>–</w:t>
            </w:r>
            <w:r w:rsidRPr="008442C6">
              <w:rPr>
                <w:bCs/>
                <w:i/>
                <w:spacing w:val="4"/>
                <w:w w:val="103"/>
                <w:kern w:val="14"/>
                <w:sz w:val="16"/>
                <w:szCs w:val="18"/>
              </w:rPr>
              <w:t>64</w:t>
            </w:r>
          </w:p>
        </w:tc>
        <w:tc>
          <w:tcPr>
            <w:tcW w:w="2114" w:type="dxa"/>
            <w:gridSpan w:val="3"/>
            <w:tcBorders>
              <w:top w:val="single" w:sz="4" w:space="0" w:color="auto"/>
              <w:left w:val="single" w:sz="24" w:space="0" w:color="FFFFFF" w:themeColor="background1"/>
              <w:bottom w:val="single" w:sz="4" w:space="0" w:color="auto"/>
            </w:tcBorders>
            <w:shd w:val="clear" w:color="auto" w:fill="auto"/>
            <w:tcMar>
              <w:top w:w="0" w:type="dxa"/>
              <w:left w:w="70" w:type="dxa"/>
              <w:bottom w:w="0" w:type="dxa"/>
              <w:right w:w="70" w:type="dxa"/>
            </w:tcMar>
            <w:vAlign w:val="center"/>
            <w:hideMark/>
          </w:tcPr>
          <w:p w:rsidR="00683D48" w:rsidRPr="008442C6" w:rsidRDefault="00683D48" w:rsidP="00716E76">
            <w:pPr>
              <w:pStyle w:val="SingleTxtG"/>
              <w:keepNext/>
              <w:keepLines/>
              <w:suppressAutoHyphens w:val="0"/>
              <w:spacing w:before="80" w:after="80" w:line="200" w:lineRule="exact"/>
              <w:ind w:left="0" w:right="0"/>
              <w:jc w:val="center"/>
              <w:rPr>
                <w:bCs/>
                <w:i/>
                <w:spacing w:val="4"/>
                <w:w w:val="103"/>
                <w:kern w:val="14"/>
                <w:sz w:val="16"/>
                <w:szCs w:val="18"/>
              </w:rPr>
            </w:pPr>
            <w:r w:rsidRPr="008442C6">
              <w:rPr>
                <w:bCs/>
                <w:i/>
                <w:spacing w:val="4"/>
                <w:w w:val="103"/>
                <w:kern w:val="14"/>
                <w:sz w:val="16"/>
                <w:szCs w:val="18"/>
              </w:rPr>
              <w:t>+65</w:t>
            </w:r>
          </w:p>
        </w:tc>
      </w:tr>
      <w:tr w:rsidR="00683D48" w:rsidRPr="008442C6" w:rsidTr="00E47E23">
        <w:trPr>
          <w:tblHeader/>
          <w:jc w:val="center"/>
        </w:trPr>
        <w:tc>
          <w:tcPr>
            <w:tcW w:w="850" w:type="dxa"/>
            <w:vMerge/>
            <w:tcBorders>
              <w:top w:val="single" w:sz="4" w:space="0" w:color="auto"/>
              <w:bottom w:val="single" w:sz="12" w:space="0" w:color="auto"/>
            </w:tcBorders>
            <w:shd w:val="clear" w:color="auto" w:fill="auto"/>
            <w:vAlign w:val="bottom"/>
            <w:hideMark/>
          </w:tcPr>
          <w:p w:rsidR="00683D48" w:rsidRPr="008442C6" w:rsidRDefault="00683D48" w:rsidP="00716E76">
            <w:pPr>
              <w:pStyle w:val="SingleTxtG"/>
              <w:keepNext/>
              <w:keepLines/>
              <w:suppressAutoHyphens w:val="0"/>
              <w:spacing w:before="80" w:after="80" w:line="200" w:lineRule="exact"/>
              <w:ind w:left="0" w:right="0"/>
              <w:rPr>
                <w:sz w:val="18"/>
                <w:szCs w:val="18"/>
              </w:rPr>
            </w:pPr>
          </w:p>
        </w:tc>
        <w:tc>
          <w:tcPr>
            <w:tcW w:w="708" w:type="dxa"/>
            <w:vMerge/>
            <w:tcBorders>
              <w:top w:val="single" w:sz="4" w:space="0" w:color="auto"/>
              <w:left w:val="nil"/>
              <w:bottom w:val="single" w:sz="12" w:space="0" w:color="auto"/>
            </w:tcBorders>
            <w:shd w:val="clear" w:color="auto" w:fill="auto"/>
            <w:vAlign w:val="bottom"/>
            <w:hideMark/>
          </w:tcPr>
          <w:p w:rsidR="00683D48" w:rsidRPr="008442C6" w:rsidRDefault="00683D48" w:rsidP="00716E76">
            <w:pPr>
              <w:pStyle w:val="SingleTxtG"/>
              <w:keepNext/>
              <w:keepLines/>
              <w:suppressAutoHyphens w:val="0"/>
              <w:spacing w:before="80" w:after="80" w:line="200" w:lineRule="exact"/>
              <w:ind w:left="0" w:right="0"/>
              <w:jc w:val="left"/>
              <w:rPr>
                <w:bCs/>
                <w:i/>
                <w:spacing w:val="4"/>
                <w:w w:val="103"/>
                <w:kern w:val="14"/>
                <w:sz w:val="16"/>
                <w:szCs w:val="18"/>
              </w:rPr>
            </w:pPr>
          </w:p>
        </w:tc>
        <w:tc>
          <w:tcPr>
            <w:tcW w:w="596" w:type="dxa"/>
            <w:tcBorders>
              <w:top w:val="single" w:sz="4" w:space="0" w:color="auto"/>
              <w:left w:val="nil"/>
              <w:bottom w:val="single" w:sz="12" w:space="0" w:color="auto"/>
            </w:tcBorders>
            <w:shd w:val="clear" w:color="auto" w:fill="auto"/>
            <w:tcMar>
              <w:top w:w="0" w:type="dxa"/>
              <w:left w:w="70" w:type="dxa"/>
              <w:bottom w:w="0" w:type="dxa"/>
              <w:right w:w="70" w:type="dxa"/>
            </w:tcMar>
            <w:vAlign w:val="bottom"/>
            <w:hideMark/>
          </w:tcPr>
          <w:p w:rsidR="00683D48" w:rsidRPr="008442C6" w:rsidRDefault="00683D48" w:rsidP="00716E76">
            <w:pPr>
              <w:pStyle w:val="SingleTxtG"/>
              <w:keepNext/>
              <w:keepLines/>
              <w:suppressAutoHyphens w:val="0"/>
              <w:spacing w:before="80" w:after="80" w:line="200" w:lineRule="exact"/>
              <w:ind w:left="0" w:right="0"/>
              <w:jc w:val="right"/>
              <w:rPr>
                <w:bCs/>
                <w:i/>
                <w:spacing w:val="4"/>
                <w:w w:val="103"/>
                <w:kern w:val="14"/>
                <w:sz w:val="16"/>
                <w:szCs w:val="18"/>
              </w:rPr>
            </w:pPr>
            <w:r w:rsidRPr="008442C6">
              <w:rPr>
                <w:bCs/>
                <w:i/>
                <w:spacing w:val="4"/>
                <w:w w:val="103"/>
                <w:kern w:val="14"/>
                <w:sz w:val="16"/>
                <w:szCs w:val="18"/>
              </w:rPr>
              <w:t>Total</w:t>
            </w:r>
          </w:p>
        </w:tc>
        <w:tc>
          <w:tcPr>
            <w:tcW w:w="819" w:type="dxa"/>
            <w:tcBorders>
              <w:top w:val="single" w:sz="4" w:space="0" w:color="auto"/>
              <w:bottom w:val="single" w:sz="12" w:space="0" w:color="auto"/>
            </w:tcBorders>
            <w:shd w:val="clear" w:color="auto" w:fill="auto"/>
            <w:tcMar>
              <w:top w:w="0" w:type="dxa"/>
              <w:left w:w="70" w:type="dxa"/>
              <w:bottom w:w="0" w:type="dxa"/>
              <w:right w:w="70" w:type="dxa"/>
            </w:tcMar>
            <w:vAlign w:val="bottom"/>
            <w:hideMark/>
          </w:tcPr>
          <w:p w:rsidR="00683D48" w:rsidRPr="008442C6" w:rsidRDefault="00683D48" w:rsidP="00716E76">
            <w:pPr>
              <w:pStyle w:val="SingleTxtG"/>
              <w:keepNext/>
              <w:keepLines/>
              <w:suppressAutoHyphens w:val="0"/>
              <w:spacing w:before="80" w:after="80" w:line="200" w:lineRule="exact"/>
              <w:ind w:left="0" w:right="0"/>
              <w:jc w:val="right"/>
              <w:rPr>
                <w:bCs/>
                <w:i/>
                <w:spacing w:val="4"/>
                <w:w w:val="103"/>
                <w:kern w:val="14"/>
                <w:sz w:val="16"/>
                <w:szCs w:val="18"/>
              </w:rPr>
            </w:pPr>
            <w:r w:rsidRPr="008442C6">
              <w:rPr>
                <w:bCs/>
                <w:i/>
                <w:spacing w:val="4"/>
                <w:w w:val="103"/>
                <w:kern w:val="14"/>
                <w:sz w:val="16"/>
                <w:szCs w:val="18"/>
              </w:rPr>
              <w:t>AR RH</w:t>
            </w:r>
          </w:p>
        </w:tc>
        <w:tc>
          <w:tcPr>
            <w:tcW w:w="526" w:type="dxa"/>
            <w:tcBorders>
              <w:top w:val="single" w:sz="4" w:space="0" w:color="auto"/>
              <w:bottom w:val="single" w:sz="12" w:space="0" w:color="auto"/>
              <w:right w:val="single" w:sz="24" w:space="0" w:color="FFFFFF" w:themeColor="background1"/>
            </w:tcBorders>
            <w:shd w:val="clear" w:color="auto" w:fill="auto"/>
            <w:tcMar>
              <w:top w:w="0" w:type="dxa"/>
              <w:left w:w="70" w:type="dxa"/>
              <w:bottom w:w="0" w:type="dxa"/>
              <w:right w:w="70" w:type="dxa"/>
            </w:tcMar>
            <w:vAlign w:val="bottom"/>
            <w:hideMark/>
          </w:tcPr>
          <w:p w:rsidR="00683D48" w:rsidRPr="008442C6" w:rsidRDefault="00683D48" w:rsidP="00716E76">
            <w:pPr>
              <w:pStyle w:val="SingleTxtG"/>
              <w:keepNext/>
              <w:keepLines/>
              <w:suppressAutoHyphens w:val="0"/>
              <w:spacing w:before="80" w:after="80" w:line="200" w:lineRule="exact"/>
              <w:ind w:left="0" w:right="0"/>
              <w:jc w:val="right"/>
              <w:rPr>
                <w:bCs/>
                <w:i/>
                <w:spacing w:val="4"/>
                <w:w w:val="103"/>
                <w:kern w:val="14"/>
                <w:sz w:val="16"/>
                <w:szCs w:val="18"/>
              </w:rPr>
            </w:pPr>
            <w:r w:rsidRPr="008442C6">
              <w:rPr>
                <w:bCs/>
                <w:i/>
                <w:spacing w:val="4"/>
                <w:w w:val="103"/>
                <w:kern w:val="14"/>
                <w:sz w:val="16"/>
                <w:szCs w:val="18"/>
              </w:rPr>
              <w:t>REF</w:t>
            </w:r>
          </w:p>
        </w:tc>
        <w:tc>
          <w:tcPr>
            <w:tcW w:w="574" w:type="dxa"/>
            <w:tcBorders>
              <w:top w:val="single" w:sz="4" w:space="0" w:color="auto"/>
              <w:left w:val="single" w:sz="24" w:space="0" w:color="FFFFFF" w:themeColor="background1"/>
              <w:bottom w:val="single" w:sz="12" w:space="0" w:color="auto"/>
            </w:tcBorders>
            <w:shd w:val="clear" w:color="auto" w:fill="auto"/>
            <w:tcMar>
              <w:top w:w="0" w:type="dxa"/>
              <w:left w:w="70" w:type="dxa"/>
              <w:bottom w:w="0" w:type="dxa"/>
              <w:right w:w="70" w:type="dxa"/>
            </w:tcMar>
            <w:hideMark/>
          </w:tcPr>
          <w:p w:rsidR="00683D48" w:rsidRPr="008442C6" w:rsidRDefault="00683D48" w:rsidP="00716E76">
            <w:pPr>
              <w:pStyle w:val="SingleTxtG"/>
              <w:keepNext/>
              <w:keepLines/>
              <w:suppressAutoHyphens w:val="0"/>
              <w:spacing w:before="80" w:after="80" w:line="200" w:lineRule="exact"/>
              <w:ind w:left="0" w:right="0"/>
              <w:jc w:val="right"/>
              <w:rPr>
                <w:bCs/>
                <w:i/>
                <w:spacing w:val="4"/>
                <w:w w:val="103"/>
                <w:kern w:val="14"/>
                <w:sz w:val="16"/>
                <w:szCs w:val="18"/>
              </w:rPr>
            </w:pPr>
            <w:r w:rsidRPr="008442C6">
              <w:rPr>
                <w:bCs/>
                <w:i/>
                <w:spacing w:val="4"/>
                <w:w w:val="103"/>
                <w:kern w:val="14"/>
                <w:sz w:val="16"/>
                <w:szCs w:val="18"/>
              </w:rPr>
              <w:t>Total</w:t>
            </w:r>
          </w:p>
        </w:tc>
        <w:tc>
          <w:tcPr>
            <w:tcW w:w="732" w:type="dxa"/>
            <w:tcBorders>
              <w:top w:val="single" w:sz="4" w:space="0" w:color="auto"/>
              <w:bottom w:val="single" w:sz="12" w:space="0" w:color="auto"/>
            </w:tcBorders>
            <w:shd w:val="clear" w:color="auto" w:fill="auto"/>
            <w:tcMar>
              <w:top w:w="0" w:type="dxa"/>
              <w:left w:w="70" w:type="dxa"/>
              <w:bottom w:w="0" w:type="dxa"/>
              <w:right w:w="70" w:type="dxa"/>
            </w:tcMar>
            <w:vAlign w:val="bottom"/>
            <w:hideMark/>
          </w:tcPr>
          <w:p w:rsidR="00683D48" w:rsidRPr="008442C6" w:rsidRDefault="00683D48" w:rsidP="00716E76">
            <w:pPr>
              <w:pStyle w:val="SingleTxtG"/>
              <w:keepNext/>
              <w:keepLines/>
              <w:suppressAutoHyphens w:val="0"/>
              <w:spacing w:before="80" w:after="80" w:line="200" w:lineRule="exact"/>
              <w:ind w:left="0" w:right="0"/>
              <w:jc w:val="right"/>
              <w:rPr>
                <w:bCs/>
                <w:i/>
                <w:spacing w:val="4"/>
                <w:w w:val="103"/>
                <w:kern w:val="14"/>
                <w:sz w:val="16"/>
                <w:szCs w:val="18"/>
              </w:rPr>
            </w:pPr>
            <w:r w:rsidRPr="008442C6">
              <w:rPr>
                <w:bCs/>
                <w:i/>
                <w:spacing w:val="4"/>
                <w:w w:val="103"/>
                <w:kern w:val="14"/>
                <w:sz w:val="16"/>
                <w:szCs w:val="18"/>
              </w:rPr>
              <w:t>AR RH</w:t>
            </w:r>
          </w:p>
        </w:tc>
        <w:tc>
          <w:tcPr>
            <w:tcW w:w="526" w:type="dxa"/>
            <w:tcBorders>
              <w:top w:val="single" w:sz="4" w:space="0" w:color="auto"/>
              <w:bottom w:val="single" w:sz="12" w:space="0" w:color="auto"/>
              <w:right w:val="single" w:sz="24" w:space="0" w:color="FFFFFF" w:themeColor="background1"/>
            </w:tcBorders>
            <w:shd w:val="clear" w:color="auto" w:fill="auto"/>
            <w:tcMar>
              <w:top w:w="0" w:type="dxa"/>
              <w:left w:w="70" w:type="dxa"/>
              <w:bottom w:w="0" w:type="dxa"/>
              <w:right w:w="70" w:type="dxa"/>
            </w:tcMar>
            <w:vAlign w:val="bottom"/>
            <w:hideMark/>
          </w:tcPr>
          <w:p w:rsidR="00683D48" w:rsidRPr="008442C6" w:rsidRDefault="00683D48" w:rsidP="00716E76">
            <w:pPr>
              <w:pStyle w:val="SingleTxtG"/>
              <w:keepNext/>
              <w:keepLines/>
              <w:suppressAutoHyphens w:val="0"/>
              <w:spacing w:before="80" w:after="80" w:line="200" w:lineRule="exact"/>
              <w:ind w:left="0" w:right="0"/>
              <w:jc w:val="right"/>
              <w:rPr>
                <w:bCs/>
                <w:i/>
                <w:spacing w:val="4"/>
                <w:w w:val="103"/>
                <w:kern w:val="14"/>
                <w:sz w:val="16"/>
                <w:szCs w:val="18"/>
              </w:rPr>
            </w:pPr>
            <w:r w:rsidRPr="008442C6">
              <w:rPr>
                <w:bCs/>
                <w:i/>
                <w:spacing w:val="4"/>
                <w:w w:val="103"/>
                <w:kern w:val="14"/>
                <w:sz w:val="16"/>
                <w:szCs w:val="18"/>
              </w:rPr>
              <w:t>REF</w:t>
            </w:r>
          </w:p>
        </w:tc>
        <w:tc>
          <w:tcPr>
            <w:tcW w:w="761" w:type="dxa"/>
            <w:tcBorders>
              <w:top w:val="single" w:sz="4" w:space="0" w:color="auto"/>
              <w:left w:val="single" w:sz="24" w:space="0" w:color="FFFFFF" w:themeColor="background1"/>
              <w:bottom w:val="single" w:sz="12" w:space="0" w:color="auto"/>
            </w:tcBorders>
            <w:shd w:val="clear" w:color="auto" w:fill="auto"/>
            <w:tcMar>
              <w:top w:w="0" w:type="dxa"/>
              <w:left w:w="70" w:type="dxa"/>
              <w:bottom w:w="0" w:type="dxa"/>
              <w:right w:w="70" w:type="dxa"/>
            </w:tcMar>
            <w:vAlign w:val="center"/>
            <w:hideMark/>
          </w:tcPr>
          <w:p w:rsidR="00683D48" w:rsidRPr="008442C6" w:rsidRDefault="00683D48" w:rsidP="00716E76">
            <w:pPr>
              <w:pStyle w:val="SingleTxtG"/>
              <w:keepNext/>
              <w:keepLines/>
              <w:suppressAutoHyphens w:val="0"/>
              <w:spacing w:before="80" w:after="80" w:line="200" w:lineRule="exact"/>
              <w:ind w:left="0" w:right="0"/>
              <w:jc w:val="right"/>
              <w:rPr>
                <w:bCs/>
                <w:i/>
                <w:spacing w:val="4"/>
                <w:w w:val="103"/>
                <w:kern w:val="14"/>
                <w:sz w:val="16"/>
                <w:szCs w:val="18"/>
              </w:rPr>
            </w:pPr>
            <w:r w:rsidRPr="008442C6">
              <w:rPr>
                <w:bCs/>
                <w:i/>
                <w:spacing w:val="4"/>
                <w:w w:val="103"/>
                <w:kern w:val="14"/>
                <w:sz w:val="16"/>
                <w:szCs w:val="18"/>
              </w:rPr>
              <w:t>Total</w:t>
            </w:r>
          </w:p>
        </w:tc>
        <w:tc>
          <w:tcPr>
            <w:tcW w:w="780" w:type="dxa"/>
            <w:tcBorders>
              <w:top w:val="single" w:sz="4" w:space="0" w:color="auto"/>
              <w:bottom w:val="single" w:sz="12" w:space="0" w:color="auto"/>
            </w:tcBorders>
            <w:shd w:val="clear" w:color="auto" w:fill="auto"/>
            <w:tcMar>
              <w:top w:w="0" w:type="dxa"/>
              <w:left w:w="70" w:type="dxa"/>
              <w:bottom w:w="0" w:type="dxa"/>
              <w:right w:w="70" w:type="dxa"/>
            </w:tcMar>
            <w:vAlign w:val="bottom"/>
            <w:hideMark/>
          </w:tcPr>
          <w:p w:rsidR="00683D48" w:rsidRPr="008442C6" w:rsidRDefault="00683D48" w:rsidP="00716E76">
            <w:pPr>
              <w:pStyle w:val="SingleTxtG"/>
              <w:keepNext/>
              <w:keepLines/>
              <w:suppressAutoHyphens w:val="0"/>
              <w:spacing w:before="80" w:after="80" w:line="200" w:lineRule="exact"/>
              <w:ind w:left="0" w:right="0"/>
              <w:jc w:val="right"/>
              <w:rPr>
                <w:bCs/>
                <w:i/>
                <w:spacing w:val="4"/>
                <w:w w:val="103"/>
                <w:kern w:val="14"/>
                <w:sz w:val="16"/>
                <w:szCs w:val="18"/>
              </w:rPr>
            </w:pPr>
            <w:r w:rsidRPr="008442C6">
              <w:rPr>
                <w:bCs/>
                <w:i/>
                <w:spacing w:val="4"/>
                <w:w w:val="103"/>
                <w:kern w:val="14"/>
                <w:sz w:val="16"/>
                <w:szCs w:val="18"/>
              </w:rPr>
              <w:t>AR RH</w:t>
            </w:r>
          </w:p>
        </w:tc>
        <w:tc>
          <w:tcPr>
            <w:tcW w:w="653" w:type="dxa"/>
            <w:tcBorders>
              <w:top w:val="single" w:sz="4" w:space="0" w:color="auto"/>
              <w:bottom w:val="single" w:sz="12" w:space="0" w:color="auto"/>
              <w:right w:val="single" w:sz="24" w:space="0" w:color="FFFFFF" w:themeColor="background1"/>
            </w:tcBorders>
            <w:shd w:val="clear" w:color="auto" w:fill="auto"/>
            <w:tcMar>
              <w:top w:w="0" w:type="dxa"/>
              <w:left w:w="70" w:type="dxa"/>
              <w:bottom w:w="0" w:type="dxa"/>
              <w:right w:w="70" w:type="dxa"/>
            </w:tcMar>
            <w:vAlign w:val="bottom"/>
            <w:hideMark/>
          </w:tcPr>
          <w:p w:rsidR="00683D48" w:rsidRPr="008442C6" w:rsidRDefault="00683D48" w:rsidP="00716E76">
            <w:pPr>
              <w:pStyle w:val="SingleTxtG"/>
              <w:keepNext/>
              <w:keepLines/>
              <w:suppressAutoHyphens w:val="0"/>
              <w:spacing w:before="80" w:after="80" w:line="200" w:lineRule="exact"/>
              <w:ind w:left="0" w:right="0"/>
              <w:jc w:val="right"/>
              <w:rPr>
                <w:bCs/>
                <w:i/>
                <w:spacing w:val="4"/>
                <w:w w:val="103"/>
                <w:kern w:val="14"/>
                <w:sz w:val="16"/>
                <w:szCs w:val="18"/>
              </w:rPr>
            </w:pPr>
            <w:r w:rsidRPr="008442C6">
              <w:rPr>
                <w:bCs/>
                <w:i/>
                <w:spacing w:val="4"/>
                <w:w w:val="103"/>
                <w:kern w:val="14"/>
                <w:sz w:val="16"/>
                <w:szCs w:val="18"/>
              </w:rPr>
              <w:t>REF</w:t>
            </w:r>
          </w:p>
        </w:tc>
        <w:tc>
          <w:tcPr>
            <w:tcW w:w="786" w:type="dxa"/>
            <w:tcBorders>
              <w:top w:val="single" w:sz="4" w:space="0" w:color="auto"/>
              <w:left w:val="single" w:sz="24" w:space="0" w:color="FFFFFF" w:themeColor="background1"/>
              <w:bottom w:val="single" w:sz="12" w:space="0" w:color="auto"/>
            </w:tcBorders>
            <w:shd w:val="clear" w:color="auto" w:fill="auto"/>
            <w:tcMar>
              <w:top w:w="0" w:type="dxa"/>
              <w:left w:w="70" w:type="dxa"/>
              <w:bottom w:w="0" w:type="dxa"/>
              <w:right w:w="70" w:type="dxa"/>
            </w:tcMar>
            <w:vAlign w:val="bottom"/>
            <w:hideMark/>
          </w:tcPr>
          <w:p w:rsidR="00683D48" w:rsidRPr="008442C6" w:rsidRDefault="00683D48" w:rsidP="00716E76">
            <w:pPr>
              <w:pStyle w:val="SingleTxtG"/>
              <w:keepNext/>
              <w:keepLines/>
              <w:suppressAutoHyphens w:val="0"/>
              <w:spacing w:before="80" w:after="80" w:line="200" w:lineRule="exact"/>
              <w:ind w:left="0" w:right="0"/>
              <w:jc w:val="right"/>
              <w:rPr>
                <w:bCs/>
                <w:i/>
                <w:spacing w:val="4"/>
                <w:w w:val="103"/>
                <w:kern w:val="14"/>
                <w:sz w:val="16"/>
                <w:szCs w:val="18"/>
              </w:rPr>
            </w:pPr>
            <w:r w:rsidRPr="008442C6">
              <w:rPr>
                <w:bCs/>
                <w:i/>
                <w:spacing w:val="4"/>
                <w:w w:val="103"/>
                <w:kern w:val="14"/>
                <w:sz w:val="16"/>
                <w:szCs w:val="18"/>
              </w:rPr>
              <w:t>Total</w:t>
            </w:r>
          </w:p>
        </w:tc>
        <w:tc>
          <w:tcPr>
            <w:tcW w:w="780" w:type="dxa"/>
            <w:tcBorders>
              <w:top w:val="single" w:sz="4" w:space="0" w:color="auto"/>
              <w:bottom w:val="single" w:sz="12" w:space="0" w:color="auto"/>
            </w:tcBorders>
            <w:shd w:val="clear" w:color="auto" w:fill="auto"/>
            <w:tcMar>
              <w:top w:w="0" w:type="dxa"/>
              <w:left w:w="70" w:type="dxa"/>
              <w:bottom w:w="0" w:type="dxa"/>
              <w:right w:w="70" w:type="dxa"/>
            </w:tcMar>
            <w:vAlign w:val="bottom"/>
            <w:hideMark/>
          </w:tcPr>
          <w:p w:rsidR="00683D48" w:rsidRPr="008442C6" w:rsidRDefault="00683D48" w:rsidP="00716E76">
            <w:pPr>
              <w:pStyle w:val="SingleTxtG"/>
              <w:keepNext/>
              <w:keepLines/>
              <w:suppressAutoHyphens w:val="0"/>
              <w:spacing w:before="80" w:after="80" w:line="200" w:lineRule="exact"/>
              <w:ind w:left="0" w:right="0"/>
              <w:jc w:val="right"/>
              <w:rPr>
                <w:bCs/>
                <w:i/>
                <w:spacing w:val="4"/>
                <w:w w:val="103"/>
                <w:kern w:val="14"/>
                <w:sz w:val="16"/>
                <w:szCs w:val="18"/>
              </w:rPr>
            </w:pPr>
            <w:r w:rsidRPr="008442C6">
              <w:rPr>
                <w:bCs/>
                <w:i/>
                <w:spacing w:val="4"/>
                <w:w w:val="103"/>
                <w:kern w:val="14"/>
                <w:sz w:val="16"/>
                <w:szCs w:val="18"/>
              </w:rPr>
              <w:t>AR RH</w:t>
            </w:r>
          </w:p>
        </w:tc>
        <w:tc>
          <w:tcPr>
            <w:tcW w:w="548" w:type="dxa"/>
            <w:tcBorders>
              <w:top w:val="single" w:sz="4" w:space="0" w:color="auto"/>
              <w:bottom w:val="single" w:sz="12" w:space="0" w:color="auto"/>
            </w:tcBorders>
            <w:shd w:val="clear" w:color="auto" w:fill="auto"/>
            <w:tcMar>
              <w:top w:w="0" w:type="dxa"/>
              <w:left w:w="70" w:type="dxa"/>
              <w:bottom w:w="0" w:type="dxa"/>
              <w:right w:w="70" w:type="dxa"/>
            </w:tcMar>
            <w:vAlign w:val="bottom"/>
            <w:hideMark/>
          </w:tcPr>
          <w:p w:rsidR="00683D48" w:rsidRPr="008442C6" w:rsidRDefault="00683D48" w:rsidP="00716E76">
            <w:pPr>
              <w:pStyle w:val="SingleTxtG"/>
              <w:keepNext/>
              <w:keepLines/>
              <w:suppressAutoHyphens w:val="0"/>
              <w:spacing w:before="80" w:after="80" w:line="200" w:lineRule="exact"/>
              <w:ind w:left="0" w:right="0"/>
              <w:jc w:val="right"/>
              <w:rPr>
                <w:bCs/>
                <w:i/>
                <w:spacing w:val="4"/>
                <w:w w:val="103"/>
                <w:kern w:val="14"/>
                <w:sz w:val="16"/>
                <w:szCs w:val="18"/>
              </w:rPr>
            </w:pPr>
            <w:r w:rsidRPr="008442C6">
              <w:rPr>
                <w:bCs/>
                <w:i/>
                <w:spacing w:val="4"/>
                <w:w w:val="103"/>
                <w:kern w:val="14"/>
                <w:sz w:val="16"/>
                <w:szCs w:val="18"/>
              </w:rPr>
              <w:t>REF</w:t>
            </w:r>
          </w:p>
        </w:tc>
      </w:tr>
      <w:tr w:rsidR="00683D48" w:rsidRPr="008442C6" w:rsidTr="00E47E23">
        <w:trPr>
          <w:jc w:val="center"/>
        </w:trPr>
        <w:tc>
          <w:tcPr>
            <w:tcW w:w="850" w:type="dxa"/>
            <w:tcBorders>
              <w:top w:val="single" w:sz="12" w:space="0" w:color="auto"/>
              <w:bottom w:val="single" w:sz="4" w:space="0" w:color="auto"/>
            </w:tcBorders>
            <w:shd w:val="clear" w:color="auto" w:fill="auto"/>
            <w:tcMar>
              <w:top w:w="0" w:type="dxa"/>
              <w:left w:w="70" w:type="dxa"/>
              <w:bottom w:w="0" w:type="dxa"/>
              <w:right w:w="70" w:type="dxa"/>
            </w:tcMar>
            <w:vAlign w:val="bottom"/>
            <w:hideMark/>
          </w:tcPr>
          <w:p w:rsidR="00683D48" w:rsidRPr="008442C6" w:rsidRDefault="00683D48" w:rsidP="00E47E23">
            <w:pPr>
              <w:pStyle w:val="SingleTxtG"/>
              <w:keepNext/>
              <w:keepLines/>
              <w:suppressAutoHyphens w:val="0"/>
              <w:spacing w:before="80" w:after="80" w:line="220" w:lineRule="exact"/>
              <w:ind w:left="0" w:right="0"/>
              <w:jc w:val="right"/>
              <w:rPr>
                <w:b/>
                <w:bCs/>
                <w:sz w:val="18"/>
                <w:szCs w:val="18"/>
              </w:rPr>
            </w:pPr>
            <w:r w:rsidRPr="008442C6">
              <w:rPr>
                <w:b/>
                <w:bCs/>
                <w:sz w:val="18"/>
                <w:szCs w:val="18"/>
              </w:rPr>
              <w:t>Total</w:t>
            </w:r>
          </w:p>
        </w:tc>
        <w:tc>
          <w:tcPr>
            <w:tcW w:w="708" w:type="dxa"/>
            <w:tcBorders>
              <w:top w:val="single" w:sz="12" w:space="0" w:color="auto"/>
              <w:left w:val="nil"/>
              <w:bottom w:val="single" w:sz="4" w:space="0" w:color="auto"/>
            </w:tcBorders>
            <w:shd w:val="clear" w:color="auto" w:fill="auto"/>
            <w:tcMar>
              <w:top w:w="0" w:type="dxa"/>
              <w:left w:w="70" w:type="dxa"/>
              <w:bottom w:w="0" w:type="dxa"/>
              <w:right w:w="70" w:type="dxa"/>
            </w:tcMar>
            <w:vAlign w:val="bottom"/>
            <w:hideMark/>
          </w:tcPr>
          <w:p w:rsidR="00683D48" w:rsidRPr="008442C6" w:rsidRDefault="00683D48" w:rsidP="00E47E23">
            <w:pPr>
              <w:pStyle w:val="SingleTxtG"/>
              <w:keepNext/>
              <w:keepLines/>
              <w:suppressAutoHyphens w:val="0"/>
              <w:spacing w:before="80" w:after="80" w:line="220" w:lineRule="exact"/>
              <w:ind w:left="0" w:right="0"/>
              <w:jc w:val="right"/>
              <w:rPr>
                <w:b/>
                <w:bCs/>
                <w:sz w:val="18"/>
                <w:szCs w:val="18"/>
              </w:rPr>
            </w:pPr>
            <w:r w:rsidRPr="008442C6">
              <w:rPr>
                <w:b/>
                <w:bCs/>
                <w:sz w:val="18"/>
                <w:szCs w:val="18"/>
              </w:rPr>
              <w:t>501</w:t>
            </w:r>
          </w:p>
        </w:tc>
        <w:tc>
          <w:tcPr>
            <w:tcW w:w="596" w:type="dxa"/>
            <w:tcBorders>
              <w:top w:val="single" w:sz="12" w:space="0" w:color="auto"/>
              <w:left w:val="nil"/>
              <w:bottom w:val="single" w:sz="4" w:space="0" w:color="auto"/>
            </w:tcBorders>
            <w:shd w:val="clear" w:color="auto" w:fill="auto"/>
            <w:tcMar>
              <w:top w:w="0" w:type="dxa"/>
              <w:left w:w="70" w:type="dxa"/>
              <w:bottom w:w="0" w:type="dxa"/>
              <w:right w:w="70" w:type="dxa"/>
            </w:tcMar>
            <w:vAlign w:val="bottom"/>
            <w:hideMark/>
          </w:tcPr>
          <w:p w:rsidR="00683D48" w:rsidRPr="008442C6" w:rsidRDefault="00683D48" w:rsidP="00E47E23">
            <w:pPr>
              <w:pStyle w:val="SingleTxtG"/>
              <w:keepNext/>
              <w:keepLines/>
              <w:suppressAutoHyphens w:val="0"/>
              <w:spacing w:before="80" w:after="80" w:line="220" w:lineRule="exact"/>
              <w:ind w:left="0" w:right="0"/>
              <w:jc w:val="right"/>
              <w:rPr>
                <w:b/>
                <w:bCs/>
                <w:sz w:val="18"/>
                <w:szCs w:val="18"/>
              </w:rPr>
            </w:pPr>
            <w:r w:rsidRPr="008442C6">
              <w:rPr>
                <w:b/>
                <w:bCs/>
                <w:sz w:val="18"/>
                <w:szCs w:val="18"/>
              </w:rPr>
              <w:t>163</w:t>
            </w:r>
          </w:p>
        </w:tc>
        <w:tc>
          <w:tcPr>
            <w:tcW w:w="819" w:type="dxa"/>
            <w:tcBorders>
              <w:top w:val="single" w:sz="12" w:space="0" w:color="auto"/>
              <w:bottom w:val="single" w:sz="4" w:space="0" w:color="auto"/>
            </w:tcBorders>
            <w:shd w:val="clear" w:color="auto" w:fill="auto"/>
            <w:tcMar>
              <w:top w:w="0" w:type="dxa"/>
              <w:left w:w="70" w:type="dxa"/>
              <w:bottom w:w="0" w:type="dxa"/>
              <w:right w:w="70" w:type="dxa"/>
            </w:tcMar>
            <w:vAlign w:val="bottom"/>
            <w:hideMark/>
          </w:tcPr>
          <w:p w:rsidR="00683D48" w:rsidRPr="008442C6" w:rsidRDefault="00683D48" w:rsidP="00E47E23">
            <w:pPr>
              <w:pStyle w:val="SingleTxtG"/>
              <w:keepNext/>
              <w:keepLines/>
              <w:suppressAutoHyphens w:val="0"/>
              <w:spacing w:before="80" w:after="80" w:line="220" w:lineRule="exact"/>
              <w:ind w:left="0" w:right="0"/>
              <w:jc w:val="right"/>
              <w:rPr>
                <w:b/>
                <w:bCs/>
                <w:sz w:val="18"/>
                <w:szCs w:val="18"/>
              </w:rPr>
            </w:pPr>
            <w:r w:rsidRPr="008442C6">
              <w:rPr>
                <w:b/>
                <w:bCs/>
                <w:sz w:val="18"/>
                <w:szCs w:val="18"/>
              </w:rPr>
              <w:t>147</w:t>
            </w:r>
          </w:p>
        </w:tc>
        <w:tc>
          <w:tcPr>
            <w:tcW w:w="526" w:type="dxa"/>
            <w:tcBorders>
              <w:top w:val="single" w:sz="12" w:space="0" w:color="auto"/>
              <w:bottom w:val="single" w:sz="4" w:space="0" w:color="auto"/>
            </w:tcBorders>
            <w:shd w:val="clear" w:color="auto" w:fill="auto"/>
            <w:tcMar>
              <w:top w:w="0" w:type="dxa"/>
              <w:left w:w="70" w:type="dxa"/>
              <w:bottom w:w="0" w:type="dxa"/>
              <w:right w:w="70" w:type="dxa"/>
            </w:tcMar>
            <w:vAlign w:val="bottom"/>
            <w:hideMark/>
          </w:tcPr>
          <w:p w:rsidR="00683D48" w:rsidRPr="008442C6" w:rsidRDefault="00683D48" w:rsidP="00E47E23">
            <w:pPr>
              <w:pStyle w:val="SingleTxtG"/>
              <w:keepNext/>
              <w:keepLines/>
              <w:suppressAutoHyphens w:val="0"/>
              <w:spacing w:before="80" w:after="80" w:line="220" w:lineRule="exact"/>
              <w:ind w:left="0" w:right="0"/>
              <w:jc w:val="right"/>
              <w:rPr>
                <w:b/>
                <w:bCs/>
                <w:sz w:val="18"/>
                <w:szCs w:val="18"/>
              </w:rPr>
            </w:pPr>
            <w:r w:rsidRPr="008442C6">
              <w:rPr>
                <w:b/>
                <w:bCs/>
                <w:sz w:val="18"/>
                <w:szCs w:val="18"/>
              </w:rPr>
              <w:t>16</w:t>
            </w:r>
          </w:p>
        </w:tc>
        <w:tc>
          <w:tcPr>
            <w:tcW w:w="574" w:type="dxa"/>
            <w:tcBorders>
              <w:top w:val="single" w:sz="12" w:space="0" w:color="auto"/>
              <w:left w:val="nil"/>
              <w:bottom w:val="single" w:sz="4" w:space="0" w:color="auto"/>
            </w:tcBorders>
            <w:shd w:val="clear" w:color="auto" w:fill="auto"/>
            <w:tcMar>
              <w:top w:w="0" w:type="dxa"/>
              <w:left w:w="70" w:type="dxa"/>
              <w:bottom w:w="0" w:type="dxa"/>
              <w:right w:w="70" w:type="dxa"/>
            </w:tcMar>
            <w:vAlign w:val="bottom"/>
            <w:hideMark/>
          </w:tcPr>
          <w:p w:rsidR="00683D48" w:rsidRPr="008442C6" w:rsidRDefault="00683D48" w:rsidP="00E47E23">
            <w:pPr>
              <w:pStyle w:val="SingleTxtG"/>
              <w:keepNext/>
              <w:keepLines/>
              <w:suppressAutoHyphens w:val="0"/>
              <w:spacing w:before="80" w:after="80" w:line="220" w:lineRule="exact"/>
              <w:ind w:left="0" w:right="0"/>
              <w:jc w:val="right"/>
              <w:rPr>
                <w:b/>
                <w:bCs/>
                <w:sz w:val="18"/>
                <w:szCs w:val="18"/>
              </w:rPr>
            </w:pPr>
            <w:r w:rsidRPr="008442C6">
              <w:rPr>
                <w:b/>
                <w:bCs/>
                <w:sz w:val="18"/>
                <w:szCs w:val="18"/>
              </w:rPr>
              <w:t>282</w:t>
            </w:r>
          </w:p>
        </w:tc>
        <w:tc>
          <w:tcPr>
            <w:tcW w:w="732" w:type="dxa"/>
            <w:tcBorders>
              <w:top w:val="single" w:sz="12" w:space="0" w:color="auto"/>
              <w:bottom w:val="single" w:sz="4" w:space="0" w:color="auto"/>
            </w:tcBorders>
            <w:shd w:val="clear" w:color="auto" w:fill="auto"/>
            <w:tcMar>
              <w:top w:w="0" w:type="dxa"/>
              <w:left w:w="70" w:type="dxa"/>
              <w:bottom w:w="0" w:type="dxa"/>
              <w:right w:w="70" w:type="dxa"/>
            </w:tcMar>
            <w:vAlign w:val="bottom"/>
            <w:hideMark/>
          </w:tcPr>
          <w:p w:rsidR="00683D48" w:rsidRPr="008442C6" w:rsidRDefault="00683D48" w:rsidP="00E47E23">
            <w:pPr>
              <w:pStyle w:val="SingleTxtG"/>
              <w:keepNext/>
              <w:keepLines/>
              <w:suppressAutoHyphens w:val="0"/>
              <w:spacing w:before="80" w:after="80" w:line="220" w:lineRule="exact"/>
              <w:ind w:left="0" w:right="0"/>
              <w:jc w:val="right"/>
              <w:rPr>
                <w:b/>
                <w:bCs/>
                <w:sz w:val="18"/>
                <w:szCs w:val="18"/>
              </w:rPr>
            </w:pPr>
            <w:r w:rsidRPr="008442C6">
              <w:rPr>
                <w:b/>
                <w:bCs/>
                <w:sz w:val="18"/>
                <w:szCs w:val="18"/>
              </w:rPr>
              <w:t>182</w:t>
            </w:r>
          </w:p>
        </w:tc>
        <w:tc>
          <w:tcPr>
            <w:tcW w:w="526" w:type="dxa"/>
            <w:tcBorders>
              <w:top w:val="single" w:sz="12" w:space="0" w:color="auto"/>
              <w:bottom w:val="single" w:sz="4" w:space="0" w:color="auto"/>
            </w:tcBorders>
            <w:shd w:val="clear" w:color="auto" w:fill="auto"/>
            <w:tcMar>
              <w:top w:w="0" w:type="dxa"/>
              <w:left w:w="70" w:type="dxa"/>
              <w:bottom w:w="0" w:type="dxa"/>
              <w:right w:w="70" w:type="dxa"/>
            </w:tcMar>
            <w:vAlign w:val="bottom"/>
            <w:hideMark/>
          </w:tcPr>
          <w:p w:rsidR="00683D48" w:rsidRPr="008442C6" w:rsidRDefault="00683D48" w:rsidP="00E47E23">
            <w:pPr>
              <w:pStyle w:val="SingleTxtG"/>
              <w:keepNext/>
              <w:keepLines/>
              <w:suppressAutoHyphens w:val="0"/>
              <w:spacing w:before="80" w:after="80" w:line="220" w:lineRule="exact"/>
              <w:ind w:left="0" w:right="0"/>
              <w:jc w:val="right"/>
              <w:rPr>
                <w:b/>
                <w:bCs/>
                <w:sz w:val="18"/>
                <w:szCs w:val="18"/>
              </w:rPr>
            </w:pPr>
            <w:r w:rsidRPr="008442C6">
              <w:rPr>
                <w:b/>
                <w:bCs/>
                <w:sz w:val="18"/>
                <w:szCs w:val="18"/>
              </w:rPr>
              <w:t>100</w:t>
            </w:r>
          </w:p>
        </w:tc>
        <w:tc>
          <w:tcPr>
            <w:tcW w:w="761" w:type="dxa"/>
            <w:tcBorders>
              <w:top w:val="single" w:sz="12" w:space="0" w:color="auto"/>
              <w:left w:val="nil"/>
              <w:bottom w:val="single" w:sz="4" w:space="0" w:color="auto"/>
            </w:tcBorders>
            <w:shd w:val="clear" w:color="auto" w:fill="auto"/>
            <w:tcMar>
              <w:top w:w="0" w:type="dxa"/>
              <w:left w:w="70" w:type="dxa"/>
              <w:bottom w:w="0" w:type="dxa"/>
              <w:right w:w="70" w:type="dxa"/>
            </w:tcMar>
            <w:vAlign w:val="bottom"/>
            <w:hideMark/>
          </w:tcPr>
          <w:p w:rsidR="00683D48" w:rsidRPr="008442C6" w:rsidRDefault="00683D48" w:rsidP="00E47E23">
            <w:pPr>
              <w:pStyle w:val="SingleTxtG"/>
              <w:keepNext/>
              <w:keepLines/>
              <w:suppressAutoHyphens w:val="0"/>
              <w:spacing w:before="80" w:after="80" w:line="220" w:lineRule="exact"/>
              <w:ind w:left="0" w:right="0"/>
              <w:jc w:val="right"/>
              <w:rPr>
                <w:b/>
                <w:bCs/>
                <w:sz w:val="18"/>
                <w:szCs w:val="18"/>
              </w:rPr>
            </w:pPr>
            <w:r w:rsidRPr="008442C6">
              <w:rPr>
                <w:b/>
                <w:bCs/>
                <w:sz w:val="18"/>
                <w:szCs w:val="18"/>
              </w:rPr>
              <w:t>52</w:t>
            </w:r>
          </w:p>
        </w:tc>
        <w:tc>
          <w:tcPr>
            <w:tcW w:w="780" w:type="dxa"/>
            <w:tcBorders>
              <w:top w:val="single" w:sz="12" w:space="0" w:color="auto"/>
              <w:bottom w:val="single" w:sz="4" w:space="0" w:color="auto"/>
            </w:tcBorders>
            <w:shd w:val="clear" w:color="auto" w:fill="auto"/>
            <w:tcMar>
              <w:top w:w="0" w:type="dxa"/>
              <w:left w:w="70" w:type="dxa"/>
              <w:bottom w:w="0" w:type="dxa"/>
              <w:right w:w="70" w:type="dxa"/>
            </w:tcMar>
            <w:vAlign w:val="bottom"/>
            <w:hideMark/>
          </w:tcPr>
          <w:p w:rsidR="00683D48" w:rsidRPr="008442C6" w:rsidRDefault="00683D48" w:rsidP="00E47E23">
            <w:pPr>
              <w:pStyle w:val="SingleTxtG"/>
              <w:keepNext/>
              <w:keepLines/>
              <w:suppressAutoHyphens w:val="0"/>
              <w:spacing w:before="80" w:after="80" w:line="220" w:lineRule="exact"/>
              <w:ind w:left="0" w:right="0"/>
              <w:jc w:val="right"/>
              <w:rPr>
                <w:b/>
                <w:bCs/>
                <w:sz w:val="18"/>
                <w:szCs w:val="18"/>
              </w:rPr>
            </w:pPr>
            <w:r w:rsidRPr="008442C6">
              <w:rPr>
                <w:b/>
                <w:bCs/>
                <w:sz w:val="18"/>
                <w:szCs w:val="18"/>
              </w:rPr>
              <w:t>49</w:t>
            </w:r>
          </w:p>
        </w:tc>
        <w:tc>
          <w:tcPr>
            <w:tcW w:w="653" w:type="dxa"/>
            <w:tcBorders>
              <w:top w:val="single" w:sz="12" w:space="0" w:color="auto"/>
              <w:bottom w:val="single" w:sz="4" w:space="0" w:color="auto"/>
            </w:tcBorders>
            <w:shd w:val="clear" w:color="auto" w:fill="auto"/>
            <w:tcMar>
              <w:top w:w="0" w:type="dxa"/>
              <w:left w:w="70" w:type="dxa"/>
              <w:bottom w:w="0" w:type="dxa"/>
              <w:right w:w="70" w:type="dxa"/>
            </w:tcMar>
            <w:vAlign w:val="bottom"/>
            <w:hideMark/>
          </w:tcPr>
          <w:p w:rsidR="00683D48" w:rsidRPr="008442C6" w:rsidRDefault="00683D48" w:rsidP="00E47E23">
            <w:pPr>
              <w:pStyle w:val="SingleTxtG"/>
              <w:keepNext/>
              <w:keepLines/>
              <w:suppressAutoHyphens w:val="0"/>
              <w:spacing w:before="80" w:after="80" w:line="220" w:lineRule="exact"/>
              <w:ind w:left="0" w:right="0"/>
              <w:jc w:val="right"/>
              <w:rPr>
                <w:b/>
                <w:bCs/>
                <w:sz w:val="18"/>
                <w:szCs w:val="18"/>
              </w:rPr>
            </w:pPr>
            <w:r w:rsidRPr="008442C6">
              <w:rPr>
                <w:b/>
                <w:bCs/>
                <w:sz w:val="18"/>
                <w:szCs w:val="18"/>
              </w:rPr>
              <w:t>3</w:t>
            </w:r>
          </w:p>
        </w:tc>
        <w:tc>
          <w:tcPr>
            <w:tcW w:w="786" w:type="dxa"/>
            <w:tcBorders>
              <w:top w:val="single" w:sz="12" w:space="0" w:color="auto"/>
              <w:left w:val="nil"/>
              <w:bottom w:val="single" w:sz="4" w:space="0" w:color="auto"/>
            </w:tcBorders>
            <w:shd w:val="clear" w:color="auto" w:fill="auto"/>
            <w:tcMar>
              <w:top w:w="0" w:type="dxa"/>
              <w:left w:w="70" w:type="dxa"/>
              <w:bottom w:w="0" w:type="dxa"/>
              <w:right w:w="70" w:type="dxa"/>
            </w:tcMar>
            <w:vAlign w:val="bottom"/>
            <w:hideMark/>
          </w:tcPr>
          <w:p w:rsidR="00683D48" w:rsidRPr="008442C6" w:rsidRDefault="00683D48" w:rsidP="00E47E23">
            <w:pPr>
              <w:pStyle w:val="SingleTxtG"/>
              <w:keepNext/>
              <w:keepLines/>
              <w:suppressAutoHyphens w:val="0"/>
              <w:spacing w:before="80" w:after="80" w:line="220" w:lineRule="exact"/>
              <w:ind w:left="0" w:right="0"/>
              <w:jc w:val="right"/>
              <w:rPr>
                <w:b/>
                <w:bCs/>
                <w:sz w:val="18"/>
                <w:szCs w:val="18"/>
              </w:rPr>
            </w:pPr>
            <w:r w:rsidRPr="008442C6">
              <w:rPr>
                <w:b/>
                <w:bCs/>
                <w:sz w:val="18"/>
                <w:szCs w:val="18"/>
              </w:rPr>
              <w:t>4</w:t>
            </w:r>
          </w:p>
        </w:tc>
        <w:tc>
          <w:tcPr>
            <w:tcW w:w="780" w:type="dxa"/>
            <w:tcBorders>
              <w:top w:val="single" w:sz="12" w:space="0" w:color="auto"/>
              <w:bottom w:val="single" w:sz="4" w:space="0" w:color="auto"/>
            </w:tcBorders>
            <w:shd w:val="clear" w:color="auto" w:fill="auto"/>
            <w:tcMar>
              <w:top w:w="0" w:type="dxa"/>
              <w:left w:w="70" w:type="dxa"/>
              <w:bottom w:w="0" w:type="dxa"/>
              <w:right w:w="70" w:type="dxa"/>
            </w:tcMar>
            <w:vAlign w:val="bottom"/>
            <w:hideMark/>
          </w:tcPr>
          <w:p w:rsidR="00683D48" w:rsidRPr="008442C6" w:rsidRDefault="00683D48" w:rsidP="00E47E23">
            <w:pPr>
              <w:pStyle w:val="SingleTxtG"/>
              <w:keepNext/>
              <w:keepLines/>
              <w:suppressAutoHyphens w:val="0"/>
              <w:spacing w:before="80" w:after="80" w:line="220" w:lineRule="exact"/>
              <w:ind w:left="0" w:right="0"/>
              <w:jc w:val="right"/>
              <w:rPr>
                <w:b/>
                <w:bCs/>
                <w:sz w:val="18"/>
                <w:szCs w:val="18"/>
              </w:rPr>
            </w:pPr>
            <w:r w:rsidRPr="008442C6">
              <w:rPr>
                <w:b/>
                <w:bCs/>
                <w:sz w:val="18"/>
                <w:szCs w:val="18"/>
              </w:rPr>
              <w:t>4</w:t>
            </w:r>
          </w:p>
        </w:tc>
        <w:tc>
          <w:tcPr>
            <w:tcW w:w="548" w:type="dxa"/>
            <w:tcBorders>
              <w:top w:val="single" w:sz="12" w:space="0" w:color="auto"/>
              <w:bottom w:val="single" w:sz="4" w:space="0" w:color="auto"/>
            </w:tcBorders>
            <w:shd w:val="clear" w:color="auto" w:fill="auto"/>
            <w:tcMar>
              <w:top w:w="0" w:type="dxa"/>
              <w:left w:w="70" w:type="dxa"/>
              <w:bottom w:w="0" w:type="dxa"/>
              <w:right w:w="70" w:type="dxa"/>
            </w:tcMar>
            <w:vAlign w:val="bottom"/>
            <w:hideMark/>
          </w:tcPr>
          <w:p w:rsidR="00683D48" w:rsidRPr="008442C6" w:rsidRDefault="00683D48" w:rsidP="00E47E23">
            <w:pPr>
              <w:pStyle w:val="SingleTxtG"/>
              <w:keepNext/>
              <w:keepLines/>
              <w:suppressAutoHyphens w:val="0"/>
              <w:spacing w:before="80" w:after="80" w:line="220" w:lineRule="exact"/>
              <w:ind w:left="0" w:right="0"/>
              <w:jc w:val="right"/>
              <w:rPr>
                <w:b/>
                <w:bCs/>
                <w:sz w:val="18"/>
                <w:szCs w:val="18"/>
              </w:rPr>
            </w:pPr>
            <w:r w:rsidRPr="008442C6">
              <w:rPr>
                <w:b/>
                <w:bCs/>
                <w:sz w:val="18"/>
                <w:szCs w:val="18"/>
              </w:rPr>
              <w:t>0</w:t>
            </w:r>
          </w:p>
        </w:tc>
      </w:tr>
      <w:tr w:rsidR="00683D48" w:rsidRPr="008442C6" w:rsidTr="00E47E23">
        <w:trPr>
          <w:jc w:val="center"/>
        </w:trPr>
        <w:tc>
          <w:tcPr>
            <w:tcW w:w="850" w:type="dxa"/>
            <w:tcBorders>
              <w:top w:val="single" w:sz="4" w:space="0" w:color="auto"/>
            </w:tcBorders>
            <w:shd w:val="clear" w:color="auto" w:fill="auto"/>
            <w:tcMar>
              <w:top w:w="0" w:type="dxa"/>
              <w:left w:w="70" w:type="dxa"/>
              <w:bottom w:w="0" w:type="dxa"/>
              <w:right w:w="70" w:type="dxa"/>
            </w:tcMar>
            <w:hideMark/>
          </w:tcPr>
          <w:p w:rsidR="00683D48" w:rsidRPr="008442C6" w:rsidRDefault="00683D48" w:rsidP="00716E76">
            <w:pPr>
              <w:pStyle w:val="SingleTxtG"/>
              <w:keepNext/>
              <w:keepLines/>
              <w:suppressAutoHyphens w:val="0"/>
              <w:spacing w:before="40" w:after="40" w:line="220" w:lineRule="exact"/>
              <w:ind w:left="0" w:right="0"/>
              <w:rPr>
                <w:bCs/>
                <w:sz w:val="18"/>
              </w:rPr>
            </w:pPr>
            <w:r w:rsidRPr="008442C6">
              <w:rPr>
                <w:bCs/>
                <w:sz w:val="18"/>
              </w:rPr>
              <w:t>Men</w:t>
            </w:r>
          </w:p>
        </w:tc>
        <w:tc>
          <w:tcPr>
            <w:tcW w:w="708" w:type="dxa"/>
            <w:tcBorders>
              <w:top w:val="single" w:sz="4" w:space="0" w:color="auto"/>
              <w:left w:val="nil"/>
            </w:tcBorders>
            <w:shd w:val="clear" w:color="auto" w:fill="auto"/>
            <w:tcMar>
              <w:top w:w="0" w:type="dxa"/>
              <w:left w:w="70" w:type="dxa"/>
              <w:bottom w:w="0" w:type="dxa"/>
              <w:right w:w="70" w:type="dxa"/>
            </w:tcMar>
            <w:vAlign w:val="bottom"/>
            <w:hideMark/>
          </w:tcPr>
          <w:p w:rsidR="00683D48" w:rsidRPr="008442C6" w:rsidRDefault="00683D48" w:rsidP="003B3469">
            <w:pPr>
              <w:pStyle w:val="SingleTxtG"/>
              <w:keepNext/>
              <w:keepLines/>
              <w:suppressAutoHyphens w:val="0"/>
              <w:spacing w:before="40" w:after="40" w:line="220" w:lineRule="exact"/>
              <w:ind w:left="0" w:right="0"/>
              <w:jc w:val="right"/>
              <w:rPr>
                <w:bCs/>
                <w:sz w:val="18"/>
              </w:rPr>
            </w:pPr>
            <w:r w:rsidRPr="008442C6">
              <w:rPr>
                <w:bCs/>
                <w:sz w:val="18"/>
              </w:rPr>
              <w:t>327</w:t>
            </w:r>
          </w:p>
        </w:tc>
        <w:tc>
          <w:tcPr>
            <w:tcW w:w="596" w:type="dxa"/>
            <w:tcBorders>
              <w:top w:val="single" w:sz="4" w:space="0" w:color="auto"/>
              <w:left w:val="nil"/>
            </w:tcBorders>
            <w:shd w:val="clear" w:color="auto" w:fill="auto"/>
            <w:tcMar>
              <w:top w:w="0" w:type="dxa"/>
              <w:left w:w="70" w:type="dxa"/>
              <w:bottom w:w="0" w:type="dxa"/>
              <w:right w:w="70" w:type="dxa"/>
            </w:tcMar>
            <w:vAlign w:val="bottom"/>
            <w:hideMark/>
          </w:tcPr>
          <w:p w:rsidR="00683D48" w:rsidRPr="008442C6" w:rsidRDefault="00683D48" w:rsidP="00716E76">
            <w:pPr>
              <w:pStyle w:val="SingleTxtG"/>
              <w:keepNext/>
              <w:keepLines/>
              <w:suppressAutoHyphens w:val="0"/>
              <w:spacing w:before="40" w:after="40" w:line="220" w:lineRule="exact"/>
              <w:ind w:left="0" w:right="0"/>
              <w:jc w:val="right"/>
              <w:rPr>
                <w:bCs/>
                <w:sz w:val="18"/>
              </w:rPr>
            </w:pPr>
            <w:r w:rsidRPr="008442C6">
              <w:rPr>
                <w:bCs/>
                <w:sz w:val="18"/>
              </w:rPr>
              <w:t>90</w:t>
            </w:r>
          </w:p>
        </w:tc>
        <w:tc>
          <w:tcPr>
            <w:tcW w:w="819" w:type="dxa"/>
            <w:tcBorders>
              <w:top w:val="single" w:sz="4" w:space="0" w:color="auto"/>
            </w:tcBorders>
            <w:shd w:val="clear" w:color="auto" w:fill="auto"/>
            <w:tcMar>
              <w:top w:w="0" w:type="dxa"/>
              <w:left w:w="70" w:type="dxa"/>
              <w:bottom w:w="0" w:type="dxa"/>
              <w:right w:w="70" w:type="dxa"/>
            </w:tcMar>
            <w:vAlign w:val="bottom"/>
            <w:hideMark/>
          </w:tcPr>
          <w:p w:rsidR="00683D48" w:rsidRPr="008442C6" w:rsidRDefault="00683D48" w:rsidP="00716E76">
            <w:pPr>
              <w:pStyle w:val="SingleTxtG"/>
              <w:keepNext/>
              <w:keepLines/>
              <w:suppressAutoHyphens w:val="0"/>
              <w:spacing w:before="40" w:after="40" w:line="220" w:lineRule="exact"/>
              <w:ind w:left="0" w:right="0"/>
              <w:jc w:val="right"/>
              <w:rPr>
                <w:bCs/>
                <w:sz w:val="18"/>
              </w:rPr>
            </w:pPr>
            <w:r w:rsidRPr="008442C6">
              <w:rPr>
                <w:bCs/>
                <w:sz w:val="18"/>
              </w:rPr>
              <w:t>79</w:t>
            </w:r>
          </w:p>
        </w:tc>
        <w:tc>
          <w:tcPr>
            <w:tcW w:w="526" w:type="dxa"/>
            <w:tcBorders>
              <w:top w:val="single" w:sz="4" w:space="0" w:color="auto"/>
            </w:tcBorders>
            <w:shd w:val="clear" w:color="auto" w:fill="auto"/>
            <w:tcMar>
              <w:top w:w="0" w:type="dxa"/>
              <w:left w:w="70" w:type="dxa"/>
              <w:bottom w:w="0" w:type="dxa"/>
              <w:right w:w="70" w:type="dxa"/>
            </w:tcMar>
            <w:vAlign w:val="bottom"/>
            <w:hideMark/>
          </w:tcPr>
          <w:p w:rsidR="00683D48" w:rsidRPr="008442C6" w:rsidRDefault="00683D48" w:rsidP="00716E76">
            <w:pPr>
              <w:pStyle w:val="SingleTxtG"/>
              <w:keepNext/>
              <w:keepLines/>
              <w:suppressAutoHyphens w:val="0"/>
              <w:spacing w:before="40" w:after="40" w:line="220" w:lineRule="exact"/>
              <w:ind w:left="0" w:right="0"/>
              <w:jc w:val="right"/>
              <w:rPr>
                <w:bCs/>
                <w:sz w:val="18"/>
              </w:rPr>
            </w:pPr>
            <w:r w:rsidRPr="008442C6">
              <w:rPr>
                <w:bCs/>
                <w:sz w:val="18"/>
              </w:rPr>
              <w:t>11</w:t>
            </w:r>
          </w:p>
        </w:tc>
        <w:tc>
          <w:tcPr>
            <w:tcW w:w="574" w:type="dxa"/>
            <w:tcBorders>
              <w:top w:val="single" w:sz="4" w:space="0" w:color="auto"/>
              <w:left w:val="nil"/>
            </w:tcBorders>
            <w:shd w:val="clear" w:color="auto" w:fill="auto"/>
            <w:tcMar>
              <w:top w:w="0" w:type="dxa"/>
              <w:left w:w="70" w:type="dxa"/>
              <w:bottom w:w="0" w:type="dxa"/>
              <w:right w:w="70" w:type="dxa"/>
            </w:tcMar>
            <w:vAlign w:val="bottom"/>
            <w:hideMark/>
          </w:tcPr>
          <w:p w:rsidR="00683D48" w:rsidRPr="008442C6" w:rsidRDefault="00683D48" w:rsidP="00716E76">
            <w:pPr>
              <w:pStyle w:val="SingleTxtG"/>
              <w:keepNext/>
              <w:keepLines/>
              <w:suppressAutoHyphens w:val="0"/>
              <w:spacing w:before="40" w:after="40" w:line="220" w:lineRule="exact"/>
              <w:ind w:left="0" w:right="0"/>
              <w:jc w:val="right"/>
              <w:rPr>
                <w:bCs/>
                <w:sz w:val="18"/>
              </w:rPr>
            </w:pPr>
            <w:r w:rsidRPr="008442C6">
              <w:rPr>
                <w:bCs/>
                <w:sz w:val="18"/>
              </w:rPr>
              <w:t>201</w:t>
            </w:r>
          </w:p>
        </w:tc>
        <w:tc>
          <w:tcPr>
            <w:tcW w:w="732" w:type="dxa"/>
            <w:tcBorders>
              <w:top w:val="single" w:sz="4" w:space="0" w:color="auto"/>
            </w:tcBorders>
            <w:shd w:val="clear" w:color="auto" w:fill="auto"/>
            <w:tcMar>
              <w:top w:w="0" w:type="dxa"/>
              <w:left w:w="70" w:type="dxa"/>
              <w:bottom w:w="0" w:type="dxa"/>
              <w:right w:w="70" w:type="dxa"/>
            </w:tcMar>
            <w:vAlign w:val="bottom"/>
            <w:hideMark/>
          </w:tcPr>
          <w:p w:rsidR="00683D48" w:rsidRPr="008442C6" w:rsidRDefault="00683D48" w:rsidP="00716E76">
            <w:pPr>
              <w:pStyle w:val="SingleTxtG"/>
              <w:keepNext/>
              <w:keepLines/>
              <w:suppressAutoHyphens w:val="0"/>
              <w:spacing w:before="40" w:after="40" w:line="220" w:lineRule="exact"/>
              <w:ind w:left="0" w:right="0"/>
              <w:jc w:val="right"/>
              <w:rPr>
                <w:bCs/>
                <w:sz w:val="18"/>
              </w:rPr>
            </w:pPr>
            <w:r w:rsidRPr="008442C6">
              <w:rPr>
                <w:bCs/>
                <w:sz w:val="18"/>
              </w:rPr>
              <w:t>122</w:t>
            </w:r>
          </w:p>
        </w:tc>
        <w:tc>
          <w:tcPr>
            <w:tcW w:w="526" w:type="dxa"/>
            <w:tcBorders>
              <w:top w:val="single" w:sz="4" w:space="0" w:color="auto"/>
            </w:tcBorders>
            <w:shd w:val="clear" w:color="auto" w:fill="auto"/>
            <w:tcMar>
              <w:top w:w="0" w:type="dxa"/>
              <w:left w:w="70" w:type="dxa"/>
              <w:bottom w:w="0" w:type="dxa"/>
              <w:right w:w="70" w:type="dxa"/>
            </w:tcMar>
            <w:vAlign w:val="bottom"/>
            <w:hideMark/>
          </w:tcPr>
          <w:p w:rsidR="00683D48" w:rsidRPr="008442C6" w:rsidRDefault="00683D48" w:rsidP="00716E76">
            <w:pPr>
              <w:pStyle w:val="SingleTxtG"/>
              <w:keepNext/>
              <w:keepLines/>
              <w:suppressAutoHyphens w:val="0"/>
              <w:spacing w:before="40" w:after="40" w:line="220" w:lineRule="exact"/>
              <w:ind w:left="0" w:right="0"/>
              <w:jc w:val="right"/>
              <w:rPr>
                <w:bCs/>
                <w:sz w:val="18"/>
              </w:rPr>
            </w:pPr>
            <w:r w:rsidRPr="008442C6">
              <w:rPr>
                <w:bCs/>
                <w:sz w:val="18"/>
              </w:rPr>
              <w:t>79</w:t>
            </w:r>
          </w:p>
        </w:tc>
        <w:tc>
          <w:tcPr>
            <w:tcW w:w="761" w:type="dxa"/>
            <w:tcBorders>
              <w:top w:val="single" w:sz="4" w:space="0" w:color="auto"/>
              <w:left w:val="nil"/>
            </w:tcBorders>
            <w:shd w:val="clear" w:color="auto" w:fill="auto"/>
            <w:tcMar>
              <w:top w:w="0" w:type="dxa"/>
              <w:left w:w="70" w:type="dxa"/>
              <w:bottom w:w="0" w:type="dxa"/>
              <w:right w:w="70" w:type="dxa"/>
            </w:tcMar>
            <w:vAlign w:val="bottom"/>
            <w:hideMark/>
          </w:tcPr>
          <w:p w:rsidR="00683D48" w:rsidRPr="008442C6" w:rsidRDefault="00683D48" w:rsidP="00716E76">
            <w:pPr>
              <w:pStyle w:val="SingleTxtG"/>
              <w:keepNext/>
              <w:keepLines/>
              <w:suppressAutoHyphens w:val="0"/>
              <w:spacing w:before="40" w:after="40" w:line="220" w:lineRule="exact"/>
              <w:ind w:left="0" w:right="0"/>
              <w:jc w:val="right"/>
              <w:rPr>
                <w:bCs/>
                <w:sz w:val="18"/>
              </w:rPr>
            </w:pPr>
            <w:r w:rsidRPr="008442C6">
              <w:rPr>
                <w:bCs/>
                <w:sz w:val="18"/>
              </w:rPr>
              <w:t>34</w:t>
            </w:r>
          </w:p>
        </w:tc>
        <w:tc>
          <w:tcPr>
            <w:tcW w:w="780" w:type="dxa"/>
            <w:tcBorders>
              <w:top w:val="single" w:sz="4" w:space="0" w:color="auto"/>
            </w:tcBorders>
            <w:shd w:val="clear" w:color="auto" w:fill="auto"/>
            <w:tcMar>
              <w:top w:w="0" w:type="dxa"/>
              <w:left w:w="70" w:type="dxa"/>
              <w:bottom w:w="0" w:type="dxa"/>
              <w:right w:w="70" w:type="dxa"/>
            </w:tcMar>
            <w:vAlign w:val="bottom"/>
            <w:hideMark/>
          </w:tcPr>
          <w:p w:rsidR="00683D48" w:rsidRPr="008442C6" w:rsidRDefault="00683D48" w:rsidP="00716E76">
            <w:pPr>
              <w:pStyle w:val="SingleTxtG"/>
              <w:keepNext/>
              <w:keepLines/>
              <w:suppressAutoHyphens w:val="0"/>
              <w:spacing w:before="40" w:after="40" w:line="220" w:lineRule="exact"/>
              <w:ind w:left="0" w:right="0"/>
              <w:jc w:val="right"/>
              <w:rPr>
                <w:bCs/>
                <w:sz w:val="18"/>
              </w:rPr>
            </w:pPr>
            <w:r w:rsidRPr="008442C6">
              <w:rPr>
                <w:bCs/>
                <w:sz w:val="18"/>
              </w:rPr>
              <w:t>31</w:t>
            </w:r>
          </w:p>
        </w:tc>
        <w:tc>
          <w:tcPr>
            <w:tcW w:w="653" w:type="dxa"/>
            <w:tcBorders>
              <w:top w:val="single" w:sz="4" w:space="0" w:color="auto"/>
            </w:tcBorders>
            <w:shd w:val="clear" w:color="auto" w:fill="auto"/>
            <w:tcMar>
              <w:top w:w="0" w:type="dxa"/>
              <w:left w:w="70" w:type="dxa"/>
              <w:bottom w:w="0" w:type="dxa"/>
              <w:right w:w="70" w:type="dxa"/>
            </w:tcMar>
            <w:vAlign w:val="bottom"/>
            <w:hideMark/>
          </w:tcPr>
          <w:p w:rsidR="00683D48" w:rsidRPr="008442C6" w:rsidRDefault="00683D48" w:rsidP="00716E76">
            <w:pPr>
              <w:pStyle w:val="SingleTxtG"/>
              <w:keepNext/>
              <w:keepLines/>
              <w:suppressAutoHyphens w:val="0"/>
              <w:spacing w:before="40" w:after="40" w:line="220" w:lineRule="exact"/>
              <w:ind w:left="0" w:right="0"/>
              <w:jc w:val="right"/>
              <w:rPr>
                <w:bCs/>
                <w:sz w:val="18"/>
              </w:rPr>
            </w:pPr>
            <w:r w:rsidRPr="008442C6">
              <w:rPr>
                <w:bCs/>
                <w:sz w:val="18"/>
              </w:rPr>
              <w:t>3</w:t>
            </w:r>
          </w:p>
        </w:tc>
        <w:tc>
          <w:tcPr>
            <w:tcW w:w="786" w:type="dxa"/>
            <w:tcBorders>
              <w:top w:val="single" w:sz="4" w:space="0" w:color="auto"/>
              <w:left w:val="nil"/>
            </w:tcBorders>
            <w:shd w:val="clear" w:color="auto" w:fill="auto"/>
            <w:tcMar>
              <w:top w:w="0" w:type="dxa"/>
              <w:left w:w="70" w:type="dxa"/>
              <w:bottom w:w="0" w:type="dxa"/>
              <w:right w:w="70" w:type="dxa"/>
            </w:tcMar>
            <w:vAlign w:val="bottom"/>
            <w:hideMark/>
          </w:tcPr>
          <w:p w:rsidR="00683D48" w:rsidRPr="008442C6" w:rsidRDefault="00683D48" w:rsidP="00716E76">
            <w:pPr>
              <w:pStyle w:val="SingleTxtG"/>
              <w:keepNext/>
              <w:keepLines/>
              <w:suppressAutoHyphens w:val="0"/>
              <w:spacing w:before="40" w:after="40" w:line="220" w:lineRule="exact"/>
              <w:ind w:left="0" w:right="0"/>
              <w:jc w:val="right"/>
              <w:rPr>
                <w:bCs/>
                <w:sz w:val="18"/>
              </w:rPr>
            </w:pPr>
            <w:r w:rsidRPr="008442C6">
              <w:rPr>
                <w:bCs/>
                <w:sz w:val="18"/>
              </w:rPr>
              <w:t>2</w:t>
            </w:r>
          </w:p>
        </w:tc>
        <w:tc>
          <w:tcPr>
            <w:tcW w:w="780" w:type="dxa"/>
            <w:tcBorders>
              <w:top w:val="single" w:sz="4" w:space="0" w:color="auto"/>
            </w:tcBorders>
            <w:shd w:val="clear" w:color="auto" w:fill="auto"/>
            <w:tcMar>
              <w:top w:w="0" w:type="dxa"/>
              <w:left w:w="70" w:type="dxa"/>
              <w:bottom w:w="0" w:type="dxa"/>
              <w:right w:w="70" w:type="dxa"/>
            </w:tcMar>
            <w:vAlign w:val="bottom"/>
            <w:hideMark/>
          </w:tcPr>
          <w:p w:rsidR="00683D48" w:rsidRPr="008442C6" w:rsidRDefault="00683D48" w:rsidP="00716E76">
            <w:pPr>
              <w:pStyle w:val="SingleTxtG"/>
              <w:keepNext/>
              <w:keepLines/>
              <w:suppressAutoHyphens w:val="0"/>
              <w:spacing w:before="40" w:after="40" w:line="220" w:lineRule="exact"/>
              <w:ind w:left="0" w:right="0"/>
              <w:jc w:val="right"/>
              <w:rPr>
                <w:bCs/>
                <w:sz w:val="18"/>
              </w:rPr>
            </w:pPr>
            <w:r w:rsidRPr="008442C6">
              <w:rPr>
                <w:bCs/>
                <w:sz w:val="18"/>
              </w:rPr>
              <w:t>2</w:t>
            </w:r>
          </w:p>
        </w:tc>
        <w:tc>
          <w:tcPr>
            <w:tcW w:w="548" w:type="dxa"/>
            <w:tcBorders>
              <w:top w:val="single" w:sz="4" w:space="0" w:color="auto"/>
            </w:tcBorders>
            <w:shd w:val="clear" w:color="auto" w:fill="auto"/>
            <w:tcMar>
              <w:top w:w="0" w:type="dxa"/>
              <w:left w:w="70" w:type="dxa"/>
              <w:bottom w:w="0" w:type="dxa"/>
              <w:right w:w="70" w:type="dxa"/>
            </w:tcMar>
            <w:vAlign w:val="bottom"/>
            <w:hideMark/>
          </w:tcPr>
          <w:p w:rsidR="00683D48" w:rsidRPr="008442C6" w:rsidRDefault="00683D48" w:rsidP="00716E76">
            <w:pPr>
              <w:pStyle w:val="SingleTxtG"/>
              <w:keepNext/>
              <w:keepLines/>
              <w:suppressAutoHyphens w:val="0"/>
              <w:spacing w:before="40" w:after="40" w:line="220" w:lineRule="exact"/>
              <w:ind w:left="0" w:right="0"/>
              <w:jc w:val="right"/>
              <w:rPr>
                <w:bCs/>
                <w:sz w:val="18"/>
              </w:rPr>
            </w:pPr>
            <w:r w:rsidRPr="008442C6">
              <w:rPr>
                <w:bCs/>
                <w:sz w:val="18"/>
              </w:rPr>
              <w:t>0</w:t>
            </w:r>
          </w:p>
        </w:tc>
      </w:tr>
      <w:tr w:rsidR="00683D48" w:rsidRPr="008442C6" w:rsidTr="00683D48">
        <w:trPr>
          <w:jc w:val="center"/>
        </w:trPr>
        <w:tc>
          <w:tcPr>
            <w:tcW w:w="850" w:type="dxa"/>
            <w:tcBorders>
              <w:bottom w:val="single" w:sz="12" w:space="0" w:color="auto"/>
            </w:tcBorders>
            <w:shd w:val="clear" w:color="auto" w:fill="auto"/>
            <w:tcMar>
              <w:top w:w="0" w:type="dxa"/>
              <w:left w:w="70" w:type="dxa"/>
              <w:bottom w:w="0" w:type="dxa"/>
              <w:right w:w="70" w:type="dxa"/>
            </w:tcMar>
            <w:hideMark/>
          </w:tcPr>
          <w:p w:rsidR="00683D48" w:rsidRPr="008442C6" w:rsidRDefault="00683D48" w:rsidP="00716E76">
            <w:pPr>
              <w:pStyle w:val="SingleTxtG"/>
              <w:keepNext/>
              <w:keepLines/>
              <w:suppressAutoHyphens w:val="0"/>
              <w:spacing w:before="40" w:after="40" w:line="220" w:lineRule="exact"/>
              <w:ind w:left="0" w:right="0"/>
              <w:rPr>
                <w:bCs/>
                <w:sz w:val="18"/>
              </w:rPr>
            </w:pPr>
            <w:r w:rsidRPr="008442C6">
              <w:rPr>
                <w:bCs/>
                <w:sz w:val="18"/>
              </w:rPr>
              <w:t>Women</w:t>
            </w:r>
          </w:p>
        </w:tc>
        <w:tc>
          <w:tcPr>
            <w:tcW w:w="708" w:type="dxa"/>
            <w:tcBorders>
              <w:left w:val="nil"/>
              <w:bottom w:val="single" w:sz="12" w:space="0" w:color="auto"/>
            </w:tcBorders>
            <w:shd w:val="clear" w:color="auto" w:fill="auto"/>
            <w:tcMar>
              <w:top w:w="0" w:type="dxa"/>
              <w:left w:w="70" w:type="dxa"/>
              <w:bottom w:w="0" w:type="dxa"/>
              <w:right w:w="70" w:type="dxa"/>
            </w:tcMar>
            <w:vAlign w:val="bottom"/>
            <w:hideMark/>
          </w:tcPr>
          <w:p w:rsidR="00683D48" w:rsidRPr="008442C6" w:rsidRDefault="00683D48" w:rsidP="003B3469">
            <w:pPr>
              <w:pStyle w:val="SingleTxtG"/>
              <w:keepNext/>
              <w:keepLines/>
              <w:suppressAutoHyphens w:val="0"/>
              <w:spacing w:before="40" w:after="40" w:line="220" w:lineRule="exact"/>
              <w:ind w:left="0" w:right="0"/>
              <w:jc w:val="right"/>
              <w:rPr>
                <w:bCs/>
                <w:sz w:val="18"/>
              </w:rPr>
            </w:pPr>
            <w:r w:rsidRPr="008442C6">
              <w:rPr>
                <w:bCs/>
                <w:sz w:val="18"/>
              </w:rPr>
              <w:t>174</w:t>
            </w:r>
          </w:p>
        </w:tc>
        <w:tc>
          <w:tcPr>
            <w:tcW w:w="596" w:type="dxa"/>
            <w:tcBorders>
              <w:left w:val="nil"/>
              <w:bottom w:val="single" w:sz="12" w:space="0" w:color="auto"/>
            </w:tcBorders>
            <w:shd w:val="clear" w:color="auto" w:fill="auto"/>
            <w:tcMar>
              <w:top w:w="0" w:type="dxa"/>
              <w:left w:w="70" w:type="dxa"/>
              <w:bottom w:w="0" w:type="dxa"/>
              <w:right w:w="70" w:type="dxa"/>
            </w:tcMar>
            <w:vAlign w:val="bottom"/>
            <w:hideMark/>
          </w:tcPr>
          <w:p w:rsidR="00683D48" w:rsidRPr="008442C6" w:rsidRDefault="00683D48" w:rsidP="00716E76">
            <w:pPr>
              <w:pStyle w:val="SingleTxtG"/>
              <w:keepNext/>
              <w:keepLines/>
              <w:suppressAutoHyphens w:val="0"/>
              <w:spacing w:before="40" w:after="40" w:line="220" w:lineRule="exact"/>
              <w:ind w:left="0" w:right="0"/>
              <w:jc w:val="right"/>
              <w:rPr>
                <w:bCs/>
                <w:sz w:val="18"/>
              </w:rPr>
            </w:pPr>
            <w:r w:rsidRPr="008442C6">
              <w:rPr>
                <w:bCs/>
                <w:sz w:val="18"/>
              </w:rPr>
              <w:t>73</w:t>
            </w:r>
          </w:p>
        </w:tc>
        <w:tc>
          <w:tcPr>
            <w:tcW w:w="819" w:type="dxa"/>
            <w:tcBorders>
              <w:bottom w:val="single" w:sz="12" w:space="0" w:color="auto"/>
            </w:tcBorders>
            <w:shd w:val="clear" w:color="auto" w:fill="auto"/>
            <w:tcMar>
              <w:top w:w="0" w:type="dxa"/>
              <w:left w:w="70" w:type="dxa"/>
              <w:bottom w:w="0" w:type="dxa"/>
              <w:right w:w="70" w:type="dxa"/>
            </w:tcMar>
            <w:vAlign w:val="bottom"/>
            <w:hideMark/>
          </w:tcPr>
          <w:p w:rsidR="00683D48" w:rsidRPr="008442C6" w:rsidRDefault="00683D48" w:rsidP="00716E76">
            <w:pPr>
              <w:pStyle w:val="SingleTxtG"/>
              <w:keepNext/>
              <w:keepLines/>
              <w:suppressAutoHyphens w:val="0"/>
              <w:spacing w:before="40" w:after="40" w:line="220" w:lineRule="exact"/>
              <w:ind w:left="0" w:right="0"/>
              <w:jc w:val="right"/>
              <w:rPr>
                <w:bCs/>
                <w:sz w:val="18"/>
              </w:rPr>
            </w:pPr>
            <w:r w:rsidRPr="008442C6">
              <w:rPr>
                <w:bCs/>
                <w:sz w:val="18"/>
              </w:rPr>
              <w:t>68</w:t>
            </w:r>
          </w:p>
        </w:tc>
        <w:tc>
          <w:tcPr>
            <w:tcW w:w="526" w:type="dxa"/>
            <w:tcBorders>
              <w:bottom w:val="single" w:sz="12" w:space="0" w:color="auto"/>
            </w:tcBorders>
            <w:shd w:val="clear" w:color="auto" w:fill="auto"/>
            <w:tcMar>
              <w:top w:w="0" w:type="dxa"/>
              <w:left w:w="70" w:type="dxa"/>
              <w:bottom w:w="0" w:type="dxa"/>
              <w:right w:w="70" w:type="dxa"/>
            </w:tcMar>
            <w:vAlign w:val="bottom"/>
            <w:hideMark/>
          </w:tcPr>
          <w:p w:rsidR="00683D48" w:rsidRPr="008442C6" w:rsidRDefault="00683D48" w:rsidP="00716E76">
            <w:pPr>
              <w:pStyle w:val="SingleTxtG"/>
              <w:keepNext/>
              <w:keepLines/>
              <w:suppressAutoHyphens w:val="0"/>
              <w:spacing w:before="40" w:after="40" w:line="220" w:lineRule="exact"/>
              <w:ind w:left="0" w:right="0"/>
              <w:jc w:val="right"/>
              <w:rPr>
                <w:bCs/>
                <w:sz w:val="18"/>
              </w:rPr>
            </w:pPr>
            <w:r w:rsidRPr="008442C6">
              <w:rPr>
                <w:bCs/>
                <w:sz w:val="18"/>
              </w:rPr>
              <w:t>5</w:t>
            </w:r>
          </w:p>
        </w:tc>
        <w:tc>
          <w:tcPr>
            <w:tcW w:w="574" w:type="dxa"/>
            <w:tcBorders>
              <w:left w:val="nil"/>
              <w:bottom w:val="single" w:sz="12" w:space="0" w:color="auto"/>
            </w:tcBorders>
            <w:shd w:val="clear" w:color="auto" w:fill="auto"/>
            <w:tcMar>
              <w:top w:w="0" w:type="dxa"/>
              <w:left w:w="70" w:type="dxa"/>
              <w:bottom w:w="0" w:type="dxa"/>
              <w:right w:w="70" w:type="dxa"/>
            </w:tcMar>
            <w:vAlign w:val="bottom"/>
            <w:hideMark/>
          </w:tcPr>
          <w:p w:rsidR="00683D48" w:rsidRPr="008442C6" w:rsidRDefault="00683D48" w:rsidP="00716E76">
            <w:pPr>
              <w:pStyle w:val="SingleTxtG"/>
              <w:keepNext/>
              <w:keepLines/>
              <w:suppressAutoHyphens w:val="0"/>
              <w:spacing w:before="40" w:after="40" w:line="220" w:lineRule="exact"/>
              <w:ind w:left="0" w:right="0"/>
              <w:jc w:val="right"/>
              <w:rPr>
                <w:bCs/>
                <w:sz w:val="18"/>
              </w:rPr>
            </w:pPr>
            <w:r w:rsidRPr="008442C6">
              <w:rPr>
                <w:bCs/>
                <w:sz w:val="18"/>
              </w:rPr>
              <w:t>81</w:t>
            </w:r>
          </w:p>
        </w:tc>
        <w:tc>
          <w:tcPr>
            <w:tcW w:w="732" w:type="dxa"/>
            <w:tcBorders>
              <w:bottom w:val="single" w:sz="12" w:space="0" w:color="auto"/>
            </w:tcBorders>
            <w:shd w:val="clear" w:color="auto" w:fill="auto"/>
            <w:tcMar>
              <w:top w:w="0" w:type="dxa"/>
              <w:left w:w="70" w:type="dxa"/>
              <w:bottom w:w="0" w:type="dxa"/>
              <w:right w:w="70" w:type="dxa"/>
            </w:tcMar>
            <w:vAlign w:val="bottom"/>
            <w:hideMark/>
          </w:tcPr>
          <w:p w:rsidR="00683D48" w:rsidRPr="008442C6" w:rsidRDefault="00683D48" w:rsidP="00716E76">
            <w:pPr>
              <w:pStyle w:val="SingleTxtG"/>
              <w:keepNext/>
              <w:keepLines/>
              <w:suppressAutoHyphens w:val="0"/>
              <w:spacing w:before="40" w:after="40" w:line="220" w:lineRule="exact"/>
              <w:ind w:left="0" w:right="0"/>
              <w:jc w:val="right"/>
              <w:rPr>
                <w:bCs/>
                <w:sz w:val="18"/>
              </w:rPr>
            </w:pPr>
            <w:r w:rsidRPr="008442C6">
              <w:rPr>
                <w:bCs/>
                <w:sz w:val="18"/>
              </w:rPr>
              <w:t>60</w:t>
            </w:r>
          </w:p>
        </w:tc>
        <w:tc>
          <w:tcPr>
            <w:tcW w:w="526" w:type="dxa"/>
            <w:tcBorders>
              <w:bottom w:val="single" w:sz="12" w:space="0" w:color="auto"/>
            </w:tcBorders>
            <w:shd w:val="clear" w:color="auto" w:fill="auto"/>
            <w:tcMar>
              <w:top w:w="0" w:type="dxa"/>
              <w:left w:w="70" w:type="dxa"/>
              <w:bottom w:w="0" w:type="dxa"/>
              <w:right w:w="70" w:type="dxa"/>
            </w:tcMar>
            <w:vAlign w:val="bottom"/>
            <w:hideMark/>
          </w:tcPr>
          <w:p w:rsidR="00683D48" w:rsidRPr="008442C6" w:rsidRDefault="00683D48" w:rsidP="00716E76">
            <w:pPr>
              <w:pStyle w:val="SingleTxtG"/>
              <w:keepNext/>
              <w:keepLines/>
              <w:suppressAutoHyphens w:val="0"/>
              <w:spacing w:before="40" w:after="40" w:line="220" w:lineRule="exact"/>
              <w:ind w:left="0" w:right="0"/>
              <w:jc w:val="right"/>
              <w:rPr>
                <w:bCs/>
                <w:sz w:val="18"/>
              </w:rPr>
            </w:pPr>
            <w:r w:rsidRPr="008442C6">
              <w:rPr>
                <w:bCs/>
                <w:sz w:val="18"/>
              </w:rPr>
              <w:t>21</w:t>
            </w:r>
          </w:p>
        </w:tc>
        <w:tc>
          <w:tcPr>
            <w:tcW w:w="761" w:type="dxa"/>
            <w:tcBorders>
              <w:left w:val="nil"/>
              <w:bottom w:val="single" w:sz="12" w:space="0" w:color="auto"/>
            </w:tcBorders>
            <w:shd w:val="clear" w:color="auto" w:fill="auto"/>
            <w:tcMar>
              <w:top w:w="0" w:type="dxa"/>
              <w:left w:w="70" w:type="dxa"/>
              <w:bottom w:w="0" w:type="dxa"/>
              <w:right w:w="70" w:type="dxa"/>
            </w:tcMar>
            <w:vAlign w:val="bottom"/>
            <w:hideMark/>
          </w:tcPr>
          <w:p w:rsidR="00683D48" w:rsidRPr="008442C6" w:rsidRDefault="00683D48" w:rsidP="00716E76">
            <w:pPr>
              <w:pStyle w:val="SingleTxtG"/>
              <w:keepNext/>
              <w:keepLines/>
              <w:suppressAutoHyphens w:val="0"/>
              <w:spacing w:before="40" w:after="40" w:line="220" w:lineRule="exact"/>
              <w:ind w:left="0" w:right="0"/>
              <w:jc w:val="right"/>
              <w:rPr>
                <w:bCs/>
                <w:sz w:val="18"/>
              </w:rPr>
            </w:pPr>
            <w:r w:rsidRPr="008442C6">
              <w:rPr>
                <w:bCs/>
                <w:sz w:val="18"/>
              </w:rPr>
              <w:t>18</w:t>
            </w:r>
          </w:p>
        </w:tc>
        <w:tc>
          <w:tcPr>
            <w:tcW w:w="780" w:type="dxa"/>
            <w:tcBorders>
              <w:bottom w:val="single" w:sz="12" w:space="0" w:color="auto"/>
            </w:tcBorders>
            <w:shd w:val="clear" w:color="auto" w:fill="auto"/>
            <w:tcMar>
              <w:top w:w="0" w:type="dxa"/>
              <w:left w:w="70" w:type="dxa"/>
              <w:bottom w:w="0" w:type="dxa"/>
              <w:right w:w="70" w:type="dxa"/>
            </w:tcMar>
            <w:vAlign w:val="bottom"/>
            <w:hideMark/>
          </w:tcPr>
          <w:p w:rsidR="00683D48" w:rsidRPr="008442C6" w:rsidRDefault="00683D48" w:rsidP="00716E76">
            <w:pPr>
              <w:pStyle w:val="SingleTxtG"/>
              <w:keepNext/>
              <w:keepLines/>
              <w:suppressAutoHyphens w:val="0"/>
              <w:spacing w:before="40" w:after="40" w:line="220" w:lineRule="exact"/>
              <w:ind w:left="0" w:right="0"/>
              <w:jc w:val="right"/>
              <w:rPr>
                <w:bCs/>
                <w:sz w:val="18"/>
              </w:rPr>
            </w:pPr>
            <w:r w:rsidRPr="008442C6">
              <w:rPr>
                <w:bCs/>
                <w:sz w:val="18"/>
              </w:rPr>
              <w:t>18</w:t>
            </w:r>
          </w:p>
        </w:tc>
        <w:tc>
          <w:tcPr>
            <w:tcW w:w="653" w:type="dxa"/>
            <w:tcBorders>
              <w:bottom w:val="single" w:sz="12" w:space="0" w:color="auto"/>
            </w:tcBorders>
            <w:shd w:val="clear" w:color="auto" w:fill="auto"/>
            <w:tcMar>
              <w:top w:w="0" w:type="dxa"/>
              <w:left w:w="70" w:type="dxa"/>
              <w:bottom w:w="0" w:type="dxa"/>
              <w:right w:w="70" w:type="dxa"/>
            </w:tcMar>
            <w:vAlign w:val="bottom"/>
            <w:hideMark/>
          </w:tcPr>
          <w:p w:rsidR="00683D48" w:rsidRPr="008442C6" w:rsidRDefault="00683D48" w:rsidP="00716E76">
            <w:pPr>
              <w:pStyle w:val="SingleTxtG"/>
              <w:keepNext/>
              <w:keepLines/>
              <w:suppressAutoHyphens w:val="0"/>
              <w:spacing w:before="40" w:after="40" w:line="220" w:lineRule="exact"/>
              <w:ind w:left="0" w:right="0"/>
              <w:jc w:val="right"/>
              <w:rPr>
                <w:bCs/>
                <w:sz w:val="18"/>
              </w:rPr>
            </w:pPr>
            <w:r w:rsidRPr="008442C6">
              <w:rPr>
                <w:bCs/>
                <w:sz w:val="18"/>
              </w:rPr>
              <w:t>0</w:t>
            </w:r>
          </w:p>
        </w:tc>
        <w:tc>
          <w:tcPr>
            <w:tcW w:w="786" w:type="dxa"/>
            <w:tcBorders>
              <w:left w:val="nil"/>
              <w:bottom w:val="single" w:sz="12" w:space="0" w:color="auto"/>
            </w:tcBorders>
            <w:shd w:val="clear" w:color="auto" w:fill="auto"/>
            <w:tcMar>
              <w:top w:w="0" w:type="dxa"/>
              <w:left w:w="70" w:type="dxa"/>
              <w:bottom w:w="0" w:type="dxa"/>
              <w:right w:w="70" w:type="dxa"/>
            </w:tcMar>
            <w:vAlign w:val="bottom"/>
            <w:hideMark/>
          </w:tcPr>
          <w:p w:rsidR="00683D48" w:rsidRPr="008442C6" w:rsidRDefault="00683D48" w:rsidP="00716E76">
            <w:pPr>
              <w:pStyle w:val="SingleTxtG"/>
              <w:keepNext/>
              <w:keepLines/>
              <w:suppressAutoHyphens w:val="0"/>
              <w:spacing w:before="40" w:after="40" w:line="220" w:lineRule="exact"/>
              <w:ind w:left="0" w:right="0"/>
              <w:jc w:val="right"/>
              <w:rPr>
                <w:bCs/>
                <w:sz w:val="18"/>
              </w:rPr>
            </w:pPr>
            <w:r w:rsidRPr="008442C6">
              <w:rPr>
                <w:bCs/>
                <w:sz w:val="18"/>
              </w:rPr>
              <w:t>2</w:t>
            </w:r>
          </w:p>
        </w:tc>
        <w:tc>
          <w:tcPr>
            <w:tcW w:w="780" w:type="dxa"/>
            <w:tcBorders>
              <w:bottom w:val="single" w:sz="12" w:space="0" w:color="auto"/>
            </w:tcBorders>
            <w:shd w:val="clear" w:color="auto" w:fill="auto"/>
            <w:tcMar>
              <w:top w:w="0" w:type="dxa"/>
              <w:left w:w="70" w:type="dxa"/>
              <w:bottom w:w="0" w:type="dxa"/>
              <w:right w:w="70" w:type="dxa"/>
            </w:tcMar>
            <w:vAlign w:val="bottom"/>
            <w:hideMark/>
          </w:tcPr>
          <w:p w:rsidR="00683D48" w:rsidRPr="008442C6" w:rsidRDefault="00683D48" w:rsidP="00716E76">
            <w:pPr>
              <w:pStyle w:val="SingleTxtG"/>
              <w:keepNext/>
              <w:keepLines/>
              <w:suppressAutoHyphens w:val="0"/>
              <w:spacing w:before="40" w:after="40" w:line="220" w:lineRule="exact"/>
              <w:ind w:left="0" w:right="0"/>
              <w:jc w:val="right"/>
              <w:rPr>
                <w:bCs/>
                <w:sz w:val="18"/>
              </w:rPr>
            </w:pPr>
            <w:r w:rsidRPr="008442C6">
              <w:rPr>
                <w:bCs/>
                <w:sz w:val="18"/>
              </w:rPr>
              <w:t>2</w:t>
            </w:r>
          </w:p>
        </w:tc>
        <w:tc>
          <w:tcPr>
            <w:tcW w:w="548" w:type="dxa"/>
            <w:tcBorders>
              <w:bottom w:val="single" w:sz="12" w:space="0" w:color="auto"/>
            </w:tcBorders>
            <w:shd w:val="clear" w:color="auto" w:fill="auto"/>
            <w:tcMar>
              <w:top w:w="0" w:type="dxa"/>
              <w:left w:w="70" w:type="dxa"/>
              <w:bottom w:w="0" w:type="dxa"/>
              <w:right w:w="70" w:type="dxa"/>
            </w:tcMar>
            <w:vAlign w:val="bottom"/>
            <w:hideMark/>
          </w:tcPr>
          <w:p w:rsidR="00683D48" w:rsidRPr="008442C6" w:rsidRDefault="00683D48" w:rsidP="00716E76">
            <w:pPr>
              <w:pStyle w:val="SingleTxtG"/>
              <w:keepNext/>
              <w:keepLines/>
              <w:suppressAutoHyphens w:val="0"/>
              <w:spacing w:before="40" w:after="40" w:line="220" w:lineRule="exact"/>
              <w:ind w:left="0" w:right="0"/>
              <w:jc w:val="right"/>
              <w:rPr>
                <w:bCs/>
                <w:sz w:val="18"/>
              </w:rPr>
            </w:pPr>
            <w:r w:rsidRPr="008442C6">
              <w:rPr>
                <w:bCs/>
                <w:sz w:val="18"/>
              </w:rPr>
              <w:t>0</w:t>
            </w:r>
          </w:p>
        </w:tc>
      </w:tr>
    </w:tbl>
    <w:p w:rsidR="00BD77CC" w:rsidRPr="008442C6" w:rsidRDefault="00BD77CC" w:rsidP="006F42F7">
      <w:pPr>
        <w:spacing w:before="120"/>
        <w:ind w:left="113" w:right="1134" w:firstLine="170"/>
        <w:rPr>
          <w:sz w:val="18"/>
          <w:szCs w:val="18"/>
        </w:rPr>
      </w:pPr>
      <w:r w:rsidRPr="008442C6">
        <w:rPr>
          <w:i/>
          <w:iCs/>
          <w:sz w:val="18"/>
          <w:szCs w:val="18"/>
        </w:rPr>
        <w:t>Source</w:t>
      </w:r>
      <w:r w:rsidRPr="008442C6">
        <w:rPr>
          <w:sz w:val="18"/>
          <w:szCs w:val="18"/>
        </w:rPr>
        <w:t>: Foreigners and Borders Office</w:t>
      </w:r>
      <w:r w:rsidR="006F42F7" w:rsidRPr="008442C6">
        <w:rPr>
          <w:sz w:val="18"/>
          <w:szCs w:val="18"/>
        </w:rPr>
        <w:t>.</w:t>
      </w:r>
    </w:p>
    <w:p w:rsidR="00BD77CC" w:rsidRPr="008442C6" w:rsidRDefault="00BD77CC" w:rsidP="00804846">
      <w:pPr>
        <w:spacing w:after="240"/>
        <w:ind w:left="113" w:right="1134" w:firstLine="170"/>
        <w:rPr>
          <w:sz w:val="18"/>
          <w:szCs w:val="18"/>
        </w:rPr>
      </w:pPr>
      <w:r w:rsidRPr="008442C6">
        <w:rPr>
          <w:i/>
          <w:iCs/>
          <w:sz w:val="18"/>
          <w:szCs w:val="18"/>
        </w:rPr>
        <w:t>Note</w:t>
      </w:r>
      <w:r w:rsidRPr="008442C6">
        <w:rPr>
          <w:sz w:val="18"/>
          <w:szCs w:val="18"/>
        </w:rPr>
        <w:t xml:space="preserve">: AR RH </w:t>
      </w:r>
      <w:r w:rsidR="006F42F7" w:rsidRPr="008442C6">
        <w:rPr>
          <w:sz w:val="18"/>
          <w:szCs w:val="18"/>
        </w:rPr>
        <w:t>–</w:t>
      </w:r>
      <w:r w:rsidRPr="008442C6">
        <w:rPr>
          <w:sz w:val="18"/>
          <w:szCs w:val="18"/>
        </w:rPr>
        <w:t xml:space="preserve"> Residence permits for humanitarian reasons; REF </w:t>
      </w:r>
      <w:r w:rsidR="00804846">
        <w:rPr>
          <w:sz w:val="18"/>
          <w:szCs w:val="18"/>
        </w:rPr>
        <w:t>–</w:t>
      </w:r>
      <w:r w:rsidRPr="008442C6">
        <w:rPr>
          <w:sz w:val="18"/>
          <w:szCs w:val="18"/>
        </w:rPr>
        <w:t xml:space="preserve"> Recognized refugee status</w:t>
      </w:r>
      <w:r w:rsidR="006F42F7" w:rsidRPr="008442C6">
        <w:rPr>
          <w:sz w:val="18"/>
          <w:szCs w:val="18"/>
        </w:rPr>
        <w:t>.</w:t>
      </w:r>
    </w:p>
    <w:tbl>
      <w:tblPr>
        <w:tblW w:w="9639" w:type="dxa"/>
        <w:jc w:val="center"/>
        <w:tblLayout w:type="fixed"/>
        <w:tblCellMar>
          <w:left w:w="0" w:type="dxa"/>
          <w:right w:w="0" w:type="dxa"/>
        </w:tblCellMar>
        <w:tblLook w:val="04A0" w:firstRow="1" w:lastRow="0" w:firstColumn="1" w:lastColumn="0" w:noHBand="0" w:noVBand="1"/>
      </w:tblPr>
      <w:tblGrid>
        <w:gridCol w:w="850"/>
        <w:gridCol w:w="708"/>
        <w:gridCol w:w="596"/>
        <w:gridCol w:w="819"/>
        <w:gridCol w:w="526"/>
        <w:gridCol w:w="574"/>
        <w:gridCol w:w="732"/>
        <w:gridCol w:w="526"/>
        <w:gridCol w:w="761"/>
        <w:gridCol w:w="780"/>
        <w:gridCol w:w="653"/>
        <w:gridCol w:w="786"/>
        <w:gridCol w:w="780"/>
        <w:gridCol w:w="548"/>
      </w:tblGrid>
      <w:tr w:rsidR="00810305" w:rsidRPr="008442C6" w:rsidTr="009F130B">
        <w:trPr>
          <w:tblHeader/>
          <w:jc w:val="center"/>
        </w:trPr>
        <w:tc>
          <w:tcPr>
            <w:tcW w:w="850" w:type="dxa"/>
            <w:vMerge w:val="restart"/>
            <w:tcBorders>
              <w:top w:val="single" w:sz="4" w:space="0" w:color="auto"/>
              <w:bottom w:val="single" w:sz="12" w:space="0" w:color="auto"/>
            </w:tcBorders>
            <w:shd w:val="clear" w:color="auto" w:fill="auto"/>
            <w:tcMar>
              <w:top w:w="0" w:type="dxa"/>
              <w:left w:w="70" w:type="dxa"/>
              <w:bottom w:w="0" w:type="dxa"/>
              <w:right w:w="70" w:type="dxa"/>
            </w:tcMar>
            <w:vAlign w:val="center"/>
            <w:hideMark/>
          </w:tcPr>
          <w:p w:rsidR="00810305" w:rsidRPr="008442C6" w:rsidRDefault="00810305" w:rsidP="002773F5">
            <w:pPr>
              <w:pStyle w:val="SingleTxtG"/>
              <w:suppressAutoHyphens w:val="0"/>
              <w:spacing w:before="80" w:after="80" w:line="200" w:lineRule="exact"/>
              <w:ind w:left="0" w:right="0"/>
              <w:jc w:val="left"/>
              <w:rPr>
                <w:i/>
                <w:sz w:val="16"/>
                <w:szCs w:val="18"/>
              </w:rPr>
            </w:pPr>
            <w:r w:rsidRPr="008442C6">
              <w:rPr>
                <w:i/>
                <w:sz w:val="16"/>
                <w:szCs w:val="18"/>
              </w:rPr>
              <w:t>2016</w:t>
            </w:r>
          </w:p>
        </w:tc>
        <w:tc>
          <w:tcPr>
            <w:tcW w:w="8789" w:type="dxa"/>
            <w:gridSpan w:val="13"/>
            <w:tcBorders>
              <w:top w:val="single" w:sz="4" w:space="0" w:color="auto"/>
              <w:left w:val="nil"/>
              <w:bottom w:val="single" w:sz="4" w:space="0" w:color="auto"/>
            </w:tcBorders>
            <w:shd w:val="clear" w:color="auto" w:fill="auto"/>
            <w:tcMar>
              <w:top w:w="0" w:type="dxa"/>
              <w:left w:w="70" w:type="dxa"/>
              <w:bottom w:w="0" w:type="dxa"/>
              <w:right w:w="70" w:type="dxa"/>
            </w:tcMar>
            <w:vAlign w:val="bottom"/>
            <w:hideMark/>
          </w:tcPr>
          <w:p w:rsidR="00810305" w:rsidRPr="008442C6" w:rsidRDefault="00810305" w:rsidP="00E01E2D">
            <w:pPr>
              <w:pStyle w:val="SingleTxtG"/>
              <w:suppressAutoHyphens w:val="0"/>
              <w:spacing w:before="80" w:after="80" w:line="200" w:lineRule="exact"/>
              <w:ind w:left="0" w:right="0"/>
              <w:jc w:val="center"/>
              <w:rPr>
                <w:bCs/>
                <w:i/>
                <w:sz w:val="16"/>
                <w:szCs w:val="18"/>
              </w:rPr>
            </w:pPr>
            <w:r w:rsidRPr="008442C6">
              <w:rPr>
                <w:bCs/>
                <w:i/>
                <w:sz w:val="16"/>
                <w:szCs w:val="18"/>
              </w:rPr>
              <w:t xml:space="preserve">Age </w:t>
            </w:r>
            <w:r w:rsidR="00E01E2D" w:rsidRPr="008442C6">
              <w:rPr>
                <w:bCs/>
                <w:i/>
                <w:sz w:val="16"/>
                <w:szCs w:val="18"/>
              </w:rPr>
              <w:t>g</w:t>
            </w:r>
            <w:r w:rsidRPr="008442C6">
              <w:rPr>
                <w:bCs/>
                <w:i/>
                <w:sz w:val="16"/>
                <w:szCs w:val="18"/>
              </w:rPr>
              <w:t>roups</w:t>
            </w:r>
          </w:p>
        </w:tc>
      </w:tr>
      <w:tr w:rsidR="00810305" w:rsidRPr="008442C6" w:rsidTr="00293F0A">
        <w:trPr>
          <w:tblHeader/>
          <w:jc w:val="center"/>
        </w:trPr>
        <w:tc>
          <w:tcPr>
            <w:tcW w:w="850" w:type="dxa"/>
            <w:vMerge/>
            <w:tcBorders>
              <w:top w:val="single" w:sz="12" w:space="0" w:color="auto"/>
            </w:tcBorders>
            <w:shd w:val="clear" w:color="auto" w:fill="auto"/>
            <w:vAlign w:val="bottom"/>
            <w:hideMark/>
          </w:tcPr>
          <w:p w:rsidR="00810305" w:rsidRPr="008442C6" w:rsidRDefault="00810305" w:rsidP="002773F5">
            <w:pPr>
              <w:pStyle w:val="SingleTxtG"/>
              <w:suppressAutoHyphens w:val="0"/>
              <w:spacing w:before="80" w:after="80" w:line="200" w:lineRule="exact"/>
              <w:ind w:left="0" w:right="0"/>
              <w:rPr>
                <w:sz w:val="18"/>
                <w:szCs w:val="18"/>
              </w:rPr>
            </w:pPr>
          </w:p>
        </w:tc>
        <w:tc>
          <w:tcPr>
            <w:tcW w:w="708" w:type="dxa"/>
            <w:vMerge w:val="restart"/>
            <w:tcBorders>
              <w:top w:val="single" w:sz="4" w:space="0" w:color="auto"/>
              <w:left w:val="nil"/>
            </w:tcBorders>
            <w:shd w:val="clear" w:color="auto" w:fill="auto"/>
            <w:tcMar>
              <w:top w:w="0" w:type="dxa"/>
              <w:left w:w="70" w:type="dxa"/>
              <w:bottom w:w="0" w:type="dxa"/>
              <w:right w:w="70" w:type="dxa"/>
            </w:tcMar>
            <w:vAlign w:val="center"/>
            <w:hideMark/>
          </w:tcPr>
          <w:p w:rsidR="00810305" w:rsidRPr="008442C6" w:rsidRDefault="00810305" w:rsidP="002773F5">
            <w:pPr>
              <w:pStyle w:val="SingleTxtG"/>
              <w:suppressAutoHyphens w:val="0"/>
              <w:spacing w:before="80" w:after="80" w:line="200" w:lineRule="exact"/>
              <w:ind w:left="0" w:right="0"/>
              <w:jc w:val="right"/>
              <w:rPr>
                <w:bCs/>
                <w:i/>
                <w:spacing w:val="4"/>
                <w:w w:val="103"/>
                <w:kern w:val="14"/>
                <w:sz w:val="16"/>
                <w:szCs w:val="18"/>
              </w:rPr>
            </w:pPr>
            <w:r w:rsidRPr="008442C6">
              <w:rPr>
                <w:bCs/>
                <w:i/>
                <w:spacing w:val="4"/>
                <w:w w:val="103"/>
                <w:kern w:val="14"/>
                <w:sz w:val="16"/>
                <w:szCs w:val="18"/>
              </w:rPr>
              <w:t>Total</w:t>
            </w:r>
          </w:p>
        </w:tc>
        <w:tc>
          <w:tcPr>
            <w:tcW w:w="1941" w:type="dxa"/>
            <w:gridSpan w:val="3"/>
            <w:tcBorders>
              <w:top w:val="single" w:sz="4" w:space="0" w:color="auto"/>
              <w:left w:val="nil"/>
              <w:bottom w:val="single" w:sz="4" w:space="0" w:color="auto"/>
              <w:right w:val="single" w:sz="24" w:space="0" w:color="FFFFFF" w:themeColor="background1"/>
            </w:tcBorders>
            <w:shd w:val="clear" w:color="auto" w:fill="auto"/>
            <w:tcMar>
              <w:top w:w="0" w:type="dxa"/>
              <w:left w:w="70" w:type="dxa"/>
              <w:bottom w:w="0" w:type="dxa"/>
              <w:right w:w="70" w:type="dxa"/>
            </w:tcMar>
            <w:vAlign w:val="center"/>
            <w:hideMark/>
          </w:tcPr>
          <w:p w:rsidR="00810305" w:rsidRPr="008442C6" w:rsidRDefault="00810305" w:rsidP="002773F5">
            <w:pPr>
              <w:pStyle w:val="SingleTxtG"/>
              <w:suppressAutoHyphens w:val="0"/>
              <w:spacing w:before="80" w:after="80" w:line="200" w:lineRule="exact"/>
              <w:ind w:left="0" w:right="0"/>
              <w:jc w:val="center"/>
              <w:rPr>
                <w:bCs/>
                <w:i/>
                <w:spacing w:val="4"/>
                <w:w w:val="103"/>
                <w:kern w:val="14"/>
                <w:sz w:val="16"/>
                <w:szCs w:val="18"/>
              </w:rPr>
            </w:pPr>
            <w:r w:rsidRPr="008442C6">
              <w:rPr>
                <w:bCs/>
                <w:i/>
                <w:spacing w:val="4"/>
                <w:w w:val="103"/>
                <w:kern w:val="14"/>
                <w:sz w:val="16"/>
                <w:szCs w:val="18"/>
              </w:rPr>
              <w:t>0–18</w:t>
            </w:r>
          </w:p>
        </w:tc>
        <w:tc>
          <w:tcPr>
            <w:tcW w:w="1832"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top w:w="0" w:type="dxa"/>
              <w:left w:w="70" w:type="dxa"/>
              <w:bottom w:w="0" w:type="dxa"/>
              <w:right w:w="70" w:type="dxa"/>
            </w:tcMar>
            <w:vAlign w:val="center"/>
            <w:hideMark/>
          </w:tcPr>
          <w:p w:rsidR="00810305" w:rsidRPr="008442C6" w:rsidRDefault="00810305" w:rsidP="002773F5">
            <w:pPr>
              <w:pStyle w:val="SingleTxtG"/>
              <w:suppressAutoHyphens w:val="0"/>
              <w:spacing w:before="80" w:after="80" w:line="200" w:lineRule="exact"/>
              <w:ind w:left="0" w:right="0"/>
              <w:jc w:val="center"/>
              <w:rPr>
                <w:bCs/>
                <w:i/>
                <w:spacing w:val="4"/>
                <w:w w:val="103"/>
                <w:kern w:val="14"/>
                <w:sz w:val="16"/>
                <w:szCs w:val="18"/>
              </w:rPr>
            </w:pPr>
            <w:r w:rsidRPr="008442C6">
              <w:rPr>
                <w:bCs/>
                <w:i/>
                <w:spacing w:val="4"/>
                <w:w w:val="103"/>
                <w:kern w:val="14"/>
                <w:sz w:val="16"/>
                <w:szCs w:val="18"/>
              </w:rPr>
              <w:t>19–39</w:t>
            </w:r>
          </w:p>
        </w:tc>
        <w:tc>
          <w:tcPr>
            <w:tcW w:w="2194"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top w:w="0" w:type="dxa"/>
              <w:left w:w="70" w:type="dxa"/>
              <w:bottom w:w="0" w:type="dxa"/>
              <w:right w:w="70" w:type="dxa"/>
            </w:tcMar>
            <w:vAlign w:val="center"/>
            <w:hideMark/>
          </w:tcPr>
          <w:p w:rsidR="00810305" w:rsidRPr="008442C6" w:rsidRDefault="00810305" w:rsidP="002773F5">
            <w:pPr>
              <w:pStyle w:val="SingleTxtG"/>
              <w:suppressAutoHyphens w:val="0"/>
              <w:spacing w:before="80" w:after="80" w:line="200" w:lineRule="exact"/>
              <w:ind w:left="0" w:right="0"/>
              <w:jc w:val="center"/>
              <w:rPr>
                <w:bCs/>
                <w:i/>
                <w:spacing w:val="4"/>
                <w:w w:val="103"/>
                <w:kern w:val="14"/>
                <w:sz w:val="16"/>
                <w:szCs w:val="18"/>
              </w:rPr>
            </w:pPr>
            <w:r w:rsidRPr="008442C6">
              <w:rPr>
                <w:bCs/>
                <w:i/>
                <w:spacing w:val="4"/>
                <w:w w:val="103"/>
                <w:kern w:val="14"/>
                <w:sz w:val="16"/>
                <w:szCs w:val="18"/>
              </w:rPr>
              <w:t>40–64</w:t>
            </w:r>
          </w:p>
        </w:tc>
        <w:tc>
          <w:tcPr>
            <w:tcW w:w="2114" w:type="dxa"/>
            <w:gridSpan w:val="3"/>
            <w:tcBorders>
              <w:top w:val="single" w:sz="4" w:space="0" w:color="auto"/>
              <w:left w:val="single" w:sz="24" w:space="0" w:color="FFFFFF" w:themeColor="background1"/>
              <w:bottom w:val="single" w:sz="4" w:space="0" w:color="auto"/>
            </w:tcBorders>
            <w:shd w:val="clear" w:color="auto" w:fill="auto"/>
            <w:tcMar>
              <w:top w:w="0" w:type="dxa"/>
              <w:left w:w="70" w:type="dxa"/>
              <w:bottom w:w="0" w:type="dxa"/>
              <w:right w:w="70" w:type="dxa"/>
            </w:tcMar>
            <w:vAlign w:val="center"/>
            <w:hideMark/>
          </w:tcPr>
          <w:p w:rsidR="00810305" w:rsidRPr="008442C6" w:rsidRDefault="00810305" w:rsidP="002773F5">
            <w:pPr>
              <w:pStyle w:val="SingleTxtG"/>
              <w:suppressAutoHyphens w:val="0"/>
              <w:spacing w:before="80" w:after="80" w:line="200" w:lineRule="exact"/>
              <w:ind w:left="0" w:right="0"/>
              <w:jc w:val="center"/>
              <w:rPr>
                <w:bCs/>
                <w:i/>
                <w:spacing w:val="4"/>
                <w:w w:val="103"/>
                <w:kern w:val="14"/>
                <w:sz w:val="16"/>
                <w:szCs w:val="18"/>
              </w:rPr>
            </w:pPr>
            <w:r w:rsidRPr="008442C6">
              <w:rPr>
                <w:bCs/>
                <w:i/>
                <w:spacing w:val="4"/>
                <w:w w:val="103"/>
                <w:kern w:val="14"/>
                <w:sz w:val="16"/>
                <w:szCs w:val="18"/>
              </w:rPr>
              <w:t>+65</w:t>
            </w:r>
          </w:p>
        </w:tc>
      </w:tr>
      <w:tr w:rsidR="00810305" w:rsidRPr="008442C6" w:rsidTr="003B3469">
        <w:trPr>
          <w:tblHeader/>
          <w:jc w:val="center"/>
        </w:trPr>
        <w:tc>
          <w:tcPr>
            <w:tcW w:w="850" w:type="dxa"/>
            <w:vMerge/>
            <w:tcBorders>
              <w:bottom w:val="single" w:sz="12" w:space="0" w:color="auto"/>
            </w:tcBorders>
            <w:shd w:val="clear" w:color="auto" w:fill="auto"/>
            <w:vAlign w:val="bottom"/>
            <w:hideMark/>
          </w:tcPr>
          <w:p w:rsidR="00810305" w:rsidRPr="008442C6" w:rsidRDefault="00810305" w:rsidP="002773F5">
            <w:pPr>
              <w:pStyle w:val="SingleTxtG"/>
              <w:suppressAutoHyphens w:val="0"/>
              <w:spacing w:before="80" w:after="80" w:line="200" w:lineRule="exact"/>
              <w:ind w:left="0" w:right="0"/>
              <w:rPr>
                <w:sz w:val="18"/>
                <w:szCs w:val="18"/>
              </w:rPr>
            </w:pPr>
          </w:p>
        </w:tc>
        <w:tc>
          <w:tcPr>
            <w:tcW w:w="708" w:type="dxa"/>
            <w:vMerge/>
            <w:tcBorders>
              <w:left w:val="nil"/>
              <w:bottom w:val="single" w:sz="12" w:space="0" w:color="auto"/>
            </w:tcBorders>
            <w:shd w:val="clear" w:color="auto" w:fill="auto"/>
            <w:vAlign w:val="bottom"/>
            <w:hideMark/>
          </w:tcPr>
          <w:p w:rsidR="00810305" w:rsidRPr="008442C6" w:rsidRDefault="00810305" w:rsidP="002773F5">
            <w:pPr>
              <w:pStyle w:val="SingleTxtG"/>
              <w:suppressAutoHyphens w:val="0"/>
              <w:spacing w:before="80" w:after="80" w:line="200" w:lineRule="exact"/>
              <w:ind w:left="0" w:right="0"/>
              <w:jc w:val="left"/>
              <w:rPr>
                <w:bCs/>
                <w:i/>
                <w:spacing w:val="4"/>
                <w:w w:val="103"/>
                <w:kern w:val="14"/>
                <w:sz w:val="16"/>
                <w:szCs w:val="18"/>
              </w:rPr>
            </w:pPr>
          </w:p>
        </w:tc>
        <w:tc>
          <w:tcPr>
            <w:tcW w:w="596" w:type="dxa"/>
            <w:tcBorders>
              <w:top w:val="single" w:sz="4" w:space="0" w:color="auto"/>
              <w:left w:val="nil"/>
              <w:bottom w:val="single" w:sz="12" w:space="0" w:color="auto"/>
            </w:tcBorders>
            <w:shd w:val="clear" w:color="auto" w:fill="auto"/>
            <w:tcMar>
              <w:top w:w="0" w:type="dxa"/>
              <w:left w:w="70" w:type="dxa"/>
              <w:bottom w:w="0" w:type="dxa"/>
              <w:right w:w="70" w:type="dxa"/>
            </w:tcMar>
            <w:vAlign w:val="bottom"/>
            <w:hideMark/>
          </w:tcPr>
          <w:p w:rsidR="00810305" w:rsidRPr="008442C6" w:rsidRDefault="00810305" w:rsidP="002773F5">
            <w:pPr>
              <w:pStyle w:val="SingleTxtG"/>
              <w:suppressAutoHyphens w:val="0"/>
              <w:spacing w:before="80" w:after="80" w:line="200" w:lineRule="exact"/>
              <w:ind w:left="0" w:right="0"/>
              <w:jc w:val="right"/>
              <w:rPr>
                <w:bCs/>
                <w:i/>
                <w:spacing w:val="4"/>
                <w:w w:val="103"/>
                <w:kern w:val="14"/>
                <w:sz w:val="16"/>
                <w:szCs w:val="18"/>
              </w:rPr>
            </w:pPr>
            <w:r w:rsidRPr="008442C6">
              <w:rPr>
                <w:bCs/>
                <w:i/>
                <w:spacing w:val="4"/>
                <w:w w:val="103"/>
                <w:kern w:val="14"/>
                <w:sz w:val="16"/>
                <w:szCs w:val="18"/>
              </w:rPr>
              <w:t>Total</w:t>
            </w:r>
          </w:p>
        </w:tc>
        <w:tc>
          <w:tcPr>
            <w:tcW w:w="819" w:type="dxa"/>
            <w:tcBorders>
              <w:top w:val="single" w:sz="4" w:space="0" w:color="auto"/>
              <w:bottom w:val="single" w:sz="12" w:space="0" w:color="auto"/>
            </w:tcBorders>
            <w:shd w:val="clear" w:color="auto" w:fill="auto"/>
            <w:tcMar>
              <w:top w:w="0" w:type="dxa"/>
              <w:left w:w="70" w:type="dxa"/>
              <w:bottom w:w="0" w:type="dxa"/>
              <w:right w:w="70" w:type="dxa"/>
            </w:tcMar>
            <w:vAlign w:val="bottom"/>
            <w:hideMark/>
          </w:tcPr>
          <w:p w:rsidR="00810305" w:rsidRPr="008442C6" w:rsidRDefault="00810305" w:rsidP="002773F5">
            <w:pPr>
              <w:pStyle w:val="SingleTxtG"/>
              <w:suppressAutoHyphens w:val="0"/>
              <w:spacing w:before="80" w:after="80" w:line="200" w:lineRule="exact"/>
              <w:ind w:left="0" w:right="0"/>
              <w:jc w:val="right"/>
              <w:rPr>
                <w:bCs/>
                <w:i/>
                <w:spacing w:val="4"/>
                <w:w w:val="103"/>
                <w:kern w:val="14"/>
                <w:sz w:val="16"/>
                <w:szCs w:val="18"/>
              </w:rPr>
            </w:pPr>
            <w:r w:rsidRPr="008442C6">
              <w:rPr>
                <w:bCs/>
                <w:i/>
                <w:spacing w:val="4"/>
                <w:w w:val="103"/>
                <w:kern w:val="14"/>
                <w:sz w:val="16"/>
                <w:szCs w:val="18"/>
              </w:rPr>
              <w:t>AR RH</w:t>
            </w:r>
          </w:p>
        </w:tc>
        <w:tc>
          <w:tcPr>
            <w:tcW w:w="526" w:type="dxa"/>
            <w:tcBorders>
              <w:top w:val="single" w:sz="4" w:space="0" w:color="auto"/>
              <w:bottom w:val="single" w:sz="12" w:space="0" w:color="auto"/>
              <w:right w:val="single" w:sz="24" w:space="0" w:color="FFFFFF" w:themeColor="background1"/>
            </w:tcBorders>
            <w:shd w:val="clear" w:color="auto" w:fill="auto"/>
            <w:tcMar>
              <w:top w:w="0" w:type="dxa"/>
              <w:left w:w="70" w:type="dxa"/>
              <w:bottom w:w="0" w:type="dxa"/>
              <w:right w:w="70" w:type="dxa"/>
            </w:tcMar>
            <w:vAlign w:val="bottom"/>
            <w:hideMark/>
          </w:tcPr>
          <w:p w:rsidR="00810305" w:rsidRPr="008442C6" w:rsidRDefault="00810305" w:rsidP="002773F5">
            <w:pPr>
              <w:pStyle w:val="SingleTxtG"/>
              <w:suppressAutoHyphens w:val="0"/>
              <w:spacing w:before="80" w:after="80" w:line="200" w:lineRule="exact"/>
              <w:ind w:left="0" w:right="0"/>
              <w:jc w:val="right"/>
              <w:rPr>
                <w:bCs/>
                <w:i/>
                <w:spacing w:val="4"/>
                <w:w w:val="103"/>
                <w:kern w:val="14"/>
                <w:sz w:val="16"/>
                <w:szCs w:val="18"/>
              </w:rPr>
            </w:pPr>
            <w:r w:rsidRPr="008442C6">
              <w:rPr>
                <w:bCs/>
                <w:i/>
                <w:spacing w:val="4"/>
                <w:w w:val="103"/>
                <w:kern w:val="14"/>
                <w:sz w:val="16"/>
                <w:szCs w:val="18"/>
              </w:rPr>
              <w:t>REF</w:t>
            </w:r>
          </w:p>
        </w:tc>
        <w:tc>
          <w:tcPr>
            <w:tcW w:w="574" w:type="dxa"/>
            <w:tcBorders>
              <w:top w:val="single" w:sz="4" w:space="0" w:color="auto"/>
              <w:left w:val="single" w:sz="24" w:space="0" w:color="FFFFFF" w:themeColor="background1"/>
              <w:bottom w:val="single" w:sz="12" w:space="0" w:color="auto"/>
            </w:tcBorders>
            <w:shd w:val="clear" w:color="auto" w:fill="auto"/>
            <w:tcMar>
              <w:top w:w="0" w:type="dxa"/>
              <w:left w:w="70" w:type="dxa"/>
              <w:bottom w:w="0" w:type="dxa"/>
              <w:right w:w="70" w:type="dxa"/>
            </w:tcMar>
            <w:hideMark/>
          </w:tcPr>
          <w:p w:rsidR="00810305" w:rsidRPr="008442C6" w:rsidRDefault="00810305" w:rsidP="002773F5">
            <w:pPr>
              <w:pStyle w:val="SingleTxtG"/>
              <w:suppressAutoHyphens w:val="0"/>
              <w:spacing w:before="80" w:after="80" w:line="200" w:lineRule="exact"/>
              <w:ind w:left="0" w:right="0"/>
              <w:jc w:val="right"/>
              <w:rPr>
                <w:bCs/>
                <w:i/>
                <w:spacing w:val="4"/>
                <w:w w:val="103"/>
                <w:kern w:val="14"/>
                <w:sz w:val="16"/>
                <w:szCs w:val="18"/>
              </w:rPr>
            </w:pPr>
            <w:r w:rsidRPr="008442C6">
              <w:rPr>
                <w:bCs/>
                <w:i/>
                <w:spacing w:val="4"/>
                <w:w w:val="103"/>
                <w:kern w:val="14"/>
                <w:sz w:val="16"/>
                <w:szCs w:val="18"/>
              </w:rPr>
              <w:t>Total</w:t>
            </w:r>
          </w:p>
        </w:tc>
        <w:tc>
          <w:tcPr>
            <w:tcW w:w="732" w:type="dxa"/>
            <w:tcBorders>
              <w:top w:val="single" w:sz="4" w:space="0" w:color="auto"/>
              <w:bottom w:val="single" w:sz="12" w:space="0" w:color="auto"/>
            </w:tcBorders>
            <w:shd w:val="clear" w:color="auto" w:fill="auto"/>
            <w:tcMar>
              <w:top w:w="0" w:type="dxa"/>
              <w:left w:w="70" w:type="dxa"/>
              <w:bottom w:w="0" w:type="dxa"/>
              <w:right w:w="70" w:type="dxa"/>
            </w:tcMar>
            <w:vAlign w:val="bottom"/>
            <w:hideMark/>
          </w:tcPr>
          <w:p w:rsidR="00810305" w:rsidRPr="008442C6" w:rsidRDefault="00810305" w:rsidP="002773F5">
            <w:pPr>
              <w:pStyle w:val="SingleTxtG"/>
              <w:suppressAutoHyphens w:val="0"/>
              <w:spacing w:before="80" w:after="80" w:line="200" w:lineRule="exact"/>
              <w:ind w:left="0" w:right="0"/>
              <w:jc w:val="right"/>
              <w:rPr>
                <w:bCs/>
                <w:i/>
                <w:spacing w:val="4"/>
                <w:w w:val="103"/>
                <w:kern w:val="14"/>
                <w:sz w:val="16"/>
                <w:szCs w:val="18"/>
              </w:rPr>
            </w:pPr>
            <w:r w:rsidRPr="008442C6">
              <w:rPr>
                <w:bCs/>
                <w:i/>
                <w:spacing w:val="4"/>
                <w:w w:val="103"/>
                <w:kern w:val="14"/>
                <w:sz w:val="16"/>
                <w:szCs w:val="18"/>
              </w:rPr>
              <w:t>AR RH</w:t>
            </w:r>
          </w:p>
        </w:tc>
        <w:tc>
          <w:tcPr>
            <w:tcW w:w="526" w:type="dxa"/>
            <w:tcBorders>
              <w:top w:val="single" w:sz="4" w:space="0" w:color="auto"/>
              <w:bottom w:val="single" w:sz="12" w:space="0" w:color="auto"/>
              <w:right w:val="single" w:sz="24" w:space="0" w:color="FFFFFF" w:themeColor="background1"/>
            </w:tcBorders>
            <w:shd w:val="clear" w:color="auto" w:fill="auto"/>
            <w:tcMar>
              <w:top w:w="0" w:type="dxa"/>
              <w:left w:w="70" w:type="dxa"/>
              <w:bottom w:w="0" w:type="dxa"/>
              <w:right w:w="70" w:type="dxa"/>
            </w:tcMar>
            <w:vAlign w:val="bottom"/>
            <w:hideMark/>
          </w:tcPr>
          <w:p w:rsidR="00810305" w:rsidRPr="008442C6" w:rsidRDefault="00810305" w:rsidP="002773F5">
            <w:pPr>
              <w:pStyle w:val="SingleTxtG"/>
              <w:suppressAutoHyphens w:val="0"/>
              <w:spacing w:before="80" w:after="80" w:line="200" w:lineRule="exact"/>
              <w:ind w:left="0" w:right="0"/>
              <w:jc w:val="right"/>
              <w:rPr>
                <w:bCs/>
                <w:i/>
                <w:spacing w:val="4"/>
                <w:w w:val="103"/>
                <w:kern w:val="14"/>
                <w:sz w:val="16"/>
                <w:szCs w:val="18"/>
              </w:rPr>
            </w:pPr>
            <w:r w:rsidRPr="008442C6">
              <w:rPr>
                <w:bCs/>
                <w:i/>
                <w:spacing w:val="4"/>
                <w:w w:val="103"/>
                <w:kern w:val="14"/>
                <w:sz w:val="16"/>
                <w:szCs w:val="18"/>
              </w:rPr>
              <w:t>REF</w:t>
            </w:r>
          </w:p>
        </w:tc>
        <w:tc>
          <w:tcPr>
            <w:tcW w:w="761" w:type="dxa"/>
            <w:tcBorders>
              <w:top w:val="single" w:sz="4" w:space="0" w:color="auto"/>
              <w:left w:val="single" w:sz="24" w:space="0" w:color="FFFFFF" w:themeColor="background1"/>
              <w:bottom w:val="single" w:sz="12" w:space="0" w:color="auto"/>
            </w:tcBorders>
            <w:shd w:val="clear" w:color="auto" w:fill="auto"/>
            <w:tcMar>
              <w:top w:w="0" w:type="dxa"/>
              <w:left w:w="70" w:type="dxa"/>
              <w:bottom w:w="0" w:type="dxa"/>
              <w:right w:w="70" w:type="dxa"/>
            </w:tcMar>
            <w:vAlign w:val="center"/>
            <w:hideMark/>
          </w:tcPr>
          <w:p w:rsidR="00810305" w:rsidRPr="008442C6" w:rsidRDefault="00810305" w:rsidP="002773F5">
            <w:pPr>
              <w:pStyle w:val="SingleTxtG"/>
              <w:suppressAutoHyphens w:val="0"/>
              <w:spacing w:before="80" w:after="80" w:line="200" w:lineRule="exact"/>
              <w:ind w:left="0" w:right="0"/>
              <w:jc w:val="right"/>
              <w:rPr>
                <w:bCs/>
                <w:i/>
                <w:spacing w:val="4"/>
                <w:w w:val="103"/>
                <w:kern w:val="14"/>
                <w:sz w:val="16"/>
                <w:szCs w:val="18"/>
              </w:rPr>
            </w:pPr>
            <w:r w:rsidRPr="008442C6">
              <w:rPr>
                <w:bCs/>
                <w:i/>
                <w:spacing w:val="4"/>
                <w:w w:val="103"/>
                <w:kern w:val="14"/>
                <w:sz w:val="16"/>
                <w:szCs w:val="18"/>
              </w:rPr>
              <w:t>Total</w:t>
            </w:r>
          </w:p>
        </w:tc>
        <w:tc>
          <w:tcPr>
            <w:tcW w:w="780" w:type="dxa"/>
            <w:tcBorders>
              <w:top w:val="single" w:sz="4" w:space="0" w:color="auto"/>
              <w:bottom w:val="single" w:sz="12" w:space="0" w:color="auto"/>
            </w:tcBorders>
            <w:shd w:val="clear" w:color="auto" w:fill="auto"/>
            <w:tcMar>
              <w:top w:w="0" w:type="dxa"/>
              <w:left w:w="70" w:type="dxa"/>
              <w:bottom w:w="0" w:type="dxa"/>
              <w:right w:w="70" w:type="dxa"/>
            </w:tcMar>
            <w:vAlign w:val="bottom"/>
            <w:hideMark/>
          </w:tcPr>
          <w:p w:rsidR="00810305" w:rsidRPr="008442C6" w:rsidRDefault="00810305" w:rsidP="002773F5">
            <w:pPr>
              <w:pStyle w:val="SingleTxtG"/>
              <w:suppressAutoHyphens w:val="0"/>
              <w:spacing w:before="80" w:after="80" w:line="200" w:lineRule="exact"/>
              <w:ind w:left="0" w:right="0"/>
              <w:jc w:val="right"/>
              <w:rPr>
                <w:bCs/>
                <w:i/>
                <w:spacing w:val="4"/>
                <w:w w:val="103"/>
                <w:kern w:val="14"/>
                <w:sz w:val="16"/>
                <w:szCs w:val="18"/>
              </w:rPr>
            </w:pPr>
            <w:r w:rsidRPr="008442C6">
              <w:rPr>
                <w:bCs/>
                <w:i/>
                <w:spacing w:val="4"/>
                <w:w w:val="103"/>
                <w:kern w:val="14"/>
                <w:sz w:val="16"/>
                <w:szCs w:val="18"/>
              </w:rPr>
              <w:t>AR RH</w:t>
            </w:r>
          </w:p>
        </w:tc>
        <w:tc>
          <w:tcPr>
            <w:tcW w:w="653" w:type="dxa"/>
            <w:tcBorders>
              <w:top w:val="single" w:sz="4" w:space="0" w:color="auto"/>
              <w:bottom w:val="single" w:sz="12" w:space="0" w:color="auto"/>
              <w:right w:val="single" w:sz="24" w:space="0" w:color="FFFFFF" w:themeColor="background1"/>
            </w:tcBorders>
            <w:shd w:val="clear" w:color="auto" w:fill="auto"/>
            <w:tcMar>
              <w:top w:w="0" w:type="dxa"/>
              <w:left w:w="70" w:type="dxa"/>
              <w:bottom w:w="0" w:type="dxa"/>
              <w:right w:w="70" w:type="dxa"/>
            </w:tcMar>
            <w:vAlign w:val="bottom"/>
            <w:hideMark/>
          </w:tcPr>
          <w:p w:rsidR="00810305" w:rsidRPr="008442C6" w:rsidRDefault="00810305" w:rsidP="002773F5">
            <w:pPr>
              <w:pStyle w:val="SingleTxtG"/>
              <w:suppressAutoHyphens w:val="0"/>
              <w:spacing w:before="80" w:after="80" w:line="200" w:lineRule="exact"/>
              <w:ind w:left="0" w:right="0"/>
              <w:jc w:val="right"/>
              <w:rPr>
                <w:bCs/>
                <w:i/>
                <w:spacing w:val="4"/>
                <w:w w:val="103"/>
                <w:kern w:val="14"/>
                <w:sz w:val="16"/>
                <w:szCs w:val="18"/>
              </w:rPr>
            </w:pPr>
            <w:r w:rsidRPr="008442C6">
              <w:rPr>
                <w:bCs/>
                <w:i/>
                <w:spacing w:val="4"/>
                <w:w w:val="103"/>
                <w:kern w:val="14"/>
                <w:sz w:val="16"/>
                <w:szCs w:val="18"/>
              </w:rPr>
              <w:t>REF</w:t>
            </w:r>
          </w:p>
        </w:tc>
        <w:tc>
          <w:tcPr>
            <w:tcW w:w="786" w:type="dxa"/>
            <w:tcBorders>
              <w:top w:val="single" w:sz="4" w:space="0" w:color="auto"/>
              <w:left w:val="single" w:sz="24" w:space="0" w:color="FFFFFF" w:themeColor="background1"/>
              <w:bottom w:val="single" w:sz="12" w:space="0" w:color="auto"/>
            </w:tcBorders>
            <w:shd w:val="clear" w:color="auto" w:fill="auto"/>
            <w:tcMar>
              <w:top w:w="0" w:type="dxa"/>
              <w:left w:w="70" w:type="dxa"/>
              <w:bottom w:w="0" w:type="dxa"/>
              <w:right w:w="70" w:type="dxa"/>
            </w:tcMar>
            <w:vAlign w:val="bottom"/>
            <w:hideMark/>
          </w:tcPr>
          <w:p w:rsidR="00810305" w:rsidRPr="008442C6" w:rsidRDefault="00810305" w:rsidP="002773F5">
            <w:pPr>
              <w:pStyle w:val="SingleTxtG"/>
              <w:suppressAutoHyphens w:val="0"/>
              <w:spacing w:before="80" w:after="80" w:line="200" w:lineRule="exact"/>
              <w:ind w:left="0" w:right="0"/>
              <w:jc w:val="right"/>
              <w:rPr>
                <w:bCs/>
                <w:i/>
                <w:spacing w:val="4"/>
                <w:w w:val="103"/>
                <w:kern w:val="14"/>
                <w:sz w:val="16"/>
                <w:szCs w:val="18"/>
              </w:rPr>
            </w:pPr>
            <w:r w:rsidRPr="008442C6">
              <w:rPr>
                <w:bCs/>
                <w:i/>
                <w:spacing w:val="4"/>
                <w:w w:val="103"/>
                <w:kern w:val="14"/>
                <w:sz w:val="16"/>
                <w:szCs w:val="18"/>
              </w:rPr>
              <w:t>Total</w:t>
            </w:r>
          </w:p>
        </w:tc>
        <w:tc>
          <w:tcPr>
            <w:tcW w:w="780" w:type="dxa"/>
            <w:tcBorders>
              <w:top w:val="single" w:sz="4" w:space="0" w:color="auto"/>
              <w:bottom w:val="single" w:sz="12" w:space="0" w:color="auto"/>
            </w:tcBorders>
            <w:shd w:val="clear" w:color="auto" w:fill="auto"/>
            <w:tcMar>
              <w:top w:w="0" w:type="dxa"/>
              <w:left w:w="70" w:type="dxa"/>
              <w:bottom w:w="0" w:type="dxa"/>
              <w:right w:w="70" w:type="dxa"/>
            </w:tcMar>
            <w:vAlign w:val="bottom"/>
            <w:hideMark/>
          </w:tcPr>
          <w:p w:rsidR="00810305" w:rsidRPr="008442C6" w:rsidRDefault="00810305" w:rsidP="002773F5">
            <w:pPr>
              <w:pStyle w:val="SingleTxtG"/>
              <w:suppressAutoHyphens w:val="0"/>
              <w:spacing w:before="80" w:after="80" w:line="200" w:lineRule="exact"/>
              <w:ind w:left="0" w:right="0"/>
              <w:jc w:val="right"/>
              <w:rPr>
                <w:bCs/>
                <w:i/>
                <w:spacing w:val="4"/>
                <w:w w:val="103"/>
                <w:kern w:val="14"/>
                <w:sz w:val="16"/>
                <w:szCs w:val="18"/>
              </w:rPr>
            </w:pPr>
            <w:r w:rsidRPr="008442C6">
              <w:rPr>
                <w:bCs/>
                <w:i/>
                <w:spacing w:val="4"/>
                <w:w w:val="103"/>
                <w:kern w:val="14"/>
                <w:sz w:val="16"/>
                <w:szCs w:val="18"/>
              </w:rPr>
              <w:t>AR RH</w:t>
            </w:r>
          </w:p>
        </w:tc>
        <w:tc>
          <w:tcPr>
            <w:tcW w:w="548" w:type="dxa"/>
            <w:tcBorders>
              <w:top w:val="single" w:sz="4" w:space="0" w:color="auto"/>
              <w:bottom w:val="single" w:sz="12" w:space="0" w:color="auto"/>
            </w:tcBorders>
            <w:shd w:val="clear" w:color="auto" w:fill="auto"/>
            <w:tcMar>
              <w:top w:w="0" w:type="dxa"/>
              <w:left w:w="70" w:type="dxa"/>
              <w:bottom w:w="0" w:type="dxa"/>
              <w:right w:w="70" w:type="dxa"/>
            </w:tcMar>
            <w:vAlign w:val="bottom"/>
            <w:hideMark/>
          </w:tcPr>
          <w:p w:rsidR="00810305" w:rsidRPr="008442C6" w:rsidRDefault="00810305" w:rsidP="002773F5">
            <w:pPr>
              <w:pStyle w:val="SingleTxtG"/>
              <w:suppressAutoHyphens w:val="0"/>
              <w:spacing w:before="80" w:after="80" w:line="200" w:lineRule="exact"/>
              <w:ind w:left="0" w:right="0"/>
              <w:jc w:val="right"/>
              <w:rPr>
                <w:bCs/>
                <w:i/>
                <w:spacing w:val="4"/>
                <w:w w:val="103"/>
                <w:kern w:val="14"/>
                <w:sz w:val="16"/>
                <w:szCs w:val="18"/>
              </w:rPr>
            </w:pPr>
            <w:r w:rsidRPr="008442C6">
              <w:rPr>
                <w:bCs/>
                <w:i/>
                <w:spacing w:val="4"/>
                <w:w w:val="103"/>
                <w:kern w:val="14"/>
                <w:sz w:val="16"/>
                <w:szCs w:val="18"/>
              </w:rPr>
              <w:t>REF</w:t>
            </w:r>
          </w:p>
        </w:tc>
      </w:tr>
      <w:tr w:rsidR="00810305" w:rsidRPr="008442C6" w:rsidTr="003B3469">
        <w:trPr>
          <w:jc w:val="center"/>
        </w:trPr>
        <w:tc>
          <w:tcPr>
            <w:tcW w:w="850" w:type="dxa"/>
            <w:tcBorders>
              <w:top w:val="single" w:sz="12" w:space="0" w:color="auto"/>
              <w:bottom w:val="single" w:sz="4" w:space="0" w:color="auto"/>
            </w:tcBorders>
            <w:shd w:val="clear" w:color="auto" w:fill="auto"/>
            <w:tcMar>
              <w:top w:w="0" w:type="dxa"/>
              <w:left w:w="70" w:type="dxa"/>
              <w:bottom w:w="0" w:type="dxa"/>
              <w:right w:w="70" w:type="dxa"/>
            </w:tcMar>
            <w:hideMark/>
          </w:tcPr>
          <w:p w:rsidR="00810305" w:rsidRPr="008442C6" w:rsidRDefault="00810305" w:rsidP="003B3469">
            <w:pPr>
              <w:pStyle w:val="SingleTxtG"/>
              <w:suppressAutoHyphens w:val="0"/>
              <w:spacing w:before="80" w:after="80" w:line="220" w:lineRule="exact"/>
              <w:ind w:left="0" w:right="0"/>
              <w:jc w:val="right"/>
              <w:rPr>
                <w:b/>
                <w:bCs/>
                <w:sz w:val="18"/>
                <w:szCs w:val="18"/>
              </w:rPr>
            </w:pPr>
            <w:r w:rsidRPr="003B3469">
              <w:rPr>
                <w:b/>
                <w:sz w:val="18"/>
                <w:szCs w:val="18"/>
              </w:rPr>
              <w:t>Total</w:t>
            </w:r>
          </w:p>
        </w:tc>
        <w:tc>
          <w:tcPr>
            <w:tcW w:w="708" w:type="dxa"/>
            <w:tcBorders>
              <w:top w:val="single" w:sz="12" w:space="0" w:color="auto"/>
              <w:left w:val="nil"/>
              <w:bottom w:val="single" w:sz="4" w:space="0" w:color="auto"/>
            </w:tcBorders>
            <w:shd w:val="clear" w:color="auto" w:fill="auto"/>
            <w:tcMar>
              <w:top w:w="0" w:type="dxa"/>
              <w:left w:w="70" w:type="dxa"/>
              <w:bottom w:w="0" w:type="dxa"/>
              <w:right w:w="70" w:type="dxa"/>
            </w:tcMar>
            <w:vAlign w:val="bottom"/>
            <w:hideMark/>
          </w:tcPr>
          <w:p w:rsidR="00810305" w:rsidRPr="008442C6" w:rsidRDefault="00810305" w:rsidP="003B3469">
            <w:pPr>
              <w:pStyle w:val="SingleTxtG"/>
              <w:suppressAutoHyphens w:val="0"/>
              <w:spacing w:before="80" w:after="80" w:line="220" w:lineRule="exact"/>
              <w:ind w:left="0" w:right="0"/>
              <w:jc w:val="right"/>
              <w:rPr>
                <w:b/>
                <w:sz w:val="18"/>
                <w:szCs w:val="18"/>
              </w:rPr>
            </w:pPr>
            <w:r w:rsidRPr="008442C6">
              <w:rPr>
                <w:b/>
                <w:sz w:val="18"/>
                <w:szCs w:val="18"/>
              </w:rPr>
              <w:t>370</w:t>
            </w:r>
          </w:p>
        </w:tc>
        <w:tc>
          <w:tcPr>
            <w:tcW w:w="596" w:type="dxa"/>
            <w:tcBorders>
              <w:top w:val="single" w:sz="12" w:space="0" w:color="auto"/>
              <w:left w:val="nil"/>
              <w:bottom w:val="single" w:sz="4" w:space="0" w:color="auto"/>
            </w:tcBorders>
            <w:shd w:val="clear" w:color="auto" w:fill="auto"/>
            <w:tcMar>
              <w:top w:w="0" w:type="dxa"/>
              <w:left w:w="70" w:type="dxa"/>
              <w:bottom w:w="0" w:type="dxa"/>
              <w:right w:w="70" w:type="dxa"/>
            </w:tcMar>
            <w:vAlign w:val="bottom"/>
            <w:hideMark/>
          </w:tcPr>
          <w:p w:rsidR="00810305" w:rsidRPr="008442C6" w:rsidRDefault="00810305" w:rsidP="003B3469">
            <w:pPr>
              <w:pStyle w:val="SingleTxtG"/>
              <w:suppressAutoHyphens w:val="0"/>
              <w:spacing w:before="80" w:after="80" w:line="220" w:lineRule="exact"/>
              <w:ind w:left="0" w:right="0"/>
              <w:jc w:val="right"/>
              <w:rPr>
                <w:b/>
                <w:sz w:val="18"/>
                <w:szCs w:val="18"/>
              </w:rPr>
            </w:pPr>
            <w:r w:rsidRPr="008442C6">
              <w:rPr>
                <w:b/>
                <w:sz w:val="18"/>
                <w:szCs w:val="18"/>
              </w:rPr>
              <w:t>81</w:t>
            </w:r>
          </w:p>
        </w:tc>
        <w:tc>
          <w:tcPr>
            <w:tcW w:w="819" w:type="dxa"/>
            <w:tcBorders>
              <w:top w:val="single" w:sz="12" w:space="0" w:color="auto"/>
              <w:bottom w:val="single" w:sz="4" w:space="0" w:color="auto"/>
            </w:tcBorders>
            <w:shd w:val="clear" w:color="auto" w:fill="auto"/>
            <w:tcMar>
              <w:top w:w="0" w:type="dxa"/>
              <w:left w:w="70" w:type="dxa"/>
              <w:bottom w:w="0" w:type="dxa"/>
              <w:right w:w="70" w:type="dxa"/>
            </w:tcMar>
            <w:vAlign w:val="bottom"/>
            <w:hideMark/>
          </w:tcPr>
          <w:p w:rsidR="00810305" w:rsidRPr="008442C6" w:rsidRDefault="00810305" w:rsidP="003B3469">
            <w:pPr>
              <w:pStyle w:val="SingleTxtG"/>
              <w:suppressAutoHyphens w:val="0"/>
              <w:spacing w:before="80" w:after="80" w:line="220" w:lineRule="exact"/>
              <w:ind w:left="0" w:right="0"/>
              <w:jc w:val="right"/>
              <w:rPr>
                <w:b/>
                <w:sz w:val="18"/>
                <w:szCs w:val="18"/>
              </w:rPr>
            </w:pPr>
            <w:r w:rsidRPr="008442C6">
              <w:rPr>
                <w:b/>
                <w:sz w:val="18"/>
                <w:szCs w:val="18"/>
              </w:rPr>
              <w:t>56</w:t>
            </w:r>
          </w:p>
        </w:tc>
        <w:tc>
          <w:tcPr>
            <w:tcW w:w="526" w:type="dxa"/>
            <w:tcBorders>
              <w:top w:val="single" w:sz="12" w:space="0" w:color="auto"/>
              <w:bottom w:val="single" w:sz="4" w:space="0" w:color="auto"/>
            </w:tcBorders>
            <w:shd w:val="clear" w:color="auto" w:fill="auto"/>
            <w:tcMar>
              <w:top w:w="0" w:type="dxa"/>
              <w:left w:w="70" w:type="dxa"/>
              <w:bottom w:w="0" w:type="dxa"/>
              <w:right w:w="70" w:type="dxa"/>
            </w:tcMar>
            <w:vAlign w:val="bottom"/>
            <w:hideMark/>
          </w:tcPr>
          <w:p w:rsidR="00810305" w:rsidRPr="008442C6" w:rsidRDefault="00810305" w:rsidP="003B3469">
            <w:pPr>
              <w:pStyle w:val="SingleTxtG"/>
              <w:suppressAutoHyphens w:val="0"/>
              <w:spacing w:before="80" w:after="80" w:line="220" w:lineRule="exact"/>
              <w:ind w:left="0" w:right="0"/>
              <w:jc w:val="right"/>
              <w:rPr>
                <w:b/>
                <w:sz w:val="18"/>
                <w:szCs w:val="18"/>
              </w:rPr>
            </w:pPr>
            <w:r w:rsidRPr="008442C6">
              <w:rPr>
                <w:b/>
                <w:sz w:val="18"/>
                <w:szCs w:val="18"/>
              </w:rPr>
              <w:t>25</w:t>
            </w:r>
          </w:p>
        </w:tc>
        <w:tc>
          <w:tcPr>
            <w:tcW w:w="574" w:type="dxa"/>
            <w:tcBorders>
              <w:top w:val="single" w:sz="12" w:space="0" w:color="auto"/>
              <w:left w:val="nil"/>
              <w:bottom w:val="single" w:sz="4" w:space="0" w:color="auto"/>
            </w:tcBorders>
            <w:shd w:val="clear" w:color="auto" w:fill="auto"/>
            <w:tcMar>
              <w:top w:w="0" w:type="dxa"/>
              <w:left w:w="70" w:type="dxa"/>
              <w:bottom w:w="0" w:type="dxa"/>
              <w:right w:w="70" w:type="dxa"/>
            </w:tcMar>
            <w:vAlign w:val="bottom"/>
            <w:hideMark/>
          </w:tcPr>
          <w:p w:rsidR="00810305" w:rsidRPr="008442C6" w:rsidRDefault="00810305" w:rsidP="003B3469">
            <w:pPr>
              <w:pStyle w:val="SingleTxtG"/>
              <w:suppressAutoHyphens w:val="0"/>
              <w:spacing w:before="80" w:after="80" w:line="220" w:lineRule="exact"/>
              <w:ind w:left="0" w:right="0"/>
              <w:jc w:val="right"/>
              <w:rPr>
                <w:b/>
                <w:sz w:val="18"/>
                <w:szCs w:val="18"/>
              </w:rPr>
            </w:pPr>
            <w:r w:rsidRPr="008442C6">
              <w:rPr>
                <w:b/>
                <w:sz w:val="18"/>
                <w:szCs w:val="18"/>
              </w:rPr>
              <w:t>227</w:t>
            </w:r>
          </w:p>
        </w:tc>
        <w:tc>
          <w:tcPr>
            <w:tcW w:w="732" w:type="dxa"/>
            <w:tcBorders>
              <w:top w:val="single" w:sz="12" w:space="0" w:color="auto"/>
              <w:bottom w:val="single" w:sz="4" w:space="0" w:color="auto"/>
            </w:tcBorders>
            <w:shd w:val="clear" w:color="auto" w:fill="auto"/>
            <w:tcMar>
              <w:top w:w="0" w:type="dxa"/>
              <w:left w:w="70" w:type="dxa"/>
              <w:bottom w:w="0" w:type="dxa"/>
              <w:right w:w="70" w:type="dxa"/>
            </w:tcMar>
            <w:vAlign w:val="bottom"/>
            <w:hideMark/>
          </w:tcPr>
          <w:p w:rsidR="00810305" w:rsidRPr="008442C6" w:rsidRDefault="00810305" w:rsidP="003B3469">
            <w:pPr>
              <w:pStyle w:val="SingleTxtG"/>
              <w:suppressAutoHyphens w:val="0"/>
              <w:spacing w:before="80" w:after="80" w:line="220" w:lineRule="exact"/>
              <w:ind w:left="0" w:right="0"/>
              <w:jc w:val="right"/>
              <w:rPr>
                <w:b/>
                <w:sz w:val="18"/>
                <w:szCs w:val="18"/>
              </w:rPr>
            </w:pPr>
            <w:r w:rsidRPr="008442C6">
              <w:rPr>
                <w:b/>
                <w:sz w:val="18"/>
                <w:szCs w:val="18"/>
              </w:rPr>
              <w:t>162</w:t>
            </w:r>
          </w:p>
        </w:tc>
        <w:tc>
          <w:tcPr>
            <w:tcW w:w="526" w:type="dxa"/>
            <w:tcBorders>
              <w:top w:val="single" w:sz="12" w:space="0" w:color="auto"/>
              <w:bottom w:val="single" w:sz="4" w:space="0" w:color="auto"/>
            </w:tcBorders>
            <w:shd w:val="clear" w:color="auto" w:fill="auto"/>
            <w:tcMar>
              <w:top w:w="0" w:type="dxa"/>
              <w:left w:w="70" w:type="dxa"/>
              <w:bottom w:w="0" w:type="dxa"/>
              <w:right w:w="70" w:type="dxa"/>
            </w:tcMar>
            <w:vAlign w:val="bottom"/>
            <w:hideMark/>
          </w:tcPr>
          <w:p w:rsidR="00810305" w:rsidRPr="008442C6" w:rsidRDefault="00810305" w:rsidP="003B3469">
            <w:pPr>
              <w:pStyle w:val="SingleTxtG"/>
              <w:suppressAutoHyphens w:val="0"/>
              <w:spacing w:before="80" w:after="80" w:line="220" w:lineRule="exact"/>
              <w:ind w:left="0" w:right="0"/>
              <w:jc w:val="right"/>
              <w:rPr>
                <w:b/>
                <w:sz w:val="18"/>
                <w:szCs w:val="18"/>
              </w:rPr>
            </w:pPr>
            <w:r w:rsidRPr="008442C6">
              <w:rPr>
                <w:b/>
                <w:sz w:val="18"/>
                <w:szCs w:val="18"/>
              </w:rPr>
              <w:t>65</w:t>
            </w:r>
          </w:p>
        </w:tc>
        <w:tc>
          <w:tcPr>
            <w:tcW w:w="761" w:type="dxa"/>
            <w:tcBorders>
              <w:top w:val="single" w:sz="12" w:space="0" w:color="auto"/>
              <w:left w:val="nil"/>
              <w:bottom w:val="single" w:sz="4" w:space="0" w:color="auto"/>
            </w:tcBorders>
            <w:shd w:val="clear" w:color="auto" w:fill="auto"/>
            <w:tcMar>
              <w:top w:w="0" w:type="dxa"/>
              <w:left w:w="70" w:type="dxa"/>
              <w:bottom w:w="0" w:type="dxa"/>
              <w:right w:w="70" w:type="dxa"/>
            </w:tcMar>
            <w:vAlign w:val="bottom"/>
            <w:hideMark/>
          </w:tcPr>
          <w:p w:rsidR="00810305" w:rsidRPr="008442C6" w:rsidRDefault="00810305" w:rsidP="003B3469">
            <w:pPr>
              <w:pStyle w:val="SingleTxtG"/>
              <w:suppressAutoHyphens w:val="0"/>
              <w:spacing w:before="80" w:after="80" w:line="220" w:lineRule="exact"/>
              <w:ind w:left="0" w:right="0"/>
              <w:jc w:val="right"/>
              <w:rPr>
                <w:b/>
                <w:sz w:val="18"/>
                <w:szCs w:val="18"/>
              </w:rPr>
            </w:pPr>
            <w:r w:rsidRPr="008442C6">
              <w:rPr>
                <w:b/>
                <w:sz w:val="18"/>
                <w:szCs w:val="18"/>
              </w:rPr>
              <w:t>61</w:t>
            </w:r>
          </w:p>
        </w:tc>
        <w:tc>
          <w:tcPr>
            <w:tcW w:w="780" w:type="dxa"/>
            <w:tcBorders>
              <w:top w:val="single" w:sz="12" w:space="0" w:color="auto"/>
              <w:bottom w:val="single" w:sz="4" w:space="0" w:color="auto"/>
            </w:tcBorders>
            <w:shd w:val="clear" w:color="auto" w:fill="auto"/>
            <w:tcMar>
              <w:top w:w="0" w:type="dxa"/>
              <w:left w:w="70" w:type="dxa"/>
              <w:bottom w:w="0" w:type="dxa"/>
              <w:right w:w="70" w:type="dxa"/>
            </w:tcMar>
            <w:vAlign w:val="bottom"/>
            <w:hideMark/>
          </w:tcPr>
          <w:p w:rsidR="00810305" w:rsidRPr="008442C6" w:rsidRDefault="00810305" w:rsidP="003B3469">
            <w:pPr>
              <w:pStyle w:val="SingleTxtG"/>
              <w:suppressAutoHyphens w:val="0"/>
              <w:spacing w:before="80" w:after="80" w:line="220" w:lineRule="exact"/>
              <w:ind w:left="0" w:right="0"/>
              <w:jc w:val="right"/>
              <w:rPr>
                <w:b/>
                <w:sz w:val="18"/>
                <w:szCs w:val="18"/>
              </w:rPr>
            </w:pPr>
            <w:r w:rsidRPr="008442C6">
              <w:rPr>
                <w:b/>
                <w:sz w:val="18"/>
                <w:szCs w:val="18"/>
              </w:rPr>
              <w:t>49</w:t>
            </w:r>
          </w:p>
        </w:tc>
        <w:tc>
          <w:tcPr>
            <w:tcW w:w="653" w:type="dxa"/>
            <w:tcBorders>
              <w:top w:val="single" w:sz="12" w:space="0" w:color="auto"/>
              <w:bottom w:val="single" w:sz="4" w:space="0" w:color="auto"/>
            </w:tcBorders>
            <w:shd w:val="clear" w:color="auto" w:fill="auto"/>
            <w:tcMar>
              <w:top w:w="0" w:type="dxa"/>
              <w:left w:w="70" w:type="dxa"/>
              <w:bottom w:w="0" w:type="dxa"/>
              <w:right w:w="70" w:type="dxa"/>
            </w:tcMar>
            <w:vAlign w:val="bottom"/>
            <w:hideMark/>
          </w:tcPr>
          <w:p w:rsidR="00810305" w:rsidRPr="008442C6" w:rsidRDefault="00810305" w:rsidP="003B3469">
            <w:pPr>
              <w:pStyle w:val="SingleTxtG"/>
              <w:suppressAutoHyphens w:val="0"/>
              <w:spacing w:before="80" w:after="80" w:line="220" w:lineRule="exact"/>
              <w:ind w:left="0" w:right="0"/>
              <w:jc w:val="right"/>
              <w:rPr>
                <w:b/>
                <w:sz w:val="18"/>
                <w:szCs w:val="18"/>
              </w:rPr>
            </w:pPr>
            <w:r w:rsidRPr="008442C6">
              <w:rPr>
                <w:b/>
                <w:sz w:val="18"/>
                <w:szCs w:val="18"/>
              </w:rPr>
              <w:t>12</w:t>
            </w:r>
          </w:p>
        </w:tc>
        <w:tc>
          <w:tcPr>
            <w:tcW w:w="786" w:type="dxa"/>
            <w:tcBorders>
              <w:top w:val="single" w:sz="12" w:space="0" w:color="auto"/>
              <w:left w:val="nil"/>
              <w:bottom w:val="single" w:sz="4" w:space="0" w:color="auto"/>
            </w:tcBorders>
            <w:shd w:val="clear" w:color="auto" w:fill="auto"/>
            <w:tcMar>
              <w:top w:w="0" w:type="dxa"/>
              <w:left w:w="70" w:type="dxa"/>
              <w:bottom w:w="0" w:type="dxa"/>
              <w:right w:w="70" w:type="dxa"/>
            </w:tcMar>
            <w:vAlign w:val="bottom"/>
            <w:hideMark/>
          </w:tcPr>
          <w:p w:rsidR="00810305" w:rsidRPr="008442C6" w:rsidRDefault="00810305" w:rsidP="003B3469">
            <w:pPr>
              <w:pStyle w:val="SingleTxtG"/>
              <w:suppressAutoHyphens w:val="0"/>
              <w:spacing w:before="80" w:after="80" w:line="220" w:lineRule="exact"/>
              <w:ind w:left="0" w:right="0"/>
              <w:jc w:val="right"/>
              <w:rPr>
                <w:b/>
                <w:sz w:val="18"/>
                <w:szCs w:val="18"/>
              </w:rPr>
            </w:pPr>
            <w:r w:rsidRPr="008442C6">
              <w:rPr>
                <w:b/>
                <w:sz w:val="18"/>
                <w:szCs w:val="18"/>
              </w:rPr>
              <w:t>1</w:t>
            </w:r>
          </w:p>
        </w:tc>
        <w:tc>
          <w:tcPr>
            <w:tcW w:w="780" w:type="dxa"/>
            <w:tcBorders>
              <w:top w:val="single" w:sz="12" w:space="0" w:color="auto"/>
              <w:bottom w:val="single" w:sz="4" w:space="0" w:color="auto"/>
            </w:tcBorders>
            <w:shd w:val="clear" w:color="auto" w:fill="auto"/>
            <w:tcMar>
              <w:top w:w="0" w:type="dxa"/>
              <w:left w:w="70" w:type="dxa"/>
              <w:bottom w:w="0" w:type="dxa"/>
              <w:right w:w="70" w:type="dxa"/>
            </w:tcMar>
            <w:vAlign w:val="bottom"/>
            <w:hideMark/>
          </w:tcPr>
          <w:p w:rsidR="00810305" w:rsidRPr="008442C6" w:rsidRDefault="00810305" w:rsidP="003B3469">
            <w:pPr>
              <w:pStyle w:val="SingleTxtG"/>
              <w:suppressAutoHyphens w:val="0"/>
              <w:spacing w:before="80" w:after="80" w:line="220" w:lineRule="exact"/>
              <w:ind w:left="0" w:right="0"/>
              <w:jc w:val="right"/>
              <w:rPr>
                <w:b/>
                <w:sz w:val="18"/>
                <w:szCs w:val="18"/>
              </w:rPr>
            </w:pPr>
            <w:r w:rsidRPr="008442C6">
              <w:rPr>
                <w:b/>
                <w:sz w:val="18"/>
                <w:szCs w:val="18"/>
              </w:rPr>
              <w:t>0</w:t>
            </w:r>
          </w:p>
        </w:tc>
        <w:tc>
          <w:tcPr>
            <w:tcW w:w="548" w:type="dxa"/>
            <w:tcBorders>
              <w:top w:val="single" w:sz="12" w:space="0" w:color="auto"/>
              <w:bottom w:val="single" w:sz="4" w:space="0" w:color="auto"/>
            </w:tcBorders>
            <w:shd w:val="clear" w:color="auto" w:fill="auto"/>
            <w:tcMar>
              <w:top w:w="0" w:type="dxa"/>
              <w:left w:w="70" w:type="dxa"/>
              <w:bottom w:w="0" w:type="dxa"/>
              <w:right w:w="70" w:type="dxa"/>
            </w:tcMar>
            <w:vAlign w:val="bottom"/>
            <w:hideMark/>
          </w:tcPr>
          <w:p w:rsidR="00810305" w:rsidRPr="008442C6" w:rsidRDefault="00810305" w:rsidP="003B3469">
            <w:pPr>
              <w:pStyle w:val="SingleTxtG"/>
              <w:suppressAutoHyphens w:val="0"/>
              <w:spacing w:before="80" w:after="80" w:line="220" w:lineRule="exact"/>
              <w:ind w:left="0" w:right="0"/>
              <w:jc w:val="right"/>
              <w:rPr>
                <w:b/>
                <w:sz w:val="18"/>
                <w:szCs w:val="18"/>
              </w:rPr>
            </w:pPr>
            <w:r w:rsidRPr="008442C6">
              <w:rPr>
                <w:b/>
                <w:sz w:val="18"/>
                <w:szCs w:val="18"/>
              </w:rPr>
              <w:t>1</w:t>
            </w:r>
          </w:p>
        </w:tc>
      </w:tr>
      <w:tr w:rsidR="00810305" w:rsidRPr="008442C6" w:rsidTr="003B3469">
        <w:trPr>
          <w:jc w:val="center"/>
        </w:trPr>
        <w:tc>
          <w:tcPr>
            <w:tcW w:w="850" w:type="dxa"/>
            <w:tcBorders>
              <w:top w:val="single" w:sz="4" w:space="0" w:color="auto"/>
            </w:tcBorders>
            <w:shd w:val="clear" w:color="auto" w:fill="auto"/>
            <w:tcMar>
              <w:top w:w="0" w:type="dxa"/>
              <w:left w:w="70" w:type="dxa"/>
              <w:bottom w:w="0" w:type="dxa"/>
              <w:right w:w="70" w:type="dxa"/>
            </w:tcMar>
            <w:hideMark/>
          </w:tcPr>
          <w:p w:rsidR="00810305" w:rsidRPr="008442C6" w:rsidRDefault="00810305" w:rsidP="009F130B">
            <w:pPr>
              <w:pStyle w:val="SingleTxtG"/>
              <w:suppressAutoHyphens w:val="0"/>
              <w:spacing w:before="40" w:after="40" w:line="220" w:lineRule="exact"/>
              <w:ind w:left="0" w:right="0"/>
              <w:rPr>
                <w:bCs/>
                <w:sz w:val="18"/>
              </w:rPr>
            </w:pPr>
            <w:r w:rsidRPr="008442C6">
              <w:rPr>
                <w:bCs/>
                <w:sz w:val="18"/>
              </w:rPr>
              <w:t>Men</w:t>
            </w:r>
          </w:p>
        </w:tc>
        <w:tc>
          <w:tcPr>
            <w:tcW w:w="708" w:type="dxa"/>
            <w:tcBorders>
              <w:top w:val="single" w:sz="4" w:space="0" w:color="auto"/>
              <w:left w:val="nil"/>
            </w:tcBorders>
            <w:shd w:val="clear" w:color="auto" w:fill="auto"/>
            <w:tcMar>
              <w:top w:w="0" w:type="dxa"/>
              <w:left w:w="70" w:type="dxa"/>
              <w:bottom w:w="0" w:type="dxa"/>
              <w:right w:w="70" w:type="dxa"/>
            </w:tcMar>
            <w:vAlign w:val="bottom"/>
            <w:hideMark/>
          </w:tcPr>
          <w:p w:rsidR="00810305" w:rsidRPr="008442C6" w:rsidRDefault="00810305" w:rsidP="003B3469">
            <w:pPr>
              <w:pStyle w:val="SingleTxtG"/>
              <w:suppressAutoHyphens w:val="0"/>
              <w:spacing w:before="40" w:after="40" w:line="220" w:lineRule="exact"/>
              <w:ind w:left="0" w:right="0"/>
              <w:jc w:val="right"/>
              <w:rPr>
                <w:bCs/>
                <w:sz w:val="18"/>
              </w:rPr>
            </w:pPr>
            <w:r w:rsidRPr="008442C6">
              <w:rPr>
                <w:bCs/>
                <w:sz w:val="18"/>
              </w:rPr>
              <w:t>217</w:t>
            </w:r>
          </w:p>
        </w:tc>
        <w:tc>
          <w:tcPr>
            <w:tcW w:w="596" w:type="dxa"/>
            <w:tcBorders>
              <w:top w:val="single" w:sz="4" w:space="0" w:color="auto"/>
              <w:left w:val="nil"/>
            </w:tcBorders>
            <w:shd w:val="clear" w:color="auto" w:fill="auto"/>
            <w:tcMar>
              <w:top w:w="0" w:type="dxa"/>
              <w:left w:w="70" w:type="dxa"/>
              <w:bottom w:w="0" w:type="dxa"/>
              <w:right w:w="70" w:type="dxa"/>
            </w:tcMar>
            <w:vAlign w:val="bottom"/>
            <w:hideMark/>
          </w:tcPr>
          <w:p w:rsidR="00810305" w:rsidRPr="008442C6" w:rsidRDefault="00810305" w:rsidP="009F130B">
            <w:pPr>
              <w:pStyle w:val="SingleTxtG"/>
              <w:suppressAutoHyphens w:val="0"/>
              <w:spacing w:before="40" w:after="40" w:line="220" w:lineRule="exact"/>
              <w:ind w:left="0" w:right="0"/>
              <w:jc w:val="right"/>
              <w:rPr>
                <w:bCs/>
                <w:sz w:val="18"/>
              </w:rPr>
            </w:pPr>
            <w:r w:rsidRPr="008442C6">
              <w:rPr>
                <w:bCs/>
                <w:sz w:val="18"/>
              </w:rPr>
              <w:t>40</w:t>
            </w:r>
          </w:p>
        </w:tc>
        <w:tc>
          <w:tcPr>
            <w:tcW w:w="819" w:type="dxa"/>
            <w:tcBorders>
              <w:top w:val="single" w:sz="4" w:space="0" w:color="auto"/>
            </w:tcBorders>
            <w:shd w:val="clear" w:color="auto" w:fill="auto"/>
            <w:tcMar>
              <w:top w:w="0" w:type="dxa"/>
              <w:left w:w="70" w:type="dxa"/>
              <w:bottom w:w="0" w:type="dxa"/>
              <w:right w:w="70" w:type="dxa"/>
            </w:tcMar>
            <w:vAlign w:val="bottom"/>
            <w:hideMark/>
          </w:tcPr>
          <w:p w:rsidR="00810305" w:rsidRPr="008442C6" w:rsidRDefault="00810305" w:rsidP="009F130B">
            <w:pPr>
              <w:pStyle w:val="SingleTxtG"/>
              <w:suppressAutoHyphens w:val="0"/>
              <w:spacing w:before="40" w:after="40" w:line="220" w:lineRule="exact"/>
              <w:ind w:left="0" w:right="0"/>
              <w:jc w:val="right"/>
              <w:rPr>
                <w:bCs/>
                <w:sz w:val="18"/>
              </w:rPr>
            </w:pPr>
            <w:r w:rsidRPr="008442C6">
              <w:rPr>
                <w:bCs/>
                <w:sz w:val="18"/>
              </w:rPr>
              <w:t>27</w:t>
            </w:r>
          </w:p>
        </w:tc>
        <w:tc>
          <w:tcPr>
            <w:tcW w:w="526" w:type="dxa"/>
            <w:tcBorders>
              <w:top w:val="single" w:sz="4" w:space="0" w:color="auto"/>
            </w:tcBorders>
            <w:shd w:val="clear" w:color="auto" w:fill="auto"/>
            <w:tcMar>
              <w:top w:w="0" w:type="dxa"/>
              <w:left w:w="70" w:type="dxa"/>
              <w:bottom w:w="0" w:type="dxa"/>
              <w:right w:w="70" w:type="dxa"/>
            </w:tcMar>
            <w:vAlign w:val="bottom"/>
            <w:hideMark/>
          </w:tcPr>
          <w:p w:rsidR="00810305" w:rsidRPr="008442C6" w:rsidRDefault="00810305" w:rsidP="009F130B">
            <w:pPr>
              <w:pStyle w:val="SingleTxtG"/>
              <w:suppressAutoHyphens w:val="0"/>
              <w:spacing w:before="40" w:after="40" w:line="220" w:lineRule="exact"/>
              <w:ind w:left="0" w:right="0"/>
              <w:jc w:val="right"/>
              <w:rPr>
                <w:bCs/>
                <w:sz w:val="18"/>
              </w:rPr>
            </w:pPr>
            <w:r w:rsidRPr="008442C6">
              <w:rPr>
                <w:bCs/>
                <w:sz w:val="18"/>
              </w:rPr>
              <w:t>13</w:t>
            </w:r>
          </w:p>
        </w:tc>
        <w:tc>
          <w:tcPr>
            <w:tcW w:w="574" w:type="dxa"/>
            <w:tcBorders>
              <w:top w:val="single" w:sz="4" w:space="0" w:color="auto"/>
              <w:left w:val="nil"/>
            </w:tcBorders>
            <w:shd w:val="clear" w:color="auto" w:fill="auto"/>
            <w:tcMar>
              <w:top w:w="0" w:type="dxa"/>
              <w:left w:w="70" w:type="dxa"/>
              <w:bottom w:w="0" w:type="dxa"/>
              <w:right w:w="70" w:type="dxa"/>
            </w:tcMar>
            <w:vAlign w:val="bottom"/>
            <w:hideMark/>
          </w:tcPr>
          <w:p w:rsidR="00810305" w:rsidRPr="008442C6" w:rsidRDefault="00810305" w:rsidP="009F130B">
            <w:pPr>
              <w:pStyle w:val="SingleTxtG"/>
              <w:suppressAutoHyphens w:val="0"/>
              <w:spacing w:before="40" w:after="40" w:line="220" w:lineRule="exact"/>
              <w:ind w:left="0" w:right="0"/>
              <w:jc w:val="right"/>
              <w:rPr>
                <w:bCs/>
                <w:sz w:val="18"/>
              </w:rPr>
            </w:pPr>
            <w:r w:rsidRPr="008442C6">
              <w:rPr>
                <w:bCs/>
                <w:sz w:val="18"/>
              </w:rPr>
              <w:t>139</w:t>
            </w:r>
          </w:p>
        </w:tc>
        <w:tc>
          <w:tcPr>
            <w:tcW w:w="732" w:type="dxa"/>
            <w:tcBorders>
              <w:top w:val="single" w:sz="4" w:space="0" w:color="auto"/>
            </w:tcBorders>
            <w:shd w:val="clear" w:color="auto" w:fill="auto"/>
            <w:tcMar>
              <w:top w:w="0" w:type="dxa"/>
              <w:left w:w="70" w:type="dxa"/>
              <w:bottom w:w="0" w:type="dxa"/>
              <w:right w:w="70" w:type="dxa"/>
            </w:tcMar>
            <w:vAlign w:val="bottom"/>
            <w:hideMark/>
          </w:tcPr>
          <w:p w:rsidR="00810305" w:rsidRPr="008442C6" w:rsidRDefault="00810305" w:rsidP="009F130B">
            <w:pPr>
              <w:pStyle w:val="SingleTxtG"/>
              <w:suppressAutoHyphens w:val="0"/>
              <w:spacing w:before="40" w:after="40" w:line="220" w:lineRule="exact"/>
              <w:ind w:left="0" w:right="0"/>
              <w:jc w:val="right"/>
              <w:rPr>
                <w:bCs/>
                <w:sz w:val="18"/>
              </w:rPr>
            </w:pPr>
            <w:r w:rsidRPr="008442C6">
              <w:rPr>
                <w:bCs/>
                <w:sz w:val="18"/>
              </w:rPr>
              <w:t>96</w:t>
            </w:r>
          </w:p>
        </w:tc>
        <w:tc>
          <w:tcPr>
            <w:tcW w:w="526" w:type="dxa"/>
            <w:tcBorders>
              <w:top w:val="single" w:sz="4" w:space="0" w:color="auto"/>
            </w:tcBorders>
            <w:shd w:val="clear" w:color="auto" w:fill="auto"/>
            <w:tcMar>
              <w:top w:w="0" w:type="dxa"/>
              <w:left w:w="70" w:type="dxa"/>
              <w:bottom w:w="0" w:type="dxa"/>
              <w:right w:w="70" w:type="dxa"/>
            </w:tcMar>
            <w:vAlign w:val="bottom"/>
            <w:hideMark/>
          </w:tcPr>
          <w:p w:rsidR="00810305" w:rsidRPr="008442C6" w:rsidRDefault="00810305" w:rsidP="009F130B">
            <w:pPr>
              <w:pStyle w:val="SingleTxtG"/>
              <w:suppressAutoHyphens w:val="0"/>
              <w:spacing w:before="40" w:after="40" w:line="220" w:lineRule="exact"/>
              <w:ind w:left="0" w:right="0"/>
              <w:jc w:val="right"/>
              <w:rPr>
                <w:bCs/>
                <w:sz w:val="18"/>
              </w:rPr>
            </w:pPr>
            <w:r w:rsidRPr="008442C6">
              <w:rPr>
                <w:bCs/>
                <w:sz w:val="18"/>
              </w:rPr>
              <w:t>43</w:t>
            </w:r>
          </w:p>
        </w:tc>
        <w:tc>
          <w:tcPr>
            <w:tcW w:w="761" w:type="dxa"/>
            <w:tcBorders>
              <w:top w:val="single" w:sz="4" w:space="0" w:color="auto"/>
              <w:left w:val="nil"/>
            </w:tcBorders>
            <w:shd w:val="clear" w:color="auto" w:fill="auto"/>
            <w:tcMar>
              <w:top w:w="0" w:type="dxa"/>
              <w:left w:w="70" w:type="dxa"/>
              <w:bottom w:w="0" w:type="dxa"/>
              <w:right w:w="70" w:type="dxa"/>
            </w:tcMar>
            <w:vAlign w:val="bottom"/>
            <w:hideMark/>
          </w:tcPr>
          <w:p w:rsidR="00810305" w:rsidRPr="008442C6" w:rsidRDefault="00810305" w:rsidP="009F130B">
            <w:pPr>
              <w:pStyle w:val="SingleTxtG"/>
              <w:suppressAutoHyphens w:val="0"/>
              <w:spacing w:before="40" w:after="40" w:line="220" w:lineRule="exact"/>
              <w:ind w:left="0" w:right="0"/>
              <w:jc w:val="right"/>
              <w:rPr>
                <w:bCs/>
                <w:sz w:val="18"/>
              </w:rPr>
            </w:pPr>
            <w:r w:rsidRPr="008442C6">
              <w:rPr>
                <w:bCs/>
                <w:sz w:val="18"/>
              </w:rPr>
              <w:t>38</w:t>
            </w:r>
          </w:p>
        </w:tc>
        <w:tc>
          <w:tcPr>
            <w:tcW w:w="780" w:type="dxa"/>
            <w:tcBorders>
              <w:top w:val="single" w:sz="4" w:space="0" w:color="auto"/>
            </w:tcBorders>
            <w:shd w:val="clear" w:color="auto" w:fill="auto"/>
            <w:tcMar>
              <w:top w:w="0" w:type="dxa"/>
              <w:left w:w="70" w:type="dxa"/>
              <w:bottom w:w="0" w:type="dxa"/>
              <w:right w:w="70" w:type="dxa"/>
            </w:tcMar>
            <w:vAlign w:val="bottom"/>
            <w:hideMark/>
          </w:tcPr>
          <w:p w:rsidR="00810305" w:rsidRPr="008442C6" w:rsidRDefault="00810305" w:rsidP="009F130B">
            <w:pPr>
              <w:pStyle w:val="SingleTxtG"/>
              <w:suppressAutoHyphens w:val="0"/>
              <w:spacing w:before="40" w:after="40" w:line="220" w:lineRule="exact"/>
              <w:ind w:left="0" w:right="0"/>
              <w:jc w:val="right"/>
              <w:rPr>
                <w:bCs/>
                <w:sz w:val="18"/>
              </w:rPr>
            </w:pPr>
            <w:r w:rsidRPr="008442C6">
              <w:rPr>
                <w:bCs/>
                <w:sz w:val="18"/>
              </w:rPr>
              <w:t>27</w:t>
            </w:r>
          </w:p>
        </w:tc>
        <w:tc>
          <w:tcPr>
            <w:tcW w:w="653" w:type="dxa"/>
            <w:tcBorders>
              <w:top w:val="single" w:sz="4" w:space="0" w:color="auto"/>
            </w:tcBorders>
            <w:shd w:val="clear" w:color="auto" w:fill="auto"/>
            <w:tcMar>
              <w:top w:w="0" w:type="dxa"/>
              <w:left w:w="70" w:type="dxa"/>
              <w:bottom w:w="0" w:type="dxa"/>
              <w:right w:w="70" w:type="dxa"/>
            </w:tcMar>
            <w:vAlign w:val="bottom"/>
            <w:hideMark/>
          </w:tcPr>
          <w:p w:rsidR="00810305" w:rsidRPr="008442C6" w:rsidRDefault="00810305" w:rsidP="009F130B">
            <w:pPr>
              <w:pStyle w:val="SingleTxtG"/>
              <w:suppressAutoHyphens w:val="0"/>
              <w:spacing w:before="40" w:after="40" w:line="220" w:lineRule="exact"/>
              <w:ind w:left="0" w:right="0"/>
              <w:jc w:val="right"/>
              <w:rPr>
                <w:bCs/>
                <w:sz w:val="18"/>
              </w:rPr>
            </w:pPr>
            <w:r w:rsidRPr="008442C6">
              <w:rPr>
                <w:bCs/>
                <w:sz w:val="18"/>
              </w:rPr>
              <w:t>11</w:t>
            </w:r>
          </w:p>
        </w:tc>
        <w:tc>
          <w:tcPr>
            <w:tcW w:w="786" w:type="dxa"/>
            <w:tcBorders>
              <w:top w:val="single" w:sz="4" w:space="0" w:color="auto"/>
              <w:left w:val="nil"/>
            </w:tcBorders>
            <w:shd w:val="clear" w:color="auto" w:fill="auto"/>
            <w:tcMar>
              <w:top w:w="0" w:type="dxa"/>
              <w:left w:w="70" w:type="dxa"/>
              <w:bottom w:w="0" w:type="dxa"/>
              <w:right w:w="70" w:type="dxa"/>
            </w:tcMar>
            <w:vAlign w:val="bottom"/>
            <w:hideMark/>
          </w:tcPr>
          <w:p w:rsidR="00810305" w:rsidRPr="008442C6" w:rsidRDefault="00810305" w:rsidP="009F130B">
            <w:pPr>
              <w:pStyle w:val="SingleTxtG"/>
              <w:suppressAutoHyphens w:val="0"/>
              <w:spacing w:before="40" w:after="40" w:line="220" w:lineRule="exact"/>
              <w:ind w:left="0" w:right="0"/>
              <w:jc w:val="right"/>
              <w:rPr>
                <w:bCs/>
                <w:sz w:val="18"/>
              </w:rPr>
            </w:pPr>
            <w:r w:rsidRPr="008442C6">
              <w:rPr>
                <w:bCs/>
                <w:sz w:val="18"/>
              </w:rPr>
              <w:t>0</w:t>
            </w:r>
          </w:p>
        </w:tc>
        <w:tc>
          <w:tcPr>
            <w:tcW w:w="780" w:type="dxa"/>
            <w:tcBorders>
              <w:top w:val="single" w:sz="4" w:space="0" w:color="auto"/>
            </w:tcBorders>
            <w:shd w:val="clear" w:color="auto" w:fill="auto"/>
            <w:tcMar>
              <w:top w:w="0" w:type="dxa"/>
              <w:left w:w="70" w:type="dxa"/>
              <w:bottom w:w="0" w:type="dxa"/>
              <w:right w:w="70" w:type="dxa"/>
            </w:tcMar>
            <w:vAlign w:val="bottom"/>
            <w:hideMark/>
          </w:tcPr>
          <w:p w:rsidR="00810305" w:rsidRPr="008442C6" w:rsidRDefault="00810305" w:rsidP="009F130B">
            <w:pPr>
              <w:pStyle w:val="SingleTxtG"/>
              <w:suppressAutoHyphens w:val="0"/>
              <w:spacing w:before="40" w:after="40" w:line="220" w:lineRule="exact"/>
              <w:ind w:left="0" w:right="0"/>
              <w:jc w:val="right"/>
              <w:rPr>
                <w:bCs/>
                <w:sz w:val="18"/>
              </w:rPr>
            </w:pPr>
            <w:r w:rsidRPr="008442C6">
              <w:rPr>
                <w:bCs/>
                <w:sz w:val="18"/>
              </w:rPr>
              <w:t>0</w:t>
            </w:r>
          </w:p>
        </w:tc>
        <w:tc>
          <w:tcPr>
            <w:tcW w:w="548" w:type="dxa"/>
            <w:tcBorders>
              <w:top w:val="single" w:sz="4" w:space="0" w:color="auto"/>
            </w:tcBorders>
            <w:shd w:val="clear" w:color="auto" w:fill="auto"/>
            <w:tcMar>
              <w:top w:w="0" w:type="dxa"/>
              <w:left w:w="70" w:type="dxa"/>
              <w:bottom w:w="0" w:type="dxa"/>
              <w:right w:w="70" w:type="dxa"/>
            </w:tcMar>
            <w:vAlign w:val="bottom"/>
            <w:hideMark/>
          </w:tcPr>
          <w:p w:rsidR="00810305" w:rsidRPr="008442C6" w:rsidRDefault="00810305" w:rsidP="009F130B">
            <w:pPr>
              <w:pStyle w:val="SingleTxtG"/>
              <w:suppressAutoHyphens w:val="0"/>
              <w:spacing w:before="40" w:after="40" w:line="220" w:lineRule="exact"/>
              <w:ind w:left="0" w:right="0"/>
              <w:jc w:val="right"/>
              <w:rPr>
                <w:bCs/>
                <w:sz w:val="18"/>
              </w:rPr>
            </w:pPr>
            <w:r w:rsidRPr="008442C6">
              <w:rPr>
                <w:bCs/>
                <w:sz w:val="18"/>
              </w:rPr>
              <w:t>0</w:t>
            </w:r>
          </w:p>
        </w:tc>
      </w:tr>
      <w:tr w:rsidR="00810305" w:rsidRPr="008442C6" w:rsidTr="009F130B">
        <w:trPr>
          <w:jc w:val="center"/>
        </w:trPr>
        <w:tc>
          <w:tcPr>
            <w:tcW w:w="850" w:type="dxa"/>
            <w:tcBorders>
              <w:bottom w:val="single" w:sz="12" w:space="0" w:color="auto"/>
            </w:tcBorders>
            <w:shd w:val="clear" w:color="auto" w:fill="auto"/>
            <w:tcMar>
              <w:top w:w="0" w:type="dxa"/>
              <w:left w:w="70" w:type="dxa"/>
              <w:bottom w:w="0" w:type="dxa"/>
              <w:right w:w="70" w:type="dxa"/>
            </w:tcMar>
            <w:hideMark/>
          </w:tcPr>
          <w:p w:rsidR="00810305" w:rsidRPr="008442C6" w:rsidRDefault="00810305" w:rsidP="009F130B">
            <w:pPr>
              <w:pStyle w:val="SingleTxtG"/>
              <w:suppressAutoHyphens w:val="0"/>
              <w:spacing w:before="40" w:after="40" w:line="220" w:lineRule="exact"/>
              <w:ind w:left="0" w:right="0"/>
              <w:rPr>
                <w:bCs/>
                <w:sz w:val="18"/>
              </w:rPr>
            </w:pPr>
            <w:r w:rsidRPr="008442C6">
              <w:rPr>
                <w:bCs/>
                <w:sz w:val="18"/>
              </w:rPr>
              <w:t>Women</w:t>
            </w:r>
          </w:p>
        </w:tc>
        <w:tc>
          <w:tcPr>
            <w:tcW w:w="708" w:type="dxa"/>
            <w:tcBorders>
              <w:left w:val="nil"/>
              <w:bottom w:val="single" w:sz="12" w:space="0" w:color="auto"/>
            </w:tcBorders>
            <w:shd w:val="clear" w:color="auto" w:fill="auto"/>
            <w:tcMar>
              <w:top w:w="0" w:type="dxa"/>
              <w:left w:w="70" w:type="dxa"/>
              <w:bottom w:w="0" w:type="dxa"/>
              <w:right w:w="70" w:type="dxa"/>
            </w:tcMar>
            <w:vAlign w:val="bottom"/>
            <w:hideMark/>
          </w:tcPr>
          <w:p w:rsidR="00810305" w:rsidRPr="008442C6" w:rsidRDefault="00810305" w:rsidP="003B3469">
            <w:pPr>
              <w:pStyle w:val="SingleTxtG"/>
              <w:suppressAutoHyphens w:val="0"/>
              <w:spacing w:before="40" w:after="40" w:line="220" w:lineRule="exact"/>
              <w:ind w:left="0" w:right="0"/>
              <w:jc w:val="right"/>
              <w:rPr>
                <w:bCs/>
                <w:sz w:val="18"/>
              </w:rPr>
            </w:pPr>
            <w:r w:rsidRPr="008442C6">
              <w:rPr>
                <w:bCs/>
                <w:sz w:val="18"/>
              </w:rPr>
              <w:t>153</w:t>
            </w:r>
          </w:p>
        </w:tc>
        <w:tc>
          <w:tcPr>
            <w:tcW w:w="596" w:type="dxa"/>
            <w:tcBorders>
              <w:left w:val="nil"/>
              <w:bottom w:val="single" w:sz="12" w:space="0" w:color="auto"/>
            </w:tcBorders>
            <w:shd w:val="clear" w:color="auto" w:fill="auto"/>
            <w:tcMar>
              <w:top w:w="0" w:type="dxa"/>
              <w:left w:w="70" w:type="dxa"/>
              <w:bottom w:w="0" w:type="dxa"/>
              <w:right w:w="70" w:type="dxa"/>
            </w:tcMar>
            <w:vAlign w:val="bottom"/>
            <w:hideMark/>
          </w:tcPr>
          <w:p w:rsidR="00810305" w:rsidRPr="008442C6" w:rsidRDefault="00810305" w:rsidP="009F130B">
            <w:pPr>
              <w:pStyle w:val="SingleTxtG"/>
              <w:suppressAutoHyphens w:val="0"/>
              <w:spacing w:before="40" w:after="40" w:line="220" w:lineRule="exact"/>
              <w:ind w:left="0" w:right="0"/>
              <w:jc w:val="right"/>
              <w:rPr>
                <w:bCs/>
                <w:sz w:val="18"/>
              </w:rPr>
            </w:pPr>
            <w:r w:rsidRPr="008442C6">
              <w:rPr>
                <w:bCs/>
                <w:sz w:val="18"/>
              </w:rPr>
              <w:t>41</w:t>
            </w:r>
          </w:p>
        </w:tc>
        <w:tc>
          <w:tcPr>
            <w:tcW w:w="819" w:type="dxa"/>
            <w:tcBorders>
              <w:bottom w:val="single" w:sz="12" w:space="0" w:color="auto"/>
            </w:tcBorders>
            <w:shd w:val="clear" w:color="auto" w:fill="auto"/>
            <w:tcMar>
              <w:top w:w="0" w:type="dxa"/>
              <w:left w:w="70" w:type="dxa"/>
              <w:bottom w:w="0" w:type="dxa"/>
              <w:right w:w="70" w:type="dxa"/>
            </w:tcMar>
            <w:vAlign w:val="bottom"/>
            <w:hideMark/>
          </w:tcPr>
          <w:p w:rsidR="00810305" w:rsidRPr="008442C6" w:rsidRDefault="00810305" w:rsidP="009F130B">
            <w:pPr>
              <w:pStyle w:val="SingleTxtG"/>
              <w:suppressAutoHyphens w:val="0"/>
              <w:spacing w:before="40" w:after="40" w:line="220" w:lineRule="exact"/>
              <w:ind w:left="0" w:right="0"/>
              <w:jc w:val="right"/>
              <w:rPr>
                <w:bCs/>
                <w:sz w:val="18"/>
              </w:rPr>
            </w:pPr>
            <w:r w:rsidRPr="008442C6">
              <w:rPr>
                <w:bCs/>
                <w:sz w:val="18"/>
              </w:rPr>
              <w:t>29</w:t>
            </w:r>
          </w:p>
        </w:tc>
        <w:tc>
          <w:tcPr>
            <w:tcW w:w="526" w:type="dxa"/>
            <w:tcBorders>
              <w:bottom w:val="single" w:sz="12" w:space="0" w:color="auto"/>
            </w:tcBorders>
            <w:shd w:val="clear" w:color="auto" w:fill="auto"/>
            <w:tcMar>
              <w:top w:w="0" w:type="dxa"/>
              <w:left w:w="70" w:type="dxa"/>
              <w:bottom w:w="0" w:type="dxa"/>
              <w:right w:w="70" w:type="dxa"/>
            </w:tcMar>
            <w:vAlign w:val="bottom"/>
            <w:hideMark/>
          </w:tcPr>
          <w:p w:rsidR="00810305" w:rsidRPr="008442C6" w:rsidRDefault="00810305" w:rsidP="009F130B">
            <w:pPr>
              <w:pStyle w:val="SingleTxtG"/>
              <w:suppressAutoHyphens w:val="0"/>
              <w:spacing w:before="40" w:after="40" w:line="220" w:lineRule="exact"/>
              <w:ind w:left="0" w:right="0"/>
              <w:jc w:val="right"/>
              <w:rPr>
                <w:bCs/>
                <w:sz w:val="18"/>
              </w:rPr>
            </w:pPr>
            <w:r w:rsidRPr="008442C6">
              <w:rPr>
                <w:bCs/>
                <w:sz w:val="18"/>
              </w:rPr>
              <w:t>12</w:t>
            </w:r>
          </w:p>
        </w:tc>
        <w:tc>
          <w:tcPr>
            <w:tcW w:w="574" w:type="dxa"/>
            <w:tcBorders>
              <w:left w:val="nil"/>
              <w:bottom w:val="single" w:sz="12" w:space="0" w:color="auto"/>
            </w:tcBorders>
            <w:shd w:val="clear" w:color="auto" w:fill="auto"/>
            <w:tcMar>
              <w:top w:w="0" w:type="dxa"/>
              <w:left w:w="70" w:type="dxa"/>
              <w:bottom w:w="0" w:type="dxa"/>
              <w:right w:w="70" w:type="dxa"/>
            </w:tcMar>
            <w:vAlign w:val="bottom"/>
            <w:hideMark/>
          </w:tcPr>
          <w:p w:rsidR="00810305" w:rsidRPr="008442C6" w:rsidRDefault="00810305" w:rsidP="009F130B">
            <w:pPr>
              <w:pStyle w:val="SingleTxtG"/>
              <w:suppressAutoHyphens w:val="0"/>
              <w:spacing w:before="40" w:after="40" w:line="220" w:lineRule="exact"/>
              <w:ind w:left="0" w:right="0"/>
              <w:jc w:val="right"/>
              <w:rPr>
                <w:bCs/>
                <w:sz w:val="18"/>
              </w:rPr>
            </w:pPr>
            <w:r w:rsidRPr="008442C6">
              <w:rPr>
                <w:bCs/>
                <w:sz w:val="18"/>
              </w:rPr>
              <w:t>88</w:t>
            </w:r>
          </w:p>
        </w:tc>
        <w:tc>
          <w:tcPr>
            <w:tcW w:w="732" w:type="dxa"/>
            <w:tcBorders>
              <w:bottom w:val="single" w:sz="12" w:space="0" w:color="auto"/>
            </w:tcBorders>
            <w:shd w:val="clear" w:color="auto" w:fill="auto"/>
            <w:tcMar>
              <w:top w:w="0" w:type="dxa"/>
              <w:left w:w="70" w:type="dxa"/>
              <w:bottom w:w="0" w:type="dxa"/>
              <w:right w:w="70" w:type="dxa"/>
            </w:tcMar>
            <w:vAlign w:val="bottom"/>
            <w:hideMark/>
          </w:tcPr>
          <w:p w:rsidR="00810305" w:rsidRPr="008442C6" w:rsidRDefault="00810305" w:rsidP="009F130B">
            <w:pPr>
              <w:pStyle w:val="SingleTxtG"/>
              <w:suppressAutoHyphens w:val="0"/>
              <w:spacing w:before="40" w:after="40" w:line="220" w:lineRule="exact"/>
              <w:ind w:left="0" w:right="0"/>
              <w:jc w:val="right"/>
              <w:rPr>
                <w:bCs/>
                <w:sz w:val="18"/>
              </w:rPr>
            </w:pPr>
            <w:r w:rsidRPr="008442C6">
              <w:rPr>
                <w:bCs/>
                <w:sz w:val="18"/>
              </w:rPr>
              <w:t>66</w:t>
            </w:r>
          </w:p>
        </w:tc>
        <w:tc>
          <w:tcPr>
            <w:tcW w:w="526" w:type="dxa"/>
            <w:tcBorders>
              <w:bottom w:val="single" w:sz="12" w:space="0" w:color="auto"/>
            </w:tcBorders>
            <w:shd w:val="clear" w:color="auto" w:fill="auto"/>
            <w:tcMar>
              <w:top w:w="0" w:type="dxa"/>
              <w:left w:w="70" w:type="dxa"/>
              <w:bottom w:w="0" w:type="dxa"/>
              <w:right w:w="70" w:type="dxa"/>
            </w:tcMar>
            <w:vAlign w:val="bottom"/>
            <w:hideMark/>
          </w:tcPr>
          <w:p w:rsidR="00810305" w:rsidRPr="008442C6" w:rsidRDefault="00810305" w:rsidP="009F130B">
            <w:pPr>
              <w:pStyle w:val="SingleTxtG"/>
              <w:suppressAutoHyphens w:val="0"/>
              <w:spacing w:before="40" w:after="40" w:line="220" w:lineRule="exact"/>
              <w:ind w:left="0" w:right="0"/>
              <w:jc w:val="right"/>
              <w:rPr>
                <w:bCs/>
                <w:sz w:val="18"/>
              </w:rPr>
            </w:pPr>
            <w:r w:rsidRPr="008442C6">
              <w:rPr>
                <w:bCs/>
                <w:sz w:val="18"/>
              </w:rPr>
              <w:t>22</w:t>
            </w:r>
          </w:p>
        </w:tc>
        <w:tc>
          <w:tcPr>
            <w:tcW w:w="761" w:type="dxa"/>
            <w:tcBorders>
              <w:left w:val="nil"/>
              <w:bottom w:val="single" w:sz="12" w:space="0" w:color="auto"/>
            </w:tcBorders>
            <w:shd w:val="clear" w:color="auto" w:fill="auto"/>
            <w:tcMar>
              <w:top w:w="0" w:type="dxa"/>
              <w:left w:w="70" w:type="dxa"/>
              <w:bottom w:w="0" w:type="dxa"/>
              <w:right w:w="70" w:type="dxa"/>
            </w:tcMar>
            <w:vAlign w:val="bottom"/>
            <w:hideMark/>
          </w:tcPr>
          <w:p w:rsidR="00810305" w:rsidRPr="008442C6" w:rsidRDefault="00810305" w:rsidP="009F130B">
            <w:pPr>
              <w:pStyle w:val="SingleTxtG"/>
              <w:suppressAutoHyphens w:val="0"/>
              <w:spacing w:before="40" w:after="40" w:line="220" w:lineRule="exact"/>
              <w:ind w:left="0" w:right="0"/>
              <w:jc w:val="right"/>
              <w:rPr>
                <w:bCs/>
                <w:sz w:val="18"/>
              </w:rPr>
            </w:pPr>
            <w:r w:rsidRPr="008442C6">
              <w:rPr>
                <w:bCs/>
                <w:sz w:val="18"/>
              </w:rPr>
              <w:t>23</w:t>
            </w:r>
          </w:p>
        </w:tc>
        <w:tc>
          <w:tcPr>
            <w:tcW w:w="780" w:type="dxa"/>
            <w:tcBorders>
              <w:bottom w:val="single" w:sz="12" w:space="0" w:color="auto"/>
            </w:tcBorders>
            <w:shd w:val="clear" w:color="auto" w:fill="auto"/>
            <w:tcMar>
              <w:top w:w="0" w:type="dxa"/>
              <w:left w:w="70" w:type="dxa"/>
              <w:bottom w:w="0" w:type="dxa"/>
              <w:right w:w="70" w:type="dxa"/>
            </w:tcMar>
            <w:vAlign w:val="bottom"/>
            <w:hideMark/>
          </w:tcPr>
          <w:p w:rsidR="00810305" w:rsidRPr="008442C6" w:rsidRDefault="00810305" w:rsidP="009F130B">
            <w:pPr>
              <w:pStyle w:val="SingleTxtG"/>
              <w:suppressAutoHyphens w:val="0"/>
              <w:spacing w:before="40" w:after="40" w:line="220" w:lineRule="exact"/>
              <w:ind w:left="0" w:right="0"/>
              <w:jc w:val="right"/>
              <w:rPr>
                <w:bCs/>
                <w:sz w:val="18"/>
              </w:rPr>
            </w:pPr>
            <w:r w:rsidRPr="008442C6">
              <w:rPr>
                <w:bCs/>
                <w:sz w:val="18"/>
              </w:rPr>
              <w:t>22</w:t>
            </w:r>
          </w:p>
        </w:tc>
        <w:tc>
          <w:tcPr>
            <w:tcW w:w="653" w:type="dxa"/>
            <w:tcBorders>
              <w:bottom w:val="single" w:sz="12" w:space="0" w:color="auto"/>
            </w:tcBorders>
            <w:shd w:val="clear" w:color="auto" w:fill="auto"/>
            <w:tcMar>
              <w:top w:w="0" w:type="dxa"/>
              <w:left w:w="70" w:type="dxa"/>
              <w:bottom w:w="0" w:type="dxa"/>
              <w:right w:w="70" w:type="dxa"/>
            </w:tcMar>
            <w:vAlign w:val="bottom"/>
            <w:hideMark/>
          </w:tcPr>
          <w:p w:rsidR="00810305" w:rsidRPr="008442C6" w:rsidRDefault="00810305" w:rsidP="009F130B">
            <w:pPr>
              <w:pStyle w:val="SingleTxtG"/>
              <w:suppressAutoHyphens w:val="0"/>
              <w:spacing w:before="40" w:after="40" w:line="220" w:lineRule="exact"/>
              <w:ind w:left="0" w:right="0"/>
              <w:jc w:val="right"/>
              <w:rPr>
                <w:bCs/>
                <w:sz w:val="18"/>
              </w:rPr>
            </w:pPr>
            <w:r w:rsidRPr="008442C6">
              <w:rPr>
                <w:bCs/>
                <w:sz w:val="18"/>
              </w:rPr>
              <w:t>1</w:t>
            </w:r>
          </w:p>
        </w:tc>
        <w:tc>
          <w:tcPr>
            <w:tcW w:w="786" w:type="dxa"/>
            <w:tcBorders>
              <w:left w:val="nil"/>
              <w:bottom w:val="single" w:sz="12" w:space="0" w:color="auto"/>
            </w:tcBorders>
            <w:shd w:val="clear" w:color="auto" w:fill="auto"/>
            <w:tcMar>
              <w:top w:w="0" w:type="dxa"/>
              <w:left w:w="70" w:type="dxa"/>
              <w:bottom w:w="0" w:type="dxa"/>
              <w:right w:w="70" w:type="dxa"/>
            </w:tcMar>
            <w:vAlign w:val="bottom"/>
            <w:hideMark/>
          </w:tcPr>
          <w:p w:rsidR="00810305" w:rsidRPr="008442C6" w:rsidRDefault="00810305" w:rsidP="009F130B">
            <w:pPr>
              <w:pStyle w:val="SingleTxtG"/>
              <w:suppressAutoHyphens w:val="0"/>
              <w:spacing w:before="40" w:after="40" w:line="220" w:lineRule="exact"/>
              <w:ind w:left="0" w:right="0"/>
              <w:jc w:val="right"/>
              <w:rPr>
                <w:bCs/>
                <w:sz w:val="18"/>
              </w:rPr>
            </w:pPr>
            <w:r w:rsidRPr="008442C6">
              <w:rPr>
                <w:bCs/>
                <w:sz w:val="18"/>
              </w:rPr>
              <w:t>1</w:t>
            </w:r>
          </w:p>
        </w:tc>
        <w:tc>
          <w:tcPr>
            <w:tcW w:w="780" w:type="dxa"/>
            <w:tcBorders>
              <w:bottom w:val="single" w:sz="12" w:space="0" w:color="auto"/>
            </w:tcBorders>
            <w:shd w:val="clear" w:color="auto" w:fill="auto"/>
            <w:tcMar>
              <w:top w:w="0" w:type="dxa"/>
              <w:left w:w="70" w:type="dxa"/>
              <w:bottom w:w="0" w:type="dxa"/>
              <w:right w:w="70" w:type="dxa"/>
            </w:tcMar>
            <w:vAlign w:val="bottom"/>
            <w:hideMark/>
          </w:tcPr>
          <w:p w:rsidR="00810305" w:rsidRPr="008442C6" w:rsidRDefault="00810305" w:rsidP="009F130B">
            <w:pPr>
              <w:pStyle w:val="SingleTxtG"/>
              <w:suppressAutoHyphens w:val="0"/>
              <w:spacing w:before="40" w:after="40" w:line="220" w:lineRule="exact"/>
              <w:ind w:left="0" w:right="0"/>
              <w:jc w:val="right"/>
              <w:rPr>
                <w:bCs/>
                <w:sz w:val="18"/>
              </w:rPr>
            </w:pPr>
            <w:r w:rsidRPr="008442C6">
              <w:rPr>
                <w:bCs/>
                <w:sz w:val="18"/>
              </w:rPr>
              <w:t>0</w:t>
            </w:r>
          </w:p>
        </w:tc>
        <w:tc>
          <w:tcPr>
            <w:tcW w:w="548" w:type="dxa"/>
            <w:tcBorders>
              <w:bottom w:val="single" w:sz="12" w:space="0" w:color="auto"/>
            </w:tcBorders>
            <w:shd w:val="clear" w:color="auto" w:fill="auto"/>
            <w:tcMar>
              <w:top w:w="0" w:type="dxa"/>
              <w:left w:w="70" w:type="dxa"/>
              <w:bottom w:w="0" w:type="dxa"/>
              <w:right w:w="70" w:type="dxa"/>
            </w:tcMar>
            <w:vAlign w:val="bottom"/>
            <w:hideMark/>
          </w:tcPr>
          <w:p w:rsidR="00810305" w:rsidRPr="008442C6" w:rsidRDefault="00810305" w:rsidP="009F130B">
            <w:pPr>
              <w:pStyle w:val="SingleTxtG"/>
              <w:suppressAutoHyphens w:val="0"/>
              <w:spacing w:before="40" w:after="40" w:line="220" w:lineRule="exact"/>
              <w:ind w:left="0" w:right="0"/>
              <w:jc w:val="right"/>
              <w:rPr>
                <w:bCs/>
                <w:sz w:val="18"/>
              </w:rPr>
            </w:pPr>
            <w:r w:rsidRPr="008442C6">
              <w:rPr>
                <w:bCs/>
                <w:sz w:val="18"/>
              </w:rPr>
              <w:t>1</w:t>
            </w:r>
          </w:p>
        </w:tc>
      </w:tr>
    </w:tbl>
    <w:p w:rsidR="00BD77CC" w:rsidRPr="008442C6" w:rsidRDefault="00BD77CC" w:rsidP="00E01E2D">
      <w:pPr>
        <w:spacing w:before="120"/>
        <w:ind w:left="113" w:right="1134" w:firstLine="170"/>
        <w:rPr>
          <w:sz w:val="18"/>
          <w:szCs w:val="18"/>
        </w:rPr>
      </w:pPr>
      <w:r w:rsidRPr="008442C6">
        <w:rPr>
          <w:i/>
          <w:iCs/>
          <w:sz w:val="18"/>
          <w:szCs w:val="18"/>
        </w:rPr>
        <w:t>Source</w:t>
      </w:r>
      <w:r w:rsidRPr="008442C6">
        <w:rPr>
          <w:sz w:val="18"/>
          <w:szCs w:val="18"/>
        </w:rPr>
        <w:t>: Foreigners and Borders Office</w:t>
      </w:r>
      <w:r w:rsidR="00E01E2D" w:rsidRPr="008442C6">
        <w:rPr>
          <w:sz w:val="18"/>
          <w:szCs w:val="18"/>
        </w:rPr>
        <w:t>.</w:t>
      </w:r>
    </w:p>
    <w:p w:rsidR="00BD77CC" w:rsidRPr="008442C6" w:rsidRDefault="00BD77CC" w:rsidP="00E01E2D">
      <w:pPr>
        <w:ind w:left="113" w:right="1134" w:firstLine="170"/>
        <w:rPr>
          <w:sz w:val="18"/>
          <w:szCs w:val="18"/>
        </w:rPr>
      </w:pPr>
      <w:r w:rsidRPr="008442C6">
        <w:rPr>
          <w:i/>
          <w:iCs/>
          <w:sz w:val="18"/>
          <w:szCs w:val="18"/>
        </w:rPr>
        <w:t>Note</w:t>
      </w:r>
      <w:r w:rsidRPr="008442C6">
        <w:rPr>
          <w:sz w:val="18"/>
          <w:szCs w:val="18"/>
        </w:rPr>
        <w:t xml:space="preserve">: AR RH </w:t>
      </w:r>
      <w:r w:rsidR="00E01E2D" w:rsidRPr="008442C6">
        <w:rPr>
          <w:sz w:val="18"/>
          <w:szCs w:val="18"/>
        </w:rPr>
        <w:t>–</w:t>
      </w:r>
      <w:r w:rsidRPr="008442C6">
        <w:rPr>
          <w:sz w:val="18"/>
          <w:szCs w:val="18"/>
        </w:rPr>
        <w:t xml:space="preserve"> Residence permits for humanitarian reasons; REF </w:t>
      </w:r>
      <w:r w:rsidR="00E01E2D" w:rsidRPr="008442C6">
        <w:rPr>
          <w:sz w:val="18"/>
          <w:szCs w:val="18"/>
        </w:rPr>
        <w:t>–</w:t>
      </w:r>
      <w:r w:rsidRPr="008442C6">
        <w:rPr>
          <w:sz w:val="18"/>
          <w:szCs w:val="18"/>
        </w:rPr>
        <w:t xml:space="preserve"> Recognized refugee status</w:t>
      </w:r>
      <w:r w:rsidR="00E01E2D" w:rsidRPr="008442C6">
        <w:rPr>
          <w:sz w:val="18"/>
          <w:szCs w:val="18"/>
        </w:rPr>
        <w:t>.</w:t>
      </w:r>
    </w:p>
    <w:p w:rsidR="00BD77CC" w:rsidRPr="008442C6" w:rsidRDefault="00293F0A" w:rsidP="00293F0A">
      <w:pPr>
        <w:pStyle w:val="H23G"/>
        <w:spacing w:after="240"/>
      </w:pPr>
      <w:r w:rsidRPr="008442C6">
        <w:tab/>
      </w:r>
      <w:r w:rsidRPr="008442C6">
        <w:tab/>
      </w:r>
      <w:r w:rsidR="002C13AD" w:rsidRPr="008442C6">
        <w:t>Requests for i</w:t>
      </w:r>
      <w:r w:rsidR="00BD77CC" w:rsidRPr="008442C6">
        <w:t xml:space="preserve">nternational </w:t>
      </w:r>
      <w:r w:rsidRPr="008442C6">
        <w:t>p</w:t>
      </w:r>
      <w:r w:rsidR="00BD77CC" w:rsidRPr="008442C6">
        <w:t>rotection – unaccompanied minors</w:t>
      </w:r>
    </w:p>
    <w:tbl>
      <w:tblPr>
        <w:tblW w:w="9637" w:type="dxa"/>
        <w:tblLayout w:type="fixed"/>
        <w:tblCellMar>
          <w:left w:w="0" w:type="dxa"/>
          <w:right w:w="0" w:type="dxa"/>
        </w:tblCellMar>
        <w:tblLook w:val="04A0" w:firstRow="1" w:lastRow="0" w:firstColumn="1" w:lastColumn="0" w:noHBand="0" w:noVBand="1"/>
      </w:tblPr>
      <w:tblGrid>
        <w:gridCol w:w="625"/>
        <w:gridCol w:w="632"/>
        <w:gridCol w:w="631"/>
        <w:gridCol w:w="589"/>
        <w:gridCol w:w="601"/>
        <w:gridCol w:w="601"/>
        <w:gridCol w:w="632"/>
        <w:gridCol w:w="631"/>
        <w:gridCol w:w="589"/>
        <w:gridCol w:w="601"/>
        <w:gridCol w:w="601"/>
        <w:gridCol w:w="632"/>
        <w:gridCol w:w="631"/>
        <w:gridCol w:w="589"/>
        <w:gridCol w:w="601"/>
        <w:gridCol w:w="451"/>
      </w:tblGrid>
      <w:tr w:rsidR="005D6D0E" w:rsidRPr="008442C6" w:rsidTr="009F130B">
        <w:trPr>
          <w:tblHeader/>
        </w:trPr>
        <w:tc>
          <w:tcPr>
            <w:tcW w:w="551" w:type="dxa"/>
            <w:vMerge w:val="restart"/>
            <w:tcBorders>
              <w:top w:val="single" w:sz="4" w:space="0" w:color="auto"/>
              <w:bottom w:val="single" w:sz="12" w:space="0" w:color="auto"/>
            </w:tcBorders>
            <w:shd w:val="clear" w:color="auto" w:fill="auto"/>
            <w:vAlign w:val="center"/>
            <w:hideMark/>
          </w:tcPr>
          <w:p w:rsidR="005D6D0E" w:rsidRPr="008442C6" w:rsidRDefault="005D6D0E" w:rsidP="00293F0A">
            <w:pPr>
              <w:pStyle w:val="SingleTxtG"/>
              <w:suppressAutoHyphens w:val="0"/>
              <w:spacing w:before="80" w:after="80" w:line="200" w:lineRule="exact"/>
              <w:ind w:left="0" w:right="0"/>
              <w:jc w:val="left"/>
              <w:rPr>
                <w:i/>
                <w:sz w:val="16"/>
              </w:rPr>
            </w:pPr>
            <w:r w:rsidRPr="008442C6">
              <w:rPr>
                <w:i/>
                <w:sz w:val="16"/>
              </w:rPr>
              <w:t>Year</w:t>
            </w:r>
          </w:p>
        </w:tc>
        <w:tc>
          <w:tcPr>
            <w:tcW w:w="558" w:type="dxa"/>
            <w:vMerge w:val="restart"/>
            <w:tcBorders>
              <w:top w:val="single" w:sz="4" w:space="0" w:color="auto"/>
              <w:bottom w:val="single" w:sz="12" w:space="0" w:color="auto"/>
            </w:tcBorders>
            <w:shd w:val="clear" w:color="auto" w:fill="auto"/>
            <w:tcMar>
              <w:top w:w="0" w:type="dxa"/>
              <w:left w:w="70" w:type="dxa"/>
              <w:bottom w:w="0" w:type="dxa"/>
              <w:right w:w="70" w:type="dxa"/>
            </w:tcMar>
            <w:vAlign w:val="center"/>
            <w:hideMark/>
          </w:tcPr>
          <w:p w:rsidR="005D6D0E" w:rsidRPr="008442C6" w:rsidRDefault="005D6D0E" w:rsidP="00B51031">
            <w:pPr>
              <w:pStyle w:val="SingleTxtG"/>
              <w:suppressAutoHyphens w:val="0"/>
              <w:spacing w:before="80" w:after="80" w:line="200" w:lineRule="exact"/>
              <w:ind w:left="0" w:right="0"/>
              <w:jc w:val="right"/>
              <w:rPr>
                <w:bCs/>
                <w:i/>
                <w:sz w:val="16"/>
              </w:rPr>
            </w:pPr>
            <w:r w:rsidRPr="008442C6">
              <w:rPr>
                <w:bCs/>
                <w:i/>
                <w:sz w:val="16"/>
              </w:rPr>
              <w:t>Total</w:t>
            </w:r>
          </w:p>
        </w:tc>
        <w:tc>
          <w:tcPr>
            <w:tcW w:w="7395" w:type="dxa"/>
            <w:gridSpan w:val="14"/>
            <w:tcBorders>
              <w:top w:val="single" w:sz="4" w:space="0" w:color="auto"/>
              <w:bottom w:val="single" w:sz="4" w:space="0" w:color="auto"/>
            </w:tcBorders>
            <w:shd w:val="clear" w:color="auto" w:fill="auto"/>
            <w:tcMar>
              <w:top w:w="0" w:type="dxa"/>
              <w:left w:w="70" w:type="dxa"/>
              <w:bottom w:w="0" w:type="dxa"/>
              <w:right w:w="70" w:type="dxa"/>
            </w:tcMar>
            <w:vAlign w:val="bottom"/>
            <w:hideMark/>
          </w:tcPr>
          <w:p w:rsidR="005D6D0E" w:rsidRPr="008442C6" w:rsidRDefault="005D6D0E" w:rsidP="00293F0A">
            <w:pPr>
              <w:pStyle w:val="SingleTxtG"/>
              <w:suppressAutoHyphens w:val="0"/>
              <w:spacing w:before="80" w:after="80" w:line="200" w:lineRule="exact"/>
              <w:ind w:left="0" w:right="0"/>
              <w:jc w:val="center"/>
              <w:rPr>
                <w:bCs/>
                <w:i/>
                <w:sz w:val="16"/>
              </w:rPr>
            </w:pPr>
            <w:r w:rsidRPr="008442C6">
              <w:rPr>
                <w:bCs/>
                <w:i/>
                <w:sz w:val="16"/>
              </w:rPr>
              <w:t>Age</w:t>
            </w:r>
          </w:p>
        </w:tc>
      </w:tr>
      <w:tr w:rsidR="005D6D0E" w:rsidRPr="008442C6" w:rsidTr="00B51031">
        <w:trPr>
          <w:tblHeader/>
        </w:trPr>
        <w:tc>
          <w:tcPr>
            <w:tcW w:w="551" w:type="dxa"/>
            <w:vMerge/>
            <w:tcBorders>
              <w:top w:val="single" w:sz="12" w:space="0" w:color="auto"/>
            </w:tcBorders>
            <w:shd w:val="clear" w:color="auto" w:fill="auto"/>
            <w:vAlign w:val="bottom"/>
            <w:hideMark/>
          </w:tcPr>
          <w:p w:rsidR="005D6D0E" w:rsidRPr="008442C6" w:rsidRDefault="005D6D0E" w:rsidP="00293F0A">
            <w:pPr>
              <w:pStyle w:val="SingleTxtG"/>
              <w:suppressAutoHyphens w:val="0"/>
              <w:spacing w:before="80" w:after="80" w:line="200" w:lineRule="exact"/>
              <w:ind w:left="0" w:right="0"/>
              <w:rPr>
                <w:sz w:val="18"/>
              </w:rPr>
            </w:pPr>
          </w:p>
        </w:tc>
        <w:tc>
          <w:tcPr>
            <w:tcW w:w="558" w:type="dxa"/>
            <w:vMerge/>
            <w:tcBorders>
              <w:top w:val="single" w:sz="12" w:space="0" w:color="auto"/>
            </w:tcBorders>
            <w:shd w:val="clear" w:color="auto" w:fill="auto"/>
            <w:vAlign w:val="bottom"/>
            <w:hideMark/>
          </w:tcPr>
          <w:p w:rsidR="005D6D0E" w:rsidRPr="008442C6" w:rsidRDefault="005D6D0E" w:rsidP="00293F0A">
            <w:pPr>
              <w:pStyle w:val="SingleTxtG"/>
              <w:suppressAutoHyphens w:val="0"/>
              <w:spacing w:before="80" w:after="80" w:line="200" w:lineRule="exact"/>
              <w:ind w:left="0" w:right="0"/>
              <w:jc w:val="right"/>
              <w:rPr>
                <w:bCs/>
                <w:sz w:val="18"/>
              </w:rPr>
            </w:pPr>
          </w:p>
        </w:tc>
        <w:tc>
          <w:tcPr>
            <w:tcW w:w="2137" w:type="dxa"/>
            <w:gridSpan w:val="4"/>
            <w:tcBorders>
              <w:top w:val="single" w:sz="4" w:space="0" w:color="auto"/>
              <w:bottom w:val="single" w:sz="4" w:space="0" w:color="auto"/>
              <w:right w:val="single" w:sz="24" w:space="0" w:color="FFFFFF" w:themeColor="background1"/>
            </w:tcBorders>
            <w:shd w:val="clear" w:color="auto" w:fill="auto"/>
            <w:vAlign w:val="bottom"/>
            <w:hideMark/>
          </w:tcPr>
          <w:p w:rsidR="005D6D0E" w:rsidRPr="008442C6" w:rsidRDefault="005D6D0E" w:rsidP="00293F0A">
            <w:pPr>
              <w:pStyle w:val="SingleTxtG"/>
              <w:suppressAutoHyphens w:val="0"/>
              <w:spacing w:before="80" w:after="80" w:line="200" w:lineRule="exact"/>
              <w:ind w:left="0" w:right="0"/>
              <w:jc w:val="center"/>
              <w:rPr>
                <w:bCs/>
                <w:i/>
                <w:spacing w:val="4"/>
                <w:w w:val="103"/>
                <w:kern w:val="14"/>
                <w:sz w:val="16"/>
              </w:rPr>
            </w:pPr>
            <w:r w:rsidRPr="008442C6">
              <w:rPr>
                <w:bCs/>
                <w:i/>
                <w:spacing w:val="4"/>
                <w:w w:val="103"/>
                <w:kern w:val="14"/>
                <w:sz w:val="16"/>
              </w:rPr>
              <w:t>Total</w:t>
            </w:r>
          </w:p>
        </w:tc>
        <w:tc>
          <w:tcPr>
            <w:tcW w:w="2695" w:type="dxa"/>
            <w:gridSpan w:val="5"/>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5D6D0E" w:rsidRPr="008442C6" w:rsidRDefault="005D6D0E" w:rsidP="00293F0A">
            <w:pPr>
              <w:pStyle w:val="SingleTxtG"/>
              <w:suppressAutoHyphens w:val="0"/>
              <w:spacing w:before="80" w:after="80" w:line="200" w:lineRule="exact"/>
              <w:ind w:left="0" w:right="0"/>
              <w:jc w:val="center"/>
              <w:rPr>
                <w:bCs/>
                <w:i/>
                <w:spacing w:val="4"/>
                <w:w w:val="103"/>
                <w:kern w:val="14"/>
                <w:sz w:val="16"/>
              </w:rPr>
            </w:pPr>
            <w:r w:rsidRPr="008442C6">
              <w:rPr>
                <w:bCs/>
                <w:i/>
                <w:spacing w:val="4"/>
                <w:w w:val="103"/>
                <w:kern w:val="14"/>
                <w:sz w:val="16"/>
              </w:rPr>
              <w:t>Men</w:t>
            </w:r>
          </w:p>
        </w:tc>
        <w:tc>
          <w:tcPr>
            <w:tcW w:w="2563" w:type="dxa"/>
            <w:gridSpan w:val="5"/>
            <w:tcBorders>
              <w:top w:val="single" w:sz="4" w:space="0" w:color="auto"/>
              <w:left w:val="single" w:sz="24" w:space="0" w:color="FFFFFF" w:themeColor="background1"/>
              <w:bottom w:val="single" w:sz="4" w:space="0" w:color="auto"/>
            </w:tcBorders>
            <w:shd w:val="clear" w:color="auto" w:fill="auto"/>
            <w:vAlign w:val="bottom"/>
          </w:tcPr>
          <w:p w:rsidR="005D6D0E" w:rsidRPr="008442C6" w:rsidRDefault="005D6D0E" w:rsidP="00293F0A">
            <w:pPr>
              <w:pStyle w:val="SingleTxtG"/>
              <w:suppressAutoHyphens w:val="0"/>
              <w:spacing w:before="80" w:after="80" w:line="200" w:lineRule="exact"/>
              <w:ind w:left="0" w:right="0"/>
              <w:jc w:val="center"/>
              <w:rPr>
                <w:bCs/>
                <w:i/>
                <w:spacing w:val="4"/>
                <w:w w:val="103"/>
                <w:kern w:val="14"/>
                <w:sz w:val="16"/>
              </w:rPr>
            </w:pPr>
            <w:r w:rsidRPr="008442C6">
              <w:rPr>
                <w:bCs/>
                <w:i/>
                <w:spacing w:val="4"/>
                <w:w w:val="103"/>
                <w:kern w:val="14"/>
                <w:sz w:val="16"/>
              </w:rPr>
              <w:t>Women</w:t>
            </w:r>
          </w:p>
        </w:tc>
      </w:tr>
      <w:tr w:rsidR="005D6D0E" w:rsidRPr="008442C6" w:rsidTr="00B51031">
        <w:trPr>
          <w:tblHeader/>
        </w:trPr>
        <w:tc>
          <w:tcPr>
            <w:tcW w:w="551" w:type="dxa"/>
            <w:vMerge/>
            <w:tcBorders>
              <w:bottom w:val="single" w:sz="12" w:space="0" w:color="auto"/>
            </w:tcBorders>
            <w:shd w:val="clear" w:color="auto" w:fill="auto"/>
            <w:vAlign w:val="bottom"/>
            <w:hideMark/>
          </w:tcPr>
          <w:p w:rsidR="005D6D0E" w:rsidRPr="008442C6" w:rsidRDefault="005D6D0E" w:rsidP="00293F0A">
            <w:pPr>
              <w:pStyle w:val="SingleTxtG"/>
              <w:suppressAutoHyphens w:val="0"/>
              <w:spacing w:before="80" w:after="80" w:line="200" w:lineRule="exact"/>
              <w:ind w:left="0" w:right="0"/>
              <w:rPr>
                <w:sz w:val="18"/>
              </w:rPr>
            </w:pPr>
          </w:p>
        </w:tc>
        <w:tc>
          <w:tcPr>
            <w:tcW w:w="558" w:type="dxa"/>
            <w:vMerge/>
            <w:tcBorders>
              <w:bottom w:val="single" w:sz="12" w:space="0" w:color="auto"/>
            </w:tcBorders>
            <w:shd w:val="clear" w:color="auto" w:fill="auto"/>
            <w:vAlign w:val="bottom"/>
            <w:hideMark/>
          </w:tcPr>
          <w:p w:rsidR="005D6D0E" w:rsidRPr="008442C6" w:rsidRDefault="005D6D0E" w:rsidP="00293F0A">
            <w:pPr>
              <w:pStyle w:val="SingleTxtG"/>
              <w:suppressAutoHyphens w:val="0"/>
              <w:spacing w:before="80" w:after="80" w:line="200" w:lineRule="exact"/>
              <w:ind w:left="0" w:right="0"/>
              <w:jc w:val="right"/>
              <w:rPr>
                <w:bCs/>
                <w:sz w:val="18"/>
              </w:rPr>
            </w:pPr>
          </w:p>
        </w:tc>
        <w:tc>
          <w:tcPr>
            <w:tcW w:w="557" w:type="dxa"/>
            <w:tcBorders>
              <w:top w:val="single" w:sz="4" w:space="0" w:color="auto"/>
              <w:bottom w:val="single" w:sz="12" w:space="0" w:color="auto"/>
            </w:tcBorders>
            <w:shd w:val="clear" w:color="auto" w:fill="auto"/>
            <w:tcMar>
              <w:top w:w="0" w:type="dxa"/>
              <w:left w:w="70" w:type="dxa"/>
              <w:bottom w:w="0" w:type="dxa"/>
              <w:right w:w="70" w:type="dxa"/>
            </w:tcMar>
            <w:vAlign w:val="bottom"/>
            <w:hideMark/>
          </w:tcPr>
          <w:p w:rsidR="005D6D0E" w:rsidRPr="008442C6" w:rsidRDefault="005D6D0E" w:rsidP="00293F0A">
            <w:pPr>
              <w:pStyle w:val="SingleTxtG"/>
              <w:suppressAutoHyphens w:val="0"/>
              <w:spacing w:before="80" w:after="80" w:line="200" w:lineRule="exact"/>
              <w:ind w:left="0" w:right="0"/>
              <w:jc w:val="right"/>
              <w:rPr>
                <w:bCs/>
                <w:i/>
                <w:spacing w:val="4"/>
                <w:w w:val="103"/>
                <w:kern w:val="14"/>
                <w:sz w:val="16"/>
              </w:rPr>
            </w:pPr>
            <w:r w:rsidRPr="008442C6">
              <w:rPr>
                <w:bCs/>
                <w:i/>
                <w:spacing w:val="4"/>
                <w:w w:val="103"/>
                <w:kern w:val="14"/>
                <w:sz w:val="16"/>
              </w:rPr>
              <w:t>UNK</w:t>
            </w:r>
          </w:p>
        </w:tc>
        <w:tc>
          <w:tcPr>
            <w:tcW w:w="520" w:type="dxa"/>
            <w:tcBorders>
              <w:top w:val="single" w:sz="4" w:space="0" w:color="auto"/>
              <w:bottom w:val="single" w:sz="12" w:space="0" w:color="auto"/>
            </w:tcBorders>
            <w:shd w:val="clear" w:color="auto" w:fill="auto"/>
            <w:tcMar>
              <w:top w:w="0" w:type="dxa"/>
              <w:left w:w="70" w:type="dxa"/>
              <w:bottom w:w="0" w:type="dxa"/>
              <w:right w:w="70" w:type="dxa"/>
            </w:tcMar>
            <w:vAlign w:val="bottom"/>
            <w:hideMark/>
          </w:tcPr>
          <w:p w:rsidR="005D6D0E" w:rsidRPr="008442C6" w:rsidRDefault="005D6D0E" w:rsidP="00325AEF">
            <w:pPr>
              <w:pStyle w:val="SingleTxtG"/>
              <w:suppressAutoHyphens w:val="0"/>
              <w:spacing w:before="80" w:after="80" w:line="200" w:lineRule="exact"/>
              <w:ind w:left="0" w:right="0"/>
              <w:jc w:val="right"/>
              <w:rPr>
                <w:bCs/>
                <w:i/>
                <w:spacing w:val="4"/>
                <w:w w:val="103"/>
                <w:kern w:val="14"/>
                <w:sz w:val="16"/>
              </w:rPr>
            </w:pPr>
            <w:r w:rsidRPr="008442C6">
              <w:rPr>
                <w:bCs/>
                <w:i/>
                <w:spacing w:val="4"/>
                <w:w w:val="103"/>
                <w:kern w:val="14"/>
                <w:sz w:val="16"/>
              </w:rPr>
              <w:t>0</w:t>
            </w:r>
            <w:r w:rsidR="00325AEF" w:rsidRPr="008442C6">
              <w:rPr>
                <w:bCs/>
                <w:i/>
                <w:spacing w:val="4"/>
                <w:w w:val="103"/>
                <w:kern w:val="14"/>
                <w:sz w:val="16"/>
              </w:rPr>
              <w:t>–</w:t>
            </w:r>
            <w:r w:rsidRPr="008442C6">
              <w:rPr>
                <w:bCs/>
                <w:i/>
                <w:spacing w:val="4"/>
                <w:w w:val="103"/>
                <w:kern w:val="14"/>
                <w:sz w:val="16"/>
              </w:rPr>
              <w:t>13</w:t>
            </w:r>
          </w:p>
        </w:tc>
        <w:tc>
          <w:tcPr>
            <w:tcW w:w="530" w:type="dxa"/>
            <w:tcBorders>
              <w:top w:val="single" w:sz="4" w:space="0" w:color="auto"/>
              <w:bottom w:val="single" w:sz="12" w:space="0" w:color="auto"/>
            </w:tcBorders>
            <w:shd w:val="clear" w:color="auto" w:fill="auto"/>
            <w:tcMar>
              <w:top w:w="0" w:type="dxa"/>
              <w:left w:w="70" w:type="dxa"/>
              <w:bottom w:w="0" w:type="dxa"/>
              <w:right w:w="70" w:type="dxa"/>
            </w:tcMar>
            <w:vAlign w:val="bottom"/>
            <w:hideMark/>
          </w:tcPr>
          <w:p w:rsidR="005D6D0E" w:rsidRPr="008442C6" w:rsidRDefault="005D6D0E" w:rsidP="00325AEF">
            <w:pPr>
              <w:pStyle w:val="SingleTxtG"/>
              <w:suppressAutoHyphens w:val="0"/>
              <w:spacing w:before="80" w:after="80" w:line="200" w:lineRule="exact"/>
              <w:ind w:left="0" w:right="0"/>
              <w:jc w:val="right"/>
              <w:rPr>
                <w:bCs/>
                <w:i/>
                <w:spacing w:val="4"/>
                <w:w w:val="103"/>
                <w:kern w:val="14"/>
                <w:sz w:val="16"/>
              </w:rPr>
            </w:pPr>
            <w:r w:rsidRPr="008442C6">
              <w:rPr>
                <w:bCs/>
                <w:i/>
                <w:spacing w:val="4"/>
                <w:w w:val="103"/>
                <w:kern w:val="14"/>
                <w:sz w:val="16"/>
              </w:rPr>
              <w:t>14</w:t>
            </w:r>
            <w:r w:rsidR="00325AEF" w:rsidRPr="008442C6">
              <w:rPr>
                <w:bCs/>
                <w:i/>
                <w:spacing w:val="4"/>
                <w:w w:val="103"/>
                <w:kern w:val="14"/>
                <w:sz w:val="16"/>
              </w:rPr>
              <w:t>–</w:t>
            </w:r>
            <w:r w:rsidRPr="008442C6">
              <w:rPr>
                <w:bCs/>
                <w:i/>
                <w:spacing w:val="4"/>
                <w:w w:val="103"/>
                <w:kern w:val="14"/>
                <w:sz w:val="16"/>
              </w:rPr>
              <w:t>15</w:t>
            </w:r>
          </w:p>
        </w:tc>
        <w:tc>
          <w:tcPr>
            <w:tcW w:w="530" w:type="dxa"/>
            <w:tcBorders>
              <w:top w:val="single" w:sz="4" w:space="0" w:color="auto"/>
              <w:bottom w:val="single" w:sz="12" w:space="0" w:color="auto"/>
              <w:right w:val="single" w:sz="24" w:space="0" w:color="FFFFFF" w:themeColor="background1"/>
            </w:tcBorders>
            <w:shd w:val="clear" w:color="auto" w:fill="auto"/>
            <w:tcMar>
              <w:top w:w="0" w:type="dxa"/>
              <w:left w:w="70" w:type="dxa"/>
              <w:bottom w:w="0" w:type="dxa"/>
              <w:right w:w="70" w:type="dxa"/>
            </w:tcMar>
            <w:vAlign w:val="bottom"/>
            <w:hideMark/>
          </w:tcPr>
          <w:p w:rsidR="005D6D0E" w:rsidRPr="008442C6" w:rsidRDefault="005D6D0E" w:rsidP="00325AEF">
            <w:pPr>
              <w:pStyle w:val="SingleTxtG"/>
              <w:suppressAutoHyphens w:val="0"/>
              <w:spacing w:before="80" w:after="80" w:line="200" w:lineRule="exact"/>
              <w:ind w:left="0" w:right="0"/>
              <w:jc w:val="right"/>
              <w:rPr>
                <w:bCs/>
                <w:i/>
                <w:spacing w:val="4"/>
                <w:w w:val="103"/>
                <w:kern w:val="14"/>
                <w:sz w:val="16"/>
              </w:rPr>
            </w:pPr>
            <w:r w:rsidRPr="008442C6">
              <w:rPr>
                <w:bCs/>
                <w:i/>
                <w:spacing w:val="4"/>
                <w:w w:val="103"/>
                <w:kern w:val="14"/>
                <w:sz w:val="16"/>
              </w:rPr>
              <w:t>16</w:t>
            </w:r>
            <w:r w:rsidR="00325AEF" w:rsidRPr="008442C6">
              <w:rPr>
                <w:bCs/>
                <w:i/>
                <w:spacing w:val="4"/>
                <w:w w:val="103"/>
                <w:kern w:val="14"/>
                <w:sz w:val="16"/>
              </w:rPr>
              <w:t>–</w:t>
            </w:r>
            <w:r w:rsidRPr="008442C6">
              <w:rPr>
                <w:bCs/>
                <w:i/>
                <w:spacing w:val="4"/>
                <w:w w:val="103"/>
                <w:kern w:val="14"/>
                <w:sz w:val="16"/>
              </w:rPr>
              <w:t>17</w:t>
            </w:r>
          </w:p>
        </w:tc>
        <w:tc>
          <w:tcPr>
            <w:tcW w:w="558" w:type="dxa"/>
            <w:tcBorders>
              <w:top w:val="single" w:sz="4" w:space="0" w:color="auto"/>
              <w:left w:val="single" w:sz="24" w:space="0" w:color="FFFFFF" w:themeColor="background1"/>
              <w:bottom w:val="single" w:sz="12" w:space="0" w:color="auto"/>
            </w:tcBorders>
            <w:shd w:val="clear" w:color="auto" w:fill="auto"/>
            <w:tcMar>
              <w:top w:w="0" w:type="dxa"/>
              <w:left w:w="70" w:type="dxa"/>
              <w:bottom w:w="0" w:type="dxa"/>
              <w:right w:w="70" w:type="dxa"/>
            </w:tcMar>
            <w:vAlign w:val="bottom"/>
            <w:hideMark/>
          </w:tcPr>
          <w:p w:rsidR="005D6D0E" w:rsidRPr="008442C6" w:rsidRDefault="005D6D0E" w:rsidP="00293F0A">
            <w:pPr>
              <w:pStyle w:val="SingleTxtG"/>
              <w:suppressAutoHyphens w:val="0"/>
              <w:spacing w:before="80" w:after="80" w:line="200" w:lineRule="exact"/>
              <w:ind w:left="0" w:right="0"/>
              <w:jc w:val="right"/>
              <w:rPr>
                <w:bCs/>
                <w:i/>
                <w:spacing w:val="4"/>
                <w:w w:val="103"/>
                <w:kern w:val="14"/>
                <w:sz w:val="16"/>
              </w:rPr>
            </w:pPr>
            <w:r w:rsidRPr="008442C6">
              <w:rPr>
                <w:bCs/>
                <w:i/>
                <w:spacing w:val="4"/>
                <w:w w:val="103"/>
                <w:kern w:val="14"/>
                <w:sz w:val="16"/>
              </w:rPr>
              <w:t>Total</w:t>
            </w:r>
          </w:p>
        </w:tc>
        <w:tc>
          <w:tcPr>
            <w:tcW w:w="557" w:type="dxa"/>
            <w:tcBorders>
              <w:top w:val="single" w:sz="4" w:space="0" w:color="auto"/>
              <w:bottom w:val="single" w:sz="12" w:space="0" w:color="auto"/>
            </w:tcBorders>
            <w:shd w:val="clear" w:color="auto" w:fill="auto"/>
            <w:tcMar>
              <w:top w:w="0" w:type="dxa"/>
              <w:left w:w="70" w:type="dxa"/>
              <w:bottom w:w="0" w:type="dxa"/>
              <w:right w:w="70" w:type="dxa"/>
            </w:tcMar>
            <w:vAlign w:val="bottom"/>
            <w:hideMark/>
          </w:tcPr>
          <w:p w:rsidR="005D6D0E" w:rsidRPr="008442C6" w:rsidRDefault="005D6D0E" w:rsidP="00293F0A">
            <w:pPr>
              <w:pStyle w:val="SingleTxtG"/>
              <w:suppressAutoHyphens w:val="0"/>
              <w:spacing w:before="80" w:after="80" w:line="200" w:lineRule="exact"/>
              <w:ind w:left="0" w:right="0"/>
              <w:jc w:val="right"/>
              <w:rPr>
                <w:bCs/>
                <w:i/>
                <w:spacing w:val="4"/>
                <w:w w:val="103"/>
                <w:kern w:val="14"/>
                <w:sz w:val="16"/>
              </w:rPr>
            </w:pPr>
            <w:r w:rsidRPr="008442C6">
              <w:rPr>
                <w:bCs/>
                <w:i/>
                <w:spacing w:val="4"/>
                <w:w w:val="103"/>
                <w:kern w:val="14"/>
                <w:sz w:val="16"/>
              </w:rPr>
              <w:t>UNK</w:t>
            </w:r>
          </w:p>
        </w:tc>
        <w:tc>
          <w:tcPr>
            <w:tcW w:w="520" w:type="dxa"/>
            <w:tcBorders>
              <w:top w:val="single" w:sz="4" w:space="0" w:color="auto"/>
              <w:bottom w:val="single" w:sz="12" w:space="0" w:color="auto"/>
            </w:tcBorders>
            <w:shd w:val="clear" w:color="auto" w:fill="auto"/>
            <w:tcMar>
              <w:top w:w="0" w:type="dxa"/>
              <w:left w:w="70" w:type="dxa"/>
              <w:bottom w:w="0" w:type="dxa"/>
              <w:right w:w="70" w:type="dxa"/>
            </w:tcMar>
            <w:vAlign w:val="bottom"/>
            <w:hideMark/>
          </w:tcPr>
          <w:p w:rsidR="005D6D0E" w:rsidRPr="008442C6" w:rsidRDefault="005D6D0E" w:rsidP="00325AEF">
            <w:pPr>
              <w:pStyle w:val="SingleTxtG"/>
              <w:suppressAutoHyphens w:val="0"/>
              <w:spacing w:before="80" w:after="80" w:line="200" w:lineRule="exact"/>
              <w:ind w:left="0" w:right="0"/>
              <w:jc w:val="right"/>
              <w:rPr>
                <w:bCs/>
                <w:i/>
                <w:spacing w:val="4"/>
                <w:w w:val="103"/>
                <w:kern w:val="14"/>
                <w:sz w:val="16"/>
              </w:rPr>
            </w:pPr>
            <w:r w:rsidRPr="008442C6">
              <w:rPr>
                <w:bCs/>
                <w:i/>
                <w:spacing w:val="4"/>
                <w:w w:val="103"/>
                <w:kern w:val="14"/>
                <w:sz w:val="16"/>
              </w:rPr>
              <w:t>0</w:t>
            </w:r>
            <w:r w:rsidR="00325AEF" w:rsidRPr="008442C6">
              <w:rPr>
                <w:bCs/>
                <w:i/>
                <w:spacing w:val="4"/>
                <w:w w:val="103"/>
                <w:kern w:val="14"/>
                <w:sz w:val="16"/>
              </w:rPr>
              <w:t>–</w:t>
            </w:r>
            <w:r w:rsidRPr="008442C6">
              <w:rPr>
                <w:bCs/>
                <w:i/>
                <w:spacing w:val="4"/>
                <w:w w:val="103"/>
                <w:kern w:val="14"/>
                <w:sz w:val="16"/>
              </w:rPr>
              <w:t>13</w:t>
            </w:r>
          </w:p>
        </w:tc>
        <w:tc>
          <w:tcPr>
            <w:tcW w:w="530" w:type="dxa"/>
            <w:tcBorders>
              <w:top w:val="single" w:sz="4" w:space="0" w:color="auto"/>
              <w:bottom w:val="single" w:sz="12" w:space="0" w:color="auto"/>
            </w:tcBorders>
            <w:shd w:val="clear" w:color="auto" w:fill="auto"/>
            <w:tcMar>
              <w:top w:w="0" w:type="dxa"/>
              <w:left w:w="70" w:type="dxa"/>
              <w:bottom w:w="0" w:type="dxa"/>
              <w:right w:w="70" w:type="dxa"/>
            </w:tcMar>
            <w:vAlign w:val="bottom"/>
            <w:hideMark/>
          </w:tcPr>
          <w:p w:rsidR="005D6D0E" w:rsidRPr="008442C6" w:rsidRDefault="005D6D0E" w:rsidP="00325AEF">
            <w:pPr>
              <w:pStyle w:val="SingleTxtG"/>
              <w:suppressAutoHyphens w:val="0"/>
              <w:spacing w:before="80" w:after="80" w:line="200" w:lineRule="exact"/>
              <w:ind w:left="0" w:right="0"/>
              <w:jc w:val="right"/>
              <w:rPr>
                <w:bCs/>
                <w:i/>
                <w:spacing w:val="4"/>
                <w:w w:val="103"/>
                <w:kern w:val="14"/>
                <w:sz w:val="16"/>
              </w:rPr>
            </w:pPr>
            <w:r w:rsidRPr="008442C6">
              <w:rPr>
                <w:bCs/>
                <w:i/>
                <w:spacing w:val="4"/>
                <w:w w:val="103"/>
                <w:kern w:val="14"/>
                <w:sz w:val="16"/>
              </w:rPr>
              <w:t>14</w:t>
            </w:r>
            <w:r w:rsidR="00325AEF" w:rsidRPr="008442C6">
              <w:rPr>
                <w:bCs/>
                <w:i/>
                <w:spacing w:val="4"/>
                <w:w w:val="103"/>
                <w:kern w:val="14"/>
                <w:sz w:val="16"/>
              </w:rPr>
              <w:t>–</w:t>
            </w:r>
            <w:r w:rsidRPr="008442C6">
              <w:rPr>
                <w:bCs/>
                <w:i/>
                <w:spacing w:val="4"/>
                <w:w w:val="103"/>
                <w:kern w:val="14"/>
                <w:sz w:val="16"/>
              </w:rPr>
              <w:t>15</w:t>
            </w:r>
          </w:p>
        </w:tc>
        <w:tc>
          <w:tcPr>
            <w:tcW w:w="530" w:type="dxa"/>
            <w:tcBorders>
              <w:top w:val="single" w:sz="4" w:space="0" w:color="auto"/>
              <w:bottom w:val="single" w:sz="12" w:space="0" w:color="auto"/>
              <w:right w:val="single" w:sz="24" w:space="0" w:color="FFFFFF" w:themeColor="background1"/>
            </w:tcBorders>
            <w:shd w:val="clear" w:color="auto" w:fill="auto"/>
            <w:tcMar>
              <w:top w:w="0" w:type="dxa"/>
              <w:left w:w="70" w:type="dxa"/>
              <w:bottom w:w="0" w:type="dxa"/>
              <w:right w:w="70" w:type="dxa"/>
            </w:tcMar>
            <w:vAlign w:val="bottom"/>
            <w:hideMark/>
          </w:tcPr>
          <w:p w:rsidR="005D6D0E" w:rsidRPr="008442C6" w:rsidRDefault="005D6D0E" w:rsidP="00325AEF">
            <w:pPr>
              <w:pStyle w:val="SingleTxtG"/>
              <w:suppressAutoHyphens w:val="0"/>
              <w:spacing w:before="80" w:after="80" w:line="200" w:lineRule="exact"/>
              <w:ind w:left="0" w:right="0"/>
              <w:jc w:val="right"/>
              <w:rPr>
                <w:bCs/>
                <w:i/>
                <w:spacing w:val="4"/>
                <w:w w:val="103"/>
                <w:kern w:val="14"/>
                <w:sz w:val="16"/>
              </w:rPr>
            </w:pPr>
            <w:r w:rsidRPr="008442C6">
              <w:rPr>
                <w:bCs/>
                <w:i/>
                <w:spacing w:val="4"/>
                <w:w w:val="103"/>
                <w:kern w:val="14"/>
                <w:sz w:val="16"/>
              </w:rPr>
              <w:t>16</w:t>
            </w:r>
            <w:r w:rsidR="00325AEF" w:rsidRPr="008442C6">
              <w:rPr>
                <w:bCs/>
                <w:i/>
                <w:spacing w:val="4"/>
                <w:w w:val="103"/>
                <w:kern w:val="14"/>
                <w:sz w:val="16"/>
              </w:rPr>
              <w:t>–</w:t>
            </w:r>
            <w:r w:rsidRPr="008442C6">
              <w:rPr>
                <w:bCs/>
                <w:i/>
                <w:spacing w:val="4"/>
                <w:w w:val="103"/>
                <w:kern w:val="14"/>
                <w:sz w:val="16"/>
              </w:rPr>
              <w:t>17</w:t>
            </w:r>
          </w:p>
        </w:tc>
        <w:tc>
          <w:tcPr>
            <w:tcW w:w="558" w:type="dxa"/>
            <w:tcBorders>
              <w:top w:val="single" w:sz="4" w:space="0" w:color="auto"/>
              <w:left w:val="single" w:sz="24" w:space="0" w:color="FFFFFF" w:themeColor="background1"/>
              <w:bottom w:val="single" w:sz="12" w:space="0" w:color="auto"/>
            </w:tcBorders>
            <w:shd w:val="clear" w:color="auto" w:fill="auto"/>
            <w:tcMar>
              <w:top w:w="0" w:type="dxa"/>
              <w:left w:w="70" w:type="dxa"/>
              <w:bottom w:w="0" w:type="dxa"/>
              <w:right w:w="70" w:type="dxa"/>
            </w:tcMar>
            <w:vAlign w:val="bottom"/>
            <w:hideMark/>
          </w:tcPr>
          <w:p w:rsidR="005D6D0E" w:rsidRPr="008442C6" w:rsidRDefault="005D6D0E" w:rsidP="00293F0A">
            <w:pPr>
              <w:pStyle w:val="SingleTxtG"/>
              <w:suppressAutoHyphens w:val="0"/>
              <w:spacing w:before="80" w:after="80" w:line="200" w:lineRule="exact"/>
              <w:ind w:left="0" w:right="0"/>
              <w:jc w:val="right"/>
              <w:rPr>
                <w:bCs/>
                <w:i/>
                <w:spacing w:val="4"/>
                <w:w w:val="103"/>
                <w:kern w:val="14"/>
                <w:sz w:val="16"/>
              </w:rPr>
            </w:pPr>
            <w:r w:rsidRPr="008442C6">
              <w:rPr>
                <w:bCs/>
                <w:i/>
                <w:spacing w:val="4"/>
                <w:w w:val="103"/>
                <w:kern w:val="14"/>
                <w:sz w:val="16"/>
              </w:rPr>
              <w:t>Total</w:t>
            </w:r>
          </w:p>
        </w:tc>
        <w:tc>
          <w:tcPr>
            <w:tcW w:w="557" w:type="dxa"/>
            <w:tcBorders>
              <w:top w:val="single" w:sz="4" w:space="0" w:color="auto"/>
              <w:bottom w:val="single" w:sz="12" w:space="0" w:color="auto"/>
            </w:tcBorders>
            <w:shd w:val="clear" w:color="auto" w:fill="auto"/>
            <w:tcMar>
              <w:top w:w="0" w:type="dxa"/>
              <w:left w:w="70" w:type="dxa"/>
              <w:bottom w:w="0" w:type="dxa"/>
              <w:right w:w="70" w:type="dxa"/>
            </w:tcMar>
            <w:vAlign w:val="bottom"/>
            <w:hideMark/>
          </w:tcPr>
          <w:p w:rsidR="005D6D0E" w:rsidRPr="008442C6" w:rsidRDefault="005D6D0E" w:rsidP="00293F0A">
            <w:pPr>
              <w:pStyle w:val="SingleTxtG"/>
              <w:suppressAutoHyphens w:val="0"/>
              <w:spacing w:before="80" w:after="80" w:line="200" w:lineRule="exact"/>
              <w:ind w:left="0" w:right="0"/>
              <w:jc w:val="right"/>
              <w:rPr>
                <w:bCs/>
                <w:i/>
                <w:spacing w:val="4"/>
                <w:w w:val="103"/>
                <w:kern w:val="14"/>
                <w:sz w:val="16"/>
              </w:rPr>
            </w:pPr>
            <w:r w:rsidRPr="008442C6">
              <w:rPr>
                <w:bCs/>
                <w:i/>
                <w:spacing w:val="4"/>
                <w:w w:val="103"/>
                <w:kern w:val="14"/>
                <w:sz w:val="16"/>
              </w:rPr>
              <w:t>UNK</w:t>
            </w:r>
          </w:p>
        </w:tc>
        <w:tc>
          <w:tcPr>
            <w:tcW w:w="520" w:type="dxa"/>
            <w:tcBorders>
              <w:top w:val="single" w:sz="4" w:space="0" w:color="auto"/>
              <w:bottom w:val="single" w:sz="12" w:space="0" w:color="auto"/>
            </w:tcBorders>
            <w:shd w:val="clear" w:color="auto" w:fill="auto"/>
            <w:tcMar>
              <w:top w:w="0" w:type="dxa"/>
              <w:left w:w="70" w:type="dxa"/>
              <w:bottom w:w="0" w:type="dxa"/>
              <w:right w:w="70" w:type="dxa"/>
            </w:tcMar>
            <w:vAlign w:val="bottom"/>
            <w:hideMark/>
          </w:tcPr>
          <w:p w:rsidR="005D6D0E" w:rsidRPr="008442C6" w:rsidRDefault="005D6D0E" w:rsidP="00325AEF">
            <w:pPr>
              <w:pStyle w:val="SingleTxtG"/>
              <w:suppressAutoHyphens w:val="0"/>
              <w:spacing w:before="80" w:after="80" w:line="200" w:lineRule="exact"/>
              <w:ind w:left="0" w:right="0"/>
              <w:jc w:val="right"/>
              <w:rPr>
                <w:bCs/>
                <w:i/>
                <w:spacing w:val="4"/>
                <w:w w:val="103"/>
                <w:kern w:val="14"/>
                <w:sz w:val="16"/>
              </w:rPr>
            </w:pPr>
            <w:r w:rsidRPr="008442C6">
              <w:rPr>
                <w:bCs/>
                <w:i/>
                <w:spacing w:val="4"/>
                <w:w w:val="103"/>
                <w:kern w:val="14"/>
                <w:sz w:val="16"/>
              </w:rPr>
              <w:t>0</w:t>
            </w:r>
            <w:r w:rsidR="00325AEF" w:rsidRPr="008442C6">
              <w:rPr>
                <w:bCs/>
                <w:i/>
                <w:spacing w:val="4"/>
                <w:w w:val="103"/>
                <w:kern w:val="14"/>
                <w:sz w:val="16"/>
              </w:rPr>
              <w:t>–</w:t>
            </w:r>
            <w:r w:rsidRPr="008442C6">
              <w:rPr>
                <w:bCs/>
                <w:i/>
                <w:spacing w:val="4"/>
                <w:w w:val="103"/>
                <w:kern w:val="14"/>
                <w:sz w:val="16"/>
              </w:rPr>
              <w:t>13</w:t>
            </w:r>
          </w:p>
        </w:tc>
        <w:tc>
          <w:tcPr>
            <w:tcW w:w="530" w:type="dxa"/>
            <w:tcBorders>
              <w:top w:val="single" w:sz="4" w:space="0" w:color="auto"/>
              <w:bottom w:val="single" w:sz="12" w:space="0" w:color="auto"/>
            </w:tcBorders>
            <w:shd w:val="clear" w:color="auto" w:fill="auto"/>
            <w:tcMar>
              <w:top w:w="0" w:type="dxa"/>
              <w:left w:w="70" w:type="dxa"/>
              <w:bottom w:w="0" w:type="dxa"/>
              <w:right w:w="70" w:type="dxa"/>
            </w:tcMar>
            <w:vAlign w:val="bottom"/>
          </w:tcPr>
          <w:p w:rsidR="005D6D0E" w:rsidRPr="008442C6" w:rsidRDefault="005D6D0E" w:rsidP="00325AEF">
            <w:pPr>
              <w:pStyle w:val="SingleTxtG"/>
              <w:suppressAutoHyphens w:val="0"/>
              <w:spacing w:before="80" w:after="80" w:line="200" w:lineRule="exact"/>
              <w:ind w:left="0" w:right="0"/>
              <w:jc w:val="right"/>
              <w:rPr>
                <w:bCs/>
                <w:i/>
                <w:spacing w:val="4"/>
                <w:w w:val="103"/>
                <w:kern w:val="14"/>
                <w:sz w:val="16"/>
              </w:rPr>
            </w:pPr>
            <w:r w:rsidRPr="008442C6">
              <w:rPr>
                <w:bCs/>
                <w:i/>
                <w:spacing w:val="4"/>
                <w:w w:val="103"/>
                <w:kern w:val="14"/>
                <w:sz w:val="16"/>
              </w:rPr>
              <w:t>14</w:t>
            </w:r>
            <w:r w:rsidR="00325AEF" w:rsidRPr="008442C6">
              <w:rPr>
                <w:bCs/>
                <w:i/>
                <w:spacing w:val="4"/>
                <w:w w:val="103"/>
                <w:kern w:val="14"/>
                <w:sz w:val="16"/>
              </w:rPr>
              <w:t>–</w:t>
            </w:r>
            <w:r w:rsidRPr="008442C6">
              <w:rPr>
                <w:bCs/>
                <w:i/>
                <w:spacing w:val="4"/>
                <w:w w:val="103"/>
                <w:kern w:val="14"/>
                <w:sz w:val="16"/>
              </w:rPr>
              <w:t>15</w:t>
            </w:r>
          </w:p>
        </w:tc>
        <w:tc>
          <w:tcPr>
            <w:tcW w:w="398" w:type="dxa"/>
            <w:tcBorders>
              <w:top w:val="single" w:sz="4" w:space="0" w:color="auto"/>
              <w:bottom w:val="single" w:sz="12" w:space="0" w:color="auto"/>
            </w:tcBorders>
            <w:shd w:val="clear" w:color="auto" w:fill="auto"/>
            <w:vAlign w:val="bottom"/>
          </w:tcPr>
          <w:p w:rsidR="005D6D0E" w:rsidRPr="008442C6" w:rsidRDefault="005D6D0E" w:rsidP="00325AEF">
            <w:pPr>
              <w:pStyle w:val="SingleTxtG"/>
              <w:suppressAutoHyphens w:val="0"/>
              <w:spacing w:before="80" w:after="80" w:line="200" w:lineRule="exact"/>
              <w:ind w:left="0" w:right="0"/>
              <w:jc w:val="right"/>
              <w:rPr>
                <w:bCs/>
                <w:i/>
                <w:spacing w:val="4"/>
                <w:w w:val="103"/>
                <w:kern w:val="14"/>
                <w:sz w:val="16"/>
              </w:rPr>
            </w:pPr>
            <w:r w:rsidRPr="008442C6">
              <w:rPr>
                <w:bCs/>
                <w:i/>
                <w:spacing w:val="4"/>
                <w:w w:val="103"/>
                <w:kern w:val="14"/>
                <w:sz w:val="16"/>
              </w:rPr>
              <w:t>16</w:t>
            </w:r>
            <w:r w:rsidR="00325AEF" w:rsidRPr="008442C6">
              <w:rPr>
                <w:bCs/>
                <w:i/>
                <w:spacing w:val="4"/>
                <w:w w:val="103"/>
                <w:kern w:val="14"/>
                <w:sz w:val="16"/>
              </w:rPr>
              <w:t>–</w:t>
            </w:r>
            <w:r w:rsidRPr="008442C6">
              <w:rPr>
                <w:bCs/>
                <w:i/>
                <w:spacing w:val="4"/>
                <w:w w:val="103"/>
                <w:kern w:val="14"/>
                <w:sz w:val="16"/>
              </w:rPr>
              <w:t>17</w:t>
            </w:r>
          </w:p>
        </w:tc>
      </w:tr>
      <w:tr w:rsidR="005D6D0E" w:rsidRPr="008442C6" w:rsidTr="00B51031">
        <w:tc>
          <w:tcPr>
            <w:tcW w:w="551" w:type="dxa"/>
            <w:tcBorders>
              <w:top w:val="single" w:sz="12" w:space="0" w:color="auto"/>
            </w:tcBorders>
            <w:shd w:val="clear" w:color="auto" w:fill="auto"/>
            <w:tcMar>
              <w:top w:w="0" w:type="dxa"/>
              <w:left w:w="70" w:type="dxa"/>
              <w:bottom w:w="0" w:type="dxa"/>
              <w:right w:w="70" w:type="dxa"/>
            </w:tcMar>
            <w:hideMark/>
          </w:tcPr>
          <w:p w:rsidR="005D6D0E" w:rsidRPr="008442C6" w:rsidRDefault="005D6D0E" w:rsidP="009F130B">
            <w:pPr>
              <w:pStyle w:val="SingleTxtG"/>
              <w:suppressAutoHyphens w:val="0"/>
              <w:spacing w:before="40" w:after="40" w:line="220" w:lineRule="exact"/>
              <w:ind w:left="0" w:right="0"/>
              <w:rPr>
                <w:bCs/>
                <w:sz w:val="18"/>
              </w:rPr>
            </w:pPr>
            <w:r w:rsidRPr="008442C6">
              <w:rPr>
                <w:bCs/>
                <w:sz w:val="18"/>
              </w:rPr>
              <w:t>2018</w:t>
            </w:r>
          </w:p>
        </w:tc>
        <w:tc>
          <w:tcPr>
            <w:tcW w:w="558" w:type="dxa"/>
            <w:tcBorders>
              <w:top w:val="single" w:sz="12" w:space="0" w:color="auto"/>
            </w:tcBorders>
            <w:shd w:val="clear" w:color="auto" w:fill="auto"/>
            <w:tcMar>
              <w:top w:w="0" w:type="dxa"/>
              <w:left w:w="70" w:type="dxa"/>
              <w:bottom w:w="0" w:type="dxa"/>
              <w:right w:w="70" w:type="dxa"/>
            </w:tcMar>
            <w:vAlign w:val="bottom"/>
            <w:hideMark/>
          </w:tcPr>
          <w:p w:rsidR="005D6D0E" w:rsidRPr="008442C6" w:rsidRDefault="005D6D0E" w:rsidP="009F130B">
            <w:pPr>
              <w:pStyle w:val="SingleTxtG"/>
              <w:suppressAutoHyphens w:val="0"/>
              <w:spacing w:before="40" w:after="40" w:line="220" w:lineRule="exact"/>
              <w:ind w:left="0" w:right="0"/>
              <w:jc w:val="right"/>
              <w:rPr>
                <w:bCs/>
                <w:sz w:val="18"/>
              </w:rPr>
            </w:pPr>
            <w:r w:rsidRPr="008442C6">
              <w:rPr>
                <w:bCs/>
                <w:sz w:val="18"/>
              </w:rPr>
              <w:t>36</w:t>
            </w:r>
          </w:p>
        </w:tc>
        <w:tc>
          <w:tcPr>
            <w:tcW w:w="557" w:type="dxa"/>
            <w:tcBorders>
              <w:top w:val="single" w:sz="12" w:space="0" w:color="auto"/>
            </w:tcBorders>
            <w:shd w:val="clear" w:color="auto" w:fill="auto"/>
            <w:tcMar>
              <w:top w:w="0" w:type="dxa"/>
              <w:left w:w="70" w:type="dxa"/>
              <w:bottom w:w="0" w:type="dxa"/>
              <w:right w:w="70" w:type="dxa"/>
            </w:tcMar>
            <w:vAlign w:val="bottom"/>
            <w:hideMark/>
          </w:tcPr>
          <w:p w:rsidR="005D6D0E" w:rsidRPr="008442C6" w:rsidRDefault="005D6D0E" w:rsidP="009F130B">
            <w:pPr>
              <w:pStyle w:val="SingleTxtG"/>
              <w:suppressAutoHyphens w:val="0"/>
              <w:spacing w:before="40" w:after="40" w:line="220" w:lineRule="exact"/>
              <w:ind w:left="0" w:right="0"/>
              <w:jc w:val="right"/>
              <w:rPr>
                <w:bCs/>
                <w:sz w:val="18"/>
              </w:rPr>
            </w:pPr>
            <w:r w:rsidRPr="008442C6">
              <w:rPr>
                <w:bCs/>
                <w:sz w:val="18"/>
              </w:rPr>
              <w:t>5</w:t>
            </w:r>
          </w:p>
        </w:tc>
        <w:tc>
          <w:tcPr>
            <w:tcW w:w="520" w:type="dxa"/>
            <w:tcBorders>
              <w:top w:val="single" w:sz="12" w:space="0" w:color="auto"/>
            </w:tcBorders>
            <w:shd w:val="clear" w:color="auto" w:fill="auto"/>
            <w:tcMar>
              <w:top w:w="0" w:type="dxa"/>
              <w:left w:w="70" w:type="dxa"/>
              <w:bottom w:w="0" w:type="dxa"/>
              <w:right w:w="70" w:type="dxa"/>
            </w:tcMar>
            <w:vAlign w:val="bottom"/>
            <w:hideMark/>
          </w:tcPr>
          <w:p w:rsidR="005D6D0E" w:rsidRPr="008442C6" w:rsidRDefault="005D6D0E" w:rsidP="009F130B">
            <w:pPr>
              <w:pStyle w:val="SingleTxtG"/>
              <w:suppressAutoHyphens w:val="0"/>
              <w:spacing w:before="40" w:after="40" w:line="220" w:lineRule="exact"/>
              <w:ind w:left="0" w:right="0"/>
              <w:jc w:val="right"/>
              <w:rPr>
                <w:bCs/>
                <w:sz w:val="18"/>
              </w:rPr>
            </w:pPr>
            <w:r w:rsidRPr="008442C6">
              <w:rPr>
                <w:bCs/>
                <w:sz w:val="18"/>
              </w:rPr>
              <w:t>2</w:t>
            </w:r>
          </w:p>
        </w:tc>
        <w:tc>
          <w:tcPr>
            <w:tcW w:w="530" w:type="dxa"/>
            <w:tcBorders>
              <w:top w:val="single" w:sz="12" w:space="0" w:color="auto"/>
            </w:tcBorders>
            <w:shd w:val="clear" w:color="auto" w:fill="auto"/>
            <w:tcMar>
              <w:top w:w="0" w:type="dxa"/>
              <w:left w:w="70" w:type="dxa"/>
              <w:bottom w:w="0" w:type="dxa"/>
              <w:right w:w="70" w:type="dxa"/>
            </w:tcMar>
            <w:vAlign w:val="bottom"/>
            <w:hideMark/>
          </w:tcPr>
          <w:p w:rsidR="005D6D0E" w:rsidRPr="008442C6" w:rsidRDefault="005D6D0E" w:rsidP="009F130B">
            <w:pPr>
              <w:pStyle w:val="SingleTxtG"/>
              <w:suppressAutoHyphens w:val="0"/>
              <w:spacing w:before="40" w:after="40" w:line="220" w:lineRule="exact"/>
              <w:ind w:left="0" w:right="0"/>
              <w:jc w:val="right"/>
              <w:rPr>
                <w:bCs/>
                <w:sz w:val="18"/>
              </w:rPr>
            </w:pPr>
            <w:r w:rsidRPr="008442C6">
              <w:rPr>
                <w:bCs/>
                <w:sz w:val="18"/>
              </w:rPr>
              <w:t>1</w:t>
            </w:r>
          </w:p>
        </w:tc>
        <w:tc>
          <w:tcPr>
            <w:tcW w:w="530" w:type="dxa"/>
            <w:tcBorders>
              <w:top w:val="single" w:sz="12" w:space="0" w:color="auto"/>
            </w:tcBorders>
            <w:shd w:val="clear" w:color="auto" w:fill="auto"/>
            <w:tcMar>
              <w:top w:w="0" w:type="dxa"/>
              <w:left w:w="70" w:type="dxa"/>
              <w:bottom w:w="0" w:type="dxa"/>
              <w:right w:w="70" w:type="dxa"/>
            </w:tcMar>
            <w:vAlign w:val="bottom"/>
            <w:hideMark/>
          </w:tcPr>
          <w:p w:rsidR="005D6D0E" w:rsidRPr="008442C6" w:rsidRDefault="005D6D0E" w:rsidP="009F130B">
            <w:pPr>
              <w:pStyle w:val="SingleTxtG"/>
              <w:suppressAutoHyphens w:val="0"/>
              <w:spacing w:before="40" w:after="40" w:line="220" w:lineRule="exact"/>
              <w:ind w:left="0" w:right="0"/>
              <w:jc w:val="right"/>
              <w:rPr>
                <w:bCs/>
                <w:sz w:val="18"/>
              </w:rPr>
            </w:pPr>
            <w:r w:rsidRPr="008442C6">
              <w:rPr>
                <w:bCs/>
                <w:sz w:val="18"/>
              </w:rPr>
              <w:t>28</w:t>
            </w:r>
          </w:p>
        </w:tc>
        <w:tc>
          <w:tcPr>
            <w:tcW w:w="558" w:type="dxa"/>
            <w:tcBorders>
              <w:top w:val="single" w:sz="12" w:space="0" w:color="auto"/>
            </w:tcBorders>
            <w:shd w:val="clear" w:color="auto" w:fill="auto"/>
            <w:tcMar>
              <w:top w:w="0" w:type="dxa"/>
              <w:left w:w="70" w:type="dxa"/>
              <w:bottom w:w="0" w:type="dxa"/>
              <w:right w:w="70" w:type="dxa"/>
            </w:tcMar>
            <w:vAlign w:val="bottom"/>
            <w:hideMark/>
          </w:tcPr>
          <w:p w:rsidR="005D6D0E" w:rsidRPr="008442C6" w:rsidRDefault="005D6D0E" w:rsidP="009F130B">
            <w:pPr>
              <w:pStyle w:val="SingleTxtG"/>
              <w:suppressAutoHyphens w:val="0"/>
              <w:spacing w:before="40" w:after="40" w:line="220" w:lineRule="exact"/>
              <w:ind w:left="0" w:right="0"/>
              <w:jc w:val="right"/>
              <w:rPr>
                <w:bCs/>
                <w:sz w:val="18"/>
              </w:rPr>
            </w:pPr>
            <w:r w:rsidRPr="008442C6">
              <w:rPr>
                <w:bCs/>
                <w:sz w:val="18"/>
              </w:rPr>
              <w:t>26</w:t>
            </w:r>
          </w:p>
        </w:tc>
        <w:tc>
          <w:tcPr>
            <w:tcW w:w="557" w:type="dxa"/>
            <w:tcBorders>
              <w:top w:val="single" w:sz="12" w:space="0" w:color="auto"/>
            </w:tcBorders>
            <w:shd w:val="clear" w:color="auto" w:fill="auto"/>
            <w:tcMar>
              <w:top w:w="0" w:type="dxa"/>
              <w:left w:w="70" w:type="dxa"/>
              <w:bottom w:w="0" w:type="dxa"/>
              <w:right w:w="70" w:type="dxa"/>
            </w:tcMar>
            <w:vAlign w:val="bottom"/>
            <w:hideMark/>
          </w:tcPr>
          <w:p w:rsidR="005D6D0E" w:rsidRPr="008442C6" w:rsidRDefault="005D6D0E" w:rsidP="009F130B">
            <w:pPr>
              <w:pStyle w:val="SingleTxtG"/>
              <w:suppressAutoHyphens w:val="0"/>
              <w:spacing w:before="40" w:after="40" w:line="220" w:lineRule="exact"/>
              <w:ind w:left="0" w:right="0"/>
              <w:jc w:val="right"/>
              <w:rPr>
                <w:bCs/>
                <w:sz w:val="18"/>
              </w:rPr>
            </w:pPr>
            <w:r w:rsidRPr="008442C6">
              <w:rPr>
                <w:bCs/>
                <w:sz w:val="18"/>
              </w:rPr>
              <w:t>4</w:t>
            </w:r>
          </w:p>
        </w:tc>
        <w:tc>
          <w:tcPr>
            <w:tcW w:w="520" w:type="dxa"/>
            <w:tcBorders>
              <w:top w:val="single" w:sz="12" w:space="0" w:color="auto"/>
            </w:tcBorders>
            <w:shd w:val="clear" w:color="auto" w:fill="auto"/>
            <w:tcMar>
              <w:top w:w="0" w:type="dxa"/>
              <w:left w:w="70" w:type="dxa"/>
              <w:bottom w:w="0" w:type="dxa"/>
              <w:right w:w="70" w:type="dxa"/>
            </w:tcMar>
            <w:vAlign w:val="bottom"/>
            <w:hideMark/>
          </w:tcPr>
          <w:p w:rsidR="005D6D0E" w:rsidRPr="008442C6" w:rsidRDefault="005D6D0E" w:rsidP="009F130B">
            <w:pPr>
              <w:pStyle w:val="SingleTxtG"/>
              <w:suppressAutoHyphens w:val="0"/>
              <w:spacing w:before="40" w:after="40" w:line="220" w:lineRule="exact"/>
              <w:ind w:left="0" w:right="0"/>
              <w:jc w:val="right"/>
              <w:rPr>
                <w:bCs/>
                <w:sz w:val="18"/>
              </w:rPr>
            </w:pPr>
            <w:r w:rsidRPr="008442C6">
              <w:rPr>
                <w:bCs/>
                <w:sz w:val="18"/>
              </w:rPr>
              <w:t>1</w:t>
            </w:r>
          </w:p>
        </w:tc>
        <w:tc>
          <w:tcPr>
            <w:tcW w:w="530" w:type="dxa"/>
            <w:tcBorders>
              <w:top w:val="single" w:sz="12" w:space="0" w:color="auto"/>
            </w:tcBorders>
            <w:shd w:val="clear" w:color="auto" w:fill="auto"/>
            <w:tcMar>
              <w:top w:w="0" w:type="dxa"/>
              <w:left w:w="70" w:type="dxa"/>
              <w:bottom w:w="0" w:type="dxa"/>
              <w:right w:w="70" w:type="dxa"/>
            </w:tcMar>
            <w:vAlign w:val="bottom"/>
            <w:hideMark/>
          </w:tcPr>
          <w:p w:rsidR="005D6D0E" w:rsidRPr="008442C6" w:rsidRDefault="005D6D0E" w:rsidP="009F130B">
            <w:pPr>
              <w:pStyle w:val="SingleTxtG"/>
              <w:suppressAutoHyphens w:val="0"/>
              <w:spacing w:before="40" w:after="40" w:line="220" w:lineRule="exact"/>
              <w:ind w:left="0" w:right="0"/>
              <w:jc w:val="right"/>
              <w:rPr>
                <w:bCs/>
                <w:sz w:val="18"/>
              </w:rPr>
            </w:pPr>
            <w:r w:rsidRPr="008442C6">
              <w:rPr>
                <w:bCs/>
                <w:sz w:val="18"/>
              </w:rPr>
              <w:t>1</w:t>
            </w:r>
          </w:p>
        </w:tc>
        <w:tc>
          <w:tcPr>
            <w:tcW w:w="530" w:type="dxa"/>
            <w:tcBorders>
              <w:top w:val="single" w:sz="12" w:space="0" w:color="auto"/>
            </w:tcBorders>
            <w:shd w:val="clear" w:color="auto" w:fill="auto"/>
            <w:tcMar>
              <w:top w:w="0" w:type="dxa"/>
              <w:left w:w="70" w:type="dxa"/>
              <w:bottom w:w="0" w:type="dxa"/>
              <w:right w:w="70" w:type="dxa"/>
            </w:tcMar>
            <w:vAlign w:val="bottom"/>
            <w:hideMark/>
          </w:tcPr>
          <w:p w:rsidR="005D6D0E" w:rsidRPr="008442C6" w:rsidRDefault="005D6D0E" w:rsidP="009F130B">
            <w:pPr>
              <w:pStyle w:val="SingleTxtG"/>
              <w:suppressAutoHyphens w:val="0"/>
              <w:spacing w:before="40" w:after="40" w:line="220" w:lineRule="exact"/>
              <w:ind w:left="0" w:right="0"/>
              <w:jc w:val="right"/>
              <w:rPr>
                <w:bCs/>
                <w:sz w:val="18"/>
              </w:rPr>
            </w:pPr>
            <w:r w:rsidRPr="008442C6">
              <w:rPr>
                <w:bCs/>
                <w:sz w:val="18"/>
              </w:rPr>
              <w:t>20</w:t>
            </w:r>
          </w:p>
        </w:tc>
        <w:tc>
          <w:tcPr>
            <w:tcW w:w="558" w:type="dxa"/>
            <w:tcBorders>
              <w:top w:val="single" w:sz="12" w:space="0" w:color="auto"/>
            </w:tcBorders>
            <w:shd w:val="clear" w:color="auto" w:fill="auto"/>
            <w:tcMar>
              <w:top w:w="0" w:type="dxa"/>
              <w:left w:w="70" w:type="dxa"/>
              <w:bottom w:w="0" w:type="dxa"/>
              <w:right w:w="70" w:type="dxa"/>
            </w:tcMar>
            <w:vAlign w:val="bottom"/>
            <w:hideMark/>
          </w:tcPr>
          <w:p w:rsidR="005D6D0E" w:rsidRPr="008442C6" w:rsidRDefault="005D6D0E" w:rsidP="009F130B">
            <w:pPr>
              <w:pStyle w:val="SingleTxtG"/>
              <w:suppressAutoHyphens w:val="0"/>
              <w:spacing w:before="40" w:after="40" w:line="220" w:lineRule="exact"/>
              <w:ind w:left="0" w:right="0"/>
              <w:jc w:val="right"/>
              <w:rPr>
                <w:bCs/>
                <w:sz w:val="18"/>
              </w:rPr>
            </w:pPr>
            <w:r w:rsidRPr="008442C6">
              <w:rPr>
                <w:bCs/>
                <w:sz w:val="18"/>
              </w:rPr>
              <w:t>10</w:t>
            </w:r>
          </w:p>
        </w:tc>
        <w:tc>
          <w:tcPr>
            <w:tcW w:w="557" w:type="dxa"/>
            <w:tcBorders>
              <w:top w:val="single" w:sz="12" w:space="0" w:color="auto"/>
            </w:tcBorders>
            <w:shd w:val="clear" w:color="auto" w:fill="auto"/>
            <w:tcMar>
              <w:top w:w="0" w:type="dxa"/>
              <w:left w:w="70" w:type="dxa"/>
              <w:bottom w:w="0" w:type="dxa"/>
              <w:right w:w="70" w:type="dxa"/>
            </w:tcMar>
            <w:vAlign w:val="bottom"/>
            <w:hideMark/>
          </w:tcPr>
          <w:p w:rsidR="005D6D0E" w:rsidRPr="008442C6" w:rsidRDefault="005D6D0E" w:rsidP="009F130B">
            <w:pPr>
              <w:pStyle w:val="SingleTxtG"/>
              <w:suppressAutoHyphens w:val="0"/>
              <w:spacing w:before="40" w:after="40" w:line="220" w:lineRule="exact"/>
              <w:ind w:left="0" w:right="0"/>
              <w:jc w:val="right"/>
              <w:rPr>
                <w:bCs/>
                <w:sz w:val="18"/>
              </w:rPr>
            </w:pPr>
            <w:r w:rsidRPr="008442C6">
              <w:rPr>
                <w:bCs/>
                <w:sz w:val="18"/>
              </w:rPr>
              <w:t>1</w:t>
            </w:r>
          </w:p>
        </w:tc>
        <w:tc>
          <w:tcPr>
            <w:tcW w:w="520" w:type="dxa"/>
            <w:tcBorders>
              <w:top w:val="single" w:sz="12" w:space="0" w:color="auto"/>
            </w:tcBorders>
            <w:shd w:val="clear" w:color="auto" w:fill="auto"/>
            <w:tcMar>
              <w:top w:w="0" w:type="dxa"/>
              <w:left w:w="70" w:type="dxa"/>
              <w:bottom w:w="0" w:type="dxa"/>
              <w:right w:w="70" w:type="dxa"/>
            </w:tcMar>
            <w:vAlign w:val="bottom"/>
            <w:hideMark/>
          </w:tcPr>
          <w:p w:rsidR="005D6D0E" w:rsidRPr="008442C6" w:rsidRDefault="005D6D0E" w:rsidP="009F130B">
            <w:pPr>
              <w:pStyle w:val="SingleTxtG"/>
              <w:suppressAutoHyphens w:val="0"/>
              <w:spacing w:before="40" w:after="40" w:line="220" w:lineRule="exact"/>
              <w:ind w:left="0" w:right="0"/>
              <w:jc w:val="right"/>
              <w:rPr>
                <w:bCs/>
                <w:sz w:val="18"/>
              </w:rPr>
            </w:pPr>
            <w:r w:rsidRPr="008442C6">
              <w:rPr>
                <w:bCs/>
                <w:sz w:val="18"/>
              </w:rPr>
              <w:t>1</w:t>
            </w:r>
          </w:p>
        </w:tc>
        <w:tc>
          <w:tcPr>
            <w:tcW w:w="530" w:type="dxa"/>
            <w:tcBorders>
              <w:top w:val="single" w:sz="12" w:space="0" w:color="auto"/>
            </w:tcBorders>
            <w:shd w:val="clear" w:color="auto" w:fill="auto"/>
            <w:tcMar>
              <w:top w:w="0" w:type="dxa"/>
              <w:left w:w="70" w:type="dxa"/>
              <w:bottom w:w="0" w:type="dxa"/>
              <w:right w:w="70" w:type="dxa"/>
            </w:tcMar>
            <w:vAlign w:val="bottom"/>
          </w:tcPr>
          <w:p w:rsidR="005D6D0E" w:rsidRPr="008442C6" w:rsidRDefault="005D6D0E" w:rsidP="009F130B">
            <w:pPr>
              <w:pStyle w:val="SingleTxtG"/>
              <w:suppressAutoHyphens w:val="0"/>
              <w:spacing w:before="40" w:after="40" w:line="220" w:lineRule="exact"/>
              <w:ind w:left="0" w:right="0"/>
              <w:jc w:val="right"/>
              <w:rPr>
                <w:bCs/>
                <w:sz w:val="18"/>
              </w:rPr>
            </w:pPr>
            <w:r w:rsidRPr="008442C6">
              <w:rPr>
                <w:bCs/>
                <w:sz w:val="18"/>
              </w:rPr>
              <w:t>0</w:t>
            </w:r>
          </w:p>
        </w:tc>
        <w:tc>
          <w:tcPr>
            <w:tcW w:w="398" w:type="dxa"/>
            <w:tcBorders>
              <w:top w:val="single" w:sz="12" w:space="0" w:color="auto"/>
            </w:tcBorders>
            <w:shd w:val="clear" w:color="auto" w:fill="auto"/>
            <w:vAlign w:val="bottom"/>
          </w:tcPr>
          <w:p w:rsidR="005D6D0E" w:rsidRPr="008442C6" w:rsidRDefault="005D6D0E" w:rsidP="009F130B">
            <w:pPr>
              <w:pStyle w:val="SingleTxtG"/>
              <w:suppressAutoHyphens w:val="0"/>
              <w:spacing w:before="40" w:after="40" w:line="220" w:lineRule="exact"/>
              <w:ind w:left="0" w:right="0"/>
              <w:jc w:val="right"/>
              <w:rPr>
                <w:bCs/>
                <w:sz w:val="18"/>
              </w:rPr>
            </w:pPr>
            <w:r w:rsidRPr="008442C6">
              <w:rPr>
                <w:bCs/>
                <w:sz w:val="18"/>
              </w:rPr>
              <w:t>8</w:t>
            </w:r>
          </w:p>
        </w:tc>
      </w:tr>
      <w:tr w:rsidR="005D6D0E" w:rsidRPr="008442C6" w:rsidTr="009F130B">
        <w:tc>
          <w:tcPr>
            <w:tcW w:w="551" w:type="dxa"/>
            <w:shd w:val="clear" w:color="auto" w:fill="auto"/>
            <w:tcMar>
              <w:top w:w="0" w:type="dxa"/>
              <w:left w:w="70" w:type="dxa"/>
              <w:bottom w:w="0" w:type="dxa"/>
              <w:right w:w="70" w:type="dxa"/>
            </w:tcMar>
          </w:tcPr>
          <w:p w:rsidR="005D6D0E" w:rsidRPr="008442C6" w:rsidRDefault="005D6D0E" w:rsidP="009F130B">
            <w:pPr>
              <w:pStyle w:val="SingleTxtG"/>
              <w:suppressAutoHyphens w:val="0"/>
              <w:spacing w:before="40" w:after="40" w:line="220" w:lineRule="exact"/>
              <w:ind w:left="0" w:right="0"/>
              <w:rPr>
                <w:bCs/>
                <w:sz w:val="18"/>
              </w:rPr>
            </w:pPr>
            <w:r w:rsidRPr="008442C6">
              <w:rPr>
                <w:bCs/>
                <w:sz w:val="18"/>
              </w:rPr>
              <w:t>2017</w:t>
            </w:r>
          </w:p>
        </w:tc>
        <w:tc>
          <w:tcPr>
            <w:tcW w:w="558" w:type="dxa"/>
            <w:shd w:val="clear" w:color="auto" w:fill="auto"/>
            <w:tcMar>
              <w:top w:w="0" w:type="dxa"/>
              <w:left w:w="70" w:type="dxa"/>
              <w:bottom w:w="0" w:type="dxa"/>
              <w:right w:w="70" w:type="dxa"/>
            </w:tcMar>
            <w:vAlign w:val="bottom"/>
          </w:tcPr>
          <w:p w:rsidR="005D6D0E" w:rsidRPr="008442C6" w:rsidRDefault="005D6D0E" w:rsidP="009F130B">
            <w:pPr>
              <w:pStyle w:val="SingleTxtG"/>
              <w:suppressAutoHyphens w:val="0"/>
              <w:spacing w:before="40" w:after="40" w:line="220" w:lineRule="exact"/>
              <w:ind w:left="0" w:right="0"/>
              <w:jc w:val="right"/>
              <w:rPr>
                <w:bCs/>
                <w:sz w:val="18"/>
              </w:rPr>
            </w:pPr>
            <w:r w:rsidRPr="008442C6">
              <w:rPr>
                <w:bCs/>
                <w:sz w:val="18"/>
              </w:rPr>
              <w:t>28</w:t>
            </w:r>
          </w:p>
        </w:tc>
        <w:tc>
          <w:tcPr>
            <w:tcW w:w="557" w:type="dxa"/>
            <w:shd w:val="clear" w:color="auto" w:fill="auto"/>
            <w:tcMar>
              <w:top w:w="0" w:type="dxa"/>
              <w:left w:w="70" w:type="dxa"/>
              <w:bottom w:w="0" w:type="dxa"/>
              <w:right w:w="70" w:type="dxa"/>
            </w:tcMar>
            <w:vAlign w:val="bottom"/>
          </w:tcPr>
          <w:p w:rsidR="005D6D0E" w:rsidRPr="008442C6" w:rsidRDefault="005D6D0E" w:rsidP="009F130B">
            <w:pPr>
              <w:pStyle w:val="SingleTxtG"/>
              <w:suppressAutoHyphens w:val="0"/>
              <w:spacing w:before="40" w:after="40" w:line="220" w:lineRule="exact"/>
              <w:ind w:left="0" w:right="0"/>
              <w:jc w:val="right"/>
              <w:rPr>
                <w:bCs/>
                <w:sz w:val="18"/>
              </w:rPr>
            </w:pPr>
            <w:r w:rsidRPr="008442C6">
              <w:rPr>
                <w:bCs/>
                <w:sz w:val="18"/>
              </w:rPr>
              <w:t>4</w:t>
            </w:r>
          </w:p>
        </w:tc>
        <w:tc>
          <w:tcPr>
            <w:tcW w:w="520" w:type="dxa"/>
            <w:shd w:val="clear" w:color="auto" w:fill="auto"/>
            <w:tcMar>
              <w:top w:w="0" w:type="dxa"/>
              <w:left w:w="70" w:type="dxa"/>
              <w:bottom w:w="0" w:type="dxa"/>
              <w:right w:w="70" w:type="dxa"/>
            </w:tcMar>
            <w:vAlign w:val="bottom"/>
          </w:tcPr>
          <w:p w:rsidR="005D6D0E" w:rsidRPr="008442C6" w:rsidRDefault="005D6D0E" w:rsidP="009F130B">
            <w:pPr>
              <w:pStyle w:val="SingleTxtG"/>
              <w:suppressAutoHyphens w:val="0"/>
              <w:spacing w:before="40" w:after="40" w:line="220" w:lineRule="exact"/>
              <w:ind w:left="0" w:right="0"/>
              <w:jc w:val="right"/>
              <w:rPr>
                <w:bCs/>
                <w:sz w:val="18"/>
              </w:rPr>
            </w:pPr>
            <w:r w:rsidRPr="008442C6">
              <w:rPr>
                <w:bCs/>
                <w:sz w:val="18"/>
              </w:rPr>
              <w:t>2</w:t>
            </w:r>
          </w:p>
        </w:tc>
        <w:tc>
          <w:tcPr>
            <w:tcW w:w="530" w:type="dxa"/>
            <w:shd w:val="clear" w:color="auto" w:fill="auto"/>
            <w:tcMar>
              <w:top w:w="0" w:type="dxa"/>
              <w:left w:w="70" w:type="dxa"/>
              <w:bottom w:w="0" w:type="dxa"/>
              <w:right w:w="70" w:type="dxa"/>
            </w:tcMar>
            <w:vAlign w:val="bottom"/>
          </w:tcPr>
          <w:p w:rsidR="005D6D0E" w:rsidRPr="008442C6" w:rsidRDefault="005D6D0E" w:rsidP="009F130B">
            <w:pPr>
              <w:pStyle w:val="SingleTxtG"/>
              <w:suppressAutoHyphens w:val="0"/>
              <w:spacing w:before="40" w:after="40" w:line="220" w:lineRule="exact"/>
              <w:ind w:left="0" w:right="0"/>
              <w:jc w:val="right"/>
              <w:rPr>
                <w:bCs/>
                <w:sz w:val="18"/>
              </w:rPr>
            </w:pPr>
            <w:r w:rsidRPr="008442C6">
              <w:rPr>
                <w:bCs/>
                <w:sz w:val="18"/>
              </w:rPr>
              <w:t>5</w:t>
            </w:r>
          </w:p>
        </w:tc>
        <w:tc>
          <w:tcPr>
            <w:tcW w:w="530" w:type="dxa"/>
            <w:shd w:val="clear" w:color="auto" w:fill="auto"/>
            <w:tcMar>
              <w:top w:w="0" w:type="dxa"/>
              <w:left w:w="70" w:type="dxa"/>
              <w:bottom w:w="0" w:type="dxa"/>
              <w:right w:w="70" w:type="dxa"/>
            </w:tcMar>
            <w:vAlign w:val="bottom"/>
          </w:tcPr>
          <w:p w:rsidR="005D6D0E" w:rsidRPr="008442C6" w:rsidRDefault="005D6D0E" w:rsidP="009F130B">
            <w:pPr>
              <w:pStyle w:val="SingleTxtG"/>
              <w:suppressAutoHyphens w:val="0"/>
              <w:spacing w:before="40" w:after="40" w:line="220" w:lineRule="exact"/>
              <w:ind w:left="0" w:right="0"/>
              <w:jc w:val="right"/>
              <w:rPr>
                <w:bCs/>
                <w:sz w:val="18"/>
              </w:rPr>
            </w:pPr>
            <w:r w:rsidRPr="008442C6">
              <w:rPr>
                <w:bCs/>
                <w:sz w:val="18"/>
              </w:rPr>
              <w:t>17</w:t>
            </w:r>
          </w:p>
        </w:tc>
        <w:tc>
          <w:tcPr>
            <w:tcW w:w="558" w:type="dxa"/>
            <w:shd w:val="clear" w:color="auto" w:fill="auto"/>
            <w:tcMar>
              <w:top w:w="0" w:type="dxa"/>
              <w:left w:w="70" w:type="dxa"/>
              <w:bottom w:w="0" w:type="dxa"/>
              <w:right w:w="70" w:type="dxa"/>
            </w:tcMar>
            <w:vAlign w:val="bottom"/>
          </w:tcPr>
          <w:p w:rsidR="005D6D0E" w:rsidRPr="008442C6" w:rsidRDefault="005D6D0E" w:rsidP="009F130B">
            <w:pPr>
              <w:pStyle w:val="SingleTxtG"/>
              <w:suppressAutoHyphens w:val="0"/>
              <w:spacing w:before="40" w:after="40" w:line="220" w:lineRule="exact"/>
              <w:ind w:left="0" w:right="0"/>
              <w:jc w:val="right"/>
              <w:rPr>
                <w:bCs/>
                <w:sz w:val="18"/>
              </w:rPr>
            </w:pPr>
            <w:r w:rsidRPr="008442C6">
              <w:rPr>
                <w:bCs/>
                <w:sz w:val="18"/>
              </w:rPr>
              <w:t>22</w:t>
            </w:r>
          </w:p>
        </w:tc>
        <w:tc>
          <w:tcPr>
            <w:tcW w:w="557" w:type="dxa"/>
            <w:shd w:val="clear" w:color="auto" w:fill="auto"/>
            <w:tcMar>
              <w:top w:w="0" w:type="dxa"/>
              <w:left w:w="70" w:type="dxa"/>
              <w:bottom w:w="0" w:type="dxa"/>
              <w:right w:w="70" w:type="dxa"/>
            </w:tcMar>
            <w:vAlign w:val="bottom"/>
          </w:tcPr>
          <w:p w:rsidR="005D6D0E" w:rsidRPr="008442C6" w:rsidRDefault="005D6D0E" w:rsidP="009F130B">
            <w:pPr>
              <w:pStyle w:val="SingleTxtG"/>
              <w:suppressAutoHyphens w:val="0"/>
              <w:spacing w:before="40" w:after="40" w:line="220" w:lineRule="exact"/>
              <w:ind w:left="0" w:right="0"/>
              <w:jc w:val="right"/>
              <w:rPr>
                <w:bCs/>
                <w:sz w:val="18"/>
              </w:rPr>
            </w:pPr>
            <w:r w:rsidRPr="008442C6">
              <w:rPr>
                <w:bCs/>
                <w:sz w:val="18"/>
              </w:rPr>
              <w:t>4</w:t>
            </w:r>
          </w:p>
        </w:tc>
        <w:tc>
          <w:tcPr>
            <w:tcW w:w="520" w:type="dxa"/>
            <w:shd w:val="clear" w:color="auto" w:fill="auto"/>
            <w:tcMar>
              <w:top w:w="0" w:type="dxa"/>
              <w:left w:w="70" w:type="dxa"/>
              <w:bottom w:w="0" w:type="dxa"/>
              <w:right w:w="70" w:type="dxa"/>
            </w:tcMar>
            <w:vAlign w:val="bottom"/>
          </w:tcPr>
          <w:p w:rsidR="005D6D0E" w:rsidRPr="008442C6" w:rsidRDefault="005D6D0E" w:rsidP="009F130B">
            <w:pPr>
              <w:pStyle w:val="SingleTxtG"/>
              <w:suppressAutoHyphens w:val="0"/>
              <w:spacing w:before="40" w:after="40" w:line="220" w:lineRule="exact"/>
              <w:ind w:left="0" w:right="0"/>
              <w:jc w:val="right"/>
              <w:rPr>
                <w:bCs/>
                <w:sz w:val="18"/>
              </w:rPr>
            </w:pPr>
            <w:r w:rsidRPr="008442C6">
              <w:rPr>
                <w:bCs/>
                <w:sz w:val="18"/>
              </w:rPr>
              <w:t>2</w:t>
            </w:r>
          </w:p>
        </w:tc>
        <w:tc>
          <w:tcPr>
            <w:tcW w:w="530" w:type="dxa"/>
            <w:shd w:val="clear" w:color="auto" w:fill="auto"/>
            <w:tcMar>
              <w:top w:w="0" w:type="dxa"/>
              <w:left w:w="70" w:type="dxa"/>
              <w:bottom w:w="0" w:type="dxa"/>
              <w:right w:w="70" w:type="dxa"/>
            </w:tcMar>
            <w:vAlign w:val="bottom"/>
          </w:tcPr>
          <w:p w:rsidR="005D6D0E" w:rsidRPr="008442C6" w:rsidRDefault="005D6D0E" w:rsidP="009F130B">
            <w:pPr>
              <w:pStyle w:val="SingleTxtG"/>
              <w:suppressAutoHyphens w:val="0"/>
              <w:spacing w:before="40" w:after="40" w:line="220" w:lineRule="exact"/>
              <w:ind w:left="0" w:right="0"/>
              <w:jc w:val="right"/>
              <w:rPr>
                <w:bCs/>
                <w:sz w:val="18"/>
              </w:rPr>
            </w:pPr>
            <w:r w:rsidRPr="008442C6">
              <w:rPr>
                <w:bCs/>
                <w:sz w:val="18"/>
              </w:rPr>
              <w:t>1</w:t>
            </w:r>
          </w:p>
        </w:tc>
        <w:tc>
          <w:tcPr>
            <w:tcW w:w="530" w:type="dxa"/>
            <w:shd w:val="clear" w:color="auto" w:fill="auto"/>
            <w:tcMar>
              <w:top w:w="0" w:type="dxa"/>
              <w:left w:w="70" w:type="dxa"/>
              <w:bottom w:w="0" w:type="dxa"/>
              <w:right w:w="70" w:type="dxa"/>
            </w:tcMar>
            <w:vAlign w:val="bottom"/>
          </w:tcPr>
          <w:p w:rsidR="005D6D0E" w:rsidRPr="008442C6" w:rsidRDefault="005D6D0E" w:rsidP="009F130B">
            <w:pPr>
              <w:pStyle w:val="SingleTxtG"/>
              <w:suppressAutoHyphens w:val="0"/>
              <w:spacing w:before="40" w:after="40" w:line="220" w:lineRule="exact"/>
              <w:ind w:left="0" w:right="0"/>
              <w:jc w:val="right"/>
              <w:rPr>
                <w:bCs/>
                <w:sz w:val="18"/>
              </w:rPr>
            </w:pPr>
            <w:r w:rsidRPr="008442C6">
              <w:rPr>
                <w:bCs/>
                <w:sz w:val="18"/>
              </w:rPr>
              <w:t>15</w:t>
            </w:r>
          </w:p>
        </w:tc>
        <w:tc>
          <w:tcPr>
            <w:tcW w:w="558" w:type="dxa"/>
            <w:shd w:val="clear" w:color="auto" w:fill="auto"/>
            <w:tcMar>
              <w:top w:w="0" w:type="dxa"/>
              <w:left w:w="70" w:type="dxa"/>
              <w:bottom w:w="0" w:type="dxa"/>
              <w:right w:w="70" w:type="dxa"/>
            </w:tcMar>
            <w:vAlign w:val="bottom"/>
          </w:tcPr>
          <w:p w:rsidR="005D6D0E" w:rsidRPr="008442C6" w:rsidRDefault="005D6D0E" w:rsidP="009F130B">
            <w:pPr>
              <w:pStyle w:val="SingleTxtG"/>
              <w:suppressAutoHyphens w:val="0"/>
              <w:spacing w:before="40" w:after="40" w:line="220" w:lineRule="exact"/>
              <w:ind w:left="0" w:right="0"/>
              <w:jc w:val="right"/>
              <w:rPr>
                <w:bCs/>
                <w:sz w:val="18"/>
              </w:rPr>
            </w:pPr>
            <w:r w:rsidRPr="008442C6">
              <w:rPr>
                <w:bCs/>
                <w:sz w:val="18"/>
              </w:rPr>
              <w:t>6</w:t>
            </w:r>
          </w:p>
        </w:tc>
        <w:tc>
          <w:tcPr>
            <w:tcW w:w="557" w:type="dxa"/>
            <w:shd w:val="clear" w:color="auto" w:fill="auto"/>
            <w:tcMar>
              <w:top w:w="0" w:type="dxa"/>
              <w:left w:w="70" w:type="dxa"/>
              <w:bottom w:w="0" w:type="dxa"/>
              <w:right w:w="70" w:type="dxa"/>
            </w:tcMar>
            <w:vAlign w:val="bottom"/>
          </w:tcPr>
          <w:p w:rsidR="005D6D0E" w:rsidRPr="008442C6" w:rsidRDefault="005D6D0E" w:rsidP="009F130B">
            <w:pPr>
              <w:pStyle w:val="SingleTxtG"/>
              <w:suppressAutoHyphens w:val="0"/>
              <w:spacing w:before="40" w:after="40" w:line="220" w:lineRule="exact"/>
              <w:ind w:left="0" w:right="0"/>
              <w:jc w:val="right"/>
              <w:rPr>
                <w:bCs/>
                <w:sz w:val="18"/>
              </w:rPr>
            </w:pPr>
            <w:r w:rsidRPr="008442C6">
              <w:rPr>
                <w:bCs/>
                <w:sz w:val="18"/>
              </w:rPr>
              <w:t>0</w:t>
            </w:r>
          </w:p>
        </w:tc>
        <w:tc>
          <w:tcPr>
            <w:tcW w:w="520" w:type="dxa"/>
            <w:shd w:val="clear" w:color="auto" w:fill="auto"/>
            <w:tcMar>
              <w:top w:w="0" w:type="dxa"/>
              <w:left w:w="70" w:type="dxa"/>
              <w:bottom w:w="0" w:type="dxa"/>
              <w:right w:w="70" w:type="dxa"/>
            </w:tcMar>
            <w:vAlign w:val="bottom"/>
          </w:tcPr>
          <w:p w:rsidR="005D6D0E" w:rsidRPr="008442C6" w:rsidRDefault="005D6D0E" w:rsidP="009F130B">
            <w:pPr>
              <w:pStyle w:val="SingleTxtG"/>
              <w:suppressAutoHyphens w:val="0"/>
              <w:spacing w:before="40" w:after="40" w:line="220" w:lineRule="exact"/>
              <w:ind w:left="0" w:right="0"/>
              <w:jc w:val="right"/>
              <w:rPr>
                <w:bCs/>
                <w:sz w:val="18"/>
              </w:rPr>
            </w:pPr>
            <w:r w:rsidRPr="008442C6">
              <w:rPr>
                <w:bCs/>
                <w:sz w:val="18"/>
              </w:rPr>
              <w:t>0</w:t>
            </w:r>
          </w:p>
        </w:tc>
        <w:tc>
          <w:tcPr>
            <w:tcW w:w="530" w:type="dxa"/>
            <w:shd w:val="clear" w:color="auto" w:fill="auto"/>
            <w:tcMar>
              <w:top w:w="0" w:type="dxa"/>
              <w:left w:w="70" w:type="dxa"/>
              <w:bottom w:w="0" w:type="dxa"/>
              <w:right w:w="70" w:type="dxa"/>
            </w:tcMar>
            <w:vAlign w:val="bottom"/>
          </w:tcPr>
          <w:p w:rsidR="005D6D0E" w:rsidRPr="008442C6" w:rsidRDefault="005D6D0E" w:rsidP="009F130B">
            <w:pPr>
              <w:pStyle w:val="SingleTxtG"/>
              <w:suppressAutoHyphens w:val="0"/>
              <w:spacing w:before="40" w:after="40" w:line="220" w:lineRule="exact"/>
              <w:ind w:left="0" w:right="0"/>
              <w:jc w:val="right"/>
              <w:rPr>
                <w:bCs/>
                <w:sz w:val="18"/>
              </w:rPr>
            </w:pPr>
            <w:r w:rsidRPr="008442C6">
              <w:rPr>
                <w:bCs/>
                <w:sz w:val="18"/>
              </w:rPr>
              <w:t>4</w:t>
            </w:r>
          </w:p>
        </w:tc>
        <w:tc>
          <w:tcPr>
            <w:tcW w:w="398" w:type="dxa"/>
            <w:shd w:val="clear" w:color="auto" w:fill="auto"/>
            <w:vAlign w:val="bottom"/>
          </w:tcPr>
          <w:p w:rsidR="005D6D0E" w:rsidRPr="008442C6" w:rsidRDefault="005D6D0E" w:rsidP="009F130B">
            <w:pPr>
              <w:pStyle w:val="SingleTxtG"/>
              <w:suppressAutoHyphens w:val="0"/>
              <w:spacing w:before="40" w:after="40" w:line="220" w:lineRule="exact"/>
              <w:ind w:left="0" w:right="0"/>
              <w:jc w:val="right"/>
              <w:rPr>
                <w:bCs/>
                <w:sz w:val="18"/>
              </w:rPr>
            </w:pPr>
            <w:r w:rsidRPr="008442C6">
              <w:rPr>
                <w:bCs/>
                <w:sz w:val="18"/>
              </w:rPr>
              <w:t>2</w:t>
            </w:r>
          </w:p>
        </w:tc>
      </w:tr>
      <w:tr w:rsidR="005D6D0E" w:rsidRPr="008442C6" w:rsidTr="009F130B">
        <w:tc>
          <w:tcPr>
            <w:tcW w:w="551" w:type="dxa"/>
            <w:tcBorders>
              <w:bottom w:val="single" w:sz="12" w:space="0" w:color="auto"/>
            </w:tcBorders>
            <w:shd w:val="clear" w:color="auto" w:fill="auto"/>
            <w:tcMar>
              <w:top w:w="0" w:type="dxa"/>
              <w:left w:w="70" w:type="dxa"/>
              <w:bottom w:w="0" w:type="dxa"/>
              <w:right w:w="70" w:type="dxa"/>
            </w:tcMar>
          </w:tcPr>
          <w:p w:rsidR="005D6D0E" w:rsidRPr="008442C6" w:rsidRDefault="005D6D0E" w:rsidP="009F130B">
            <w:pPr>
              <w:pStyle w:val="SingleTxtG"/>
              <w:suppressAutoHyphens w:val="0"/>
              <w:spacing w:before="40" w:after="40" w:line="220" w:lineRule="exact"/>
              <w:ind w:left="0" w:right="0"/>
              <w:rPr>
                <w:bCs/>
                <w:sz w:val="18"/>
              </w:rPr>
            </w:pPr>
            <w:r w:rsidRPr="008442C6">
              <w:rPr>
                <w:bCs/>
                <w:sz w:val="18"/>
              </w:rPr>
              <w:t>2016</w:t>
            </w:r>
          </w:p>
        </w:tc>
        <w:tc>
          <w:tcPr>
            <w:tcW w:w="558" w:type="dxa"/>
            <w:tcBorders>
              <w:bottom w:val="single" w:sz="12" w:space="0" w:color="auto"/>
            </w:tcBorders>
            <w:shd w:val="clear" w:color="auto" w:fill="auto"/>
            <w:tcMar>
              <w:top w:w="0" w:type="dxa"/>
              <w:left w:w="70" w:type="dxa"/>
              <w:bottom w:w="0" w:type="dxa"/>
              <w:right w:w="70" w:type="dxa"/>
            </w:tcMar>
            <w:vAlign w:val="bottom"/>
          </w:tcPr>
          <w:p w:rsidR="005D6D0E" w:rsidRPr="008442C6" w:rsidRDefault="005D6D0E" w:rsidP="009F130B">
            <w:pPr>
              <w:pStyle w:val="SingleTxtG"/>
              <w:suppressAutoHyphens w:val="0"/>
              <w:spacing w:before="40" w:after="40" w:line="220" w:lineRule="exact"/>
              <w:ind w:left="0" w:right="0"/>
              <w:jc w:val="right"/>
              <w:rPr>
                <w:bCs/>
                <w:sz w:val="18"/>
              </w:rPr>
            </w:pPr>
            <w:r w:rsidRPr="008442C6">
              <w:rPr>
                <w:bCs/>
                <w:sz w:val="18"/>
              </w:rPr>
              <w:t>24</w:t>
            </w:r>
          </w:p>
        </w:tc>
        <w:tc>
          <w:tcPr>
            <w:tcW w:w="557" w:type="dxa"/>
            <w:tcBorders>
              <w:bottom w:val="single" w:sz="12" w:space="0" w:color="auto"/>
            </w:tcBorders>
            <w:shd w:val="clear" w:color="auto" w:fill="auto"/>
            <w:tcMar>
              <w:top w:w="0" w:type="dxa"/>
              <w:left w:w="70" w:type="dxa"/>
              <w:bottom w:w="0" w:type="dxa"/>
              <w:right w:w="70" w:type="dxa"/>
            </w:tcMar>
            <w:vAlign w:val="bottom"/>
          </w:tcPr>
          <w:p w:rsidR="005D6D0E" w:rsidRPr="008442C6" w:rsidRDefault="005D6D0E" w:rsidP="009F130B">
            <w:pPr>
              <w:pStyle w:val="SingleTxtG"/>
              <w:suppressAutoHyphens w:val="0"/>
              <w:spacing w:before="40" w:after="40" w:line="220" w:lineRule="exact"/>
              <w:ind w:left="0" w:right="0"/>
              <w:jc w:val="right"/>
              <w:rPr>
                <w:bCs/>
                <w:sz w:val="18"/>
              </w:rPr>
            </w:pPr>
            <w:r w:rsidRPr="008442C6">
              <w:rPr>
                <w:bCs/>
                <w:sz w:val="18"/>
              </w:rPr>
              <w:t>1</w:t>
            </w:r>
          </w:p>
        </w:tc>
        <w:tc>
          <w:tcPr>
            <w:tcW w:w="520" w:type="dxa"/>
            <w:tcBorders>
              <w:bottom w:val="single" w:sz="12" w:space="0" w:color="auto"/>
            </w:tcBorders>
            <w:shd w:val="clear" w:color="auto" w:fill="auto"/>
            <w:tcMar>
              <w:top w:w="0" w:type="dxa"/>
              <w:left w:w="70" w:type="dxa"/>
              <w:bottom w:w="0" w:type="dxa"/>
              <w:right w:w="70" w:type="dxa"/>
            </w:tcMar>
            <w:vAlign w:val="bottom"/>
          </w:tcPr>
          <w:p w:rsidR="005D6D0E" w:rsidRPr="008442C6" w:rsidRDefault="005D6D0E" w:rsidP="009F130B">
            <w:pPr>
              <w:pStyle w:val="SingleTxtG"/>
              <w:suppressAutoHyphens w:val="0"/>
              <w:spacing w:before="40" w:after="40" w:line="220" w:lineRule="exact"/>
              <w:ind w:left="0" w:right="0"/>
              <w:jc w:val="right"/>
              <w:rPr>
                <w:bCs/>
                <w:sz w:val="18"/>
              </w:rPr>
            </w:pPr>
            <w:r w:rsidRPr="008442C6">
              <w:rPr>
                <w:bCs/>
                <w:sz w:val="18"/>
              </w:rPr>
              <w:t>1</w:t>
            </w:r>
          </w:p>
        </w:tc>
        <w:tc>
          <w:tcPr>
            <w:tcW w:w="530" w:type="dxa"/>
            <w:tcBorders>
              <w:bottom w:val="single" w:sz="12" w:space="0" w:color="auto"/>
            </w:tcBorders>
            <w:shd w:val="clear" w:color="auto" w:fill="auto"/>
            <w:tcMar>
              <w:top w:w="0" w:type="dxa"/>
              <w:left w:w="70" w:type="dxa"/>
              <w:bottom w:w="0" w:type="dxa"/>
              <w:right w:w="70" w:type="dxa"/>
            </w:tcMar>
            <w:vAlign w:val="bottom"/>
          </w:tcPr>
          <w:p w:rsidR="005D6D0E" w:rsidRPr="008442C6" w:rsidRDefault="005D6D0E" w:rsidP="009F130B">
            <w:pPr>
              <w:pStyle w:val="SingleTxtG"/>
              <w:suppressAutoHyphens w:val="0"/>
              <w:spacing w:before="40" w:after="40" w:line="220" w:lineRule="exact"/>
              <w:ind w:left="0" w:right="0"/>
              <w:jc w:val="right"/>
              <w:rPr>
                <w:bCs/>
                <w:sz w:val="18"/>
              </w:rPr>
            </w:pPr>
            <w:r w:rsidRPr="008442C6">
              <w:rPr>
                <w:bCs/>
                <w:sz w:val="18"/>
              </w:rPr>
              <w:t>3</w:t>
            </w:r>
          </w:p>
        </w:tc>
        <w:tc>
          <w:tcPr>
            <w:tcW w:w="530" w:type="dxa"/>
            <w:tcBorders>
              <w:bottom w:val="single" w:sz="12" w:space="0" w:color="auto"/>
            </w:tcBorders>
            <w:shd w:val="clear" w:color="auto" w:fill="auto"/>
            <w:tcMar>
              <w:top w:w="0" w:type="dxa"/>
              <w:left w:w="70" w:type="dxa"/>
              <w:bottom w:w="0" w:type="dxa"/>
              <w:right w:w="70" w:type="dxa"/>
            </w:tcMar>
            <w:vAlign w:val="bottom"/>
          </w:tcPr>
          <w:p w:rsidR="005D6D0E" w:rsidRPr="008442C6" w:rsidRDefault="005D6D0E" w:rsidP="009F130B">
            <w:pPr>
              <w:pStyle w:val="SingleTxtG"/>
              <w:suppressAutoHyphens w:val="0"/>
              <w:spacing w:before="40" w:after="40" w:line="220" w:lineRule="exact"/>
              <w:ind w:left="0" w:right="0"/>
              <w:jc w:val="right"/>
              <w:rPr>
                <w:bCs/>
                <w:sz w:val="18"/>
              </w:rPr>
            </w:pPr>
            <w:r w:rsidRPr="008442C6">
              <w:rPr>
                <w:bCs/>
                <w:sz w:val="18"/>
              </w:rPr>
              <w:t>19</w:t>
            </w:r>
          </w:p>
        </w:tc>
        <w:tc>
          <w:tcPr>
            <w:tcW w:w="558" w:type="dxa"/>
            <w:tcBorders>
              <w:bottom w:val="single" w:sz="12" w:space="0" w:color="auto"/>
            </w:tcBorders>
            <w:shd w:val="clear" w:color="auto" w:fill="auto"/>
            <w:tcMar>
              <w:top w:w="0" w:type="dxa"/>
              <w:left w:w="70" w:type="dxa"/>
              <w:bottom w:w="0" w:type="dxa"/>
              <w:right w:w="70" w:type="dxa"/>
            </w:tcMar>
            <w:vAlign w:val="bottom"/>
          </w:tcPr>
          <w:p w:rsidR="005D6D0E" w:rsidRPr="008442C6" w:rsidRDefault="005D6D0E" w:rsidP="009F130B">
            <w:pPr>
              <w:pStyle w:val="SingleTxtG"/>
              <w:suppressAutoHyphens w:val="0"/>
              <w:spacing w:before="40" w:after="40" w:line="220" w:lineRule="exact"/>
              <w:ind w:left="0" w:right="0"/>
              <w:jc w:val="right"/>
              <w:rPr>
                <w:bCs/>
                <w:sz w:val="18"/>
              </w:rPr>
            </w:pPr>
            <w:r w:rsidRPr="008442C6">
              <w:rPr>
                <w:bCs/>
                <w:sz w:val="18"/>
              </w:rPr>
              <w:t>16</w:t>
            </w:r>
          </w:p>
        </w:tc>
        <w:tc>
          <w:tcPr>
            <w:tcW w:w="557" w:type="dxa"/>
            <w:tcBorders>
              <w:bottom w:val="single" w:sz="12" w:space="0" w:color="auto"/>
            </w:tcBorders>
            <w:shd w:val="clear" w:color="auto" w:fill="auto"/>
            <w:tcMar>
              <w:top w:w="0" w:type="dxa"/>
              <w:left w:w="70" w:type="dxa"/>
              <w:bottom w:w="0" w:type="dxa"/>
              <w:right w:w="70" w:type="dxa"/>
            </w:tcMar>
            <w:vAlign w:val="bottom"/>
          </w:tcPr>
          <w:p w:rsidR="005D6D0E" w:rsidRPr="008442C6" w:rsidRDefault="005D6D0E" w:rsidP="009F130B">
            <w:pPr>
              <w:pStyle w:val="SingleTxtG"/>
              <w:suppressAutoHyphens w:val="0"/>
              <w:spacing w:before="40" w:after="40" w:line="220" w:lineRule="exact"/>
              <w:ind w:left="0" w:right="0"/>
              <w:jc w:val="right"/>
              <w:rPr>
                <w:bCs/>
                <w:sz w:val="18"/>
              </w:rPr>
            </w:pPr>
            <w:r w:rsidRPr="008442C6">
              <w:rPr>
                <w:bCs/>
                <w:sz w:val="18"/>
              </w:rPr>
              <w:t>1</w:t>
            </w:r>
          </w:p>
        </w:tc>
        <w:tc>
          <w:tcPr>
            <w:tcW w:w="520" w:type="dxa"/>
            <w:tcBorders>
              <w:bottom w:val="single" w:sz="12" w:space="0" w:color="auto"/>
            </w:tcBorders>
            <w:shd w:val="clear" w:color="auto" w:fill="auto"/>
            <w:tcMar>
              <w:top w:w="0" w:type="dxa"/>
              <w:left w:w="70" w:type="dxa"/>
              <w:bottom w:w="0" w:type="dxa"/>
              <w:right w:w="70" w:type="dxa"/>
            </w:tcMar>
            <w:vAlign w:val="bottom"/>
          </w:tcPr>
          <w:p w:rsidR="005D6D0E" w:rsidRPr="008442C6" w:rsidRDefault="005D6D0E" w:rsidP="009F130B">
            <w:pPr>
              <w:pStyle w:val="SingleTxtG"/>
              <w:suppressAutoHyphens w:val="0"/>
              <w:spacing w:before="40" w:after="40" w:line="220" w:lineRule="exact"/>
              <w:ind w:left="0" w:right="0"/>
              <w:jc w:val="right"/>
              <w:rPr>
                <w:bCs/>
                <w:sz w:val="18"/>
              </w:rPr>
            </w:pPr>
            <w:r w:rsidRPr="008442C6">
              <w:rPr>
                <w:bCs/>
                <w:sz w:val="18"/>
              </w:rPr>
              <w:t>0</w:t>
            </w:r>
          </w:p>
        </w:tc>
        <w:tc>
          <w:tcPr>
            <w:tcW w:w="530" w:type="dxa"/>
            <w:tcBorders>
              <w:bottom w:val="single" w:sz="12" w:space="0" w:color="auto"/>
            </w:tcBorders>
            <w:shd w:val="clear" w:color="auto" w:fill="auto"/>
            <w:tcMar>
              <w:top w:w="0" w:type="dxa"/>
              <w:left w:w="70" w:type="dxa"/>
              <w:bottom w:w="0" w:type="dxa"/>
              <w:right w:w="70" w:type="dxa"/>
            </w:tcMar>
            <w:vAlign w:val="bottom"/>
          </w:tcPr>
          <w:p w:rsidR="005D6D0E" w:rsidRPr="008442C6" w:rsidRDefault="005D6D0E" w:rsidP="009F130B">
            <w:pPr>
              <w:pStyle w:val="SingleTxtG"/>
              <w:suppressAutoHyphens w:val="0"/>
              <w:spacing w:before="40" w:after="40" w:line="220" w:lineRule="exact"/>
              <w:ind w:left="0" w:right="0"/>
              <w:jc w:val="right"/>
              <w:rPr>
                <w:bCs/>
                <w:sz w:val="18"/>
              </w:rPr>
            </w:pPr>
            <w:r w:rsidRPr="008442C6">
              <w:rPr>
                <w:bCs/>
                <w:sz w:val="18"/>
              </w:rPr>
              <w:t>2</w:t>
            </w:r>
          </w:p>
        </w:tc>
        <w:tc>
          <w:tcPr>
            <w:tcW w:w="530" w:type="dxa"/>
            <w:tcBorders>
              <w:bottom w:val="single" w:sz="12" w:space="0" w:color="auto"/>
            </w:tcBorders>
            <w:shd w:val="clear" w:color="auto" w:fill="auto"/>
            <w:tcMar>
              <w:top w:w="0" w:type="dxa"/>
              <w:left w:w="70" w:type="dxa"/>
              <w:bottom w:w="0" w:type="dxa"/>
              <w:right w:w="70" w:type="dxa"/>
            </w:tcMar>
            <w:vAlign w:val="bottom"/>
          </w:tcPr>
          <w:p w:rsidR="005D6D0E" w:rsidRPr="008442C6" w:rsidRDefault="005D6D0E" w:rsidP="009F130B">
            <w:pPr>
              <w:pStyle w:val="SingleTxtG"/>
              <w:suppressAutoHyphens w:val="0"/>
              <w:spacing w:before="40" w:after="40" w:line="220" w:lineRule="exact"/>
              <w:ind w:left="0" w:right="0"/>
              <w:jc w:val="right"/>
              <w:rPr>
                <w:bCs/>
                <w:sz w:val="18"/>
              </w:rPr>
            </w:pPr>
            <w:r w:rsidRPr="008442C6">
              <w:rPr>
                <w:bCs/>
                <w:sz w:val="18"/>
              </w:rPr>
              <w:t>13</w:t>
            </w:r>
          </w:p>
        </w:tc>
        <w:tc>
          <w:tcPr>
            <w:tcW w:w="558" w:type="dxa"/>
            <w:tcBorders>
              <w:bottom w:val="single" w:sz="12" w:space="0" w:color="auto"/>
            </w:tcBorders>
            <w:shd w:val="clear" w:color="auto" w:fill="auto"/>
            <w:tcMar>
              <w:top w:w="0" w:type="dxa"/>
              <w:left w:w="70" w:type="dxa"/>
              <w:bottom w:w="0" w:type="dxa"/>
              <w:right w:w="70" w:type="dxa"/>
            </w:tcMar>
            <w:vAlign w:val="bottom"/>
          </w:tcPr>
          <w:p w:rsidR="005D6D0E" w:rsidRPr="008442C6" w:rsidRDefault="005D6D0E" w:rsidP="009F130B">
            <w:pPr>
              <w:pStyle w:val="SingleTxtG"/>
              <w:suppressAutoHyphens w:val="0"/>
              <w:spacing w:before="40" w:after="40" w:line="220" w:lineRule="exact"/>
              <w:ind w:left="0" w:right="0"/>
              <w:jc w:val="right"/>
              <w:rPr>
                <w:bCs/>
                <w:sz w:val="18"/>
              </w:rPr>
            </w:pPr>
            <w:r w:rsidRPr="008442C6">
              <w:rPr>
                <w:bCs/>
                <w:sz w:val="18"/>
              </w:rPr>
              <w:t>8</w:t>
            </w:r>
          </w:p>
        </w:tc>
        <w:tc>
          <w:tcPr>
            <w:tcW w:w="557" w:type="dxa"/>
            <w:tcBorders>
              <w:bottom w:val="single" w:sz="12" w:space="0" w:color="auto"/>
            </w:tcBorders>
            <w:shd w:val="clear" w:color="auto" w:fill="auto"/>
            <w:tcMar>
              <w:top w:w="0" w:type="dxa"/>
              <w:left w:w="70" w:type="dxa"/>
              <w:bottom w:w="0" w:type="dxa"/>
              <w:right w:w="70" w:type="dxa"/>
            </w:tcMar>
            <w:vAlign w:val="bottom"/>
          </w:tcPr>
          <w:p w:rsidR="005D6D0E" w:rsidRPr="008442C6" w:rsidRDefault="005D6D0E" w:rsidP="009F130B">
            <w:pPr>
              <w:pStyle w:val="SingleTxtG"/>
              <w:suppressAutoHyphens w:val="0"/>
              <w:spacing w:before="40" w:after="40" w:line="220" w:lineRule="exact"/>
              <w:ind w:left="0" w:right="0"/>
              <w:jc w:val="right"/>
              <w:rPr>
                <w:bCs/>
                <w:sz w:val="18"/>
              </w:rPr>
            </w:pPr>
            <w:r w:rsidRPr="008442C6">
              <w:rPr>
                <w:bCs/>
                <w:sz w:val="18"/>
              </w:rPr>
              <w:t>0</w:t>
            </w:r>
          </w:p>
        </w:tc>
        <w:tc>
          <w:tcPr>
            <w:tcW w:w="520" w:type="dxa"/>
            <w:tcBorders>
              <w:bottom w:val="single" w:sz="12" w:space="0" w:color="auto"/>
            </w:tcBorders>
            <w:shd w:val="clear" w:color="auto" w:fill="auto"/>
            <w:tcMar>
              <w:top w:w="0" w:type="dxa"/>
              <w:left w:w="70" w:type="dxa"/>
              <w:bottom w:w="0" w:type="dxa"/>
              <w:right w:w="70" w:type="dxa"/>
            </w:tcMar>
            <w:vAlign w:val="bottom"/>
          </w:tcPr>
          <w:p w:rsidR="005D6D0E" w:rsidRPr="008442C6" w:rsidRDefault="005D6D0E" w:rsidP="009F130B">
            <w:pPr>
              <w:pStyle w:val="SingleTxtG"/>
              <w:suppressAutoHyphens w:val="0"/>
              <w:spacing w:before="40" w:after="40" w:line="220" w:lineRule="exact"/>
              <w:ind w:left="0" w:right="0"/>
              <w:jc w:val="right"/>
              <w:rPr>
                <w:bCs/>
                <w:sz w:val="18"/>
              </w:rPr>
            </w:pPr>
            <w:r w:rsidRPr="008442C6">
              <w:rPr>
                <w:bCs/>
                <w:sz w:val="18"/>
              </w:rPr>
              <w:t>1</w:t>
            </w:r>
          </w:p>
        </w:tc>
        <w:tc>
          <w:tcPr>
            <w:tcW w:w="530" w:type="dxa"/>
            <w:tcBorders>
              <w:bottom w:val="single" w:sz="12" w:space="0" w:color="auto"/>
            </w:tcBorders>
            <w:shd w:val="clear" w:color="auto" w:fill="auto"/>
            <w:tcMar>
              <w:top w:w="0" w:type="dxa"/>
              <w:left w:w="70" w:type="dxa"/>
              <w:bottom w:w="0" w:type="dxa"/>
              <w:right w:w="70" w:type="dxa"/>
            </w:tcMar>
            <w:vAlign w:val="bottom"/>
          </w:tcPr>
          <w:p w:rsidR="005D6D0E" w:rsidRPr="008442C6" w:rsidRDefault="005D6D0E" w:rsidP="009F130B">
            <w:pPr>
              <w:pStyle w:val="SingleTxtG"/>
              <w:suppressAutoHyphens w:val="0"/>
              <w:spacing w:before="40" w:after="40" w:line="220" w:lineRule="exact"/>
              <w:ind w:left="0" w:right="0"/>
              <w:jc w:val="right"/>
              <w:rPr>
                <w:bCs/>
                <w:sz w:val="18"/>
              </w:rPr>
            </w:pPr>
            <w:r w:rsidRPr="008442C6">
              <w:rPr>
                <w:bCs/>
                <w:sz w:val="18"/>
              </w:rPr>
              <w:t>1</w:t>
            </w:r>
          </w:p>
        </w:tc>
        <w:tc>
          <w:tcPr>
            <w:tcW w:w="398" w:type="dxa"/>
            <w:tcBorders>
              <w:bottom w:val="single" w:sz="12" w:space="0" w:color="auto"/>
            </w:tcBorders>
            <w:shd w:val="clear" w:color="auto" w:fill="auto"/>
            <w:vAlign w:val="bottom"/>
          </w:tcPr>
          <w:p w:rsidR="005D6D0E" w:rsidRPr="008442C6" w:rsidRDefault="005D6D0E" w:rsidP="009F130B">
            <w:pPr>
              <w:pStyle w:val="SingleTxtG"/>
              <w:suppressAutoHyphens w:val="0"/>
              <w:spacing w:before="40" w:after="40" w:line="220" w:lineRule="exact"/>
              <w:ind w:left="0" w:right="0"/>
              <w:jc w:val="right"/>
              <w:rPr>
                <w:bCs/>
                <w:sz w:val="18"/>
              </w:rPr>
            </w:pPr>
            <w:r w:rsidRPr="008442C6">
              <w:rPr>
                <w:bCs/>
                <w:sz w:val="18"/>
              </w:rPr>
              <w:t>6</w:t>
            </w:r>
          </w:p>
        </w:tc>
      </w:tr>
    </w:tbl>
    <w:p w:rsidR="00BD77CC" w:rsidRPr="008442C6" w:rsidRDefault="00BD77CC" w:rsidP="00904F27">
      <w:pPr>
        <w:spacing w:before="120"/>
        <w:ind w:left="113" w:right="1134" w:firstLine="170"/>
        <w:rPr>
          <w:sz w:val="18"/>
          <w:szCs w:val="18"/>
        </w:rPr>
      </w:pPr>
      <w:r w:rsidRPr="008442C6">
        <w:rPr>
          <w:i/>
          <w:iCs/>
          <w:sz w:val="18"/>
          <w:szCs w:val="18"/>
        </w:rPr>
        <w:t>Source</w:t>
      </w:r>
      <w:r w:rsidRPr="008442C6">
        <w:rPr>
          <w:sz w:val="18"/>
          <w:szCs w:val="18"/>
        </w:rPr>
        <w:t>: Foreigners and Borders Office</w:t>
      </w:r>
      <w:r w:rsidR="00904F27" w:rsidRPr="008442C6">
        <w:rPr>
          <w:sz w:val="18"/>
          <w:szCs w:val="18"/>
        </w:rPr>
        <w:t>.</w:t>
      </w:r>
    </w:p>
    <w:p w:rsidR="00BD77CC" w:rsidRPr="008442C6" w:rsidRDefault="00BD77CC" w:rsidP="00904F27">
      <w:pPr>
        <w:ind w:left="113" w:right="1134" w:firstLine="170"/>
      </w:pPr>
      <w:r w:rsidRPr="008442C6">
        <w:rPr>
          <w:i/>
          <w:iCs/>
          <w:sz w:val="18"/>
          <w:szCs w:val="18"/>
        </w:rPr>
        <w:t>Note</w:t>
      </w:r>
      <w:r w:rsidRPr="008442C6">
        <w:rPr>
          <w:sz w:val="18"/>
          <w:szCs w:val="18"/>
        </w:rPr>
        <w:t>: UKN – Unknow</w:t>
      </w:r>
      <w:r w:rsidR="00904F27" w:rsidRPr="008442C6">
        <w:rPr>
          <w:sz w:val="18"/>
          <w:szCs w:val="18"/>
        </w:rPr>
        <w:t>n.</w:t>
      </w:r>
    </w:p>
    <w:p w:rsidR="00BD77CC" w:rsidRPr="008442C6" w:rsidRDefault="00BD77CC" w:rsidP="00904F27">
      <w:pPr>
        <w:pStyle w:val="H1G"/>
      </w:pPr>
      <w:r w:rsidRPr="008442C6">
        <w:tab/>
      </w:r>
      <w:r w:rsidRPr="008442C6">
        <w:tab/>
        <w:t>Reply to paragraph 15</w:t>
      </w:r>
      <w:r w:rsidR="00904F27" w:rsidRPr="008442C6">
        <w:t xml:space="preserve"> </w:t>
      </w:r>
      <w:r w:rsidRPr="008442C6">
        <w:t xml:space="preserve">(p) of the list of issues </w:t>
      </w:r>
    </w:p>
    <w:p w:rsidR="00BD77CC" w:rsidRPr="008442C6" w:rsidRDefault="00BD77CC" w:rsidP="009C598B">
      <w:pPr>
        <w:pStyle w:val="SingleTxtG"/>
      </w:pPr>
      <w:r w:rsidRPr="008442C6">
        <w:t>103.</w:t>
      </w:r>
      <w:r w:rsidRPr="008442C6">
        <w:tab/>
        <w:t>See answer to paragraph 9.</w:t>
      </w:r>
    </w:p>
    <w:p w:rsidR="00BD77CC" w:rsidRPr="008442C6" w:rsidRDefault="00BD77CC" w:rsidP="00904F27">
      <w:pPr>
        <w:pStyle w:val="H1G"/>
      </w:pPr>
      <w:r w:rsidRPr="008442C6">
        <w:tab/>
      </w:r>
      <w:r w:rsidRPr="008442C6">
        <w:tab/>
        <w:t>Reply to paragraph 15</w:t>
      </w:r>
      <w:r w:rsidR="00904F27" w:rsidRPr="008442C6">
        <w:t xml:space="preserve"> </w:t>
      </w:r>
      <w:r w:rsidRPr="008442C6">
        <w:t xml:space="preserve">(q), (r) of the list of issues </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26"/>
        <w:gridCol w:w="1635"/>
        <w:gridCol w:w="1241"/>
        <w:gridCol w:w="1434"/>
        <w:gridCol w:w="1434"/>
      </w:tblGrid>
      <w:tr w:rsidR="00E108D0" w:rsidRPr="008442C6" w:rsidTr="00C051C3">
        <w:trPr>
          <w:tblHeader/>
        </w:trPr>
        <w:tc>
          <w:tcPr>
            <w:tcW w:w="1626" w:type="dxa"/>
            <w:tcBorders>
              <w:top w:val="single" w:sz="4" w:space="0" w:color="auto"/>
              <w:bottom w:val="single" w:sz="12" w:space="0" w:color="auto"/>
            </w:tcBorders>
            <w:shd w:val="clear" w:color="auto" w:fill="auto"/>
            <w:vAlign w:val="bottom"/>
          </w:tcPr>
          <w:p w:rsidR="00E108D0" w:rsidRPr="008442C6" w:rsidRDefault="00E108D0" w:rsidP="00E108D0">
            <w:pPr>
              <w:pStyle w:val="SingleTxtG"/>
              <w:suppressAutoHyphens w:val="0"/>
              <w:spacing w:before="80" w:after="80" w:line="200" w:lineRule="exact"/>
              <w:ind w:left="0" w:right="113"/>
              <w:jc w:val="left"/>
              <w:rPr>
                <w:i/>
                <w:sz w:val="16"/>
              </w:rPr>
            </w:pPr>
            <w:r w:rsidRPr="008442C6">
              <w:rPr>
                <w:i/>
                <w:sz w:val="16"/>
              </w:rPr>
              <w:t>Crime (Article 160 Criminal Code)</w:t>
            </w:r>
          </w:p>
        </w:tc>
        <w:tc>
          <w:tcPr>
            <w:tcW w:w="1635" w:type="dxa"/>
            <w:tcBorders>
              <w:top w:val="single" w:sz="4" w:space="0" w:color="auto"/>
              <w:bottom w:val="single" w:sz="12" w:space="0" w:color="auto"/>
            </w:tcBorders>
            <w:shd w:val="clear" w:color="auto" w:fill="auto"/>
            <w:vAlign w:val="bottom"/>
          </w:tcPr>
          <w:p w:rsidR="00E108D0" w:rsidRPr="008442C6" w:rsidRDefault="00E108D0" w:rsidP="00C051C3">
            <w:pPr>
              <w:pStyle w:val="SingleTxtG"/>
              <w:suppressAutoHyphens w:val="0"/>
              <w:spacing w:before="80" w:after="80" w:line="200" w:lineRule="exact"/>
              <w:ind w:left="0" w:right="113"/>
              <w:jc w:val="left"/>
              <w:rPr>
                <w:i/>
                <w:sz w:val="16"/>
              </w:rPr>
            </w:pPr>
            <w:r w:rsidRPr="008442C6">
              <w:rPr>
                <w:i/>
                <w:sz w:val="16"/>
              </w:rPr>
              <w:t>Age</w:t>
            </w:r>
          </w:p>
        </w:tc>
        <w:tc>
          <w:tcPr>
            <w:tcW w:w="1241" w:type="dxa"/>
            <w:tcBorders>
              <w:top w:val="single" w:sz="4" w:space="0" w:color="auto"/>
              <w:bottom w:val="single" w:sz="12" w:space="0" w:color="auto"/>
            </w:tcBorders>
            <w:shd w:val="clear" w:color="auto" w:fill="auto"/>
            <w:vAlign w:val="bottom"/>
          </w:tcPr>
          <w:p w:rsidR="00E108D0" w:rsidRPr="008442C6" w:rsidRDefault="00E108D0" w:rsidP="00E108D0">
            <w:pPr>
              <w:pStyle w:val="SingleTxtG"/>
              <w:suppressAutoHyphens w:val="0"/>
              <w:spacing w:before="80" w:after="80" w:line="200" w:lineRule="exact"/>
              <w:ind w:left="0" w:right="113"/>
              <w:jc w:val="right"/>
              <w:rPr>
                <w:i/>
                <w:sz w:val="16"/>
              </w:rPr>
            </w:pPr>
            <w:r w:rsidRPr="008442C6">
              <w:rPr>
                <w:i/>
                <w:sz w:val="16"/>
              </w:rPr>
              <w:t>2018</w:t>
            </w:r>
          </w:p>
        </w:tc>
        <w:tc>
          <w:tcPr>
            <w:tcW w:w="1434" w:type="dxa"/>
            <w:tcBorders>
              <w:top w:val="single" w:sz="4" w:space="0" w:color="auto"/>
              <w:bottom w:val="single" w:sz="12" w:space="0" w:color="auto"/>
            </w:tcBorders>
            <w:shd w:val="clear" w:color="auto" w:fill="auto"/>
            <w:vAlign w:val="bottom"/>
          </w:tcPr>
          <w:p w:rsidR="00E108D0" w:rsidRPr="008442C6" w:rsidRDefault="00E108D0" w:rsidP="00E108D0">
            <w:pPr>
              <w:pStyle w:val="SingleTxtG"/>
              <w:suppressAutoHyphens w:val="0"/>
              <w:spacing w:before="80" w:after="80" w:line="200" w:lineRule="exact"/>
              <w:ind w:left="0" w:right="113"/>
              <w:jc w:val="right"/>
              <w:rPr>
                <w:i/>
                <w:sz w:val="16"/>
              </w:rPr>
            </w:pPr>
            <w:r w:rsidRPr="008442C6">
              <w:rPr>
                <w:i/>
                <w:sz w:val="16"/>
              </w:rPr>
              <w:t>2017</w:t>
            </w:r>
          </w:p>
        </w:tc>
        <w:tc>
          <w:tcPr>
            <w:tcW w:w="1434" w:type="dxa"/>
            <w:tcBorders>
              <w:top w:val="single" w:sz="4" w:space="0" w:color="auto"/>
              <w:bottom w:val="single" w:sz="12" w:space="0" w:color="auto"/>
            </w:tcBorders>
            <w:shd w:val="clear" w:color="auto" w:fill="auto"/>
            <w:vAlign w:val="bottom"/>
          </w:tcPr>
          <w:p w:rsidR="00E108D0" w:rsidRPr="008442C6" w:rsidRDefault="00E108D0" w:rsidP="00E108D0">
            <w:pPr>
              <w:pStyle w:val="SingleTxtG"/>
              <w:suppressAutoHyphens w:val="0"/>
              <w:spacing w:before="80" w:after="80" w:line="200" w:lineRule="exact"/>
              <w:ind w:left="0" w:right="113"/>
              <w:jc w:val="right"/>
              <w:rPr>
                <w:i/>
                <w:sz w:val="16"/>
              </w:rPr>
            </w:pPr>
            <w:r w:rsidRPr="008442C6">
              <w:rPr>
                <w:i/>
                <w:sz w:val="16"/>
              </w:rPr>
              <w:t>2016</w:t>
            </w:r>
          </w:p>
        </w:tc>
      </w:tr>
      <w:tr w:rsidR="00E108D0" w:rsidRPr="008442C6" w:rsidTr="00C051C3">
        <w:tc>
          <w:tcPr>
            <w:tcW w:w="1626" w:type="dxa"/>
            <w:vMerge w:val="restart"/>
            <w:tcBorders>
              <w:top w:val="single" w:sz="12" w:space="0" w:color="auto"/>
            </w:tcBorders>
            <w:shd w:val="clear" w:color="auto" w:fill="auto"/>
          </w:tcPr>
          <w:p w:rsidR="00E108D0" w:rsidRPr="008442C6" w:rsidRDefault="00E108D0" w:rsidP="00E108D0">
            <w:pPr>
              <w:pStyle w:val="SingleTxtG"/>
              <w:suppressAutoHyphens w:val="0"/>
              <w:spacing w:before="40" w:after="40" w:line="220" w:lineRule="exact"/>
              <w:ind w:left="0" w:right="113"/>
              <w:jc w:val="left"/>
              <w:rPr>
                <w:sz w:val="18"/>
              </w:rPr>
            </w:pPr>
            <w:r w:rsidRPr="008442C6">
              <w:rPr>
                <w:sz w:val="18"/>
              </w:rPr>
              <w:t>Trafficking in human beings</w:t>
            </w:r>
          </w:p>
        </w:tc>
        <w:tc>
          <w:tcPr>
            <w:tcW w:w="1635" w:type="dxa"/>
            <w:tcBorders>
              <w:top w:val="single" w:sz="12" w:space="0" w:color="auto"/>
            </w:tcBorders>
            <w:shd w:val="clear" w:color="auto" w:fill="auto"/>
            <w:vAlign w:val="bottom"/>
          </w:tcPr>
          <w:p w:rsidR="00E108D0" w:rsidRPr="008442C6" w:rsidRDefault="00E108D0" w:rsidP="00C051C3">
            <w:pPr>
              <w:pStyle w:val="SingleTxtG"/>
              <w:suppressAutoHyphens w:val="0"/>
              <w:spacing w:before="40" w:after="40" w:line="220" w:lineRule="exact"/>
              <w:ind w:left="0" w:right="113"/>
              <w:jc w:val="left"/>
              <w:rPr>
                <w:sz w:val="18"/>
              </w:rPr>
            </w:pPr>
            <w:r w:rsidRPr="008442C6">
              <w:rPr>
                <w:sz w:val="18"/>
              </w:rPr>
              <w:t>Up to 16 years old</w:t>
            </w:r>
          </w:p>
        </w:tc>
        <w:tc>
          <w:tcPr>
            <w:tcW w:w="1241" w:type="dxa"/>
            <w:tcBorders>
              <w:top w:val="single" w:sz="12" w:space="0" w:color="auto"/>
            </w:tcBorders>
            <w:shd w:val="clear" w:color="auto" w:fill="auto"/>
            <w:vAlign w:val="bottom"/>
          </w:tcPr>
          <w:p w:rsidR="00E108D0" w:rsidRPr="008442C6" w:rsidRDefault="00E108D0" w:rsidP="00E108D0">
            <w:pPr>
              <w:pStyle w:val="SingleTxtG"/>
              <w:suppressAutoHyphens w:val="0"/>
              <w:spacing w:before="40" w:after="40" w:line="220" w:lineRule="exact"/>
              <w:ind w:left="0" w:right="113"/>
              <w:jc w:val="right"/>
              <w:rPr>
                <w:sz w:val="18"/>
              </w:rPr>
            </w:pPr>
            <w:r w:rsidRPr="008442C6">
              <w:rPr>
                <w:sz w:val="18"/>
              </w:rPr>
              <w:t>-</w:t>
            </w:r>
          </w:p>
        </w:tc>
        <w:tc>
          <w:tcPr>
            <w:tcW w:w="1434" w:type="dxa"/>
            <w:tcBorders>
              <w:top w:val="single" w:sz="12" w:space="0" w:color="auto"/>
            </w:tcBorders>
            <w:shd w:val="clear" w:color="auto" w:fill="auto"/>
            <w:vAlign w:val="bottom"/>
          </w:tcPr>
          <w:p w:rsidR="00E108D0" w:rsidRPr="008442C6" w:rsidRDefault="00E108D0" w:rsidP="00E108D0">
            <w:pPr>
              <w:pStyle w:val="SingleTxtG"/>
              <w:suppressAutoHyphens w:val="0"/>
              <w:spacing w:before="40" w:after="40" w:line="220" w:lineRule="exact"/>
              <w:ind w:left="0" w:right="113"/>
              <w:jc w:val="right"/>
              <w:rPr>
                <w:sz w:val="18"/>
              </w:rPr>
            </w:pPr>
            <w:r w:rsidRPr="008442C6">
              <w:rPr>
                <w:sz w:val="18"/>
              </w:rPr>
              <w:t>-</w:t>
            </w:r>
          </w:p>
        </w:tc>
        <w:tc>
          <w:tcPr>
            <w:tcW w:w="1434" w:type="dxa"/>
            <w:tcBorders>
              <w:top w:val="single" w:sz="12" w:space="0" w:color="auto"/>
            </w:tcBorders>
            <w:shd w:val="clear" w:color="auto" w:fill="auto"/>
            <w:vAlign w:val="bottom"/>
          </w:tcPr>
          <w:p w:rsidR="00E108D0" w:rsidRPr="008442C6" w:rsidRDefault="00E108D0" w:rsidP="00E108D0">
            <w:pPr>
              <w:pStyle w:val="SingleTxtG"/>
              <w:suppressAutoHyphens w:val="0"/>
              <w:spacing w:before="40" w:after="40" w:line="220" w:lineRule="exact"/>
              <w:ind w:left="0" w:right="113"/>
              <w:jc w:val="right"/>
              <w:rPr>
                <w:sz w:val="18"/>
              </w:rPr>
            </w:pPr>
            <w:r w:rsidRPr="008442C6">
              <w:rPr>
                <w:sz w:val="18"/>
              </w:rPr>
              <w:t>5</w:t>
            </w:r>
          </w:p>
        </w:tc>
      </w:tr>
      <w:tr w:rsidR="00E108D0" w:rsidRPr="008442C6" w:rsidTr="00C051C3">
        <w:tc>
          <w:tcPr>
            <w:tcW w:w="1626" w:type="dxa"/>
            <w:vMerge/>
            <w:shd w:val="clear" w:color="auto" w:fill="auto"/>
          </w:tcPr>
          <w:p w:rsidR="00E108D0" w:rsidRPr="008442C6" w:rsidRDefault="00DB6219" w:rsidP="00DB6219">
            <w:pPr>
              <w:pStyle w:val="SingleTxtG"/>
              <w:suppressAutoHyphens w:val="0"/>
              <w:kinsoku w:val="0"/>
              <w:overflowPunct w:val="0"/>
              <w:autoSpaceDE w:val="0"/>
              <w:autoSpaceDN w:val="0"/>
              <w:adjustRightInd w:val="0"/>
              <w:snapToGrid w:val="0"/>
              <w:spacing w:before="40" w:after="40" w:line="220" w:lineRule="exact"/>
              <w:ind w:left="0" w:right="113"/>
              <w:jc w:val="left"/>
              <w:rPr>
                <w:sz w:val="18"/>
              </w:rPr>
            </w:pPr>
            <w:r w:rsidRPr="008442C6">
              <w:rPr>
                <w:sz w:val="18"/>
              </w:rPr>
              <w:t>•</w:t>
            </w:r>
            <w:r w:rsidRPr="008442C6">
              <w:rPr>
                <w:sz w:val="18"/>
              </w:rPr>
              <w:tab/>
            </w:r>
          </w:p>
        </w:tc>
        <w:tc>
          <w:tcPr>
            <w:tcW w:w="1635" w:type="dxa"/>
            <w:shd w:val="clear" w:color="auto" w:fill="auto"/>
            <w:vAlign w:val="bottom"/>
          </w:tcPr>
          <w:p w:rsidR="00E108D0" w:rsidRPr="008442C6" w:rsidRDefault="00E108D0" w:rsidP="00C051C3">
            <w:pPr>
              <w:pStyle w:val="SingleTxtG"/>
              <w:suppressAutoHyphens w:val="0"/>
              <w:spacing w:before="40" w:after="40" w:line="220" w:lineRule="exact"/>
              <w:ind w:left="0" w:right="113"/>
              <w:jc w:val="left"/>
              <w:rPr>
                <w:sz w:val="18"/>
              </w:rPr>
            </w:pPr>
            <w:r w:rsidRPr="008442C6">
              <w:rPr>
                <w:sz w:val="18"/>
              </w:rPr>
              <w:t>16 to 24 years old</w:t>
            </w:r>
          </w:p>
        </w:tc>
        <w:tc>
          <w:tcPr>
            <w:tcW w:w="1241" w:type="dxa"/>
            <w:shd w:val="clear" w:color="auto" w:fill="auto"/>
            <w:vAlign w:val="bottom"/>
          </w:tcPr>
          <w:p w:rsidR="00E108D0" w:rsidRPr="008442C6" w:rsidRDefault="00E108D0" w:rsidP="00E108D0">
            <w:pPr>
              <w:pStyle w:val="SingleTxtG"/>
              <w:suppressAutoHyphens w:val="0"/>
              <w:spacing w:before="40" w:after="40" w:line="220" w:lineRule="exact"/>
              <w:ind w:left="0" w:right="113"/>
              <w:jc w:val="right"/>
              <w:rPr>
                <w:sz w:val="18"/>
              </w:rPr>
            </w:pPr>
            <w:r w:rsidRPr="008442C6">
              <w:rPr>
                <w:sz w:val="18"/>
              </w:rPr>
              <w:t>9</w:t>
            </w:r>
          </w:p>
        </w:tc>
        <w:tc>
          <w:tcPr>
            <w:tcW w:w="1434" w:type="dxa"/>
            <w:shd w:val="clear" w:color="auto" w:fill="auto"/>
            <w:vAlign w:val="bottom"/>
          </w:tcPr>
          <w:p w:rsidR="00E108D0" w:rsidRPr="008442C6" w:rsidRDefault="00E108D0" w:rsidP="00E108D0">
            <w:pPr>
              <w:pStyle w:val="SingleTxtG"/>
              <w:suppressAutoHyphens w:val="0"/>
              <w:spacing w:before="40" w:after="40" w:line="220" w:lineRule="exact"/>
              <w:ind w:left="0" w:right="113"/>
              <w:jc w:val="right"/>
              <w:rPr>
                <w:sz w:val="18"/>
              </w:rPr>
            </w:pPr>
            <w:r w:rsidRPr="008442C6">
              <w:rPr>
                <w:sz w:val="18"/>
              </w:rPr>
              <w:t>5</w:t>
            </w:r>
          </w:p>
        </w:tc>
        <w:tc>
          <w:tcPr>
            <w:tcW w:w="1434" w:type="dxa"/>
            <w:shd w:val="clear" w:color="auto" w:fill="auto"/>
            <w:vAlign w:val="bottom"/>
          </w:tcPr>
          <w:p w:rsidR="00E108D0" w:rsidRPr="008442C6" w:rsidRDefault="00E108D0" w:rsidP="00E108D0">
            <w:pPr>
              <w:pStyle w:val="SingleTxtG"/>
              <w:suppressAutoHyphens w:val="0"/>
              <w:spacing w:before="40" w:after="40" w:line="220" w:lineRule="exact"/>
              <w:ind w:left="0" w:right="113"/>
              <w:jc w:val="right"/>
              <w:rPr>
                <w:sz w:val="18"/>
              </w:rPr>
            </w:pPr>
            <w:r w:rsidRPr="008442C6">
              <w:rPr>
                <w:sz w:val="18"/>
              </w:rPr>
              <w:t>13</w:t>
            </w:r>
          </w:p>
        </w:tc>
      </w:tr>
    </w:tbl>
    <w:p w:rsidR="00BD77CC" w:rsidRPr="008442C6" w:rsidRDefault="00BD77CC" w:rsidP="00C051C3">
      <w:pPr>
        <w:spacing w:before="120"/>
        <w:ind w:left="1134" w:right="1134" w:firstLine="170"/>
        <w:rPr>
          <w:sz w:val="18"/>
        </w:rPr>
      </w:pPr>
      <w:r w:rsidRPr="008442C6">
        <w:rPr>
          <w:i/>
          <w:iCs/>
          <w:sz w:val="18"/>
        </w:rPr>
        <w:t>Last updating</w:t>
      </w:r>
      <w:r w:rsidRPr="008442C6">
        <w:rPr>
          <w:sz w:val="18"/>
        </w:rPr>
        <w:t xml:space="preserve"> 27/03/2019</w:t>
      </w:r>
      <w:r w:rsidR="00373A8E" w:rsidRPr="008442C6">
        <w:rPr>
          <w:sz w:val="18"/>
        </w:rPr>
        <w:t>.</w:t>
      </w:r>
    </w:p>
    <w:p w:rsidR="00BD77CC" w:rsidRPr="008442C6" w:rsidRDefault="00BD77CC" w:rsidP="00373A8E">
      <w:pPr>
        <w:spacing w:after="120"/>
        <w:ind w:left="1134" w:right="1134" w:firstLine="170"/>
        <w:rPr>
          <w:sz w:val="18"/>
          <w:szCs w:val="18"/>
        </w:rPr>
      </w:pPr>
      <w:r w:rsidRPr="008442C6">
        <w:rPr>
          <w:i/>
          <w:iCs/>
          <w:sz w:val="18"/>
          <w:szCs w:val="18"/>
        </w:rPr>
        <w:t>Source</w:t>
      </w:r>
      <w:r w:rsidRPr="008442C6">
        <w:rPr>
          <w:sz w:val="18"/>
          <w:szCs w:val="18"/>
        </w:rPr>
        <w:t>: Ministry of Justice</w:t>
      </w:r>
      <w:r w:rsidR="00373A8E" w:rsidRPr="008442C6">
        <w:rPr>
          <w:sz w:val="18"/>
          <w:szCs w:val="18"/>
        </w:rPr>
        <w:t>.</w:t>
      </w:r>
    </w:p>
    <w:p w:rsidR="00BD77CC" w:rsidRPr="008442C6" w:rsidRDefault="00BD77CC" w:rsidP="00373A8E">
      <w:pPr>
        <w:pStyle w:val="H1G"/>
      </w:pPr>
      <w:r w:rsidRPr="008442C6">
        <w:lastRenderedPageBreak/>
        <w:tab/>
      </w:r>
      <w:r w:rsidRPr="008442C6">
        <w:tab/>
        <w:t>Reply to paragraphs 15</w:t>
      </w:r>
      <w:r w:rsidR="00AB7CAC">
        <w:t xml:space="preserve"> </w:t>
      </w:r>
      <w:r w:rsidRPr="008442C6">
        <w:t>(s), 16 and 17</w:t>
      </w:r>
      <w:r w:rsidR="00AB7CAC">
        <w:t xml:space="preserve"> </w:t>
      </w:r>
      <w:r w:rsidRPr="008442C6">
        <w:t xml:space="preserve">(a), (b), (c), (d) and (e) of the list of issues </w:t>
      </w:r>
    </w:p>
    <w:p w:rsidR="00BD77CC" w:rsidRPr="008442C6" w:rsidRDefault="00BD77CC" w:rsidP="009C598B">
      <w:pPr>
        <w:pStyle w:val="SingleTxtG"/>
      </w:pPr>
      <w:r w:rsidRPr="008442C6">
        <w:t>104.</w:t>
      </w:r>
      <w:r w:rsidRPr="008442C6">
        <w:tab/>
        <w:t xml:space="preserve">According to the latest Directorate-General Statistics for Education and Science report (based on data from 2017/18), there were 88.023 students (from age 3 to 18) with special needs education, 76.028 of them attending regular public schools (86.4%), 11.011 attending regular private schools (12.1%) and only 982 attending special education institutions (1.1%). </w:t>
      </w:r>
    </w:p>
    <w:p w:rsidR="00BD77CC" w:rsidRPr="008442C6" w:rsidRDefault="00BD77CC" w:rsidP="009C598B">
      <w:pPr>
        <w:pStyle w:val="SingleTxtG"/>
      </w:pPr>
      <w:r w:rsidRPr="008442C6">
        <w:t>105.</w:t>
      </w:r>
      <w:r w:rsidRPr="008442C6">
        <w:tab/>
        <w:t xml:space="preserve">During the last five years, there was an increase of around 25% in the number of students with special needs education due to a better diagnosis, but there was a decrease in the number of those attending special education institutions (meaning an improvement on inclusiveness of regular schools). The distribution between private and public regular schools is similar to the one observed for the overall students. </w:t>
      </w:r>
    </w:p>
    <w:p w:rsidR="00BD77CC" w:rsidRPr="008442C6" w:rsidRDefault="00BD77CC" w:rsidP="009C598B">
      <w:pPr>
        <w:pStyle w:val="SingleTxtG"/>
      </w:pPr>
      <w:r w:rsidRPr="008442C6">
        <w:t>106.</w:t>
      </w:r>
      <w:r w:rsidRPr="008442C6">
        <w:tab/>
        <w:t xml:space="preserve">From those attending regular schools, 83.017 have personalized pedagogic support, 46.013 have some kind of therapeutic support, 13.340 have a specific curriculum, 4.218 are less than 20% of the weekly time with a regular group, and 2.156 are simultaneously attending special units for multiple congenital disabilities partially during school time. </w:t>
      </w:r>
    </w:p>
    <w:p w:rsidR="00BD77CC" w:rsidRPr="008442C6" w:rsidRDefault="00BD77CC" w:rsidP="009C598B">
      <w:pPr>
        <w:pStyle w:val="SingleTxtG"/>
      </w:pPr>
      <w:r w:rsidRPr="008442C6">
        <w:t>107.</w:t>
      </w:r>
      <w:r w:rsidRPr="008442C6">
        <w:tab/>
        <w:t xml:space="preserve">A factor of concern is the high number of special needs students in upper primary and lower secondary education, probably meaning some gaps in diagnosis in the first school years, as well as some challenges for many of these students to accomplish upper secondary education. </w:t>
      </w:r>
    </w:p>
    <w:p w:rsidR="00BD77CC" w:rsidRPr="008442C6" w:rsidRDefault="00BD77CC" w:rsidP="00373A8E">
      <w:pPr>
        <w:pStyle w:val="H1G"/>
      </w:pPr>
      <w:r w:rsidRPr="008442C6">
        <w:tab/>
      </w:r>
      <w:r w:rsidRPr="008442C6">
        <w:tab/>
        <w:t>Reply to paragraphs 17</w:t>
      </w:r>
      <w:r w:rsidR="00AB7CAC">
        <w:t xml:space="preserve"> </w:t>
      </w:r>
      <w:r w:rsidRPr="008442C6">
        <w:t xml:space="preserve">(f), (g), 18 and 19 of the list of issues </w:t>
      </w:r>
    </w:p>
    <w:p w:rsidR="00BD77CC" w:rsidRPr="008442C6" w:rsidRDefault="00BD77CC" w:rsidP="009C598B">
      <w:pPr>
        <w:pStyle w:val="SingleTxtG"/>
      </w:pPr>
      <w:r w:rsidRPr="008442C6">
        <w:t>108.</w:t>
      </w:r>
      <w:r w:rsidRPr="008442C6">
        <w:tab/>
        <w:t xml:space="preserve">The work on Human Rights and the Sustainable Development Goals (SDG) including child participation is being fostered, especially through the National Strategy for Citizenship Education, launched in 2017, and run in basic and secondary schools through a new subject on Citizenship and Development. </w:t>
      </w:r>
    </w:p>
    <w:p w:rsidR="00BD77CC" w:rsidRPr="008442C6" w:rsidRDefault="00BD77CC" w:rsidP="009C598B">
      <w:pPr>
        <w:pStyle w:val="SingleTxtG"/>
      </w:pPr>
      <w:r w:rsidRPr="008442C6">
        <w:t>109.</w:t>
      </w:r>
      <w:r w:rsidRPr="008442C6">
        <w:tab/>
        <w:t xml:space="preserve">The National Youth Plan is the main instrument for the national implementation of SDGs regarding youth policies. The Plan is divided into strategic objectives, operational objectives, measures and activities, which are associated with implementation indicators, as well as an indication of the respective SDG. </w:t>
      </w:r>
    </w:p>
    <w:p w:rsidR="00BD77CC" w:rsidRPr="008442C6" w:rsidRDefault="00BD77CC" w:rsidP="009C598B">
      <w:pPr>
        <w:pStyle w:val="SingleTxtG"/>
      </w:pPr>
      <w:r w:rsidRPr="008442C6">
        <w:t>110.</w:t>
      </w:r>
      <w:r w:rsidRPr="008442C6">
        <w:tab/>
        <w:t>Education policies include the promotion of children contact with monuments and museums and the development of specific and adapted contents to encourage familiarization with artistic objects and their symbolic universe. The Ministry of Culture develops several initiatives, such as:</w:t>
      </w:r>
    </w:p>
    <w:p w:rsidR="00BD77CC" w:rsidRPr="008442C6" w:rsidRDefault="00DB6219" w:rsidP="00DB6219">
      <w:pPr>
        <w:pStyle w:val="Bullet1G"/>
        <w:numPr>
          <w:ilvl w:val="0"/>
          <w:numId w:val="0"/>
        </w:numPr>
        <w:tabs>
          <w:tab w:val="left" w:pos="1701"/>
        </w:tabs>
        <w:ind w:left="1701" w:hanging="170"/>
      </w:pPr>
      <w:r w:rsidRPr="008442C6">
        <w:t>•</w:t>
      </w:r>
      <w:r w:rsidRPr="008442C6">
        <w:tab/>
      </w:r>
      <w:r w:rsidR="00BD77CC" w:rsidRPr="008442C6">
        <w:t>The National Reading Plan (2017</w:t>
      </w:r>
      <w:r w:rsidR="00804846">
        <w:t>–</w:t>
      </w:r>
      <w:r w:rsidR="00BD77CC" w:rsidRPr="008442C6">
        <w:t>2027) is a joint initiative among 3 Ministries (Culture; Education; Science, Technology and Higher Education) and the Secretary of State for Local Authorities aiming at promoting social integration through reading, in different media;</w:t>
      </w:r>
    </w:p>
    <w:p w:rsidR="00BD77CC" w:rsidRPr="008442C6" w:rsidRDefault="00DB6219" w:rsidP="00DB6219">
      <w:pPr>
        <w:pStyle w:val="Bullet1G"/>
        <w:numPr>
          <w:ilvl w:val="0"/>
          <w:numId w:val="0"/>
        </w:numPr>
        <w:tabs>
          <w:tab w:val="left" w:pos="1701"/>
        </w:tabs>
        <w:ind w:left="1701" w:hanging="170"/>
      </w:pPr>
      <w:r w:rsidRPr="008442C6">
        <w:t>•</w:t>
      </w:r>
      <w:r w:rsidRPr="008442C6">
        <w:tab/>
      </w:r>
      <w:r w:rsidR="00BD77CC" w:rsidRPr="008442C6">
        <w:t>The National Cinema Plan, created in 2013, is a film literacy programme for the dissemination of national cinematographic in public schools. In the school year 2017/2018 more than 64.000 children across the country benefited from this plan. The Plan is a joint initiative of the Portuguese Cinemateca</w:t>
      </w:r>
      <w:r w:rsidR="00205901" w:rsidRPr="008442C6">
        <w:t xml:space="preserve"> –</w:t>
      </w:r>
      <w:r w:rsidR="00BD77CC" w:rsidRPr="008442C6">
        <w:t xml:space="preserve"> Cinema Museum, the Institute of Cinema and Audiovisual and the Ministry of Education;</w:t>
      </w:r>
    </w:p>
    <w:p w:rsidR="00BD77CC" w:rsidRPr="008442C6" w:rsidRDefault="00DB6219" w:rsidP="00DB6219">
      <w:pPr>
        <w:pStyle w:val="Bullet1G"/>
        <w:numPr>
          <w:ilvl w:val="0"/>
          <w:numId w:val="0"/>
        </w:numPr>
        <w:tabs>
          <w:tab w:val="left" w:pos="1701"/>
        </w:tabs>
        <w:ind w:left="1701" w:hanging="170"/>
      </w:pPr>
      <w:r w:rsidRPr="008442C6">
        <w:t>•</w:t>
      </w:r>
      <w:r w:rsidRPr="008442C6">
        <w:tab/>
      </w:r>
      <w:r w:rsidR="00BD77CC" w:rsidRPr="008442C6">
        <w:t>The Cinemateca Júnior project, created in 2006, was develop</w:t>
      </w:r>
      <w:r w:rsidR="00804846">
        <w:t>ed by the Portuguese Cinemateca –</w:t>
      </w:r>
      <w:r w:rsidR="00BD77CC" w:rsidRPr="008442C6">
        <w:t xml:space="preserve"> Cinema Museum, and has special programmes, regular projections, guided visits and ateliers to teach on cinema history and cinema techniques. In 2017 the number of young participants was of 9.482.</w:t>
      </w:r>
    </w:p>
    <w:p w:rsidR="00BD77CC" w:rsidRPr="008442C6" w:rsidRDefault="00BD77CC" w:rsidP="009C598B">
      <w:pPr>
        <w:pStyle w:val="SingleTxtG"/>
      </w:pPr>
      <w:r w:rsidRPr="008442C6">
        <w:t>111.</w:t>
      </w:r>
      <w:r w:rsidRPr="008442C6">
        <w:tab/>
        <w:t>The Security Forces have adapted structures and resources to implement the SDGs. Community Policing and Proximity Special Programmes have been set up as a strategy for solving citizens</w:t>
      </w:r>
      <w:r w:rsidR="00804846">
        <w:t>’</w:t>
      </w:r>
      <w:r w:rsidRPr="008442C6">
        <w:t xml:space="preserve"> problems, involving them in the identification and resolution of those problems, involving others social partners, and also by reducing crime and increasing population</w:t>
      </w:r>
      <w:r w:rsidR="00804846">
        <w:t>’</w:t>
      </w:r>
      <w:r w:rsidRPr="008442C6">
        <w:t xml:space="preserve">s feeling of security. The </w:t>
      </w:r>
      <w:r w:rsidR="00804846">
        <w:t>“</w:t>
      </w:r>
      <w:r w:rsidRPr="008442C6">
        <w:t>Safe School</w:t>
      </w:r>
      <w:r w:rsidR="00804846">
        <w:t>”</w:t>
      </w:r>
      <w:r w:rsidRPr="008442C6">
        <w:t xml:space="preserve"> Programme, supervised by the Ministry </w:t>
      </w:r>
      <w:r w:rsidRPr="008442C6">
        <w:lastRenderedPageBreak/>
        <w:t xml:space="preserve">of Home Affairs, allows interacting with the school community through awareness-raising actions addressing human rights, citizenship and non-discrimination, trafficking in human beings, violence and crime prevention. </w:t>
      </w:r>
    </w:p>
    <w:p w:rsidR="00BD77CC" w:rsidRPr="008442C6" w:rsidRDefault="00BD77CC" w:rsidP="009C598B">
      <w:pPr>
        <w:pStyle w:val="SingleTxtG"/>
      </w:pPr>
      <w:r w:rsidRPr="008442C6">
        <w:t>112.</w:t>
      </w:r>
      <w:r w:rsidRPr="008442C6">
        <w:tab/>
        <w:t xml:space="preserve">Within the Lanzarote Convention and the 2nd thematic monitoring round of the Convention, the Ministry of Justice undertook a study and presented data concerning the </w:t>
      </w:r>
      <w:r w:rsidR="00804846">
        <w:t>“</w:t>
      </w:r>
      <w:r w:rsidRPr="008442C6">
        <w:t>Presentation of children</w:t>
      </w:r>
      <w:r w:rsidR="00804846">
        <w:t>’</w:t>
      </w:r>
      <w:r w:rsidRPr="008442C6">
        <w:t>s contributions based on submissions following the Guidelines for implementation of Child Participation</w:t>
      </w:r>
      <w:r w:rsidR="00804846">
        <w:t>”</w:t>
      </w:r>
      <w:r w:rsidRPr="008442C6">
        <w:t>.</w:t>
      </w:r>
    </w:p>
    <w:p w:rsidR="00BD77CC" w:rsidRPr="008442C6" w:rsidRDefault="00BD77CC" w:rsidP="00205901">
      <w:pPr>
        <w:pStyle w:val="H1G"/>
      </w:pPr>
      <w:r w:rsidRPr="008442C6">
        <w:tab/>
      </w:r>
      <w:r w:rsidRPr="008442C6">
        <w:tab/>
        <w:t xml:space="preserve">Reply to paragraph 20 of the list of issues </w:t>
      </w:r>
    </w:p>
    <w:p w:rsidR="00BD77CC" w:rsidRPr="008442C6" w:rsidRDefault="00BD77CC" w:rsidP="009C598B">
      <w:pPr>
        <w:pStyle w:val="SingleTxtG"/>
      </w:pPr>
      <w:r w:rsidRPr="008442C6">
        <w:t>113.</w:t>
      </w:r>
      <w:r w:rsidRPr="008442C6">
        <w:tab/>
        <w:t>The rate of early drop-out of education and training stood at 11.8% in Portugal and at 11,2% in the Portuguese Mainland (Statistics Portugal, 2018). This shows a very meaningful improvement compared to 2016 (14.5%).</w:t>
      </w:r>
    </w:p>
    <w:p w:rsidR="00BD77CC" w:rsidRPr="008442C6" w:rsidRDefault="00205901" w:rsidP="00205901">
      <w:pPr>
        <w:pStyle w:val="H23G"/>
        <w:spacing w:after="240"/>
      </w:pPr>
      <w:r w:rsidRPr="008442C6">
        <w:tab/>
      </w:r>
      <w:r w:rsidRPr="008442C6">
        <w:tab/>
      </w:r>
      <w:r w:rsidR="00BD77CC" w:rsidRPr="008442C6">
        <w:t xml:space="preserve">Visitors inserted in school visits of museums by typology </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94"/>
        <w:gridCol w:w="1353"/>
        <w:gridCol w:w="1441"/>
        <w:gridCol w:w="1441"/>
        <w:gridCol w:w="1441"/>
      </w:tblGrid>
      <w:tr w:rsidR="00BD77CC" w:rsidRPr="008442C6" w:rsidTr="00B52FD0">
        <w:trPr>
          <w:tblHeader/>
        </w:trPr>
        <w:tc>
          <w:tcPr>
            <w:tcW w:w="2215" w:type="dxa"/>
            <w:tcBorders>
              <w:top w:val="single" w:sz="4" w:space="0" w:color="auto"/>
              <w:bottom w:val="single" w:sz="12" w:space="0" w:color="auto"/>
            </w:tcBorders>
            <w:shd w:val="clear" w:color="auto" w:fill="auto"/>
            <w:vAlign w:val="bottom"/>
            <w:hideMark/>
          </w:tcPr>
          <w:p w:rsidR="00BD77CC" w:rsidRPr="008442C6" w:rsidRDefault="00BD77CC" w:rsidP="00F67500">
            <w:pPr>
              <w:suppressAutoHyphens w:val="0"/>
              <w:spacing w:before="80" w:after="80" w:line="200" w:lineRule="exact"/>
              <w:ind w:right="113"/>
              <w:rPr>
                <w:i/>
                <w:sz w:val="16"/>
              </w:rPr>
            </w:pPr>
            <w:r w:rsidRPr="008442C6">
              <w:rPr>
                <w:i/>
                <w:sz w:val="16"/>
              </w:rPr>
              <w:t>Years</w:t>
            </w:r>
          </w:p>
        </w:tc>
        <w:tc>
          <w:tcPr>
            <w:tcW w:w="1767" w:type="dxa"/>
            <w:tcBorders>
              <w:top w:val="single" w:sz="4" w:space="0" w:color="auto"/>
              <w:bottom w:val="single" w:sz="12" w:space="0" w:color="auto"/>
            </w:tcBorders>
            <w:shd w:val="clear" w:color="auto" w:fill="auto"/>
            <w:vAlign w:val="bottom"/>
            <w:hideMark/>
          </w:tcPr>
          <w:p w:rsidR="00BD77CC" w:rsidRPr="008442C6" w:rsidRDefault="00BD77CC" w:rsidP="00F67500">
            <w:pPr>
              <w:suppressAutoHyphens w:val="0"/>
              <w:spacing w:before="80" w:after="80" w:line="200" w:lineRule="exact"/>
              <w:ind w:right="113"/>
              <w:jc w:val="right"/>
              <w:rPr>
                <w:i/>
                <w:sz w:val="16"/>
              </w:rPr>
            </w:pPr>
            <w:r w:rsidRPr="008442C6">
              <w:rPr>
                <w:i/>
                <w:sz w:val="16"/>
              </w:rPr>
              <w:t>2014</w:t>
            </w:r>
          </w:p>
        </w:tc>
        <w:tc>
          <w:tcPr>
            <w:tcW w:w="1882" w:type="dxa"/>
            <w:tcBorders>
              <w:top w:val="single" w:sz="4" w:space="0" w:color="auto"/>
              <w:bottom w:val="single" w:sz="12" w:space="0" w:color="auto"/>
            </w:tcBorders>
            <w:shd w:val="clear" w:color="auto" w:fill="auto"/>
            <w:vAlign w:val="bottom"/>
            <w:hideMark/>
          </w:tcPr>
          <w:p w:rsidR="00BD77CC" w:rsidRPr="008442C6" w:rsidRDefault="00BD77CC" w:rsidP="00F67500">
            <w:pPr>
              <w:suppressAutoHyphens w:val="0"/>
              <w:spacing w:before="80" w:after="80" w:line="200" w:lineRule="exact"/>
              <w:ind w:right="113"/>
              <w:jc w:val="right"/>
              <w:rPr>
                <w:i/>
                <w:sz w:val="16"/>
              </w:rPr>
            </w:pPr>
            <w:r w:rsidRPr="008442C6">
              <w:rPr>
                <w:i/>
                <w:sz w:val="16"/>
              </w:rPr>
              <w:t>2015</w:t>
            </w:r>
          </w:p>
        </w:tc>
        <w:tc>
          <w:tcPr>
            <w:tcW w:w="1882" w:type="dxa"/>
            <w:tcBorders>
              <w:top w:val="single" w:sz="4" w:space="0" w:color="auto"/>
              <w:bottom w:val="single" w:sz="12" w:space="0" w:color="auto"/>
            </w:tcBorders>
            <w:shd w:val="clear" w:color="auto" w:fill="auto"/>
            <w:vAlign w:val="bottom"/>
          </w:tcPr>
          <w:p w:rsidR="00BD77CC" w:rsidRPr="008442C6" w:rsidRDefault="00BD77CC" w:rsidP="00F67500">
            <w:pPr>
              <w:suppressAutoHyphens w:val="0"/>
              <w:spacing w:before="80" w:after="80" w:line="200" w:lineRule="exact"/>
              <w:ind w:right="113"/>
              <w:jc w:val="right"/>
              <w:rPr>
                <w:i/>
                <w:sz w:val="16"/>
              </w:rPr>
            </w:pPr>
            <w:r w:rsidRPr="008442C6">
              <w:rPr>
                <w:i/>
                <w:sz w:val="16"/>
              </w:rPr>
              <w:t>2016</w:t>
            </w:r>
          </w:p>
        </w:tc>
        <w:tc>
          <w:tcPr>
            <w:tcW w:w="1882" w:type="dxa"/>
            <w:tcBorders>
              <w:top w:val="single" w:sz="4" w:space="0" w:color="auto"/>
              <w:bottom w:val="single" w:sz="12" w:space="0" w:color="auto"/>
            </w:tcBorders>
            <w:shd w:val="clear" w:color="auto" w:fill="auto"/>
            <w:vAlign w:val="bottom"/>
          </w:tcPr>
          <w:p w:rsidR="00BD77CC" w:rsidRPr="008442C6" w:rsidRDefault="00BD77CC" w:rsidP="00F67500">
            <w:pPr>
              <w:suppressAutoHyphens w:val="0"/>
              <w:spacing w:before="80" w:after="80" w:line="200" w:lineRule="exact"/>
              <w:ind w:right="113"/>
              <w:jc w:val="right"/>
              <w:rPr>
                <w:i/>
                <w:sz w:val="16"/>
              </w:rPr>
            </w:pPr>
            <w:r w:rsidRPr="008442C6">
              <w:rPr>
                <w:i/>
                <w:sz w:val="16"/>
              </w:rPr>
              <w:t>2017</w:t>
            </w:r>
          </w:p>
        </w:tc>
      </w:tr>
      <w:tr w:rsidR="00BD77CC" w:rsidRPr="008442C6" w:rsidTr="00B52FD0">
        <w:tc>
          <w:tcPr>
            <w:tcW w:w="2215" w:type="dxa"/>
            <w:tcBorders>
              <w:top w:val="single" w:sz="12" w:space="0" w:color="auto"/>
              <w:bottom w:val="single" w:sz="4" w:space="0" w:color="auto"/>
            </w:tcBorders>
            <w:shd w:val="clear" w:color="auto" w:fill="auto"/>
            <w:noWrap/>
            <w:hideMark/>
          </w:tcPr>
          <w:p w:rsidR="00BD77CC" w:rsidRPr="008442C6" w:rsidRDefault="00BD77CC" w:rsidP="00B52FD0">
            <w:pPr>
              <w:suppressAutoHyphens w:val="0"/>
              <w:spacing w:before="80" w:after="80" w:line="220" w:lineRule="exact"/>
              <w:ind w:left="284" w:right="113"/>
              <w:rPr>
                <w:b/>
                <w:sz w:val="18"/>
              </w:rPr>
            </w:pPr>
            <w:r w:rsidRPr="00AB7CAC">
              <w:rPr>
                <w:b/>
                <w:bCs/>
                <w:sz w:val="18"/>
              </w:rPr>
              <w:t>Total</w:t>
            </w:r>
          </w:p>
        </w:tc>
        <w:tc>
          <w:tcPr>
            <w:tcW w:w="1767" w:type="dxa"/>
            <w:tcBorders>
              <w:top w:val="single" w:sz="12" w:space="0" w:color="auto"/>
              <w:bottom w:val="single" w:sz="4" w:space="0" w:color="auto"/>
            </w:tcBorders>
            <w:shd w:val="clear" w:color="auto" w:fill="auto"/>
            <w:noWrap/>
            <w:hideMark/>
          </w:tcPr>
          <w:p w:rsidR="00BD77CC" w:rsidRPr="008442C6" w:rsidRDefault="00BD77CC" w:rsidP="00B52FD0">
            <w:pPr>
              <w:suppressAutoHyphens w:val="0"/>
              <w:spacing w:before="80" w:after="80" w:line="220" w:lineRule="exact"/>
              <w:ind w:right="113"/>
              <w:jc w:val="right"/>
              <w:rPr>
                <w:b/>
                <w:bCs/>
                <w:sz w:val="18"/>
              </w:rPr>
            </w:pPr>
            <w:r w:rsidRPr="008442C6">
              <w:rPr>
                <w:b/>
                <w:bCs/>
                <w:sz w:val="18"/>
              </w:rPr>
              <w:t>1 525 223</w:t>
            </w:r>
          </w:p>
        </w:tc>
        <w:tc>
          <w:tcPr>
            <w:tcW w:w="1882" w:type="dxa"/>
            <w:tcBorders>
              <w:top w:val="single" w:sz="12" w:space="0" w:color="auto"/>
              <w:bottom w:val="single" w:sz="4" w:space="0" w:color="auto"/>
            </w:tcBorders>
            <w:shd w:val="clear" w:color="auto" w:fill="auto"/>
            <w:noWrap/>
            <w:hideMark/>
          </w:tcPr>
          <w:p w:rsidR="00BD77CC" w:rsidRPr="008442C6" w:rsidRDefault="00BD77CC" w:rsidP="00B52FD0">
            <w:pPr>
              <w:suppressAutoHyphens w:val="0"/>
              <w:spacing w:before="80" w:after="80" w:line="220" w:lineRule="exact"/>
              <w:ind w:right="113"/>
              <w:jc w:val="right"/>
              <w:rPr>
                <w:b/>
                <w:bCs/>
                <w:sz w:val="18"/>
              </w:rPr>
            </w:pPr>
            <w:r w:rsidRPr="008442C6">
              <w:rPr>
                <w:b/>
                <w:bCs/>
                <w:sz w:val="18"/>
              </w:rPr>
              <w:t>1 713</w:t>
            </w:r>
            <w:r w:rsidR="007D3DB0" w:rsidRPr="008442C6">
              <w:rPr>
                <w:b/>
                <w:bCs/>
                <w:sz w:val="18"/>
              </w:rPr>
              <w:t xml:space="preserve"> </w:t>
            </w:r>
            <w:r w:rsidRPr="008442C6">
              <w:rPr>
                <w:b/>
                <w:bCs/>
                <w:sz w:val="18"/>
              </w:rPr>
              <w:t>934</w:t>
            </w:r>
          </w:p>
        </w:tc>
        <w:tc>
          <w:tcPr>
            <w:tcW w:w="1882" w:type="dxa"/>
            <w:tcBorders>
              <w:top w:val="single" w:sz="12" w:space="0" w:color="auto"/>
              <w:bottom w:val="single" w:sz="4" w:space="0" w:color="auto"/>
            </w:tcBorders>
            <w:shd w:val="clear" w:color="auto" w:fill="auto"/>
          </w:tcPr>
          <w:p w:rsidR="00BD77CC" w:rsidRPr="008442C6" w:rsidRDefault="00BD77CC" w:rsidP="00B52FD0">
            <w:pPr>
              <w:suppressAutoHyphens w:val="0"/>
              <w:spacing w:before="80" w:after="80" w:line="220" w:lineRule="exact"/>
              <w:ind w:right="113"/>
              <w:jc w:val="right"/>
              <w:rPr>
                <w:b/>
                <w:bCs/>
                <w:sz w:val="18"/>
              </w:rPr>
            </w:pPr>
            <w:r w:rsidRPr="008442C6">
              <w:rPr>
                <w:b/>
                <w:bCs/>
                <w:sz w:val="18"/>
              </w:rPr>
              <w:t>1 936</w:t>
            </w:r>
            <w:r w:rsidR="007D3DB0" w:rsidRPr="008442C6">
              <w:rPr>
                <w:b/>
                <w:bCs/>
                <w:sz w:val="18"/>
              </w:rPr>
              <w:t xml:space="preserve"> </w:t>
            </w:r>
            <w:r w:rsidRPr="008442C6">
              <w:rPr>
                <w:b/>
                <w:bCs/>
                <w:sz w:val="18"/>
              </w:rPr>
              <w:t>351</w:t>
            </w:r>
          </w:p>
        </w:tc>
        <w:tc>
          <w:tcPr>
            <w:tcW w:w="1882" w:type="dxa"/>
            <w:tcBorders>
              <w:top w:val="single" w:sz="12" w:space="0" w:color="auto"/>
              <w:bottom w:val="single" w:sz="4" w:space="0" w:color="auto"/>
            </w:tcBorders>
            <w:shd w:val="clear" w:color="auto" w:fill="auto"/>
          </w:tcPr>
          <w:p w:rsidR="00BD77CC" w:rsidRPr="008442C6" w:rsidRDefault="00BD77CC" w:rsidP="00B52FD0">
            <w:pPr>
              <w:suppressAutoHyphens w:val="0"/>
              <w:spacing w:before="80" w:after="80" w:line="220" w:lineRule="exact"/>
              <w:ind w:right="113"/>
              <w:jc w:val="right"/>
              <w:rPr>
                <w:b/>
                <w:bCs/>
                <w:sz w:val="18"/>
              </w:rPr>
            </w:pPr>
            <w:r w:rsidRPr="008442C6">
              <w:rPr>
                <w:b/>
                <w:bCs/>
                <w:sz w:val="18"/>
              </w:rPr>
              <w:t>1 757</w:t>
            </w:r>
            <w:r w:rsidR="007D3DB0" w:rsidRPr="008442C6">
              <w:rPr>
                <w:b/>
                <w:bCs/>
                <w:sz w:val="18"/>
              </w:rPr>
              <w:t xml:space="preserve"> </w:t>
            </w:r>
            <w:r w:rsidRPr="008442C6">
              <w:rPr>
                <w:b/>
                <w:bCs/>
                <w:sz w:val="18"/>
              </w:rPr>
              <w:t>159</w:t>
            </w:r>
          </w:p>
        </w:tc>
      </w:tr>
      <w:tr w:rsidR="00BD77CC" w:rsidRPr="008442C6" w:rsidTr="00B52FD0">
        <w:tc>
          <w:tcPr>
            <w:tcW w:w="2215" w:type="dxa"/>
            <w:tcBorders>
              <w:top w:val="single" w:sz="4" w:space="0" w:color="auto"/>
            </w:tcBorders>
            <w:shd w:val="clear" w:color="auto" w:fill="auto"/>
            <w:noWrap/>
            <w:hideMark/>
          </w:tcPr>
          <w:p w:rsidR="00BD77CC" w:rsidRPr="008442C6" w:rsidRDefault="00BD77CC" w:rsidP="00F67500">
            <w:pPr>
              <w:suppressAutoHyphens w:val="0"/>
              <w:spacing w:before="40" w:after="40" w:line="220" w:lineRule="exact"/>
              <w:ind w:right="113"/>
              <w:rPr>
                <w:sz w:val="18"/>
              </w:rPr>
            </w:pPr>
            <w:r w:rsidRPr="008442C6">
              <w:rPr>
                <w:sz w:val="18"/>
              </w:rPr>
              <w:t>Art museums</w:t>
            </w:r>
          </w:p>
        </w:tc>
        <w:tc>
          <w:tcPr>
            <w:tcW w:w="1767" w:type="dxa"/>
            <w:tcBorders>
              <w:top w:val="single" w:sz="4" w:space="0" w:color="auto"/>
            </w:tcBorders>
            <w:shd w:val="clear" w:color="auto" w:fill="auto"/>
            <w:noWrap/>
            <w:hideMark/>
          </w:tcPr>
          <w:p w:rsidR="00BD77CC" w:rsidRPr="008442C6" w:rsidRDefault="00BD77CC" w:rsidP="00F67500">
            <w:pPr>
              <w:suppressAutoHyphens w:val="0"/>
              <w:spacing w:before="40" w:after="40" w:line="220" w:lineRule="exact"/>
              <w:ind w:right="113"/>
              <w:jc w:val="right"/>
              <w:rPr>
                <w:sz w:val="18"/>
              </w:rPr>
            </w:pPr>
            <w:r w:rsidRPr="008442C6">
              <w:rPr>
                <w:sz w:val="18"/>
              </w:rPr>
              <w:t>380 851</w:t>
            </w:r>
          </w:p>
        </w:tc>
        <w:tc>
          <w:tcPr>
            <w:tcW w:w="1882" w:type="dxa"/>
            <w:tcBorders>
              <w:top w:val="single" w:sz="4" w:space="0" w:color="auto"/>
            </w:tcBorders>
            <w:shd w:val="clear" w:color="auto" w:fill="auto"/>
            <w:noWrap/>
            <w:hideMark/>
          </w:tcPr>
          <w:p w:rsidR="00BD77CC" w:rsidRPr="008442C6" w:rsidRDefault="00BD77CC" w:rsidP="00F67500">
            <w:pPr>
              <w:suppressAutoHyphens w:val="0"/>
              <w:spacing w:before="40" w:after="40" w:line="220" w:lineRule="exact"/>
              <w:ind w:right="113"/>
              <w:jc w:val="right"/>
              <w:rPr>
                <w:sz w:val="18"/>
              </w:rPr>
            </w:pPr>
            <w:r w:rsidRPr="008442C6">
              <w:rPr>
                <w:sz w:val="18"/>
              </w:rPr>
              <w:t>428 695</w:t>
            </w:r>
          </w:p>
        </w:tc>
        <w:tc>
          <w:tcPr>
            <w:tcW w:w="1882" w:type="dxa"/>
            <w:tcBorders>
              <w:top w:val="single" w:sz="4" w:space="0" w:color="auto"/>
            </w:tcBorders>
            <w:shd w:val="clear" w:color="auto" w:fill="auto"/>
          </w:tcPr>
          <w:p w:rsidR="00BD77CC" w:rsidRPr="008442C6" w:rsidRDefault="00BD77CC" w:rsidP="00F67500">
            <w:pPr>
              <w:suppressAutoHyphens w:val="0"/>
              <w:spacing w:before="40" w:after="40" w:line="220" w:lineRule="exact"/>
              <w:ind w:right="113"/>
              <w:jc w:val="right"/>
              <w:rPr>
                <w:sz w:val="18"/>
              </w:rPr>
            </w:pPr>
            <w:r w:rsidRPr="008442C6">
              <w:rPr>
                <w:sz w:val="18"/>
              </w:rPr>
              <w:t>762</w:t>
            </w:r>
            <w:r w:rsidR="007D3DB0" w:rsidRPr="008442C6">
              <w:rPr>
                <w:sz w:val="18"/>
              </w:rPr>
              <w:t xml:space="preserve"> </w:t>
            </w:r>
            <w:r w:rsidRPr="008442C6">
              <w:rPr>
                <w:sz w:val="18"/>
              </w:rPr>
              <w:t>678</w:t>
            </w:r>
          </w:p>
        </w:tc>
        <w:tc>
          <w:tcPr>
            <w:tcW w:w="1882" w:type="dxa"/>
            <w:tcBorders>
              <w:top w:val="single" w:sz="4" w:space="0" w:color="auto"/>
            </w:tcBorders>
            <w:shd w:val="clear" w:color="auto" w:fill="auto"/>
          </w:tcPr>
          <w:p w:rsidR="00BD77CC" w:rsidRPr="008442C6" w:rsidRDefault="00BD77CC" w:rsidP="00F67500">
            <w:pPr>
              <w:suppressAutoHyphens w:val="0"/>
              <w:spacing w:before="40" w:after="40" w:line="220" w:lineRule="exact"/>
              <w:ind w:right="113"/>
              <w:jc w:val="right"/>
              <w:rPr>
                <w:sz w:val="18"/>
              </w:rPr>
            </w:pPr>
            <w:r w:rsidRPr="008442C6">
              <w:rPr>
                <w:sz w:val="18"/>
              </w:rPr>
              <w:t>502</w:t>
            </w:r>
            <w:r w:rsidR="007D3DB0" w:rsidRPr="008442C6">
              <w:rPr>
                <w:sz w:val="18"/>
              </w:rPr>
              <w:t xml:space="preserve"> </w:t>
            </w:r>
            <w:r w:rsidRPr="008442C6">
              <w:rPr>
                <w:sz w:val="18"/>
              </w:rPr>
              <w:t>649</w:t>
            </w:r>
          </w:p>
        </w:tc>
      </w:tr>
      <w:tr w:rsidR="00BD77CC" w:rsidRPr="008442C6" w:rsidTr="00B52FD0">
        <w:tc>
          <w:tcPr>
            <w:tcW w:w="2215" w:type="dxa"/>
            <w:shd w:val="clear" w:color="auto" w:fill="auto"/>
            <w:noWrap/>
            <w:hideMark/>
          </w:tcPr>
          <w:p w:rsidR="00BD77CC" w:rsidRPr="008442C6" w:rsidRDefault="00BD77CC" w:rsidP="00F67500">
            <w:pPr>
              <w:suppressAutoHyphens w:val="0"/>
              <w:spacing w:before="40" w:after="40" w:line="220" w:lineRule="exact"/>
              <w:ind w:right="113"/>
              <w:rPr>
                <w:sz w:val="18"/>
              </w:rPr>
            </w:pPr>
            <w:r w:rsidRPr="008442C6">
              <w:rPr>
                <w:sz w:val="18"/>
              </w:rPr>
              <w:t>Archeology museums</w:t>
            </w:r>
          </w:p>
        </w:tc>
        <w:tc>
          <w:tcPr>
            <w:tcW w:w="1767" w:type="dxa"/>
            <w:shd w:val="clear" w:color="auto" w:fill="auto"/>
            <w:noWrap/>
            <w:hideMark/>
          </w:tcPr>
          <w:p w:rsidR="00BD77CC" w:rsidRPr="008442C6" w:rsidRDefault="00BD77CC" w:rsidP="00F67500">
            <w:pPr>
              <w:suppressAutoHyphens w:val="0"/>
              <w:spacing w:before="40" w:after="40" w:line="220" w:lineRule="exact"/>
              <w:ind w:right="113"/>
              <w:jc w:val="right"/>
              <w:rPr>
                <w:sz w:val="18"/>
              </w:rPr>
            </w:pPr>
            <w:r w:rsidRPr="008442C6">
              <w:rPr>
                <w:sz w:val="18"/>
              </w:rPr>
              <w:t>60 869</w:t>
            </w:r>
          </w:p>
        </w:tc>
        <w:tc>
          <w:tcPr>
            <w:tcW w:w="1882" w:type="dxa"/>
            <w:shd w:val="clear" w:color="auto" w:fill="auto"/>
            <w:noWrap/>
            <w:hideMark/>
          </w:tcPr>
          <w:p w:rsidR="00BD77CC" w:rsidRPr="008442C6" w:rsidRDefault="00BD77CC" w:rsidP="00F67500">
            <w:pPr>
              <w:suppressAutoHyphens w:val="0"/>
              <w:spacing w:before="40" w:after="40" w:line="220" w:lineRule="exact"/>
              <w:ind w:right="113"/>
              <w:jc w:val="right"/>
              <w:rPr>
                <w:sz w:val="18"/>
              </w:rPr>
            </w:pPr>
            <w:r w:rsidRPr="008442C6">
              <w:rPr>
                <w:sz w:val="18"/>
              </w:rPr>
              <w:t>72 026</w:t>
            </w:r>
          </w:p>
        </w:tc>
        <w:tc>
          <w:tcPr>
            <w:tcW w:w="1882" w:type="dxa"/>
            <w:shd w:val="clear" w:color="auto" w:fill="auto"/>
          </w:tcPr>
          <w:p w:rsidR="00BD77CC" w:rsidRPr="008442C6" w:rsidRDefault="00BD77CC" w:rsidP="00F67500">
            <w:pPr>
              <w:suppressAutoHyphens w:val="0"/>
              <w:spacing w:before="40" w:after="40" w:line="220" w:lineRule="exact"/>
              <w:ind w:right="113"/>
              <w:jc w:val="right"/>
              <w:rPr>
                <w:sz w:val="18"/>
              </w:rPr>
            </w:pPr>
            <w:r w:rsidRPr="008442C6">
              <w:rPr>
                <w:sz w:val="18"/>
              </w:rPr>
              <w:t>89</w:t>
            </w:r>
            <w:r w:rsidR="007D3DB0" w:rsidRPr="008442C6">
              <w:rPr>
                <w:sz w:val="18"/>
              </w:rPr>
              <w:t xml:space="preserve"> </w:t>
            </w:r>
            <w:r w:rsidRPr="008442C6">
              <w:rPr>
                <w:sz w:val="18"/>
              </w:rPr>
              <w:t>052</w:t>
            </w:r>
          </w:p>
        </w:tc>
        <w:tc>
          <w:tcPr>
            <w:tcW w:w="1882" w:type="dxa"/>
            <w:shd w:val="clear" w:color="auto" w:fill="auto"/>
          </w:tcPr>
          <w:p w:rsidR="00BD77CC" w:rsidRPr="008442C6" w:rsidRDefault="00BD77CC" w:rsidP="00F67500">
            <w:pPr>
              <w:suppressAutoHyphens w:val="0"/>
              <w:spacing w:before="40" w:after="40" w:line="220" w:lineRule="exact"/>
              <w:ind w:right="113"/>
              <w:jc w:val="right"/>
              <w:rPr>
                <w:sz w:val="18"/>
              </w:rPr>
            </w:pPr>
            <w:r w:rsidRPr="008442C6">
              <w:rPr>
                <w:sz w:val="18"/>
              </w:rPr>
              <w:t>130</w:t>
            </w:r>
            <w:r w:rsidR="007D3DB0" w:rsidRPr="008442C6">
              <w:rPr>
                <w:sz w:val="18"/>
              </w:rPr>
              <w:t xml:space="preserve"> </w:t>
            </w:r>
            <w:r w:rsidRPr="008442C6">
              <w:rPr>
                <w:sz w:val="18"/>
              </w:rPr>
              <w:t>254</w:t>
            </w:r>
          </w:p>
        </w:tc>
      </w:tr>
      <w:tr w:rsidR="00BD77CC" w:rsidRPr="008442C6" w:rsidTr="00B52FD0">
        <w:tc>
          <w:tcPr>
            <w:tcW w:w="2215" w:type="dxa"/>
            <w:shd w:val="clear" w:color="auto" w:fill="auto"/>
            <w:noWrap/>
            <w:hideMark/>
          </w:tcPr>
          <w:p w:rsidR="00BD77CC" w:rsidRPr="008442C6" w:rsidRDefault="00BD77CC" w:rsidP="00F67500">
            <w:pPr>
              <w:suppressAutoHyphens w:val="0"/>
              <w:spacing w:before="40" w:after="40" w:line="220" w:lineRule="exact"/>
              <w:ind w:right="113"/>
              <w:rPr>
                <w:sz w:val="18"/>
              </w:rPr>
            </w:pPr>
            <w:r w:rsidRPr="008442C6">
              <w:rPr>
                <w:sz w:val="18"/>
              </w:rPr>
              <w:t>Natural sciences and natural history museums</w:t>
            </w:r>
          </w:p>
        </w:tc>
        <w:tc>
          <w:tcPr>
            <w:tcW w:w="1767" w:type="dxa"/>
            <w:shd w:val="clear" w:color="auto" w:fill="auto"/>
            <w:noWrap/>
            <w:hideMark/>
          </w:tcPr>
          <w:p w:rsidR="00BD77CC" w:rsidRPr="008442C6" w:rsidRDefault="00BD77CC" w:rsidP="00F67500">
            <w:pPr>
              <w:suppressAutoHyphens w:val="0"/>
              <w:spacing w:before="40" w:after="40" w:line="220" w:lineRule="exact"/>
              <w:ind w:right="113"/>
              <w:jc w:val="right"/>
              <w:rPr>
                <w:sz w:val="18"/>
              </w:rPr>
            </w:pPr>
            <w:r w:rsidRPr="008442C6">
              <w:rPr>
                <w:sz w:val="18"/>
              </w:rPr>
              <w:t>18 907</w:t>
            </w:r>
          </w:p>
        </w:tc>
        <w:tc>
          <w:tcPr>
            <w:tcW w:w="1882" w:type="dxa"/>
            <w:shd w:val="clear" w:color="auto" w:fill="auto"/>
            <w:noWrap/>
            <w:hideMark/>
          </w:tcPr>
          <w:p w:rsidR="00BD77CC" w:rsidRPr="008442C6" w:rsidRDefault="00BD77CC" w:rsidP="00F67500">
            <w:pPr>
              <w:suppressAutoHyphens w:val="0"/>
              <w:spacing w:before="40" w:after="40" w:line="220" w:lineRule="exact"/>
              <w:ind w:right="113"/>
              <w:jc w:val="right"/>
              <w:rPr>
                <w:sz w:val="18"/>
              </w:rPr>
            </w:pPr>
            <w:r w:rsidRPr="008442C6">
              <w:rPr>
                <w:sz w:val="18"/>
              </w:rPr>
              <w:t>30 191</w:t>
            </w:r>
          </w:p>
        </w:tc>
        <w:tc>
          <w:tcPr>
            <w:tcW w:w="1882" w:type="dxa"/>
            <w:shd w:val="clear" w:color="auto" w:fill="auto"/>
          </w:tcPr>
          <w:p w:rsidR="00BD77CC" w:rsidRPr="008442C6" w:rsidRDefault="00BD77CC" w:rsidP="00F67500">
            <w:pPr>
              <w:suppressAutoHyphens w:val="0"/>
              <w:spacing w:before="40" w:after="40" w:line="220" w:lineRule="exact"/>
              <w:ind w:right="113"/>
              <w:jc w:val="right"/>
              <w:rPr>
                <w:sz w:val="18"/>
              </w:rPr>
            </w:pPr>
            <w:r w:rsidRPr="008442C6">
              <w:rPr>
                <w:sz w:val="18"/>
              </w:rPr>
              <w:t>25</w:t>
            </w:r>
            <w:r w:rsidR="007D3DB0" w:rsidRPr="008442C6">
              <w:rPr>
                <w:sz w:val="18"/>
              </w:rPr>
              <w:t xml:space="preserve"> </w:t>
            </w:r>
            <w:r w:rsidRPr="008442C6">
              <w:rPr>
                <w:sz w:val="18"/>
              </w:rPr>
              <w:t>686</w:t>
            </w:r>
          </w:p>
        </w:tc>
        <w:tc>
          <w:tcPr>
            <w:tcW w:w="1882" w:type="dxa"/>
            <w:shd w:val="clear" w:color="auto" w:fill="auto"/>
          </w:tcPr>
          <w:p w:rsidR="00BD77CC" w:rsidRPr="008442C6" w:rsidRDefault="00BD77CC" w:rsidP="00F67500">
            <w:pPr>
              <w:suppressAutoHyphens w:val="0"/>
              <w:spacing w:before="40" w:after="40" w:line="220" w:lineRule="exact"/>
              <w:ind w:right="113"/>
              <w:jc w:val="right"/>
              <w:rPr>
                <w:sz w:val="18"/>
              </w:rPr>
            </w:pPr>
            <w:r w:rsidRPr="008442C6">
              <w:rPr>
                <w:sz w:val="18"/>
              </w:rPr>
              <w:t>27</w:t>
            </w:r>
            <w:r w:rsidR="007D3DB0" w:rsidRPr="008442C6">
              <w:rPr>
                <w:sz w:val="18"/>
              </w:rPr>
              <w:t xml:space="preserve"> </w:t>
            </w:r>
            <w:r w:rsidRPr="008442C6">
              <w:rPr>
                <w:sz w:val="18"/>
              </w:rPr>
              <w:t>018</w:t>
            </w:r>
          </w:p>
        </w:tc>
      </w:tr>
      <w:tr w:rsidR="00BD77CC" w:rsidRPr="008442C6" w:rsidTr="00B52FD0">
        <w:tc>
          <w:tcPr>
            <w:tcW w:w="2215" w:type="dxa"/>
            <w:shd w:val="clear" w:color="auto" w:fill="auto"/>
            <w:noWrap/>
            <w:hideMark/>
          </w:tcPr>
          <w:p w:rsidR="00BD77CC" w:rsidRPr="008442C6" w:rsidRDefault="00BD77CC" w:rsidP="00F67500">
            <w:pPr>
              <w:suppressAutoHyphens w:val="0"/>
              <w:spacing w:before="40" w:after="40" w:line="220" w:lineRule="exact"/>
              <w:ind w:right="113"/>
              <w:rPr>
                <w:sz w:val="18"/>
              </w:rPr>
            </w:pPr>
            <w:r w:rsidRPr="008442C6">
              <w:rPr>
                <w:sz w:val="18"/>
              </w:rPr>
              <w:t>Science and technology museums</w:t>
            </w:r>
          </w:p>
        </w:tc>
        <w:tc>
          <w:tcPr>
            <w:tcW w:w="1767" w:type="dxa"/>
            <w:shd w:val="clear" w:color="auto" w:fill="auto"/>
            <w:noWrap/>
            <w:hideMark/>
          </w:tcPr>
          <w:p w:rsidR="00BD77CC" w:rsidRPr="008442C6" w:rsidRDefault="00BD77CC" w:rsidP="00F67500">
            <w:pPr>
              <w:suppressAutoHyphens w:val="0"/>
              <w:spacing w:before="40" w:after="40" w:line="220" w:lineRule="exact"/>
              <w:ind w:right="113"/>
              <w:jc w:val="right"/>
              <w:rPr>
                <w:sz w:val="18"/>
              </w:rPr>
            </w:pPr>
            <w:r w:rsidRPr="008442C6">
              <w:rPr>
                <w:sz w:val="18"/>
              </w:rPr>
              <w:t>271 548</w:t>
            </w:r>
          </w:p>
        </w:tc>
        <w:tc>
          <w:tcPr>
            <w:tcW w:w="1882" w:type="dxa"/>
            <w:shd w:val="clear" w:color="auto" w:fill="auto"/>
            <w:noWrap/>
            <w:hideMark/>
          </w:tcPr>
          <w:p w:rsidR="00BD77CC" w:rsidRPr="008442C6" w:rsidRDefault="00BD77CC" w:rsidP="00F67500">
            <w:pPr>
              <w:suppressAutoHyphens w:val="0"/>
              <w:spacing w:before="40" w:after="40" w:line="220" w:lineRule="exact"/>
              <w:ind w:right="113"/>
              <w:jc w:val="right"/>
              <w:rPr>
                <w:sz w:val="18"/>
              </w:rPr>
            </w:pPr>
            <w:r w:rsidRPr="008442C6">
              <w:rPr>
                <w:sz w:val="18"/>
              </w:rPr>
              <w:t>285 762</w:t>
            </w:r>
          </w:p>
        </w:tc>
        <w:tc>
          <w:tcPr>
            <w:tcW w:w="1882" w:type="dxa"/>
            <w:shd w:val="clear" w:color="auto" w:fill="auto"/>
          </w:tcPr>
          <w:p w:rsidR="00BD77CC" w:rsidRPr="008442C6" w:rsidRDefault="00BD77CC" w:rsidP="00F67500">
            <w:pPr>
              <w:suppressAutoHyphens w:val="0"/>
              <w:spacing w:before="40" w:after="40" w:line="220" w:lineRule="exact"/>
              <w:ind w:right="113"/>
              <w:jc w:val="right"/>
              <w:rPr>
                <w:sz w:val="18"/>
              </w:rPr>
            </w:pPr>
            <w:r w:rsidRPr="008442C6">
              <w:rPr>
                <w:sz w:val="18"/>
              </w:rPr>
              <w:t>215</w:t>
            </w:r>
            <w:r w:rsidR="007D3DB0" w:rsidRPr="008442C6">
              <w:rPr>
                <w:sz w:val="18"/>
              </w:rPr>
              <w:t xml:space="preserve"> </w:t>
            </w:r>
            <w:r w:rsidRPr="008442C6">
              <w:rPr>
                <w:sz w:val="18"/>
              </w:rPr>
              <w:t>263</w:t>
            </w:r>
          </w:p>
        </w:tc>
        <w:tc>
          <w:tcPr>
            <w:tcW w:w="1882" w:type="dxa"/>
            <w:shd w:val="clear" w:color="auto" w:fill="auto"/>
          </w:tcPr>
          <w:p w:rsidR="00BD77CC" w:rsidRPr="008442C6" w:rsidRDefault="00BD77CC" w:rsidP="00F67500">
            <w:pPr>
              <w:suppressAutoHyphens w:val="0"/>
              <w:spacing w:before="40" w:after="40" w:line="220" w:lineRule="exact"/>
              <w:ind w:right="113"/>
              <w:jc w:val="right"/>
              <w:rPr>
                <w:sz w:val="18"/>
              </w:rPr>
            </w:pPr>
            <w:r w:rsidRPr="008442C6">
              <w:rPr>
                <w:sz w:val="18"/>
              </w:rPr>
              <w:t>247</w:t>
            </w:r>
            <w:r w:rsidR="007D3DB0" w:rsidRPr="008442C6">
              <w:rPr>
                <w:sz w:val="18"/>
              </w:rPr>
              <w:t xml:space="preserve"> </w:t>
            </w:r>
            <w:r w:rsidRPr="008442C6">
              <w:rPr>
                <w:sz w:val="18"/>
              </w:rPr>
              <w:t>237</w:t>
            </w:r>
          </w:p>
        </w:tc>
      </w:tr>
      <w:tr w:rsidR="00BD77CC" w:rsidRPr="008442C6" w:rsidTr="00B52FD0">
        <w:tc>
          <w:tcPr>
            <w:tcW w:w="2215" w:type="dxa"/>
            <w:shd w:val="clear" w:color="auto" w:fill="auto"/>
            <w:noWrap/>
            <w:hideMark/>
          </w:tcPr>
          <w:p w:rsidR="00BD77CC" w:rsidRPr="008442C6" w:rsidRDefault="00BD77CC" w:rsidP="00F67500">
            <w:pPr>
              <w:suppressAutoHyphens w:val="0"/>
              <w:spacing w:before="40" w:after="40" w:line="220" w:lineRule="exact"/>
              <w:ind w:right="113"/>
              <w:rPr>
                <w:sz w:val="18"/>
              </w:rPr>
            </w:pPr>
            <w:r w:rsidRPr="008442C6">
              <w:rPr>
                <w:sz w:val="18"/>
              </w:rPr>
              <w:t>Museums of ethnography and anthropology</w:t>
            </w:r>
          </w:p>
        </w:tc>
        <w:tc>
          <w:tcPr>
            <w:tcW w:w="1767" w:type="dxa"/>
            <w:shd w:val="clear" w:color="auto" w:fill="auto"/>
            <w:noWrap/>
            <w:hideMark/>
          </w:tcPr>
          <w:p w:rsidR="00BD77CC" w:rsidRPr="008442C6" w:rsidRDefault="00BD77CC" w:rsidP="00F67500">
            <w:pPr>
              <w:suppressAutoHyphens w:val="0"/>
              <w:spacing w:before="40" w:after="40" w:line="220" w:lineRule="exact"/>
              <w:ind w:right="113"/>
              <w:jc w:val="right"/>
              <w:rPr>
                <w:sz w:val="18"/>
              </w:rPr>
            </w:pPr>
            <w:r w:rsidRPr="008442C6">
              <w:rPr>
                <w:sz w:val="18"/>
              </w:rPr>
              <w:t>101 999</w:t>
            </w:r>
          </w:p>
        </w:tc>
        <w:tc>
          <w:tcPr>
            <w:tcW w:w="1882" w:type="dxa"/>
            <w:shd w:val="clear" w:color="auto" w:fill="auto"/>
            <w:noWrap/>
            <w:hideMark/>
          </w:tcPr>
          <w:p w:rsidR="00BD77CC" w:rsidRPr="008442C6" w:rsidRDefault="00BD77CC" w:rsidP="00F67500">
            <w:pPr>
              <w:suppressAutoHyphens w:val="0"/>
              <w:spacing w:before="40" w:after="40" w:line="220" w:lineRule="exact"/>
              <w:ind w:right="113"/>
              <w:jc w:val="right"/>
              <w:rPr>
                <w:sz w:val="18"/>
              </w:rPr>
            </w:pPr>
            <w:r w:rsidRPr="008442C6">
              <w:rPr>
                <w:sz w:val="18"/>
              </w:rPr>
              <w:t>96 964</w:t>
            </w:r>
          </w:p>
        </w:tc>
        <w:tc>
          <w:tcPr>
            <w:tcW w:w="1882" w:type="dxa"/>
            <w:shd w:val="clear" w:color="auto" w:fill="auto"/>
          </w:tcPr>
          <w:p w:rsidR="00BD77CC" w:rsidRPr="008442C6" w:rsidRDefault="00BD77CC" w:rsidP="00F67500">
            <w:pPr>
              <w:suppressAutoHyphens w:val="0"/>
              <w:spacing w:before="40" w:after="40" w:line="220" w:lineRule="exact"/>
              <w:ind w:right="113"/>
              <w:jc w:val="right"/>
              <w:rPr>
                <w:sz w:val="18"/>
              </w:rPr>
            </w:pPr>
            <w:r w:rsidRPr="008442C6">
              <w:rPr>
                <w:sz w:val="18"/>
              </w:rPr>
              <w:t>90</w:t>
            </w:r>
            <w:r w:rsidR="007D3DB0" w:rsidRPr="008442C6">
              <w:rPr>
                <w:sz w:val="18"/>
              </w:rPr>
              <w:t xml:space="preserve"> </w:t>
            </w:r>
            <w:r w:rsidRPr="008442C6">
              <w:rPr>
                <w:sz w:val="18"/>
              </w:rPr>
              <w:t>228</w:t>
            </w:r>
          </w:p>
        </w:tc>
        <w:tc>
          <w:tcPr>
            <w:tcW w:w="1882" w:type="dxa"/>
            <w:shd w:val="clear" w:color="auto" w:fill="auto"/>
          </w:tcPr>
          <w:p w:rsidR="00BD77CC" w:rsidRPr="008442C6" w:rsidRDefault="00BD77CC" w:rsidP="00F67500">
            <w:pPr>
              <w:suppressAutoHyphens w:val="0"/>
              <w:spacing w:before="40" w:after="40" w:line="220" w:lineRule="exact"/>
              <w:ind w:right="113"/>
              <w:jc w:val="right"/>
              <w:rPr>
                <w:sz w:val="18"/>
              </w:rPr>
            </w:pPr>
            <w:r w:rsidRPr="008442C6">
              <w:rPr>
                <w:sz w:val="18"/>
              </w:rPr>
              <w:t>88</w:t>
            </w:r>
            <w:r w:rsidR="007D3DB0" w:rsidRPr="008442C6">
              <w:rPr>
                <w:sz w:val="18"/>
              </w:rPr>
              <w:t xml:space="preserve"> </w:t>
            </w:r>
            <w:r w:rsidRPr="008442C6">
              <w:rPr>
                <w:sz w:val="18"/>
              </w:rPr>
              <w:t>019</w:t>
            </w:r>
          </w:p>
        </w:tc>
      </w:tr>
      <w:tr w:rsidR="00BD77CC" w:rsidRPr="008442C6" w:rsidTr="00B52FD0">
        <w:tc>
          <w:tcPr>
            <w:tcW w:w="2215" w:type="dxa"/>
            <w:shd w:val="clear" w:color="auto" w:fill="auto"/>
            <w:noWrap/>
            <w:hideMark/>
          </w:tcPr>
          <w:p w:rsidR="00BD77CC" w:rsidRPr="008442C6" w:rsidRDefault="00BD77CC" w:rsidP="00F67500">
            <w:pPr>
              <w:suppressAutoHyphens w:val="0"/>
              <w:spacing w:before="40" w:after="40" w:line="220" w:lineRule="exact"/>
              <w:ind w:right="113"/>
              <w:rPr>
                <w:sz w:val="18"/>
              </w:rPr>
            </w:pPr>
            <w:r w:rsidRPr="008442C6">
              <w:rPr>
                <w:sz w:val="18"/>
              </w:rPr>
              <w:t>Specialty Museums</w:t>
            </w:r>
          </w:p>
        </w:tc>
        <w:tc>
          <w:tcPr>
            <w:tcW w:w="1767" w:type="dxa"/>
            <w:shd w:val="clear" w:color="auto" w:fill="auto"/>
            <w:noWrap/>
            <w:hideMark/>
          </w:tcPr>
          <w:p w:rsidR="00BD77CC" w:rsidRPr="008442C6" w:rsidRDefault="00BD77CC" w:rsidP="00F67500">
            <w:pPr>
              <w:suppressAutoHyphens w:val="0"/>
              <w:spacing w:before="40" w:after="40" w:line="220" w:lineRule="exact"/>
              <w:ind w:right="113"/>
              <w:jc w:val="right"/>
              <w:rPr>
                <w:sz w:val="18"/>
              </w:rPr>
            </w:pPr>
            <w:r w:rsidRPr="008442C6">
              <w:rPr>
                <w:sz w:val="18"/>
              </w:rPr>
              <w:t>179 606</w:t>
            </w:r>
          </w:p>
        </w:tc>
        <w:tc>
          <w:tcPr>
            <w:tcW w:w="1882" w:type="dxa"/>
            <w:shd w:val="clear" w:color="auto" w:fill="auto"/>
            <w:noWrap/>
            <w:hideMark/>
          </w:tcPr>
          <w:p w:rsidR="00BD77CC" w:rsidRPr="008442C6" w:rsidRDefault="00BD77CC" w:rsidP="00F67500">
            <w:pPr>
              <w:suppressAutoHyphens w:val="0"/>
              <w:spacing w:before="40" w:after="40" w:line="220" w:lineRule="exact"/>
              <w:ind w:right="113"/>
              <w:jc w:val="right"/>
              <w:rPr>
                <w:sz w:val="18"/>
              </w:rPr>
            </w:pPr>
            <w:r w:rsidRPr="008442C6">
              <w:rPr>
                <w:sz w:val="18"/>
              </w:rPr>
              <w:t>174 981</w:t>
            </w:r>
          </w:p>
        </w:tc>
        <w:tc>
          <w:tcPr>
            <w:tcW w:w="1882" w:type="dxa"/>
            <w:shd w:val="clear" w:color="auto" w:fill="auto"/>
          </w:tcPr>
          <w:p w:rsidR="00BD77CC" w:rsidRPr="008442C6" w:rsidRDefault="00BD77CC" w:rsidP="00F67500">
            <w:pPr>
              <w:suppressAutoHyphens w:val="0"/>
              <w:spacing w:before="40" w:after="40" w:line="220" w:lineRule="exact"/>
              <w:ind w:right="113"/>
              <w:jc w:val="right"/>
              <w:rPr>
                <w:sz w:val="18"/>
              </w:rPr>
            </w:pPr>
            <w:r w:rsidRPr="008442C6">
              <w:rPr>
                <w:sz w:val="18"/>
              </w:rPr>
              <w:t>173</w:t>
            </w:r>
            <w:r w:rsidR="007D3DB0" w:rsidRPr="008442C6">
              <w:rPr>
                <w:sz w:val="18"/>
              </w:rPr>
              <w:t xml:space="preserve"> </w:t>
            </w:r>
            <w:r w:rsidRPr="008442C6">
              <w:rPr>
                <w:sz w:val="18"/>
              </w:rPr>
              <w:t>528</w:t>
            </w:r>
          </w:p>
        </w:tc>
        <w:tc>
          <w:tcPr>
            <w:tcW w:w="1882" w:type="dxa"/>
            <w:shd w:val="clear" w:color="auto" w:fill="auto"/>
          </w:tcPr>
          <w:p w:rsidR="00BD77CC" w:rsidRPr="008442C6" w:rsidRDefault="00BD77CC" w:rsidP="00F67500">
            <w:pPr>
              <w:suppressAutoHyphens w:val="0"/>
              <w:spacing w:before="40" w:after="40" w:line="220" w:lineRule="exact"/>
              <w:ind w:right="113"/>
              <w:jc w:val="right"/>
              <w:rPr>
                <w:sz w:val="18"/>
              </w:rPr>
            </w:pPr>
            <w:r w:rsidRPr="008442C6">
              <w:rPr>
                <w:sz w:val="18"/>
              </w:rPr>
              <w:t>192</w:t>
            </w:r>
            <w:r w:rsidR="007D3DB0" w:rsidRPr="008442C6">
              <w:rPr>
                <w:sz w:val="18"/>
              </w:rPr>
              <w:t xml:space="preserve"> </w:t>
            </w:r>
            <w:r w:rsidRPr="008442C6">
              <w:rPr>
                <w:sz w:val="18"/>
              </w:rPr>
              <w:t>202</w:t>
            </w:r>
          </w:p>
        </w:tc>
      </w:tr>
      <w:tr w:rsidR="00BD77CC" w:rsidRPr="008442C6" w:rsidTr="00B52FD0">
        <w:tc>
          <w:tcPr>
            <w:tcW w:w="2215" w:type="dxa"/>
            <w:shd w:val="clear" w:color="auto" w:fill="auto"/>
            <w:noWrap/>
            <w:hideMark/>
          </w:tcPr>
          <w:p w:rsidR="00BD77CC" w:rsidRPr="008442C6" w:rsidRDefault="00BD77CC" w:rsidP="00F67500">
            <w:pPr>
              <w:suppressAutoHyphens w:val="0"/>
              <w:spacing w:before="40" w:after="40" w:line="220" w:lineRule="exact"/>
              <w:ind w:right="113"/>
              <w:rPr>
                <w:sz w:val="18"/>
              </w:rPr>
            </w:pPr>
            <w:r w:rsidRPr="008442C6">
              <w:rPr>
                <w:sz w:val="18"/>
              </w:rPr>
              <w:t>History Museums</w:t>
            </w:r>
          </w:p>
        </w:tc>
        <w:tc>
          <w:tcPr>
            <w:tcW w:w="1767" w:type="dxa"/>
            <w:shd w:val="clear" w:color="auto" w:fill="auto"/>
            <w:noWrap/>
            <w:hideMark/>
          </w:tcPr>
          <w:p w:rsidR="00BD77CC" w:rsidRPr="008442C6" w:rsidRDefault="00BD77CC" w:rsidP="00F67500">
            <w:pPr>
              <w:suppressAutoHyphens w:val="0"/>
              <w:spacing w:before="40" w:after="40" w:line="220" w:lineRule="exact"/>
              <w:ind w:right="113"/>
              <w:jc w:val="right"/>
              <w:rPr>
                <w:sz w:val="18"/>
              </w:rPr>
            </w:pPr>
            <w:r w:rsidRPr="008442C6">
              <w:rPr>
                <w:sz w:val="18"/>
              </w:rPr>
              <w:t>266 879</w:t>
            </w:r>
          </w:p>
        </w:tc>
        <w:tc>
          <w:tcPr>
            <w:tcW w:w="1882" w:type="dxa"/>
            <w:shd w:val="clear" w:color="auto" w:fill="auto"/>
            <w:noWrap/>
            <w:hideMark/>
          </w:tcPr>
          <w:p w:rsidR="00BD77CC" w:rsidRPr="008442C6" w:rsidRDefault="00BD77CC" w:rsidP="00F67500">
            <w:pPr>
              <w:suppressAutoHyphens w:val="0"/>
              <w:spacing w:before="40" w:after="40" w:line="220" w:lineRule="exact"/>
              <w:ind w:right="113"/>
              <w:jc w:val="right"/>
              <w:rPr>
                <w:sz w:val="18"/>
              </w:rPr>
            </w:pPr>
            <w:r w:rsidRPr="008442C6">
              <w:rPr>
                <w:sz w:val="18"/>
              </w:rPr>
              <w:t>318 068</w:t>
            </w:r>
          </w:p>
        </w:tc>
        <w:tc>
          <w:tcPr>
            <w:tcW w:w="1882" w:type="dxa"/>
            <w:shd w:val="clear" w:color="auto" w:fill="auto"/>
          </w:tcPr>
          <w:p w:rsidR="00BD77CC" w:rsidRPr="008442C6" w:rsidRDefault="00BD77CC" w:rsidP="00F67500">
            <w:pPr>
              <w:suppressAutoHyphens w:val="0"/>
              <w:spacing w:before="40" w:after="40" w:line="220" w:lineRule="exact"/>
              <w:ind w:right="113"/>
              <w:jc w:val="right"/>
              <w:rPr>
                <w:sz w:val="18"/>
              </w:rPr>
            </w:pPr>
            <w:r w:rsidRPr="008442C6">
              <w:rPr>
                <w:sz w:val="18"/>
              </w:rPr>
              <w:t>316</w:t>
            </w:r>
            <w:r w:rsidR="007D3DB0" w:rsidRPr="008442C6">
              <w:rPr>
                <w:sz w:val="18"/>
              </w:rPr>
              <w:t xml:space="preserve"> </w:t>
            </w:r>
            <w:r w:rsidRPr="008442C6">
              <w:rPr>
                <w:sz w:val="18"/>
              </w:rPr>
              <w:t>867</w:t>
            </w:r>
          </w:p>
        </w:tc>
        <w:tc>
          <w:tcPr>
            <w:tcW w:w="1882" w:type="dxa"/>
            <w:shd w:val="clear" w:color="auto" w:fill="auto"/>
          </w:tcPr>
          <w:p w:rsidR="00BD77CC" w:rsidRPr="008442C6" w:rsidRDefault="00BD77CC" w:rsidP="00F67500">
            <w:pPr>
              <w:suppressAutoHyphens w:val="0"/>
              <w:spacing w:before="40" w:after="40" w:line="220" w:lineRule="exact"/>
              <w:ind w:right="113"/>
              <w:jc w:val="right"/>
              <w:rPr>
                <w:sz w:val="18"/>
              </w:rPr>
            </w:pPr>
            <w:r w:rsidRPr="008442C6">
              <w:rPr>
                <w:sz w:val="18"/>
              </w:rPr>
              <w:t>302</w:t>
            </w:r>
            <w:r w:rsidR="007D3DB0" w:rsidRPr="008442C6">
              <w:rPr>
                <w:sz w:val="18"/>
              </w:rPr>
              <w:t xml:space="preserve"> </w:t>
            </w:r>
            <w:r w:rsidRPr="008442C6">
              <w:rPr>
                <w:sz w:val="18"/>
              </w:rPr>
              <w:t>323</w:t>
            </w:r>
          </w:p>
        </w:tc>
      </w:tr>
      <w:tr w:rsidR="00BD77CC" w:rsidRPr="008442C6" w:rsidTr="00B52FD0">
        <w:tc>
          <w:tcPr>
            <w:tcW w:w="2215" w:type="dxa"/>
            <w:shd w:val="clear" w:color="auto" w:fill="auto"/>
            <w:noWrap/>
            <w:hideMark/>
          </w:tcPr>
          <w:p w:rsidR="00BD77CC" w:rsidRPr="008442C6" w:rsidRDefault="00BD77CC" w:rsidP="00F67500">
            <w:pPr>
              <w:suppressAutoHyphens w:val="0"/>
              <w:spacing w:before="40" w:after="40" w:line="220" w:lineRule="exact"/>
              <w:ind w:right="113"/>
              <w:rPr>
                <w:sz w:val="18"/>
              </w:rPr>
            </w:pPr>
            <w:r w:rsidRPr="008442C6">
              <w:rPr>
                <w:sz w:val="18"/>
              </w:rPr>
              <w:t>Mixed and multidisciplinary museums</w:t>
            </w:r>
          </w:p>
        </w:tc>
        <w:tc>
          <w:tcPr>
            <w:tcW w:w="1767" w:type="dxa"/>
            <w:shd w:val="clear" w:color="auto" w:fill="auto"/>
            <w:noWrap/>
            <w:hideMark/>
          </w:tcPr>
          <w:p w:rsidR="00BD77CC" w:rsidRPr="008442C6" w:rsidRDefault="00BD77CC" w:rsidP="00F67500">
            <w:pPr>
              <w:suppressAutoHyphens w:val="0"/>
              <w:spacing w:before="40" w:after="40" w:line="220" w:lineRule="exact"/>
              <w:ind w:right="113"/>
              <w:jc w:val="right"/>
              <w:rPr>
                <w:sz w:val="18"/>
              </w:rPr>
            </w:pPr>
            <w:r w:rsidRPr="008442C6">
              <w:rPr>
                <w:sz w:val="18"/>
              </w:rPr>
              <w:t>152 026</w:t>
            </w:r>
          </w:p>
        </w:tc>
        <w:tc>
          <w:tcPr>
            <w:tcW w:w="1882" w:type="dxa"/>
            <w:shd w:val="clear" w:color="auto" w:fill="auto"/>
            <w:noWrap/>
            <w:hideMark/>
          </w:tcPr>
          <w:p w:rsidR="00BD77CC" w:rsidRPr="008442C6" w:rsidRDefault="00BD77CC" w:rsidP="00F67500">
            <w:pPr>
              <w:suppressAutoHyphens w:val="0"/>
              <w:spacing w:before="40" w:after="40" w:line="220" w:lineRule="exact"/>
              <w:ind w:right="113"/>
              <w:jc w:val="right"/>
              <w:rPr>
                <w:sz w:val="18"/>
              </w:rPr>
            </w:pPr>
            <w:r w:rsidRPr="008442C6">
              <w:rPr>
                <w:sz w:val="18"/>
              </w:rPr>
              <w:t>216 129</w:t>
            </w:r>
          </w:p>
        </w:tc>
        <w:tc>
          <w:tcPr>
            <w:tcW w:w="1882" w:type="dxa"/>
            <w:shd w:val="clear" w:color="auto" w:fill="auto"/>
          </w:tcPr>
          <w:p w:rsidR="00BD77CC" w:rsidRPr="008442C6" w:rsidRDefault="00BD77CC" w:rsidP="00F67500">
            <w:pPr>
              <w:suppressAutoHyphens w:val="0"/>
              <w:spacing w:before="40" w:after="40" w:line="220" w:lineRule="exact"/>
              <w:ind w:right="113"/>
              <w:jc w:val="right"/>
              <w:rPr>
                <w:sz w:val="18"/>
              </w:rPr>
            </w:pPr>
            <w:r w:rsidRPr="008442C6">
              <w:rPr>
                <w:sz w:val="18"/>
              </w:rPr>
              <w:t>162</w:t>
            </w:r>
            <w:r w:rsidR="007D3DB0" w:rsidRPr="008442C6">
              <w:rPr>
                <w:sz w:val="18"/>
              </w:rPr>
              <w:t xml:space="preserve"> </w:t>
            </w:r>
            <w:r w:rsidRPr="008442C6">
              <w:rPr>
                <w:sz w:val="18"/>
              </w:rPr>
              <w:t>596</w:t>
            </w:r>
          </w:p>
        </w:tc>
        <w:tc>
          <w:tcPr>
            <w:tcW w:w="1882" w:type="dxa"/>
            <w:shd w:val="clear" w:color="auto" w:fill="auto"/>
          </w:tcPr>
          <w:p w:rsidR="00BD77CC" w:rsidRPr="008442C6" w:rsidRDefault="00BD77CC" w:rsidP="00F67500">
            <w:pPr>
              <w:suppressAutoHyphens w:val="0"/>
              <w:spacing w:before="40" w:after="40" w:line="220" w:lineRule="exact"/>
              <w:ind w:right="113"/>
              <w:jc w:val="right"/>
              <w:rPr>
                <w:sz w:val="18"/>
              </w:rPr>
            </w:pPr>
            <w:r w:rsidRPr="008442C6">
              <w:rPr>
                <w:sz w:val="18"/>
              </w:rPr>
              <w:t>172</w:t>
            </w:r>
            <w:r w:rsidR="007D3DB0" w:rsidRPr="008442C6">
              <w:rPr>
                <w:sz w:val="18"/>
              </w:rPr>
              <w:t xml:space="preserve"> </w:t>
            </w:r>
            <w:r w:rsidRPr="008442C6">
              <w:rPr>
                <w:sz w:val="18"/>
              </w:rPr>
              <w:t>456</w:t>
            </w:r>
          </w:p>
        </w:tc>
      </w:tr>
      <w:tr w:rsidR="00BD77CC" w:rsidRPr="008442C6" w:rsidTr="00B52FD0">
        <w:tc>
          <w:tcPr>
            <w:tcW w:w="2215" w:type="dxa"/>
            <w:shd w:val="clear" w:color="auto" w:fill="auto"/>
            <w:noWrap/>
            <w:hideMark/>
          </w:tcPr>
          <w:p w:rsidR="00BD77CC" w:rsidRPr="008442C6" w:rsidRDefault="00BD77CC" w:rsidP="00F67500">
            <w:pPr>
              <w:suppressAutoHyphens w:val="0"/>
              <w:spacing w:before="40" w:after="40" w:line="220" w:lineRule="exact"/>
              <w:ind w:right="113"/>
              <w:rPr>
                <w:sz w:val="18"/>
              </w:rPr>
            </w:pPr>
            <w:r w:rsidRPr="008442C6">
              <w:rPr>
                <w:sz w:val="18"/>
              </w:rPr>
              <w:t>Territory Museums</w:t>
            </w:r>
          </w:p>
        </w:tc>
        <w:tc>
          <w:tcPr>
            <w:tcW w:w="1767" w:type="dxa"/>
            <w:shd w:val="clear" w:color="auto" w:fill="auto"/>
            <w:noWrap/>
            <w:hideMark/>
          </w:tcPr>
          <w:p w:rsidR="00BD77CC" w:rsidRPr="008442C6" w:rsidRDefault="00BD77CC" w:rsidP="00F67500">
            <w:pPr>
              <w:suppressAutoHyphens w:val="0"/>
              <w:spacing w:before="40" w:after="40" w:line="220" w:lineRule="exact"/>
              <w:ind w:right="113"/>
              <w:jc w:val="right"/>
              <w:rPr>
                <w:sz w:val="18"/>
              </w:rPr>
            </w:pPr>
            <w:r w:rsidRPr="008442C6">
              <w:rPr>
                <w:sz w:val="18"/>
              </w:rPr>
              <w:t>7 1243</w:t>
            </w:r>
          </w:p>
        </w:tc>
        <w:tc>
          <w:tcPr>
            <w:tcW w:w="1882" w:type="dxa"/>
            <w:shd w:val="clear" w:color="auto" w:fill="auto"/>
            <w:noWrap/>
            <w:hideMark/>
          </w:tcPr>
          <w:p w:rsidR="00BD77CC" w:rsidRPr="008442C6" w:rsidRDefault="00BD77CC" w:rsidP="00F67500">
            <w:pPr>
              <w:suppressAutoHyphens w:val="0"/>
              <w:spacing w:before="40" w:after="40" w:line="220" w:lineRule="exact"/>
              <w:ind w:right="113"/>
              <w:jc w:val="right"/>
              <w:rPr>
                <w:sz w:val="18"/>
              </w:rPr>
            </w:pPr>
            <w:r w:rsidRPr="008442C6">
              <w:rPr>
                <w:sz w:val="18"/>
              </w:rPr>
              <w:t>60 841</w:t>
            </w:r>
          </w:p>
        </w:tc>
        <w:tc>
          <w:tcPr>
            <w:tcW w:w="1882" w:type="dxa"/>
            <w:shd w:val="clear" w:color="auto" w:fill="auto"/>
          </w:tcPr>
          <w:p w:rsidR="00BD77CC" w:rsidRPr="008442C6" w:rsidRDefault="00BD77CC" w:rsidP="00F67500">
            <w:pPr>
              <w:suppressAutoHyphens w:val="0"/>
              <w:spacing w:before="40" w:after="40" w:line="220" w:lineRule="exact"/>
              <w:ind w:right="113"/>
              <w:jc w:val="right"/>
              <w:rPr>
                <w:sz w:val="18"/>
              </w:rPr>
            </w:pPr>
            <w:r w:rsidRPr="008442C6">
              <w:rPr>
                <w:sz w:val="18"/>
              </w:rPr>
              <w:t>56</w:t>
            </w:r>
            <w:r w:rsidR="007D3DB0" w:rsidRPr="008442C6">
              <w:rPr>
                <w:sz w:val="18"/>
              </w:rPr>
              <w:t xml:space="preserve"> </w:t>
            </w:r>
            <w:r w:rsidRPr="008442C6">
              <w:rPr>
                <w:sz w:val="18"/>
              </w:rPr>
              <w:t>819</w:t>
            </w:r>
          </w:p>
        </w:tc>
        <w:tc>
          <w:tcPr>
            <w:tcW w:w="1882" w:type="dxa"/>
            <w:shd w:val="clear" w:color="auto" w:fill="auto"/>
          </w:tcPr>
          <w:p w:rsidR="00BD77CC" w:rsidRPr="008442C6" w:rsidRDefault="00BD77CC" w:rsidP="00F67500">
            <w:pPr>
              <w:suppressAutoHyphens w:val="0"/>
              <w:spacing w:before="40" w:after="40" w:line="220" w:lineRule="exact"/>
              <w:ind w:right="113"/>
              <w:jc w:val="right"/>
              <w:rPr>
                <w:sz w:val="18"/>
              </w:rPr>
            </w:pPr>
            <w:r w:rsidRPr="008442C6">
              <w:rPr>
                <w:sz w:val="18"/>
              </w:rPr>
              <w:t>56</w:t>
            </w:r>
            <w:r w:rsidR="007D3DB0" w:rsidRPr="008442C6">
              <w:rPr>
                <w:sz w:val="18"/>
              </w:rPr>
              <w:t xml:space="preserve"> </w:t>
            </w:r>
            <w:r w:rsidRPr="008442C6">
              <w:rPr>
                <w:sz w:val="18"/>
              </w:rPr>
              <w:t>999</w:t>
            </w:r>
          </w:p>
        </w:tc>
      </w:tr>
      <w:tr w:rsidR="00BD77CC" w:rsidRPr="008442C6" w:rsidTr="00B52FD0">
        <w:tc>
          <w:tcPr>
            <w:tcW w:w="2215" w:type="dxa"/>
            <w:shd w:val="clear" w:color="auto" w:fill="auto"/>
            <w:noWrap/>
            <w:hideMark/>
          </w:tcPr>
          <w:p w:rsidR="00BD77CC" w:rsidRPr="008442C6" w:rsidRDefault="00BD77CC" w:rsidP="00F67500">
            <w:pPr>
              <w:suppressAutoHyphens w:val="0"/>
              <w:spacing w:before="40" w:after="40" w:line="220" w:lineRule="exact"/>
              <w:ind w:right="113"/>
              <w:rPr>
                <w:sz w:val="18"/>
              </w:rPr>
            </w:pPr>
            <w:r w:rsidRPr="008442C6">
              <w:rPr>
                <w:sz w:val="18"/>
              </w:rPr>
              <w:t>Other museums</w:t>
            </w:r>
          </w:p>
        </w:tc>
        <w:tc>
          <w:tcPr>
            <w:tcW w:w="1767" w:type="dxa"/>
            <w:shd w:val="clear" w:color="auto" w:fill="auto"/>
            <w:noWrap/>
            <w:hideMark/>
          </w:tcPr>
          <w:p w:rsidR="00BD77CC" w:rsidRPr="008442C6" w:rsidRDefault="00BD77CC" w:rsidP="00F67500">
            <w:pPr>
              <w:suppressAutoHyphens w:val="0"/>
              <w:spacing w:before="40" w:after="40" w:line="220" w:lineRule="exact"/>
              <w:ind w:right="113"/>
              <w:jc w:val="right"/>
              <w:rPr>
                <w:sz w:val="18"/>
              </w:rPr>
            </w:pPr>
            <w:r w:rsidRPr="008442C6">
              <w:rPr>
                <w:sz w:val="18"/>
              </w:rPr>
              <w:t>21 295</w:t>
            </w:r>
          </w:p>
        </w:tc>
        <w:tc>
          <w:tcPr>
            <w:tcW w:w="1882" w:type="dxa"/>
            <w:shd w:val="clear" w:color="auto" w:fill="auto"/>
            <w:noWrap/>
            <w:hideMark/>
          </w:tcPr>
          <w:p w:rsidR="00BD77CC" w:rsidRPr="008442C6" w:rsidRDefault="00BD77CC" w:rsidP="00F67500">
            <w:pPr>
              <w:suppressAutoHyphens w:val="0"/>
              <w:spacing w:before="40" w:after="40" w:line="220" w:lineRule="exact"/>
              <w:ind w:right="113"/>
              <w:jc w:val="right"/>
              <w:rPr>
                <w:sz w:val="18"/>
              </w:rPr>
            </w:pPr>
            <w:r w:rsidRPr="008442C6">
              <w:rPr>
                <w:sz w:val="18"/>
              </w:rPr>
              <w:t>30 277</w:t>
            </w:r>
          </w:p>
        </w:tc>
        <w:tc>
          <w:tcPr>
            <w:tcW w:w="1882" w:type="dxa"/>
            <w:shd w:val="clear" w:color="auto" w:fill="auto"/>
          </w:tcPr>
          <w:p w:rsidR="00BD77CC" w:rsidRPr="008442C6" w:rsidRDefault="00BD77CC" w:rsidP="00F67500">
            <w:pPr>
              <w:suppressAutoHyphens w:val="0"/>
              <w:spacing w:before="40" w:after="40" w:line="220" w:lineRule="exact"/>
              <w:ind w:right="113"/>
              <w:jc w:val="right"/>
              <w:rPr>
                <w:sz w:val="18"/>
              </w:rPr>
            </w:pPr>
            <w:r w:rsidRPr="008442C6">
              <w:rPr>
                <w:sz w:val="18"/>
              </w:rPr>
              <w:t>43</w:t>
            </w:r>
            <w:r w:rsidR="007D3DB0" w:rsidRPr="008442C6">
              <w:rPr>
                <w:sz w:val="18"/>
              </w:rPr>
              <w:t xml:space="preserve"> </w:t>
            </w:r>
            <w:r w:rsidRPr="008442C6">
              <w:rPr>
                <w:sz w:val="18"/>
              </w:rPr>
              <w:t>634</w:t>
            </w:r>
          </w:p>
        </w:tc>
        <w:tc>
          <w:tcPr>
            <w:tcW w:w="1882" w:type="dxa"/>
            <w:shd w:val="clear" w:color="auto" w:fill="auto"/>
          </w:tcPr>
          <w:p w:rsidR="00BD77CC" w:rsidRPr="008442C6" w:rsidRDefault="00BD77CC" w:rsidP="00F67500">
            <w:pPr>
              <w:suppressAutoHyphens w:val="0"/>
              <w:spacing w:before="40" w:after="40" w:line="220" w:lineRule="exact"/>
              <w:ind w:right="113"/>
              <w:jc w:val="right"/>
              <w:rPr>
                <w:sz w:val="18"/>
              </w:rPr>
            </w:pPr>
            <w:r w:rsidRPr="008442C6">
              <w:rPr>
                <w:sz w:val="18"/>
              </w:rPr>
              <w:t>38</w:t>
            </w:r>
            <w:r w:rsidR="007D3DB0" w:rsidRPr="008442C6">
              <w:rPr>
                <w:sz w:val="18"/>
              </w:rPr>
              <w:t xml:space="preserve"> </w:t>
            </w:r>
            <w:r w:rsidRPr="008442C6">
              <w:rPr>
                <w:sz w:val="18"/>
              </w:rPr>
              <w:t>002</w:t>
            </w:r>
          </w:p>
        </w:tc>
      </w:tr>
    </w:tbl>
    <w:p w:rsidR="00BD77CC" w:rsidRPr="008442C6" w:rsidRDefault="00BD77CC" w:rsidP="009153E2">
      <w:pPr>
        <w:spacing w:before="120"/>
        <w:ind w:left="1134" w:right="1134" w:firstLine="170"/>
        <w:rPr>
          <w:sz w:val="18"/>
        </w:rPr>
      </w:pPr>
      <w:r w:rsidRPr="008442C6">
        <w:rPr>
          <w:i/>
          <w:iCs/>
          <w:sz w:val="18"/>
        </w:rPr>
        <w:t>Source</w:t>
      </w:r>
      <w:r w:rsidRPr="008442C6">
        <w:rPr>
          <w:sz w:val="18"/>
        </w:rPr>
        <w:t>: Statistics Portugal, Museums Survey (Annual)</w:t>
      </w:r>
      <w:r w:rsidR="009153E2" w:rsidRPr="008442C6">
        <w:rPr>
          <w:sz w:val="18"/>
        </w:rPr>
        <w:t>.</w:t>
      </w:r>
    </w:p>
    <w:p w:rsidR="00BD77CC" w:rsidRPr="008442C6" w:rsidRDefault="009153E2" w:rsidP="009153E2">
      <w:pPr>
        <w:pStyle w:val="H23G"/>
        <w:spacing w:after="240"/>
      </w:pPr>
      <w:r w:rsidRPr="008442C6">
        <w:tab/>
      </w:r>
      <w:r w:rsidRPr="008442C6">
        <w:tab/>
      </w:r>
      <w:r w:rsidR="00BD77CC" w:rsidRPr="008442C6">
        <w:t xml:space="preserve">Activities of the museums oriented to the school public by typology </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58"/>
        <w:gridCol w:w="1403"/>
        <w:gridCol w:w="1403"/>
        <w:gridCol w:w="1403"/>
        <w:gridCol w:w="1403"/>
      </w:tblGrid>
      <w:tr w:rsidR="00BD77CC" w:rsidRPr="008442C6" w:rsidTr="007F60F9">
        <w:trPr>
          <w:tblHeader/>
        </w:trPr>
        <w:tc>
          <w:tcPr>
            <w:tcW w:w="2296" w:type="dxa"/>
            <w:tcBorders>
              <w:top w:val="single" w:sz="4" w:space="0" w:color="auto"/>
              <w:bottom w:val="single" w:sz="12" w:space="0" w:color="auto"/>
            </w:tcBorders>
            <w:shd w:val="clear" w:color="auto" w:fill="auto"/>
            <w:vAlign w:val="bottom"/>
            <w:hideMark/>
          </w:tcPr>
          <w:p w:rsidR="00BD77CC" w:rsidRPr="008442C6" w:rsidRDefault="00BD77CC" w:rsidP="009153E2">
            <w:pPr>
              <w:suppressAutoHyphens w:val="0"/>
              <w:spacing w:before="80" w:after="80" w:line="200" w:lineRule="exact"/>
              <w:ind w:right="113"/>
              <w:rPr>
                <w:i/>
                <w:sz w:val="16"/>
              </w:rPr>
            </w:pPr>
            <w:r w:rsidRPr="008442C6">
              <w:rPr>
                <w:i/>
                <w:sz w:val="16"/>
              </w:rPr>
              <w:t>Years</w:t>
            </w:r>
          </w:p>
        </w:tc>
        <w:tc>
          <w:tcPr>
            <w:tcW w:w="1833" w:type="dxa"/>
            <w:tcBorders>
              <w:top w:val="single" w:sz="4" w:space="0" w:color="auto"/>
              <w:bottom w:val="single" w:sz="12" w:space="0" w:color="auto"/>
            </w:tcBorders>
            <w:shd w:val="clear" w:color="auto" w:fill="auto"/>
            <w:vAlign w:val="bottom"/>
            <w:hideMark/>
          </w:tcPr>
          <w:p w:rsidR="00BD77CC" w:rsidRPr="008442C6" w:rsidRDefault="00BD77CC" w:rsidP="009153E2">
            <w:pPr>
              <w:suppressAutoHyphens w:val="0"/>
              <w:spacing w:before="80" w:after="80" w:line="200" w:lineRule="exact"/>
              <w:ind w:right="113"/>
              <w:jc w:val="right"/>
              <w:rPr>
                <w:i/>
                <w:sz w:val="16"/>
              </w:rPr>
            </w:pPr>
            <w:r w:rsidRPr="008442C6">
              <w:rPr>
                <w:i/>
                <w:sz w:val="16"/>
              </w:rPr>
              <w:t>2014</w:t>
            </w:r>
          </w:p>
        </w:tc>
        <w:tc>
          <w:tcPr>
            <w:tcW w:w="1833" w:type="dxa"/>
            <w:tcBorders>
              <w:top w:val="single" w:sz="4" w:space="0" w:color="auto"/>
              <w:bottom w:val="single" w:sz="12" w:space="0" w:color="auto"/>
            </w:tcBorders>
            <w:shd w:val="clear" w:color="auto" w:fill="auto"/>
            <w:vAlign w:val="bottom"/>
            <w:hideMark/>
          </w:tcPr>
          <w:p w:rsidR="00BD77CC" w:rsidRPr="008442C6" w:rsidRDefault="00BD77CC" w:rsidP="009153E2">
            <w:pPr>
              <w:suppressAutoHyphens w:val="0"/>
              <w:spacing w:before="80" w:after="80" w:line="200" w:lineRule="exact"/>
              <w:ind w:right="113"/>
              <w:jc w:val="right"/>
              <w:rPr>
                <w:i/>
                <w:sz w:val="16"/>
              </w:rPr>
            </w:pPr>
            <w:r w:rsidRPr="008442C6">
              <w:rPr>
                <w:i/>
                <w:sz w:val="16"/>
              </w:rPr>
              <w:t>2015</w:t>
            </w:r>
          </w:p>
        </w:tc>
        <w:tc>
          <w:tcPr>
            <w:tcW w:w="1833" w:type="dxa"/>
            <w:tcBorders>
              <w:top w:val="single" w:sz="4" w:space="0" w:color="auto"/>
              <w:bottom w:val="single" w:sz="12" w:space="0" w:color="auto"/>
            </w:tcBorders>
            <w:shd w:val="clear" w:color="auto" w:fill="auto"/>
            <w:vAlign w:val="bottom"/>
          </w:tcPr>
          <w:p w:rsidR="00BD77CC" w:rsidRPr="008442C6" w:rsidRDefault="00BD77CC" w:rsidP="009153E2">
            <w:pPr>
              <w:suppressAutoHyphens w:val="0"/>
              <w:spacing w:before="80" w:after="80" w:line="200" w:lineRule="exact"/>
              <w:ind w:right="113"/>
              <w:jc w:val="right"/>
              <w:rPr>
                <w:i/>
                <w:sz w:val="16"/>
              </w:rPr>
            </w:pPr>
            <w:r w:rsidRPr="008442C6">
              <w:rPr>
                <w:i/>
                <w:sz w:val="16"/>
              </w:rPr>
              <w:t>2016</w:t>
            </w:r>
          </w:p>
        </w:tc>
        <w:tc>
          <w:tcPr>
            <w:tcW w:w="1833" w:type="dxa"/>
            <w:tcBorders>
              <w:top w:val="single" w:sz="4" w:space="0" w:color="auto"/>
              <w:bottom w:val="single" w:sz="12" w:space="0" w:color="auto"/>
            </w:tcBorders>
            <w:shd w:val="clear" w:color="auto" w:fill="auto"/>
            <w:vAlign w:val="bottom"/>
          </w:tcPr>
          <w:p w:rsidR="00BD77CC" w:rsidRPr="008442C6" w:rsidRDefault="00BD77CC" w:rsidP="009153E2">
            <w:pPr>
              <w:suppressAutoHyphens w:val="0"/>
              <w:spacing w:before="80" w:after="80" w:line="200" w:lineRule="exact"/>
              <w:ind w:right="113"/>
              <w:jc w:val="right"/>
              <w:rPr>
                <w:i/>
                <w:sz w:val="16"/>
              </w:rPr>
            </w:pPr>
            <w:r w:rsidRPr="008442C6">
              <w:rPr>
                <w:i/>
                <w:sz w:val="16"/>
              </w:rPr>
              <w:t>2017</w:t>
            </w:r>
          </w:p>
        </w:tc>
      </w:tr>
      <w:tr w:rsidR="00BD77CC" w:rsidRPr="008442C6" w:rsidTr="007F60F9">
        <w:tc>
          <w:tcPr>
            <w:tcW w:w="2296" w:type="dxa"/>
            <w:tcBorders>
              <w:top w:val="single" w:sz="12" w:space="0" w:color="auto"/>
              <w:bottom w:val="single" w:sz="4" w:space="0" w:color="auto"/>
            </w:tcBorders>
            <w:shd w:val="clear" w:color="auto" w:fill="auto"/>
            <w:noWrap/>
            <w:hideMark/>
          </w:tcPr>
          <w:p w:rsidR="00BD77CC" w:rsidRPr="008442C6" w:rsidRDefault="00BD77CC" w:rsidP="007F60F9">
            <w:pPr>
              <w:suppressAutoHyphens w:val="0"/>
              <w:spacing w:before="80" w:after="80" w:line="220" w:lineRule="exact"/>
              <w:ind w:left="284" w:right="113"/>
              <w:rPr>
                <w:b/>
                <w:sz w:val="18"/>
              </w:rPr>
            </w:pPr>
            <w:r w:rsidRPr="008442C6">
              <w:rPr>
                <w:b/>
                <w:sz w:val="18"/>
              </w:rPr>
              <w:t>Total</w:t>
            </w:r>
          </w:p>
        </w:tc>
        <w:tc>
          <w:tcPr>
            <w:tcW w:w="1833" w:type="dxa"/>
            <w:tcBorders>
              <w:top w:val="single" w:sz="12" w:space="0" w:color="auto"/>
              <w:bottom w:val="single" w:sz="4" w:space="0" w:color="auto"/>
            </w:tcBorders>
            <w:shd w:val="clear" w:color="auto" w:fill="auto"/>
            <w:noWrap/>
            <w:hideMark/>
          </w:tcPr>
          <w:p w:rsidR="00BD77CC" w:rsidRPr="008442C6" w:rsidRDefault="00BD77CC" w:rsidP="007F60F9">
            <w:pPr>
              <w:suppressAutoHyphens w:val="0"/>
              <w:spacing w:before="80" w:after="80" w:line="220" w:lineRule="exact"/>
              <w:ind w:right="113"/>
              <w:jc w:val="right"/>
              <w:rPr>
                <w:b/>
                <w:sz w:val="18"/>
              </w:rPr>
            </w:pPr>
            <w:r w:rsidRPr="008442C6">
              <w:rPr>
                <w:b/>
                <w:sz w:val="18"/>
              </w:rPr>
              <w:t>329</w:t>
            </w:r>
          </w:p>
        </w:tc>
        <w:tc>
          <w:tcPr>
            <w:tcW w:w="1833" w:type="dxa"/>
            <w:tcBorders>
              <w:top w:val="single" w:sz="12" w:space="0" w:color="auto"/>
              <w:bottom w:val="single" w:sz="4" w:space="0" w:color="auto"/>
            </w:tcBorders>
            <w:shd w:val="clear" w:color="auto" w:fill="auto"/>
            <w:noWrap/>
            <w:hideMark/>
          </w:tcPr>
          <w:p w:rsidR="00BD77CC" w:rsidRPr="008442C6" w:rsidRDefault="00BD77CC" w:rsidP="007F60F9">
            <w:pPr>
              <w:suppressAutoHyphens w:val="0"/>
              <w:spacing w:before="80" w:after="80" w:line="220" w:lineRule="exact"/>
              <w:ind w:right="113"/>
              <w:jc w:val="right"/>
              <w:rPr>
                <w:b/>
                <w:sz w:val="18"/>
              </w:rPr>
            </w:pPr>
            <w:r w:rsidRPr="008442C6">
              <w:rPr>
                <w:b/>
                <w:sz w:val="18"/>
              </w:rPr>
              <w:t>338</w:t>
            </w:r>
          </w:p>
        </w:tc>
        <w:tc>
          <w:tcPr>
            <w:tcW w:w="1833" w:type="dxa"/>
            <w:tcBorders>
              <w:top w:val="single" w:sz="12" w:space="0" w:color="auto"/>
              <w:bottom w:val="single" w:sz="4" w:space="0" w:color="auto"/>
            </w:tcBorders>
            <w:shd w:val="clear" w:color="auto" w:fill="auto"/>
          </w:tcPr>
          <w:p w:rsidR="00BD77CC" w:rsidRPr="008442C6" w:rsidRDefault="00BD77CC" w:rsidP="007F60F9">
            <w:pPr>
              <w:suppressAutoHyphens w:val="0"/>
              <w:spacing w:before="80" w:after="80" w:line="220" w:lineRule="exact"/>
              <w:ind w:right="113"/>
              <w:jc w:val="right"/>
              <w:rPr>
                <w:b/>
                <w:sz w:val="18"/>
              </w:rPr>
            </w:pPr>
            <w:r w:rsidRPr="008442C6">
              <w:rPr>
                <w:b/>
                <w:sz w:val="18"/>
              </w:rPr>
              <w:t>350</w:t>
            </w:r>
          </w:p>
        </w:tc>
        <w:tc>
          <w:tcPr>
            <w:tcW w:w="1833" w:type="dxa"/>
            <w:tcBorders>
              <w:top w:val="single" w:sz="12" w:space="0" w:color="auto"/>
              <w:bottom w:val="single" w:sz="4" w:space="0" w:color="auto"/>
            </w:tcBorders>
            <w:shd w:val="clear" w:color="auto" w:fill="auto"/>
          </w:tcPr>
          <w:p w:rsidR="00BD77CC" w:rsidRPr="008442C6" w:rsidRDefault="00BD77CC" w:rsidP="007F60F9">
            <w:pPr>
              <w:suppressAutoHyphens w:val="0"/>
              <w:spacing w:before="80" w:after="80" w:line="220" w:lineRule="exact"/>
              <w:ind w:right="113"/>
              <w:jc w:val="right"/>
              <w:rPr>
                <w:b/>
                <w:sz w:val="18"/>
              </w:rPr>
            </w:pPr>
            <w:r w:rsidRPr="008442C6">
              <w:rPr>
                <w:b/>
                <w:sz w:val="18"/>
              </w:rPr>
              <w:t>374</w:t>
            </w:r>
          </w:p>
        </w:tc>
      </w:tr>
      <w:tr w:rsidR="00BD77CC" w:rsidRPr="008442C6" w:rsidTr="007F60F9">
        <w:tc>
          <w:tcPr>
            <w:tcW w:w="2296" w:type="dxa"/>
            <w:tcBorders>
              <w:top w:val="single" w:sz="4" w:space="0" w:color="auto"/>
            </w:tcBorders>
            <w:shd w:val="clear" w:color="auto" w:fill="auto"/>
            <w:noWrap/>
            <w:hideMark/>
          </w:tcPr>
          <w:p w:rsidR="00BD77CC" w:rsidRPr="008442C6" w:rsidRDefault="00BD77CC" w:rsidP="009153E2">
            <w:pPr>
              <w:suppressAutoHyphens w:val="0"/>
              <w:spacing w:before="40" w:after="40" w:line="220" w:lineRule="exact"/>
              <w:ind w:right="113"/>
              <w:rPr>
                <w:sz w:val="18"/>
              </w:rPr>
            </w:pPr>
            <w:r w:rsidRPr="008442C6">
              <w:rPr>
                <w:sz w:val="18"/>
              </w:rPr>
              <w:t>Art museums</w:t>
            </w:r>
          </w:p>
        </w:tc>
        <w:tc>
          <w:tcPr>
            <w:tcW w:w="1833" w:type="dxa"/>
            <w:tcBorders>
              <w:top w:val="single" w:sz="4" w:space="0" w:color="auto"/>
            </w:tcBorders>
            <w:shd w:val="clear" w:color="auto" w:fill="auto"/>
            <w:noWrap/>
            <w:hideMark/>
          </w:tcPr>
          <w:p w:rsidR="00BD77CC" w:rsidRPr="008442C6" w:rsidRDefault="00BD77CC" w:rsidP="009153E2">
            <w:pPr>
              <w:suppressAutoHyphens w:val="0"/>
              <w:spacing w:before="40" w:after="40" w:line="220" w:lineRule="exact"/>
              <w:ind w:right="113"/>
              <w:jc w:val="right"/>
              <w:rPr>
                <w:sz w:val="18"/>
              </w:rPr>
            </w:pPr>
            <w:r w:rsidRPr="008442C6">
              <w:rPr>
                <w:sz w:val="18"/>
              </w:rPr>
              <w:t>67</w:t>
            </w:r>
          </w:p>
        </w:tc>
        <w:tc>
          <w:tcPr>
            <w:tcW w:w="1833" w:type="dxa"/>
            <w:tcBorders>
              <w:top w:val="single" w:sz="4" w:space="0" w:color="auto"/>
            </w:tcBorders>
            <w:shd w:val="clear" w:color="auto" w:fill="auto"/>
            <w:noWrap/>
            <w:hideMark/>
          </w:tcPr>
          <w:p w:rsidR="00BD77CC" w:rsidRPr="008442C6" w:rsidRDefault="00BD77CC" w:rsidP="009153E2">
            <w:pPr>
              <w:suppressAutoHyphens w:val="0"/>
              <w:spacing w:before="40" w:after="40" w:line="220" w:lineRule="exact"/>
              <w:ind w:right="113"/>
              <w:jc w:val="right"/>
              <w:rPr>
                <w:sz w:val="18"/>
              </w:rPr>
            </w:pPr>
            <w:r w:rsidRPr="008442C6">
              <w:rPr>
                <w:sz w:val="18"/>
              </w:rPr>
              <w:t>63</w:t>
            </w:r>
          </w:p>
        </w:tc>
        <w:tc>
          <w:tcPr>
            <w:tcW w:w="1833" w:type="dxa"/>
            <w:tcBorders>
              <w:top w:val="single" w:sz="4" w:space="0" w:color="auto"/>
            </w:tcBorders>
            <w:shd w:val="clear" w:color="auto" w:fill="auto"/>
          </w:tcPr>
          <w:p w:rsidR="00BD77CC" w:rsidRPr="008442C6" w:rsidRDefault="00BD77CC" w:rsidP="009153E2">
            <w:pPr>
              <w:suppressAutoHyphens w:val="0"/>
              <w:spacing w:before="40" w:after="40" w:line="220" w:lineRule="exact"/>
              <w:ind w:right="113"/>
              <w:jc w:val="right"/>
              <w:rPr>
                <w:sz w:val="18"/>
              </w:rPr>
            </w:pPr>
            <w:r w:rsidRPr="008442C6">
              <w:rPr>
                <w:sz w:val="18"/>
              </w:rPr>
              <w:t>66</w:t>
            </w:r>
          </w:p>
        </w:tc>
        <w:tc>
          <w:tcPr>
            <w:tcW w:w="1833" w:type="dxa"/>
            <w:tcBorders>
              <w:top w:val="single" w:sz="4" w:space="0" w:color="auto"/>
            </w:tcBorders>
            <w:shd w:val="clear" w:color="auto" w:fill="auto"/>
          </w:tcPr>
          <w:p w:rsidR="00BD77CC" w:rsidRPr="008442C6" w:rsidRDefault="00BD77CC" w:rsidP="009153E2">
            <w:pPr>
              <w:suppressAutoHyphens w:val="0"/>
              <w:spacing w:before="40" w:after="40" w:line="220" w:lineRule="exact"/>
              <w:ind w:right="113"/>
              <w:jc w:val="right"/>
              <w:rPr>
                <w:sz w:val="18"/>
              </w:rPr>
            </w:pPr>
            <w:r w:rsidRPr="008442C6">
              <w:rPr>
                <w:sz w:val="18"/>
              </w:rPr>
              <w:t>74</w:t>
            </w:r>
          </w:p>
        </w:tc>
      </w:tr>
      <w:tr w:rsidR="00BD77CC" w:rsidRPr="008442C6" w:rsidTr="007F60F9">
        <w:tc>
          <w:tcPr>
            <w:tcW w:w="2296" w:type="dxa"/>
            <w:shd w:val="clear" w:color="auto" w:fill="auto"/>
            <w:noWrap/>
            <w:hideMark/>
          </w:tcPr>
          <w:p w:rsidR="00BD77CC" w:rsidRPr="008442C6" w:rsidRDefault="00BD77CC" w:rsidP="009153E2">
            <w:pPr>
              <w:suppressAutoHyphens w:val="0"/>
              <w:spacing w:before="40" w:after="40" w:line="220" w:lineRule="exact"/>
              <w:ind w:right="113"/>
              <w:rPr>
                <w:sz w:val="18"/>
              </w:rPr>
            </w:pPr>
            <w:r w:rsidRPr="008442C6">
              <w:rPr>
                <w:sz w:val="18"/>
              </w:rPr>
              <w:t>Archeology museums</w:t>
            </w:r>
          </w:p>
        </w:tc>
        <w:tc>
          <w:tcPr>
            <w:tcW w:w="1833" w:type="dxa"/>
            <w:shd w:val="clear" w:color="auto" w:fill="auto"/>
            <w:noWrap/>
            <w:hideMark/>
          </w:tcPr>
          <w:p w:rsidR="00BD77CC" w:rsidRPr="008442C6" w:rsidRDefault="00BD77CC" w:rsidP="009153E2">
            <w:pPr>
              <w:suppressAutoHyphens w:val="0"/>
              <w:spacing w:before="40" w:after="40" w:line="220" w:lineRule="exact"/>
              <w:ind w:right="113"/>
              <w:jc w:val="right"/>
              <w:rPr>
                <w:sz w:val="18"/>
              </w:rPr>
            </w:pPr>
            <w:r w:rsidRPr="008442C6">
              <w:rPr>
                <w:sz w:val="18"/>
              </w:rPr>
              <w:t>30</w:t>
            </w:r>
          </w:p>
        </w:tc>
        <w:tc>
          <w:tcPr>
            <w:tcW w:w="1833" w:type="dxa"/>
            <w:shd w:val="clear" w:color="auto" w:fill="auto"/>
            <w:noWrap/>
            <w:hideMark/>
          </w:tcPr>
          <w:p w:rsidR="00BD77CC" w:rsidRPr="008442C6" w:rsidRDefault="00BD77CC" w:rsidP="009153E2">
            <w:pPr>
              <w:suppressAutoHyphens w:val="0"/>
              <w:spacing w:before="40" w:after="40" w:line="220" w:lineRule="exact"/>
              <w:ind w:right="113"/>
              <w:jc w:val="right"/>
              <w:rPr>
                <w:sz w:val="18"/>
              </w:rPr>
            </w:pPr>
            <w:r w:rsidRPr="008442C6">
              <w:rPr>
                <w:sz w:val="18"/>
              </w:rPr>
              <w:t>33</w:t>
            </w:r>
          </w:p>
        </w:tc>
        <w:tc>
          <w:tcPr>
            <w:tcW w:w="1833" w:type="dxa"/>
            <w:shd w:val="clear" w:color="auto" w:fill="auto"/>
          </w:tcPr>
          <w:p w:rsidR="00BD77CC" w:rsidRPr="008442C6" w:rsidRDefault="00BD77CC" w:rsidP="009153E2">
            <w:pPr>
              <w:suppressAutoHyphens w:val="0"/>
              <w:spacing w:before="40" w:after="40" w:line="220" w:lineRule="exact"/>
              <w:ind w:right="113"/>
              <w:jc w:val="right"/>
              <w:rPr>
                <w:sz w:val="18"/>
              </w:rPr>
            </w:pPr>
            <w:r w:rsidRPr="008442C6">
              <w:rPr>
                <w:sz w:val="18"/>
              </w:rPr>
              <w:t>36</w:t>
            </w:r>
          </w:p>
        </w:tc>
        <w:tc>
          <w:tcPr>
            <w:tcW w:w="1833" w:type="dxa"/>
            <w:shd w:val="clear" w:color="auto" w:fill="auto"/>
          </w:tcPr>
          <w:p w:rsidR="00BD77CC" w:rsidRPr="008442C6" w:rsidRDefault="00BD77CC" w:rsidP="009153E2">
            <w:pPr>
              <w:suppressAutoHyphens w:val="0"/>
              <w:spacing w:before="40" w:after="40" w:line="220" w:lineRule="exact"/>
              <w:ind w:right="113"/>
              <w:jc w:val="right"/>
              <w:rPr>
                <w:sz w:val="18"/>
              </w:rPr>
            </w:pPr>
            <w:r w:rsidRPr="008442C6">
              <w:rPr>
                <w:sz w:val="18"/>
              </w:rPr>
              <w:t>38</w:t>
            </w:r>
          </w:p>
        </w:tc>
      </w:tr>
      <w:tr w:rsidR="00BD77CC" w:rsidRPr="008442C6" w:rsidTr="007F60F9">
        <w:tc>
          <w:tcPr>
            <w:tcW w:w="2296" w:type="dxa"/>
            <w:shd w:val="clear" w:color="auto" w:fill="auto"/>
            <w:noWrap/>
            <w:hideMark/>
          </w:tcPr>
          <w:p w:rsidR="00BD77CC" w:rsidRPr="008442C6" w:rsidRDefault="00BD77CC" w:rsidP="009153E2">
            <w:pPr>
              <w:suppressAutoHyphens w:val="0"/>
              <w:spacing w:before="40" w:after="40" w:line="220" w:lineRule="exact"/>
              <w:ind w:right="113"/>
              <w:rPr>
                <w:sz w:val="18"/>
              </w:rPr>
            </w:pPr>
            <w:r w:rsidRPr="008442C6">
              <w:rPr>
                <w:sz w:val="18"/>
              </w:rPr>
              <w:t>Natural sciences and natural history museums</w:t>
            </w:r>
          </w:p>
        </w:tc>
        <w:tc>
          <w:tcPr>
            <w:tcW w:w="1833" w:type="dxa"/>
            <w:shd w:val="clear" w:color="auto" w:fill="auto"/>
            <w:noWrap/>
            <w:hideMark/>
          </w:tcPr>
          <w:p w:rsidR="00BD77CC" w:rsidRPr="008442C6" w:rsidRDefault="00BD77CC" w:rsidP="009153E2">
            <w:pPr>
              <w:suppressAutoHyphens w:val="0"/>
              <w:spacing w:before="40" w:after="40" w:line="220" w:lineRule="exact"/>
              <w:ind w:right="113"/>
              <w:jc w:val="right"/>
              <w:rPr>
                <w:sz w:val="18"/>
              </w:rPr>
            </w:pPr>
            <w:r w:rsidRPr="008442C6">
              <w:rPr>
                <w:sz w:val="18"/>
              </w:rPr>
              <w:t>6</w:t>
            </w:r>
          </w:p>
        </w:tc>
        <w:tc>
          <w:tcPr>
            <w:tcW w:w="1833" w:type="dxa"/>
            <w:shd w:val="clear" w:color="auto" w:fill="auto"/>
            <w:noWrap/>
            <w:hideMark/>
          </w:tcPr>
          <w:p w:rsidR="00BD77CC" w:rsidRPr="008442C6" w:rsidRDefault="00BD77CC" w:rsidP="009153E2">
            <w:pPr>
              <w:suppressAutoHyphens w:val="0"/>
              <w:spacing w:before="40" w:after="40" w:line="220" w:lineRule="exact"/>
              <w:ind w:right="113"/>
              <w:jc w:val="right"/>
              <w:rPr>
                <w:sz w:val="18"/>
              </w:rPr>
            </w:pPr>
            <w:r w:rsidRPr="008442C6">
              <w:rPr>
                <w:sz w:val="18"/>
              </w:rPr>
              <w:t>6</w:t>
            </w:r>
          </w:p>
        </w:tc>
        <w:tc>
          <w:tcPr>
            <w:tcW w:w="1833" w:type="dxa"/>
            <w:shd w:val="clear" w:color="auto" w:fill="auto"/>
          </w:tcPr>
          <w:p w:rsidR="00BD77CC" w:rsidRPr="008442C6" w:rsidRDefault="00BD77CC" w:rsidP="009153E2">
            <w:pPr>
              <w:suppressAutoHyphens w:val="0"/>
              <w:spacing w:before="40" w:after="40" w:line="220" w:lineRule="exact"/>
              <w:ind w:right="113"/>
              <w:jc w:val="right"/>
              <w:rPr>
                <w:sz w:val="18"/>
              </w:rPr>
            </w:pPr>
            <w:r w:rsidRPr="008442C6">
              <w:rPr>
                <w:sz w:val="18"/>
              </w:rPr>
              <w:t>8</w:t>
            </w:r>
          </w:p>
        </w:tc>
        <w:tc>
          <w:tcPr>
            <w:tcW w:w="1833" w:type="dxa"/>
            <w:shd w:val="clear" w:color="auto" w:fill="auto"/>
          </w:tcPr>
          <w:p w:rsidR="00BD77CC" w:rsidRPr="008442C6" w:rsidRDefault="00BD77CC" w:rsidP="009153E2">
            <w:pPr>
              <w:suppressAutoHyphens w:val="0"/>
              <w:spacing w:before="40" w:after="40" w:line="220" w:lineRule="exact"/>
              <w:ind w:right="113"/>
              <w:jc w:val="right"/>
              <w:rPr>
                <w:sz w:val="18"/>
              </w:rPr>
            </w:pPr>
            <w:r w:rsidRPr="008442C6">
              <w:rPr>
                <w:sz w:val="18"/>
              </w:rPr>
              <w:t>9</w:t>
            </w:r>
          </w:p>
        </w:tc>
      </w:tr>
      <w:tr w:rsidR="00BD77CC" w:rsidRPr="008442C6" w:rsidTr="007F60F9">
        <w:tc>
          <w:tcPr>
            <w:tcW w:w="2296" w:type="dxa"/>
            <w:shd w:val="clear" w:color="auto" w:fill="auto"/>
            <w:noWrap/>
            <w:hideMark/>
          </w:tcPr>
          <w:p w:rsidR="00BD77CC" w:rsidRPr="008442C6" w:rsidRDefault="00BD77CC" w:rsidP="009153E2">
            <w:pPr>
              <w:suppressAutoHyphens w:val="0"/>
              <w:spacing w:before="40" w:after="40" w:line="220" w:lineRule="exact"/>
              <w:ind w:right="113"/>
              <w:rPr>
                <w:sz w:val="18"/>
              </w:rPr>
            </w:pPr>
            <w:r w:rsidRPr="008442C6">
              <w:rPr>
                <w:sz w:val="18"/>
              </w:rPr>
              <w:t>Science and technology museums</w:t>
            </w:r>
          </w:p>
        </w:tc>
        <w:tc>
          <w:tcPr>
            <w:tcW w:w="1833" w:type="dxa"/>
            <w:shd w:val="clear" w:color="auto" w:fill="auto"/>
            <w:noWrap/>
            <w:hideMark/>
          </w:tcPr>
          <w:p w:rsidR="00BD77CC" w:rsidRPr="008442C6" w:rsidRDefault="00BD77CC" w:rsidP="009153E2">
            <w:pPr>
              <w:suppressAutoHyphens w:val="0"/>
              <w:spacing w:before="40" w:after="40" w:line="220" w:lineRule="exact"/>
              <w:ind w:right="113"/>
              <w:jc w:val="right"/>
              <w:rPr>
                <w:sz w:val="18"/>
              </w:rPr>
            </w:pPr>
            <w:r w:rsidRPr="008442C6">
              <w:rPr>
                <w:sz w:val="18"/>
              </w:rPr>
              <w:t>27</w:t>
            </w:r>
          </w:p>
        </w:tc>
        <w:tc>
          <w:tcPr>
            <w:tcW w:w="1833" w:type="dxa"/>
            <w:shd w:val="clear" w:color="auto" w:fill="auto"/>
            <w:noWrap/>
            <w:hideMark/>
          </w:tcPr>
          <w:p w:rsidR="00BD77CC" w:rsidRPr="008442C6" w:rsidRDefault="00BD77CC" w:rsidP="009153E2">
            <w:pPr>
              <w:suppressAutoHyphens w:val="0"/>
              <w:spacing w:before="40" w:after="40" w:line="220" w:lineRule="exact"/>
              <w:ind w:right="113"/>
              <w:jc w:val="right"/>
              <w:rPr>
                <w:sz w:val="18"/>
              </w:rPr>
            </w:pPr>
            <w:r w:rsidRPr="008442C6">
              <w:rPr>
                <w:sz w:val="18"/>
              </w:rPr>
              <w:t>27</w:t>
            </w:r>
          </w:p>
        </w:tc>
        <w:tc>
          <w:tcPr>
            <w:tcW w:w="1833" w:type="dxa"/>
            <w:shd w:val="clear" w:color="auto" w:fill="auto"/>
          </w:tcPr>
          <w:p w:rsidR="00BD77CC" w:rsidRPr="008442C6" w:rsidRDefault="00BD77CC" w:rsidP="009153E2">
            <w:pPr>
              <w:suppressAutoHyphens w:val="0"/>
              <w:spacing w:before="40" w:after="40" w:line="220" w:lineRule="exact"/>
              <w:ind w:right="113"/>
              <w:jc w:val="right"/>
              <w:rPr>
                <w:sz w:val="18"/>
              </w:rPr>
            </w:pPr>
            <w:r w:rsidRPr="008442C6">
              <w:rPr>
                <w:sz w:val="18"/>
              </w:rPr>
              <w:t>27</w:t>
            </w:r>
          </w:p>
        </w:tc>
        <w:tc>
          <w:tcPr>
            <w:tcW w:w="1833" w:type="dxa"/>
            <w:shd w:val="clear" w:color="auto" w:fill="auto"/>
          </w:tcPr>
          <w:p w:rsidR="00BD77CC" w:rsidRPr="008442C6" w:rsidRDefault="00BD77CC" w:rsidP="009153E2">
            <w:pPr>
              <w:suppressAutoHyphens w:val="0"/>
              <w:spacing w:before="40" w:after="40" w:line="220" w:lineRule="exact"/>
              <w:ind w:right="113"/>
              <w:jc w:val="right"/>
              <w:rPr>
                <w:sz w:val="18"/>
              </w:rPr>
            </w:pPr>
            <w:r w:rsidRPr="008442C6">
              <w:rPr>
                <w:sz w:val="18"/>
              </w:rPr>
              <w:t>29</w:t>
            </w:r>
          </w:p>
        </w:tc>
      </w:tr>
      <w:tr w:rsidR="00BD77CC" w:rsidRPr="008442C6" w:rsidTr="007F60F9">
        <w:tc>
          <w:tcPr>
            <w:tcW w:w="2296" w:type="dxa"/>
            <w:tcBorders>
              <w:bottom w:val="nil"/>
            </w:tcBorders>
            <w:shd w:val="clear" w:color="auto" w:fill="auto"/>
            <w:noWrap/>
            <w:hideMark/>
          </w:tcPr>
          <w:p w:rsidR="00BD77CC" w:rsidRPr="008442C6" w:rsidRDefault="00BD77CC" w:rsidP="009153E2">
            <w:pPr>
              <w:suppressAutoHyphens w:val="0"/>
              <w:spacing w:before="40" w:after="40" w:line="220" w:lineRule="exact"/>
              <w:ind w:right="113"/>
              <w:rPr>
                <w:sz w:val="18"/>
              </w:rPr>
            </w:pPr>
            <w:r w:rsidRPr="008442C6">
              <w:rPr>
                <w:sz w:val="18"/>
              </w:rPr>
              <w:t>Museums of ethnography and anthropology</w:t>
            </w:r>
          </w:p>
        </w:tc>
        <w:tc>
          <w:tcPr>
            <w:tcW w:w="1833" w:type="dxa"/>
            <w:tcBorders>
              <w:bottom w:val="nil"/>
            </w:tcBorders>
            <w:shd w:val="clear" w:color="auto" w:fill="auto"/>
            <w:noWrap/>
            <w:hideMark/>
          </w:tcPr>
          <w:p w:rsidR="00BD77CC" w:rsidRPr="008442C6" w:rsidRDefault="00BD77CC" w:rsidP="009153E2">
            <w:pPr>
              <w:suppressAutoHyphens w:val="0"/>
              <w:spacing w:before="40" w:after="40" w:line="220" w:lineRule="exact"/>
              <w:ind w:right="113"/>
              <w:jc w:val="right"/>
              <w:rPr>
                <w:sz w:val="18"/>
              </w:rPr>
            </w:pPr>
            <w:r w:rsidRPr="008442C6">
              <w:rPr>
                <w:sz w:val="18"/>
              </w:rPr>
              <w:t>46</w:t>
            </w:r>
          </w:p>
        </w:tc>
        <w:tc>
          <w:tcPr>
            <w:tcW w:w="1833" w:type="dxa"/>
            <w:tcBorders>
              <w:bottom w:val="nil"/>
            </w:tcBorders>
            <w:shd w:val="clear" w:color="auto" w:fill="auto"/>
            <w:noWrap/>
            <w:hideMark/>
          </w:tcPr>
          <w:p w:rsidR="00BD77CC" w:rsidRPr="008442C6" w:rsidRDefault="00BD77CC" w:rsidP="009153E2">
            <w:pPr>
              <w:suppressAutoHyphens w:val="0"/>
              <w:spacing w:before="40" w:after="40" w:line="220" w:lineRule="exact"/>
              <w:ind w:right="113"/>
              <w:jc w:val="right"/>
              <w:rPr>
                <w:sz w:val="18"/>
              </w:rPr>
            </w:pPr>
            <w:r w:rsidRPr="008442C6">
              <w:rPr>
                <w:sz w:val="18"/>
              </w:rPr>
              <w:t>50</w:t>
            </w:r>
          </w:p>
        </w:tc>
        <w:tc>
          <w:tcPr>
            <w:tcW w:w="1833" w:type="dxa"/>
            <w:tcBorders>
              <w:bottom w:val="nil"/>
            </w:tcBorders>
            <w:shd w:val="clear" w:color="auto" w:fill="auto"/>
          </w:tcPr>
          <w:p w:rsidR="00BD77CC" w:rsidRPr="008442C6" w:rsidRDefault="00BD77CC" w:rsidP="009153E2">
            <w:pPr>
              <w:suppressAutoHyphens w:val="0"/>
              <w:spacing w:before="40" w:after="40" w:line="220" w:lineRule="exact"/>
              <w:ind w:right="113"/>
              <w:jc w:val="right"/>
              <w:rPr>
                <w:sz w:val="18"/>
              </w:rPr>
            </w:pPr>
            <w:r w:rsidRPr="008442C6">
              <w:rPr>
                <w:sz w:val="18"/>
              </w:rPr>
              <w:t>51</w:t>
            </w:r>
          </w:p>
        </w:tc>
        <w:tc>
          <w:tcPr>
            <w:tcW w:w="1833" w:type="dxa"/>
            <w:tcBorders>
              <w:bottom w:val="nil"/>
            </w:tcBorders>
            <w:shd w:val="clear" w:color="auto" w:fill="auto"/>
          </w:tcPr>
          <w:p w:rsidR="00BD77CC" w:rsidRPr="008442C6" w:rsidRDefault="00BD77CC" w:rsidP="009153E2">
            <w:pPr>
              <w:suppressAutoHyphens w:val="0"/>
              <w:spacing w:before="40" w:after="40" w:line="220" w:lineRule="exact"/>
              <w:ind w:right="113"/>
              <w:jc w:val="right"/>
              <w:rPr>
                <w:sz w:val="18"/>
              </w:rPr>
            </w:pPr>
            <w:r w:rsidRPr="008442C6">
              <w:rPr>
                <w:sz w:val="18"/>
              </w:rPr>
              <w:t>55</w:t>
            </w:r>
          </w:p>
        </w:tc>
      </w:tr>
      <w:tr w:rsidR="00BD77CC" w:rsidRPr="008442C6" w:rsidTr="007F60F9">
        <w:tc>
          <w:tcPr>
            <w:tcW w:w="2296" w:type="dxa"/>
            <w:tcBorders>
              <w:top w:val="nil"/>
              <w:bottom w:val="nil"/>
            </w:tcBorders>
            <w:shd w:val="clear" w:color="auto" w:fill="auto"/>
            <w:noWrap/>
            <w:hideMark/>
          </w:tcPr>
          <w:p w:rsidR="00BD77CC" w:rsidRPr="008442C6" w:rsidRDefault="00BD77CC" w:rsidP="009153E2">
            <w:pPr>
              <w:suppressAutoHyphens w:val="0"/>
              <w:spacing w:before="40" w:after="40" w:line="220" w:lineRule="exact"/>
              <w:ind w:right="113"/>
              <w:rPr>
                <w:sz w:val="18"/>
              </w:rPr>
            </w:pPr>
            <w:r w:rsidRPr="008442C6">
              <w:rPr>
                <w:sz w:val="18"/>
              </w:rPr>
              <w:t>Specialty Museums</w:t>
            </w:r>
          </w:p>
        </w:tc>
        <w:tc>
          <w:tcPr>
            <w:tcW w:w="1833" w:type="dxa"/>
            <w:tcBorders>
              <w:top w:val="nil"/>
              <w:bottom w:val="nil"/>
            </w:tcBorders>
            <w:shd w:val="clear" w:color="auto" w:fill="auto"/>
            <w:noWrap/>
            <w:hideMark/>
          </w:tcPr>
          <w:p w:rsidR="00BD77CC" w:rsidRPr="008442C6" w:rsidRDefault="00BD77CC" w:rsidP="009153E2">
            <w:pPr>
              <w:suppressAutoHyphens w:val="0"/>
              <w:spacing w:before="40" w:after="40" w:line="220" w:lineRule="exact"/>
              <w:ind w:right="113"/>
              <w:jc w:val="right"/>
              <w:rPr>
                <w:sz w:val="18"/>
              </w:rPr>
            </w:pPr>
            <w:r w:rsidRPr="008442C6">
              <w:rPr>
                <w:sz w:val="18"/>
              </w:rPr>
              <w:t>43</w:t>
            </w:r>
          </w:p>
        </w:tc>
        <w:tc>
          <w:tcPr>
            <w:tcW w:w="1833" w:type="dxa"/>
            <w:tcBorders>
              <w:top w:val="nil"/>
              <w:bottom w:val="nil"/>
            </w:tcBorders>
            <w:shd w:val="clear" w:color="auto" w:fill="auto"/>
            <w:noWrap/>
            <w:hideMark/>
          </w:tcPr>
          <w:p w:rsidR="00BD77CC" w:rsidRPr="008442C6" w:rsidRDefault="00BD77CC" w:rsidP="009153E2">
            <w:pPr>
              <w:suppressAutoHyphens w:val="0"/>
              <w:spacing w:before="40" w:after="40" w:line="220" w:lineRule="exact"/>
              <w:ind w:right="113"/>
              <w:jc w:val="right"/>
              <w:rPr>
                <w:sz w:val="18"/>
              </w:rPr>
            </w:pPr>
            <w:r w:rsidRPr="008442C6">
              <w:rPr>
                <w:sz w:val="18"/>
              </w:rPr>
              <w:t>44</w:t>
            </w:r>
          </w:p>
        </w:tc>
        <w:tc>
          <w:tcPr>
            <w:tcW w:w="1833" w:type="dxa"/>
            <w:tcBorders>
              <w:top w:val="nil"/>
              <w:bottom w:val="nil"/>
            </w:tcBorders>
            <w:shd w:val="clear" w:color="auto" w:fill="auto"/>
          </w:tcPr>
          <w:p w:rsidR="00BD77CC" w:rsidRPr="008442C6" w:rsidRDefault="00BD77CC" w:rsidP="009153E2">
            <w:pPr>
              <w:suppressAutoHyphens w:val="0"/>
              <w:spacing w:before="40" w:after="40" w:line="220" w:lineRule="exact"/>
              <w:ind w:right="113"/>
              <w:jc w:val="right"/>
              <w:rPr>
                <w:sz w:val="18"/>
              </w:rPr>
            </w:pPr>
            <w:r w:rsidRPr="008442C6">
              <w:rPr>
                <w:sz w:val="18"/>
              </w:rPr>
              <w:t>44</w:t>
            </w:r>
          </w:p>
        </w:tc>
        <w:tc>
          <w:tcPr>
            <w:tcW w:w="1833" w:type="dxa"/>
            <w:tcBorders>
              <w:top w:val="nil"/>
              <w:bottom w:val="nil"/>
            </w:tcBorders>
            <w:shd w:val="clear" w:color="auto" w:fill="auto"/>
          </w:tcPr>
          <w:p w:rsidR="00BD77CC" w:rsidRPr="008442C6" w:rsidRDefault="00BD77CC" w:rsidP="009153E2">
            <w:pPr>
              <w:suppressAutoHyphens w:val="0"/>
              <w:spacing w:before="40" w:after="40" w:line="220" w:lineRule="exact"/>
              <w:ind w:right="113"/>
              <w:jc w:val="right"/>
              <w:rPr>
                <w:sz w:val="18"/>
              </w:rPr>
            </w:pPr>
            <w:r w:rsidRPr="008442C6">
              <w:rPr>
                <w:sz w:val="18"/>
              </w:rPr>
              <w:t>51</w:t>
            </w:r>
          </w:p>
        </w:tc>
      </w:tr>
      <w:tr w:rsidR="00BD77CC" w:rsidRPr="008442C6" w:rsidTr="007F60F9">
        <w:tc>
          <w:tcPr>
            <w:tcW w:w="2296" w:type="dxa"/>
            <w:tcBorders>
              <w:top w:val="nil"/>
            </w:tcBorders>
            <w:shd w:val="clear" w:color="auto" w:fill="auto"/>
            <w:noWrap/>
            <w:hideMark/>
          </w:tcPr>
          <w:p w:rsidR="00BD77CC" w:rsidRPr="008442C6" w:rsidRDefault="00BD77CC" w:rsidP="009153E2">
            <w:pPr>
              <w:suppressAutoHyphens w:val="0"/>
              <w:spacing w:before="40" w:after="40" w:line="220" w:lineRule="exact"/>
              <w:ind w:right="113"/>
              <w:rPr>
                <w:sz w:val="18"/>
              </w:rPr>
            </w:pPr>
            <w:r w:rsidRPr="008442C6">
              <w:rPr>
                <w:sz w:val="18"/>
              </w:rPr>
              <w:lastRenderedPageBreak/>
              <w:t>History Museums</w:t>
            </w:r>
          </w:p>
        </w:tc>
        <w:tc>
          <w:tcPr>
            <w:tcW w:w="1833" w:type="dxa"/>
            <w:tcBorders>
              <w:top w:val="nil"/>
            </w:tcBorders>
            <w:shd w:val="clear" w:color="auto" w:fill="auto"/>
            <w:noWrap/>
            <w:hideMark/>
          </w:tcPr>
          <w:p w:rsidR="00BD77CC" w:rsidRPr="008442C6" w:rsidRDefault="00BD77CC" w:rsidP="009153E2">
            <w:pPr>
              <w:suppressAutoHyphens w:val="0"/>
              <w:spacing w:before="40" w:after="40" w:line="220" w:lineRule="exact"/>
              <w:ind w:right="113"/>
              <w:jc w:val="right"/>
              <w:rPr>
                <w:sz w:val="18"/>
              </w:rPr>
            </w:pPr>
            <w:r w:rsidRPr="008442C6">
              <w:rPr>
                <w:sz w:val="18"/>
              </w:rPr>
              <w:t>38</w:t>
            </w:r>
          </w:p>
        </w:tc>
        <w:tc>
          <w:tcPr>
            <w:tcW w:w="1833" w:type="dxa"/>
            <w:tcBorders>
              <w:top w:val="nil"/>
            </w:tcBorders>
            <w:shd w:val="clear" w:color="auto" w:fill="auto"/>
            <w:noWrap/>
            <w:hideMark/>
          </w:tcPr>
          <w:p w:rsidR="00BD77CC" w:rsidRPr="008442C6" w:rsidRDefault="00BD77CC" w:rsidP="009153E2">
            <w:pPr>
              <w:suppressAutoHyphens w:val="0"/>
              <w:spacing w:before="40" w:after="40" w:line="220" w:lineRule="exact"/>
              <w:ind w:right="113"/>
              <w:jc w:val="right"/>
              <w:rPr>
                <w:sz w:val="18"/>
              </w:rPr>
            </w:pPr>
            <w:r w:rsidRPr="008442C6">
              <w:rPr>
                <w:sz w:val="18"/>
              </w:rPr>
              <w:t>42</w:t>
            </w:r>
          </w:p>
        </w:tc>
        <w:tc>
          <w:tcPr>
            <w:tcW w:w="1833" w:type="dxa"/>
            <w:tcBorders>
              <w:top w:val="nil"/>
            </w:tcBorders>
            <w:shd w:val="clear" w:color="auto" w:fill="auto"/>
          </w:tcPr>
          <w:p w:rsidR="00BD77CC" w:rsidRPr="008442C6" w:rsidRDefault="00BD77CC" w:rsidP="009153E2">
            <w:pPr>
              <w:suppressAutoHyphens w:val="0"/>
              <w:spacing w:before="40" w:after="40" w:line="220" w:lineRule="exact"/>
              <w:ind w:right="113"/>
              <w:jc w:val="right"/>
              <w:rPr>
                <w:sz w:val="18"/>
              </w:rPr>
            </w:pPr>
            <w:r w:rsidRPr="008442C6">
              <w:rPr>
                <w:sz w:val="18"/>
              </w:rPr>
              <w:t>43</w:t>
            </w:r>
          </w:p>
        </w:tc>
        <w:tc>
          <w:tcPr>
            <w:tcW w:w="1833" w:type="dxa"/>
            <w:tcBorders>
              <w:top w:val="nil"/>
            </w:tcBorders>
            <w:shd w:val="clear" w:color="auto" w:fill="auto"/>
          </w:tcPr>
          <w:p w:rsidR="00BD77CC" w:rsidRPr="008442C6" w:rsidRDefault="00BD77CC" w:rsidP="009153E2">
            <w:pPr>
              <w:suppressAutoHyphens w:val="0"/>
              <w:spacing w:before="40" w:after="40" w:line="220" w:lineRule="exact"/>
              <w:ind w:right="113"/>
              <w:jc w:val="right"/>
              <w:rPr>
                <w:sz w:val="18"/>
              </w:rPr>
            </w:pPr>
            <w:r w:rsidRPr="008442C6">
              <w:rPr>
                <w:sz w:val="18"/>
              </w:rPr>
              <w:t>40</w:t>
            </w:r>
          </w:p>
        </w:tc>
      </w:tr>
      <w:tr w:rsidR="00BD77CC" w:rsidRPr="008442C6" w:rsidTr="007F60F9">
        <w:tc>
          <w:tcPr>
            <w:tcW w:w="2296" w:type="dxa"/>
            <w:shd w:val="clear" w:color="auto" w:fill="auto"/>
            <w:noWrap/>
            <w:hideMark/>
          </w:tcPr>
          <w:p w:rsidR="00BD77CC" w:rsidRPr="008442C6" w:rsidRDefault="00BD77CC" w:rsidP="009153E2">
            <w:pPr>
              <w:suppressAutoHyphens w:val="0"/>
              <w:spacing w:before="40" w:after="40" w:line="220" w:lineRule="exact"/>
              <w:ind w:right="113"/>
              <w:rPr>
                <w:sz w:val="18"/>
              </w:rPr>
            </w:pPr>
            <w:r w:rsidRPr="008442C6">
              <w:rPr>
                <w:sz w:val="18"/>
              </w:rPr>
              <w:t>Mixed and multidisciplinary museums</w:t>
            </w:r>
          </w:p>
        </w:tc>
        <w:tc>
          <w:tcPr>
            <w:tcW w:w="1833" w:type="dxa"/>
            <w:shd w:val="clear" w:color="auto" w:fill="auto"/>
            <w:noWrap/>
            <w:hideMark/>
          </w:tcPr>
          <w:p w:rsidR="00BD77CC" w:rsidRPr="008442C6" w:rsidRDefault="00BD77CC" w:rsidP="009153E2">
            <w:pPr>
              <w:suppressAutoHyphens w:val="0"/>
              <w:spacing w:before="40" w:after="40" w:line="220" w:lineRule="exact"/>
              <w:ind w:right="113"/>
              <w:jc w:val="right"/>
              <w:rPr>
                <w:sz w:val="18"/>
              </w:rPr>
            </w:pPr>
            <w:r w:rsidRPr="008442C6">
              <w:rPr>
                <w:sz w:val="18"/>
              </w:rPr>
              <w:t>55</w:t>
            </w:r>
          </w:p>
        </w:tc>
        <w:tc>
          <w:tcPr>
            <w:tcW w:w="1833" w:type="dxa"/>
            <w:shd w:val="clear" w:color="auto" w:fill="auto"/>
            <w:noWrap/>
            <w:hideMark/>
          </w:tcPr>
          <w:p w:rsidR="00BD77CC" w:rsidRPr="008442C6" w:rsidRDefault="00BD77CC" w:rsidP="009153E2">
            <w:pPr>
              <w:suppressAutoHyphens w:val="0"/>
              <w:spacing w:before="40" w:after="40" w:line="220" w:lineRule="exact"/>
              <w:ind w:right="113"/>
              <w:jc w:val="right"/>
              <w:rPr>
                <w:sz w:val="18"/>
              </w:rPr>
            </w:pPr>
            <w:r w:rsidRPr="008442C6">
              <w:rPr>
                <w:sz w:val="18"/>
              </w:rPr>
              <w:t>58</w:t>
            </w:r>
          </w:p>
        </w:tc>
        <w:tc>
          <w:tcPr>
            <w:tcW w:w="1833" w:type="dxa"/>
            <w:shd w:val="clear" w:color="auto" w:fill="auto"/>
          </w:tcPr>
          <w:p w:rsidR="00BD77CC" w:rsidRPr="008442C6" w:rsidRDefault="00BD77CC" w:rsidP="009153E2">
            <w:pPr>
              <w:suppressAutoHyphens w:val="0"/>
              <w:spacing w:before="40" w:after="40" w:line="220" w:lineRule="exact"/>
              <w:ind w:right="113"/>
              <w:jc w:val="right"/>
              <w:rPr>
                <w:sz w:val="18"/>
              </w:rPr>
            </w:pPr>
            <w:r w:rsidRPr="008442C6">
              <w:rPr>
                <w:sz w:val="18"/>
              </w:rPr>
              <w:t>55</w:t>
            </w:r>
          </w:p>
        </w:tc>
        <w:tc>
          <w:tcPr>
            <w:tcW w:w="1833" w:type="dxa"/>
            <w:shd w:val="clear" w:color="auto" w:fill="auto"/>
          </w:tcPr>
          <w:p w:rsidR="00BD77CC" w:rsidRPr="008442C6" w:rsidRDefault="00BD77CC" w:rsidP="009153E2">
            <w:pPr>
              <w:suppressAutoHyphens w:val="0"/>
              <w:spacing w:before="40" w:after="40" w:line="220" w:lineRule="exact"/>
              <w:ind w:right="113"/>
              <w:jc w:val="right"/>
              <w:rPr>
                <w:sz w:val="18"/>
              </w:rPr>
            </w:pPr>
            <w:r w:rsidRPr="008442C6">
              <w:rPr>
                <w:sz w:val="18"/>
              </w:rPr>
              <w:t>60</w:t>
            </w:r>
          </w:p>
        </w:tc>
      </w:tr>
      <w:tr w:rsidR="00BD77CC" w:rsidRPr="008442C6" w:rsidTr="007F60F9">
        <w:tc>
          <w:tcPr>
            <w:tcW w:w="2296" w:type="dxa"/>
            <w:shd w:val="clear" w:color="auto" w:fill="auto"/>
            <w:noWrap/>
            <w:hideMark/>
          </w:tcPr>
          <w:p w:rsidR="00BD77CC" w:rsidRPr="008442C6" w:rsidRDefault="00BD77CC" w:rsidP="009153E2">
            <w:pPr>
              <w:suppressAutoHyphens w:val="0"/>
              <w:spacing w:before="40" w:after="40" w:line="220" w:lineRule="exact"/>
              <w:ind w:right="113"/>
              <w:rPr>
                <w:sz w:val="18"/>
              </w:rPr>
            </w:pPr>
            <w:r w:rsidRPr="008442C6">
              <w:rPr>
                <w:sz w:val="18"/>
              </w:rPr>
              <w:t>Territory Museums</w:t>
            </w:r>
          </w:p>
        </w:tc>
        <w:tc>
          <w:tcPr>
            <w:tcW w:w="1833" w:type="dxa"/>
            <w:shd w:val="clear" w:color="auto" w:fill="auto"/>
            <w:noWrap/>
            <w:hideMark/>
          </w:tcPr>
          <w:p w:rsidR="00BD77CC" w:rsidRPr="008442C6" w:rsidRDefault="00BD77CC" w:rsidP="009153E2">
            <w:pPr>
              <w:suppressAutoHyphens w:val="0"/>
              <w:spacing w:before="40" w:after="40" w:line="220" w:lineRule="exact"/>
              <w:ind w:right="113"/>
              <w:jc w:val="right"/>
              <w:rPr>
                <w:sz w:val="18"/>
              </w:rPr>
            </w:pPr>
            <w:r w:rsidRPr="008442C6">
              <w:rPr>
                <w:sz w:val="18"/>
              </w:rPr>
              <w:t>13</w:t>
            </w:r>
          </w:p>
        </w:tc>
        <w:tc>
          <w:tcPr>
            <w:tcW w:w="1833" w:type="dxa"/>
            <w:shd w:val="clear" w:color="auto" w:fill="auto"/>
            <w:noWrap/>
            <w:hideMark/>
          </w:tcPr>
          <w:p w:rsidR="00BD77CC" w:rsidRPr="008442C6" w:rsidRDefault="00BD77CC" w:rsidP="009153E2">
            <w:pPr>
              <w:suppressAutoHyphens w:val="0"/>
              <w:spacing w:before="40" w:after="40" w:line="220" w:lineRule="exact"/>
              <w:ind w:right="113"/>
              <w:jc w:val="right"/>
              <w:rPr>
                <w:sz w:val="18"/>
              </w:rPr>
            </w:pPr>
            <w:r w:rsidRPr="008442C6">
              <w:rPr>
                <w:sz w:val="18"/>
              </w:rPr>
              <w:t>12</w:t>
            </w:r>
          </w:p>
        </w:tc>
        <w:tc>
          <w:tcPr>
            <w:tcW w:w="1833" w:type="dxa"/>
            <w:shd w:val="clear" w:color="auto" w:fill="auto"/>
          </w:tcPr>
          <w:p w:rsidR="00BD77CC" w:rsidRPr="008442C6" w:rsidRDefault="00BD77CC" w:rsidP="009153E2">
            <w:pPr>
              <w:suppressAutoHyphens w:val="0"/>
              <w:spacing w:before="40" w:after="40" w:line="220" w:lineRule="exact"/>
              <w:ind w:right="113"/>
              <w:jc w:val="right"/>
              <w:rPr>
                <w:sz w:val="18"/>
              </w:rPr>
            </w:pPr>
            <w:r w:rsidRPr="008442C6">
              <w:rPr>
                <w:sz w:val="18"/>
              </w:rPr>
              <w:t>16</w:t>
            </w:r>
          </w:p>
        </w:tc>
        <w:tc>
          <w:tcPr>
            <w:tcW w:w="1833" w:type="dxa"/>
            <w:shd w:val="clear" w:color="auto" w:fill="auto"/>
          </w:tcPr>
          <w:p w:rsidR="00BD77CC" w:rsidRPr="008442C6" w:rsidRDefault="00BD77CC" w:rsidP="009153E2">
            <w:pPr>
              <w:suppressAutoHyphens w:val="0"/>
              <w:spacing w:before="40" w:after="40" w:line="220" w:lineRule="exact"/>
              <w:ind w:right="113"/>
              <w:jc w:val="right"/>
              <w:rPr>
                <w:sz w:val="18"/>
              </w:rPr>
            </w:pPr>
            <w:r w:rsidRPr="008442C6">
              <w:rPr>
                <w:sz w:val="18"/>
              </w:rPr>
              <w:t>13</w:t>
            </w:r>
          </w:p>
        </w:tc>
      </w:tr>
      <w:tr w:rsidR="00BD77CC" w:rsidRPr="008442C6" w:rsidTr="007F60F9">
        <w:tc>
          <w:tcPr>
            <w:tcW w:w="2296" w:type="dxa"/>
            <w:shd w:val="clear" w:color="auto" w:fill="auto"/>
            <w:noWrap/>
            <w:hideMark/>
          </w:tcPr>
          <w:p w:rsidR="00BD77CC" w:rsidRPr="008442C6" w:rsidRDefault="00BD77CC" w:rsidP="009153E2">
            <w:pPr>
              <w:suppressAutoHyphens w:val="0"/>
              <w:spacing w:before="40" w:after="40" w:line="220" w:lineRule="exact"/>
              <w:ind w:right="113"/>
              <w:rPr>
                <w:sz w:val="18"/>
              </w:rPr>
            </w:pPr>
            <w:r w:rsidRPr="008442C6">
              <w:rPr>
                <w:sz w:val="18"/>
              </w:rPr>
              <w:t>Other museums</w:t>
            </w:r>
          </w:p>
        </w:tc>
        <w:tc>
          <w:tcPr>
            <w:tcW w:w="1833" w:type="dxa"/>
            <w:shd w:val="clear" w:color="auto" w:fill="auto"/>
            <w:noWrap/>
            <w:hideMark/>
          </w:tcPr>
          <w:p w:rsidR="00BD77CC" w:rsidRPr="008442C6" w:rsidRDefault="00BD77CC" w:rsidP="009153E2">
            <w:pPr>
              <w:suppressAutoHyphens w:val="0"/>
              <w:spacing w:before="40" w:after="40" w:line="220" w:lineRule="exact"/>
              <w:ind w:right="113"/>
              <w:jc w:val="right"/>
              <w:rPr>
                <w:sz w:val="18"/>
              </w:rPr>
            </w:pPr>
            <w:r w:rsidRPr="008442C6">
              <w:rPr>
                <w:sz w:val="18"/>
              </w:rPr>
              <w:t>4</w:t>
            </w:r>
          </w:p>
        </w:tc>
        <w:tc>
          <w:tcPr>
            <w:tcW w:w="1833" w:type="dxa"/>
            <w:shd w:val="clear" w:color="auto" w:fill="auto"/>
            <w:noWrap/>
            <w:hideMark/>
          </w:tcPr>
          <w:p w:rsidR="00BD77CC" w:rsidRPr="008442C6" w:rsidRDefault="00BD77CC" w:rsidP="009153E2">
            <w:pPr>
              <w:suppressAutoHyphens w:val="0"/>
              <w:spacing w:before="40" w:after="40" w:line="220" w:lineRule="exact"/>
              <w:ind w:right="113"/>
              <w:jc w:val="right"/>
              <w:rPr>
                <w:sz w:val="18"/>
              </w:rPr>
            </w:pPr>
            <w:r w:rsidRPr="008442C6">
              <w:rPr>
                <w:sz w:val="18"/>
              </w:rPr>
              <w:t>3</w:t>
            </w:r>
          </w:p>
        </w:tc>
        <w:tc>
          <w:tcPr>
            <w:tcW w:w="1833" w:type="dxa"/>
            <w:shd w:val="clear" w:color="auto" w:fill="auto"/>
          </w:tcPr>
          <w:p w:rsidR="00BD77CC" w:rsidRPr="008442C6" w:rsidRDefault="00BD77CC" w:rsidP="009153E2">
            <w:pPr>
              <w:suppressAutoHyphens w:val="0"/>
              <w:spacing w:before="40" w:after="40" w:line="220" w:lineRule="exact"/>
              <w:ind w:right="113"/>
              <w:jc w:val="right"/>
              <w:rPr>
                <w:sz w:val="18"/>
              </w:rPr>
            </w:pPr>
            <w:r w:rsidRPr="008442C6">
              <w:rPr>
                <w:sz w:val="18"/>
              </w:rPr>
              <w:t>4</w:t>
            </w:r>
          </w:p>
        </w:tc>
        <w:tc>
          <w:tcPr>
            <w:tcW w:w="1833" w:type="dxa"/>
            <w:shd w:val="clear" w:color="auto" w:fill="auto"/>
          </w:tcPr>
          <w:p w:rsidR="00BD77CC" w:rsidRPr="008442C6" w:rsidRDefault="00BD77CC" w:rsidP="009153E2">
            <w:pPr>
              <w:suppressAutoHyphens w:val="0"/>
              <w:spacing w:before="40" w:after="40" w:line="220" w:lineRule="exact"/>
              <w:ind w:right="113"/>
              <w:jc w:val="right"/>
              <w:rPr>
                <w:sz w:val="18"/>
              </w:rPr>
            </w:pPr>
            <w:r w:rsidRPr="008442C6">
              <w:rPr>
                <w:sz w:val="18"/>
              </w:rPr>
              <w:t>5</w:t>
            </w:r>
          </w:p>
        </w:tc>
      </w:tr>
    </w:tbl>
    <w:p w:rsidR="00BD77CC" w:rsidRPr="008442C6" w:rsidRDefault="00BD77CC" w:rsidP="00376020">
      <w:pPr>
        <w:spacing w:before="120"/>
        <w:ind w:left="1134" w:right="1134" w:firstLine="170"/>
        <w:rPr>
          <w:sz w:val="18"/>
          <w:szCs w:val="18"/>
        </w:rPr>
      </w:pPr>
      <w:r w:rsidRPr="008442C6">
        <w:rPr>
          <w:i/>
          <w:iCs/>
          <w:sz w:val="18"/>
        </w:rPr>
        <w:t>Source</w:t>
      </w:r>
      <w:r w:rsidRPr="008442C6">
        <w:t xml:space="preserve">: </w:t>
      </w:r>
      <w:r w:rsidRPr="008442C6">
        <w:rPr>
          <w:sz w:val="18"/>
          <w:szCs w:val="18"/>
        </w:rPr>
        <w:t>Statistics Portugal, Museums Survey (Annual)</w:t>
      </w:r>
      <w:r w:rsidR="00376020" w:rsidRPr="008442C6">
        <w:rPr>
          <w:sz w:val="18"/>
          <w:szCs w:val="18"/>
        </w:rPr>
        <w:t>.</w:t>
      </w:r>
    </w:p>
    <w:p w:rsidR="00BD77CC" w:rsidRPr="008442C6" w:rsidRDefault="008D1E8A" w:rsidP="002C44F7">
      <w:pPr>
        <w:pStyle w:val="H23G"/>
        <w:spacing w:after="240"/>
      </w:pPr>
      <w:r w:rsidRPr="008442C6">
        <w:tab/>
      </w:r>
      <w:r w:rsidRPr="008442C6">
        <w:tab/>
      </w:r>
      <w:r w:rsidR="00573D6D" w:rsidRPr="008442C6">
        <w:t>Percentage of the museums with educational s</w:t>
      </w:r>
      <w:r w:rsidR="00BD77CC" w:rsidRPr="008442C6">
        <w:t>ervices by typology in 2017</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34"/>
        <w:gridCol w:w="3236"/>
      </w:tblGrid>
      <w:tr w:rsidR="00BD77CC" w:rsidRPr="008442C6" w:rsidTr="002C44F7">
        <w:trPr>
          <w:tblHeader/>
        </w:trPr>
        <w:tc>
          <w:tcPr>
            <w:tcW w:w="4957" w:type="dxa"/>
            <w:tcBorders>
              <w:top w:val="single" w:sz="4" w:space="0" w:color="auto"/>
              <w:bottom w:val="single" w:sz="12" w:space="0" w:color="auto"/>
            </w:tcBorders>
            <w:shd w:val="clear" w:color="auto" w:fill="auto"/>
            <w:vAlign w:val="bottom"/>
            <w:hideMark/>
          </w:tcPr>
          <w:p w:rsidR="00BD77CC" w:rsidRPr="008442C6" w:rsidRDefault="00BD77CC" w:rsidP="008D1E8A">
            <w:pPr>
              <w:suppressAutoHyphens w:val="0"/>
              <w:spacing w:before="80" w:after="80" w:line="200" w:lineRule="exact"/>
              <w:ind w:right="113"/>
              <w:rPr>
                <w:i/>
                <w:sz w:val="16"/>
              </w:rPr>
            </w:pPr>
            <w:r w:rsidRPr="008442C6">
              <w:rPr>
                <w:i/>
                <w:sz w:val="16"/>
              </w:rPr>
              <w:t>Year</w:t>
            </w:r>
          </w:p>
        </w:tc>
        <w:tc>
          <w:tcPr>
            <w:tcW w:w="3879" w:type="dxa"/>
            <w:tcBorders>
              <w:top w:val="single" w:sz="4" w:space="0" w:color="auto"/>
              <w:bottom w:val="single" w:sz="12" w:space="0" w:color="auto"/>
            </w:tcBorders>
            <w:shd w:val="clear" w:color="auto" w:fill="auto"/>
            <w:vAlign w:val="bottom"/>
            <w:hideMark/>
          </w:tcPr>
          <w:p w:rsidR="00BD77CC" w:rsidRPr="008442C6" w:rsidRDefault="00BD77CC" w:rsidP="008D1E8A">
            <w:pPr>
              <w:suppressAutoHyphens w:val="0"/>
              <w:spacing w:before="80" w:after="80" w:line="200" w:lineRule="exact"/>
              <w:ind w:right="113"/>
              <w:jc w:val="right"/>
              <w:rPr>
                <w:i/>
                <w:sz w:val="16"/>
              </w:rPr>
            </w:pPr>
            <w:r w:rsidRPr="008442C6">
              <w:rPr>
                <w:i/>
                <w:sz w:val="16"/>
              </w:rPr>
              <w:t>2017</w:t>
            </w:r>
          </w:p>
        </w:tc>
      </w:tr>
      <w:tr w:rsidR="00BD77CC" w:rsidRPr="008442C6" w:rsidTr="002C44F7">
        <w:tc>
          <w:tcPr>
            <w:tcW w:w="4957" w:type="dxa"/>
            <w:tcBorders>
              <w:top w:val="single" w:sz="12" w:space="0" w:color="auto"/>
              <w:bottom w:val="single" w:sz="4" w:space="0" w:color="auto"/>
            </w:tcBorders>
            <w:shd w:val="clear" w:color="auto" w:fill="auto"/>
            <w:noWrap/>
            <w:hideMark/>
          </w:tcPr>
          <w:p w:rsidR="00BD77CC" w:rsidRPr="008442C6" w:rsidRDefault="00BD77CC" w:rsidP="008D1E8A">
            <w:pPr>
              <w:suppressAutoHyphens w:val="0"/>
              <w:spacing w:before="80" w:after="80" w:line="220" w:lineRule="exact"/>
              <w:ind w:left="283"/>
              <w:rPr>
                <w:b/>
                <w:sz w:val="18"/>
              </w:rPr>
            </w:pPr>
            <w:r w:rsidRPr="008442C6">
              <w:rPr>
                <w:b/>
                <w:sz w:val="18"/>
              </w:rPr>
              <w:t>Total</w:t>
            </w:r>
          </w:p>
        </w:tc>
        <w:tc>
          <w:tcPr>
            <w:tcW w:w="3879" w:type="dxa"/>
            <w:tcBorders>
              <w:top w:val="single" w:sz="12" w:space="0" w:color="auto"/>
              <w:bottom w:val="single" w:sz="4" w:space="0" w:color="auto"/>
            </w:tcBorders>
            <w:shd w:val="clear" w:color="auto" w:fill="auto"/>
            <w:noWrap/>
            <w:vAlign w:val="bottom"/>
            <w:hideMark/>
          </w:tcPr>
          <w:p w:rsidR="00BD77CC" w:rsidRPr="008442C6" w:rsidRDefault="00BD77CC" w:rsidP="008D1E8A">
            <w:pPr>
              <w:suppressAutoHyphens w:val="0"/>
              <w:spacing w:before="40" w:after="40" w:line="220" w:lineRule="exact"/>
              <w:ind w:right="113"/>
              <w:jc w:val="right"/>
              <w:rPr>
                <w:b/>
                <w:bCs/>
                <w:sz w:val="18"/>
              </w:rPr>
            </w:pPr>
            <w:r w:rsidRPr="008442C6">
              <w:rPr>
                <w:b/>
                <w:bCs/>
                <w:sz w:val="18"/>
              </w:rPr>
              <w:t>75%</w:t>
            </w:r>
          </w:p>
        </w:tc>
      </w:tr>
      <w:tr w:rsidR="00BD77CC" w:rsidRPr="008442C6" w:rsidTr="002C44F7">
        <w:tc>
          <w:tcPr>
            <w:tcW w:w="4957" w:type="dxa"/>
            <w:tcBorders>
              <w:top w:val="single" w:sz="4" w:space="0" w:color="auto"/>
            </w:tcBorders>
            <w:shd w:val="clear" w:color="auto" w:fill="auto"/>
            <w:noWrap/>
            <w:hideMark/>
          </w:tcPr>
          <w:p w:rsidR="00BD77CC" w:rsidRPr="008442C6" w:rsidRDefault="00BD77CC" w:rsidP="008D1E8A">
            <w:pPr>
              <w:suppressAutoHyphens w:val="0"/>
              <w:spacing w:before="40" w:after="40" w:line="220" w:lineRule="exact"/>
              <w:ind w:right="113"/>
              <w:rPr>
                <w:sz w:val="18"/>
              </w:rPr>
            </w:pPr>
            <w:r w:rsidRPr="008442C6">
              <w:rPr>
                <w:sz w:val="18"/>
              </w:rPr>
              <w:t>Art museums</w:t>
            </w:r>
          </w:p>
        </w:tc>
        <w:tc>
          <w:tcPr>
            <w:tcW w:w="3879" w:type="dxa"/>
            <w:tcBorders>
              <w:top w:val="single" w:sz="4" w:space="0" w:color="auto"/>
            </w:tcBorders>
            <w:shd w:val="clear" w:color="auto" w:fill="auto"/>
            <w:noWrap/>
            <w:vAlign w:val="bottom"/>
            <w:hideMark/>
          </w:tcPr>
          <w:p w:rsidR="00BD77CC" w:rsidRPr="008442C6" w:rsidRDefault="00BD77CC" w:rsidP="008D1E8A">
            <w:pPr>
              <w:suppressAutoHyphens w:val="0"/>
              <w:spacing w:before="40" w:after="40" w:line="220" w:lineRule="exact"/>
              <w:ind w:right="113"/>
              <w:jc w:val="right"/>
              <w:rPr>
                <w:sz w:val="18"/>
              </w:rPr>
            </w:pPr>
            <w:r w:rsidRPr="008442C6">
              <w:rPr>
                <w:sz w:val="18"/>
              </w:rPr>
              <w:t>77%</w:t>
            </w:r>
          </w:p>
        </w:tc>
      </w:tr>
      <w:tr w:rsidR="00BD77CC" w:rsidRPr="008442C6" w:rsidTr="008D1E8A">
        <w:tc>
          <w:tcPr>
            <w:tcW w:w="4957" w:type="dxa"/>
            <w:shd w:val="clear" w:color="auto" w:fill="auto"/>
            <w:noWrap/>
            <w:hideMark/>
          </w:tcPr>
          <w:p w:rsidR="00BD77CC" w:rsidRPr="008442C6" w:rsidRDefault="00BD77CC" w:rsidP="008D1E8A">
            <w:pPr>
              <w:suppressAutoHyphens w:val="0"/>
              <w:spacing w:before="40" w:after="40" w:line="220" w:lineRule="exact"/>
              <w:ind w:right="113"/>
              <w:rPr>
                <w:sz w:val="18"/>
              </w:rPr>
            </w:pPr>
            <w:r w:rsidRPr="008442C6">
              <w:rPr>
                <w:sz w:val="18"/>
              </w:rPr>
              <w:t>Archeology museums</w:t>
            </w:r>
          </w:p>
        </w:tc>
        <w:tc>
          <w:tcPr>
            <w:tcW w:w="3879" w:type="dxa"/>
            <w:shd w:val="clear" w:color="auto" w:fill="auto"/>
            <w:noWrap/>
            <w:vAlign w:val="bottom"/>
            <w:hideMark/>
          </w:tcPr>
          <w:p w:rsidR="00BD77CC" w:rsidRPr="008442C6" w:rsidRDefault="00BD77CC" w:rsidP="008D1E8A">
            <w:pPr>
              <w:suppressAutoHyphens w:val="0"/>
              <w:spacing w:before="40" w:after="40" w:line="220" w:lineRule="exact"/>
              <w:ind w:right="113"/>
              <w:jc w:val="right"/>
              <w:rPr>
                <w:sz w:val="18"/>
              </w:rPr>
            </w:pPr>
            <w:r w:rsidRPr="008442C6">
              <w:rPr>
                <w:sz w:val="18"/>
              </w:rPr>
              <w:t>67%</w:t>
            </w:r>
          </w:p>
        </w:tc>
      </w:tr>
      <w:tr w:rsidR="00BD77CC" w:rsidRPr="008442C6" w:rsidTr="008D1E8A">
        <w:tc>
          <w:tcPr>
            <w:tcW w:w="4957" w:type="dxa"/>
            <w:shd w:val="clear" w:color="auto" w:fill="auto"/>
            <w:noWrap/>
            <w:hideMark/>
          </w:tcPr>
          <w:p w:rsidR="00BD77CC" w:rsidRPr="008442C6" w:rsidRDefault="00BD77CC" w:rsidP="008D1E8A">
            <w:pPr>
              <w:suppressAutoHyphens w:val="0"/>
              <w:spacing w:before="40" w:after="40" w:line="220" w:lineRule="exact"/>
              <w:ind w:right="113"/>
              <w:rPr>
                <w:sz w:val="18"/>
              </w:rPr>
            </w:pPr>
            <w:r w:rsidRPr="008442C6">
              <w:rPr>
                <w:sz w:val="18"/>
              </w:rPr>
              <w:t>Natural sciences and natural history museums</w:t>
            </w:r>
          </w:p>
        </w:tc>
        <w:tc>
          <w:tcPr>
            <w:tcW w:w="3879" w:type="dxa"/>
            <w:shd w:val="clear" w:color="auto" w:fill="auto"/>
            <w:noWrap/>
            <w:vAlign w:val="bottom"/>
            <w:hideMark/>
          </w:tcPr>
          <w:p w:rsidR="00BD77CC" w:rsidRPr="008442C6" w:rsidRDefault="00BD77CC" w:rsidP="008D1E8A">
            <w:pPr>
              <w:suppressAutoHyphens w:val="0"/>
              <w:spacing w:before="40" w:after="40" w:line="220" w:lineRule="exact"/>
              <w:ind w:right="113"/>
              <w:jc w:val="right"/>
              <w:rPr>
                <w:sz w:val="18"/>
              </w:rPr>
            </w:pPr>
            <w:r w:rsidRPr="008442C6">
              <w:rPr>
                <w:sz w:val="18"/>
              </w:rPr>
              <w:t>100%</w:t>
            </w:r>
          </w:p>
        </w:tc>
      </w:tr>
      <w:tr w:rsidR="00BD77CC" w:rsidRPr="008442C6" w:rsidTr="008D1E8A">
        <w:tc>
          <w:tcPr>
            <w:tcW w:w="4957" w:type="dxa"/>
            <w:shd w:val="clear" w:color="auto" w:fill="auto"/>
            <w:noWrap/>
            <w:hideMark/>
          </w:tcPr>
          <w:p w:rsidR="00BD77CC" w:rsidRPr="008442C6" w:rsidRDefault="00BD77CC" w:rsidP="008D1E8A">
            <w:pPr>
              <w:suppressAutoHyphens w:val="0"/>
              <w:spacing w:before="40" w:after="40" w:line="220" w:lineRule="exact"/>
              <w:ind w:right="113"/>
              <w:rPr>
                <w:sz w:val="18"/>
              </w:rPr>
            </w:pPr>
            <w:r w:rsidRPr="008442C6">
              <w:rPr>
                <w:sz w:val="18"/>
              </w:rPr>
              <w:t>Science and technology museums</w:t>
            </w:r>
          </w:p>
        </w:tc>
        <w:tc>
          <w:tcPr>
            <w:tcW w:w="3879" w:type="dxa"/>
            <w:shd w:val="clear" w:color="auto" w:fill="auto"/>
            <w:noWrap/>
            <w:vAlign w:val="bottom"/>
            <w:hideMark/>
          </w:tcPr>
          <w:p w:rsidR="00BD77CC" w:rsidRPr="008442C6" w:rsidRDefault="00BD77CC" w:rsidP="008D1E8A">
            <w:pPr>
              <w:suppressAutoHyphens w:val="0"/>
              <w:spacing w:before="40" w:after="40" w:line="220" w:lineRule="exact"/>
              <w:ind w:right="113"/>
              <w:jc w:val="right"/>
              <w:rPr>
                <w:sz w:val="18"/>
              </w:rPr>
            </w:pPr>
            <w:r w:rsidRPr="008442C6">
              <w:rPr>
                <w:sz w:val="18"/>
              </w:rPr>
              <w:t>73%</w:t>
            </w:r>
          </w:p>
        </w:tc>
      </w:tr>
      <w:tr w:rsidR="00BD77CC" w:rsidRPr="008442C6" w:rsidTr="008D1E8A">
        <w:tc>
          <w:tcPr>
            <w:tcW w:w="4957" w:type="dxa"/>
            <w:shd w:val="clear" w:color="auto" w:fill="auto"/>
            <w:noWrap/>
            <w:hideMark/>
          </w:tcPr>
          <w:p w:rsidR="00BD77CC" w:rsidRPr="008442C6" w:rsidRDefault="00BD77CC" w:rsidP="008D1E8A">
            <w:pPr>
              <w:suppressAutoHyphens w:val="0"/>
              <w:spacing w:before="40" w:after="40" w:line="220" w:lineRule="exact"/>
              <w:ind w:right="113"/>
              <w:rPr>
                <w:sz w:val="18"/>
              </w:rPr>
            </w:pPr>
            <w:r w:rsidRPr="008442C6">
              <w:rPr>
                <w:sz w:val="18"/>
              </w:rPr>
              <w:t>Museums of ethnography and anthropology</w:t>
            </w:r>
          </w:p>
        </w:tc>
        <w:tc>
          <w:tcPr>
            <w:tcW w:w="3879" w:type="dxa"/>
            <w:shd w:val="clear" w:color="auto" w:fill="auto"/>
            <w:noWrap/>
            <w:vAlign w:val="bottom"/>
            <w:hideMark/>
          </w:tcPr>
          <w:p w:rsidR="00BD77CC" w:rsidRPr="008442C6" w:rsidRDefault="00BD77CC" w:rsidP="008D1E8A">
            <w:pPr>
              <w:suppressAutoHyphens w:val="0"/>
              <w:spacing w:before="40" w:after="40" w:line="220" w:lineRule="exact"/>
              <w:ind w:right="113"/>
              <w:jc w:val="right"/>
              <w:rPr>
                <w:sz w:val="18"/>
              </w:rPr>
            </w:pPr>
            <w:r w:rsidRPr="008442C6">
              <w:rPr>
                <w:sz w:val="18"/>
              </w:rPr>
              <w:t>72%</w:t>
            </w:r>
          </w:p>
        </w:tc>
      </w:tr>
      <w:tr w:rsidR="00BD77CC" w:rsidRPr="008442C6" w:rsidTr="008D1E8A">
        <w:tc>
          <w:tcPr>
            <w:tcW w:w="4957" w:type="dxa"/>
            <w:shd w:val="clear" w:color="auto" w:fill="auto"/>
            <w:noWrap/>
            <w:hideMark/>
          </w:tcPr>
          <w:p w:rsidR="00BD77CC" w:rsidRPr="008442C6" w:rsidRDefault="00BD77CC" w:rsidP="008D1E8A">
            <w:pPr>
              <w:suppressAutoHyphens w:val="0"/>
              <w:spacing w:before="40" w:after="40" w:line="220" w:lineRule="exact"/>
              <w:ind w:right="113"/>
              <w:rPr>
                <w:sz w:val="18"/>
              </w:rPr>
            </w:pPr>
            <w:r w:rsidRPr="008442C6">
              <w:rPr>
                <w:sz w:val="18"/>
              </w:rPr>
              <w:t>Specialty Museums</w:t>
            </w:r>
          </w:p>
        </w:tc>
        <w:tc>
          <w:tcPr>
            <w:tcW w:w="3879" w:type="dxa"/>
            <w:shd w:val="clear" w:color="auto" w:fill="auto"/>
            <w:noWrap/>
            <w:vAlign w:val="bottom"/>
            <w:hideMark/>
          </w:tcPr>
          <w:p w:rsidR="00BD77CC" w:rsidRPr="008442C6" w:rsidRDefault="00BD77CC" w:rsidP="008D1E8A">
            <w:pPr>
              <w:suppressAutoHyphens w:val="0"/>
              <w:spacing w:before="40" w:after="40" w:line="220" w:lineRule="exact"/>
              <w:ind w:right="113"/>
              <w:jc w:val="right"/>
              <w:rPr>
                <w:sz w:val="18"/>
              </w:rPr>
            </w:pPr>
            <w:r w:rsidRPr="008442C6">
              <w:rPr>
                <w:sz w:val="18"/>
              </w:rPr>
              <w:t>69%</w:t>
            </w:r>
          </w:p>
        </w:tc>
      </w:tr>
      <w:tr w:rsidR="00BD77CC" w:rsidRPr="008442C6" w:rsidTr="008D1E8A">
        <w:tc>
          <w:tcPr>
            <w:tcW w:w="4957" w:type="dxa"/>
            <w:shd w:val="clear" w:color="auto" w:fill="auto"/>
            <w:noWrap/>
            <w:hideMark/>
          </w:tcPr>
          <w:p w:rsidR="00BD77CC" w:rsidRPr="008442C6" w:rsidRDefault="00BD77CC" w:rsidP="008D1E8A">
            <w:pPr>
              <w:suppressAutoHyphens w:val="0"/>
              <w:spacing w:before="40" w:after="40" w:line="220" w:lineRule="exact"/>
              <w:ind w:right="113"/>
              <w:rPr>
                <w:sz w:val="18"/>
              </w:rPr>
            </w:pPr>
            <w:r w:rsidRPr="008442C6">
              <w:rPr>
                <w:sz w:val="18"/>
              </w:rPr>
              <w:t>History Museums</w:t>
            </w:r>
          </w:p>
        </w:tc>
        <w:tc>
          <w:tcPr>
            <w:tcW w:w="3879" w:type="dxa"/>
            <w:shd w:val="clear" w:color="auto" w:fill="auto"/>
            <w:noWrap/>
            <w:vAlign w:val="bottom"/>
            <w:hideMark/>
          </w:tcPr>
          <w:p w:rsidR="00BD77CC" w:rsidRPr="008442C6" w:rsidRDefault="00BD77CC" w:rsidP="008D1E8A">
            <w:pPr>
              <w:suppressAutoHyphens w:val="0"/>
              <w:spacing w:before="40" w:after="40" w:line="220" w:lineRule="exact"/>
              <w:ind w:right="113"/>
              <w:jc w:val="right"/>
              <w:rPr>
                <w:sz w:val="18"/>
              </w:rPr>
            </w:pPr>
            <w:r w:rsidRPr="008442C6">
              <w:rPr>
                <w:sz w:val="18"/>
              </w:rPr>
              <w:t>73%</w:t>
            </w:r>
          </w:p>
        </w:tc>
      </w:tr>
      <w:tr w:rsidR="00BD77CC" w:rsidRPr="008442C6" w:rsidTr="008D1E8A">
        <w:tc>
          <w:tcPr>
            <w:tcW w:w="4957" w:type="dxa"/>
            <w:shd w:val="clear" w:color="auto" w:fill="auto"/>
            <w:noWrap/>
            <w:hideMark/>
          </w:tcPr>
          <w:p w:rsidR="00BD77CC" w:rsidRPr="008442C6" w:rsidRDefault="00BD77CC" w:rsidP="008D1E8A">
            <w:pPr>
              <w:suppressAutoHyphens w:val="0"/>
              <w:spacing w:before="40" w:after="40" w:line="220" w:lineRule="exact"/>
              <w:ind w:right="113"/>
              <w:rPr>
                <w:sz w:val="18"/>
              </w:rPr>
            </w:pPr>
            <w:r w:rsidRPr="008442C6">
              <w:rPr>
                <w:sz w:val="18"/>
              </w:rPr>
              <w:t>Mixed and multidisciplinary museums</w:t>
            </w:r>
          </w:p>
        </w:tc>
        <w:tc>
          <w:tcPr>
            <w:tcW w:w="3879" w:type="dxa"/>
            <w:shd w:val="clear" w:color="auto" w:fill="auto"/>
            <w:noWrap/>
            <w:vAlign w:val="bottom"/>
            <w:hideMark/>
          </w:tcPr>
          <w:p w:rsidR="00BD77CC" w:rsidRPr="008442C6" w:rsidRDefault="00BD77CC" w:rsidP="008D1E8A">
            <w:pPr>
              <w:suppressAutoHyphens w:val="0"/>
              <w:spacing w:before="40" w:after="40" w:line="220" w:lineRule="exact"/>
              <w:ind w:right="113"/>
              <w:jc w:val="right"/>
              <w:rPr>
                <w:sz w:val="18"/>
              </w:rPr>
            </w:pPr>
            <w:r w:rsidRPr="008442C6">
              <w:rPr>
                <w:sz w:val="18"/>
              </w:rPr>
              <w:t>85%</w:t>
            </w:r>
          </w:p>
        </w:tc>
      </w:tr>
      <w:tr w:rsidR="00BD77CC" w:rsidRPr="008442C6" w:rsidTr="008D1E8A">
        <w:tc>
          <w:tcPr>
            <w:tcW w:w="4957" w:type="dxa"/>
            <w:shd w:val="clear" w:color="auto" w:fill="auto"/>
            <w:noWrap/>
            <w:hideMark/>
          </w:tcPr>
          <w:p w:rsidR="00BD77CC" w:rsidRPr="008442C6" w:rsidRDefault="00BD77CC" w:rsidP="008D1E8A">
            <w:pPr>
              <w:suppressAutoHyphens w:val="0"/>
              <w:spacing w:before="40" w:after="40" w:line="220" w:lineRule="exact"/>
              <w:ind w:right="113"/>
              <w:rPr>
                <w:sz w:val="18"/>
              </w:rPr>
            </w:pPr>
            <w:r w:rsidRPr="008442C6">
              <w:rPr>
                <w:sz w:val="18"/>
              </w:rPr>
              <w:t>Territory Museums</w:t>
            </w:r>
          </w:p>
        </w:tc>
        <w:tc>
          <w:tcPr>
            <w:tcW w:w="3879" w:type="dxa"/>
            <w:shd w:val="clear" w:color="auto" w:fill="auto"/>
            <w:noWrap/>
            <w:vAlign w:val="bottom"/>
            <w:hideMark/>
          </w:tcPr>
          <w:p w:rsidR="00BD77CC" w:rsidRPr="008442C6" w:rsidRDefault="00BD77CC" w:rsidP="008D1E8A">
            <w:pPr>
              <w:suppressAutoHyphens w:val="0"/>
              <w:spacing w:before="40" w:after="40" w:line="220" w:lineRule="exact"/>
              <w:ind w:right="113"/>
              <w:jc w:val="right"/>
              <w:rPr>
                <w:sz w:val="18"/>
              </w:rPr>
            </w:pPr>
            <w:r w:rsidRPr="008442C6">
              <w:rPr>
                <w:sz w:val="18"/>
              </w:rPr>
              <w:t>69%</w:t>
            </w:r>
          </w:p>
        </w:tc>
      </w:tr>
      <w:tr w:rsidR="00BD77CC" w:rsidRPr="008442C6" w:rsidTr="008D1E8A">
        <w:tc>
          <w:tcPr>
            <w:tcW w:w="4957" w:type="dxa"/>
            <w:shd w:val="clear" w:color="auto" w:fill="auto"/>
            <w:noWrap/>
            <w:hideMark/>
          </w:tcPr>
          <w:p w:rsidR="00BD77CC" w:rsidRPr="008442C6" w:rsidRDefault="00BD77CC" w:rsidP="008D1E8A">
            <w:pPr>
              <w:suppressAutoHyphens w:val="0"/>
              <w:spacing w:before="40" w:after="40" w:line="220" w:lineRule="exact"/>
              <w:ind w:right="113"/>
              <w:rPr>
                <w:sz w:val="18"/>
              </w:rPr>
            </w:pPr>
            <w:r w:rsidRPr="008442C6">
              <w:rPr>
                <w:sz w:val="18"/>
              </w:rPr>
              <w:t>Other museums</w:t>
            </w:r>
          </w:p>
        </w:tc>
        <w:tc>
          <w:tcPr>
            <w:tcW w:w="3879" w:type="dxa"/>
            <w:shd w:val="clear" w:color="auto" w:fill="auto"/>
            <w:noWrap/>
            <w:vAlign w:val="bottom"/>
            <w:hideMark/>
          </w:tcPr>
          <w:p w:rsidR="00BD77CC" w:rsidRPr="008442C6" w:rsidRDefault="00BD77CC" w:rsidP="008D1E8A">
            <w:pPr>
              <w:suppressAutoHyphens w:val="0"/>
              <w:spacing w:before="40" w:after="40" w:line="220" w:lineRule="exact"/>
              <w:ind w:right="113"/>
              <w:jc w:val="right"/>
              <w:rPr>
                <w:sz w:val="18"/>
              </w:rPr>
            </w:pPr>
            <w:r w:rsidRPr="008442C6">
              <w:rPr>
                <w:sz w:val="18"/>
              </w:rPr>
              <w:t>71%</w:t>
            </w:r>
          </w:p>
        </w:tc>
      </w:tr>
    </w:tbl>
    <w:p w:rsidR="00BD77CC" w:rsidRPr="008442C6" w:rsidRDefault="00BD77CC" w:rsidP="008D1E8A">
      <w:pPr>
        <w:spacing w:before="120"/>
        <w:ind w:left="1134" w:right="1134" w:firstLine="170"/>
      </w:pPr>
      <w:r w:rsidRPr="008442C6">
        <w:rPr>
          <w:i/>
          <w:iCs/>
          <w:sz w:val="18"/>
        </w:rPr>
        <w:t>Source</w:t>
      </w:r>
      <w:r w:rsidRPr="008442C6">
        <w:t xml:space="preserve">: </w:t>
      </w:r>
      <w:r w:rsidRPr="008442C6">
        <w:rPr>
          <w:sz w:val="18"/>
          <w:szCs w:val="18"/>
        </w:rPr>
        <w:t>Statistics Portugal, Museums Survey (Annual)</w:t>
      </w:r>
      <w:r w:rsidR="007B4116" w:rsidRPr="008442C6">
        <w:rPr>
          <w:sz w:val="18"/>
          <w:szCs w:val="18"/>
        </w:rPr>
        <w:t>.</w:t>
      </w:r>
    </w:p>
    <w:p w:rsidR="00BD77CC" w:rsidRPr="008442C6" w:rsidRDefault="00BD77CC" w:rsidP="007B4116">
      <w:pPr>
        <w:pStyle w:val="H1G"/>
      </w:pPr>
      <w:r w:rsidRPr="008442C6">
        <w:tab/>
      </w:r>
      <w:r w:rsidRPr="008442C6">
        <w:tab/>
        <w:t xml:space="preserve">Reply to paragraph 21 of the list of issues </w:t>
      </w:r>
    </w:p>
    <w:p w:rsidR="00BD77CC" w:rsidRPr="008442C6" w:rsidRDefault="00BD77CC" w:rsidP="007B4116">
      <w:pPr>
        <w:pStyle w:val="SingleTxtG"/>
      </w:pPr>
      <w:r w:rsidRPr="008442C6">
        <w:t>114.</w:t>
      </w:r>
      <w:r w:rsidRPr="008442C6">
        <w:tab/>
        <w:t>The rights of the child, in particular the approach to juvenile justice, constitute a priority area for Public Prosecution in the triennium 2019</w:t>
      </w:r>
      <w:r w:rsidR="007B4116" w:rsidRPr="008442C6">
        <w:t>–</w:t>
      </w:r>
      <w:r w:rsidRPr="008442C6">
        <w:t>2021, with particular focus on such issues as violence in school settings, sports or cultural events, and crimes committed through new information technologies.</w:t>
      </w:r>
    </w:p>
    <w:p w:rsidR="00BD77CC" w:rsidRPr="008442C6" w:rsidRDefault="00BD77CC" w:rsidP="009C598B">
      <w:pPr>
        <w:pStyle w:val="SingleTxtG"/>
      </w:pPr>
      <w:r w:rsidRPr="008442C6">
        <w:t>115.</w:t>
      </w:r>
      <w:r w:rsidRPr="008442C6">
        <w:tab/>
        <w:t xml:space="preserve">In September 2015, the manual for the basic and secondary schools </w:t>
      </w:r>
      <w:r w:rsidR="00804846">
        <w:t>“</w:t>
      </w:r>
      <w:r w:rsidRPr="008442C6">
        <w:t>Children and youth exposed to domestic violence: to know and qualify the responses in the community</w:t>
      </w:r>
      <w:r w:rsidR="00804846">
        <w:t>”</w:t>
      </w:r>
      <w:r w:rsidRPr="008442C6">
        <w:t xml:space="preserve"> was approved in order to implement strategies leading to a society based on equality and free from discrimination and violence. In this manual one can find guidelines for the intervention in schools with children and youth exposed to domestic violence, information on the concepts inherent to the subject of domestic violence, warning signs, and strategies and procedures in this area.</w:t>
      </w:r>
    </w:p>
    <w:p w:rsidR="00BD77CC" w:rsidRPr="008442C6" w:rsidRDefault="00BD77CC" w:rsidP="007B4116">
      <w:pPr>
        <w:pStyle w:val="SingleTxtG"/>
      </w:pPr>
      <w:r w:rsidRPr="008442C6">
        <w:t>116.</w:t>
      </w:r>
      <w:r w:rsidRPr="008442C6">
        <w:tab/>
        <w:t>The current Action Plan for the Prevention and Combating Violence against Women and Domestic Violence (2018</w:t>
      </w:r>
      <w:r w:rsidR="007B4116" w:rsidRPr="008442C6">
        <w:t>–</w:t>
      </w:r>
      <w:r w:rsidRPr="008442C6">
        <w:t>2021) includes several measures to prevent harmful traditional practices, especially those concerning prevention and combating female genital mutilation and early and forced marriages, such as the introduction of these themes in the educational and training contents for teachers of the public educational system (all levels including higher education) and the production of a report about harmful traditional practices in Portugal, Lusophony and the EU, in order to better understand the phenomenon.</w:t>
      </w:r>
    </w:p>
    <w:p w:rsidR="00BD77CC" w:rsidRPr="008442C6" w:rsidRDefault="00BD77CC" w:rsidP="009C598B">
      <w:pPr>
        <w:pStyle w:val="SingleTxtG"/>
      </w:pPr>
      <w:r w:rsidRPr="008442C6">
        <w:t>117.</w:t>
      </w:r>
      <w:r w:rsidRPr="008442C6">
        <w:tab/>
        <w:t xml:space="preserve">In 2016, the Government implemented a pilot programme on distance-learning education, fundamental to reduce training and skill shortages, including on information and communication technologies. In the context of the International Day of the Girl Child, one of the initiatives held since 2017 is the project </w:t>
      </w:r>
      <w:r w:rsidR="00804846">
        <w:t>“</w:t>
      </w:r>
      <w:r w:rsidRPr="008442C6">
        <w:t>Engineers for a day</w:t>
      </w:r>
      <w:r w:rsidR="00804846">
        <w:t>”</w:t>
      </w:r>
      <w:r w:rsidRPr="008442C6">
        <w:t xml:space="preserve">. This initiative aims to prevent and combat the segregation of occupations on the basis of sex and is directed to </w:t>
      </w:r>
      <w:r w:rsidRPr="008442C6">
        <w:lastRenderedPageBreak/>
        <w:t>secondary school students (10th and 11th grades in the area of science and technology) and students of the 3rd cycle of basic education (professional courses).</w:t>
      </w:r>
    </w:p>
    <w:p w:rsidR="00BD77CC" w:rsidRPr="008442C6" w:rsidRDefault="00BD77CC" w:rsidP="00804846">
      <w:pPr>
        <w:pStyle w:val="SingleTxtG"/>
      </w:pPr>
      <w:r w:rsidRPr="008442C6">
        <w:t>118.</w:t>
      </w:r>
      <w:r w:rsidRPr="008442C6">
        <w:tab/>
        <w:t xml:space="preserve">The project </w:t>
      </w:r>
      <w:r w:rsidR="00804846">
        <w:t>“</w:t>
      </w:r>
      <w:r w:rsidRPr="008442C6">
        <w:t>Education Guides for Gender and Citizenship Project</w:t>
      </w:r>
      <w:r w:rsidR="00804846">
        <w:t>”</w:t>
      </w:r>
      <w:r w:rsidRPr="008442C6">
        <w:t xml:space="preserve"> aims directly teachers (from 1st grade to 12th grade) and counsellors of schools and intends to mainstream gender equality into the education system by integrating gender equality perspective and women</w:t>
      </w:r>
      <w:r w:rsidR="00804846">
        <w:t>’</w:t>
      </w:r>
      <w:r w:rsidRPr="008442C6">
        <w:t>s studies in teachers</w:t>
      </w:r>
      <w:r w:rsidR="00804846">
        <w:t>’</w:t>
      </w:r>
      <w:r w:rsidRPr="008442C6">
        <w:t xml:space="preserve"> pedagogical practices and in school culture and organization by making gender equality a central issue of the National Strategy for Education for Citizenship. The project has been extended to municipalities in order to facilitate the integration of gender equality, both in higher education curriculum and in local policies for gender equality, as well as for education and for sport. Since 2013</w:t>
      </w:r>
      <w:r w:rsidR="00804846">
        <w:t>–</w:t>
      </w:r>
      <w:r w:rsidRPr="008442C6">
        <w:t>2014, the Education Guides have been included in teachers</w:t>
      </w:r>
      <w:r w:rsidR="00804846">
        <w:t>’</w:t>
      </w:r>
      <w:r w:rsidRPr="008442C6">
        <w:t xml:space="preserve"> training covering nearly 1.800 teachers – 84% female and 16% male </w:t>
      </w:r>
      <w:r w:rsidR="007B4116" w:rsidRPr="008442C6">
        <w:t>–</w:t>
      </w:r>
      <w:r w:rsidRPr="008442C6">
        <w:t xml:space="preserve"> from 54% of public school clusters. </w:t>
      </w:r>
    </w:p>
    <w:p w:rsidR="00BD77CC" w:rsidRPr="008442C6" w:rsidRDefault="00BD77CC" w:rsidP="007B4116">
      <w:pPr>
        <w:pStyle w:val="SingleTxtG"/>
      </w:pPr>
      <w:r w:rsidRPr="008442C6">
        <w:t>119.</w:t>
      </w:r>
      <w:r w:rsidRPr="008442C6">
        <w:tab/>
        <w:t>Since the school year of 2018</w:t>
      </w:r>
      <w:r w:rsidR="007B4116" w:rsidRPr="008442C6">
        <w:t>–</w:t>
      </w:r>
      <w:r w:rsidRPr="008442C6">
        <w:t xml:space="preserve">2019, gender equality was integrated by many schools in the compulsory subject of </w:t>
      </w:r>
      <w:r w:rsidR="00804846">
        <w:t>“</w:t>
      </w:r>
      <w:r w:rsidRPr="008442C6">
        <w:t>Citizenship and Development</w:t>
      </w:r>
      <w:r w:rsidR="00804846">
        <w:t>”</w:t>
      </w:r>
      <w:r w:rsidRPr="008442C6">
        <w:t>, as well as in the schools Strategy for Citizenship Education, approved by each school cluster until the end of 2018.</w:t>
      </w:r>
    </w:p>
    <w:p w:rsidR="00BD77CC" w:rsidRPr="008442C6" w:rsidRDefault="00BD77CC" w:rsidP="009C598B">
      <w:pPr>
        <w:pStyle w:val="SingleTxtG"/>
      </w:pPr>
      <w:r w:rsidRPr="008442C6">
        <w:t>120.</w:t>
      </w:r>
      <w:r w:rsidRPr="008442C6">
        <w:tab/>
        <w:t>In August 2018 the NGO Akto – Human Rights and Democracy opened a shelter and protection center for children victims of trafficking in human beings. This shelter has the capacity to accommodate 6+1 children, ensuring them temporary care and support in a safe place, providing a dignified and welcoming environment that promotes an integral development of their physical and mental health, and their social integration, providing medical, juridical, psycho-social and educational support. The operation of the shelter is based on 3 key principles: confidentiality regarding its location, cross-functional and specialized technical support and the provision of a 24/7 Help Line.</w:t>
      </w:r>
    </w:p>
    <w:p w:rsidR="00BD77CC" w:rsidRPr="008442C6" w:rsidRDefault="00BD77CC" w:rsidP="009C598B">
      <w:pPr>
        <w:pStyle w:val="SingleTxtG"/>
      </w:pPr>
      <w:r w:rsidRPr="008442C6">
        <w:t>121.</w:t>
      </w:r>
      <w:r w:rsidRPr="008442C6">
        <w:tab/>
        <w:t>A better evaluation of programmes and actions and the measurement of their effectiveness should be a priority.</w:t>
      </w:r>
    </w:p>
    <w:p w:rsidR="007B4116" w:rsidRPr="008442C6" w:rsidRDefault="007B4116" w:rsidP="007B4116">
      <w:pPr>
        <w:pStyle w:val="SingleTxtG"/>
        <w:spacing w:before="240"/>
        <w:jc w:val="center"/>
      </w:pPr>
      <w:r w:rsidRPr="008442C6">
        <w:rPr>
          <w:u w:val="single"/>
        </w:rPr>
        <w:tab/>
      </w:r>
      <w:r w:rsidRPr="008442C6">
        <w:rPr>
          <w:u w:val="single"/>
        </w:rPr>
        <w:tab/>
      </w:r>
      <w:r w:rsidRPr="008442C6">
        <w:rPr>
          <w:u w:val="single"/>
        </w:rPr>
        <w:tab/>
      </w:r>
    </w:p>
    <w:sectPr w:rsidR="007B4116" w:rsidRPr="008442C6" w:rsidSect="00ED625E">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30B" w:rsidRPr="00C60504" w:rsidRDefault="009F130B" w:rsidP="00C60504">
      <w:pPr>
        <w:pStyle w:val="Footer"/>
      </w:pPr>
    </w:p>
  </w:endnote>
  <w:endnote w:type="continuationSeparator" w:id="0">
    <w:p w:rsidR="009F130B" w:rsidRPr="00C60504" w:rsidRDefault="009F130B"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30B" w:rsidRDefault="009F130B" w:rsidP="009C598B">
    <w:pPr>
      <w:pStyle w:val="Footer"/>
      <w:tabs>
        <w:tab w:val="right" w:pos="9638"/>
      </w:tabs>
    </w:pPr>
    <w:r w:rsidRPr="00DB4089">
      <w:rPr>
        <w:b/>
        <w:bCs/>
        <w:sz w:val="18"/>
      </w:rPr>
      <w:fldChar w:fldCharType="begin"/>
    </w:r>
    <w:r w:rsidRPr="00DB4089">
      <w:rPr>
        <w:b/>
        <w:bCs/>
        <w:sz w:val="18"/>
      </w:rPr>
      <w:instrText xml:space="preserve"> PAGE  \* MERGEFORMAT </w:instrText>
    </w:r>
    <w:r w:rsidRPr="00DB4089">
      <w:rPr>
        <w:b/>
        <w:bCs/>
        <w:sz w:val="18"/>
      </w:rPr>
      <w:fldChar w:fldCharType="separate"/>
    </w:r>
    <w:r w:rsidR="00DB6219">
      <w:rPr>
        <w:b/>
        <w:bCs/>
        <w:noProof/>
        <w:sz w:val="18"/>
      </w:rPr>
      <w:t>2</w:t>
    </w:r>
    <w:r w:rsidRPr="00DB408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30B" w:rsidRDefault="009F130B" w:rsidP="00DB4089">
    <w:pPr>
      <w:pStyle w:val="Footer"/>
      <w:tabs>
        <w:tab w:val="right" w:pos="9638"/>
      </w:tabs>
    </w:pPr>
    <w:r>
      <w:tab/>
    </w:r>
    <w:r w:rsidRPr="00DB4089">
      <w:rPr>
        <w:b/>
        <w:bCs/>
        <w:sz w:val="18"/>
      </w:rPr>
      <w:fldChar w:fldCharType="begin"/>
    </w:r>
    <w:r w:rsidRPr="00DB4089">
      <w:rPr>
        <w:b/>
        <w:bCs/>
        <w:sz w:val="18"/>
      </w:rPr>
      <w:instrText xml:space="preserve"> PAGE  \* MERGEFORMAT </w:instrText>
    </w:r>
    <w:r w:rsidRPr="00DB4089">
      <w:rPr>
        <w:b/>
        <w:bCs/>
        <w:sz w:val="18"/>
      </w:rPr>
      <w:fldChar w:fldCharType="separate"/>
    </w:r>
    <w:r w:rsidR="00DB6219">
      <w:rPr>
        <w:b/>
        <w:bCs/>
        <w:noProof/>
        <w:sz w:val="18"/>
      </w:rPr>
      <w:t>21</w:t>
    </w:r>
    <w:r w:rsidRPr="00DB408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219" w:rsidRDefault="00DB6219" w:rsidP="00DB6219">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DB6219" w:rsidRDefault="00DB6219" w:rsidP="00DB6219">
    <w:pPr>
      <w:pStyle w:val="Footer"/>
      <w:ind w:right="1134"/>
      <w:rPr>
        <w:sz w:val="20"/>
      </w:rPr>
    </w:pPr>
    <w:r>
      <w:rPr>
        <w:sz w:val="20"/>
      </w:rPr>
      <w:t>GE.19-11326(E)</w:t>
    </w:r>
  </w:p>
  <w:p w:rsidR="00DB6219" w:rsidRPr="00DB6219" w:rsidRDefault="00DB6219" w:rsidP="00DB621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PRT/Q/5-6/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PRT/Q/5-6/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30B" w:rsidRPr="00C60504" w:rsidRDefault="009F130B" w:rsidP="00C60504">
      <w:pPr>
        <w:tabs>
          <w:tab w:val="right" w:pos="2155"/>
        </w:tabs>
        <w:spacing w:after="80" w:line="240" w:lineRule="auto"/>
        <w:ind w:left="680"/>
      </w:pPr>
      <w:r>
        <w:rPr>
          <w:u w:val="single"/>
        </w:rPr>
        <w:tab/>
      </w:r>
    </w:p>
  </w:footnote>
  <w:footnote w:type="continuationSeparator" w:id="0">
    <w:p w:rsidR="009F130B" w:rsidRPr="00C60504" w:rsidRDefault="009F130B" w:rsidP="00C60504">
      <w:pPr>
        <w:tabs>
          <w:tab w:val="right" w:pos="2155"/>
        </w:tabs>
        <w:spacing w:after="80" w:line="240" w:lineRule="auto"/>
        <w:ind w:left="680"/>
      </w:pPr>
      <w:r>
        <w:rPr>
          <w:u w:val="single"/>
        </w:rPr>
        <w:tab/>
      </w:r>
    </w:p>
  </w:footnote>
  <w:footnote w:id="1">
    <w:p w:rsidR="009F130B" w:rsidRDefault="009F130B" w:rsidP="00BD77CC">
      <w:pPr>
        <w:pStyle w:val="FootnoteText"/>
        <w:rPr>
          <w:lang w:val="en-US"/>
        </w:rPr>
      </w:pPr>
      <w:r w:rsidRPr="009C598B">
        <w:rPr>
          <w:sz w:val="20"/>
        </w:rPr>
        <w:tab/>
      </w:r>
      <w:r w:rsidRPr="009C598B">
        <w:rPr>
          <w:rStyle w:val="FootnoteReference"/>
          <w:sz w:val="20"/>
          <w:vertAlign w:val="baseline"/>
        </w:rPr>
        <w:t>*</w:t>
      </w:r>
      <w:r w:rsidRPr="009C598B">
        <w:rPr>
          <w:sz w:val="20"/>
        </w:rPr>
        <w:tab/>
      </w:r>
      <w:r>
        <w:t>The present document is being issued without formal editing.</w:t>
      </w:r>
    </w:p>
  </w:footnote>
  <w:footnote w:id="2">
    <w:p w:rsidR="009F130B" w:rsidRPr="00D8626B" w:rsidRDefault="009F130B" w:rsidP="00BD77CC">
      <w:pPr>
        <w:pStyle w:val="FootnoteText"/>
      </w:pPr>
      <w:r w:rsidRPr="009C598B">
        <w:rPr>
          <w:rStyle w:val="FootnoteReference"/>
          <w:sz w:val="20"/>
          <w:vertAlign w:val="baseline"/>
        </w:rPr>
        <w:tab/>
        <w:t>**</w:t>
      </w:r>
      <w:r w:rsidRPr="009C598B">
        <w:rPr>
          <w:rStyle w:val="FootnoteReference"/>
          <w:sz w:val="20"/>
          <w:vertAlign w:val="baseline"/>
        </w:rPr>
        <w:tab/>
      </w:r>
      <w:r>
        <w:rPr>
          <w:color w:val="000000"/>
          <w:szCs w:val="18"/>
          <w:lang w:eastAsia="fr-FR"/>
        </w:rPr>
        <w:t>The annex to the present report is on file with the secretariat and is available for consultation. It may also be accessed from the web page of the Committee.</w:t>
      </w:r>
    </w:p>
  </w:footnote>
  <w:footnote w:id="3">
    <w:p w:rsidR="009F130B" w:rsidRPr="009772EF" w:rsidRDefault="009F130B" w:rsidP="00BD77CC">
      <w:pPr>
        <w:pStyle w:val="FootnoteText"/>
        <w:rPr>
          <w:lang w:val="en-US"/>
        </w:rPr>
      </w:pPr>
      <w:r>
        <w:tab/>
      </w:r>
      <w:r w:rsidRPr="00887735">
        <w:rPr>
          <w:rStyle w:val="FootnoteReference"/>
        </w:rPr>
        <w:footnoteRef/>
      </w:r>
      <w:r>
        <w:tab/>
      </w:r>
      <w:r w:rsidRPr="0025031B">
        <w:t>Council of Ministers resolution 114-A/</w:t>
      </w:r>
      <w:r w:rsidRPr="00FB78E2">
        <w:t>2018</w:t>
      </w:r>
      <w:r w:rsidRPr="0025031B">
        <w:t>, of 4 September</w:t>
      </w:r>
      <w:r>
        <w:t>.</w:t>
      </w:r>
    </w:p>
  </w:footnote>
  <w:footnote w:id="4">
    <w:p w:rsidR="009F130B" w:rsidRPr="002D5515" w:rsidRDefault="009F130B" w:rsidP="00BD77CC">
      <w:pPr>
        <w:pStyle w:val="FootnoteText"/>
        <w:tabs>
          <w:tab w:val="left" w:pos="960"/>
        </w:tabs>
        <w:spacing w:after="120"/>
      </w:pPr>
      <w:r>
        <w:tab/>
      </w:r>
      <w:r>
        <w:tab/>
      </w:r>
      <w:r w:rsidRPr="00887735">
        <w:rPr>
          <w:rStyle w:val="FootnoteReference"/>
        </w:rPr>
        <w:footnoteRef/>
      </w:r>
      <w:r>
        <w:tab/>
      </w:r>
      <w:hyperlink r:id="rId1" w:history="1">
        <w:r w:rsidRPr="0025031B">
          <w:t>https://www.citius.mj.pt/portal/default.aspx</w:t>
        </w:r>
      </w:hyperlink>
      <w:r>
        <w:t>.</w:t>
      </w:r>
    </w:p>
  </w:footnote>
  <w:footnote w:id="5">
    <w:p w:rsidR="009F130B" w:rsidRPr="002D5515" w:rsidRDefault="009F130B" w:rsidP="00BD77CC">
      <w:pPr>
        <w:pStyle w:val="FootnoteText"/>
        <w:spacing w:after="120"/>
        <w:rPr>
          <w:lang w:val="en-US"/>
        </w:rPr>
      </w:pPr>
      <w:r>
        <w:tab/>
      </w:r>
      <w:r w:rsidRPr="00887735">
        <w:rPr>
          <w:rStyle w:val="FootnoteReference"/>
        </w:rPr>
        <w:footnoteRef/>
      </w:r>
      <w:r>
        <w:tab/>
      </w:r>
      <w:hyperlink r:id="rId2" w:history="1">
        <w:r>
          <w:t>http://www.dgeec.mec.pt/np4/906.html</w:t>
        </w:r>
      </w:hyperlink>
      <w:r>
        <w:t>.</w:t>
      </w:r>
    </w:p>
  </w:footnote>
  <w:footnote w:id="6">
    <w:p w:rsidR="009F130B" w:rsidRPr="00B1280B" w:rsidRDefault="009F130B" w:rsidP="00BD77CC">
      <w:pPr>
        <w:pStyle w:val="FootnoteText"/>
        <w:spacing w:after="120"/>
        <w:rPr>
          <w:lang w:val="en-US"/>
        </w:rPr>
      </w:pPr>
      <w:r>
        <w:rPr>
          <w:lang w:val="en-US"/>
        </w:rPr>
        <w:tab/>
      </w:r>
      <w:r w:rsidRPr="00887735">
        <w:rPr>
          <w:rStyle w:val="FootnoteReference"/>
        </w:rPr>
        <w:footnoteRef/>
      </w:r>
      <w:r>
        <w:rPr>
          <w:lang w:val="en-US"/>
        </w:rPr>
        <w:tab/>
      </w:r>
      <w:r w:rsidRPr="00B1280B">
        <w:rPr>
          <w:lang w:val="en-US"/>
        </w:rPr>
        <w:t>https://www.</w:t>
      </w:r>
      <w:r>
        <w:rPr>
          <w:lang w:val="en-US"/>
        </w:rPr>
        <w:t>programme</w:t>
      </w:r>
      <w:r w:rsidRPr="00B1280B">
        <w:rPr>
          <w:lang w:val="en-US"/>
        </w:rPr>
        <w:t>aescolhas.pt/</w:t>
      </w:r>
      <w:r>
        <w:rPr>
          <w:lang w:val="en-US"/>
        </w:rPr>
        <w:t>.</w:t>
      </w:r>
    </w:p>
  </w:footnote>
  <w:footnote w:id="7">
    <w:p w:rsidR="009F130B" w:rsidRPr="00B61AF2" w:rsidRDefault="009F130B" w:rsidP="00BD77CC">
      <w:pPr>
        <w:pStyle w:val="FootnoteText"/>
        <w:spacing w:after="120"/>
      </w:pPr>
      <w:r>
        <w:tab/>
      </w:r>
      <w:r w:rsidRPr="00887735">
        <w:rPr>
          <w:rStyle w:val="FootnoteReference"/>
        </w:rPr>
        <w:footnoteRef/>
      </w:r>
      <w:r>
        <w:tab/>
      </w:r>
      <w:r w:rsidRPr="00B61AF2">
        <w:t>Decree-Law no. 81/2016, of 28 November</w:t>
      </w:r>
      <w:r>
        <w:t>.</w:t>
      </w:r>
    </w:p>
  </w:footnote>
  <w:footnote w:id="8">
    <w:p w:rsidR="009F130B" w:rsidRPr="003B6C5C" w:rsidRDefault="009F130B" w:rsidP="00BD77CC">
      <w:pPr>
        <w:pStyle w:val="FootnoteText"/>
      </w:pPr>
      <w:r>
        <w:tab/>
      </w:r>
      <w:r w:rsidRPr="00887735">
        <w:rPr>
          <w:rStyle w:val="FootnoteReference"/>
        </w:rPr>
        <w:footnoteRef/>
      </w:r>
      <w:r>
        <w:tab/>
      </w:r>
      <w:r w:rsidRPr="00BF0AF8">
        <w:t xml:space="preserve">Legislative Order 5908/2017, </w:t>
      </w:r>
      <w:r w:rsidRPr="00FB78E2">
        <w:t>of</w:t>
      </w:r>
      <w:r w:rsidRPr="00BF0AF8">
        <w:t xml:space="preserve"> 5</w:t>
      </w:r>
      <w:r w:rsidRPr="00BF0AF8">
        <w:rPr>
          <w:vertAlign w:val="superscript"/>
        </w:rPr>
        <w:t xml:space="preserve"> </w:t>
      </w:r>
      <w:r w:rsidRPr="00BF0AF8">
        <w:t>July</w:t>
      </w:r>
      <w:r>
        <w:t>.</w:t>
      </w:r>
    </w:p>
  </w:footnote>
  <w:footnote w:id="9">
    <w:p w:rsidR="009F130B" w:rsidRPr="00BF0AF8" w:rsidRDefault="009F130B" w:rsidP="00BD77CC">
      <w:pPr>
        <w:pStyle w:val="FootnoteText"/>
        <w:rPr>
          <w:lang w:val="en-US"/>
        </w:rPr>
      </w:pPr>
      <w:r>
        <w:rPr>
          <w:lang w:val="en-US" w:eastAsia="pt-PT"/>
        </w:rPr>
        <w:tab/>
      </w:r>
      <w:r w:rsidRPr="00887735">
        <w:rPr>
          <w:rStyle w:val="FootnoteReference"/>
        </w:rPr>
        <w:footnoteRef/>
      </w:r>
      <w:r>
        <w:rPr>
          <w:lang w:val="en-US" w:eastAsia="pt-PT"/>
        </w:rPr>
        <w:tab/>
      </w:r>
      <w:r w:rsidRPr="00BF0AF8">
        <w:rPr>
          <w:lang w:val="en-US" w:eastAsia="pt-PT"/>
        </w:rPr>
        <w:t>Council of Ministries Resolution 42/2019,</w:t>
      </w:r>
      <w:r>
        <w:rPr>
          <w:lang w:val="en-US" w:eastAsia="pt-PT"/>
        </w:rPr>
        <w:t xml:space="preserve"> of</w:t>
      </w:r>
      <w:r w:rsidRPr="00BF0AF8">
        <w:rPr>
          <w:lang w:val="en-US" w:eastAsia="pt-PT"/>
        </w:rPr>
        <w:t xml:space="preserve"> 21 </w:t>
      </w:r>
      <w:r w:rsidRPr="00FB78E2">
        <w:t>February</w:t>
      </w:r>
      <w:r>
        <w:rPr>
          <w:lang w:val="en-US" w:eastAsia="pt-PT"/>
        </w:rPr>
        <w:t>.</w:t>
      </w:r>
    </w:p>
  </w:footnote>
  <w:footnote w:id="10">
    <w:p w:rsidR="009F130B" w:rsidRPr="00243E38" w:rsidRDefault="009F130B" w:rsidP="00BD77CC">
      <w:pPr>
        <w:pStyle w:val="FootnoteText"/>
        <w:rPr>
          <w:lang w:val="pt-PT"/>
        </w:rPr>
      </w:pPr>
      <w:r>
        <w:rPr>
          <w:iCs/>
          <w:lang w:val="pt-PT"/>
        </w:rPr>
        <w:tab/>
      </w:r>
      <w:r w:rsidRPr="00887735">
        <w:rPr>
          <w:rStyle w:val="FootnoteReference"/>
        </w:rPr>
        <w:footnoteRef/>
      </w:r>
      <w:r>
        <w:rPr>
          <w:iCs/>
          <w:lang w:val="pt-PT"/>
        </w:rPr>
        <w:tab/>
      </w:r>
      <w:r w:rsidRPr="00243E38">
        <w:rPr>
          <w:iCs/>
          <w:lang w:val="pt-PT"/>
        </w:rPr>
        <w:t>Legislative Order</w:t>
      </w:r>
      <w:r w:rsidRPr="00243E38">
        <w:rPr>
          <w:lang w:val="pt-PT"/>
        </w:rPr>
        <w:t xml:space="preserve"> </w:t>
      </w:r>
      <w:r w:rsidRPr="00243E38">
        <w:rPr>
          <w:lang w:val="pt-PT" w:eastAsia="pt-PT"/>
        </w:rPr>
        <w:t>20/</w:t>
      </w:r>
      <w:r w:rsidRPr="008D7868">
        <w:rPr>
          <w:lang w:val="es-ES"/>
        </w:rPr>
        <w:t>2012</w:t>
      </w:r>
      <w:r w:rsidRPr="00243E38">
        <w:rPr>
          <w:lang w:val="pt-PT" w:eastAsia="pt-PT"/>
        </w:rPr>
        <w:t>, of 3</w:t>
      </w:r>
      <w:r w:rsidRPr="00243E38">
        <w:rPr>
          <w:vertAlign w:val="superscript"/>
          <w:lang w:val="pt-PT" w:eastAsia="pt-PT"/>
        </w:rPr>
        <w:t xml:space="preserve"> </w:t>
      </w:r>
      <w:r w:rsidRPr="00243E38">
        <w:rPr>
          <w:lang w:val="pt-PT" w:eastAsia="pt-PT"/>
        </w:rPr>
        <w:t>October</w:t>
      </w:r>
      <w:r>
        <w:rPr>
          <w:lang w:val="pt-PT" w:eastAsia="pt-PT"/>
        </w:rPr>
        <w:t>.</w:t>
      </w:r>
    </w:p>
  </w:footnote>
  <w:footnote w:id="11">
    <w:p w:rsidR="009F130B" w:rsidRPr="003D6932" w:rsidRDefault="009F130B" w:rsidP="00BD77CC">
      <w:pPr>
        <w:pStyle w:val="FootnoteText"/>
        <w:rPr>
          <w:lang w:val="pt-PT"/>
        </w:rPr>
      </w:pPr>
      <w:r>
        <w:rPr>
          <w:lang w:val="pt-PT"/>
        </w:rPr>
        <w:tab/>
      </w:r>
      <w:r w:rsidRPr="00887735">
        <w:rPr>
          <w:rStyle w:val="FootnoteReference"/>
        </w:rPr>
        <w:footnoteRef/>
      </w:r>
      <w:r>
        <w:rPr>
          <w:lang w:val="pt-PT"/>
        </w:rPr>
        <w:tab/>
      </w:r>
      <w:r w:rsidRPr="00482E48">
        <w:rPr>
          <w:lang w:val="pt-PT"/>
        </w:rPr>
        <w:t xml:space="preserve">Calado &amp; Carapinha, 2018, Calado &amp; Carapinha, 2017, Calado &amp; Carapinha, 2016. </w:t>
      </w:r>
    </w:p>
  </w:footnote>
  <w:footnote w:id="12">
    <w:p w:rsidR="009F130B" w:rsidRPr="0058006E" w:rsidRDefault="009F130B" w:rsidP="008A12AE">
      <w:pPr>
        <w:pStyle w:val="FootnoteText"/>
      </w:pPr>
      <w:r w:rsidRPr="008D7868">
        <w:rPr>
          <w:lang w:val="es-ES"/>
        </w:rPr>
        <w:tab/>
      </w:r>
      <w:r w:rsidRPr="00887735">
        <w:rPr>
          <w:rStyle w:val="FootnoteReference"/>
        </w:rPr>
        <w:footnoteRef/>
      </w:r>
      <w:r w:rsidRPr="008D7868">
        <w:rPr>
          <w:lang w:val="es-ES"/>
        </w:rPr>
        <w:tab/>
        <w:t xml:space="preserve">Feijão, 2016. </w:t>
      </w:r>
      <w:r w:rsidRPr="0058006E">
        <w:t>Study on Alcohol, Tobacco and Drug Use, started in 20</w:t>
      </w:r>
      <w:r>
        <w:t xml:space="preserve">03 and was repeated in 2007 and </w:t>
      </w:r>
      <w:r w:rsidRPr="0058006E">
        <w:t xml:space="preserve">2011. In 2015, this study was extended to other addictive behaviours such as Internet and gambling (gaming, gambling). The results of these studies are available at </w:t>
      </w:r>
      <w:hyperlink r:id="rId3" w:history="1">
        <w:r w:rsidRPr="0058006E">
          <w:t>http://www.sicad.pt</w:t>
        </w:r>
      </w:hyperlink>
      <w:r w:rsidRPr="0058006E">
        <w:t>.</w:t>
      </w:r>
    </w:p>
  </w:footnote>
  <w:footnote w:id="13">
    <w:p w:rsidR="009F130B" w:rsidRPr="0032415A" w:rsidRDefault="009F130B" w:rsidP="00BD77CC">
      <w:pPr>
        <w:pStyle w:val="FootnoteText"/>
      </w:pPr>
      <w:r>
        <w:tab/>
      </w:r>
      <w:r w:rsidRPr="00887735">
        <w:rPr>
          <w:rStyle w:val="FootnoteReference"/>
        </w:rPr>
        <w:footnoteRef/>
      </w:r>
      <w:r>
        <w:tab/>
      </w:r>
      <w:r w:rsidRPr="00482E48">
        <w:t xml:space="preserve">ESPAD Group, 2016. </w:t>
      </w:r>
      <w:r w:rsidRPr="0032415A">
        <w:t>National data of these studies were published in 1995, 1999, 2003, 2007, 2011 and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30B" w:rsidRDefault="009F130B" w:rsidP="00DB4089">
    <w:pPr>
      <w:pStyle w:val="Header"/>
    </w:pPr>
    <w:r>
      <w:t>CRC/C/PRT/Q/5-6/Add.1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30B" w:rsidRDefault="009F130B" w:rsidP="00DB4089">
    <w:pPr>
      <w:pStyle w:val="Header"/>
      <w:jc w:val="right"/>
    </w:pPr>
    <w:r>
      <w:t>CRC/C/PRT/Q/5-6/Add.1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379E7"/>
    <w:multiLevelType w:val="hybridMultilevel"/>
    <w:tmpl w:val="A76C8EF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A939AF"/>
    <w:multiLevelType w:val="hybridMultilevel"/>
    <w:tmpl w:val="49C4424E"/>
    <w:lvl w:ilvl="0" w:tplc="F4FE7E2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04FE3B89"/>
    <w:multiLevelType w:val="hybridMultilevel"/>
    <w:tmpl w:val="85F45A0A"/>
    <w:lvl w:ilvl="0" w:tplc="35C63DD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54E09CF"/>
    <w:multiLevelType w:val="hybridMultilevel"/>
    <w:tmpl w:val="D8F85238"/>
    <w:lvl w:ilvl="0" w:tplc="473E91B4">
      <w:start w:val="1"/>
      <w:numFmt w:val="lowerLetter"/>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9C6DA5"/>
    <w:multiLevelType w:val="hybridMultilevel"/>
    <w:tmpl w:val="68EA4CA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19C95C8F"/>
    <w:multiLevelType w:val="hybridMultilevel"/>
    <w:tmpl w:val="3C16A6A6"/>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9"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A273ED"/>
    <w:multiLevelType w:val="hybridMultilevel"/>
    <w:tmpl w:val="28AA6F2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25C643E4"/>
    <w:multiLevelType w:val="hybridMultilevel"/>
    <w:tmpl w:val="9A3466B6"/>
    <w:lvl w:ilvl="0" w:tplc="473E91B4">
      <w:start w:val="1"/>
      <w:numFmt w:val="lowerLetter"/>
      <w:lvlText w:val="(%1)"/>
      <w:lvlJc w:val="left"/>
      <w:pPr>
        <w:ind w:left="720" w:hanging="360"/>
      </w:pPr>
      <w:rPr>
        <w:rFonts w:ascii="Times New Roman" w:eastAsiaTheme="minorHAnsi" w:hAnsi="Times New Roman" w:cs="Times New Roman"/>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CF4EB2"/>
    <w:multiLevelType w:val="hybridMultilevel"/>
    <w:tmpl w:val="CB6C816A"/>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45D12BFF"/>
    <w:multiLevelType w:val="hybridMultilevel"/>
    <w:tmpl w:val="9ED031E4"/>
    <w:lvl w:ilvl="0" w:tplc="45DC62CA">
      <w:start w:val="1"/>
      <w:numFmt w:val="lowerLetter"/>
      <w:lvlText w:val="(%1)"/>
      <w:lvlJc w:val="left"/>
      <w:pPr>
        <w:ind w:left="1854" w:hanging="360"/>
      </w:pPr>
      <w:rPr>
        <w:rFonts w:ascii="Times New Roman" w:eastAsiaTheme="minorHAnsi" w:hAnsi="Times New Roman" w:cs="Times New Roman"/>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D3126B7"/>
    <w:multiLevelType w:val="hybridMultilevel"/>
    <w:tmpl w:val="D0F025C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8AD07B2"/>
    <w:multiLevelType w:val="hybridMultilevel"/>
    <w:tmpl w:val="7FEE322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0" w15:restartNumberingAfterBreak="0">
    <w:nsid w:val="69A65272"/>
    <w:multiLevelType w:val="hybridMultilevel"/>
    <w:tmpl w:val="45B0F41C"/>
    <w:lvl w:ilvl="0" w:tplc="6A024300">
      <w:start w:val="1"/>
      <w:numFmt w:val="lowerLetter"/>
      <w:lvlText w:val="(%1)"/>
      <w:lvlJc w:val="left"/>
      <w:pPr>
        <w:ind w:left="2345" w:hanging="360"/>
      </w:pPr>
      <w:rPr>
        <w:rFonts w:ascii="Times New Roman" w:eastAsiaTheme="minorHAnsi" w:hAnsi="Times New Roman" w:cs="Times New Roman"/>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730F6A16"/>
    <w:multiLevelType w:val="hybridMultilevel"/>
    <w:tmpl w:val="170EC86C"/>
    <w:lvl w:ilvl="0" w:tplc="08160001">
      <w:start w:val="1"/>
      <w:numFmt w:val="bullet"/>
      <w:lvlText w:val=""/>
      <w:lvlJc w:val="left"/>
      <w:pPr>
        <w:ind w:left="6" w:hanging="360"/>
      </w:pPr>
      <w:rPr>
        <w:rFonts w:ascii="Symbol" w:hAnsi="Symbol" w:hint="default"/>
      </w:rPr>
    </w:lvl>
    <w:lvl w:ilvl="1" w:tplc="7744E528">
      <w:start w:val="65"/>
      <w:numFmt w:val="bullet"/>
      <w:lvlText w:val="•"/>
      <w:lvlJc w:val="left"/>
      <w:pPr>
        <w:ind w:left="726" w:hanging="360"/>
      </w:pPr>
      <w:rPr>
        <w:rFonts w:ascii="Tahoma" w:eastAsia="Times New Roman" w:hAnsi="Tahoma" w:cs="Tahoma" w:hint="default"/>
      </w:rPr>
    </w:lvl>
    <w:lvl w:ilvl="2" w:tplc="08160005" w:tentative="1">
      <w:start w:val="1"/>
      <w:numFmt w:val="bullet"/>
      <w:lvlText w:val=""/>
      <w:lvlJc w:val="left"/>
      <w:pPr>
        <w:ind w:left="1446" w:hanging="360"/>
      </w:pPr>
      <w:rPr>
        <w:rFonts w:ascii="Wingdings" w:hAnsi="Wingdings" w:hint="default"/>
      </w:rPr>
    </w:lvl>
    <w:lvl w:ilvl="3" w:tplc="08160001" w:tentative="1">
      <w:start w:val="1"/>
      <w:numFmt w:val="bullet"/>
      <w:lvlText w:val=""/>
      <w:lvlJc w:val="left"/>
      <w:pPr>
        <w:ind w:left="2166" w:hanging="360"/>
      </w:pPr>
      <w:rPr>
        <w:rFonts w:ascii="Symbol" w:hAnsi="Symbol" w:hint="default"/>
      </w:rPr>
    </w:lvl>
    <w:lvl w:ilvl="4" w:tplc="08160003" w:tentative="1">
      <w:start w:val="1"/>
      <w:numFmt w:val="bullet"/>
      <w:lvlText w:val="o"/>
      <w:lvlJc w:val="left"/>
      <w:pPr>
        <w:ind w:left="2886" w:hanging="360"/>
      </w:pPr>
      <w:rPr>
        <w:rFonts w:ascii="Courier New" w:hAnsi="Courier New" w:cs="Courier New" w:hint="default"/>
      </w:rPr>
    </w:lvl>
    <w:lvl w:ilvl="5" w:tplc="08160005" w:tentative="1">
      <w:start w:val="1"/>
      <w:numFmt w:val="bullet"/>
      <w:lvlText w:val=""/>
      <w:lvlJc w:val="left"/>
      <w:pPr>
        <w:ind w:left="3606" w:hanging="360"/>
      </w:pPr>
      <w:rPr>
        <w:rFonts w:ascii="Wingdings" w:hAnsi="Wingdings" w:hint="default"/>
      </w:rPr>
    </w:lvl>
    <w:lvl w:ilvl="6" w:tplc="08160001" w:tentative="1">
      <w:start w:val="1"/>
      <w:numFmt w:val="bullet"/>
      <w:lvlText w:val=""/>
      <w:lvlJc w:val="left"/>
      <w:pPr>
        <w:ind w:left="4326" w:hanging="360"/>
      </w:pPr>
      <w:rPr>
        <w:rFonts w:ascii="Symbol" w:hAnsi="Symbol" w:hint="default"/>
      </w:rPr>
    </w:lvl>
    <w:lvl w:ilvl="7" w:tplc="08160003" w:tentative="1">
      <w:start w:val="1"/>
      <w:numFmt w:val="bullet"/>
      <w:lvlText w:val="o"/>
      <w:lvlJc w:val="left"/>
      <w:pPr>
        <w:ind w:left="5046" w:hanging="360"/>
      </w:pPr>
      <w:rPr>
        <w:rFonts w:ascii="Courier New" w:hAnsi="Courier New" w:cs="Courier New" w:hint="default"/>
      </w:rPr>
    </w:lvl>
    <w:lvl w:ilvl="8" w:tplc="08160005" w:tentative="1">
      <w:start w:val="1"/>
      <w:numFmt w:val="bullet"/>
      <w:lvlText w:val=""/>
      <w:lvlJc w:val="left"/>
      <w:pPr>
        <w:ind w:left="5766" w:hanging="360"/>
      </w:pPr>
      <w:rPr>
        <w:rFonts w:ascii="Wingdings" w:hAnsi="Wingdings" w:hint="default"/>
      </w:rPr>
    </w:lvl>
  </w:abstractNum>
  <w:abstractNum w:abstractNumId="3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8B47551"/>
    <w:multiLevelType w:val="hybridMultilevel"/>
    <w:tmpl w:val="F46EB050"/>
    <w:lvl w:ilvl="0" w:tplc="473E91B4">
      <w:start w:val="1"/>
      <w:numFmt w:val="lowerLetter"/>
      <w:lvlText w:val="(%1)"/>
      <w:lvlJc w:val="left"/>
      <w:pPr>
        <w:ind w:left="2421" w:hanging="360"/>
      </w:pPr>
      <w:rPr>
        <w:rFonts w:ascii="Times New Roman" w:eastAsiaTheme="minorHAnsi" w:hAnsi="Times New Roman" w:cs="Times New Roman"/>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num w:numId="1">
    <w:abstractNumId w:val="22"/>
  </w:num>
  <w:num w:numId="2">
    <w:abstractNumId w:val="19"/>
  </w:num>
  <w:num w:numId="3">
    <w:abstractNumId w:val="11"/>
  </w:num>
  <w:num w:numId="4">
    <w:abstractNumId w:val="27"/>
  </w:num>
  <w:num w:numId="5">
    <w:abstractNumId w:val="28"/>
  </w:num>
  <w:num w:numId="6">
    <w:abstractNumId w:val="32"/>
  </w:num>
  <w:num w:numId="7">
    <w:abstractNumId w:val="16"/>
  </w:num>
  <w:num w:numId="8">
    <w:abstractNumId w:val="2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3"/>
  </w:num>
  <w:num w:numId="21">
    <w:abstractNumId w:val="14"/>
  </w:num>
  <w:num w:numId="22">
    <w:abstractNumId w:val="10"/>
  </w:num>
  <w:num w:numId="23">
    <w:abstractNumId w:val="31"/>
  </w:num>
  <w:num w:numId="24">
    <w:abstractNumId w:val="17"/>
  </w:num>
  <w:num w:numId="25">
    <w:abstractNumId w:val="18"/>
  </w:num>
  <w:num w:numId="26">
    <w:abstractNumId w:val="26"/>
  </w:num>
  <w:num w:numId="27">
    <w:abstractNumId w:val="20"/>
  </w:num>
  <w:num w:numId="28">
    <w:abstractNumId w:val="12"/>
  </w:num>
  <w:num w:numId="29">
    <w:abstractNumId w:val="24"/>
  </w:num>
  <w:num w:numId="30">
    <w:abstractNumId w:val="21"/>
  </w:num>
  <w:num w:numId="31">
    <w:abstractNumId w:val="30"/>
  </w:num>
  <w:num w:numId="32">
    <w:abstractNumId w:val="13"/>
  </w:num>
  <w:num w:numId="33">
    <w:abstractNumId w:val="15"/>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645A9"/>
    <w:rsid w:val="00046E92"/>
    <w:rsid w:val="001025AC"/>
    <w:rsid w:val="00114D0D"/>
    <w:rsid w:val="001238C6"/>
    <w:rsid w:val="00134307"/>
    <w:rsid w:val="00191CBE"/>
    <w:rsid w:val="001C32E5"/>
    <w:rsid w:val="001D427C"/>
    <w:rsid w:val="001E4FA0"/>
    <w:rsid w:val="001F5CC6"/>
    <w:rsid w:val="00205901"/>
    <w:rsid w:val="00226ADD"/>
    <w:rsid w:val="0023616A"/>
    <w:rsid w:val="00247E2C"/>
    <w:rsid w:val="00253B3A"/>
    <w:rsid w:val="002773F5"/>
    <w:rsid w:val="00293F0A"/>
    <w:rsid w:val="002A09CA"/>
    <w:rsid w:val="002C13AD"/>
    <w:rsid w:val="002C2E64"/>
    <w:rsid w:val="002C44F7"/>
    <w:rsid w:val="002D6C53"/>
    <w:rsid w:val="002D7980"/>
    <w:rsid w:val="002F5595"/>
    <w:rsid w:val="00325AEF"/>
    <w:rsid w:val="00334F6A"/>
    <w:rsid w:val="00342AC8"/>
    <w:rsid w:val="003522C2"/>
    <w:rsid w:val="003645A9"/>
    <w:rsid w:val="00373A8E"/>
    <w:rsid w:val="00376020"/>
    <w:rsid w:val="003B3469"/>
    <w:rsid w:val="003B4550"/>
    <w:rsid w:val="003B6B85"/>
    <w:rsid w:val="003D734C"/>
    <w:rsid w:val="00422648"/>
    <w:rsid w:val="004557CF"/>
    <w:rsid w:val="00461253"/>
    <w:rsid w:val="004B1B4D"/>
    <w:rsid w:val="004D2AC1"/>
    <w:rsid w:val="00501204"/>
    <w:rsid w:val="005042C2"/>
    <w:rsid w:val="005233D2"/>
    <w:rsid w:val="00573D6D"/>
    <w:rsid w:val="005B4576"/>
    <w:rsid w:val="005D5F95"/>
    <w:rsid w:val="005D6D0E"/>
    <w:rsid w:val="005E74A9"/>
    <w:rsid w:val="00666140"/>
    <w:rsid w:val="00671529"/>
    <w:rsid w:val="006776CA"/>
    <w:rsid w:val="00683D48"/>
    <w:rsid w:val="0069257E"/>
    <w:rsid w:val="006C6BEA"/>
    <w:rsid w:val="006D40B2"/>
    <w:rsid w:val="006F0959"/>
    <w:rsid w:val="006F42F7"/>
    <w:rsid w:val="00716E76"/>
    <w:rsid w:val="007268F9"/>
    <w:rsid w:val="00766012"/>
    <w:rsid w:val="007B0A56"/>
    <w:rsid w:val="007B4116"/>
    <w:rsid w:val="007C52B0"/>
    <w:rsid w:val="007D3DB0"/>
    <w:rsid w:val="007E0E82"/>
    <w:rsid w:val="007F60F9"/>
    <w:rsid w:val="00804846"/>
    <w:rsid w:val="00810305"/>
    <w:rsid w:val="008442C6"/>
    <w:rsid w:val="00887735"/>
    <w:rsid w:val="008967F9"/>
    <w:rsid w:val="008A12AE"/>
    <w:rsid w:val="008C0B86"/>
    <w:rsid w:val="008D1E8A"/>
    <w:rsid w:val="008D7868"/>
    <w:rsid w:val="008F4BC0"/>
    <w:rsid w:val="00904F27"/>
    <w:rsid w:val="009153E2"/>
    <w:rsid w:val="0094015C"/>
    <w:rsid w:val="009411B4"/>
    <w:rsid w:val="009564AB"/>
    <w:rsid w:val="009712D8"/>
    <w:rsid w:val="009A0517"/>
    <w:rsid w:val="009B5F2E"/>
    <w:rsid w:val="009C598B"/>
    <w:rsid w:val="009D0139"/>
    <w:rsid w:val="009F130B"/>
    <w:rsid w:val="009F5CDC"/>
    <w:rsid w:val="00A04651"/>
    <w:rsid w:val="00A06E96"/>
    <w:rsid w:val="00A22E38"/>
    <w:rsid w:val="00A775CF"/>
    <w:rsid w:val="00A9548D"/>
    <w:rsid w:val="00AA29C4"/>
    <w:rsid w:val="00AB7CAC"/>
    <w:rsid w:val="00AD464B"/>
    <w:rsid w:val="00AE69CA"/>
    <w:rsid w:val="00AF2054"/>
    <w:rsid w:val="00B06045"/>
    <w:rsid w:val="00B51031"/>
    <w:rsid w:val="00B52FD0"/>
    <w:rsid w:val="00B60025"/>
    <w:rsid w:val="00B62C37"/>
    <w:rsid w:val="00BC27F1"/>
    <w:rsid w:val="00BD77CC"/>
    <w:rsid w:val="00C051C3"/>
    <w:rsid w:val="00C07268"/>
    <w:rsid w:val="00C073FD"/>
    <w:rsid w:val="00C306C9"/>
    <w:rsid w:val="00C31C73"/>
    <w:rsid w:val="00C35A27"/>
    <w:rsid w:val="00C559C9"/>
    <w:rsid w:val="00C60504"/>
    <w:rsid w:val="00CB202D"/>
    <w:rsid w:val="00CD0365"/>
    <w:rsid w:val="00CF6DEA"/>
    <w:rsid w:val="00D0691F"/>
    <w:rsid w:val="00D21089"/>
    <w:rsid w:val="00D36337"/>
    <w:rsid w:val="00D6330D"/>
    <w:rsid w:val="00D8423B"/>
    <w:rsid w:val="00DB4089"/>
    <w:rsid w:val="00DB6219"/>
    <w:rsid w:val="00DD00B8"/>
    <w:rsid w:val="00DF3A4A"/>
    <w:rsid w:val="00E01E2D"/>
    <w:rsid w:val="00E02C2B"/>
    <w:rsid w:val="00E108D0"/>
    <w:rsid w:val="00E47E23"/>
    <w:rsid w:val="00E70719"/>
    <w:rsid w:val="00E96D00"/>
    <w:rsid w:val="00ED625E"/>
    <w:rsid w:val="00ED6C48"/>
    <w:rsid w:val="00EF3FBD"/>
    <w:rsid w:val="00F65F5D"/>
    <w:rsid w:val="00F67500"/>
    <w:rsid w:val="00F76CBB"/>
    <w:rsid w:val="00F86A3A"/>
    <w:rsid w:val="00F93C73"/>
    <w:rsid w:val="00FC7D7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B531C5DB-0524-4F63-87B4-A57C5B0B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rsid w:val="00887735"/>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887735"/>
    <w:rPr>
      <w:rFonts w:ascii="Times New Roma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887735"/>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paragraph" w:customStyle="1" w:styleId="ParNoG">
    <w:name w:val="_ParNo_G"/>
    <w:basedOn w:val="Normal"/>
    <w:qFormat/>
    <w:rsid w:val="00BD77CC"/>
    <w:pPr>
      <w:numPr>
        <w:numId w:val="21"/>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FollowedHyperlink">
    <w:name w:val="FollowedHyperlink"/>
    <w:basedOn w:val="DefaultParagraphFont"/>
    <w:uiPriority w:val="99"/>
    <w:semiHidden/>
    <w:rsid w:val="00BD77CC"/>
    <w:rPr>
      <w:color w:val="0000FF"/>
      <w:u w:val="none"/>
    </w:rPr>
  </w:style>
  <w:style w:type="character" w:customStyle="1" w:styleId="SingleTxtGChar">
    <w:name w:val="_ Single Txt_G Char"/>
    <w:link w:val="SingleTxtG"/>
    <w:locked/>
    <w:rsid w:val="00BD77CC"/>
    <w:rPr>
      <w:rFonts w:ascii="Times New Roman" w:hAnsi="Times New Roman" w:cs="Times New Roman"/>
      <w:sz w:val="20"/>
      <w:szCs w:val="20"/>
    </w:rPr>
  </w:style>
  <w:style w:type="table" w:customStyle="1" w:styleId="TableGrid1">
    <w:name w:val="Table Grid1"/>
    <w:basedOn w:val="TableNormal"/>
    <w:rsid w:val="00BD77CC"/>
    <w:pPr>
      <w:suppressAutoHyphens/>
      <w:spacing w:after="0" w:line="240" w:lineRule="atLeast"/>
    </w:pPr>
    <w:rPr>
      <w:rFonts w:ascii="Times New Roman" w:eastAsiaTheme="minorHAnsi" w:hAnsi="Times New Roman" w:cs="Times New Roman"/>
      <w:sz w:val="20"/>
      <w:szCs w:val="20"/>
      <w:lang w:val="fr-CH"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aliases w:val="body,Odsek zoznamu2,Heading3"/>
    <w:basedOn w:val="Normal"/>
    <w:link w:val="ListParagraphChar"/>
    <w:uiPriority w:val="34"/>
    <w:qFormat/>
    <w:rsid w:val="00BD77CC"/>
    <w:pPr>
      <w:suppressAutoHyphens w:val="0"/>
      <w:spacing w:line="240" w:lineRule="auto"/>
      <w:ind w:left="720"/>
      <w:contextualSpacing/>
    </w:pPr>
    <w:rPr>
      <w:sz w:val="24"/>
      <w:szCs w:val="24"/>
      <w:lang w:val="pt-PT" w:eastAsia="pt-PT"/>
    </w:rPr>
  </w:style>
  <w:style w:type="character" w:customStyle="1" w:styleId="ListParagraphChar">
    <w:name w:val="List Paragraph Char"/>
    <w:aliases w:val="body Char,Odsek zoznamu2 Char,Heading3 Char"/>
    <w:basedOn w:val="DefaultParagraphFont"/>
    <w:link w:val="ListParagraph"/>
    <w:uiPriority w:val="34"/>
    <w:locked/>
    <w:rsid w:val="00BD77CC"/>
    <w:rPr>
      <w:rFonts w:ascii="Times New Roman" w:eastAsia="Times New Roman" w:hAnsi="Times New Roman" w:cs="Times New Roman"/>
      <w:sz w:val="24"/>
      <w:szCs w:val="24"/>
      <w:lang w:val="pt-PT" w:eastAsia="pt-PT"/>
    </w:rPr>
  </w:style>
  <w:style w:type="character" w:customStyle="1" w:styleId="Tipodeletrapredefinidodopargrafo1">
    <w:name w:val="Tipo de letra predefinido do parágrafo1"/>
    <w:basedOn w:val="DefaultParagraphFont"/>
    <w:qFormat/>
    <w:rsid w:val="00BD77CC"/>
  </w:style>
  <w:style w:type="paragraph" w:styleId="HTMLPreformatted">
    <w:name w:val="HTML Preformatted"/>
    <w:basedOn w:val="Normal"/>
    <w:link w:val="HTMLPreformattedChar"/>
    <w:uiPriority w:val="99"/>
    <w:unhideWhenUsed/>
    <w:rsid w:val="00BD7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pt-PT" w:eastAsia="pt-PT"/>
    </w:rPr>
  </w:style>
  <w:style w:type="character" w:customStyle="1" w:styleId="HTMLPreformattedChar">
    <w:name w:val="HTML Preformatted Char"/>
    <w:basedOn w:val="DefaultParagraphFont"/>
    <w:link w:val="HTMLPreformatted"/>
    <w:uiPriority w:val="99"/>
    <w:rsid w:val="00BD77CC"/>
    <w:rPr>
      <w:rFonts w:ascii="Courier New" w:eastAsia="Times New Roman" w:hAnsi="Courier New" w:cs="Courier New"/>
      <w:sz w:val="20"/>
      <w:szCs w:val="20"/>
      <w:lang w:val="pt-PT" w:eastAsia="pt-PT"/>
    </w:rPr>
  </w:style>
  <w:style w:type="paragraph" w:customStyle="1" w:styleId="Default">
    <w:name w:val="Default"/>
    <w:rsid w:val="00BD77CC"/>
    <w:pPr>
      <w:autoSpaceDE w:val="0"/>
      <w:autoSpaceDN w:val="0"/>
      <w:adjustRightInd w:val="0"/>
      <w:spacing w:after="0" w:line="240" w:lineRule="auto"/>
    </w:pPr>
    <w:rPr>
      <w:rFonts w:ascii="Times New Roman" w:hAnsi="Times New Roman" w:cs="Times New Roman"/>
      <w:color w:val="000000"/>
      <w:sz w:val="24"/>
      <w:szCs w:val="24"/>
      <w:lang w:val="pt-PT" w:eastAsia="pt-PT"/>
    </w:rPr>
  </w:style>
  <w:style w:type="character" w:styleId="CommentReference">
    <w:name w:val="annotation reference"/>
    <w:basedOn w:val="DefaultParagraphFont"/>
    <w:uiPriority w:val="99"/>
    <w:semiHidden/>
    <w:unhideWhenUsed/>
    <w:rsid w:val="00BD77CC"/>
    <w:rPr>
      <w:sz w:val="16"/>
      <w:szCs w:val="16"/>
    </w:rPr>
  </w:style>
  <w:style w:type="paragraph" w:styleId="CommentText">
    <w:name w:val="annotation text"/>
    <w:basedOn w:val="Normal"/>
    <w:link w:val="CommentTextChar"/>
    <w:uiPriority w:val="99"/>
    <w:semiHidden/>
    <w:unhideWhenUsed/>
    <w:rsid w:val="00BD77CC"/>
    <w:pPr>
      <w:spacing w:line="240" w:lineRule="auto"/>
    </w:pPr>
  </w:style>
  <w:style w:type="character" w:customStyle="1" w:styleId="CommentTextChar">
    <w:name w:val="Comment Text Char"/>
    <w:basedOn w:val="DefaultParagraphFont"/>
    <w:link w:val="CommentText"/>
    <w:uiPriority w:val="99"/>
    <w:semiHidden/>
    <w:rsid w:val="00BD77CC"/>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D77CC"/>
    <w:rPr>
      <w:b/>
      <w:bCs/>
    </w:rPr>
  </w:style>
  <w:style w:type="character" w:customStyle="1" w:styleId="CommentSubjectChar">
    <w:name w:val="Comment Subject Char"/>
    <w:basedOn w:val="CommentTextChar"/>
    <w:link w:val="CommentSubject"/>
    <w:uiPriority w:val="99"/>
    <w:semiHidden/>
    <w:rsid w:val="00BD77CC"/>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cid:image001.png@01D525E0.4A6E6AF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sicad.pt" TargetMode="External"/><Relationship Id="rId2" Type="http://schemas.openxmlformats.org/officeDocument/2006/relationships/hyperlink" Target="http://www.dgeec.mec.pt/np4/906.html" TargetMode="External"/><Relationship Id="rId1" Type="http://schemas.openxmlformats.org/officeDocument/2006/relationships/hyperlink" Target="https://www.citius.mj.pt/portal/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930B8-34C2-414E-BB57-683890635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22</Pages>
  <Words>9459</Words>
  <Characters>51520</Characters>
  <Application>Microsoft Office Word</Application>
  <DocSecurity>0</DocSecurity>
  <Lines>1439</Lines>
  <Paragraphs>861</Paragraphs>
  <ScaleCrop>false</ScaleCrop>
  <HeadingPairs>
    <vt:vector size="2" baseType="variant">
      <vt:variant>
        <vt:lpstr>Title</vt:lpstr>
      </vt:variant>
      <vt:variant>
        <vt:i4>1</vt:i4>
      </vt:variant>
    </vt:vector>
  </HeadingPairs>
  <TitlesOfParts>
    <vt:vector size="1" baseType="lpstr">
      <vt:lpstr>CRC/C/PRT/Q/5-6/Add.1</vt:lpstr>
    </vt:vector>
  </TitlesOfParts>
  <Company>DCM</Company>
  <LinksUpToDate>false</LinksUpToDate>
  <CharactersWithSpaces>60378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CRC/C/PRT/Q/5-6/Add.1</dc:title>
  <dc:subject>1911326</dc:subject>
  <dc:creator>Giltsoff</dc:creator>
  <cp:keywords/>
  <dc:description/>
  <cp:lastModifiedBy>Anni Vi Tirol</cp:lastModifiedBy>
  <cp:revision>2</cp:revision>
  <dcterms:created xsi:type="dcterms:W3CDTF">2019-07-04T15:08:00Z</dcterms:created>
  <dcterms:modified xsi:type="dcterms:W3CDTF">2019-07-04T15:08:00Z</dcterms:modified>
</cp:coreProperties>
</file>