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D146B" w:rsidP="002D146B">
            <w:pPr>
              <w:bidi w:val="0"/>
              <w:spacing w:after="20"/>
              <w:jc w:val="left"/>
              <w:rPr>
                <w:szCs w:val="20"/>
              </w:rPr>
            </w:pPr>
            <w:r w:rsidRPr="002D146B">
              <w:rPr>
                <w:sz w:val="40"/>
                <w:szCs w:val="20"/>
              </w:rPr>
              <w:t>CCPR</w:t>
            </w:r>
            <w:r>
              <w:rPr>
                <w:szCs w:val="20"/>
              </w:rPr>
              <w:t>/C/MOZ/CO/1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D146B" w:rsidRDefault="002D146B" w:rsidP="002D146B">
            <w:pPr>
              <w:bidi w:val="0"/>
              <w:spacing w:before="240"/>
              <w:jc w:val="left"/>
            </w:pPr>
            <w:r>
              <w:t>Distr.: General</w:t>
            </w:r>
          </w:p>
          <w:p w:rsidR="002D146B" w:rsidRDefault="002D146B" w:rsidP="002D146B">
            <w:pPr>
              <w:bidi w:val="0"/>
              <w:jc w:val="left"/>
            </w:pPr>
            <w:r>
              <w:t>19 November 2013</w:t>
            </w:r>
          </w:p>
          <w:p w:rsidR="002D146B" w:rsidRDefault="002D146B" w:rsidP="002D146B">
            <w:pPr>
              <w:bidi w:val="0"/>
              <w:jc w:val="left"/>
            </w:pPr>
            <w:r>
              <w:t>Arabic</w:t>
            </w:r>
          </w:p>
          <w:p w:rsidR="00257225" w:rsidRPr="008B4BC6" w:rsidRDefault="002D146B" w:rsidP="002D146B">
            <w:pPr>
              <w:bidi w:val="0"/>
              <w:jc w:val="left"/>
            </w:pPr>
            <w:r>
              <w:t>Original: English</w:t>
            </w:r>
          </w:p>
        </w:tc>
      </w:tr>
    </w:tbl>
    <w:p w:rsidR="002D146B" w:rsidRPr="00F621A5" w:rsidRDefault="002D146B" w:rsidP="002D146B">
      <w:pPr>
        <w:spacing w:before="120" w:line="380" w:lineRule="exact"/>
        <w:rPr>
          <w:bCs/>
          <w:sz w:val="28"/>
          <w:szCs w:val="36"/>
          <w:rtl/>
        </w:rPr>
      </w:pPr>
      <w:r w:rsidRPr="00F621A5">
        <w:rPr>
          <w:bCs/>
          <w:sz w:val="28"/>
          <w:szCs w:val="36"/>
          <w:rtl/>
        </w:rPr>
        <w:t xml:space="preserve">اللجنة </w:t>
      </w:r>
      <w:r w:rsidRPr="00F621A5">
        <w:rPr>
          <w:rFonts w:hint="eastAsia"/>
          <w:bCs/>
          <w:sz w:val="28"/>
          <w:szCs w:val="36"/>
          <w:rtl/>
        </w:rPr>
        <w:t>المعنية</w:t>
      </w:r>
      <w:r w:rsidRPr="00F621A5">
        <w:rPr>
          <w:bCs/>
          <w:sz w:val="28"/>
          <w:szCs w:val="36"/>
          <w:rtl/>
        </w:rPr>
        <w:t xml:space="preserve"> </w:t>
      </w:r>
      <w:r w:rsidRPr="00F621A5">
        <w:rPr>
          <w:rFonts w:hint="eastAsia"/>
          <w:bCs/>
          <w:sz w:val="28"/>
          <w:szCs w:val="36"/>
          <w:rtl/>
        </w:rPr>
        <w:t>بحقوق</w:t>
      </w:r>
      <w:r w:rsidRPr="00F621A5">
        <w:rPr>
          <w:bCs/>
          <w:sz w:val="28"/>
          <w:szCs w:val="36"/>
          <w:rtl/>
        </w:rPr>
        <w:t xml:space="preserve"> </w:t>
      </w:r>
      <w:r w:rsidRPr="00F621A5">
        <w:rPr>
          <w:rFonts w:hint="eastAsia"/>
          <w:bCs/>
          <w:sz w:val="28"/>
          <w:szCs w:val="36"/>
          <w:rtl/>
        </w:rPr>
        <w:t>الإنسان</w:t>
      </w:r>
    </w:p>
    <w:p w:rsidR="002D146B" w:rsidRDefault="002D146B" w:rsidP="002D146B">
      <w:pPr>
        <w:pStyle w:val="HChGA"/>
        <w:rPr>
          <w:rFonts w:cs="Times New Roman" w:hint="cs"/>
          <w:rtl/>
          <w:lang w:val="de-CH" w:bidi="ar-EG"/>
        </w:rPr>
      </w:pPr>
      <w:r w:rsidRPr="00331E91">
        <w:rPr>
          <w:lang w:val="fr-FR"/>
        </w:rPr>
        <w:tab/>
      </w:r>
      <w:r w:rsidRPr="00331E91">
        <w:rPr>
          <w:lang w:val="fr-FR"/>
        </w:rPr>
        <w:tab/>
      </w:r>
      <w:r>
        <w:rPr>
          <w:rFonts w:hint="cs"/>
          <w:rtl/>
          <w:lang w:val="de-CH" w:bidi="ar-EG"/>
        </w:rPr>
        <w:t xml:space="preserve">الملاحظات الختامية بشأن التقرير الأولي </w:t>
      </w:r>
      <w:proofErr w:type="spellStart"/>
      <w:r>
        <w:rPr>
          <w:rFonts w:hint="cs"/>
          <w:rtl/>
          <w:lang w:val="de-CH" w:bidi="ar-EG"/>
        </w:rPr>
        <w:t>لموزامبيق</w:t>
      </w:r>
      <w:proofErr w:type="spellEnd"/>
      <w:r w:rsidRPr="002D146B">
        <w:rPr>
          <w:rStyle w:val="FootnoteReference"/>
          <w:sz w:val="20"/>
          <w:vertAlign w:val="baseline"/>
          <w:rtl/>
          <w:lang w:val="de-CH" w:bidi="ar-EG"/>
        </w:rPr>
        <w:footnoteReference w:customMarkFollows="1" w:id="1"/>
        <w:t>*</w:t>
      </w:r>
    </w:p>
    <w:p w:rsidR="002D146B" w:rsidRPr="002137A7" w:rsidRDefault="002D146B" w:rsidP="00E5082A">
      <w:pPr>
        <w:pStyle w:val="SingleTxtGA"/>
        <w:rPr>
          <w:spacing w:val="-2"/>
          <w:lang w:val="de-CH" w:bidi="ar-EG"/>
        </w:rPr>
      </w:pPr>
      <w:r w:rsidRPr="002137A7">
        <w:rPr>
          <w:rFonts w:hint="cs"/>
          <w:spacing w:val="-2"/>
          <w:rtl/>
          <w:lang w:val="de-CH" w:bidi="ar-EG"/>
        </w:rPr>
        <w:t>1-</w:t>
      </w:r>
      <w:r w:rsidRPr="002137A7">
        <w:rPr>
          <w:rFonts w:hint="cs"/>
          <w:spacing w:val="-2"/>
          <w:rtl/>
          <w:lang w:val="de-CH" w:bidi="ar-EG"/>
        </w:rPr>
        <w:tab/>
      </w:r>
      <w:r w:rsidRPr="002137A7">
        <w:rPr>
          <w:spacing w:val="-2"/>
          <w:rtl/>
          <w:lang w:val="de-CH" w:bidi="ar-EG"/>
        </w:rPr>
        <w:t xml:space="preserve">نظرت اللجنة في التقرير الأولي المقدم من </w:t>
      </w:r>
      <w:proofErr w:type="spellStart"/>
      <w:r w:rsidRPr="002137A7">
        <w:rPr>
          <w:spacing w:val="-2"/>
          <w:rtl/>
          <w:lang w:val="de-CH" w:bidi="ar-EG"/>
        </w:rPr>
        <w:t>موزامبيق</w:t>
      </w:r>
      <w:proofErr w:type="spellEnd"/>
      <w:r w:rsidRPr="002137A7">
        <w:rPr>
          <w:spacing w:val="-2"/>
          <w:rtl/>
          <w:lang w:val="de-CH" w:bidi="ar-EG"/>
        </w:rPr>
        <w:t xml:space="preserve"> </w:t>
      </w:r>
      <w:r w:rsidRPr="002137A7">
        <w:rPr>
          <w:spacing w:val="-2"/>
        </w:rPr>
        <w:t>(CCPR/C/MOZ/1)</w:t>
      </w:r>
      <w:r w:rsidRPr="002137A7">
        <w:rPr>
          <w:spacing w:val="-2"/>
          <w:rtl/>
        </w:rPr>
        <w:t xml:space="preserve"> في جلستيها</w:t>
      </w:r>
      <w:r w:rsidRPr="002137A7">
        <w:rPr>
          <w:rFonts w:hint="cs"/>
          <w:spacing w:val="-2"/>
          <w:rtl/>
        </w:rPr>
        <w:t> </w:t>
      </w:r>
      <w:r w:rsidRPr="002137A7">
        <w:rPr>
          <w:spacing w:val="-2"/>
          <w:rtl/>
        </w:rPr>
        <w:t xml:space="preserve">3020 و3021 </w:t>
      </w:r>
      <w:r w:rsidRPr="002137A7">
        <w:rPr>
          <w:spacing w:val="-2"/>
        </w:rPr>
        <w:t>CCPR/C/SR.3020</w:t>
      </w:r>
      <w:r w:rsidRPr="002137A7">
        <w:rPr>
          <w:rFonts w:hint="cs"/>
          <w:spacing w:val="-2"/>
          <w:rtl/>
        </w:rPr>
        <w:t xml:space="preserve"> </w:t>
      </w:r>
      <w:r w:rsidRPr="002137A7">
        <w:rPr>
          <w:spacing w:val="-2"/>
          <w:rtl/>
        </w:rPr>
        <w:t>و</w:t>
      </w:r>
      <w:r w:rsidRPr="002137A7">
        <w:rPr>
          <w:spacing w:val="-2"/>
        </w:rPr>
        <w:t>CCPR/C/SR.302</w:t>
      </w:r>
      <w:r w:rsidR="002137A7" w:rsidRPr="002137A7">
        <w:rPr>
          <w:spacing w:val="-2"/>
        </w:rPr>
        <w:t>/1</w:t>
      </w:r>
      <w:r w:rsidR="002137A7" w:rsidRPr="002137A7">
        <w:rPr>
          <w:spacing w:val="-2"/>
          <w:rtl/>
        </w:rPr>
        <w:t xml:space="preserve">)، </w:t>
      </w:r>
      <w:r w:rsidRPr="002137A7">
        <w:rPr>
          <w:spacing w:val="-2"/>
          <w:rtl/>
        </w:rPr>
        <w:t>المعقود</w:t>
      </w:r>
      <w:r w:rsidRPr="002137A7">
        <w:rPr>
          <w:rFonts w:hint="cs"/>
          <w:spacing w:val="-2"/>
          <w:rtl/>
        </w:rPr>
        <w:t>تين</w:t>
      </w:r>
      <w:r w:rsidRPr="002137A7">
        <w:rPr>
          <w:spacing w:val="-2"/>
          <w:rtl/>
        </w:rPr>
        <w:t xml:space="preserve"> في يومي</w:t>
      </w:r>
      <w:r w:rsidRPr="002137A7">
        <w:rPr>
          <w:rFonts w:hint="cs"/>
          <w:spacing w:val="-2"/>
          <w:rtl/>
        </w:rPr>
        <w:t> </w:t>
      </w:r>
      <w:r w:rsidRPr="002137A7">
        <w:rPr>
          <w:spacing w:val="-2"/>
          <w:rtl/>
        </w:rPr>
        <w:t>22 و23 تشرين الأول/أكتو</w:t>
      </w:r>
      <w:r w:rsidR="002137A7" w:rsidRPr="002137A7">
        <w:rPr>
          <w:spacing w:val="-2"/>
          <w:rtl/>
        </w:rPr>
        <w:t xml:space="preserve">بر 2013. واعتمدت اللجنة في جلستها </w:t>
      </w:r>
      <w:r w:rsidRPr="002137A7">
        <w:rPr>
          <w:spacing w:val="-2"/>
          <w:rtl/>
        </w:rPr>
        <w:t>303</w:t>
      </w:r>
      <w:r w:rsidR="00E5082A">
        <w:rPr>
          <w:rFonts w:hint="cs"/>
          <w:spacing w:val="-2"/>
          <w:rtl/>
        </w:rPr>
        <w:t>1</w:t>
      </w:r>
      <w:r w:rsidRPr="002137A7">
        <w:rPr>
          <w:spacing w:val="-2"/>
          <w:rtl/>
        </w:rPr>
        <w:t xml:space="preserve"> </w:t>
      </w:r>
      <w:r w:rsidRPr="002137A7">
        <w:rPr>
          <w:spacing w:val="-2"/>
        </w:rPr>
        <w:t>(CCPR/C/SR.3031)</w:t>
      </w:r>
      <w:r w:rsidR="002137A7" w:rsidRPr="002137A7">
        <w:rPr>
          <w:spacing w:val="-2"/>
          <w:rtl/>
        </w:rPr>
        <w:t xml:space="preserve"> المعقود</w:t>
      </w:r>
      <w:r w:rsidR="002137A7" w:rsidRPr="002137A7">
        <w:rPr>
          <w:rFonts w:hint="cs"/>
          <w:spacing w:val="-2"/>
          <w:rtl/>
        </w:rPr>
        <w:t>ة</w:t>
      </w:r>
      <w:r w:rsidRPr="002137A7">
        <w:rPr>
          <w:spacing w:val="-2"/>
          <w:rtl/>
        </w:rPr>
        <w:t xml:space="preserve"> في 30 تشرين الأول/أكتوبر 2013 الملاحظات الختامية التالية</w:t>
      </w:r>
      <w:r w:rsidRPr="002137A7">
        <w:rPr>
          <w:rFonts w:hint="cs"/>
          <w:spacing w:val="-2"/>
          <w:rtl/>
        </w:rPr>
        <w:t>.</w:t>
      </w:r>
    </w:p>
    <w:p w:rsidR="002D146B" w:rsidRDefault="002D146B" w:rsidP="002D146B">
      <w:pPr>
        <w:pStyle w:val="H1GA"/>
        <w:rPr>
          <w:rFonts w:hint="cs"/>
          <w:rtl/>
          <w:lang w:val="de-CH" w:bidi="ar-EG"/>
        </w:rPr>
      </w:pPr>
      <w:r>
        <w:rPr>
          <w:rtl/>
          <w:lang w:val="de-CH" w:bidi="ar-EG"/>
        </w:rPr>
        <w:tab/>
      </w:r>
      <w:r w:rsidRPr="0061572E">
        <w:rPr>
          <w:rFonts w:hint="cs"/>
          <w:rtl/>
          <w:lang w:val="de-CH" w:bidi="ar-EG"/>
        </w:rPr>
        <w:t>ألف</w:t>
      </w:r>
      <w:r>
        <w:rPr>
          <w:rFonts w:hint="cs"/>
          <w:rtl/>
          <w:lang w:val="de-CH" w:bidi="ar-EG"/>
        </w:rPr>
        <w:t>-</w:t>
      </w:r>
      <w:r>
        <w:rPr>
          <w:rFonts w:hint="cs"/>
          <w:rtl/>
          <w:lang w:val="de-CH" w:bidi="ar-EG"/>
        </w:rPr>
        <w:tab/>
      </w:r>
      <w:r w:rsidRPr="0061572E">
        <w:rPr>
          <w:rFonts w:hint="cs"/>
          <w:rtl/>
          <w:lang w:val="de-CH" w:bidi="ar-EG"/>
        </w:rPr>
        <w:t>مقدمة</w:t>
      </w:r>
    </w:p>
    <w:p w:rsidR="002D146B" w:rsidRPr="00496859" w:rsidRDefault="002D146B" w:rsidP="002D146B">
      <w:pPr>
        <w:pStyle w:val="SingleTxtGA"/>
        <w:rPr>
          <w:lang w:val="de-CH" w:bidi="ar-EG"/>
        </w:rPr>
      </w:pPr>
      <w:r>
        <w:rPr>
          <w:rFonts w:hint="cs"/>
          <w:rtl/>
          <w:lang w:val="de-CH" w:bidi="ar-EG"/>
        </w:rPr>
        <w:t>2-</w:t>
      </w:r>
      <w:r>
        <w:rPr>
          <w:rFonts w:hint="cs"/>
          <w:rtl/>
          <w:lang w:val="de-CH" w:bidi="ar-EG"/>
        </w:rPr>
        <w:tab/>
      </w:r>
      <w:r w:rsidRPr="0061572E">
        <w:rPr>
          <w:rtl/>
          <w:lang w:val="de-CH" w:bidi="ar-EG"/>
        </w:rPr>
        <w:t xml:space="preserve">ترحب اللجنة بتقديم </w:t>
      </w:r>
      <w:proofErr w:type="spellStart"/>
      <w:r w:rsidRPr="0061572E">
        <w:rPr>
          <w:rtl/>
          <w:lang w:val="de-CH" w:bidi="ar-EG"/>
        </w:rPr>
        <w:t>موزامبيق</w:t>
      </w:r>
      <w:proofErr w:type="spellEnd"/>
      <w:r w:rsidRPr="0061572E">
        <w:rPr>
          <w:rtl/>
          <w:lang w:val="de-CH" w:bidi="ar-EG"/>
        </w:rPr>
        <w:t xml:space="preserve"> تقريرها الأولي وبالمعلومات التي تضمنها، ولكنها تأسف لتقديمه متأخراً عن موعده. وتعرب عن ارتياحها للفرصة </w:t>
      </w:r>
      <w:r>
        <w:rPr>
          <w:rFonts w:hint="cs"/>
          <w:rtl/>
          <w:lang w:val="de-CH" w:bidi="ar-EG"/>
        </w:rPr>
        <w:t>التي أتيحت</w:t>
      </w:r>
      <w:r w:rsidRPr="0061572E">
        <w:rPr>
          <w:rtl/>
          <w:lang w:val="de-CH" w:bidi="ar-EG"/>
        </w:rPr>
        <w:t xml:space="preserve"> للتحاور بشكل بناء مع وفد الدولة الطرف </w:t>
      </w:r>
      <w:r w:rsidRPr="0061572E">
        <w:rPr>
          <w:rtl/>
          <w:lang/>
        </w:rPr>
        <w:t xml:space="preserve">بشأن التدابير التي اتخذتها لتنفيذ أحكام العهد. </w:t>
      </w:r>
      <w:r w:rsidRPr="0061572E">
        <w:rPr>
          <w:rFonts w:hint="cs"/>
          <w:rtl/>
          <w:lang/>
        </w:rPr>
        <w:t xml:space="preserve">وتثني اللجنة على الدولة الطرف لردودها الخطية </w:t>
      </w:r>
      <w:r w:rsidRPr="00FF540B">
        <w:t>(CCPR/C/MOZ/Q</w:t>
      </w:r>
      <w:r>
        <w:t>/</w:t>
      </w:r>
      <w:r w:rsidRPr="00FF540B">
        <w:t>1/Add.2)</w:t>
      </w:r>
      <w:r>
        <w:rPr>
          <w:rFonts w:hint="cs"/>
          <w:rtl/>
        </w:rPr>
        <w:t xml:space="preserve"> </w:t>
      </w:r>
      <w:r w:rsidRPr="0061572E">
        <w:rPr>
          <w:rFonts w:hint="cs"/>
          <w:rtl/>
        </w:rPr>
        <w:t xml:space="preserve">على قائمة المسائل </w:t>
      </w:r>
      <w:r w:rsidRPr="00FF540B">
        <w:t>(CCPR/C/MOZ/Q</w:t>
      </w:r>
      <w:r>
        <w:t>/</w:t>
      </w:r>
      <w:r w:rsidRPr="00FF540B">
        <w:t>1/Add.1)</w:t>
      </w:r>
      <w:r>
        <w:rPr>
          <w:rFonts w:hint="cs"/>
          <w:rtl/>
        </w:rPr>
        <w:t xml:space="preserve"> </w:t>
      </w:r>
      <w:r>
        <w:rPr>
          <w:rtl/>
          <w:lang/>
        </w:rPr>
        <w:t xml:space="preserve">والتي استكملها الوفد </w:t>
      </w:r>
      <w:r>
        <w:rPr>
          <w:rFonts w:hint="cs"/>
          <w:rtl/>
          <w:lang/>
        </w:rPr>
        <w:t>ب</w:t>
      </w:r>
      <w:r w:rsidRPr="0061572E">
        <w:rPr>
          <w:rtl/>
          <w:lang/>
        </w:rPr>
        <w:t>تقديم ردود شفوية، وللمعلومات الإضافية المقدمة خطياً.</w:t>
      </w:r>
    </w:p>
    <w:p w:rsidR="002D146B" w:rsidRDefault="002D146B" w:rsidP="002D146B">
      <w:pPr>
        <w:pStyle w:val="H1GA"/>
        <w:rPr>
          <w:lang/>
        </w:rPr>
      </w:pPr>
      <w:r>
        <w:rPr>
          <w:rtl/>
          <w:lang/>
        </w:rPr>
        <w:tab/>
      </w:r>
      <w:r w:rsidRPr="0061572E">
        <w:rPr>
          <w:rFonts w:hint="cs"/>
          <w:rtl/>
          <w:lang/>
        </w:rPr>
        <w:t>باء</w:t>
      </w:r>
      <w:r>
        <w:rPr>
          <w:rFonts w:hint="cs"/>
          <w:rtl/>
          <w:lang/>
        </w:rPr>
        <w:t>-</w:t>
      </w:r>
      <w:r>
        <w:rPr>
          <w:rFonts w:hint="cs"/>
          <w:rtl/>
          <w:lang/>
        </w:rPr>
        <w:tab/>
      </w:r>
      <w:r w:rsidRPr="0061572E">
        <w:rPr>
          <w:rFonts w:hint="cs"/>
          <w:rtl/>
          <w:lang/>
        </w:rPr>
        <w:t>الجوانب الإيجابية</w:t>
      </w:r>
    </w:p>
    <w:p w:rsidR="002D146B" w:rsidRPr="0061572E" w:rsidRDefault="002D146B" w:rsidP="002D146B">
      <w:pPr>
        <w:pStyle w:val="SingleTxtGA"/>
        <w:rPr>
          <w:rFonts w:hint="cs"/>
          <w:lang w:val="de-CH" w:bidi="ar-EG"/>
        </w:rPr>
      </w:pPr>
      <w:r>
        <w:rPr>
          <w:rFonts w:hint="cs"/>
          <w:rtl/>
          <w:lang/>
        </w:rPr>
        <w:t>3-</w:t>
      </w:r>
      <w:r>
        <w:rPr>
          <w:rFonts w:hint="cs"/>
          <w:rtl/>
          <w:lang/>
        </w:rPr>
        <w:tab/>
      </w:r>
      <w:r w:rsidRPr="0061572E">
        <w:rPr>
          <w:rFonts w:hint="cs"/>
          <w:rtl/>
          <w:lang/>
        </w:rPr>
        <w:t>ترحب اللجنة بالخطوات التشريعية والمؤسسية التي اتخذتها الدولة الطرف:</w:t>
      </w:r>
    </w:p>
    <w:p w:rsidR="002D146B" w:rsidRPr="0061572E" w:rsidRDefault="002D146B" w:rsidP="002D146B">
      <w:pPr>
        <w:pStyle w:val="SingleTxtGA"/>
        <w:rPr>
          <w:rFonts w:hint="cs"/>
          <w:lang w:val="de-CH" w:bidi="ar-EG"/>
        </w:rPr>
      </w:pPr>
      <w:r>
        <w:rPr>
          <w:rtl/>
          <w:lang w:val="de-CH" w:bidi="ar-EG"/>
        </w:rPr>
        <w:tab/>
      </w:r>
      <w:r>
        <w:rPr>
          <w:rFonts w:hint="cs"/>
          <w:rtl/>
          <w:lang w:val="de-CH" w:bidi="ar-EG"/>
        </w:rPr>
        <w:t>(أ)</w:t>
      </w:r>
      <w:r>
        <w:rPr>
          <w:rFonts w:hint="cs"/>
          <w:rtl/>
          <w:lang w:val="de-CH" w:bidi="ar-EG"/>
        </w:rPr>
        <w:tab/>
      </w:r>
      <w:r w:rsidRPr="0061572E">
        <w:rPr>
          <w:rFonts w:hint="cs"/>
          <w:rtl/>
          <w:lang w:val="de-CH" w:bidi="ar-EG"/>
        </w:rPr>
        <w:t>اعتماد الدستور في عام 2004؛</w:t>
      </w:r>
    </w:p>
    <w:p w:rsidR="002D146B" w:rsidRPr="0061572E" w:rsidRDefault="002D146B" w:rsidP="002137A7">
      <w:pPr>
        <w:pStyle w:val="SingleTxtGA"/>
        <w:rPr>
          <w:rFonts w:hint="cs"/>
          <w:lang w:val="de-CH" w:bidi="ar-EG"/>
        </w:rPr>
      </w:pPr>
      <w:r>
        <w:rPr>
          <w:rFonts w:hint="cs"/>
          <w:rtl/>
          <w:lang w:val="de-CH" w:bidi="ar-EG"/>
        </w:rPr>
        <w:tab/>
        <w:t>(ب)</w:t>
      </w:r>
      <w:r>
        <w:rPr>
          <w:rFonts w:hint="cs"/>
          <w:rtl/>
          <w:lang w:val="de-CH" w:bidi="ar-EG"/>
        </w:rPr>
        <w:tab/>
      </w:r>
      <w:r w:rsidR="002137A7">
        <w:rPr>
          <w:rFonts w:hint="cs"/>
          <w:rtl/>
          <w:lang w:val="de-CH" w:bidi="ar-EG"/>
        </w:rPr>
        <w:t>اعتماد قانون الأسرة (</w:t>
      </w:r>
      <w:r w:rsidRPr="0061572E">
        <w:rPr>
          <w:rFonts w:hint="cs"/>
          <w:rtl/>
          <w:lang w:val="de-CH" w:bidi="ar-EG"/>
        </w:rPr>
        <w:t>رقم</w:t>
      </w:r>
      <w:r w:rsidR="002137A7">
        <w:rPr>
          <w:rFonts w:hint="cs"/>
          <w:rtl/>
          <w:lang w:val="de-CH" w:bidi="ar-EG"/>
        </w:rPr>
        <w:t xml:space="preserve"> 10/2004</w:t>
      </w:r>
      <w:r w:rsidRPr="0061572E">
        <w:rPr>
          <w:rFonts w:hint="cs"/>
          <w:rtl/>
          <w:lang w:val="de-CH" w:bidi="ar-EG"/>
        </w:rPr>
        <w:t xml:space="preserve">) وقانون العمل (رقم </w:t>
      </w:r>
      <w:r w:rsidR="002137A7">
        <w:rPr>
          <w:rFonts w:hint="cs"/>
          <w:rtl/>
          <w:lang w:val="de-CH" w:bidi="ar-EG"/>
        </w:rPr>
        <w:t>23/2004</w:t>
      </w:r>
      <w:r w:rsidRPr="0061572E">
        <w:rPr>
          <w:rFonts w:hint="cs"/>
          <w:rtl/>
          <w:lang w:val="de-CH" w:bidi="ar-EG"/>
        </w:rPr>
        <w:t>) في عام 2004؛</w:t>
      </w:r>
    </w:p>
    <w:p w:rsidR="002D146B" w:rsidRPr="0061572E" w:rsidRDefault="008D75A4" w:rsidP="002137A7">
      <w:pPr>
        <w:pStyle w:val="SingleTxtGA"/>
        <w:rPr>
          <w:rFonts w:hint="cs"/>
          <w:rtl/>
          <w:lang w:val="de-CH" w:bidi="ar-EG"/>
        </w:rPr>
      </w:pPr>
      <w:r>
        <w:rPr>
          <w:rFonts w:hint="cs"/>
          <w:rtl/>
          <w:lang w:val="de-CH" w:bidi="ar-EG"/>
        </w:rPr>
        <w:tab/>
      </w:r>
      <w:r w:rsidR="002D146B" w:rsidRPr="0061572E">
        <w:rPr>
          <w:rFonts w:hint="cs"/>
          <w:rtl/>
          <w:lang w:val="de-CH" w:bidi="ar-EG"/>
        </w:rPr>
        <w:t>(ج)</w:t>
      </w:r>
      <w:r>
        <w:rPr>
          <w:rFonts w:hint="cs"/>
          <w:rtl/>
          <w:lang w:val="de-CH" w:bidi="ar-EG"/>
        </w:rPr>
        <w:tab/>
      </w:r>
      <w:r w:rsidR="002D146B" w:rsidRPr="0061572E">
        <w:rPr>
          <w:rFonts w:hint="cs"/>
          <w:rtl/>
          <w:lang w:val="de-CH" w:bidi="ar-EG"/>
        </w:rPr>
        <w:t>اعتماد قانون منع الاتجار بالأشخاص ولا سيما النساء والأطفال ومكافحته (رقم</w:t>
      </w:r>
      <w:r w:rsidR="002137A7">
        <w:rPr>
          <w:rFonts w:hint="cs"/>
          <w:rtl/>
          <w:lang w:val="de-CH" w:bidi="ar-EG"/>
        </w:rPr>
        <w:t xml:space="preserve"> 6/2008</w:t>
      </w:r>
      <w:r w:rsidR="002D146B" w:rsidRPr="0061572E">
        <w:rPr>
          <w:rFonts w:hint="cs"/>
          <w:rtl/>
          <w:lang w:val="de-CH" w:bidi="ar-EG"/>
        </w:rPr>
        <w:t>) في عام 2008؛</w:t>
      </w:r>
    </w:p>
    <w:p w:rsidR="002D146B" w:rsidRDefault="008D75A4" w:rsidP="002137A7">
      <w:pPr>
        <w:pStyle w:val="SingleTxtGA"/>
        <w:rPr>
          <w:rFonts w:hint="cs"/>
          <w:rtl/>
          <w:lang w:val="de-CH" w:bidi="ar-EG"/>
        </w:rPr>
      </w:pPr>
      <w:r>
        <w:rPr>
          <w:rFonts w:hint="cs"/>
          <w:rtl/>
          <w:lang w:val="de-CH" w:bidi="ar-EG"/>
        </w:rPr>
        <w:tab/>
      </w:r>
      <w:r w:rsidR="002D146B" w:rsidRPr="0061572E">
        <w:rPr>
          <w:rFonts w:hint="cs"/>
          <w:rtl/>
          <w:lang w:val="de-CH" w:bidi="ar-EG"/>
        </w:rPr>
        <w:t>(د)</w:t>
      </w:r>
      <w:r>
        <w:rPr>
          <w:rFonts w:hint="cs"/>
          <w:rtl/>
          <w:lang w:val="de-CH" w:bidi="ar-EG"/>
        </w:rPr>
        <w:tab/>
      </w:r>
      <w:r w:rsidR="002D146B" w:rsidRPr="0061572E">
        <w:rPr>
          <w:rFonts w:hint="cs"/>
          <w:rtl/>
          <w:lang w:val="de-CH" w:bidi="ar-EG"/>
        </w:rPr>
        <w:t xml:space="preserve">اعتماد قانون </w:t>
      </w:r>
      <w:r>
        <w:rPr>
          <w:rFonts w:hint="cs"/>
          <w:rtl/>
          <w:lang w:val="de-CH" w:bidi="ar-EG"/>
        </w:rPr>
        <w:t xml:space="preserve">بشأن </w:t>
      </w:r>
      <w:r w:rsidR="002D146B" w:rsidRPr="0061572E">
        <w:rPr>
          <w:rFonts w:hint="cs"/>
          <w:rtl/>
          <w:lang w:val="de-CH" w:bidi="ar-EG"/>
        </w:rPr>
        <w:t>العنف المنزلي الممارس ضد ال</w:t>
      </w:r>
      <w:r>
        <w:rPr>
          <w:rFonts w:hint="cs"/>
          <w:rtl/>
          <w:lang w:val="de-CH" w:bidi="ar-EG"/>
        </w:rPr>
        <w:t>مرأة (رقم</w:t>
      </w:r>
      <w:r w:rsidR="002137A7">
        <w:rPr>
          <w:rFonts w:hint="cs"/>
          <w:rtl/>
          <w:lang w:val="de-CH" w:bidi="ar-EG"/>
        </w:rPr>
        <w:t xml:space="preserve"> 29/2009</w:t>
      </w:r>
      <w:r>
        <w:rPr>
          <w:rFonts w:hint="cs"/>
          <w:rtl/>
          <w:lang w:val="de-CH" w:bidi="ar-EG"/>
        </w:rPr>
        <w:t>) في عام 2009.</w:t>
      </w:r>
    </w:p>
    <w:p w:rsidR="002D146B" w:rsidRPr="008D75A4" w:rsidRDefault="008D75A4" w:rsidP="008D75A4">
      <w:pPr>
        <w:pStyle w:val="SingleTxtGA"/>
        <w:rPr>
          <w:rFonts w:hint="cs"/>
          <w:spacing w:val="-2"/>
          <w:rtl/>
          <w:lang w:val="de-CH" w:bidi="ar-EG"/>
        </w:rPr>
      </w:pPr>
      <w:r w:rsidRPr="008D75A4">
        <w:rPr>
          <w:rFonts w:hint="cs"/>
          <w:spacing w:val="-2"/>
          <w:rtl/>
          <w:lang w:val="de-CH" w:bidi="ar-EG"/>
        </w:rPr>
        <w:t>4-</w:t>
      </w:r>
      <w:r w:rsidRPr="008D75A4">
        <w:rPr>
          <w:rFonts w:hint="cs"/>
          <w:spacing w:val="-2"/>
          <w:rtl/>
          <w:lang w:val="de-CH" w:bidi="ar-EG"/>
        </w:rPr>
        <w:tab/>
      </w:r>
      <w:r w:rsidR="002D146B" w:rsidRPr="008D75A4">
        <w:rPr>
          <w:rFonts w:hint="cs"/>
          <w:spacing w:val="-2"/>
          <w:rtl/>
          <w:lang w:val="de-CH" w:bidi="ar-EG"/>
        </w:rPr>
        <w:t>ترحب اللجنة بتصديق</w:t>
      </w:r>
      <w:r w:rsidR="002D146B" w:rsidRPr="008D75A4">
        <w:rPr>
          <w:spacing w:val="-2"/>
          <w:lang w:val="de-CH" w:bidi="ar-EG"/>
        </w:rPr>
        <w:t xml:space="preserve"> </w:t>
      </w:r>
      <w:r w:rsidR="002D146B" w:rsidRPr="008D75A4">
        <w:rPr>
          <w:rFonts w:hint="cs"/>
          <w:spacing w:val="-2"/>
          <w:rtl/>
          <w:lang w:val="de-CH" w:bidi="ar-EG"/>
        </w:rPr>
        <w:t>الدولة الطرف على الصكوك الدولية التالية أو انضمامها إليها:</w:t>
      </w:r>
    </w:p>
    <w:p w:rsidR="002D146B" w:rsidRDefault="002D146B" w:rsidP="008D75A4">
      <w:pPr>
        <w:pStyle w:val="SingleTxtGA"/>
        <w:rPr>
          <w:rFonts w:hint="cs"/>
          <w:rtl/>
          <w:lang w:val="de-CH" w:bidi="ar-EG"/>
        </w:rPr>
      </w:pPr>
      <w:r>
        <w:rPr>
          <w:lang w:val="de-CH" w:bidi="ar-EG"/>
        </w:rPr>
        <w:tab/>
      </w:r>
      <w:r>
        <w:rPr>
          <w:rFonts w:hint="cs"/>
          <w:rtl/>
          <w:lang w:val="de-CH" w:bidi="ar-EG"/>
        </w:rPr>
        <w:t>(أ)</w:t>
      </w:r>
      <w:r w:rsidR="008D75A4">
        <w:rPr>
          <w:lang w:val="de-CH" w:bidi="ar-EG"/>
        </w:rPr>
        <w:tab/>
      </w:r>
      <w:r>
        <w:rPr>
          <w:rFonts w:hint="cs"/>
          <w:rtl/>
          <w:lang w:val="de-CH" w:bidi="ar-EG"/>
        </w:rPr>
        <w:t>الاتفاقية الدولية للقضاء على جميع أشكال التمييز العنصري</w:t>
      </w:r>
      <w:r w:rsidR="008D75A4">
        <w:rPr>
          <w:rFonts w:hint="cs"/>
          <w:rtl/>
          <w:lang w:val="de-CH"/>
        </w:rPr>
        <w:t>،</w:t>
      </w:r>
      <w:r>
        <w:rPr>
          <w:rFonts w:hint="cs"/>
          <w:rtl/>
          <w:lang w:val="de-CH" w:bidi="ar-EG"/>
        </w:rPr>
        <w:t xml:space="preserve"> في 18 نيسان/أبريل 1983؛</w:t>
      </w:r>
    </w:p>
    <w:p w:rsidR="002D146B" w:rsidRPr="00496859" w:rsidRDefault="002D146B" w:rsidP="008D75A4">
      <w:pPr>
        <w:pStyle w:val="SingleTxtGA"/>
        <w:rPr>
          <w:rFonts w:hint="cs"/>
          <w:rtl/>
          <w:lang/>
        </w:rPr>
      </w:pPr>
      <w:r>
        <w:rPr>
          <w:lang w:val="de-CH" w:bidi="ar-EG"/>
        </w:rPr>
        <w:tab/>
      </w:r>
      <w:r>
        <w:rPr>
          <w:rFonts w:hint="cs"/>
          <w:rtl/>
          <w:lang w:val="de-CH" w:bidi="ar-EG"/>
        </w:rPr>
        <w:t>(ب)</w:t>
      </w:r>
      <w:r w:rsidR="008D75A4">
        <w:rPr>
          <w:lang w:val="de-CH" w:bidi="ar-EG"/>
        </w:rPr>
        <w:tab/>
      </w:r>
      <w:r w:rsidRPr="00496859">
        <w:rPr>
          <w:rtl/>
          <w:lang w:val="de-CH" w:bidi="ar-EG"/>
        </w:rPr>
        <w:t>البروتوكول</w:t>
      </w:r>
      <w:r w:rsidRPr="00496859">
        <w:rPr>
          <w:rtl/>
          <w:lang/>
        </w:rPr>
        <w:t xml:space="preserve"> الاختياري الثاني للعهد الذي يهدف إلى إلغاء عقوبة الإعدام</w:t>
      </w:r>
      <w:r w:rsidRPr="00496859">
        <w:rPr>
          <w:rFonts w:hint="cs"/>
          <w:rtl/>
          <w:lang/>
        </w:rPr>
        <w:t xml:space="preserve"> في</w:t>
      </w:r>
      <w:r w:rsidR="008D75A4">
        <w:rPr>
          <w:rFonts w:hint="eastAsia"/>
          <w:rtl/>
        </w:rPr>
        <w:t> </w:t>
      </w:r>
      <w:r w:rsidRPr="00496859">
        <w:rPr>
          <w:rFonts w:hint="cs"/>
          <w:rtl/>
          <w:lang/>
        </w:rPr>
        <w:t xml:space="preserve">21 </w:t>
      </w:r>
      <w:r w:rsidRPr="00496859">
        <w:rPr>
          <w:rtl/>
          <w:lang/>
        </w:rPr>
        <w:t>تموز/يوليه</w:t>
      </w:r>
      <w:r>
        <w:rPr>
          <w:rFonts w:hint="cs"/>
          <w:rtl/>
          <w:lang/>
        </w:rPr>
        <w:t xml:space="preserve"> </w:t>
      </w:r>
      <w:r w:rsidRPr="00496859">
        <w:rPr>
          <w:rFonts w:hint="cs"/>
          <w:rtl/>
          <w:lang/>
        </w:rPr>
        <w:t>1993؛</w:t>
      </w:r>
    </w:p>
    <w:p w:rsidR="002D146B" w:rsidRDefault="008D75A4" w:rsidP="002137A7">
      <w:pPr>
        <w:pStyle w:val="SingleTxtGA"/>
        <w:rPr>
          <w:rFonts w:hint="cs"/>
          <w:rtl/>
          <w:lang/>
        </w:rPr>
      </w:pPr>
      <w:r>
        <w:rPr>
          <w:rFonts w:hint="cs"/>
          <w:rtl/>
          <w:lang/>
        </w:rPr>
        <w:tab/>
      </w:r>
      <w:r w:rsidR="002D146B" w:rsidRPr="00496859">
        <w:rPr>
          <w:rFonts w:hint="cs"/>
          <w:rtl/>
          <w:lang/>
        </w:rPr>
        <w:t>(ج)</w:t>
      </w:r>
      <w:r>
        <w:rPr>
          <w:rFonts w:hint="cs"/>
          <w:rtl/>
          <w:lang/>
        </w:rPr>
        <w:tab/>
      </w:r>
      <w:r w:rsidR="002D146B" w:rsidRPr="00496859">
        <w:rPr>
          <w:rFonts w:hint="cs"/>
          <w:rtl/>
          <w:lang/>
        </w:rPr>
        <w:t xml:space="preserve">اتفاقية حقوق الطفل في 26 نيسان/أبريل 1994 </w:t>
      </w:r>
      <w:r w:rsidR="002D146B" w:rsidRPr="00496859">
        <w:rPr>
          <w:rtl/>
          <w:lang/>
        </w:rPr>
        <w:t>والبروتوكولين الاختياريي</w:t>
      </w:r>
      <w:r>
        <w:rPr>
          <w:rtl/>
          <w:lang/>
        </w:rPr>
        <w:t>ن الملحقين بها بشأن بيع الأطفال</w:t>
      </w:r>
      <w:r w:rsidR="002D146B">
        <w:rPr>
          <w:rFonts w:hint="cs"/>
          <w:rtl/>
          <w:lang/>
        </w:rPr>
        <w:t xml:space="preserve"> </w:t>
      </w:r>
      <w:r>
        <w:rPr>
          <w:rtl/>
          <w:lang/>
        </w:rPr>
        <w:t>واست</w:t>
      </w:r>
      <w:r>
        <w:rPr>
          <w:rFonts w:hint="cs"/>
          <w:rtl/>
          <w:lang/>
        </w:rPr>
        <w:t>غلال الأطفال في البغاء وفي المواد الإباحية، في</w:t>
      </w:r>
      <w:r>
        <w:rPr>
          <w:rFonts w:hint="eastAsia"/>
          <w:rtl/>
          <w:lang/>
        </w:rPr>
        <w:t> </w:t>
      </w:r>
      <w:r w:rsidR="002137A7">
        <w:rPr>
          <w:rFonts w:hint="cs"/>
          <w:rtl/>
          <w:lang/>
        </w:rPr>
        <w:t>6 آذار/مارس</w:t>
      </w:r>
      <w:r>
        <w:rPr>
          <w:rFonts w:hint="cs"/>
          <w:rtl/>
          <w:lang/>
        </w:rPr>
        <w:t xml:space="preserve"> 2003 وبشأن اشتراك الأطفال </w:t>
      </w:r>
      <w:r w:rsidR="002D146B" w:rsidRPr="00934895">
        <w:rPr>
          <w:rtl/>
          <w:lang/>
        </w:rPr>
        <w:t>في المنازعات المسلحة</w:t>
      </w:r>
      <w:r w:rsidR="002D146B">
        <w:rPr>
          <w:rFonts w:hint="cs"/>
          <w:rtl/>
          <w:lang/>
        </w:rPr>
        <w:t xml:space="preserve"> في 19 تشرين الأول/أكتوبر 2004؛</w:t>
      </w:r>
    </w:p>
    <w:p w:rsidR="002D146B" w:rsidRDefault="00D1622A" w:rsidP="00D1622A">
      <w:pPr>
        <w:pStyle w:val="SingleTxtGA"/>
        <w:rPr>
          <w:rFonts w:hint="cs"/>
          <w:rtl/>
          <w:lang/>
        </w:rPr>
      </w:pPr>
      <w:r>
        <w:rPr>
          <w:rtl/>
          <w:lang/>
        </w:rPr>
        <w:tab/>
      </w:r>
      <w:r w:rsidR="002D146B">
        <w:rPr>
          <w:rFonts w:hint="cs"/>
          <w:rtl/>
          <w:lang/>
        </w:rPr>
        <w:t>(د)</w:t>
      </w:r>
      <w:r>
        <w:rPr>
          <w:rFonts w:hint="cs"/>
          <w:rtl/>
          <w:lang/>
        </w:rPr>
        <w:tab/>
      </w:r>
      <w:r w:rsidR="002D146B">
        <w:rPr>
          <w:rFonts w:hint="cs"/>
          <w:rtl/>
          <w:lang/>
        </w:rPr>
        <w:t>اتفاقية القضاء على جميع أشكال التمييز ضد المرأة</w:t>
      </w:r>
      <w:r>
        <w:rPr>
          <w:rFonts w:hint="cs"/>
          <w:rtl/>
          <w:lang/>
        </w:rPr>
        <w:t>،</w:t>
      </w:r>
      <w:r w:rsidR="002D146B">
        <w:rPr>
          <w:rFonts w:hint="cs"/>
          <w:rtl/>
          <w:lang/>
        </w:rPr>
        <w:t xml:space="preserve"> في 21 نيسان/</w:t>
      </w:r>
      <w:r>
        <w:rPr>
          <w:rFonts w:hint="cs"/>
          <w:rtl/>
          <w:lang/>
        </w:rPr>
        <w:t xml:space="preserve"> أبريل</w:t>
      </w:r>
      <w:r>
        <w:rPr>
          <w:rFonts w:hint="eastAsia"/>
          <w:rtl/>
          <w:lang/>
        </w:rPr>
        <w:t> </w:t>
      </w:r>
      <w:r w:rsidR="002D146B">
        <w:rPr>
          <w:rFonts w:hint="cs"/>
          <w:rtl/>
          <w:lang/>
        </w:rPr>
        <w:t>1997 والبروتوكول الاختياري الملحق بها</w:t>
      </w:r>
      <w:r>
        <w:rPr>
          <w:rFonts w:hint="cs"/>
          <w:rtl/>
          <w:lang/>
        </w:rPr>
        <w:t>،</w:t>
      </w:r>
      <w:r w:rsidR="002D146B">
        <w:rPr>
          <w:rFonts w:hint="cs"/>
          <w:rtl/>
          <w:lang/>
        </w:rPr>
        <w:t xml:space="preserve"> في 4 تشرين الثاني/نوفمبر 2008؛</w:t>
      </w:r>
    </w:p>
    <w:p w:rsidR="002D146B" w:rsidRPr="00496859" w:rsidRDefault="00D1622A" w:rsidP="00D1622A">
      <w:pPr>
        <w:pStyle w:val="SingleTxtGA"/>
        <w:rPr>
          <w:rFonts w:hint="cs"/>
          <w:rtl/>
          <w:lang/>
        </w:rPr>
      </w:pPr>
      <w:r>
        <w:rPr>
          <w:rtl/>
          <w:lang/>
        </w:rPr>
        <w:tab/>
      </w:r>
      <w:r w:rsidR="002D146B">
        <w:rPr>
          <w:rFonts w:hint="cs"/>
          <w:rtl/>
          <w:lang/>
        </w:rPr>
        <w:t>(</w:t>
      </w:r>
      <w:r w:rsidRPr="00D1622A">
        <w:rPr>
          <w:rFonts w:hint="cs"/>
          <w:sz w:val="30"/>
          <w:rtl/>
          <w:lang/>
        </w:rPr>
        <w:t>ﻫ</w:t>
      </w:r>
      <w:r w:rsidR="002D146B">
        <w:rPr>
          <w:rFonts w:hint="cs"/>
          <w:rtl/>
          <w:lang/>
        </w:rPr>
        <w:t>)</w:t>
      </w:r>
      <w:r>
        <w:rPr>
          <w:rFonts w:hint="cs"/>
          <w:rtl/>
          <w:lang/>
        </w:rPr>
        <w:tab/>
      </w:r>
      <w:r w:rsidR="002D146B" w:rsidRPr="00496859">
        <w:rPr>
          <w:rtl/>
          <w:lang/>
        </w:rPr>
        <w:t>اتفاقية مناهضة التعذيب وغيره من ضروب المعاملة أو العقوبة القاسية أو</w:t>
      </w:r>
      <w:r>
        <w:rPr>
          <w:rFonts w:hint="cs"/>
          <w:rtl/>
          <w:lang/>
        </w:rPr>
        <w:t> </w:t>
      </w:r>
      <w:proofErr w:type="spellStart"/>
      <w:r w:rsidR="002D146B" w:rsidRPr="00496859">
        <w:rPr>
          <w:rtl/>
          <w:lang/>
        </w:rPr>
        <w:t>اللاإنسانية</w:t>
      </w:r>
      <w:proofErr w:type="spellEnd"/>
      <w:r w:rsidR="002D146B" w:rsidRPr="00496859">
        <w:rPr>
          <w:rtl/>
          <w:lang/>
        </w:rPr>
        <w:t xml:space="preserve"> أو المهي</w:t>
      </w:r>
      <w:r w:rsidR="002D146B" w:rsidRPr="00496859">
        <w:rPr>
          <w:rFonts w:hint="cs"/>
          <w:rtl/>
          <w:lang/>
        </w:rPr>
        <w:t>نة</w:t>
      </w:r>
      <w:r>
        <w:rPr>
          <w:rFonts w:hint="cs"/>
          <w:rtl/>
          <w:lang/>
        </w:rPr>
        <w:t>،</w:t>
      </w:r>
      <w:r w:rsidR="002D146B" w:rsidRPr="00496859">
        <w:rPr>
          <w:rFonts w:hint="cs"/>
          <w:rtl/>
          <w:lang/>
        </w:rPr>
        <w:t xml:space="preserve"> في 14 أيلول/سبتمبر 1999؛</w:t>
      </w:r>
    </w:p>
    <w:p w:rsidR="002D146B" w:rsidRPr="00496859" w:rsidRDefault="002D146B" w:rsidP="00D1622A">
      <w:pPr>
        <w:pStyle w:val="SingleTxtGA"/>
        <w:rPr>
          <w:rFonts w:hint="cs"/>
          <w:rtl/>
          <w:lang/>
        </w:rPr>
      </w:pPr>
      <w:r>
        <w:rPr>
          <w:lang/>
        </w:rPr>
        <w:tab/>
      </w:r>
      <w:r w:rsidRPr="00496859">
        <w:rPr>
          <w:rtl/>
          <w:lang/>
        </w:rPr>
        <w:t>(ز)</w:t>
      </w:r>
      <w:r w:rsidR="00D1622A">
        <w:rPr>
          <w:lang/>
        </w:rPr>
        <w:tab/>
      </w:r>
      <w:r w:rsidRPr="00496859">
        <w:rPr>
          <w:rtl/>
          <w:lang/>
        </w:rPr>
        <w:t>اتفاقية حقوق الأشخاص ذوي الإعاقة وبروتوكولها الاختياري</w:t>
      </w:r>
      <w:r w:rsidR="00D1622A">
        <w:rPr>
          <w:rFonts w:hint="cs"/>
          <w:rtl/>
        </w:rPr>
        <w:t>،</w:t>
      </w:r>
      <w:r w:rsidRPr="00496859">
        <w:rPr>
          <w:rFonts w:hint="cs"/>
          <w:rtl/>
          <w:lang/>
        </w:rPr>
        <w:t xml:space="preserve"> في 30 كانون الثاني/يناير 2012؛</w:t>
      </w:r>
    </w:p>
    <w:p w:rsidR="002D146B" w:rsidRPr="00496859" w:rsidRDefault="002D146B" w:rsidP="00D1622A">
      <w:pPr>
        <w:pStyle w:val="SingleTxtGA"/>
        <w:rPr>
          <w:rFonts w:hint="cs"/>
          <w:rtl/>
          <w:lang/>
        </w:rPr>
      </w:pPr>
      <w:r>
        <w:rPr>
          <w:lang/>
        </w:rPr>
        <w:tab/>
      </w:r>
      <w:r w:rsidR="00D1622A">
        <w:rPr>
          <w:rFonts w:hint="cs"/>
          <w:rtl/>
          <w:lang/>
        </w:rPr>
        <w:t>(ح)</w:t>
      </w:r>
      <w:r w:rsidR="00D1622A">
        <w:rPr>
          <w:rFonts w:hint="cs"/>
          <w:rtl/>
          <w:lang/>
        </w:rPr>
        <w:tab/>
      </w:r>
      <w:r w:rsidRPr="00496859">
        <w:rPr>
          <w:rFonts w:hint="cs"/>
          <w:rtl/>
          <w:lang/>
        </w:rPr>
        <w:t>الاتفاقية</w:t>
      </w:r>
      <w:r w:rsidRPr="00496859">
        <w:rPr>
          <w:rtl/>
          <w:lang/>
        </w:rPr>
        <w:t xml:space="preserve"> الدولية لحماية حقوق جميع العمال المهاجرين وأفراد أسرهم</w:t>
      </w:r>
      <w:r w:rsidR="00D1622A">
        <w:rPr>
          <w:rFonts w:hint="cs"/>
          <w:rtl/>
          <w:lang/>
        </w:rPr>
        <w:t>،</w:t>
      </w:r>
      <w:r w:rsidRPr="00496859">
        <w:rPr>
          <w:rtl/>
          <w:lang/>
        </w:rPr>
        <w:t xml:space="preserve"> في</w:t>
      </w:r>
      <w:r w:rsidR="00D1622A">
        <w:rPr>
          <w:rFonts w:hint="cs"/>
          <w:rtl/>
          <w:lang/>
        </w:rPr>
        <w:t> </w:t>
      </w:r>
      <w:r w:rsidRPr="00496859">
        <w:rPr>
          <w:rtl/>
          <w:lang/>
        </w:rPr>
        <w:t>19 أغسطس/آب 2013.</w:t>
      </w:r>
    </w:p>
    <w:p w:rsidR="002D146B" w:rsidRDefault="00D1622A" w:rsidP="00D1622A">
      <w:pPr>
        <w:pStyle w:val="H1GA"/>
        <w:rPr>
          <w:rFonts w:hint="cs"/>
          <w:rtl/>
          <w:lang/>
        </w:rPr>
      </w:pPr>
      <w:r>
        <w:rPr>
          <w:rtl/>
          <w:lang/>
        </w:rPr>
        <w:tab/>
      </w:r>
      <w:r w:rsidR="002D146B" w:rsidRPr="00496859">
        <w:rPr>
          <w:rFonts w:hint="cs"/>
          <w:rtl/>
          <w:lang/>
        </w:rPr>
        <w:t>جيم</w:t>
      </w:r>
      <w:r>
        <w:rPr>
          <w:rFonts w:hint="cs"/>
          <w:rtl/>
          <w:lang/>
        </w:rPr>
        <w:t>-</w:t>
      </w:r>
      <w:r>
        <w:rPr>
          <w:rFonts w:hint="cs"/>
          <w:rtl/>
          <w:lang/>
        </w:rPr>
        <w:tab/>
      </w:r>
      <w:r w:rsidR="002D146B" w:rsidRPr="00496859">
        <w:rPr>
          <w:rtl/>
          <w:lang/>
        </w:rPr>
        <w:t>دواعي القلق الرئيسية والتوصيات</w:t>
      </w:r>
    </w:p>
    <w:p w:rsidR="002D146B" w:rsidRDefault="00D1622A" w:rsidP="008D75A4">
      <w:pPr>
        <w:pStyle w:val="SingleTxtGA"/>
        <w:rPr>
          <w:rFonts w:hint="cs"/>
        </w:rPr>
      </w:pPr>
      <w:r>
        <w:rPr>
          <w:rFonts w:hint="cs"/>
          <w:rtl/>
          <w:lang/>
        </w:rPr>
        <w:t>5</w:t>
      </w:r>
      <w:r w:rsidRPr="00D1622A">
        <w:rPr>
          <w:rFonts w:hint="cs"/>
          <w:rtl/>
          <w:lang/>
        </w:rPr>
        <w:t>-</w:t>
      </w:r>
      <w:r w:rsidRPr="00D1622A">
        <w:rPr>
          <w:rFonts w:hint="cs"/>
          <w:rtl/>
          <w:lang/>
        </w:rPr>
        <w:tab/>
      </w:r>
      <w:r w:rsidR="002D146B" w:rsidRPr="00496859">
        <w:rPr>
          <w:rFonts w:hint="cs"/>
          <w:rtl/>
          <w:lang w:val="de-CH" w:bidi="ar-EG"/>
        </w:rPr>
        <w:t xml:space="preserve">فيما ترحب اللجنة بإمكانية الاحتجاج مباشرة بأحكام العهد أمام المحكمة، </w:t>
      </w:r>
      <w:r>
        <w:rPr>
          <w:rFonts w:hint="cs"/>
          <w:rtl/>
          <w:lang w:val="de-CH" w:bidi="ar-EG"/>
        </w:rPr>
        <w:t xml:space="preserve">فإنها </w:t>
      </w:r>
      <w:r>
        <w:rPr>
          <w:rtl/>
          <w:lang w:val="de-CH" w:bidi="ar-EG"/>
        </w:rPr>
        <w:t>تلاحظ</w:t>
      </w:r>
      <w:r w:rsidR="002D146B" w:rsidRPr="00496859">
        <w:rPr>
          <w:rtl/>
          <w:lang w:val="de-CH" w:bidi="ar-EG"/>
        </w:rPr>
        <w:t xml:space="preserve"> مع الأسف </w:t>
      </w:r>
      <w:r w:rsidR="002D146B" w:rsidRPr="00496859">
        <w:rPr>
          <w:rtl/>
          <w:lang/>
        </w:rPr>
        <w:t>أن أحكام العهد لا يُحتج بها</w:t>
      </w:r>
      <w:r w:rsidR="002D146B" w:rsidRPr="00496859">
        <w:rPr>
          <w:rFonts w:hint="cs"/>
          <w:rtl/>
          <w:lang/>
        </w:rPr>
        <w:t xml:space="preserve">، إلى يومنا هذا، </w:t>
      </w:r>
      <w:r w:rsidR="002D146B" w:rsidRPr="00496859">
        <w:rPr>
          <w:rtl/>
          <w:lang/>
        </w:rPr>
        <w:t>في المحاكم القانونية للدولة الطرف (المادة 2 من العهد).</w:t>
      </w:r>
    </w:p>
    <w:p w:rsidR="002D146B" w:rsidRPr="00E016FA" w:rsidRDefault="00E016FA" w:rsidP="00E016FA">
      <w:pPr>
        <w:pStyle w:val="SingleTxtGA"/>
        <w:rPr>
          <w:rFonts w:hint="cs"/>
          <w:rtl/>
        </w:rPr>
      </w:pPr>
      <w:r>
        <w:rPr>
          <w:rFonts w:hint="cs"/>
          <w:b/>
          <w:bCs/>
          <w:rtl/>
          <w:lang/>
        </w:rPr>
        <w:tab/>
      </w:r>
      <w:r w:rsidR="002D146B" w:rsidRPr="00496859">
        <w:rPr>
          <w:b/>
          <w:bCs/>
          <w:rtl/>
          <w:lang/>
        </w:rPr>
        <w:t xml:space="preserve">ينبغي للدولة الطرف أن تتخذ تدابير لضمان أن يحصل القضاة </w:t>
      </w:r>
      <w:r w:rsidR="002D146B" w:rsidRPr="00496859">
        <w:rPr>
          <w:rFonts w:hint="cs"/>
          <w:b/>
          <w:bCs/>
          <w:rtl/>
          <w:lang/>
        </w:rPr>
        <w:t xml:space="preserve">وممثلو الادعاء </w:t>
      </w:r>
      <w:r w:rsidR="002D146B" w:rsidRPr="00496859">
        <w:rPr>
          <w:b/>
          <w:bCs/>
          <w:rtl/>
          <w:lang/>
        </w:rPr>
        <w:t xml:space="preserve">والموظفون المكلفون بإنفاذ القانون على تدريب مناسب </w:t>
      </w:r>
      <w:r w:rsidR="002D146B">
        <w:rPr>
          <w:rFonts w:hint="cs"/>
          <w:b/>
          <w:bCs/>
          <w:rtl/>
          <w:lang/>
        </w:rPr>
        <w:t>يمكنهم</w:t>
      </w:r>
      <w:r w:rsidR="002D146B" w:rsidRPr="00496859">
        <w:rPr>
          <w:b/>
          <w:bCs/>
          <w:rtl/>
          <w:lang/>
        </w:rPr>
        <w:t xml:space="preserve"> من تطبيق القانون المحلي وتفسيره في ضوء العهد ونشر المعرفة بأحكام العهد بين المحامين وعامة الجمهور لتمكينهم من </w:t>
      </w:r>
      <w:r w:rsidR="002D146B" w:rsidRPr="00496859">
        <w:rPr>
          <w:rFonts w:hint="cs"/>
          <w:b/>
          <w:bCs/>
          <w:rtl/>
          <w:lang/>
        </w:rPr>
        <w:t>الاحتجاج</w:t>
      </w:r>
      <w:r w:rsidR="002D146B" w:rsidRPr="00496859">
        <w:rPr>
          <w:b/>
          <w:bCs/>
          <w:rtl/>
          <w:lang/>
        </w:rPr>
        <w:t xml:space="preserve"> بأحكامه أمام المحاكم</w:t>
      </w:r>
      <w:r>
        <w:rPr>
          <w:rFonts w:hint="cs"/>
          <w:rtl/>
        </w:rPr>
        <w:t xml:space="preserve">. </w:t>
      </w:r>
      <w:r w:rsidR="002D146B" w:rsidRPr="00496859">
        <w:rPr>
          <w:b/>
          <w:bCs/>
          <w:rtl/>
          <w:lang/>
        </w:rPr>
        <w:t>وينبغي لها أن تورد</w:t>
      </w:r>
      <w:r>
        <w:rPr>
          <w:rFonts w:hint="cs"/>
          <w:b/>
          <w:bCs/>
          <w:rtl/>
          <w:lang/>
        </w:rPr>
        <w:t>،</w:t>
      </w:r>
      <w:r w:rsidR="002D146B" w:rsidRPr="00496859">
        <w:rPr>
          <w:b/>
          <w:bCs/>
          <w:rtl/>
          <w:lang/>
        </w:rPr>
        <w:t xml:space="preserve"> في تقريرها الدوري المقبل</w:t>
      </w:r>
      <w:r>
        <w:rPr>
          <w:rFonts w:hint="cs"/>
          <w:b/>
          <w:bCs/>
          <w:rtl/>
          <w:lang/>
        </w:rPr>
        <w:t>،</w:t>
      </w:r>
      <w:r>
        <w:rPr>
          <w:b/>
          <w:bCs/>
          <w:rtl/>
          <w:lang/>
        </w:rPr>
        <w:t xml:space="preserve"> أمثلة مفصلة ع</w:t>
      </w:r>
      <w:r>
        <w:rPr>
          <w:rFonts w:hint="cs"/>
          <w:b/>
          <w:bCs/>
          <w:rtl/>
          <w:lang/>
        </w:rPr>
        <w:t>لى</w:t>
      </w:r>
      <w:r w:rsidR="002D146B" w:rsidRPr="00496859">
        <w:rPr>
          <w:b/>
          <w:bCs/>
          <w:rtl/>
          <w:lang/>
        </w:rPr>
        <w:t xml:space="preserve"> تطبيق العهد من </w:t>
      </w:r>
      <w:r w:rsidR="002D146B" w:rsidRPr="00496859">
        <w:rPr>
          <w:rFonts w:hint="cs"/>
          <w:b/>
          <w:bCs/>
          <w:rtl/>
          <w:lang/>
        </w:rPr>
        <w:t>قبل</w:t>
      </w:r>
      <w:r w:rsidR="002D146B" w:rsidRPr="00496859">
        <w:rPr>
          <w:b/>
          <w:bCs/>
          <w:rtl/>
          <w:lang/>
        </w:rPr>
        <w:t xml:space="preserve"> المحاكم الوطنية ووصول الأفراد الذين يدعون حدوث انتهاك للحقوق الواردة في العهد، إلى سبل انتصاف منصوص عليها في القانون</w:t>
      </w:r>
      <w:r>
        <w:rPr>
          <w:rFonts w:hint="cs"/>
          <w:b/>
          <w:bCs/>
          <w:rtl/>
        </w:rPr>
        <w:t>.</w:t>
      </w:r>
      <w:r w:rsidR="002D146B" w:rsidRPr="00496859">
        <w:rPr>
          <w:rFonts w:hint="cs"/>
          <w:b/>
          <w:bCs/>
          <w:rtl/>
        </w:rPr>
        <w:t xml:space="preserve"> وينبغي لها </w:t>
      </w:r>
      <w:r w:rsidR="002D146B">
        <w:rPr>
          <w:rFonts w:hint="cs"/>
          <w:b/>
          <w:bCs/>
          <w:rtl/>
        </w:rPr>
        <w:t>أيض</w:t>
      </w:r>
      <w:r w:rsidR="00CA20A7">
        <w:rPr>
          <w:rFonts w:hint="cs"/>
          <w:b/>
          <w:bCs/>
          <w:rtl/>
        </w:rPr>
        <w:t>اً</w:t>
      </w:r>
      <w:r w:rsidR="002D146B" w:rsidRPr="00496859">
        <w:rPr>
          <w:rFonts w:hint="cs"/>
          <w:b/>
          <w:bCs/>
          <w:rtl/>
        </w:rPr>
        <w:t xml:space="preserve"> </w:t>
      </w:r>
      <w:r w:rsidR="002D146B">
        <w:rPr>
          <w:rFonts w:hint="cs"/>
          <w:b/>
          <w:bCs/>
          <w:rtl/>
        </w:rPr>
        <w:t>أن تنظر</w:t>
      </w:r>
      <w:r w:rsidR="002D146B" w:rsidRPr="00496859">
        <w:rPr>
          <w:rFonts w:hint="cs"/>
          <w:b/>
          <w:bCs/>
          <w:rtl/>
        </w:rPr>
        <w:t xml:space="preserve"> في الانضمام إلى البروتوكول الاختياري الأول الملحق بالعهد.</w:t>
      </w:r>
    </w:p>
    <w:p w:rsidR="002D146B" w:rsidRPr="00D34614" w:rsidRDefault="00E016FA" w:rsidP="008D75A4">
      <w:pPr>
        <w:pStyle w:val="SingleTxtGA"/>
        <w:rPr>
          <w:rFonts w:hint="cs"/>
        </w:rPr>
      </w:pPr>
      <w:r>
        <w:rPr>
          <w:rFonts w:hint="cs"/>
          <w:rtl/>
        </w:rPr>
        <w:t>6-</w:t>
      </w:r>
      <w:r>
        <w:rPr>
          <w:rFonts w:hint="cs"/>
          <w:rtl/>
        </w:rPr>
        <w:tab/>
      </w:r>
      <w:r w:rsidR="002D146B" w:rsidRPr="00496859">
        <w:rPr>
          <w:rtl/>
          <w:lang/>
        </w:rPr>
        <w:t>وتأسف اللجنة لعدم تقديم الدولة الطرف معلومات وبيانات إحصائية مفصلة</w:t>
      </w:r>
      <w:r>
        <w:rPr>
          <w:rFonts w:hint="cs"/>
          <w:rtl/>
          <w:lang/>
        </w:rPr>
        <w:t>،</w:t>
      </w:r>
      <w:r w:rsidR="002D146B" w:rsidRPr="00496859">
        <w:rPr>
          <w:rtl/>
          <w:lang/>
        </w:rPr>
        <w:t xml:space="preserve"> في تقريرها الأولي وفي ردودها الخطية على قائمة المسائل،</w:t>
      </w:r>
      <w:r w:rsidR="002D146B" w:rsidRPr="00496859">
        <w:rPr>
          <w:rFonts w:hint="cs"/>
          <w:rtl/>
          <w:lang/>
        </w:rPr>
        <w:t xml:space="preserve"> </w:t>
      </w:r>
      <w:r w:rsidR="002D146B" w:rsidRPr="00496859">
        <w:rPr>
          <w:rtl/>
          <w:lang/>
        </w:rPr>
        <w:t>لتمكين اللجنة من تقييم ما أحدثته الحقوق الواردة في العهد من أثر في الممارسة الفعلية في الدولة الطرف، وترى أن هذه المعلومات والبيانات جوهرية بالنسبة إلى مهمتها المتعلقة برصد تنفيذ العهد</w:t>
      </w:r>
      <w:r w:rsidR="002D146B" w:rsidRPr="00496859">
        <w:rPr>
          <w:rFonts w:hint="cs"/>
          <w:rtl/>
          <w:lang/>
        </w:rPr>
        <w:t>.</w:t>
      </w:r>
    </w:p>
    <w:p w:rsidR="002D146B" w:rsidRPr="00E016FA" w:rsidRDefault="00E016FA" w:rsidP="008D75A4">
      <w:pPr>
        <w:pStyle w:val="SingleTxtGA"/>
        <w:rPr>
          <w:rFonts w:hint="cs"/>
          <w:spacing w:val="-4"/>
          <w:rtl/>
        </w:rPr>
      </w:pPr>
      <w:r w:rsidRPr="00E016FA">
        <w:rPr>
          <w:rFonts w:hint="cs"/>
          <w:b/>
          <w:bCs/>
          <w:spacing w:val="-4"/>
          <w:rtl/>
          <w:lang/>
        </w:rPr>
        <w:tab/>
      </w:r>
      <w:r w:rsidR="002D146B" w:rsidRPr="00E016FA">
        <w:rPr>
          <w:b/>
          <w:bCs/>
          <w:spacing w:val="-4"/>
          <w:rtl/>
          <w:lang/>
        </w:rPr>
        <w:t>ينبغي للدولة الطرف</w:t>
      </w:r>
      <w:r w:rsidR="002D146B" w:rsidRPr="00E016FA">
        <w:rPr>
          <w:rFonts w:hint="cs"/>
          <w:b/>
          <w:bCs/>
          <w:spacing w:val="-4"/>
          <w:rtl/>
          <w:lang/>
        </w:rPr>
        <w:t xml:space="preserve"> أن تقدم</w:t>
      </w:r>
      <w:r w:rsidRPr="00E016FA">
        <w:rPr>
          <w:rFonts w:hint="cs"/>
          <w:b/>
          <w:bCs/>
          <w:spacing w:val="-4"/>
          <w:rtl/>
          <w:lang/>
        </w:rPr>
        <w:t>،</w:t>
      </w:r>
      <w:r w:rsidR="002D146B" w:rsidRPr="00E016FA">
        <w:rPr>
          <w:rFonts w:hint="cs"/>
          <w:b/>
          <w:bCs/>
          <w:spacing w:val="-4"/>
          <w:rtl/>
          <w:lang/>
        </w:rPr>
        <w:t xml:space="preserve"> </w:t>
      </w:r>
      <w:r w:rsidR="002D146B" w:rsidRPr="00E016FA">
        <w:rPr>
          <w:b/>
          <w:bCs/>
          <w:spacing w:val="-4"/>
          <w:rtl/>
          <w:lang/>
        </w:rPr>
        <w:t>في تقريرها الدوري القادم</w:t>
      </w:r>
      <w:r w:rsidRPr="00E016FA">
        <w:rPr>
          <w:rFonts w:hint="cs"/>
          <w:b/>
          <w:bCs/>
          <w:spacing w:val="-4"/>
          <w:rtl/>
          <w:lang/>
        </w:rPr>
        <w:t>،</w:t>
      </w:r>
      <w:r w:rsidR="002D146B" w:rsidRPr="00E016FA">
        <w:rPr>
          <w:b/>
          <w:bCs/>
          <w:spacing w:val="-4"/>
          <w:rtl/>
          <w:lang/>
        </w:rPr>
        <w:t xml:space="preserve"> المزيد من المعلومات الشاملة </w:t>
      </w:r>
      <w:r w:rsidR="002D146B" w:rsidRPr="00E016FA">
        <w:rPr>
          <w:rFonts w:hint="cs"/>
          <w:b/>
          <w:bCs/>
          <w:spacing w:val="-4"/>
          <w:rtl/>
          <w:lang/>
        </w:rPr>
        <w:t>المتعلقة بتطبيق</w:t>
      </w:r>
      <w:r w:rsidR="002D146B" w:rsidRPr="00E016FA">
        <w:rPr>
          <w:b/>
          <w:bCs/>
          <w:spacing w:val="-4"/>
          <w:rtl/>
          <w:lang/>
        </w:rPr>
        <w:t xml:space="preserve"> تشريعاتها في المجالات المختلفة التي يشملها العهد. وينبغي أيضاً أن تقدم ما يتصل بذلك من بيانات إحصائية كاملة ومفصلة بحسب جملة أمور من بينها نوع الجنس</w:t>
      </w:r>
      <w:r w:rsidRPr="00E016FA">
        <w:rPr>
          <w:rFonts w:hint="cs"/>
          <w:spacing w:val="-4"/>
          <w:rtl/>
        </w:rPr>
        <w:t>.</w:t>
      </w:r>
    </w:p>
    <w:p w:rsidR="002D146B" w:rsidRPr="00B606EC" w:rsidRDefault="00E016FA" w:rsidP="00E016FA">
      <w:pPr>
        <w:pStyle w:val="SingleTxtGA"/>
        <w:rPr>
          <w:rFonts w:hint="cs"/>
        </w:rPr>
      </w:pPr>
      <w:r>
        <w:rPr>
          <w:rFonts w:hint="cs"/>
          <w:rtl/>
          <w:lang/>
        </w:rPr>
        <w:t>7-</w:t>
      </w:r>
      <w:r>
        <w:rPr>
          <w:rFonts w:hint="cs"/>
          <w:rtl/>
          <w:lang/>
        </w:rPr>
        <w:tab/>
      </w:r>
      <w:r w:rsidR="002D146B" w:rsidRPr="00496859">
        <w:rPr>
          <w:rtl/>
          <w:lang/>
        </w:rPr>
        <w:t>وترحب اللجنة بإنشاء اللجنة الوطنية لحقوق الإنسان في</w:t>
      </w:r>
      <w:r w:rsidR="002D146B" w:rsidRPr="00496859">
        <w:rPr>
          <w:rFonts w:hint="cs"/>
          <w:rtl/>
          <w:lang/>
        </w:rPr>
        <w:t xml:space="preserve"> عام 2009 وبدء عملها في أيلول/سبتمبر 2012. </w:t>
      </w:r>
      <w:r>
        <w:rPr>
          <w:rFonts w:hint="cs"/>
          <w:rtl/>
          <w:lang/>
        </w:rPr>
        <w:t>إلا أنها تشعر</w:t>
      </w:r>
      <w:r w:rsidR="002D146B" w:rsidRPr="00496859">
        <w:rPr>
          <w:rtl/>
          <w:lang/>
        </w:rPr>
        <w:t xml:space="preserve"> </w:t>
      </w:r>
      <w:r>
        <w:rPr>
          <w:rFonts w:hint="cs"/>
          <w:rtl/>
          <w:lang/>
        </w:rPr>
        <w:t>ب</w:t>
      </w:r>
      <w:r w:rsidR="002137A7">
        <w:rPr>
          <w:rtl/>
          <w:lang/>
        </w:rPr>
        <w:t>القلق</w:t>
      </w:r>
      <w:r w:rsidR="002D146B" w:rsidRPr="00496859">
        <w:rPr>
          <w:rtl/>
          <w:lang/>
        </w:rPr>
        <w:t xml:space="preserve"> إزاء</w:t>
      </w:r>
      <w:r w:rsidR="002D146B">
        <w:rPr>
          <w:rFonts w:hint="cs"/>
          <w:rtl/>
          <w:lang/>
        </w:rPr>
        <w:t xml:space="preserve"> </w:t>
      </w:r>
      <w:r w:rsidR="002D146B" w:rsidRPr="00496859">
        <w:rPr>
          <w:rtl/>
          <w:lang/>
        </w:rPr>
        <w:t>المعلومات التي تفيد بعدم استقلا</w:t>
      </w:r>
      <w:r w:rsidR="002D146B" w:rsidRPr="00496859">
        <w:rPr>
          <w:rFonts w:hint="cs"/>
          <w:rtl/>
          <w:lang/>
        </w:rPr>
        <w:t>لية اللجنة وضعف أدائها (المادة 2).</w:t>
      </w:r>
    </w:p>
    <w:p w:rsidR="002D146B" w:rsidRPr="00496859" w:rsidRDefault="00E016FA" w:rsidP="008D75A4">
      <w:pPr>
        <w:pStyle w:val="SingleTxtGA"/>
        <w:rPr>
          <w:rFonts w:hint="cs"/>
          <w:b/>
          <w:bCs/>
          <w:rtl/>
          <w:lang/>
        </w:rPr>
      </w:pPr>
      <w:r>
        <w:rPr>
          <w:rFonts w:hint="cs"/>
          <w:b/>
          <w:bCs/>
          <w:rtl/>
          <w:lang/>
        </w:rPr>
        <w:tab/>
      </w:r>
      <w:r w:rsidR="002D146B" w:rsidRPr="00496859">
        <w:rPr>
          <w:b/>
          <w:bCs/>
          <w:rtl/>
          <w:lang/>
        </w:rPr>
        <w:t>ينبغي للدولة الطرف أن تعزز جهودها الرامية إلى ضمان تمتع اللجنة الوطنية لحقوق الإنسان بالاستقلال</w:t>
      </w:r>
      <w:r w:rsidR="002D146B" w:rsidRPr="00496859">
        <w:rPr>
          <w:rFonts w:hint="cs"/>
          <w:b/>
          <w:bCs/>
          <w:rtl/>
          <w:lang/>
        </w:rPr>
        <w:t>ية التامة</w:t>
      </w:r>
      <w:r w:rsidR="002D146B" w:rsidRPr="00496859">
        <w:rPr>
          <w:b/>
          <w:bCs/>
          <w:rtl/>
          <w:lang/>
        </w:rPr>
        <w:t xml:space="preserve">، </w:t>
      </w:r>
      <w:r w:rsidR="002D146B">
        <w:rPr>
          <w:rFonts w:hint="cs"/>
          <w:b/>
          <w:bCs/>
          <w:rtl/>
          <w:lang/>
        </w:rPr>
        <w:t>وأن يتم</w:t>
      </w:r>
      <w:r w:rsidR="002D146B" w:rsidRPr="00496859">
        <w:rPr>
          <w:b/>
          <w:bCs/>
          <w:rtl/>
          <w:lang/>
        </w:rPr>
        <w:t xml:space="preserve"> تزويدها بما </w:t>
      </w:r>
      <w:r w:rsidR="002D146B">
        <w:rPr>
          <w:rFonts w:hint="cs"/>
          <w:b/>
          <w:bCs/>
          <w:rtl/>
          <w:lang/>
        </w:rPr>
        <w:t>يلزم</w:t>
      </w:r>
      <w:r w:rsidR="002D146B" w:rsidRPr="00496859">
        <w:rPr>
          <w:b/>
          <w:bCs/>
          <w:rtl/>
          <w:lang/>
        </w:rPr>
        <w:t xml:space="preserve"> من الموارد البشرية </w:t>
      </w:r>
      <w:r w:rsidR="002D146B" w:rsidRPr="00496859">
        <w:rPr>
          <w:rFonts w:hint="cs"/>
          <w:b/>
          <w:bCs/>
          <w:rtl/>
          <w:lang/>
        </w:rPr>
        <w:t>لتمكينها من الاضطلاع بولايتها بفعالية بما يتماشى تمام</w:t>
      </w:r>
      <w:r w:rsidR="00CA20A7">
        <w:rPr>
          <w:rFonts w:hint="cs"/>
          <w:b/>
          <w:bCs/>
          <w:rtl/>
          <w:lang/>
        </w:rPr>
        <w:t>اً</w:t>
      </w:r>
      <w:r w:rsidR="002D146B" w:rsidRPr="00496859">
        <w:rPr>
          <w:rFonts w:hint="cs"/>
          <w:b/>
          <w:bCs/>
          <w:rtl/>
          <w:lang/>
        </w:rPr>
        <w:t xml:space="preserve"> مع </w:t>
      </w:r>
      <w:r w:rsidR="002D146B" w:rsidRPr="00496859">
        <w:rPr>
          <w:b/>
          <w:bCs/>
          <w:rtl/>
          <w:lang/>
        </w:rPr>
        <w:t xml:space="preserve">المبادئ المتعلقة بمركز المؤسسات الوطنية لتعزيز وحماية حقوق الإنسان </w:t>
      </w:r>
      <w:r w:rsidR="002D146B" w:rsidRPr="00496859">
        <w:rPr>
          <w:rFonts w:hint="cs"/>
          <w:b/>
          <w:bCs/>
          <w:rtl/>
          <w:lang/>
        </w:rPr>
        <w:t>(مبادئ باريس).</w:t>
      </w:r>
    </w:p>
    <w:p w:rsidR="002D146B" w:rsidRPr="00364BCB" w:rsidRDefault="00E016FA" w:rsidP="008D75A4">
      <w:pPr>
        <w:pStyle w:val="SingleTxtGA"/>
        <w:rPr>
          <w:rFonts w:hint="cs"/>
        </w:rPr>
      </w:pPr>
      <w:r>
        <w:rPr>
          <w:rFonts w:hint="cs"/>
          <w:rtl/>
        </w:rPr>
        <w:t>8-</w:t>
      </w:r>
      <w:r>
        <w:rPr>
          <w:rFonts w:hint="cs"/>
          <w:rtl/>
        </w:rPr>
        <w:tab/>
      </w:r>
      <w:r w:rsidR="002D146B" w:rsidRPr="00496859">
        <w:rPr>
          <w:rtl/>
        </w:rPr>
        <w:t xml:space="preserve">إن اللجنة، إذ تنوه بأن المادة 35 من الدستور </w:t>
      </w:r>
      <w:r w:rsidR="002D146B" w:rsidRPr="00496859">
        <w:rPr>
          <w:rtl/>
          <w:lang/>
        </w:rPr>
        <w:t>تكفل مساواة جميع المواطنين أمام القانون،</w:t>
      </w:r>
      <w:r w:rsidR="002D146B" w:rsidRPr="00496859">
        <w:rPr>
          <w:rFonts w:hint="cs"/>
          <w:rtl/>
          <w:lang/>
        </w:rPr>
        <w:t xml:space="preserve"> </w:t>
      </w:r>
      <w:r w:rsidR="002D146B">
        <w:rPr>
          <w:rFonts w:hint="cs"/>
          <w:rtl/>
          <w:lang/>
        </w:rPr>
        <w:t xml:space="preserve">فإنها </w:t>
      </w:r>
      <w:r w:rsidR="002D146B" w:rsidRPr="00496859">
        <w:rPr>
          <w:rtl/>
          <w:lang/>
        </w:rPr>
        <w:t xml:space="preserve">تشعر بالقلق إزاء </w:t>
      </w:r>
      <w:r w:rsidR="002D146B" w:rsidRPr="00496859">
        <w:rPr>
          <w:rFonts w:hint="cs"/>
          <w:rtl/>
          <w:lang/>
        </w:rPr>
        <w:t xml:space="preserve">التقارير التي تشير إلى ممارسة التمييز العنصري ضد السكان المحليين والتجار المحليين في مناطق سياحية، لا سيما في شواطئ أقاليم </w:t>
      </w:r>
      <w:proofErr w:type="spellStart"/>
      <w:r w:rsidR="002D146B" w:rsidRPr="00496859">
        <w:rPr>
          <w:rtl/>
          <w:lang/>
        </w:rPr>
        <w:t>إنهامباني</w:t>
      </w:r>
      <w:proofErr w:type="spellEnd"/>
      <w:r w:rsidR="002D146B" w:rsidRPr="00496859">
        <w:rPr>
          <w:rtl/>
          <w:lang/>
        </w:rPr>
        <w:t xml:space="preserve">، وغازا، </w:t>
      </w:r>
      <w:proofErr w:type="spellStart"/>
      <w:r w:rsidR="002D146B" w:rsidRPr="00496859">
        <w:rPr>
          <w:rtl/>
          <w:lang/>
        </w:rPr>
        <w:t>وكابو</w:t>
      </w:r>
      <w:proofErr w:type="spellEnd"/>
      <w:r w:rsidR="002D146B" w:rsidRPr="00496859">
        <w:rPr>
          <w:rtl/>
          <w:lang/>
        </w:rPr>
        <w:t xml:space="preserve"> </w:t>
      </w:r>
      <w:proofErr w:type="spellStart"/>
      <w:r w:rsidR="002D146B" w:rsidRPr="00496859">
        <w:rPr>
          <w:rtl/>
          <w:lang/>
        </w:rPr>
        <w:t>ديلغادو</w:t>
      </w:r>
      <w:proofErr w:type="spellEnd"/>
      <w:r w:rsidR="002D146B" w:rsidRPr="00496859">
        <w:rPr>
          <w:rtl/>
          <w:lang/>
        </w:rPr>
        <w:t xml:space="preserve"> وفرض قيود على حرية تنقلهم</w:t>
      </w:r>
      <w:r w:rsidR="002D146B">
        <w:rPr>
          <w:rFonts w:hint="cs"/>
          <w:rtl/>
          <w:lang/>
        </w:rPr>
        <w:t xml:space="preserve"> (المواد 2</w:t>
      </w:r>
      <w:r w:rsidR="002137A7">
        <w:rPr>
          <w:rFonts w:hint="cs"/>
          <w:rtl/>
          <w:lang/>
        </w:rPr>
        <w:t xml:space="preserve"> </w:t>
      </w:r>
      <w:r w:rsidR="002D146B" w:rsidRPr="00496859">
        <w:rPr>
          <w:rFonts w:hint="cs"/>
          <w:rtl/>
          <w:lang/>
        </w:rPr>
        <w:t>و12 و26)</w:t>
      </w:r>
      <w:r w:rsidR="002D146B">
        <w:rPr>
          <w:rFonts w:hint="cs"/>
          <w:rtl/>
          <w:lang/>
        </w:rPr>
        <w:t>.</w:t>
      </w:r>
    </w:p>
    <w:p w:rsidR="002D146B" w:rsidRPr="00E5082A" w:rsidRDefault="002137A7" w:rsidP="00E5082A">
      <w:pPr>
        <w:pStyle w:val="SingleTxtGA"/>
        <w:rPr>
          <w:rFonts w:ascii="Times New Roman Bold" w:hAnsi="Times New Roman Bold" w:hint="cs"/>
          <w:b/>
          <w:bCs/>
          <w:rtl/>
          <w:lang/>
        </w:rPr>
      </w:pPr>
      <w:r w:rsidRPr="00E5082A">
        <w:rPr>
          <w:rFonts w:ascii="Times New Roman Bold" w:hAnsi="Times New Roman Bold" w:hint="cs"/>
          <w:b/>
          <w:bCs/>
          <w:rtl/>
          <w:lang/>
        </w:rPr>
        <w:tab/>
      </w:r>
      <w:r w:rsidR="002D146B" w:rsidRPr="00E5082A">
        <w:rPr>
          <w:rFonts w:ascii="Times New Roman Bold" w:hAnsi="Times New Roman Bold"/>
          <w:b/>
          <w:bCs/>
          <w:rtl/>
          <w:lang/>
        </w:rPr>
        <w:t>ينبغي للدولة الطرف المشاركة مع الجهات الفاعلة ذات الصلة، بما فيها السلطات المحلية وصناعة السياحة، في حوار يهدف إلى منع ومكافحة أي شكل من أشكال التمييز</w:t>
      </w:r>
      <w:r w:rsidR="00E5082A">
        <w:rPr>
          <w:rFonts w:ascii="Times New Roman Bold" w:hAnsi="Times New Roman Bold" w:hint="eastAsia"/>
          <w:b/>
          <w:bCs/>
          <w:rtl/>
          <w:lang/>
        </w:rPr>
        <w:t> </w:t>
      </w:r>
      <w:r w:rsidR="002D146B" w:rsidRPr="00E5082A">
        <w:rPr>
          <w:rFonts w:ascii="Times New Roman Bold" w:hAnsi="Times New Roman Bold"/>
          <w:b/>
          <w:bCs/>
          <w:rtl/>
          <w:lang/>
        </w:rPr>
        <w:t>في المنا</w:t>
      </w:r>
      <w:r w:rsidR="00E016FA" w:rsidRPr="00E5082A">
        <w:rPr>
          <w:rFonts w:ascii="Times New Roman Bold" w:hAnsi="Times New Roman Bold"/>
          <w:b/>
          <w:bCs/>
          <w:rtl/>
          <w:lang/>
        </w:rPr>
        <w:t>طق السياحية. وينبغي ل</w:t>
      </w:r>
      <w:r w:rsidR="00E016FA" w:rsidRPr="00E5082A">
        <w:rPr>
          <w:rFonts w:ascii="Times New Roman Bold" w:hAnsi="Times New Roman Bold" w:hint="cs"/>
          <w:b/>
          <w:bCs/>
          <w:rtl/>
          <w:lang/>
        </w:rPr>
        <w:t>ها</w:t>
      </w:r>
      <w:r w:rsidR="002D146B" w:rsidRPr="00E5082A">
        <w:rPr>
          <w:rFonts w:ascii="Times New Roman Bold" w:hAnsi="Times New Roman Bold"/>
          <w:b/>
          <w:bCs/>
          <w:rtl/>
          <w:lang/>
        </w:rPr>
        <w:t xml:space="preserve"> أن تضمن التنفيذ الفعال للأحكام القانونية التي تعكس الالتزامات التي تقع على عاتق الدولة الطرف بموجب العهد فيما يتعلق بمبدأ عدم التمييز.</w:t>
      </w:r>
      <w:r w:rsidR="002D146B" w:rsidRPr="00E5082A">
        <w:rPr>
          <w:rFonts w:ascii="Times New Roman Bold" w:hAnsi="Times New Roman Bold"/>
          <w:b/>
          <w:bCs/>
          <w:rtl/>
        </w:rPr>
        <w:t xml:space="preserve"> </w:t>
      </w:r>
      <w:r w:rsidR="002D146B" w:rsidRPr="00E5082A">
        <w:rPr>
          <w:rFonts w:ascii="Times New Roman Bold" w:hAnsi="Times New Roman Bold"/>
          <w:b/>
          <w:bCs/>
          <w:rtl/>
          <w:lang/>
        </w:rPr>
        <w:t>وينبغي للدولة الطرف أيضاً أن تتخذ تدابير مناسبة لضمان</w:t>
      </w:r>
      <w:r w:rsidR="002D146B" w:rsidRPr="00E5082A">
        <w:rPr>
          <w:rFonts w:ascii="Times New Roman Bold" w:hAnsi="Times New Roman Bold" w:hint="cs"/>
          <w:b/>
          <w:bCs/>
          <w:rtl/>
          <w:lang/>
        </w:rPr>
        <w:t xml:space="preserve"> إجراء</w:t>
      </w:r>
      <w:r w:rsidR="002D146B" w:rsidRPr="00E5082A">
        <w:rPr>
          <w:rFonts w:ascii="Times New Roman Bold" w:hAnsi="Times New Roman Bold"/>
          <w:b/>
          <w:bCs/>
          <w:rtl/>
          <w:lang/>
        </w:rPr>
        <w:t xml:space="preserve"> تحقيق في أعمال التمييز هذه.</w:t>
      </w:r>
    </w:p>
    <w:p w:rsidR="002D146B" w:rsidRPr="00E016FA" w:rsidRDefault="00E016FA" w:rsidP="002137A7">
      <w:pPr>
        <w:pStyle w:val="SingleTxtGA"/>
        <w:rPr>
          <w:rFonts w:hint="cs"/>
          <w:b/>
          <w:bCs/>
          <w:spacing w:val="-2"/>
        </w:rPr>
      </w:pPr>
      <w:r w:rsidRPr="00E016FA">
        <w:rPr>
          <w:rFonts w:hint="cs"/>
          <w:spacing w:val="-2"/>
          <w:rtl/>
          <w:lang/>
        </w:rPr>
        <w:t>9-</w:t>
      </w:r>
      <w:r w:rsidRPr="00E016FA">
        <w:rPr>
          <w:rFonts w:hint="cs"/>
          <w:spacing w:val="-2"/>
          <w:rtl/>
          <w:lang/>
        </w:rPr>
        <w:tab/>
      </w:r>
      <w:r w:rsidR="002D146B" w:rsidRPr="00E016FA">
        <w:rPr>
          <w:spacing w:val="-2"/>
          <w:rtl/>
          <w:lang/>
        </w:rPr>
        <w:t xml:space="preserve">بينما تلاحظ اللجنة التدابير </w:t>
      </w:r>
      <w:r w:rsidR="002D146B" w:rsidRPr="00E016FA">
        <w:rPr>
          <w:rFonts w:hint="cs"/>
          <w:spacing w:val="-2"/>
          <w:rtl/>
          <w:lang/>
        </w:rPr>
        <w:t>التي تتخذها</w:t>
      </w:r>
      <w:r w:rsidR="002D146B" w:rsidRPr="00E016FA">
        <w:rPr>
          <w:spacing w:val="-2"/>
          <w:rtl/>
          <w:lang/>
        </w:rPr>
        <w:t xml:space="preserve"> الدولة الطرف </w:t>
      </w:r>
      <w:r w:rsidRPr="00E016FA">
        <w:rPr>
          <w:rFonts w:hint="cs"/>
          <w:spacing w:val="-2"/>
          <w:rtl/>
          <w:lang/>
        </w:rPr>
        <w:t>لتعزيز</w:t>
      </w:r>
      <w:r w:rsidR="002D146B" w:rsidRPr="00E016FA">
        <w:rPr>
          <w:spacing w:val="-2"/>
          <w:rtl/>
          <w:lang/>
        </w:rPr>
        <w:t xml:space="preserve"> </w:t>
      </w:r>
      <w:r w:rsidR="002D146B" w:rsidRPr="00E016FA">
        <w:rPr>
          <w:rFonts w:hint="cs"/>
          <w:spacing w:val="-2"/>
          <w:rtl/>
          <w:lang/>
        </w:rPr>
        <w:t xml:space="preserve">المساواة بين الجنسين والتقدم المحرز، لا سيما </w:t>
      </w:r>
      <w:r w:rsidR="002D146B" w:rsidRPr="00E016FA">
        <w:rPr>
          <w:spacing w:val="-2"/>
          <w:rtl/>
          <w:lang/>
        </w:rPr>
        <w:t>على المستويات العليا للحكومة</w:t>
      </w:r>
      <w:r w:rsidR="002D146B" w:rsidRPr="00E016FA">
        <w:rPr>
          <w:rFonts w:hint="cs"/>
          <w:spacing w:val="-2"/>
          <w:rtl/>
          <w:lang/>
        </w:rPr>
        <w:t xml:space="preserve">، </w:t>
      </w:r>
      <w:r w:rsidRPr="00E016FA">
        <w:rPr>
          <w:rFonts w:hint="cs"/>
          <w:spacing w:val="-2"/>
          <w:rtl/>
          <w:lang/>
        </w:rPr>
        <w:t xml:space="preserve">فإنها </w:t>
      </w:r>
      <w:r w:rsidR="002D146B" w:rsidRPr="00E016FA">
        <w:rPr>
          <w:rFonts w:hint="cs"/>
          <w:spacing w:val="-2"/>
          <w:rtl/>
          <w:lang/>
        </w:rPr>
        <w:t xml:space="preserve">تعرب عن قلقها إزاء التمثيل المنخفض للمرأة في مناصب </w:t>
      </w:r>
      <w:r w:rsidRPr="00E016FA">
        <w:rPr>
          <w:rFonts w:hint="cs"/>
          <w:spacing w:val="-2"/>
          <w:rtl/>
          <w:lang/>
        </w:rPr>
        <w:t>صنع القرار</w:t>
      </w:r>
      <w:r w:rsidR="002D146B" w:rsidRPr="00E016FA">
        <w:rPr>
          <w:rFonts w:hint="cs"/>
          <w:spacing w:val="-2"/>
          <w:rtl/>
          <w:lang/>
        </w:rPr>
        <w:t xml:space="preserve"> على المستوى المحلي. وتأسف اللجنة </w:t>
      </w:r>
      <w:r w:rsidR="002D146B" w:rsidRPr="00E016FA">
        <w:rPr>
          <w:spacing w:val="-2"/>
          <w:rtl/>
          <w:lang/>
        </w:rPr>
        <w:t xml:space="preserve">لأن </w:t>
      </w:r>
      <w:r w:rsidR="002D146B" w:rsidRPr="00E016FA">
        <w:rPr>
          <w:rFonts w:hint="cs"/>
          <w:spacing w:val="-2"/>
          <w:rtl/>
          <w:lang/>
        </w:rPr>
        <w:t>ال</w:t>
      </w:r>
      <w:r w:rsidR="002D146B" w:rsidRPr="00E016FA">
        <w:rPr>
          <w:spacing w:val="-2"/>
          <w:rtl/>
          <w:lang/>
        </w:rPr>
        <w:t xml:space="preserve">ممارسات التمييزية والقوالب النمطية التقليدية </w:t>
      </w:r>
      <w:r w:rsidR="002D146B" w:rsidRPr="00E016FA">
        <w:rPr>
          <w:rFonts w:hint="cs"/>
          <w:spacing w:val="-2"/>
          <w:rtl/>
          <w:lang/>
        </w:rPr>
        <w:t xml:space="preserve">إزاء دور ومسؤوليات المرأة والرجل في الأسرة والمجتمع ككل لا تزال قائمة وتعرب عن قلقها إزاء انتشار هذه الممارسات التقليدية الضارة كالزواج </w:t>
      </w:r>
      <w:r w:rsidR="002D146B" w:rsidRPr="00E016FA">
        <w:rPr>
          <w:spacing w:val="-2"/>
          <w:rtl/>
          <w:lang/>
        </w:rPr>
        <w:t>القسري والمبكر</w:t>
      </w:r>
      <w:r w:rsidR="002D146B" w:rsidRPr="00E016FA">
        <w:rPr>
          <w:rFonts w:hint="cs"/>
          <w:spacing w:val="-2"/>
          <w:rtl/>
        </w:rPr>
        <w:t xml:space="preserve"> وتعدد الزوجات، بالرغم من حظرها بموجب قانون الأسرة رقم</w:t>
      </w:r>
      <w:r w:rsidRPr="00E016FA">
        <w:rPr>
          <w:rFonts w:hint="eastAsia"/>
          <w:spacing w:val="-2"/>
          <w:rtl/>
        </w:rPr>
        <w:t> </w:t>
      </w:r>
      <w:r w:rsidR="002137A7">
        <w:rPr>
          <w:rFonts w:hint="cs"/>
          <w:spacing w:val="-2"/>
          <w:rtl/>
        </w:rPr>
        <w:t>10/2004</w:t>
      </w:r>
      <w:r w:rsidRPr="00E016FA">
        <w:rPr>
          <w:rFonts w:hint="cs"/>
          <w:spacing w:val="-2"/>
          <w:rtl/>
        </w:rPr>
        <w:t>. وتعرب اللجنة عن قلقها أيض</w:t>
      </w:r>
      <w:r w:rsidR="002D146B" w:rsidRPr="00E016FA">
        <w:rPr>
          <w:rFonts w:hint="cs"/>
          <w:spacing w:val="-2"/>
          <w:rtl/>
        </w:rPr>
        <w:t>ا</w:t>
      </w:r>
      <w:r w:rsidRPr="00E016FA">
        <w:rPr>
          <w:rFonts w:hint="cs"/>
          <w:spacing w:val="-2"/>
          <w:rtl/>
        </w:rPr>
        <w:t>ً</w:t>
      </w:r>
      <w:r w:rsidR="002D146B" w:rsidRPr="00E016FA">
        <w:rPr>
          <w:rFonts w:hint="cs"/>
          <w:spacing w:val="-2"/>
          <w:rtl/>
        </w:rPr>
        <w:t xml:space="preserve"> إزاء تعرض المرأة </w:t>
      </w:r>
      <w:r w:rsidRPr="00E016FA">
        <w:rPr>
          <w:rFonts w:hint="cs"/>
          <w:spacing w:val="-2"/>
          <w:rtl/>
        </w:rPr>
        <w:t>للتمييز في إطار القانون العرفي</w:t>
      </w:r>
      <w:r w:rsidR="002D146B" w:rsidRPr="00E016FA">
        <w:rPr>
          <w:rFonts w:hint="cs"/>
          <w:spacing w:val="-2"/>
          <w:rtl/>
        </w:rPr>
        <w:t>، بما في ذلك ما</w:t>
      </w:r>
      <w:r>
        <w:rPr>
          <w:rFonts w:hint="eastAsia"/>
          <w:spacing w:val="-2"/>
          <w:rtl/>
        </w:rPr>
        <w:t> </w:t>
      </w:r>
      <w:r w:rsidR="002D146B" w:rsidRPr="00E016FA">
        <w:rPr>
          <w:rFonts w:hint="cs"/>
          <w:spacing w:val="-2"/>
          <w:rtl/>
        </w:rPr>
        <w:t>يتعلق بالإرث وإمكانية حيازة الأرض (المواد 2 و3</w:t>
      </w:r>
      <w:r w:rsidR="002137A7">
        <w:rPr>
          <w:rFonts w:hint="cs"/>
          <w:spacing w:val="-2"/>
          <w:rtl/>
        </w:rPr>
        <w:t xml:space="preserve"> </w:t>
      </w:r>
      <w:r w:rsidR="002D146B" w:rsidRPr="00E016FA">
        <w:rPr>
          <w:rFonts w:hint="cs"/>
          <w:spacing w:val="-2"/>
          <w:rtl/>
        </w:rPr>
        <w:t>و23 و24 و25 و26).</w:t>
      </w:r>
    </w:p>
    <w:p w:rsidR="002D146B" w:rsidRPr="00496859" w:rsidRDefault="00E016FA" w:rsidP="00E016FA">
      <w:pPr>
        <w:pStyle w:val="SingleTxtGA"/>
        <w:rPr>
          <w:rFonts w:hint="cs"/>
          <w:b/>
          <w:bCs/>
          <w:rtl/>
          <w:lang/>
        </w:rPr>
      </w:pPr>
      <w:r>
        <w:rPr>
          <w:b/>
          <w:bCs/>
          <w:rtl/>
        </w:rPr>
        <w:tab/>
      </w:r>
      <w:r w:rsidR="002D146B" w:rsidRPr="00496859">
        <w:rPr>
          <w:rFonts w:hint="cs"/>
          <w:b/>
          <w:bCs/>
          <w:rtl/>
        </w:rPr>
        <w:t xml:space="preserve">ينبغي للدولة الطرف </w:t>
      </w:r>
      <w:r w:rsidR="002D146B">
        <w:rPr>
          <w:rFonts w:hint="cs"/>
          <w:b/>
          <w:bCs/>
          <w:rtl/>
        </w:rPr>
        <w:t>أن تتخذ</w:t>
      </w:r>
      <w:r w:rsidR="002D146B" w:rsidRPr="00496859">
        <w:rPr>
          <w:rFonts w:hint="cs"/>
          <w:b/>
          <w:bCs/>
          <w:rtl/>
        </w:rPr>
        <w:t xml:space="preserve"> جميع التدابير اللازمة </w:t>
      </w:r>
      <w:r w:rsidR="002D146B" w:rsidRPr="00496859">
        <w:rPr>
          <w:b/>
          <w:bCs/>
          <w:rtl/>
        </w:rPr>
        <w:t>ل</w:t>
      </w:r>
      <w:r w:rsidR="002D146B" w:rsidRPr="00496859">
        <w:rPr>
          <w:b/>
          <w:bCs/>
          <w:rtl/>
          <w:lang/>
        </w:rPr>
        <w:t>ضمان</w:t>
      </w:r>
      <w:r w:rsidR="002D146B" w:rsidRPr="00496859">
        <w:rPr>
          <w:rFonts w:hint="cs"/>
          <w:b/>
          <w:bCs/>
          <w:rtl/>
          <w:lang/>
        </w:rPr>
        <w:t xml:space="preserve"> فعالية</w:t>
      </w:r>
      <w:r w:rsidR="002D146B" w:rsidRPr="00496859">
        <w:rPr>
          <w:b/>
          <w:bCs/>
          <w:rtl/>
          <w:lang/>
        </w:rPr>
        <w:t xml:space="preserve"> </w:t>
      </w:r>
      <w:r w:rsidR="002D146B" w:rsidRPr="00496859">
        <w:rPr>
          <w:rFonts w:hint="cs"/>
          <w:b/>
          <w:bCs/>
          <w:rtl/>
          <w:lang/>
        </w:rPr>
        <w:t>ال</w:t>
      </w:r>
      <w:r w:rsidR="002D146B" w:rsidRPr="00496859">
        <w:rPr>
          <w:b/>
          <w:bCs/>
          <w:rtl/>
          <w:lang/>
        </w:rPr>
        <w:t>تنفيذ</w:t>
      </w:r>
      <w:r w:rsidR="002D146B" w:rsidRPr="00496859">
        <w:rPr>
          <w:rFonts w:hint="cs"/>
          <w:b/>
          <w:bCs/>
          <w:rtl/>
          <w:lang/>
        </w:rPr>
        <w:t xml:space="preserve"> والتعزيز</w:t>
      </w:r>
      <w:r w:rsidR="002D146B" w:rsidRPr="00496859">
        <w:rPr>
          <w:b/>
          <w:bCs/>
          <w:rtl/>
          <w:lang/>
        </w:rPr>
        <w:t xml:space="preserve"> لما هو موجود من الأطر القانونية </w:t>
      </w:r>
      <w:r w:rsidR="002D146B" w:rsidRPr="00496859">
        <w:rPr>
          <w:rFonts w:hint="cs"/>
          <w:b/>
          <w:bCs/>
          <w:rtl/>
          <w:lang/>
        </w:rPr>
        <w:t>وأطر السياسة العامة</w:t>
      </w:r>
      <w:r w:rsidR="002D146B" w:rsidRPr="00496859">
        <w:rPr>
          <w:b/>
          <w:bCs/>
          <w:rtl/>
          <w:lang/>
        </w:rPr>
        <w:t xml:space="preserve"> ذات الصلة</w:t>
      </w:r>
      <w:r w:rsidR="002D146B" w:rsidRPr="00130D1B">
        <w:rPr>
          <w:b/>
          <w:bCs/>
        </w:rPr>
        <w:t xml:space="preserve"> </w:t>
      </w:r>
      <w:r w:rsidR="002D146B">
        <w:rPr>
          <w:rFonts w:hint="cs"/>
          <w:b/>
          <w:bCs/>
          <w:rtl/>
        </w:rPr>
        <w:t xml:space="preserve">بشأن المساواة بين الجنسين وعدم التمييز ومواصلة بذل جهودها الرامية إلى رفع مستوى تمثيل المرأة في مناصب </w:t>
      </w:r>
      <w:r>
        <w:rPr>
          <w:rFonts w:hint="cs"/>
          <w:b/>
          <w:bCs/>
          <w:rtl/>
        </w:rPr>
        <w:t>صنع</w:t>
      </w:r>
      <w:r w:rsidR="002D146B">
        <w:rPr>
          <w:rFonts w:hint="cs"/>
          <w:b/>
          <w:bCs/>
          <w:rtl/>
        </w:rPr>
        <w:t xml:space="preserve"> القرار على المستوى المحلي ووضع استراتيجيات لمكافحة القوالب النمطية المتعلقة بدور المرأة بطرق منها توعية السكان </w:t>
      </w:r>
      <w:r w:rsidR="002D146B" w:rsidRPr="00496859">
        <w:rPr>
          <w:b/>
          <w:bCs/>
          <w:rtl/>
          <w:lang/>
        </w:rPr>
        <w:t>بالحاجة إلى ضمان تمتع المرأة بحقوقها</w:t>
      </w:r>
      <w:r w:rsidR="002D146B">
        <w:rPr>
          <w:rFonts w:hint="cs"/>
          <w:b/>
          <w:bCs/>
          <w:rtl/>
        </w:rPr>
        <w:t>. وينبغي للدولة الطرف اتخاذ التدابير المناسبة بهدف: (أ) وضع حد للزواج القسري والمبكر وتعدد الزوجات؛ (ب) تنظيم حملات توعية بالآثار السلبية لهذه الممارسات، لا سيما في المناطق الريفية؛ (</w:t>
      </w:r>
      <w:r>
        <w:rPr>
          <w:rFonts w:hint="cs"/>
          <w:b/>
          <w:bCs/>
          <w:rtl/>
        </w:rPr>
        <w:t>ج) التشجيع على الإ</w:t>
      </w:r>
      <w:r w:rsidR="002D146B">
        <w:rPr>
          <w:rFonts w:hint="cs"/>
          <w:b/>
          <w:bCs/>
          <w:rtl/>
        </w:rPr>
        <w:t xml:space="preserve">بلاغ عن هذه الجرائم والنظر في شكاوى الضحايا ومحاكمة </w:t>
      </w:r>
      <w:proofErr w:type="spellStart"/>
      <w:r w:rsidR="002D146B">
        <w:rPr>
          <w:rFonts w:hint="cs"/>
          <w:b/>
          <w:bCs/>
          <w:rtl/>
        </w:rPr>
        <w:t>المسؤولين</w:t>
      </w:r>
      <w:proofErr w:type="spellEnd"/>
      <w:r w:rsidR="002D146B">
        <w:rPr>
          <w:rFonts w:hint="cs"/>
          <w:b/>
          <w:bCs/>
          <w:rtl/>
        </w:rPr>
        <w:t xml:space="preserve"> عن هذه الجرائم. وينبغي للدولة الطرف كذلك أن تعزز التدابير الرام</w:t>
      </w:r>
      <w:r>
        <w:rPr>
          <w:rFonts w:hint="cs"/>
          <w:b/>
          <w:bCs/>
          <w:rtl/>
        </w:rPr>
        <w:t>ية إلى ضمان عدم تعرض المرأة ل</w:t>
      </w:r>
      <w:r w:rsidR="002D146B">
        <w:rPr>
          <w:rFonts w:hint="cs"/>
          <w:b/>
          <w:bCs/>
          <w:rtl/>
        </w:rPr>
        <w:t xml:space="preserve">معاملة تمييزية عند تطبيق القوانين العرفية، بطرق منها بذل جهود متزايدة لرفع مستوى الوعي بأسبقية </w:t>
      </w:r>
      <w:r w:rsidR="002D146B" w:rsidRPr="00496859">
        <w:rPr>
          <w:b/>
          <w:bCs/>
          <w:rtl/>
          <w:lang/>
        </w:rPr>
        <w:t xml:space="preserve">القانون الوضعي على </w:t>
      </w:r>
      <w:r w:rsidR="002D146B" w:rsidRPr="00496859">
        <w:rPr>
          <w:rFonts w:hint="cs"/>
          <w:b/>
          <w:bCs/>
          <w:rtl/>
          <w:lang/>
        </w:rPr>
        <w:t>القوانين والممارسات</w:t>
      </w:r>
      <w:r w:rsidR="002D146B" w:rsidRPr="00496859">
        <w:rPr>
          <w:b/>
          <w:bCs/>
          <w:rtl/>
          <w:lang/>
        </w:rPr>
        <w:t xml:space="preserve"> العرفي</w:t>
      </w:r>
      <w:r w:rsidR="002D146B" w:rsidRPr="00496859">
        <w:rPr>
          <w:rFonts w:hint="cs"/>
          <w:b/>
          <w:bCs/>
          <w:rtl/>
          <w:lang/>
        </w:rPr>
        <w:t>ة وإذكاء وعي ا</w:t>
      </w:r>
      <w:r>
        <w:rPr>
          <w:rFonts w:hint="cs"/>
          <w:b/>
          <w:bCs/>
          <w:rtl/>
          <w:lang/>
        </w:rPr>
        <w:t>لمرأة بحقوقها بموجب القانون التشريعي والعهد.</w:t>
      </w:r>
    </w:p>
    <w:p w:rsidR="002D146B" w:rsidRPr="00496859" w:rsidRDefault="00E016FA" w:rsidP="002137A7">
      <w:pPr>
        <w:pStyle w:val="SingleTxtGA"/>
        <w:rPr>
          <w:rFonts w:hint="cs"/>
          <w:b/>
          <w:bCs/>
        </w:rPr>
      </w:pPr>
      <w:r>
        <w:rPr>
          <w:rFonts w:hint="cs"/>
          <w:rtl/>
          <w:lang/>
        </w:rPr>
        <w:t>10-</w:t>
      </w:r>
      <w:r>
        <w:rPr>
          <w:rFonts w:hint="cs"/>
          <w:rtl/>
          <w:lang/>
        </w:rPr>
        <w:tab/>
      </w:r>
      <w:r w:rsidR="002D146B" w:rsidRPr="00496859">
        <w:rPr>
          <w:rFonts w:hint="cs"/>
          <w:rtl/>
          <w:lang/>
        </w:rPr>
        <w:t xml:space="preserve">بينما ترحب اللجنة بالتدابير التي اتخذتها الدولة الطرف لمكافحة العنف </w:t>
      </w:r>
      <w:proofErr w:type="spellStart"/>
      <w:r>
        <w:rPr>
          <w:rFonts w:hint="cs"/>
          <w:rtl/>
          <w:lang/>
        </w:rPr>
        <w:t>الجنساني</w:t>
      </w:r>
      <w:proofErr w:type="spellEnd"/>
      <w:r w:rsidR="002D146B" w:rsidRPr="00496859">
        <w:rPr>
          <w:rFonts w:hint="cs"/>
          <w:rtl/>
          <w:lang/>
        </w:rPr>
        <w:t>، بما</w:t>
      </w:r>
      <w:r>
        <w:rPr>
          <w:rFonts w:hint="eastAsia"/>
          <w:rtl/>
          <w:lang/>
        </w:rPr>
        <w:t> </w:t>
      </w:r>
      <w:r w:rsidR="002D146B" w:rsidRPr="00496859">
        <w:rPr>
          <w:rFonts w:hint="cs"/>
          <w:rtl/>
          <w:lang/>
        </w:rPr>
        <w:t>في ذلك العنف المنزلي، ومنها اعتماد القانون الخاص بالعنف المنزلي الممارس ضد المرأة (رقم</w:t>
      </w:r>
      <w:r>
        <w:rPr>
          <w:rFonts w:hint="eastAsia"/>
          <w:rtl/>
          <w:lang/>
        </w:rPr>
        <w:t> </w:t>
      </w:r>
      <w:r w:rsidR="002137A7">
        <w:rPr>
          <w:rFonts w:hint="cs"/>
          <w:rtl/>
          <w:lang/>
        </w:rPr>
        <w:t>29/2009</w:t>
      </w:r>
      <w:r w:rsidR="002D146B" w:rsidRPr="00496859">
        <w:rPr>
          <w:rFonts w:hint="cs"/>
          <w:rtl/>
          <w:lang/>
        </w:rPr>
        <w:t xml:space="preserve">) في 29 أيلول/سبتمبر 2009، تعرب عن قلقها إزاء استمرار هذه الظاهرة وتدني مستوى الإبلاغ عن هذه الجرائم </w:t>
      </w:r>
      <w:r w:rsidR="002D146B" w:rsidRPr="00496859">
        <w:rPr>
          <w:rtl/>
          <w:lang/>
        </w:rPr>
        <w:t>بسبب المواقف المجتمعية التقليدية</w:t>
      </w:r>
      <w:r w:rsidR="002D146B">
        <w:rPr>
          <w:rFonts w:hint="cs"/>
          <w:rtl/>
          <w:lang/>
        </w:rPr>
        <w:t xml:space="preserve">. </w:t>
      </w:r>
      <w:r w:rsidR="002D146B" w:rsidRPr="00496859">
        <w:rPr>
          <w:rFonts w:hint="cs"/>
          <w:rtl/>
          <w:lang/>
        </w:rPr>
        <w:t>وتأسف اللجنة لعدم وجود بيانات عن العقوبات المسل</w:t>
      </w:r>
      <w:r w:rsidR="002D146B">
        <w:rPr>
          <w:rFonts w:hint="cs"/>
          <w:rtl/>
          <w:lang/>
        </w:rPr>
        <w:t>َ</w:t>
      </w:r>
      <w:r w:rsidR="002D146B" w:rsidRPr="00496859">
        <w:rPr>
          <w:rFonts w:hint="cs"/>
          <w:rtl/>
          <w:lang/>
        </w:rPr>
        <w:t>طة على الجناة وسبل الانتصاف الموف</w:t>
      </w:r>
      <w:r w:rsidR="002D146B">
        <w:rPr>
          <w:rFonts w:hint="cs"/>
          <w:rtl/>
          <w:lang/>
        </w:rPr>
        <w:t>َ</w:t>
      </w:r>
      <w:r w:rsidR="002D146B" w:rsidRPr="00496859">
        <w:rPr>
          <w:rFonts w:hint="cs"/>
          <w:rtl/>
          <w:lang/>
        </w:rPr>
        <w:t xml:space="preserve">رة للضحايا وإتاحة </w:t>
      </w:r>
      <w:r w:rsidR="002D146B">
        <w:rPr>
          <w:rFonts w:hint="cs"/>
          <w:rtl/>
          <w:lang/>
        </w:rPr>
        <w:t>مراكز الإيواء</w:t>
      </w:r>
      <w:r>
        <w:rPr>
          <w:rtl/>
          <w:lang/>
        </w:rPr>
        <w:t xml:space="preserve"> وخدمات إعادة </w:t>
      </w:r>
      <w:r w:rsidR="002D146B" w:rsidRPr="00496859">
        <w:rPr>
          <w:rtl/>
          <w:lang/>
        </w:rPr>
        <w:t>تأهي</w:t>
      </w:r>
      <w:r>
        <w:rPr>
          <w:rFonts w:hint="cs"/>
          <w:rtl/>
          <w:lang/>
        </w:rPr>
        <w:t>ل ا</w:t>
      </w:r>
      <w:r w:rsidR="002D146B" w:rsidRPr="00496859">
        <w:rPr>
          <w:rFonts w:hint="cs"/>
          <w:rtl/>
          <w:lang/>
        </w:rPr>
        <w:t xml:space="preserve">لضحايا. </w:t>
      </w:r>
      <w:r w:rsidR="002D146B" w:rsidRPr="00496859">
        <w:rPr>
          <w:rtl/>
          <w:lang/>
        </w:rPr>
        <w:t xml:space="preserve">وتشعر اللجنة بالقلق </w:t>
      </w:r>
      <w:r w:rsidR="002D146B">
        <w:rPr>
          <w:rFonts w:hint="cs"/>
          <w:rtl/>
          <w:lang/>
        </w:rPr>
        <w:t>كذلك</w:t>
      </w:r>
      <w:r w:rsidR="002D146B" w:rsidRPr="00496859">
        <w:rPr>
          <w:rtl/>
          <w:lang/>
        </w:rPr>
        <w:t xml:space="preserve"> إزاء التقارير التي تفيد </w:t>
      </w:r>
      <w:r w:rsidR="002D146B" w:rsidRPr="00496859">
        <w:rPr>
          <w:rFonts w:hint="cs"/>
          <w:rtl/>
          <w:lang/>
        </w:rPr>
        <w:t>بتعرض المسنات المتهمات بممارسة الشعوذة للوصم والعنف (المواد 2</w:t>
      </w:r>
      <w:r>
        <w:rPr>
          <w:rFonts w:hint="cs"/>
          <w:rtl/>
          <w:lang/>
        </w:rPr>
        <w:t xml:space="preserve"> </w:t>
      </w:r>
      <w:r w:rsidR="002D146B">
        <w:rPr>
          <w:rFonts w:hint="cs"/>
          <w:rtl/>
          <w:lang/>
        </w:rPr>
        <w:t>و</w:t>
      </w:r>
      <w:r w:rsidR="002D146B" w:rsidRPr="00496859">
        <w:rPr>
          <w:rFonts w:hint="cs"/>
          <w:rtl/>
          <w:lang/>
        </w:rPr>
        <w:t>3</w:t>
      </w:r>
      <w:r>
        <w:rPr>
          <w:rFonts w:hint="cs"/>
          <w:rtl/>
          <w:lang/>
        </w:rPr>
        <w:t xml:space="preserve"> و</w:t>
      </w:r>
      <w:r w:rsidR="002D146B">
        <w:rPr>
          <w:rFonts w:hint="cs"/>
          <w:rtl/>
          <w:lang/>
        </w:rPr>
        <w:t>6 و7 و</w:t>
      </w:r>
      <w:r w:rsidR="002D146B" w:rsidRPr="00496859">
        <w:rPr>
          <w:rFonts w:hint="cs"/>
          <w:rtl/>
          <w:lang/>
        </w:rPr>
        <w:t>26).</w:t>
      </w:r>
    </w:p>
    <w:p w:rsidR="002D146B" w:rsidRDefault="005773B7" w:rsidP="00E016FA">
      <w:pPr>
        <w:pStyle w:val="SingleTxtGA"/>
        <w:rPr>
          <w:rFonts w:hint="cs"/>
          <w:b/>
          <w:bCs/>
          <w:rtl/>
        </w:rPr>
      </w:pPr>
      <w:r>
        <w:rPr>
          <w:rFonts w:hint="cs"/>
          <w:b/>
          <w:bCs/>
          <w:rtl/>
          <w:lang/>
        </w:rPr>
        <w:tab/>
      </w:r>
      <w:r w:rsidR="002D146B" w:rsidRPr="00496859">
        <w:rPr>
          <w:rFonts w:hint="cs"/>
          <w:b/>
          <w:bCs/>
          <w:rtl/>
          <w:lang/>
        </w:rPr>
        <w:t xml:space="preserve">ينبغي للدولة الطرف </w:t>
      </w:r>
      <w:r w:rsidR="002D146B">
        <w:rPr>
          <w:rFonts w:hint="cs"/>
          <w:b/>
          <w:bCs/>
          <w:rtl/>
          <w:lang/>
        </w:rPr>
        <w:t>أن تكثف</w:t>
      </w:r>
      <w:r w:rsidR="002D146B" w:rsidRPr="00496859">
        <w:rPr>
          <w:rFonts w:hint="cs"/>
          <w:b/>
          <w:bCs/>
          <w:rtl/>
          <w:lang/>
        </w:rPr>
        <w:t xml:space="preserve"> جهودها الرامية إلى منع ومكافحة العنف </w:t>
      </w:r>
      <w:proofErr w:type="spellStart"/>
      <w:r w:rsidR="00E016FA">
        <w:rPr>
          <w:rFonts w:hint="cs"/>
          <w:b/>
          <w:bCs/>
          <w:rtl/>
          <w:lang/>
        </w:rPr>
        <w:t>الجنساني</w:t>
      </w:r>
      <w:proofErr w:type="spellEnd"/>
      <w:r w:rsidR="002D146B" w:rsidRPr="00496859">
        <w:rPr>
          <w:rFonts w:hint="cs"/>
          <w:b/>
          <w:bCs/>
          <w:rtl/>
          <w:lang/>
        </w:rPr>
        <w:t xml:space="preserve"> بجميع أشكاله ومظاهره، بطرق منها ضمان التنفيذ الفعلي</w:t>
      </w:r>
      <w:r w:rsidR="00E016FA">
        <w:rPr>
          <w:rFonts w:hint="cs"/>
          <w:b/>
          <w:bCs/>
          <w:rtl/>
        </w:rPr>
        <w:t xml:space="preserve"> </w:t>
      </w:r>
      <w:r w:rsidR="002D146B" w:rsidRPr="00AC0B36">
        <w:rPr>
          <w:b/>
          <w:bCs/>
          <w:rtl/>
          <w:lang/>
        </w:rPr>
        <w:t xml:space="preserve">لما هو موجود من الأطر القانونية </w:t>
      </w:r>
      <w:r w:rsidR="002D146B" w:rsidRPr="00AC0B36">
        <w:rPr>
          <w:rFonts w:hint="cs"/>
          <w:b/>
          <w:bCs/>
          <w:rtl/>
          <w:lang/>
        </w:rPr>
        <w:t>وأطر السياسة العامة</w:t>
      </w:r>
      <w:r w:rsidR="002D146B" w:rsidRPr="00AC0B36">
        <w:rPr>
          <w:b/>
          <w:bCs/>
          <w:rtl/>
          <w:lang/>
        </w:rPr>
        <w:t xml:space="preserve"> ذات الصلة</w:t>
      </w:r>
      <w:r w:rsidR="002D146B">
        <w:rPr>
          <w:rFonts w:hint="cs"/>
          <w:b/>
          <w:bCs/>
          <w:rtl/>
        </w:rPr>
        <w:t xml:space="preserve">. وينبغي لها أن تنظم حملات توعية بالآثار السلبية للعنف المنزلي وإطلاع النساء على حقوقهن وعلى </w:t>
      </w:r>
      <w:r w:rsidR="00E016FA">
        <w:rPr>
          <w:rFonts w:hint="cs"/>
          <w:b/>
          <w:bCs/>
          <w:rtl/>
        </w:rPr>
        <w:t>آ</w:t>
      </w:r>
      <w:r w:rsidR="002D146B">
        <w:rPr>
          <w:rFonts w:hint="cs"/>
          <w:b/>
          <w:bCs/>
          <w:rtl/>
        </w:rPr>
        <w:t>ليات الحماية المتاحة ومس</w:t>
      </w:r>
      <w:r w:rsidR="00E016FA">
        <w:rPr>
          <w:rFonts w:hint="cs"/>
          <w:b/>
          <w:bCs/>
          <w:rtl/>
        </w:rPr>
        <w:t>اعدة الضحايا على التظلّم.</w:t>
      </w:r>
      <w:r w:rsidR="002D146B">
        <w:rPr>
          <w:rFonts w:hint="cs"/>
          <w:b/>
          <w:bCs/>
          <w:rtl/>
        </w:rPr>
        <w:t xml:space="preserve"> وينبغي للدولة الطرف كذلك أن تضمن إجراء تحقيق شامل في قضايا العنف المنزلي ومقاضاة الجناة ومعاقبتهم في حالة إدانتهم وضمان استفادة الضحايا من سبل انتصاف وحماية فعالة، بما في ذلك إتاحة عدد من مراكز الإيواء في جميع أنحاء البلاد. وينبغي لها أيض</w:t>
      </w:r>
      <w:r w:rsidR="00CA20A7">
        <w:rPr>
          <w:rFonts w:hint="cs"/>
          <w:b/>
          <w:bCs/>
          <w:rtl/>
        </w:rPr>
        <w:t>اً</w:t>
      </w:r>
      <w:r w:rsidR="002D146B">
        <w:rPr>
          <w:rFonts w:hint="cs"/>
          <w:b/>
          <w:bCs/>
          <w:rtl/>
        </w:rPr>
        <w:t xml:space="preserve"> أن تتخذ</w:t>
      </w:r>
      <w:r w:rsidR="00E016FA">
        <w:rPr>
          <w:rFonts w:hint="cs"/>
          <w:b/>
          <w:bCs/>
          <w:rtl/>
        </w:rPr>
        <w:t xml:space="preserve"> التدابير الفعالة</w:t>
      </w:r>
      <w:r w:rsidR="002D146B">
        <w:rPr>
          <w:rFonts w:hint="cs"/>
          <w:b/>
          <w:bCs/>
          <w:rtl/>
        </w:rPr>
        <w:t xml:space="preserve"> لحماية المسنات المتهمات بممارسة الشعوذة من سوء المعاملة والتجاوزات </w:t>
      </w:r>
      <w:r>
        <w:rPr>
          <w:rFonts w:hint="cs"/>
          <w:b/>
          <w:bCs/>
          <w:rtl/>
        </w:rPr>
        <w:t>و</w:t>
      </w:r>
      <w:r w:rsidR="002D146B">
        <w:rPr>
          <w:rFonts w:hint="cs"/>
          <w:b/>
          <w:bCs/>
          <w:rtl/>
        </w:rPr>
        <w:t xml:space="preserve">تنظيم برامج لإذكاء وعي السكان، لا سيما في المناطق الريفية، </w:t>
      </w:r>
      <w:r w:rsidR="002137A7">
        <w:rPr>
          <w:rFonts w:hint="cs"/>
          <w:b/>
          <w:bCs/>
          <w:rtl/>
        </w:rPr>
        <w:t>بما</w:t>
      </w:r>
      <w:r>
        <w:rPr>
          <w:rFonts w:hint="cs"/>
          <w:b/>
          <w:bCs/>
          <w:rtl/>
        </w:rPr>
        <w:t xml:space="preserve"> لهذه الممارسات من آثار سلبية.</w:t>
      </w:r>
    </w:p>
    <w:p w:rsidR="002D146B" w:rsidRPr="00496859" w:rsidRDefault="005773B7" w:rsidP="00CA20A7">
      <w:pPr>
        <w:pStyle w:val="SingleTxtGA"/>
        <w:rPr>
          <w:rFonts w:hint="cs"/>
          <w:b/>
          <w:bCs/>
        </w:rPr>
      </w:pPr>
      <w:r>
        <w:rPr>
          <w:rFonts w:hint="cs"/>
          <w:rtl/>
        </w:rPr>
        <w:t>11-</w:t>
      </w:r>
      <w:r>
        <w:rPr>
          <w:rFonts w:hint="cs"/>
          <w:rtl/>
        </w:rPr>
        <w:tab/>
      </w:r>
      <w:r w:rsidR="002D146B" w:rsidRPr="00496859">
        <w:rPr>
          <w:rFonts w:hint="cs"/>
          <w:rtl/>
        </w:rPr>
        <w:t xml:space="preserve">تعرب اللجنة عن قلقها إزاء التقارير التي تفيد </w:t>
      </w:r>
      <w:r w:rsidR="002D146B">
        <w:rPr>
          <w:rFonts w:hint="cs"/>
          <w:rtl/>
        </w:rPr>
        <w:t>بارتكاب</w:t>
      </w:r>
      <w:r w:rsidR="002D146B" w:rsidRPr="00496859">
        <w:rPr>
          <w:rFonts w:hint="cs"/>
          <w:rtl/>
        </w:rPr>
        <w:t xml:space="preserve"> أعمال قتل غير قانوني </w:t>
      </w:r>
      <w:r w:rsidR="002D146B">
        <w:rPr>
          <w:rFonts w:hint="cs"/>
          <w:rtl/>
        </w:rPr>
        <w:t>وعمليات</w:t>
      </w:r>
      <w:r w:rsidR="002D146B" w:rsidRPr="00496859">
        <w:rPr>
          <w:rFonts w:hint="cs"/>
          <w:rtl/>
        </w:rPr>
        <w:t xml:space="preserve"> إ</w:t>
      </w:r>
      <w:r>
        <w:rPr>
          <w:rFonts w:hint="cs"/>
          <w:rtl/>
        </w:rPr>
        <w:t>عدام تعسفية في حق مجرمين مشتبه في</w:t>
      </w:r>
      <w:r w:rsidR="002D146B" w:rsidRPr="00496859">
        <w:rPr>
          <w:rFonts w:hint="cs"/>
          <w:rtl/>
        </w:rPr>
        <w:t xml:space="preserve">هم وبإفراط قوات حفظ الأمن في استخدام القوة واللجوء إلى التعذيب وسوء المعاملة في أماكن الاحتجاز، بما فيها مراكز الشرطة والسجون. </w:t>
      </w:r>
      <w:r w:rsidR="002D146B" w:rsidRPr="00496859">
        <w:rPr>
          <w:rtl/>
          <w:lang/>
        </w:rPr>
        <w:t>وتشعر اللجنة بالقلق كذلك لعدم وجود معلومات ملموسة وشاملة عن التحقيقات التي أجريت والمحاكمات التي أقيمت والإدانات التي صدرت والعقوبات التي ف</w:t>
      </w:r>
      <w:r w:rsidR="002D146B">
        <w:rPr>
          <w:rFonts w:hint="cs"/>
          <w:rtl/>
          <w:lang/>
        </w:rPr>
        <w:t>ُ</w:t>
      </w:r>
      <w:r w:rsidR="002D146B" w:rsidRPr="00496859">
        <w:rPr>
          <w:rtl/>
          <w:lang/>
        </w:rPr>
        <w:t>ر</w:t>
      </w:r>
      <w:r w:rsidR="002D146B">
        <w:rPr>
          <w:rFonts w:hint="cs"/>
          <w:rtl/>
          <w:lang/>
        </w:rPr>
        <w:t>ِ</w:t>
      </w:r>
      <w:r w:rsidR="002D146B" w:rsidRPr="00496859">
        <w:rPr>
          <w:rtl/>
          <w:lang/>
        </w:rPr>
        <w:t xml:space="preserve">ضت على الجناة، وإزاء البلاغات عن إفلات </w:t>
      </w:r>
      <w:r w:rsidR="002D146B" w:rsidRPr="00496859">
        <w:rPr>
          <w:rFonts w:hint="cs"/>
          <w:rtl/>
          <w:lang/>
        </w:rPr>
        <w:t>الموظفين المكلفين بإنفاذ القانون المتورطين</w:t>
      </w:r>
      <w:r w:rsidR="002D146B" w:rsidRPr="00496859">
        <w:rPr>
          <w:rtl/>
          <w:lang/>
        </w:rPr>
        <w:t xml:space="preserve"> في هذه الانتهاكات لحقوق الإنسان من العقا</w:t>
      </w:r>
      <w:r w:rsidR="002D146B" w:rsidRPr="00496859">
        <w:rPr>
          <w:rFonts w:hint="cs"/>
          <w:rtl/>
          <w:lang/>
        </w:rPr>
        <w:t>ب (المواد 2 و6</w:t>
      </w:r>
      <w:r w:rsidR="002D146B">
        <w:rPr>
          <w:rFonts w:hint="cs"/>
          <w:rtl/>
          <w:lang/>
        </w:rPr>
        <w:t xml:space="preserve"> </w:t>
      </w:r>
      <w:r w:rsidR="002D146B" w:rsidRPr="00496859">
        <w:rPr>
          <w:rFonts w:hint="cs"/>
          <w:rtl/>
          <w:lang/>
        </w:rPr>
        <w:t>و7</w:t>
      </w:r>
      <w:r w:rsidR="00CA20A7">
        <w:rPr>
          <w:rFonts w:hint="cs"/>
          <w:rtl/>
          <w:lang/>
        </w:rPr>
        <w:t xml:space="preserve"> </w:t>
      </w:r>
      <w:r w:rsidR="002D146B">
        <w:rPr>
          <w:rFonts w:hint="cs"/>
          <w:rtl/>
          <w:lang/>
        </w:rPr>
        <w:t>و</w:t>
      </w:r>
      <w:r w:rsidR="002D146B" w:rsidRPr="00496859">
        <w:rPr>
          <w:rFonts w:hint="cs"/>
          <w:rtl/>
          <w:lang/>
        </w:rPr>
        <w:t>9</w:t>
      </w:r>
      <w:r w:rsidR="002D146B">
        <w:rPr>
          <w:rFonts w:hint="cs"/>
          <w:rtl/>
          <w:lang/>
        </w:rPr>
        <w:t xml:space="preserve"> و10 و</w:t>
      </w:r>
      <w:r w:rsidR="002D146B" w:rsidRPr="00496859">
        <w:rPr>
          <w:rFonts w:hint="cs"/>
          <w:rtl/>
          <w:lang/>
        </w:rPr>
        <w:t>14).</w:t>
      </w:r>
    </w:p>
    <w:p w:rsidR="002D146B" w:rsidRPr="005773B7" w:rsidRDefault="005773B7" w:rsidP="005773B7">
      <w:pPr>
        <w:pStyle w:val="SingleTxtGA"/>
        <w:rPr>
          <w:rFonts w:hint="cs"/>
          <w:b/>
          <w:bCs/>
          <w:spacing w:val="-2"/>
          <w:rtl/>
          <w:lang/>
        </w:rPr>
      </w:pPr>
      <w:r w:rsidRPr="005773B7">
        <w:rPr>
          <w:rFonts w:hint="cs"/>
          <w:b/>
          <w:bCs/>
          <w:spacing w:val="-2"/>
          <w:rtl/>
          <w:lang/>
        </w:rPr>
        <w:tab/>
      </w:r>
      <w:r w:rsidR="002D146B" w:rsidRPr="005773B7">
        <w:rPr>
          <w:rFonts w:hint="cs"/>
          <w:b/>
          <w:bCs/>
          <w:spacing w:val="-2"/>
          <w:rtl/>
          <w:lang/>
        </w:rPr>
        <w:t>ينبغي للدولة الطرف أن تتخذ</w:t>
      </w:r>
      <w:r w:rsidRPr="005773B7">
        <w:rPr>
          <w:rFonts w:hint="cs"/>
          <w:b/>
          <w:bCs/>
          <w:spacing w:val="-2"/>
          <w:rtl/>
          <w:lang/>
        </w:rPr>
        <w:t xml:space="preserve"> خطوات عملية للحيلولة دون إ</w:t>
      </w:r>
      <w:r w:rsidR="002D146B" w:rsidRPr="005773B7">
        <w:rPr>
          <w:rFonts w:hint="cs"/>
          <w:b/>
          <w:bCs/>
          <w:spacing w:val="-2"/>
          <w:rtl/>
          <w:lang/>
        </w:rPr>
        <w:t xml:space="preserve">فراط قوات حفظ الأمن في استخدام القوة </w:t>
      </w:r>
      <w:r w:rsidRPr="005773B7">
        <w:rPr>
          <w:rFonts w:hint="cs"/>
          <w:b/>
          <w:bCs/>
          <w:spacing w:val="-2"/>
          <w:rtl/>
          <w:lang/>
        </w:rPr>
        <w:t>وذلك</w:t>
      </w:r>
      <w:r w:rsidR="002D146B" w:rsidRPr="005773B7">
        <w:rPr>
          <w:rFonts w:hint="cs"/>
          <w:b/>
          <w:bCs/>
          <w:spacing w:val="-2"/>
          <w:rtl/>
          <w:lang/>
        </w:rPr>
        <w:t xml:space="preserve"> </w:t>
      </w:r>
      <w:r w:rsidRPr="005773B7">
        <w:rPr>
          <w:rFonts w:hint="cs"/>
          <w:b/>
          <w:bCs/>
          <w:spacing w:val="-2"/>
          <w:rtl/>
          <w:lang/>
        </w:rPr>
        <w:t>ب</w:t>
      </w:r>
      <w:r w:rsidR="002D146B" w:rsidRPr="005773B7">
        <w:rPr>
          <w:rFonts w:hint="cs"/>
          <w:b/>
          <w:bCs/>
          <w:spacing w:val="-2"/>
          <w:rtl/>
          <w:lang/>
        </w:rPr>
        <w:t>ضمان امتثالهم لل</w:t>
      </w:r>
      <w:r w:rsidR="002D146B" w:rsidRPr="005773B7">
        <w:rPr>
          <w:b/>
          <w:bCs/>
          <w:spacing w:val="-2"/>
          <w:rtl/>
          <w:lang/>
        </w:rPr>
        <w:t>مبادئ الأساسية لعام 1990 بشأن استخدام القوة والأسلحة النارية من قبل الموظفين المكلفين بإنفاذ القانون</w:t>
      </w:r>
      <w:r w:rsidR="002D146B" w:rsidRPr="005773B7">
        <w:rPr>
          <w:rFonts w:hint="cs"/>
          <w:spacing w:val="-2"/>
          <w:rtl/>
          <w:lang/>
        </w:rPr>
        <w:t xml:space="preserve">. </w:t>
      </w:r>
      <w:r w:rsidR="002D146B" w:rsidRPr="005773B7">
        <w:rPr>
          <w:rFonts w:hint="cs"/>
          <w:b/>
          <w:bCs/>
          <w:spacing w:val="-2"/>
          <w:rtl/>
          <w:lang/>
        </w:rPr>
        <w:t xml:space="preserve">وينبغي لها أن تتخذ التدابير المناسبة للقضاء على التعذيب وسوء المعاملة، بطرق منها </w:t>
      </w:r>
      <w:r w:rsidR="002D146B" w:rsidRPr="005773B7">
        <w:rPr>
          <w:b/>
          <w:bCs/>
          <w:spacing w:val="-2"/>
          <w:rtl/>
          <w:lang/>
        </w:rPr>
        <w:t>كفالة تلقي موظفي إنفاذ القوانين التدريب فيما يتعلق بمنع التعذيب وسوء المعاملة بإدماج دليل التقصي والتوثيق الفعالين بشأن التعذيب وغيره مـن ضروب المعاملة أو العقوبة القاسية أو</w:t>
      </w:r>
      <w:r w:rsidRPr="005773B7">
        <w:rPr>
          <w:rFonts w:hint="cs"/>
          <w:b/>
          <w:bCs/>
          <w:spacing w:val="-2"/>
          <w:rtl/>
          <w:lang/>
        </w:rPr>
        <w:t> </w:t>
      </w:r>
      <w:proofErr w:type="spellStart"/>
      <w:r w:rsidR="002D146B" w:rsidRPr="005773B7">
        <w:rPr>
          <w:b/>
          <w:bCs/>
          <w:spacing w:val="-2"/>
          <w:rtl/>
          <w:lang/>
        </w:rPr>
        <w:t>اللاإنسانية</w:t>
      </w:r>
      <w:proofErr w:type="spellEnd"/>
      <w:r w:rsidR="002D146B" w:rsidRPr="005773B7">
        <w:rPr>
          <w:b/>
          <w:bCs/>
          <w:spacing w:val="-2"/>
          <w:rtl/>
          <w:lang/>
        </w:rPr>
        <w:t xml:space="preserve"> أو المهينة (بروتوكول اسطنبول) لعام 1999 في جميع برامج تدريب موظفي إنفاذ القوانين</w:t>
      </w:r>
      <w:r w:rsidR="002D146B" w:rsidRPr="005773B7">
        <w:rPr>
          <w:rFonts w:hint="cs"/>
          <w:b/>
          <w:bCs/>
          <w:spacing w:val="-2"/>
          <w:rtl/>
          <w:lang/>
        </w:rPr>
        <w:t xml:space="preserve">. وينبغي للدولة الطرف أن تكفل إجراء تحقيق فعال في الادعاءات بخصوص أعمال القتل غير القانوني والاستخدام المفرط للقوة والتعذيب وسوء المعاملة وأن يخضع الأشخاص المدعى ارتكابهم لهذه الأعمال للمقاضاة وللعقوبة المناسبة في حالة إدانتهم وأن يحصل الضحايا أو أسرهم على سبل الانتصاف الفعالة، بما في ذلك </w:t>
      </w:r>
      <w:r w:rsidRPr="005773B7">
        <w:rPr>
          <w:rFonts w:hint="cs"/>
          <w:b/>
          <w:bCs/>
          <w:spacing w:val="-2"/>
          <w:rtl/>
          <w:lang/>
        </w:rPr>
        <w:t>ال</w:t>
      </w:r>
      <w:r w:rsidR="002D146B" w:rsidRPr="005773B7">
        <w:rPr>
          <w:rFonts w:hint="cs"/>
          <w:b/>
          <w:bCs/>
          <w:spacing w:val="-2"/>
          <w:rtl/>
          <w:lang/>
        </w:rPr>
        <w:t xml:space="preserve">تعويض </w:t>
      </w:r>
      <w:r w:rsidRPr="005773B7">
        <w:rPr>
          <w:rFonts w:hint="cs"/>
          <w:b/>
          <w:bCs/>
          <w:spacing w:val="-2"/>
          <w:rtl/>
          <w:lang/>
        </w:rPr>
        <w:t>ال</w:t>
      </w:r>
      <w:r w:rsidR="002D146B" w:rsidRPr="005773B7">
        <w:rPr>
          <w:rFonts w:hint="cs"/>
          <w:b/>
          <w:bCs/>
          <w:spacing w:val="-2"/>
          <w:rtl/>
          <w:lang/>
        </w:rPr>
        <w:t>مناسب.</w:t>
      </w:r>
    </w:p>
    <w:p w:rsidR="002D146B" w:rsidRPr="00496859" w:rsidRDefault="005773B7" w:rsidP="002137A7">
      <w:pPr>
        <w:pStyle w:val="SingleTxtGA"/>
        <w:rPr>
          <w:rFonts w:hint="cs"/>
          <w:b/>
          <w:bCs/>
        </w:rPr>
      </w:pPr>
      <w:r>
        <w:rPr>
          <w:rFonts w:hint="cs"/>
          <w:rtl/>
          <w:lang/>
        </w:rPr>
        <w:t>12-</w:t>
      </w:r>
      <w:r>
        <w:rPr>
          <w:rFonts w:hint="cs"/>
          <w:rtl/>
          <w:lang/>
        </w:rPr>
        <w:tab/>
      </w:r>
      <w:r w:rsidR="002D146B" w:rsidRPr="00496859">
        <w:rPr>
          <w:rFonts w:hint="cs"/>
          <w:rtl/>
          <w:lang/>
        </w:rPr>
        <w:t>يساور اللجنة القلق إزاء استمرار عمليات الإعدام التي تتم خارج إطار القانون وعجز التدابير المتخذة عن منع هذه الجرائم والمعاقبة عليها (المواد 6 و</w:t>
      </w:r>
      <w:r w:rsidR="002137A7">
        <w:rPr>
          <w:rFonts w:hint="cs"/>
          <w:rtl/>
          <w:lang/>
        </w:rPr>
        <w:t xml:space="preserve"> </w:t>
      </w:r>
      <w:r w:rsidR="002D146B" w:rsidRPr="00496859">
        <w:rPr>
          <w:rFonts w:hint="cs"/>
          <w:rtl/>
          <w:lang/>
        </w:rPr>
        <w:t>7و14).</w:t>
      </w:r>
    </w:p>
    <w:p w:rsidR="002D146B" w:rsidRDefault="005773B7" w:rsidP="008D75A4">
      <w:pPr>
        <w:pStyle w:val="SingleTxtGA"/>
        <w:rPr>
          <w:rFonts w:hint="cs"/>
          <w:b/>
          <w:bCs/>
          <w:rtl/>
        </w:rPr>
      </w:pPr>
      <w:r>
        <w:rPr>
          <w:rFonts w:hint="cs"/>
          <w:b/>
          <w:bCs/>
          <w:rtl/>
          <w:lang/>
        </w:rPr>
        <w:tab/>
      </w:r>
      <w:r w:rsidR="002D146B" w:rsidRPr="00496859">
        <w:rPr>
          <w:rFonts w:hint="cs"/>
          <w:b/>
          <w:bCs/>
          <w:rtl/>
          <w:lang/>
        </w:rPr>
        <w:t xml:space="preserve">ينبغي للدولة الطرف </w:t>
      </w:r>
      <w:r w:rsidR="002D146B">
        <w:rPr>
          <w:rFonts w:hint="cs"/>
          <w:b/>
          <w:bCs/>
          <w:rtl/>
          <w:lang/>
        </w:rPr>
        <w:t>أن تكثف</w:t>
      </w:r>
      <w:r w:rsidR="002D146B" w:rsidRPr="00496859">
        <w:rPr>
          <w:rFonts w:hint="cs"/>
          <w:b/>
          <w:bCs/>
          <w:rtl/>
          <w:lang/>
        </w:rPr>
        <w:t xml:space="preserve"> جهودها الرامية إلى </w:t>
      </w:r>
      <w:r w:rsidR="002D146B" w:rsidRPr="00496859">
        <w:rPr>
          <w:b/>
          <w:bCs/>
          <w:rtl/>
          <w:lang/>
        </w:rPr>
        <w:t>منع عمليات الإعدام التي تتم خارج نطاق القانون والتحقيق فيها وإجراء المحاكمات بشأنها والمعاقبة عليها</w:t>
      </w:r>
      <w:r w:rsidR="002D146B" w:rsidRPr="00496859">
        <w:rPr>
          <w:rFonts w:hint="cs"/>
          <w:b/>
          <w:bCs/>
          <w:rtl/>
          <w:lang/>
        </w:rPr>
        <w:t xml:space="preserve"> </w:t>
      </w:r>
      <w:r w:rsidR="002D146B">
        <w:rPr>
          <w:rFonts w:hint="cs"/>
          <w:b/>
          <w:bCs/>
          <w:rtl/>
          <w:lang/>
        </w:rPr>
        <w:t>وأن تنظم</w:t>
      </w:r>
      <w:r w:rsidR="002D146B" w:rsidRPr="00496859">
        <w:rPr>
          <w:b/>
          <w:bCs/>
          <w:rtl/>
          <w:lang/>
        </w:rPr>
        <w:t xml:space="preserve"> حملات إعلامية وتثقيفية في المدارس ووسائط الإعلام بشأن </w:t>
      </w:r>
      <w:r w:rsidR="002D146B" w:rsidRPr="00496859">
        <w:rPr>
          <w:rFonts w:hint="cs"/>
          <w:b/>
          <w:bCs/>
          <w:rtl/>
          <w:lang/>
        </w:rPr>
        <w:t>عدم قانونية</w:t>
      </w:r>
      <w:r w:rsidR="002D146B" w:rsidRPr="00496859">
        <w:rPr>
          <w:b/>
          <w:bCs/>
          <w:rtl/>
          <w:lang/>
        </w:rPr>
        <w:t xml:space="preserve"> </w:t>
      </w:r>
      <w:r w:rsidR="002D146B" w:rsidRPr="00496859">
        <w:rPr>
          <w:rFonts w:hint="cs"/>
          <w:b/>
          <w:bCs/>
          <w:rtl/>
          <w:lang/>
        </w:rPr>
        <w:t>هذه العمليات</w:t>
      </w:r>
      <w:r w:rsidR="002D146B" w:rsidRPr="00496859">
        <w:rPr>
          <w:b/>
          <w:bCs/>
          <w:rtl/>
          <w:lang/>
        </w:rPr>
        <w:t>، أياً كانت الظروف والأسباب المؤدية إليها</w:t>
      </w:r>
      <w:r w:rsidR="002D146B" w:rsidRPr="00F05F28">
        <w:rPr>
          <w:b/>
          <w:bCs/>
        </w:rPr>
        <w:t xml:space="preserve"> </w:t>
      </w:r>
      <w:r w:rsidR="002D146B">
        <w:rPr>
          <w:rFonts w:hint="cs"/>
          <w:b/>
          <w:bCs/>
          <w:rtl/>
        </w:rPr>
        <w:t>والمسؤولية الجنائية المترتبة عليها.</w:t>
      </w:r>
    </w:p>
    <w:p w:rsidR="002D146B" w:rsidRPr="005773B7" w:rsidRDefault="005773B7" w:rsidP="005773B7">
      <w:pPr>
        <w:pStyle w:val="SingleTxtGA"/>
        <w:rPr>
          <w:rFonts w:hint="cs"/>
          <w:b/>
          <w:bCs/>
          <w:spacing w:val="-2"/>
        </w:rPr>
      </w:pPr>
      <w:r w:rsidRPr="005773B7">
        <w:rPr>
          <w:rFonts w:hint="cs"/>
          <w:spacing w:val="-2"/>
          <w:rtl/>
        </w:rPr>
        <w:t>13-</w:t>
      </w:r>
      <w:r w:rsidRPr="005773B7">
        <w:rPr>
          <w:rFonts w:hint="cs"/>
          <w:spacing w:val="-2"/>
          <w:rtl/>
        </w:rPr>
        <w:tab/>
      </w:r>
      <w:r w:rsidR="002D146B" w:rsidRPr="005773B7">
        <w:rPr>
          <w:rFonts w:hint="cs"/>
          <w:spacing w:val="-2"/>
          <w:rtl/>
        </w:rPr>
        <w:t xml:space="preserve">تعرب اللجنة عن قلقها إزاء التقارير التي تفيد بحدوث عمليات اعتقال واحتجاز تعسفية، بما في ذلك </w:t>
      </w:r>
      <w:r w:rsidRPr="005773B7">
        <w:rPr>
          <w:rFonts w:hint="cs"/>
          <w:spacing w:val="-2"/>
          <w:rtl/>
        </w:rPr>
        <w:t xml:space="preserve">اعتقال واحتجاز </w:t>
      </w:r>
      <w:r w:rsidR="002D146B" w:rsidRPr="005773B7">
        <w:rPr>
          <w:rFonts w:hint="cs"/>
          <w:spacing w:val="-2"/>
          <w:rtl/>
        </w:rPr>
        <w:t>أطفال وتمديد فترة الاحتجاز السابقة للمحاكمة لتتجاوز الحدود المنصوص عليها في القانون وعدم إطلاع الأشخاص المحتجزين على حقوقهم ودواعي احتجازهم والتهم الموجهة إليهم و</w:t>
      </w:r>
      <w:r w:rsidR="002D146B" w:rsidRPr="005773B7">
        <w:rPr>
          <w:spacing w:val="-2"/>
          <w:rtl/>
          <w:lang/>
        </w:rPr>
        <w:t>الصعوبات التي تعترض الأشخاص المحتجزين في الحصول على محامٍ في اللحظات الأولى من اعتقالهم</w:t>
      </w:r>
      <w:r w:rsidRPr="005773B7">
        <w:rPr>
          <w:rFonts w:hint="cs"/>
          <w:spacing w:val="-2"/>
          <w:rtl/>
          <w:lang/>
        </w:rPr>
        <w:t>. ويساور اللجنة القلق أيضاً</w:t>
      </w:r>
      <w:r w:rsidR="002D146B" w:rsidRPr="005773B7">
        <w:rPr>
          <w:rFonts w:hint="cs"/>
          <w:spacing w:val="-2"/>
          <w:rtl/>
          <w:lang/>
        </w:rPr>
        <w:t xml:space="preserve"> إزاء عدم معرفة المحتجزين بحقوقهم، مما يحرمهم من المطالبة بالتعويض عن الانتهاكات (المواد 9 و14 و24).</w:t>
      </w:r>
    </w:p>
    <w:p w:rsidR="002D146B" w:rsidRPr="00496859" w:rsidRDefault="005773B7" w:rsidP="008D75A4">
      <w:pPr>
        <w:pStyle w:val="SingleTxtGA"/>
        <w:rPr>
          <w:rFonts w:hint="cs"/>
          <w:b/>
          <w:bCs/>
          <w:rtl/>
          <w:lang/>
        </w:rPr>
      </w:pPr>
      <w:r>
        <w:rPr>
          <w:b/>
          <w:bCs/>
          <w:rtl/>
          <w:lang/>
        </w:rPr>
        <w:tab/>
      </w:r>
      <w:r w:rsidR="002D146B" w:rsidRPr="00496859">
        <w:rPr>
          <w:rFonts w:hint="cs"/>
          <w:b/>
          <w:bCs/>
          <w:rtl/>
          <w:lang/>
        </w:rPr>
        <w:t xml:space="preserve">ينبغي للدولة الطرف </w:t>
      </w:r>
      <w:r w:rsidR="002D146B">
        <w:rPr>
          <w:rFonts w:hint="cs"/>
          <w:b/>
          <w:bCs/>
          <w:rtl/>
          <w:lang/>
        </w:rPr>
        <w:t>أن تتخذ</w:t>
      </w:r>
      <w:r w:rsidR="002D146B" w:rsidRPr="00496859">
        <w:rPr>
          <w:rFonts w:hint="cs"/>
          <w:b/>
          <w:bCs/>
          <w:rtl/>
          <w:lang/>
        </w:rPr>
        <w:t xml:space="preserve"> التدابير المناسبة لضمان </w:t>
      </w:r>
      <w:r w:rsidR="002D146B" w:rsidRPr="00496859">
        <w:rPr>
          <w:b/>
          <w:bCs/>
          <w:rtl/>
          <w:lang/>
        </w:rPr>
        <w:t>عدم تعرض أي شخص خاضع لولايتها للاحتجاز أو الاعتقال التعسفي</w:t>
      </w:r>
      <w:r w:rsidR="002D146B">
        <w:rPr>
          <w:rFonts w:hint="cs"/>
          <w:b/>
          <w:bCs/>
          <w:rtl/>
          <w:lang/>
        </w:rPr>
        <w:t>ين</w:t>
      </w:r>
      <w:r w:rsidR="002D146B" w:rsidRPr="00496859">
        <w:rPr>
          <w:b/>
          <w:bCs/>
          <w:rtl/>
          <w:lang/>
        </w:rPr>
        <w:t xml:space="preserve"> </w:t>
      </w:r>
      <w:r w:rsidR="002D146B" w:rsidRPr="00496859">
        <w:rPr>
          <w:rFonts w:hint="cs"/>
          <w:b/>
          <w:bCs/>
          <w:rtl/>
          <w:lang/>
        </w:rPr>
        <w:t>و</w:t>
      </w:r>
      <w:r w:rsidR="002D146B" w:rsidRPr="00496859">
        <w:rPr>
          <w:b/>
          <w:bCs/>
          <w:rtl/>
          <w:lang/>
        </w:rPr>
        <w:t>تمتع الأشخاص المحتجزين بجميع الضمانات القانونية، وفقاً للمادتين 9 و14 من العهد</w:t>
      </w:r>
      <w:r>
        <w:rPr>
          <w:rFonts w:hint="cs"/>
          <w:b/>
          <w:bCs/>
          <w:rtl/>
          <w:lang/>
        </w:rPr>
        <w:t>.</w:t>
      </w:r>
      <w:r w:rsidR="002D146B" w:rsidRPr="00496859">
        <w:rPr>
          <w:rFonts w:hint="cs"/>
          <w:b/>
          <w:bCs/>
          <w:rtl/>
          <w:lang/>
        </w:rPr>
        <w:t xml:space="preserve"> وينبغي لها أن تكفل إطلاع المحرومين من حريتهم بشكل مناسب على حقوقهم بغية تمكينهم من ممارسة حقهم في الاستفادة</w:t>
      </w:r>
      <w:r w:rsidR="002D146B">
        <w:rPr>
          <w:rFonts w:hint="cs"/>
          <w:b/>
          <w:bCs/>
          <w:rtl/>
          <w:lang/>
        </w:rPr>
        <w:t xml:space="preserve"> عمليا</w:t>
      </w:r>
      <w:r>
        <w:rPr>
          <w:rFonts w:hint="cs"/>
          <w:b/>
          <w:bCs/>
          <w:rtl/>
          <w:lang/>
        </w:rPr>
        <w:t>ً</w:t>
      </w:r>
      <w:r w:rsidR="002D146B" w:rsidRPr="00496859">
        <w:rPr>
          <w:rFonts w:hint="cs"/>
          <w:b/>
          <w:bCs/>
          <w:rtl/>
          <w:lang/>
        </w:rPr>
        <w:t xml:space="preserve"> من سبل الانتصاف </w:t>
      </w:r>
      <w:r w:rsidR="002D146B">
        <w:rPr>
          <w:rFonts w:hint="cs"/>
          <w:b/>
          <w:bCs/>
          <w:rtl/>
          <w:lang/>
        </w:rPr>
        <w:t>القضائية</w:t>
      </w:r>
      <w:r w:rsidR="002D146B" w:rsidRPr="00496859">
        <w:rPr>
          <w:rFonts w:hint="cs"/>
          <w:b/>
          <w:bCs/>
          <w:rtl/>
          <w:lang/>
        </w:rPr>
        <w:t xml:space="preserve"> </w:t>
      </w:r>
      <w:r w:rsidR="002D146B">
        <w:rPr>
          <w:rFonts w:hint="cs"/>
          <w:b/>
          <w:bCs/>
          <w:rtl/>
          <w:lang/>
        </w:rPr>
        <w:t>و</w:t>
      </w:r>
      <w:r w:rsidR="002D146B" w:rsidRPr="00496859">
        <w:rPr>
          <w:rFonts w:hint="cs"/>
          <w:b/>
          <w:bCs/>
          <w:rtl/>
          <w:lang/>
        </w:rPr>
        <w:t>تلقي التعويضات وتوقيع العقوبات المناسبة على الجناة.</w:t>
      </w:r>
    </w:p>
    <w:p w:rsidR="002D146B" w:rsidRPr="00496859" w:rsidRDefault="005773B7" w:rsidP="005773B7">
      <w:pPr>
        <w:pStyle w:val="SingleTxtGA"/>
        <w:rPr>
          <w:rFonts w:hint="cs"/>
        </w:rPr>
      </w:pPr>
      <w:r>
        <w:rPr>
          <w:rFonts w:hint="cs"/>
          <w:rtl/>
          <w:lang/>
        </w:rPr>
        <w:t>14-</w:t>
      </w:r>
      <w:r>
        <w:rPr>
          <w:rFonts w:hint="cs"/>
          <w:rtl/>
          <w:lang/>
        </w:rPr>
        <w:tab/>
        <w:t>في حين تلاحظ اللجنة</w:t>
      </w:r>
      <w:r w:rsidR="002D146B" w:rsidRPr="00496859">
        <w:rPr>
          <w:rFonts w:hint="cs"/>
          <w:rtl/>
          <w:lang/>
        </w:rPr>
        <w:t xml:space="preserve"> الجهود </w:t>
      </w:r>
      <w:r w:rsidR="002D146B">
        <w:rPr>
          <w:rFonts w:hint="cs"/>
          <w:rtl/>
          <w:lang/>
        </w:rPr>
        <w:t>التي تبذلها</w:t>
      </w:r>
      <w:r w:rsidR="002D146B" w:rsidRPr="00496859">
        <w:rPr>
          <w:rFonts w:hint="cs"/>
          <w:rtl/>
          <w:lang/>
        </w:rPr>
        <w:t xml:space="preserve"> الدولة الطرف لتحسين ظروف الاحتجاز، بما في ذلك المشروع الجاري تنفيذه والمتعلق ببناء سجن جديد، </w:t>
      </w:r>
      <w:r>
        <w:rPr>
          <w:rFonts w:hint="cs"/>
          <w:rtl/>
          <w:lang/>
        </w:rPr>
        <w:t xml:space="preserve">فإنها </w:t>
      </w:r>
      <w:r w:rsidR="002D146B" w:rsidRPr="00496859">
        <w:rPr>
          <w:rFonts w:hint="cs"/>
          <w:rtl/>
          <w:lang/>
        </w:rPr>
        <w:t xml:space="preserve">تعرب عن قلقها إزاء الاكتظاظ الشديد في السجون وظروف الاحتجاز المزرية، بما في ذلك الأوضاع غير الصحية </w:t>
      </w:r>
      <w:r w:rsidR="002D146B" w:rsidRPr="00496859">
        <w:rPr>
          <w:rtl/>
          <w:lang/>
        </w:rPr>
        <w:t>وعدم كفاية ما يُقدم من الطعام والرعاية الصحية</w:t>
      </w:r>
      <w:r w:rsidR="002D146B" w:rsidRPr="00496859">
        <w:rPr>
          <w:rFonts w:hint="cs"/>
          <w:rtl/>
          <w:lang/>
        </w:rPr>
        <w:t xml:space="preserve">، فضلاً عن حالات الوفاة أثناء الاحتجاز. ويساور اللجنة القلق </w:t>
      </w:r>
      <w:r w:rsidR="002D146B">
        <w:rPr>
          <w:rFonts w:hint="cs"/>
          <w:rtl/>
          <w:lang/>
        </w:rPr>
        <w:t>كذلك</w:t>
      </w:r>
      <w:r w:rsidR="002D146B" w:rsidRPr="00496859">
        <w:rPr>
          <w:rFonts w:hint="cs"/>
          <w:rtl/>
          <w:lang/>
        </w:rPr>
        <w:t xml:space="preserve"> لأن الفصل بين البالغين والقصر في السجون ليس مضمون</w:t>
      </w:r>
      <w:r w:rsidR="00CA20A7">
        <w:rPr>
          <w:rFonts w:hint="cs"/>
          <w:rtl/>
          <w:lang/>
        </w:rPr>
        <w:t>اً</w:t>
      </w:r>
      <w:r w:rsidR="002D146B" w:rsidRPr="00496859">
        <w:rPr>
          <w:rFonts w:hint="cs"/>
          <w:rtl/>
          <w:lang/>
        </w:rPr>
        <w:t xml:space="preserve"> </w:t>
      </w:r>
      <w:r w:rsidR="002D146B">
        <w:rPr>
          <w:rFonts w:hint="cs"/>
          <w:rtl/>
          <w:lang/>
        </w:rPr>
        <w:t>على الدوام</w:t>
      </w:r>
      <w:r w:rsidR="002D146B" w:rsidRPr="00496859">
        <w:rPr>
          <w:rFonts w:hint="cs"/>
          <w:rtl/>
          <w:lang/>
        </w:rPr>
        <w:t>،</w:t>
      </w:r>
      <w:r w:rsidR="002D146B">
        <w:rPr>
          <w:rFonts w:hint="cs"/>
          <w:rtl/>
          <w:lang/>
        </w:rPr>
        <w:t xml:space="preserve"> كما أن</w:t>
      </w:r>
      <w:r>
        <w:rPr>
          <w:rFonts w:hint="cs"/>
          <w:rtl/>
          <w:lang/>
        </w:rPr>
        <w:t xml:space="preserve"> سلطات السجن لا تطلق أحيان</w:t>
      </w:r>
      <w:r w:rsidR="002D146B" w:rsidRPr="00496859">
        <w:rPr>
          <w:rFonts w:hint="cs"/>
          <w:rtl/>
          <w:lang/>
        </w:rPr>
        <w:t>ا</w:t>
      </w:r>
      <w:r>
        <w:rPr>
          <w:rFonts w:hint="cs"/>
          <w:rtl/>
          <w:lang/>
        </w:rPr>
        <w:t>ً سراح السجناء الذين أنهوا فترة عقوبت</w:t>
      </w:r>
      <w:r w:rsidR="002D146B" w:rsidRPr="00496859">
        <w:rPr>
          <w:rFonts w:hint="cs"/>
          <w:rtl/>
          <w:lang/>
        </w:rPr>
        <w:t>هم (المواد 6 و7 و9 و10 و14 و24).</w:t>
      </w:r>
    </w:p>
    <w:p w:rsidR="002D146B" w:rsidRPr="00496859" w:rsidRDefault="005773B7" w:rsidP="005773B7">
      <w:pPr>
        <w:pStyle w:val="SingleTxtGA"/>
        <w:rPr>
          <w:rFonts w:hint="cs"/>
          <w:b/>
          <w:bCs/>
          <w:rtl/>
          <w:lang/>
        </w:rPr>
      </w:pPr>
      <w:r>
        <w:rPr>
          <w:b/>
          <w:bCs/>
          <w:rtl/>
          <w:lang/>
        </w:rPr>
        <w:tab/>
      </w:r>
      <w:r w:rsidR="002D146B" w:rsidRPr="00496859">
        <w:rPr>
          <w:rFonts w:hint="cs"/>
          <w:b/>
          <w:bCs/>
          <w:rtl/>
          <w:lang/>
        </w:rPr>
        <w:t xml:space="preserve">ينبغي للدولة الطرف </w:t>
      </w:r>
      <w:r w:rsidR="002D146B">
        <w:rPr>
          <w:rFonts w:hint="cs"/>
          <w:b/>
          <w:bCs/>
          <w:rtl/>
          <w:lang/>
        </w:rPr>
        <w:t>أن تتخذ</w:t>
      </w:r>
      <w:r w:rsidR="002D146B" w:rsidRPr="00496859">
        <w:rPr>
          <w:rFonts w:hint="cs"/>
          <w:b/>
          <w:bCs/>
          <w:rtl/>
          <w:lang/>
        </w:rPr>
        <w:t xml:space="preserve"> تدابير عاجلة لإنشاء نظام</w:t>
      </w:r>
      <w:r w:rsidR="002D146B">
        <w:rPr>
          <w:rFonts w:hint="cs"/>
          <w:b/>
          <w:bCs/>
          <w:rtl/>
          <w:lang/>
        </w:rPr>
        <w:t xml:space="preserve"> رصد</w:t>
      </w:r>
      <w:r w:rsidR="002D146B" w:rsidRPr="00496859">
        <w:rPr>
          <w:rFonts w:hint="cs"/>
          <w:b/>
          <w:bCs/>
          <w:rtl/>
          <w:lang/>
        </w:rPr>
        <w:t xml:space="preserve"> من</w:t>
      </w:r>
      <w:r w:rsidR="002D146B">
        <w:rPr>
          <w:rFonts w:hint="cs"/>
          <w:b/>
          <w:bCs/>
          <w:rtl/>
          <w:lang/>
        </w:rPr>
        <w:t>ت</w:t>
      </w:r>
      <w:r w:rsidR="002D146B" w:rsidRPr="00496859">
        <w:rPr>
          <w:rFonts w:hint="cs"/>
          <w:b/>
          <w:bCs/>
          <w:rtl/>
          <w:lang/>
        </w:rPr>
        <w:t xml:space="preserve">ظم ومستقل </w:t>
      </w:r>
      <w:r w:rsidR="002D146B">
        <w:rPr>
          <w:rFonts w:hint="cs"/>
          <w:b/>
          <w:bCs/>
          <w:rtl/>
          <w:lang/>
        </w:rPr>
        <w:t>ل</w:t>
      </w:r>
      <w:r>
        <w:rPr>
          <w:rFonts w:hint="cs"/>
          <w:b/>
          <w:bCs/>
          <w:rtl/>
          <w:lang/>
        </w:rPr>
        <w:t>أماكن الاحتجاز وللحدّ من</w:t>
      </w:r>
      <w:r w:rsidR="002D146B" w:rsidRPr="00496859">
        <w:rPr>
          <w:rFonts w:hint="cs"/>
          <w:b/>
          <w:bCs/>
          <w:rtl/>
          <w:lang/>
        </w:rPr>
        <w:t xml:space="preserve"> الاكتظاظ وتحسين ظروف الاحتجاز، بما في ذلك </w:t>
      </w:r>
      <w:r>
        <w:rPr>
          <w:rFonts w:hint="cs"/>
          <w:b/>
          <w:bCs/>
          <w:rtl/>
          <w:lang/>
        </w:rPr>
        <w:t xml:space="preserve">احتجاز </w:t>
      </w:r>
      <w:r w:rsidR="002D146B" w:rsidRPr="00496859">
        <w:rPr>
          <w:rFonts w:hint="cs"/>
          <w:b/>
          <w:bCs/>
          <w:rtl/>
          <w:lang/>
        </w:rPr>
        <w:t>المجرمين من الأحداث</w:t>
      </w:r>
      <w:r w:rsidR="002D146B">
        <w:rPr>
          <w:rFonts w:hint="cs"/>
          <w:b/>
          <w:bCs/>
          <w:rtl/>
          <w:lang/>
        </w:rPr>
        <w:t>،</w:t>
      </w:r>
      <w:r w:rsidR="002D146B" w:rsidRPr="00496859">
        <w:rPr>
          <w:rFonts w:hint="cs"/>
          <w:b/>
          <w:bCs/>
          <w:rtl/>
          <w:lang/>
        </w:rPr>
        <w:t xml:space="preserve"> </w:t>
      </w:r>
      <w:r w:rsidR="002D146B" w:rsidRPr="00496859">
        <w:rPr>
          <w:b/>
          <w:bCs/>
          <w:rtl/>
          <w:lang/>
        </w:rPr>
        <w:t>بما يتفق مع أحكام العهد وقواعد الأمم المتحدة النموذجية الدنيا لمعاملة السجناء</w:t>
      </w:r>
      <w:r w:rsidR="002D146B" w:rsidRPr="00496859">
        <w:rPr>
          <w:rFonts w:hint="cs"/>
          <w:b/>
          <w:bCs/>
          <w:rtl/>
          <w:lang/>
        </w:rPr>
        <w:t xml:space="preserve">. </w:t>
      </w:r>
      <w:r w:rsidR="002D146B" w:rsidRPr="00496859">
        <w:rPr>
          <w:b/>
          <w:bCs/>
          <w:rtl/>
          <w:lang/>
        </w:rPr>
        <w:t>وفي هذا الصدد، ينبغي للدولة الطرف أن تنظر في بناء سجون جديدة و</w:t>
      </w:r>
      <w:r w:rsidR="002D146B" w:rsidRPr="00496859">
        <w:rPr>
          <w:rFonts w:hint="cs"/>
          <w:b/>
          <w:bCs/>
          <w:rtl/>
          <w:lang/>
        </w:rPr>
        <w:t xml:space="preserve">أن </w:t>
      </w:r>
      <w:r w:rsidR="002D146B" w:rsidRPr="00496859">
        <w:rPr>
          <w:b/>
          <w:bCs/>
          <w:rtl/>
          <w:lang/>
        </w:rPr>
        <w:t xml:space="preserve">تفكر أيضاً في تنفيذ عقوبات بديلة عن عقوبة السجن </w:t>
      </w:r>
      <w:r w:rsidR="002D146B" w:rsidRPr="00496859">
        <w:rPr>
          <w:rFonts w:hint="cs"/>
          <w:b/>
          <w:bCs/>
          <w:rtl/>
          <w:lang/>
        </w:rPr>
        <w:t xml:space="preserve">كالكفالة والإقامة الجبرية والأحكام التي لا تفضي إلى الاحتجاز كالأحكام مع وقف التنفيذ والإفراج المشروط والخدمات المجتمعية. وينبغي لها </w:t>
      </w:r>
      <w:r w:rsidR="002D146B">
        <w:rPr>
          <w:rFonts w:hint="cs"/>
          <w:b/>
          <w:bCs/>
          <w:rtl/>
          <w:lang/>
        </w:rPr>
        <w:t>أن تجري</w:t>
      </w:r>
      <w:r w:rsidR="002D146B" w:rsidRPr="00496859">
        <w:rPr>
          <w:rFonts w:hint="cs"/>
          <w:b/>
          <w:bCs/>
          <w:rtl/>
          <w:lang/>
        </w:rPr>
        <w:t xml:space="preserve"> تحقيق</w:t>
      </w:r>
      <w:r w:rsidR="00CA20A7">
        <w:rPr>
          <w:rFonts w:hint="cs"/>
          <w:b/>
          <w:bCs/>
          <w:rtl/>
          <w:lang/>
        </w:rPr>
        <w:t>اً</w:t>
      </w:r>
      <w:r w:rsidR="002D146B" w:rsidRPr="00496859">
        <w:rPr>
          <w:rFonts w:hint="cs"/>
          <w:b/>
          <w:bCs/>
          <w:rtl/>
          <w:lang/>
        </w:rPr>
        <w:t xml:space="preserve"> سريع</w:t>
      </w:r>
      <w:r w:rsidR="00CA20A7">
        <w:rPr>
          <w:rFonts w:hint="cs"/>
          <w:b/>
          <w:bCs/>
          <w:rtl/>
          <w:lang/>
        </w:rPr>
        <w:t>اً</w:t>
      </w:r>
      <w:r w:rsidR="002D146B" w:rsidRPr="00496859">
        <w:rPr>
          <w:rFonts w:hint="cs"/>
          <w:b/>
          <w:bCs/>
          <w:rtl/>
          <w:lang/>
        </w:rPr>
        <w:t xml:space="preserve"> في حالات الوفاة أثناء الاحتجاز ومقاضاة </w:t>
      </w:r>
      <w:proofErr w:type="spellStart"/>
      <w:r w:rsidR="002D146B" w:rsidRPr="00496859">
        <w:rPr>
          <w:rFonts w:hint="cs"/>
          <w:b/>
          <w:bCs/>
          <w:rtl/>
          <w:lang/>
        </w:rPr>
        <w:t>المسؤولين</w:t>
      </w:r>
      <w:proofErr w:type="spellEnd"/>
      <w:r w:rsidR="002D146B" w:rsidRPr="00496859">
        <w:rPr>
          <w:rFonts w:hint="cs"/>
          <w:b/>
          <w:bCs/>
          <w:rtl/>
          <w:lang/>
        </w:rPr>
        <w:t xml:space="preserve"> عنها وتوفير التعويض المناسب لعائلات الضحايا. وينبغي لها </w:t>
      </w:r>
      <w:r>
        <w:rPr>
          <w:rFonts w:hint="cs"/>
          <w:b/>
          <w:bCs/>
          <w:rtl/>
          <w:lang/>
        </w:rPr>
        <w:t>أيضاً</w:t>
      </w:r>
      <w:r w:rsidR="002D146B" w:rsidRPr="00496859">
        <w:rPr>
          <w:rFonts w:hint="cs"/>
          <w:b/>
          <w:bCs/>
          <w:rtl/>
          <w:lang/>
        </w:rPr>
        <w:t xml:space="preserve"> </w:t>
      </w:r>
      <w:r w:rsidR="002D146B">
        <w:rPr>
          <w:rFonts w:hint="cs"/>
          <w:b/>
          <w:bCs/>
          <w:rtl/>
          <w:lang/>
        </w:rPr>
        <w:t>أن تضمن</w:t>
      </w:r>
      <w:r w:rsidR="002D146B" w:rsidRPr="00496859">
        <w:rPr>
          <w:rFonts w:hint="cs"/>
          <w:b/>
          <w:bCs/>
          <w:rtl/>
          <w:lang/>
        </w:rPr>
        <w:t xml:space="preserve"> احترام مبدأ فصل الأحداث المحتجزين عن البالغين في مرافق الاحتجاز وإطلاق سراح السجناء </w:t>
      </w:r>
      <w:r w:rsidR="002D146B">
        <w:rPr>
          <w:rFonts w:hint="cs"/>
          <w:b/>
          <w:bCs/>
          <w:rtl/>
          <w:lang/>
        </w:rPr>
        <w:t>فور</w:t>
      </w:r>
      <w:r w:rsidR="002D146B" w:rsidRPr="00496859">
        <w:rPr>
          <w:rFonts w:hint="cs"/>
          <w:b/>
          <w:bCs/>
          <w:rtl/>
          <w:lang/>
        </w:rPr>
        <w:t xml:space="preserve"> </w:t>
      </w:r>
      <w:r w:rsidR="002D146B">
        <w:rPr>
          <w:rFonts w:hint="cs"/>
          <w:b/>
          <w:bCs/>
          <w:rtl/>
          <w:lang/>
        </w:rPr>
        <w:t>استكمالهم</w:t>
      </w:r>
      <w:r w:rsidR="002D146B" w:rsidRPr="00496859">
        <w:rPr>
          <w:rFonts w:hint="cs"/>
          <w:b/>
          <w:bCs/>
          <w:rtl/>
          <w:lang/>
        </w:rPr>
        <w:t xml:space="preserve"> فترة عقوبتهم.</w:t>
      </w:r>
    </w:p>
    <w:p w:rsidR="002D146B" w:rsidRPr="00496859" w:rsidRDefault="005773B7" w:rsidP="008D75A4">
      <w:pPr>
        <w:pStyle w:val="SingleTxtGA"/>
        <w:rPr>
          <w:rFonts w:hint="cs"/>
        </w:rPr>
      </w:pPr>
      <w:r>
        <w:rPr>
          <w:rFonts w:hint="cs"/>
          <w:rtl/>
        </w:rPr>
        <w:t>15-</w:t>
      </w:r>
      <w:r>
        <w:rPr>
          <w:rFonts w:hint="cs"/>
          <w:rtl/>
        </w:rPr>
        <w:tab/>
        <w:t>في حين</w:t>
      </w:r>
      <w:r w:rsidR="002D146B" w:rsidRPr="00496859">
        <w:rPr>
          <w:rFonts w:hint="cs"/>
          <w:rtl/>
        </w:rPr>
        <w:t xml:space="preserve"> تلاحظ اللجنة الجهود التي بذلتها الدولة الطرف فيما يتعلق بتدريب وتشغيل عدد أكبر من القضاة، </w:t>
      </w:r>
      <w:r>
        <w:rPr>
          <w:rFonts w:hint="cs"/>
          <w:rtl/>
        </w:rPr>
        <w:t xml:space="preserve">فإنها </w:t>
      </w:r>
      <w:r w:rsidR="002D146B" w:rsidRPr="00496859">
        <w:rPr>
          <w:rFonts w:hint="cs"/>
          <w:rtl/>
        </w:rPr>
        <w:t>لا تزال قلقة إزاء نقص عدد القضاة و</w:t>
      </w:r>
      <w:r>
        <w:rPr>
          <w:rFonts w:hint="cs"/>
          <w:rtl/>
        </w:rPr>
        <w:t>عدم كفاية تدريبهم</w:t>
      </w:r>
      <w:r w:rsidR="002D146B" w:rsidRPr="00496859">
        <w:rPr>
          <w:rFonts w:hint="cs"/>
          <w:rtl/>
        </w:rPr>
        <w:t xml:space="preserve">. ويساور اللجنة القلق </w:t>
      </w:r>
      <w:r w:rsidR="002D146B">
        <w:rPr>
          <w:rFonts w:hint="cs"/>
          <w:rtl/>
        </w:rPr>
        <w:t>كذلك</w:t>
      </w:r>
      <w:r w:rsidR="002D146B" w:rsidRPr="00496859">
        <w:rPr>
          <w:rFonts w:hint="cs"/>
          <w:rtl/>
        </w:rPr>
        <w:t xml:space="preserve"> إزاء التأخير المطول في إقامة العدل وعدم الوضوح الذي يشوب عملية حساب الرسوم القضائية والصعوبات التي تحول دون وصول الأشخاص المحرومين إلى المساعدة القانونية. وتعرب اللجنة عن قلقها أيض</w:t>
      </w:r>
      <w:r w:rsidR="00CA20A7">
        <w:rPr>
          <w:rFonts w:hint="cs"/>
          <w:rtl/>
        </w:rPr>
        <w:t>اً</w:t>
      </w:r>
      <w:r w:rsidR="002D146B" w:rsidRPr="00496859">
        <w:rPr>
          <w:rFonts w:hint="cs"/>
          <w:rtl/>
        </w:rPr>
        <w:t xml:space="preserve"> إزاء التقارير التي تفيد بأن نظام المحاكم المحلية الموروثة من العهد الاستعماري لا يعمل على ما يبدو وفق</w:t>
      </w:r>
      <w:r w:rsidR="00CA20A7">
        <w:rPr>
          <w:rFonts w:hint="cs"/>
          <w:rtl/>
        </w:rPr>
        <w:t>اً</w:t>
      </w:r>
      <w:r w:rsidR="002D146B" w:rsidRPr="00496859">
        <w:rPr>
          <w:rFonts w:hint="cs"/>
          <w:rtl/>
        </w:rPr>
        <w:t xml:space="preserve"> للأحكام الأساسية للمحاكمة العادلة ويمكن أن تتعارض قراراتها مع </w:t>
      </w:r>
      <w:r w:rsidR="002D146B">
        <w:rPr>
          <w:rFonts w:hint="cs"/>
          <w:rtl/>
        </w:rPr>
        <w:t>مبادئ حقوق الإنسان (المادتا</w:t>
      </w:r>
      <w:r w:rsidR="002D146B" w:rsidRPr="00496859">
        <w:rPr>
          <w:rFonts w:hint="cs"/>
          <w:rtl/>
        </w:rPr>
        <w:t>ن 2 و14).</w:t>
      </w:r>
    </w:p>
    <w:p w:rsidR="002D146B" w:rsidRPr="00496859" w:rsidRDefault="005773B7" w:rsidP="008D75A4">
      <w:pPr>
        <w:pStyle w:val="SingleTxtGA"/>
        <w:rPr>
          <w:rFonts w:hint="cs"/>
          <w:b/>
          <w:bCs/>
          <w:rtl/>
          <w:lang/>
        </w:rPr>
      </w:pPr>
      <w:r>
        <w:rPr>
          <w:b/>
          <w:bCs/>
          <w:rtl/>
        </w:rPr>
        <w:tab/>
      </w:r>
      <w:r w:rsidR="002D146B" w:rsidRPr="00496859">
        <w:rPr>
          <w:rFonts w:hint="cs"/>
          <w:b/>
          <w:bCs/>
          <w:rtl/>
        </w:rPr>
        <w:t xml:space="preserve">ينبغي للدولة </w:t>
      </w:r>
      <w:r>
        <w:rPr>
          <w:rFonts w:hint="cs"/>
          <w:b/>
          <w:bCs/>
          <w:rtl/>
        </w:rPr>
        <w:t>الطرف أن تواصل، على وجه السرعة،</w:t>
      </w:r>
      <w:r w:rsidR="002D146B" w:rsidRPr="00496859">
        <w:rPr>
          <w:rFonts w:hint="cs"/>
          <w:b/>
          <w:bCs/>
          <w:rtl/>
        </w:rPr>
        <w:t xml:space="preserve"> زيادة </w:t>
      </w:r>
      <w:r w:rsidR="002D146B" w:rsidRPr="00496859">
        <w:rPr>
          <w:b/>
          <w:bCs/>
          <w:rtl/>
          <w:lang/>
        </w:rPr>
        <w:t>عدد الموظفين القضائيين المؤهلين والمدربين مهنياً</w:t>
      </w:r>
      <w:r w:rsidR="002D146B" w:rsidRPr="00496859">
        <w:rPr>
          <w:rFonts w:hint="cs"/>
          <w:b/>
          <w:bCs/>
          <w:rtl/>
          <w:lang/>
        </w:rPr>
        <w:t>، وأن تستمر في بذل الجهود الرامية إلى تقليص التأخير في الإجراءات وتبسيط العملية التي ت</w:t>
      </w:r>
      <w:r w:rsidR="002D146B">
        <w:rPr>
          <w:rFonts w:hint="cs"/>
          <w:b/>
          <w:bCs/>
          <w:rtl/>
          <w:lang/>
        </w:rPr>
        <w:t>ُ</w:t>
      </w:r>
      <w:r w:rsidR="002D146B" w:rsidRPr="00496859">
        <w:rPr>
          <w:rFonts w:hint="cs"/>
          <w:b/>
          <w:bCs/>
          <w:rtl/>
          <w:lang/>
        </w:rPr>
        <w:t xml:space="preserve">حسب من خلالها الرسوم القضائية وإضفاء قدر من الشفافية عليها وضمان </w:t>
      </w:r>
      <w:r w:rsidR="002D146B" w:rsidRPr="00496859">
        <w:rPr>
          <w:b/>
          <w:bCs/>
          <w:rtl/>
          <w:lang/>
        </w:rPr>
        <w:t>توفير المساعدة القانونية في جميع القضايا التي تقتضي فيها مصلحة العدالة توفير هذه المساعدة</w:t>
      </w:r>
      <w:r w:rsidR="002D146B">
        <w:rPr>
          <w:rFonts w:hint="cs"/>
          <w:b/>
          <w:bCs/>
          <w:rtl/>
          <w:lang/>
        </w:rPr>
        <w:t>. وينبغي لها أيض</w:t>
      </w:r>
      <w:r w:rsidR="00CA20A7">
        <w:rPr>
          <w:rFonts w:hint="cs"/>
          <w:b/>
          <w:bCs/>
          <w:rtl/>
          <w:lang/>
        </w:rPr>
        <w:t>اً</w:t>
      </w:r>
      <w:r w:rsidR="002D146B">
        <w:rPr>
          <w:rFonts w:hint="cs"/>
          <w:b/>
          <w:bCs/>
          <w:rtl/>
          <w:lang/>
        </w:rPr>
        <w:t xml:space="preserve"> ضمان </w:t>
      </w:r>
      <w:r w:rsidR="002D146B" w:rsidRPr="00496859">
        <w:rPr>
          <w:rFonts w:hint="cs"/>
          <w:b/>
          <w:bCs/>
          <w:rtl/>
          <w:lang/>
        </w:rPr>
        <w:t>أن يعمل نظام المحاكم المحلية بطريقة تتماشى مع المادة 14 وال</w:t>
      </w:r>
      <w:r>
        <w:rPr>
          <w:rFonts w:hint="cs"/>
          <w:b/>
          <w:bCs/>
          <w:rtl/>
          <w:lang/>
        </w:rPr>
        <w:t>فقرة 24 من التعليق العام رقم 32</w:t>
      </w:r>
      <w:r w:rsidR="002D146B" w:rsidRPr="00496859">
        <w:rPr>
          <w:rFonts w:hint="cs"/>
          <w:b/>
          <w:bCs/>
          <w:rtl/>
          <w:lang/>
        </w:rPr>
        <w:t xml:space="preserve">(2007) </w:t>
      </w:r>
      <w:r w:rsidR="002D146B" w:rsidRPr="00496859">
        <w:rPr>
          <w:b/>
          <w:bCs/>
          <w:rtl/>
          <w:lang/>
        </w:rPr>
        <w:t>بشأن الحق في المساواة أمام المحاكم والمحاكم المتخصصة والحق في محاكمة عادل</w:t>
      </w:r>
      <w:r w:rsidR="002D146B" w:rsidRPr="00496859">
        <w:rPr>
          <w:rFonts w:hint="cs"/>
          <w:b/>
          <w:bCs/>
          <w:rtl/>
          <w:lang/>
        </w:rPr>
        <w:t>ة وأن لا تتعارض القرارات الصادرة عن هذه الهيئات مع التزامات الدولة الطرف بموجب العهد.</w:t>
      </w:r>
    </w:p>
    <w:p w:rsidR="002D146B" w:rsidRPr="00496859" w:rsidRDefault="005773B7" w:rsidP="005773B7">
      <w:pPr>
        <w:pStyle w:val="SingleTxtGA"/>
        <w:rPr>
          <w:rFonts w:hint="cs"/>
        </w:rPr>
      </w:pPr>
      <w:r>
        <w:rPr>
          <w:rFonts w:hint="cs"/>
          <w:rtl/>
        </w:rPr>
        <w:t>16-</w:t>
      </w:r>
      <w:r>
        <w:rPr>
          <w:rFonts w:hint="cs"/>
          <w:rtl/>
        </w:rPr>
        <w:tab/>
        <w:t>في حين</w:t>
      </w:r>
      <w:r w:rsidR="002D146B" w:rsidRPr="00496859">
        <w:rPr>
          <w:rFonts w:hint="cs"/>
          <w:rtl/>
        </w:rPr>
        <w:t xml:space="preserve"> تثني اللجنة على الدولة الطرف لتعاملها مع اللاجئين وطالبي اللجوء</w:t>
      </w:r>
      <w:r>
        <w:rPr>
          <w:rFonts w:hint="cs"/>
          <w:rtl/>
        </w:rPr>
        <w:t>،</w:t>
      </w:r>
      <w:r w:rsidR="002D146B" w:rsidRPr="00496859">
        <w:rPr>
          <w:rFonts w:hint="cs"/>
          <w:rtl/>
        </w:rPr>
        <w:t xml:space="preserve"> على الرغم من التحفظات الهامة التي أبدتها على الاتفاقية المتعلقة بمركز اللاجئين، </w:t>
      </w:r>
      <w:r>
        <w:rPr>
          <w:rFonts w:hint="cs"/>
          <w:rtl/>
        </w:rPr>
        <w:t xml:space="preserve">فإنها </w:t>
      </w:r>
      <w:r w:rsidR="002D146B" w:rsidRPr="00496859">
        <w:rPr>
          <w:rFonts w:hint="cs"/>
          <w:rtl/>
        </w:rPr>
        <w:t>تلاحظ بقلق الآجال الطويلة التي تستغرقها عملية تحديد مركز اللاجئ مما يفضي إلى تأخير أكبر في معالجة طلبات اللجوء</w:t>
      </w:r>
      <w:r w:rsidR="002D146B">
        <w:rPr>
          <w:rFonts w:hint="cs"/>
          <w:rtl/>
          <w:lang w:val="de-CH" w:bidi="ar-EG"/>
        </w:rPr>
        <w:t xml:space="preserve">، كما تلاحظ </w:t>
      </w:r>
      <w:r w:rsidR="002D146B" w:rsidRPr="00496859">
        <w:rPr>
          <w:rFonts w:hint="cs"/>
          <w:rtl/>
        </w:rPr>
        <w:t xml:space="preserve">الصعوبات التي تحول دون </w:t>
      </w:r>
      <w:r w:rsidR="002D146B">
        <w:rPr>
          <w:rFonts w:hint="cs"/>
          <w:rtl/>
        </w:rPr>
        <w:t xml:space="preserve">بلوغ المرحلة الثانية من عملية </w:t>
      </w:r>
      <w:r w:rsidR="002D146B" w:rsidRPr="00496859">
        <w:rPr>
          <w:rFonts w:hint="cs"/>
          <w:rtl/>
        </w:rPr>
        <w:t>تحديد</w:t>
      </w:r>
      <w:r w:rsidR="002D146B">
        <w:rPr>
          <w:rFonts w:hint="cs"/>
          <w:rtl/>
        </w:rPr>
        <w:t xml:space="preserve"> مركز اللاجئ</w:t>
      </w:r>
      <w:r w:rsidR="002D146B" w:rsidRPr="00496859">
        <w:rPr>
          <w:rFonts w:hint="cs"/>
          <w:rtl/>
        </w:rPr>
        <w:t xml:space="preserve"> وهما مسألتان تعر</w:t>
      </w:r>
      <w:r>
        <w:rPr>
          <w:rFonts w:hint="cs"/>
          <w:rtl/>
        </w:rPr>
        <w:t>ِّ</w:t>
      </w:r>
      <w:r w:rsidR="002D146B" w:rsidRPr="00496859">
        <w:rPr>
          <w:rFonts w:hint="cs"/>
          <w:rtl/>
        </w:rPr>
        <w:t>ضان اللاجئين لخطر الترحيل (المادتان 2 و</w:t>
      </w:r>
      <w:r w:rsidR="002D146B">
        <w:rPr>
          <w:rFonts w:hint="cs"/>
          <w:rtl/>
        </w:rPr>
        <w:t>7</w:t>
      </w:r>
      <w:r w:rsidR="002D146B" w:rsidRPr="00496859">
        <w:rPr>
          <w:rFonts w:hint="cs"/>
          <w:rtl/>
        </w:rPr>
        <w:t>).</w:t>
      </w:r>
    </w:p>
    <w:p w:rsidR="002D146B" w:rsidRPr="00496859" w:rsidRDefault="005773B7" w:rsidP="002137A7">
      <w:pPr>
        <w:pStyle w:val="SingleTxtGA"/>
        <w:rPr>
          <w:rFonts w:hint="cs"/>
          <w:b/>
          <w:bCs/>
          <w:rtl/>
        </w:rPr>
      </w:pPr>
      <w:r>
        <w:rPr>
          <w:b/>
          <w:bCs/>
          <w:rtl/>
        </w:rPr>
        <w:tab/>
      </w:r>
      <w:r w:rsidR="002D146B" w:rsidRPr="00496859">
        <w:rPr>
          <w:rFonts w:hint="cs"/>
          <w:b/>
          <w:bCs/>
          <w:rtl/>
        </w:rPr>
        <w:t xml:space="preserve">ينبغي للدولة الطرف </w:t>
      </w:r>
      <w:r w:rsidR="002D146B">
        <w:rPr>
          <w:rFonts w:hint="cs"/>
          <w:b/>
          <w:bCs/>
          <w:rtl/>
        </w:rPr>
        <w:t>أن تستعرض</w:t>
      </w:r>
      <w:r w:rsidR="002D146B" w:rsidRPr="00496859">
        <w:rPr>
          <w:rFonts w:hint="cs"/>
          <w:b/>
          <w:bCs/>
          <w:rtl/>
        </w:rPr>
        <w:t xml:space="preserve"> إجراءاتها</w:t>
      </w:r>
      <w:r>
        <w:rPr>
          <w:rFonts w:hint="cs"/>
          <w:b/>
          <w:bCs/>
          <w:rtl/>
        </w:rPr>
        <w:t xml:space="preserve"> الخاصة بتحديد مركز اللاجئ </w:t>
      </w:r>
      <w:r w:rsidR="002D146B" w:rsidRPr="00496859">
        <w:rPr>
          <w:rFonts w:hint="cs"/>
          <w:b/>
          <w:bCs/>
          <w:rtl/>
        </w:rPr>
        <w:t>قانون</w:t>
      </w:r>
      <w:r>
        <w:rPr>
          <w:rFonts w:hint="cs"/>
          <w:b/>
          <w:bCs/>
          <w:rtl/>
        </w:rPr>
        <w:t>اً</w:t>
      </w:r>
      <w:r w:rsidR="002D146B" w:rsidRPr="00496859">
        <w:rPr>
          <w:rFonts w:hint="cs"/>
          <w:b/>
          <w:bCs/>
          <w:rtl/>
        </w:rPr>
        <w:t xml:space="preserve"> </w:t>
      </w:r>
      <w:r>
        <w:rPr>
          <w:rFonts w:hint="cs"/>
          <w:b/>
          <w:bCs/>
          <w:rtl/>
        </w:rPr>
        <w:t>و</w:t>
      </w:r>
      <w:r w:rsidR="002D146B" w:rsidRPr="00496859">
        <w:rPr>
          <w:rFonts w:hint="cs"/>
          <w:b/>
          <w:bCs/>
          <w:rtl/>
        </w:rPr>
        <w:t>ممارسة</w:t>
      </w:r>
      <w:r w:rsidR="002137A7">
        <w:rPr>
          <w:rFonts w:hint="cs"/>
          <w:b/>
          <w:bCs/>
          <w:rtl/>
        </w:rPr>
        <w:t>ً</w:t>
      </w:r>
      <w:r w:rsidR="002D146B" w:rsidRPr="00496859">
        <w:rPr>
          <w:rFonts w:hint="cs"/>
          <w:b/>
          <w:bCs/>
          <w:rtl/>
        </w:rPr>
        <w:t xml:space="preserve"> بغية معالجة مشكلة التأخير في دراسة طلبات اللجوء التي لا يزال بعضها معلق</w:t>
      </w:r>
      <w:r w:rsidR="00CA20A7">
        <w:rPr>
          <w:rFonts w:hint="cs"/>
          <w:b/>
          <w:bCs/>
          <w:rtl/>
        </w:rPr>
        <w:t>اً</w:t>
      </w:r>
      <w:r w:rsidR="002D146B" w:rsidRPr="00496859">
        <w:rPr>
          <w:rFonts w:hint="cs"/>
          <w:b/>
          <w:bCs/>
          <w:rtl/>
        </w:rPr>
        <w:t xml:space="preserve"> منذ أكثر من ثمان</w:t>
      </w:r>
      <w:r w:rsidR="002D146B">
        <w:rPr>
          <w:rFonts w:hint="cs"/>
          <w:b/>
          <w:bCs/>
          <w:rtl/>
        </w:rPr>
        <w:t>ي</w:t>
      </w:r>
      <w:r w:rsidR="002D146B" w:rsidRPr="00496859">
        <w:rPr>
          <w:rFonts w:hint="cs"/>
          <w:b/>
          <w:bCs/>
          <w:rtl/>
        </w:rPr>
        <w:t xml:space="preserve"> سنوات. وينبغي لها </w:t>
      </w:r>
      <w:r w:rsidR="002D146B">
        <w:rPr>
          <w:rFonts w:hint="cs"/>
          <w:b/>
          <w:bCs/>
          <w:rtl/>
        </w:rPr>
        <w:t>أن تحدد</w:t>
      </w:r>
      <w:r w:rsidR="002D146B" w:rsidRPr="00496859">
        <w:rPr>
          <w:rFonts w:hint="cs"/>
          <w:b/>
          <w:bCs/>
          <w:rtl/>
        </w:rPr>
        <w:t xml:space="preserve"> أطر</w:t>
      </w:r>
      <w:r w:rsidR="00CA20A7">
        <w:rPr>
          <w:rFonts w:hint="cs"/>
          <w:b/>
          <w:bCs/>
          <w:rtl/>
        </w:rPr>
        <w:t>اً</w:t>
      </w:r>
      <w:r w:rsidR="002D146B" w:rsidRPr="00496859">
        <w:rPr>
          <w:rFonts w:hint="cs"/>
          <w:b/>
          <w:bCs/>
          <w:rtl/>
        </w:rPr>
        <w:t xml:space="preserve"> زمنية دقيقة لهذه الإجراءات </w:t>
      </w:r>
      <w:r w:rsidR="002D146B">
        <w:rPr>
          <w:rFonts w:hint="cs"/>
          <w:b/>
          <w:bCs/>
          <w:rtl/>
        </w:rPr>
        <w:t>وأن تكفل</w:t>
      </w:r>
      <w:r w:rsidR="002D146B" w:rsidRPr="00496859">
        <w:rPr>
          <w:rFonts w:hint="cs"/>
          <w:b/>
          <w:bCs/>
          <w:rtl/>
        </w:rPr>
        <w:t xml:space="preserve"> </w:t>
      </w:r>
      <w:r w:rsidR="002D146B">
        <w:rPr>
          <w:rFonts w:hint="cs"/>
          <w:b/>
          <w:bCs/>
          <w:rtl/>
        </w:rPr>
        <w:t>إتاحتها</w:t>
      </w:r>
      <w:r w:rsidR="002D146B" w:rsidRPr="00496859">
        <w:rPr>
          <w:rFonts w:hint="cs"/>
          <w:b/>
          <w:bCs/>
          <w:rtl/>
        </w:rPr>
        <w:t xml:space="preserve"> بالكامل لطالبي اللجوء لا سيما </w:t>
      </w:r>
      <w:r w:rsidR="002D146B">
        <w:rPr>
          <w:rFonts w:hint="cs"/>
          <w:b/>
          <w:bCs/>
          <w:rtl/>
        </w:rPr>
        <w:t xml:space="preserve">أثناء </w:t>
      </w:r>
      <w:r w:rsidR="002D146B" w:rsidRPr="00496859">
        <w:rPr>
          <w:rFonts w:hint="cs"/>
          <w:b/>
          <w:bCs/>
          <w:rtl/>
        </w:rPr>
        <w:t xml:space="preserve">المرحلة الثانية من هذه الإجراءات. وينبغي للدولة الطرف </w:t>
      </w:r>
      <w:r w:rsidR="002D146B">
        <w:rPr>
          <w:rFonts w:hint="cs"/>
          <w:b/>
          <w:bCs/>
          <w:rtl/>
        </w:rPr>
        <w:t>أن تنظر</w:t>
      </w:r>
      <w:r w:rsidR="002D146B" w:rsidRPr="00496859">
        <w:rPr>
          <w:rFonts w:hint="cs"/>
          <w:b/>
          <w:bCs/>
          <w:rtl/>
        </w:rPr>
        <w:t xml:space="preserve"> في سحب تحفظاتها على الا</w:t>
      </w:r>
      <w:r>
        <w:rPr>
          <w:rFonts w:hint="cs"/>
          <w:b/>
          <w:bCs/>
          <w:rtl/>
        </w:rPr>
        <w:t>تفاقية المتعلقة بمركز اللاجئين.</w:t>
      </w:r>
    </w:p>
    <w:p w:rsidR="002D146B" w:rsidRPr="00496859" w:rsidRDefault="005773B7" w:rsidP="002137A7">
      <w:pPr>
        <w:pStyle w:val="SingleTxtGA"/>
        <w:rPr>
          <w:rFonts w:hint="cs"/>
        </w:rPr>
      </w:pPr>
      <w:r>
        <w:rPr>
          <w:rFonts w:hint="cs"/>
          <w:rtl/>
        </w:rPr>
        <w:t>17-</w:t>
      </w:r>
      <w:r>
        <w:rPr>
          <w:rFonts w:hint="cs"/>
          <w:rtl/>
        </w:rPr>
        <w:tab/>
        <w:t>في حين</w:t>
      </w:r>
      <w:r w:rsidR="002D146B" w:rsidRPr="00496859">
        <w:rPr>
          <w:rFonts w:hint="cs"/>
          <w:rtl/>
        </w:rPr>
        <w:t xml:space="preserve"> تقدر اللجنة جهود الدولة الطرف لمنع ومكافحة الاتجار بالأشخاص، بما في ذلك اعتماد القانون الخاص بمنع ومكافحة الاتجار بالأشخاص لا سيما النساء والأطفال (رقم</w:t>
      </w:r>
      <w:r>
        <w:rPr>
          <w:rFonts w:hint="eastAsia"/>
          <w:rtl/>
        </w:rPr>
        <w:t> </w:t>
      </w:r>
      <w:r w:rsidR="002137A7">
        <w:rPr>
          <w:rFonts w:hint="cs"/>
          <w:rtl/>
        </w:rPr>
        <w:t>6/2008</w:t>
      </w:r>
      <w:r w:rsidR="002D146B" w:rsidRPr="00496859">
        <w:rPr>
          <w:rFonts w:hint="cs"/>
          <w:rtl/>
        </w:rPr>
        <w:t>) بتاريخ 9 تموز/يوليه 2008</w:t>
      </w:r>
      <w:r w:rsidR="002D146B">
        <w:rPr>
          <w:rFonts w:hint="cs"/>
          <w:rtl/>
        </w:rPr>
        <w:t xml:space="preserve">، </w:t>
      </w:r>
      <w:r w:rsidR="00BF0FC4">
        <w:rPr>
          <w:rFonts w:hint="cs"/>
          <w:rtl/>
        </w:rPr>
        <w:t>فإنها تشعر ب</w:t>
      </w:r>
      <w:r w:rsidR="002D146B" w:rsidRPr="00496859">
        <w:rPr>
          <w:rFonts w:hint="cs"/>
          <w:rtl/>
        </w:rPr>
        <w:t xml:space="preserve">القلق إزاء كون الدولة الطرف من الدول التي تعتبر </w:t>
      </w:r>
      <w:r w:rsidR="002D146B" w:rsidRPr="00496859">
        <w:rPr>
          <w:rFonts w:hint="cs"/>
          <w:rtl/>
          <w:lang/>
        </w:rPr>
        <w:t xml:space="preserve">بلد منشأ وعبور لرجال ونساء وأطفال يخضعون للعمل القسري والاستغلال الجنسي وعدم </w:t>
      </w:r>
      <w:r w:rsidR="002D146B">
        <w:rPr>
          <w:rFonts w:hint="cs"/>
          <w:rtl/>
          <w:lang/>
        </w:rPr>
        <w:t>الإبلاغ</w:t>
      </w:r>
      <w:r w:rsidR="002D146B" w:rsidRPr="00496859">
        <w:rPr>
          <w:rFonts w:hint="cs"/>
          <w:rtl/>
          <w:lang/>
        </w:rPr>
        <w:t xml:space="preserve"> عن حالات الاتجار خشية انتقام الأفراد الضالعين في شبكات الاتجار التي تستحوذ على السلطة الاقتصادية ولديها مكانة في المجتمع</w:t>
      </w:r>
      <w:r w:rsidR="002D146B">
        <w:rPr>
          <w:rFonts w:hint="cs"/>
          <w:rtl/>
          <w:lang/>
        </w:rPr>
        <w:t xml:space="preserve"> بالإضافة إلى </w:t>
      </w:r>
      <w:r w:rsidR="002D146B" w:rsidRPr="00496859">
        <w:rPr>
          <w:rFonts w:hint="cs"/>
          <w:rtl/>
          <w:lang/>
        </w:rPr>
        <w:t xml:space="preserve">انعدام المعلومات عن مدى توفر آليات وخدمات الحماية الفعالة المخصصة للضحايا مثل مراكز الإيواء وخدمات إعادة التأهيل. وتعرب اللجنة عن قلقها </w:t>
      </w:r>
      <w:r w:rsidR="002D146B">
        <w:rPr>
          <w:rFonts w:hint="cs"/>
          <w:rtl/>
          <w:lang/>
        </w:rPr>
        <w:t>كذلك</w:t>
      </w:r>
      <w:r w:rsidR="00BF0FC4">
        <w:rPr>
          <w:rFonts w:hint="cs"/>
          <w:rtl/>
          <w:lang/>
        </w:rPr>
        <w:t xml:space="preserve"> إزاء التقارير التي تفيد با</w:t>
      </w:r>
      <w:r w:rsidR="002D146B" w:rsidRPr="00496859">
        <w:rPr>
          <w:rFonts w:hint="cs"/>
          <w:rtl/>
          <w:lang/>
        </w:rPr>
        <w:t>تجار السحرة بالأعضاء البشرية لاستخدامها في ممارستهم للطب التقليدي (المواد 2 و6 و7 و8 و24).</w:t>
      </w:r>
    </w:p>
    <w:p w:rsidR="002D146B" w:rsidRPr="00496859" w:rsidRDefault="00BF0FC4" w:rsidP="008D75A4">
      <w:pPr>
        <w:pStyle w:val="SingleTxtGA"/>
        <w:rPr>
          <w:rFonts w:hint="cs"/>
          <w:b/>
          <w:bCs/>
          <w:rtl/>
          <w:lang/>
        </w:rPr>
      </w:pPr>
      <w:r>
        <w:rPr>
          <w:b/>
          <w:bCs/>
          <w:rtl/>
          <w:lang/>
        </w:rPr>
        <w:tab/>
      </w:r>
      <w:r w:rsidR="002D146B" w:rsidRPr="00496859">
        <w:rPr>
          <w:rFonts w:hint="cs"/>
          <w:b/>
          <w:bCs/>
          <w:rtl/>
          <w:lang/>
        </w:rPr>
        <w:t xml:space="preserve">ينبغي للدولة الطرف </w:t>
      </w:r>
      <w:r w:rsidR="002D146B">
        <w:rPr>
          <w:rFonts w:hint="cs"/>
          <w:b/>
          <w:bCs/>
          <w:rtl/>
          <w:lang/>
        </w:rPr>
        <w:t>أن تكثف</w:t>
      </w:r>
      <w:r w:rsidR="002D146B" w:rsidRPr="00496859">
        <w:rPr>
          <w:rFonts w:hint="cs"/>
          <w:b/>
          <w:bCs/>
          <w:rtl/>
          <w:lang/>
        </w:rPr>
        <w:t xml:space="preserve"> جهودها الرامية إلى منع وقمع الاتجار بالأشخاص وبالأعضاء البشرية والمعاقبة عليه، بما في ذلك على المستوى المحلي وبالتعاون مع البلدان المجاورة بطرق منها تنظيم دورات تدريب</w:t>
      </w:r>
      <w:r>
        <w:rPr>
          <w:rFonts w:hint="cs"/>
          <w:b/>
          <w:bCs/>
          <w:rtl/>
          <w:lang/>
        </w:rPr>
        <w:t>ي</w:t>
      </w:r>
      <w:r w:rsidR="002D146B" w:rsidRPr="00496859">
        <w:rPr>
          <w:rFonts w:hint="cs"/>
          <w:b/>
          <w:bCs/>
          <w:rtl/>
          <w:lang/>
        </w:rPr>
        <w:t xml:space="preserve">ة لفائدة ضباط الشرطة </w:t>
      </w:r>
      <w:r w:rsidR="002D146B" w:rsidRPr="00496859">
        <w:rPr>
          <w:b/>
          <w:bCs/>
          <w:rtl/>
          <w:lang/>
        </w:rPr>
        <w:t>والعاملين على الحدود والقضاة والمحامين وغيرهم من العاملين</w:t>
      </w:r>
      <w:r w:rsidR="002D146B" w:rsidRPr="00496859">
        <w:rPr>
          <w:rFonts w:hint="cs"/>
          <w:b/>
          <w:bCs/>
          <w:rtl/>
          <w:lang/>
        </w:rPr>
        <w:t xml:space="preserve"> ذوي الصلة</w:t>
      </w:r>
      <w:r w:rsidR="00CA20A7">
        <w:rPr>
          <w:rFonts w:hint="cs"/>
          <w:b/>
          <w:bCs/>
          <w:rtl/>
          <w:lang/>
        </w:rPr>
        <w:t xml:space="preserve"> </w:t>
      </w:r>
      <w:r w:rsidR="002D146B" w:rsidRPr="00496859">
        <w:rPr>
          <w:rFonts w:hint="cs"/>
          <w:b/>
          <w:bCs/>
          <w:rtl/>
          <w:lang/>
        </w:rPr>
        <w:t>بخصوص تحديد هوية الضحايا وب</w:t>
      </w:r>
      <w:r w:rsidR="002D146B" w:rsidRPr="00496859">
        <w:rPr>
          <w:b/>
          <w:bCs/>
          <w:rtl/>
          <w:lang/>
        </w:rPr>
        <w:t xml:space="preserve">ث الوعي </w:t>
      </w:r>
      <w:r w:rsidR="002D146B" w:rsidRPr="00496859">
        <w:rPr>
          <w:rFonts w:hint="cs"/>
          <w:b/>
          <w:bCs/>
          <w:rtl/>
          <w:lang/>
        </w:rPr>
        <w:t xml:space="preserve">في أوساط السكان عامة وتزويدهم بالموارد الملائمة. وينبغي لها </w:t>
      </w:r>
      <w:r w:rsidR="002D146B">
        <w:rPr>
          <w:rFonts w:hint="cs"/>
          <w:b/>
          <w:bCs/>
          <w:rtl/>
          <w:lang/>
        </w:rPr>
        <w:t>أن تتخذ</w:t>
      </w:r>
      <w:r w:rsidR="002D146B" w:rsidRPr="00496859">
        <w:rPr>
          <w:rFonts w:hint="cs"/>
          <w:b/>
          <w:bCs/>
          <w:rtl/>
          <w:lang/>
        </w:rPr>
        <w:t xml:space="preserve"> التدابير المناسبة لحماية ضحايا الاتجار من عمليات الانتقام وتزويدهم بما يلزم من رعاية صحية ومساعدة </w:t>
      </w:r>
      <w:r>
        <w:rPr>
          <w:rFonts w:hint="cs"/>
          <w:b/>
          <w:bCs/>
          <w:rtl/>
          <w:lang/>
        </w:rPr>
        <w:t>اجتماعية وقانونية مجانية و</w:t>
      </w:r>
      <w:r w:rsidR="002137A7">
        <w:rPr>
          <w:rFonts w:hint="cs"/>
          <w:b/>
          <w:bCs/>
          <w:rtl/>
          <w:lang/>
        </w:rPr>
        <w:t xml:space="preserve">سبل </w:t>
      </w:r>
      <w:r w:rsidR="002D146B" w:rsidRPr="00496859">
        <w:rPr>
          <w:rFonts w:hint="cs"/>
          <w:b/>
          <w:bCs/>
          <w:rtl/>
          <w:lang/>
        </w:rPr>
        <w:t>جبر</w:t>
      </w:r>
      <w:r>
        <w:rPr>
          <w:rFonts w:hint="cs"/>
          <w:b/>
          <w:bCs/>
          <w:rtl/>
          <w:lang/>
        </w:rPr>
        <w:t xml:space="preserve"> الأضرار</w:t>
      </w:r>
      <w:r w:rsidR="002D146B" w:rsidRPr="00496859">
        <w:rPr>
          <w:rFonts w:hint="cs"/>
          <w:b/>
          <w:bCs/>
          <w:rtl/>
          <w:lang/>
        </w:rPr>
        <w:t xml:space="preserve"> بما فيها إعادة التأهيل.</w:t>
      </w:r>
    </w:p>
    <w:p w:rsidR="002D146B" w:rsidRPr="00496859" w:rsidRDefault="00BF0FC4" w:rsidP="008D75A4">
      <w:pPr>
        <w:pStyle w:val="SingleTxtGA"/>
        <w:rPr>
          <w:rFonts w:hint="cs"/>
        </w:rPr>
      </w:pPr>
      <w:r>
        <w:rPr>
          <w:rFonts w:hint="cs"/>
          <w:rtl/>
          <w:lang/>
        </w:rPr>
        <w:t>18-</w:t>
      </w:r>
      <w:r>
        <w:rPr>
          <w:rFonts w:hint="cs"/>
          <w:rtl/>
          <w:lang/>
        </w:rPr>
        <w:tab/>
      </w:r>
      <w:r w:rsidR="002D146B" w:rsidRPr="00496859">
        <w:rPr>
          <w:rFonts w:hint="cs"/>
          <w:rtl/>
          <w:lang/>
        </w:rPr>
        <w:t>تعرب اللجنة عن قلقها إزاء ارتفاع معدل تشغيل الأطفال في البلد، لا سيما في القطاعات الزراعية والخدمات المنزلية، وإزاء التقارير التي تفيد بوقوع الأطفال ضحية الاستغلال الجنسي (المادتان 8 و24).</w:t>
      </w:r>
    </w:p>
    <w:p w:rsidR="002D146B" w:rsidRPr="00496859" w:rsidRDefault="00BF0FC4" w:rsidP="00BF0FC4">
      <w:pPr>
        <w:pStyle w:val="SingleTxtGA"/>
        <w:rPr>
          <w:rFonts w:hint="cs"/>
          <w:b/>
          <w:bCs/>
          <w:rtl/>
          <w:lang/>
        </w:rPr>
      </w:pPr>
      <w:r>
        <w:rPr>
          <w:b/>
          <w:bCs/>
          <w:rtl/>
          <w:lang/>
        </w:rPr>
        <w:tab/>
      </w:r>
      <w:r w:rsidR="002D146B" w:rsidRPr="00496859">
        <w:rPr>
          <w:rFonts w:hint="cs"/>
          <w:b/>
          <w:bCs/>
          <w:rtl/>
          <w:lang/>
        </w:rPr>
        <w:t xml:space="preserve">ينبغي للدولة الطرف </w:t>
      </w:r>
      <w:r w:rsidR="002D146B">
        <w:rPr>
          <w:rFonts w:hint="cs"/>
          <w:b/>
          <w:bCs/>
          <w:rtl/>
          <w:lang/>
        </w:rPr>
        <w:t xml:space="preserve">أن تواصل </w:t>
      </w:r>
      <w:r w:rsidR="002D146B" w:rsidRPr="00496859">
        <w:rPr>
          <w:rFonts w:hint="cs"/>
          <w:b/>
          <w:bCs/>
          <w:rtl/>
          <w:lang/>
        </w:rPr>
        <w:t xml:space="preserve">بذل الجهود لتطبيق السياسات والقوانين القائمة والرامية إلى القضاء على تشغيل الأطفال واستغلالهم الجنسي، بطرق منها تنظيم حملات إعلامية وتثقيفية لعامة الناس بشأن حماية حقوق </w:t>
      </w:r>
      <w:r w:rsidR="002D146B">
        <w:rPr>
          <w:rFonts w:hint="cs"/>
          <w:b/>
          <w:bCs/>
          <w:rtl/>
          <w:lang/>
        </w:rPr>
        <w:t>الطفل</w:t>
      </w:r>
      <w:r w:rsidR="002D146B" w:rsidRPr="00496859">
        <w:rPr>
          <w:rFonts w:hint="cs"/>
          <w:b/>
          <w:bCs/>
          <w:rtl/>
          <w:lang/>
        </w:rPr>
        <w:t xml:space="preserve">. وينبغي لها ضمان </w:t>
      </w:r>
      <w:r>
        <w:rPr>
          <w:rFonts w:hint="cs"/>
          <w:b/>
          <w:bCs/>
          <w:rtl/>
          <w:lang/>
        </w:rPr>
        <w:t>تمتّع</w:t>
      </w:r>
      <w:r w:rsidR="002D146B" w:rsidRPr="00496859">
        <w:rPr>
          <w:rFonts w:hint="cs"/>
          <w:b/>
          <w:bCs/>
          <w:rtl/>
          <w:lang/>
        </w:rPr>
        <w:t xml:space="preserve"> الأطفال بحماية خاصة، وفق</w:t>
      </w:r>
      <w:r w:rsidR="00CA20A7">
        <w:rPr>
          <w:rFonts w:hint="cs"/>
          <w:b/>
          <w:bCs/>
          <w:rtl/>
          <w:lang/>
        </w:rPr>
        <w:t>اً</w:t>
      </w:r>
      <w:r w:rsidR="002D146B" w:rsidRPr="00496859">
        <w:rPr>
          <w:rFonts w:hint="cs"/>
          <w:b/>
          <w:bCs/>
          <w:rtl/>
          <w:lang/>
        </w:rPr>
        <w:t xml:space="preserve"> للمادة 24 من العهد وأن يتم إنفاذه</w:t>
      </w:r>
      <w:r>
        <w:rPr>
          <w:rFonts w:hint="cs"/>
          <w:b/>
          <w:bCs/>
          <w:rtl/>
          <w:lang/>
        </w:rPr>
        <w:t>ا من الناحية العملية. وينبغي لها، أخيراً</w:t>
      </w:r>
      <w:r w:rsidRPr="00496859">
        <w:rPr>
          <w:rFonts w:hint="cs"/>
          <w:b/>
          <w:bCs/>
          <w:rtl/>
          <w:lang/>
        </w:rPr>
        <w:t xml:space="preserve">، </w:t>
      </w:r>
      <w:r w:rsidR="002D146B">
        <w:rPr>
          <w:rFonts w:hint="cs"/>
          <w:b/>
          <w:bCs/>
          <w:rtl/>
          <w:lang/>
        </w:rPr>
        <w:t>أن تكفل</w:t>
      </w:r>
      <w:r w:rsidR="002D146B" w:rsidRPr="00496859">
        <w:rPr>
          <w:rFonts w:hint="cs"/>
          <w:b/>
          <w:bCs/>
          <w:rtl/>
          <w:lang/>
        </w:rPr>
        <w:t xml:space="preserve"> مقاضاة هذه الانتهاكات و</w:t>
      </w:r>
      <w:r>
        <w:rPr>
          <w:rFonts w:hint="cs"/>
          <w:b/>
          <w:bCs/>
          <w:rtl/>
          <w:lang/>
        </w:rPr>
        <w:t xml:space="preserve">تجميع إحصاءات </w:t>
      </w:r>
      <w:proofErr w:type="spellStart"/>
      <w:r>
        <w:rPr>
          <w:rFonts w:hint="cs"/>
          <w:b/>
          <w:bCs/>
          <w:rtl/>
          <w:lang/>
        </w:rPr>
        <w:t>موثوقة</w:t>
      </w:r>
      <w:proofErr w:type="spellEnd"/>
      <w:r>
        <w:rPr>
          <w:rFonts w:hint="cs"/>
          <w:b/>
          <w:bCs/>
          <w:rtl/>
          <w:lang/>
        </w:rPr>
        <w:t>.</w:t>
      </w:r>
    </w:p>
    <w:p w:rsidR="002D146B" w:rsidRPr="00AB56B8" w:rsidRDefault="00AB56B8" w:rsidP="008D75A4">
      <w:pPr>
        <w:pStyle w:val="SingleTxtGA"/>
        <w:rPr>
          <w:rFonts w:hint="cs"/>
          <w:spacing w:val="-4"/>
        </w:rPr>
      </w:pPr>
      <w:r w:rsidRPr="00AB56B8">
        <w:rPr>
          <w:rFonts w:hint="cs"/>
          <w:spacing w:val="-4"/>
          <w:rtl/>
          <w:lang/>
        </w:rPr>
        <w:t>19-</w:t>
      </w:r>
      <w:r w:rsidRPr="00AB56B8">
        <w:rPr>
          <w:rFonts w:hint="cs"/>
          <w:spacing w:val="-4"/>
          <w:rtl/>
          <w:lang/>
        </w:rPr>
        <w:tab/>
      </w:r>
      <w:r w:rsidR="002D146B" w:rsidRPr="00AB56B8">
        <w:rPr>
          <w:rFonts w:hint="cs"/>
          <w:spacing w:val="-4"/>
          <w:rtl/>
          <w:lang/>
        </w:rPr>
        <w:t>تعرب اللجنة عن قلقها إزاء التقارير التي تفيد بتعرض الأطفال للإساءة والاستغلال الجنسي، بما في ذلك في</w:t>
      </w:r>
      <w:r w:rsidRPr="00AB56B8">
        <w:rPr>
          <w:rFonts w:hint="cs"/>
          <w:spacing w:val="-4"/>
          <w:rtl/>
          <w:lang/>
        </w:rPr>
        <w:t xml:space="preserve"> مدارس الدولة الطرف، وتلاحظ أن ال</w:t>
      </w:r>
      <w:r w:rsidR="002D146B" w:rsidRPr="00AB56B8">
        <w:rPr>
          <w:rFonts w:hint="cs"/>
          <w:spacing w:val="-4"/>
          <w:rtl/>
          <w:lang/>
        </w:rPr>
        <w:t xml:space="preserve">عادة </w:t>
      </w:r>
      <w:r w:rsidRPr="00AB56B8">
        <w:rPr>
          <w:rFonts w:hint="cs"/>
          <w:spacing w:val="-4"/>
          <w:rtl/>
          <w:lang/>
        </w:rPr>
        <w:t>جرت على أ</w:t>
      </w:r>
      <w:r w:rsidR="002D146B" w:rsidRPr="00AB56B8">
        <w:rPr>
          <w:rFonts w:hint="cs"/>
          <w:spacing w:val="-4"/>
          <w:rtl/>
          <w:lang/>
        </w:rPr>
        <w:t>لا</w:t>
      </w:r>
      <w:r w:rsidRPr="00AB56B8">
        <w:rPr>
          <w:rFonts w:hint="cs"/>
          <w:spacing w:val="-4"/>
          <w:rtl/>
          <w:lang/>
        </w:rPr>
        <w:t>ّ</w:t>
      </w:r>
      <w:r w:rsidR="002D146B" w:rsidRPr="00AB56B8">
        <w:rPr>
          <w:rFonts w:hint="cs"/>
          <w:spacing w:val="-4"/>
          <w:rtl/>
          <w:lang/>
        </w:rPr>
        <w:t xml:space="preserve"> يتم إبلاغ السلطات عن هذه الحالات بما أن العائلات تحاول الحصول على تعويضات من الجناة خارج إطار المنظومة القضائية. وتأسف اللجنة لانعدام البيانات عن عدد القضايا التي تم إجراء تحقيق بشأنها ومقاضاة الجناة فيها وعن التعويضات الممنوحة لضحايا هذه الإساءة (المواد 2 و7 و24).</w:t>
      </w:r>
    </w:p>
    <w:p w:rsidR="002D146B" w:rsidRPr="00496859" w:rsidRDefault="00AB56B8" w:rsidP="008D75A4">
      <w:pPr>
        <w:pStyle w:val="SingleTxtGA"/>
        <w:rPr>
          <w:rFonts w:hint="cs"/>
          <w:b/>
          <w:bCs/>
          <w:rtl/>
          <w:lang/>
        </w:rPr>
      </w:pPr>
      <w:r>
        <w:rPr>
          <w:b/>
          <w:bCs/>
          <w:rtl/>
          <w:lang/>
        </w:rPr>
        <w:tab/>
      </w:r>
      <w:r w:rsidR="002D146B" w:rsidRPr="00496859">
        <w:rPr>
          <w:rFonts w:hint="cs"/>
          <w:b/>
          <w:bCs/>
          <w:rtl/>
          <w:lang/>
        </w:rPr>
        <w:t xml:space="preserve">ينبغي </w:t>
      </w:r>
      <w:r w:rsidR="002D146B">
        <w:rPr>
          <w:rFonts w:hint="cs"/>
          <w:b/>
          <w:bCs/>
          <w:rtl/>
          <w:lang/>
        </w:rPr>
        <w:t>للدولة الطرف</w:t>
      </w:r>
      <w:r w:rsidR="002D146B" w:rsidRPr="00496859">
        <w:rPr>
          <w:rFonts w:hint="cs"/>
          <w:b/>
          <w:bCs/>
          <w:rtl/>
          <w:lang/>
        </w:rPr>
        <w:t xml:space="preserve"> </w:t>
      </w:r>
      <w:r w:rsidR="002D146B">
        <w:rPr>
          <w:rFonts w:hint="cs"/>
          <w:b/>
          <w:bCs/>
          <w:rtl/>
          <w:lang/>
        </w:rPr>
        <w:t xml:space="preserve">أن تعزز، </w:t>
      </w:r>
      <w:r w:rsidR="002D146B" w:rsidRPr="00496859">
        <w:rPr>
          <w:rFonts w:hint="cs"/>
          <w:b/>
          <w:bCs/>
          <w:rtl/>
          <w:lang/>
        </w:rPr>
        <w:t>على وجه السرعة</w:t>
      </w:r>
      <w:r>
        <w:rPr>
          <w:rFonts w:hint="cs"/>
          <w:b/>
          <w:bCs/>
          <w:rtl/>
          <w:lang/>
        </w:rPr>
        <w:t>،</w:t>
      </w:r>
      <w:r w:rsidR="002D146B" w:rsidRPr="00496859">
        <w:rPr>
          <w:rFonts w:hint="cs"/>
          <w:b/>
          <w:bCs/>
          <w:rtl/>
          <w:lang/>
        </w:rPr>
        <w:t xml:space="preserve"> جهودها الرامية إلى مكافحة الإساءة للأطفال </w:t>
      </w:r>
      <w:r w:rsidR="002D146B">
        <w:rPr>
          <w:rFonts w:hint="cs"/>
          <w:b/>
          <w:bCs/>
          <w:rtl/>
          <w:lang/>
        </w:rPr>
        <w:t>واستغلالهم</w:t>
      </w:r>
      <w:r w:rsidR="002D146B" w:rsidRPr="00496859">
        <w:rPr>
          <w:rFonts w:hint="cs"/>
          <w:b/>
          <w:bCs/>
          <w:rtl/>
          <w:lang/>
        </w:rPr>
        <w:t xml:space="preserve"> الجنسي من خلال تحسين آليات الكشف المبكر وتشجيع </w:t>
      </w:r>
      <w:r w:rsidR="002D146B">
        <w:rPr>
          <w:rFonts w:hint="cs"/>
          <w:b/>
          <w:bCs/>
          <w:rtl/>
          <w:lang/>
        </w:rPr>
        <w:t>الإبلاغ</w:t>
      </w:r>
      <w:r w:rsidR="002D146B" w:rsidRPr="00496859">
        <w:rPr>
          <w:rFonts w:hint="cs"/>
          <w:b/>
          <w:bCs/>
          <w:rtl/>
          <w:lang/>
        </w:rPr>
        <w:t xml:space="preserve"> عن </w:t>
      </w:r>
      <w:r w:rsidR="002D146B" w:rsidRPr="00496859">
        <w:rPr>
          <w:b/>
          <w:bCs/>
          <w:rtl/>
          <w:lang/>
        </w:rPr>
        <w:t>حالات الاعتداء الواقعة والمشتبه في وقوعها،</w:t>
      </w:r>
      <w:r w:rsidR="002D146B" w:rsidRPr="00496859">
        <w:rPr>
          <w:rFonts w:hint="cs"/>
          <w:b/>
          <w:bCs/>
          <w:rtl/>
          <w:lang/>
        </w:rPr>
        <w:t xml:space="preserve"> وكفالة التحقيق الشامل في قضايا الإساءة ومقاضاة الجناة وفرض العقوبات المناسبة عليهم في حالة إدانتهم وإعادة تأهيل الضحايا بصورة مناسبة.</w:t>
      </w:r>
    </w:p>
    <w:p w:rsidR="002D146B" w:rsidRPr="00496859" w:rsidRDefault="00AB56B8" w:rsidP="00AB56B8">
      <w:pPr>
        <w:pStyle w:val="SingleTxtGA"/>
        <w:rPr>
          <w:rFonts w:hint="cs"/>
        </w:rPr>
      </w:pPr>
      <w:r>
        <w:rPr>
          <w:rFonts w:hint="cs"/>
          <w:rtl/>
          <w:lang/>
        </w:rPr>
        <w:t>20-</w:t>
      </w:r>
      <w:r>
        <w:rPr>
          <w:rFonts w:hint="cs"/>
          <w:rtl/>
          <w:lang/>
        </w:rPr>
        <w:tab/>
        <w:t>في حين</w:t>
      </w:r>
      <w:r w:rsidR="002D146B" w:rsidRPr="00496859">
        <w:rPr>
          <w:rFonts w:hint="cs"/>
          <w:rtl/>
          <w:lang/>
        </w:rPr>
        <w:t xml:space="preserve"> ترحب اللجنة بالتدابير المتخذة لتحسين نظام تسجيل المواليد، </w:t>
      </w:r>
      <w:r>
        <w:rPr>
          <w:rFonts w:hint="cs"/>
          <w:rtl/>
          <w:lang/>
        </w:rPr>
        <w:t xml:space="preserve">فإنّها </w:t>
      </w:r>
      <w:r w:rsidR="002D146B" w:rsidRPr="00496859">
        <w:rPr>
          <w:rFonts w:hint="cs"/>
          <w:rtl/>
          <w:lang/>
        </w:rPr>
        <w:t>تلاحظ أن معدل التسجيل لا يزال منخفض</w:t>
      </w:r>
      <w:r w:rsidR="00CA20A7">
        <w:rPr>
          <w:rFonts w:hint="cs"/>
          <w:rtl/>
          <w:lang/>
        </w:rPr>
        <w:t>اً</w:t>
      </w:r>
      <w:r w:rsidR="002D146B" w:rsidRPr="00496859">
        <w:rPr>
          <w:rFonts w:hint="cs"/>
          <w:rtl/>
          <w:lang/>
        </w:rPr>
        <w:t xml:space="preserve"> وأن هناك أوجه قصور في تسجيل الأطفال المولودين خارج مستشفيات الأمومة أ</w:t>
      </w:r>
      <w:r>
        <w:rPr>
          <w:rFonts w:hint="cs"/>
          <w:rtl/>
          <w:lang/>
        </w:rPr>
        <w:t>و الذين تعذر على آبائهم الحضور.</w:t>
      </w:r>
      <w:r w:rsidR="002D146B" w:rsidRPr="00496859">
        <w:rPr>
          <w:rFonts w:hint="cs"/>
          <w:rtl/>
          <w:lang/>
        </w:rPr>
        <w:t xml:space="preserve"> وتلاحظ اللجنة </w:t>
      </w:r>
      <w:r>
        <w:rPr>
          <w:rFonts w:hint="cs"/>
          <w:rtl/>
          <w:lang/>
        </w:rPr>
        <w:t>أيض</w:t>
      </w:r>
      <w:r w:rsidR="00CA20A7">
        <w:rPr>
          <w:rFonts w:hint="cs"/>
          <w:rtl/>
          <w:lang/>
        </w:rPr>
        <w:t>اً</w:t>
      </w:r>
      <w:r w:rsidR="002D146B" w:rsidRPr="00496859">
        <w:rPr>
          <w:rFonts w:hint="cs"/>
          <w:rtl/>
          <w:lang/>
        </w:rPr>
        <w:t xml:space="preserve"> أنه تجري مناقشة المقترحات التي تقضي بتمديد فترة </w:t>
      </w:r>
      <w:proofErr w:type="spellStart"/>
      <w:r w:rsidR="002D146B" w:rsidRPr="00496859">
        <w:rPr>
          <w:rtl/>
          <w:lang/>
        </w:rPr>
        <w:t>اﻟ</w:t>
      </w:r>
      <w:proofErr w:type="spellEnd"/>
      <w:r w:rsidR="002D146B" w:rsidRPr="00496859">
        <w:rPr>
          <w:rtl/>
          <w:lang/>
        </w:rPr>
        <w:t xml:space="preserve"> 120 يوما</w:t>
      </w:r>
      <w:r>
        <w:rPr>
          <w:rFonts w:hint="cs"/>
          <w:rtl/>
          <w:lang/>
        </w:rPr>
        <w:t>ً</w:t>
      </w:r>
      <w:r w:rsidR="002D146B" w:rsidRPr="00496859">
        <w:t xml:space="preserve"> </w:t>
      </w:r>
      <w:r w:rsidR="002D146B" w:rsidRPr="00496859">
        <w:rPr>
          <w:rtl/>
          <w:lang/>
        </w:rPr>
        <w:t>المخصصة للتسجيل المجاني للمواليد</w:t>
      </w:r>
      <w:r w:rsidR="002D146B">
        <w:rPr>
          <w:rFonts w:hint="cs"/>
          <w:rtl/>
          <w:lang/>
        </w:rPr>
        <w:t xml:space="preserve"> </w:t>
      </w:r>
      <w:r w:rsidR="002D146B" w:rsidRPr="00496859">
        <w:rPr>
          <w:rtl/>
          <w:lang/>
        </w:rPr>
        <w:t>وتخفيض رسوم التسجيل (المادتان 16 و24).</w:t>
      </w:r>
    </w:p>
    <w:p w:rsidR="002D146B" w:rsidRPr="00496859" w:rsidRDefault="00AB56B8" w:rsidP="008D75A4">
      <w:pPr>
        <w:pStyle w:val="SingleTxtGA"/>
        <w:rPr>
          <w:rFonts w:hint="cs"/>
          <w:b/>
          <w:bCs/>
          <w:rtl/>
          <w:lang/>
        </w:rPr>
      </w:pPr>
      <w:r>
        <w:rPr>
          <w:b/>
          <w:bCs/>
          <w:rtl/>
          <w:lang/>
        </w:rPr>
        <w:tab/>
      </w:r>
      <w:r w:rsidR="002D146B" w:rsidRPr="00496859">
        <w:rPr>
          <w:rFonts w:hint="cs"/>
          <w:b/>
          <w:bCs/>
          <w:rtl/>
          <w:lang/>
        </w:rPr>
        <w:t xml:space="preserve">ينبغي </w:t>
      </w:r>
      <w:r w:rsidR="002D146B">
        <w:rPr>
          <w:rFonts w:hint="cs"/>
          <w:b/>
          <w:bCs/>
          <w:rtl/>
          <w:lang/>
        </w:rPr>
        <w:t>للدولة</w:t>
      </w:r>
      <w:r w:rsidR="002D146B" w:rsidRPr="00496859">
        <w:rPr>
          <w:rFonts w:hint="cs"/>
          <w:b/>
          <w:bCs/>
          <w:rtl/>
          <w:lang/>
        </w:rPr>
        <w:t xml:space="preserve"> الطرف </w:t>
      </w:r>
      <w:r w:rsidR="002D146B">
        <w:rPr>
          <w:rFonts w:hint="cs"/>
          <w:b/>
          <w:bCs/>
          <w:rtl/>
          <w:lang/>
        </w:rPr>
        <w:t>أن تكثف</w:t>
      </w:r>
      <w:r w:rsidR="002D146B" w:rsidRPr="00496859">
        <w:rPr>
          <w:rFonts w:hint="cs"/>
          <w:b/>
          <w:bCs/>
          <w:rtl/>
          <w:lang/>
        </w:rPr>
        <w:t xml:space="preserve"> جهودها الرامية إلى كفالة تسجيل الأطفال، بطرق منها وضع وحدات خاصة تعمل خارج نطاق مستشفيات الأمومة والوصول إلى جميع المناطق في البلد، بما فيها </w:t>
      </w:r>
      <w:r w:rsidR="002D146B">
        <w:rPr>
          <w:rFonts w:hint="cs"/>
          <w:b/>
          <w:bCs/>
          <w:rtl/>
          <w:lang/>
        </w:rPr>
        <w:t>أبعد المناطق النائ</w:t>
      </w:r>
      <w:r w:rsidR="002D146B" w:rsidRPr="00496859">
        <w:rPr>
          <w:rFonts w:hint="cs"/>
          <w:b/>
          <w:bCs/>
          <w:rtl/>
          <w:lang/>
        </w:rPr>
        <w:t>ية، وتنظيم حملات إذكاء الوعي بإجراءات تسجيل المواليد في أوساط الجماعات المحلية، خاصة في المناطق الريفية.</w:t>
      </w:r>
    </w:p>
    <w:p w:rsidR="002D146B" w:rsidRPr="00496859" w:rsidRDefault="00AB56B8" w:rsidP="00AB56B8">
      <w:pPr>
        <w:pStyle w:val="SingleTxtGA"/>
        <w:rPr>
          <w:rFonts w:hint="cs"/>
          <w:lang/>
        </w:rPr>
      </w:pPr>
      <w:r>
        <w:rPr>
          <w:rFonts w:hint="cs"/>
          <w:rtl/>
          <w:lang/>
        </w:rPr>
        <w:t>21-</w:t>
      </w:r>
      <w:r>
        <w:rPr>
          <w:rFonts w:hint="cs"/>
          <w:rtl/>
          <w:lang/>
        </w:rPr>
        <w:tab/>
      </w:r>
      <w:r w:rsidR="002D146B" w:rsidRPr="00496859">
        <w:rPr>
          <w:rFonts w:hint="cs"/>
          <w:rtl/>
          <w:lang/>
        </w:rPr>
        <w:t>تعرب اللجنة عن قلقها إزاء تجريم الت</w:t>
      </w:r>
      <w:r>
        <w:rPr>
          <w:rFonts w:hint="cs"/>
          <w:rtl/>
          <w:lang/>
        </w:rPr>
        <w:t xml:space="preserve">شهير الذي يحول دون التعبير عن </w:t>
      </w:r>
      <w:r w:rsidR="002D146B" w:rsidRPr="00496859">
        <w:rPr>
          <w:rFonts w:hint="cs"/>
          <w:rtl/>
          <w:lang/>
        </w:rPr>
        <w:t xml:space="preserve">مواقف </w:t>
      </w:r>
      <w:r>
        <w:rPr>
          <w:rFonts w:hint="cs"/>
          <w:rtl/>
          <w:lang/>
        </w:rPr>
        <w:t>ناقد</w:t>
      </w:r>
      <w:r w:rsidR="002D146B" w:rsidRPr="00496859">
        <w:rPr>
          <w:rFonts w:hint="cs"/>
          <w:rtl/>
          <w:lang/>
        </w:rPr>
        <w:t xml:space="preserve">ة ويثني وسائط الإعلام عن التحليل النقدي للمسائل المتعلقة بالمصلحة العامة </w:t>
      </w:r>
      <w:r w:rsidR="002D146B" w:rsidRPr="00496859">
        <w:rPr>
          <w:rtl/>
          <w:lang/>
        </w:rPr>
        <w:t xml:space="preserve">مما يؤثر سلباً </w:t>
      </w:r>
      <w:r w:rsidR="002D146B">
        <w:rPr>
          <w:rFonts w:hint="cs"/>
          <w:rtl/>
          <w:lang/>
        </w:rPr>
        <w:t>على</w:t>
      </w:r>
      <w:r w:rsidR="002D146B" w:rsidRPr="00496859">
        <w:rPr>
          <w:rtl/>
          <w:lang/>
        </w:rPr>
        <w:t xml:space="preserve"> </w:t>
      </w:r>
      <w:r w:rsidR="002D146B" w:rsidRPr="00496859">
        <w:rPr>
          <w:rFonts w:hint="cs"/>
          <w:rtl/>
          <w:lang/>
        </w:rPr>
        <w:t xml:space="preserve">ممارسة </w:t>
      </w:r>
      <w:r w:rsidR="002D146B" w:rsidRPr="00496859">
        <w:rPr>
          <w:rtl/>
          <w:lang/>
        </w:rPr>
        <w:t xml:space="preserve">حرية التعبير </w:t>
      </w:r>
      <w:r w:rsidR="002D146B" w:rsidRPr="00496859">
        <w:rPr>
          <w:rFonts w:hint="cs"/>
          <w:rtl/>
          <w:lang/>
        </w:rPr>
        <w:t>والوصول إلى المعل</w:t>
      </w:r>
      <w:r>
        <w:rPr>
          <w:rFonts w:hint="cs"/>
          <w:rtl/>
          <w:lang/>
        </w:rPr>
        <w:t>ومة بمختلف أنواعها (المادة 19).</w:t>
      </w:r>
    </w:p>
    <w:p w:rsidR="002D146B" w:rsidRDefault="00AB56B8" w:rsidP="002137A7">
      <w:pPr>
        <w:pStyle w:val="SingleTxtGA"/>
        <w:rPr>
          <w:rFonts w:hint="cs"/>
          <w:rtl/>
        </w:rPr>
      </w:pPr>
      <w:r>
        <w:rPr>
          <w:b/>
          <w:bCs/>
          <w:rtl/>
          <w:lang/>
        </w:rPr>
        <w:tab/>
      </w:r>
      <w:r w:rsidR="002D146B" w:rsidRPr="00496859">
        <w:rPr>
          <w:rFonts w:hint="cs"/>
          <w:b/>
          <w:bCs/>
          <w:rtl/>
          <w:lang/>
        </w:rPr>
        <w:t xml:space="preserve">ينبغي للدولة الطرف </w:t>
      </w:r>
      <w:r w:rsidR="002D146B" w:rsidRPr="00496859">
        <w:rPr>
          <w:b/>
          <w:bCs/>
          <w:rtl/>
          <w:lang/>
        </w:rPr>
        <w:t>أن تكفل حرية التعبير وحرية الصحافة المكرّستين في المادة</w:t>
      </w:r>
      <w:r>
        <w:rPr>
          <w:rFonts w:hint="cs"/>
          <w:b/>
          <w:bCs/>
          <w:rtl/>
          <w:lang/>
        </w:rPr>
        <w:t> </w:t>
      </w:r>
      <w:r w:rsidR="002D146B" w:rsidRPr="00496859">
        <w:rPr>
          <w:b/>
          <w:bCs/>
          <w:rtl/>
          <w:lang/>
        </w:rPr>
        <w:t>19 من العهد واللتين جرى تناولهما بصورة مفصلة في تعليق اللجنة العام رقم</w:t>
      </w:r>
      <w:r w:rsidR="002137A7">
        <w:rPr>
          <w:rFonts w:hint="cs"/>
          <w:b/>
          <w:bCs/>
          <w:rtl/>
          <w:lang/>
        </w:rPr>
        <w:t> </w:t>
      </w:r>
      <w:r w:rsidR="002D146B" w:rsidRPr="00496859">
        <w:rPr>
          <w:b/>
          <w:bCs/>
          <w:rtl/>
          <w:lang/>
        </w:rPr>
        <w:t>34(2011) بشأن حرية الرأي والتعبي</w:t>
      </w:r>
      <w:r w:rsidR="002D146B" w:rsidRPr="00496859">
        <w:rPr>
          <w:rFonts w:hint="cs"/>
          <w:b/>
          <w:bCs/>
          <w:rtl/>
          <w:lang/>
        </w:rPr>
        <w:t xml:space="preserve">ر. </w:t>
      </w:r>
      <w:r w:rsidR="002D146B" w:rsidRPr="00496859">
        <w:rPr>
          <w:b/>
          <w:bCs/>
          <w:rtl/>
          <w:lang/>
        </w:rPr>
        <w:t xml:space="preserve">ومن هذا المنطلق، يتعيّن على الدولة الطرف أن تحمي </w:t>
      </w:r>
      <w:r>
        <w:rPr>
          <w:rFonts w:hint="cs"/>
          <w:b/>
          <w:bCs/>
          <w:rtl/>
          <w:lang/>
        </w:rPr>
        <w:t>ال</w:t>
      </w:r>
      <w:r w:rsidR="002D146B" w:rsidRPr="00496859">
        <w:rPr>
          <w:b/>
          <w:bCs/>
          <w:rtl/>
          <w:lang/>
        </w:rPr>
        <w:t>تعدد</w:t>
      </w:r>
      <w:r>
        <w:rPr>
          <w:rFonts w:hint="cs"/>
          <w:b/>
          <w:bCs/>
          <w:rtl/>
          <w:lang/>
        </w:rPr>
        <w:t>ية في مجال</w:t>
      </w:r>
      <w:r w:rsidR="002D146B" w:rsidRPr="00496859">
        <w:rPr>
          <w:b/>
          <w:bCs/>
          <w:rtl/>
          <w:lang/>
        </w:rPr>
        <w:t xml:space="preserve"> وسائط الإعلام.</w:t>
      </w:r>
      <w:r w:rsidR="002D146B">
        <w:rPr>
          <w:rtl/>
        </w:rPr>
        <w:t xml:space="preserve"> </w:t>
      </w:r>
      <w:r w:rsidR="002D146B" w:rsidRPr="00496859">
        <w:rPr>
          <w:b/>
          <w:bCs/>
          <w:rtl/>
          <w:lang/>
        </w:rPr>
        <w:t>كما يتعيّن عليها النظر في نزع صفة الجرم عن التشهير وأن تقصُر، على أي حال، تطبيق القانون الجنائي على القضايا الأخطر واضعةً في اعتبارها أن الحرمان من الحرية لم يكن قط عقوبة مناسبة في هذا النوع من القضايا ولن يكون كذلك أبداً</w:t>
      </w:r>
      <w:r>
        <w:rPr>
          <w:rFonts w:hint="cs"/>
          <w:rtl/>
        </w:rPr>
        <w:t>.</w:t>
      </w:r>
    </w:p>
    <w:p w:rsidR="002D146B" w:rsidRPr="00496859" w:rsidRDefault="00AB56B8" w:rsidP="008D75A4">
      <w:pPr>
        <w:pStyle w:val="SingleTxtGA"/>
        <w:rPr>
          <w:rFonts w:hint="cs"/>
        </w:rPr>
      </w:pPr>
      <w:r>
        <w:rPr>
          <w:rFonts w:hint="cs"/>
          <w:rtl/>
        </w:rPr>
        <w:t>22-</w:t>
      </w:r>
      <w:r>
        <w:rPr>
          <w:rFonts w:hint="cs"/>
          <w:rtl/>
        </w:rPr>
        <w:tab/>
      </w:r>
      <w:r w:rsidR="002D146B" w:rsidRPr="00496859">
        <w:rPr>
          <w:rFonts w:hint="cs"/>
          <w:rtl/>
        </w:rPr>
        <w:t xml:space="preserve">يساور اللجنة القلق </w:t>
      </w:r>
      <w:r w:rsidR="002D146B" w:rsidRPr="00496859">
        <w:rPr>
          <w:rtl/>
          <w:lang/>
        </w:rPr>
        <w:t xml:space="preserve">إزاء عدم كفالة حرية التجمع وتكوين الجمعيات </w:t>
      </w:r>
      <w:r w:rsidR="002D146B">
        <w:rPr>
          <w:rFonts w:hint="cs"/>
          <w:rtl/>
          <w:lang/>
        </w:rPr>
        <w:t>بفعالية</w:t>
      </w:r>
      <w:r w:rsidR="002D146B" w:rsidRPr="00496859">
        <w:rPr>
          <w:rFonts w:hint="cs"/>
          <w:rtl/>
          <w:lang/>
        </w:rPr>
        <w:t xml:space="preserve"> في جم</w:t>
      </w:r>
      <w:r>
        <w:rPr>
          <w:rFonts w:hint="cs"/>
          <w:rtl/>
          <w:lang/>
        </w:rPr>
        <w:t>يع الأوقات. وتعرب عن قلقها أيضاً</w:t>
      </w:r>
      <w:r w:rsidR="002D146B" w:rsidRPr="00496859">
        <w:rPr>
          <w:rFonts w:hint="cs"/>
          <w:rtl/>
          <w:lang/>
        </w:rPr>
        <w:t xml:space="preserve"> إزاء ادعاءات وقوع عمليات اعتقال واحتجاز تعسفية لمشاركين في مظاهرات سلمية، بما في ذلك المظاهرات التي نظمتها </w:t>
      </w:r>
      <w:r w:rsidR="002D146B" w:rsidRPr="00496859">
        <w:rPr>
          <w:rtl/>
          <w:lang/>
        </w:rPr>
        <w:t xml:space="preserve">جمعية المحاربين الموزامبيقيين </w:t>
      </w:r>
      <w:r>
        <w:rPr>
          <w:rFonts w:hint="cs"/>
          <w:rtl/>
          <w:lang/>
        </w:rPr>
        <w:t>القدامى، فضلاً</w:t>
      </w:r>
      <w:r w:rsidR="002D146B" w:rsidRPr="00496859">
        <w:rPr>
          <w:rFonts w:hint="cs"/>
          <w:rtl/>
          <w:lang/>
        </w:rPr>
        <w:t xml:space="preserve"> عن استخدام عناصر الشرطة للغاز المسيل للدموع وخراط</w:t>
      </w:r>
      <w:r>
        <w:rPr>
          <w:rFonts w:hint="cs"/>
          <w:rtl/>
          <w:lang/>
        </w:rPr>
        <w:t>يم المياه والرصاص المطاطي والهراوات</w:t>
      </w:r>
      <w:r w:rsidR="002D146B" w:rsidRPr="00496859">
        <w:rPr>
          <w:rFonts w:hint="cs"/>
          <w:rtl/>
          <w:lang/>
        </w:rPr>
        <w:t xml:space="preserve"> أثناء المظاهرات. وتعرب اللجنة عن قلقها </w:t>
      </w:r>
      <w:r w:rsidR="002D146B">
        <w:rPr>
          <w:rFonts w:hint="cs"/>
          <w:rtl/>
          <w:lang/>
        </w:rPr>
        <w:t>كذلك</w:t>
      </w:r>
      <w:r w:rsidR="002D146B" w:rsidRPr="00496859">
        <w:rPr>
          <w:rFonts w:hint="cs"/>
          <w:rtl/>
          <w:lang/>
        </w:rPr>
        <w:t xml:space="preserve"> إزاء تأخ</w:t>
      </w:r>
      <w:r w:rsidR="002D146B">
        <w:rPr>
          <w:rFonts w:hint="cs"/>
          <w:rtl/>
          <w:lang/>
        </w:rPr>
        <w:t>ي</w:t>
      </w:r>
      <w:r w:rsidR="002D146B" w:rsidRPr="00496859">
        <w:rPr>
          <w:rFonts w:hint="cs"/>
          <w:rtl/>
          <w:lang/>
        </w:rPr>
        <w:t>ر تسجيل الجمعية الموزامبيقية لحماية حقوق الأقليات الجنسية (</w:t>
      </w:r>
      <w:proofErr w:type="spellStart"/>
      <w:r w:rsidR="002D146B" w:rsidRPr="00496859">
        <w:rPr>
          <w:rFonts w:hint="cs"/>
          <w:rtl/>
          <w:lang/>
        </w:rPr>
        <w:t>لامبدا</w:t>
      </w:r>
      <w:proofErr w:type="spellEnd"/>
      <w:r w:rsidR="002D146B" w:rsidRPr="00496859">
        <w:rPr>
          <w:rFonts w:hint="cs"/>
          <w:rtl/>
          <w:lang/>
        </w:rPr>
        <w:t>) وهي منظمة غير حكومية تسعى إلى الدفاع عن حقوق المثليين جن</w:t>
      </w:r>
      <w:r w:rsidR="00FE398F">
        <w:rPr>
          <w:rFonts w:hint="cs"/>
          <w:rtl/>
          <w:lang/>
        </w:rPr>
        <w:t>سي</w:t>
      </w:r>
      <w:r w:rsidR="00CA20A7">
        <w:rPr>
          <w:rFonts w:hint="cs"/>
          <w:rtl/>
          <w:lang/>
        </w:rPr>
        <w:t>اً</w:t>
      </w:r>
      <w:r w:rsidR="00FE398F">
        <w:rPr>
          <w:rFonts w:hint="cs"/>
          <w:rtl/>
          <w:lang/>
        </w:rPr>
        <w:t xml:space="preserve"> (المواد 7 و9 و19 و21 و22).</w:t>
      </w:r>
    </w:p>
    <w:p w:rsidR="002D146B" w:rsidRPr="00496859" w:rsidRDefault="003E0F21" w:rsidP="003E0F21">
      <w:pPr>
        <w:pStyle w:val="SingleTxtGA"/>
        <w:rPr>
          <w:rFonts w:hint="cs"/>
          <w:b/>
          <w:bCs/>
          <w:rtl/>
          <w:lang/>
        </w:rPr>
      </w:pPr>
      <w:r>
        <w:rPr>
          <w:b/>
          <w:bCs/>
          <w:rtl/>
          <w:lang/>
        </w:rPr>
        <w:tab/>
      </w:r>
      <w:r w:rsidR="002D146B" w:rsidRPr="00496859">
        <w:rPr>
          <w:rFonts w:hint="cs"/>
          <w:b/>
          <w:bCs/>
          <w:rtl/>
          <w:lang/>
        </w:rPr>
        <w:t>ينبغي للدولة الطرف أن تتخذ جميع التدابير التي تكفل تمتع الأفراد تمتع</w:t>
      </w:r>
      <w:r w:rsidR="00CA20A7">
        <w:rPr>
          <w:rFonts w:hint="cs"/>
          <w:b/>
          <w:bCs/>
          <w:rtl/>
          <w:lang/>
        </w:rPr>
        <w:t>اً</w:t>
      </w:r>
      <w:r w:rsidR="002D146B" w:rsidRPr="00496859">
        <w:rPr>
          <w:rFonts w:hint="cs"/>
          <w:b/>
          <w:bCs/>
          <w:rtl/>
          <w:lang/>
        </w:rPr>
        <w:t xml:space="preserve"> كامل</w:t>
      </w:r>
      <w:r>
        <w:rPr>
          <w:rFonts w:hint="cs"/>
          <w:b/>
          <w:bCs/>
          <w:rtl/>
          <w:lang/>
        </w:rPr>
        <w:t>اً</w:t>
      </w:r>
      <w:r w:rsidR="002D146B" w:rsidRPr="00496859">
        <w:rPr>
          <w:rFonts w:hint="cs"/>
          <w:b/>
          <w:bCs/>
          <w:rtl/>
          <w:lang/>
        </w:rPr>
        <w:t xml:space="preserve"> بحقوقهم بموجب المادة 21 من العهد وأن تحمي الحق في حرية التجمع في الواقع العملي. وينبغ</w:t>
      </w:r>
      <w:r>
        <w:rPr>
          <w:rFonts w:hint="cs"/>
          <w:b/>
          <w:bCs/>
          <w:rtl/>
          <w:lang/>
        </w:rPr>
        <w:t>ي لها أيض</w:t>
      </w:r>
      <w:r w:rsidR="00CA20A7">
        <w:rPr>
          <w:rFonts w:hint="cs"/>
          <w:b/>
          <w:bCs/>
          <w:rtl/>
          <w:lang/>
        </w:rPr>
        <w:t>اً</w:t>
      </w:r>
      <w:r>
        <w:rPr>
          <w:rFonts w:hint="cs"/>
          <w:b/>
          <w:bCs/>
          <w:rtl/>
          <w:lang/>
        </w:rPr>
        <w:t xml:space="preserve"> أن تقوم بالتحقيق مع</w:t>
      </w:r>
      <w:r w:rsidR="002D146B" w:rsidRPr="00496859">
        <w:rPr>
          <w:rFonts w:hint="cs"/>
          <w:b/>
          <w:bCs/>
          <w:rtl/>
          <w:lang/>
        </w:rPr>
        <w:t xml:space="preserve"> ال</w:t>
      </w:r>
      <w:r>
        <w:rPr>
          <w:rFonts w:hint="cs"/>
          <w:b/>
          <w:bCs/>
          <w:rtl/>
          <w:lang/>
        </w:rPr>
        <w:t xml:space="preserve">أشخاص الذين يُدَعى أنهم </w:t>
      </w:r>
      <w:proofErr w:type="spellStart"/>
      <w:r>
        <w:rPr>
          <w:rFonts w:hint="cs"/>
          <w:b/>
          <w:bCs/>
          <w:rtl/>
          <w:lang/>
        </w:rPr>
        <w:t>مسؤولون</w:t>
      </w:r>
      <w:proofErr w:type="spellEnd"/>
      <w:r w:rsidR="002D146B" w:rsidRPr="00496859">
        <w:rPr>
          <w:rFonts w:hint="cs"/>
          <w:b/>
          <w:bCs/>
          <w:rtl/>
          <w:lang/>
        </w:rPr>
        <w:t xml:space="preserve"> عن عمليات الاعتق</w:t>
      </w:r>
      <w:r>
        <w:rPr>
          <w:rFonts w:hint="cs"/>
          <w:b/>
          <w:bCs/>
          <w:rtl/>
          <w:lang/>
        </w:rPr>
        <w:t>ال والاحتجاز التعسفية وعن الإصابات</w:t>
      </w:r>
      <w:r w:rsidR="002D146B" w:rsidRPr="00496859">
        <w:rPr>
          <w:rFonts w:hint="cs"/>
          <w:b/>
          <w:bCs/>
          <w:rtl/>
          <w:lang/>
        </w:rPr>
        <w:t xml:space="preserve"> الجسدية التي لحقت بالأشخاص عقب مشاركتهم في مظاهرة سلمية ومقاضاتهم ومعاقبة من ثبتت إدانتهم. وينبغي لها أن تضمن اتخاذ القرارات بشأن تسجيل المنظمات غير الحكومية، بما </w:t>
      </w:r>
      <w:r>
        <w:rPr>
          <w:rFonts w:hint="cs"/>
          <w:b/>
          <w:bCs/>
          <w:rtl/>
          <w:lang/>
        </w:rPr>
        <w:t xml:space="preserve">فيها </w:t>
      </w:r>
      <w:proofErr w:type="spellStart"/>
      <w:r>
        <w:rPr>
          <w:rFonts w:hint="cs"/>
          <w:b/>
          <w:bCs/>
          <w:rtl/>
          <w:lang/>
        </w:rPr>
        <w:t>لامبدا</w:t>
      </w:r>
      <w:proofErr w:type="spellEnd"/>
      <w:r>
        <w:rPr>
          <w:rFonts w:hint="cs"/>
          <w:b/>
          <w:bCs/>
          <w:rtl/>
          <w:lang/>
        </w:rPr>
        <w:t>، دون تأخير لا</w:t>
      </w:r>
      <w:r>
        <w:rPr>
          <w:rFonts w:hint="eastAsia"/>
          <w:b/>
          <w:bCs/>
          <w:rtl/>
          <w:lang/>
        </w:rPr>
        <w:t> </w:t>
      </w:r>
      <w:r w:rsidR="002137A7">
        <w:rPr>
          <w:rFonts w:hint="cs"/>
          <w:b/>
          <w:bCs/>
          <w:rtl/>
          <w:lang/>
        </w:rPr>
        <w:t>موجب له</w:t>
      </w:r>
      <w:r>
        <w:rPr>
          <w:rFonts w:hint="cs"/>
          <w:b/>
          <w:bCs/>
          <w:rtl/>
          <w:lang/>
        </w:rPr>
        <w:t>.</w:t>
      </w:r>
    </w:p>
    <w:p w:rsidR="002D146B" w:rsidRPr="00496859" w:rsidRDefault="00FE398F" w:rsidP="00FE398F">
      <w:pPr>
        <w:pStyle w:val="SingleTxtGA"/>
        <w:rPr>
          <w:rFonts w:hint="cs"/>
        </w:rPr>
      </w:pPr>
      <w:r>
        <w:rPr>
          <w:rFonts w:hint="cs"/>
          <w:rtl/>
          <w:lang/>
        </w:rPr>
        <w:t>23-</w:t>
      </w:r>
      <w:r>
        <w:rPr>
          <w:rFonts w:hint="cs"/>
          <w:rtl/>
          <w:lang/>
        </w:rPr>
        <w:tab/>
      </w:r>
      <w:r w:rsidR="002D146B" w:rsidRPr="00496859">
        <w:rPr>
          <w:rtl/>
          <w:lang/>
        </w:rPr>
        <w:t xml:space="preserve">ينبغي للدولة الطرف أن تعمم على نطاق واسع العهد، </w:t>
      </w:r>
      <w:r w:rsidR="002D146B" w:rsidRPr="00496859">
        <w:rPr>
          <w:rFonts w:hint="cs"/>
          <w:rtl/>
          <w:lang/>
        </w:rPr>
        <w:t xml:space="preserve">ونص البروتوكول الاختياري الثاني للعهد </w:t>
      </w:r>
      <w:r w:rsidR="002D146B" w:rsidRPr="00496859">
        <w:rPr>
          <w:rtl/>
          <w:lang/>
        </w:rPr>
        <w:t>الذي يهدف إلى إلغاء عقوبة الإ</w:t>
      </w:r>
      <w:r w:rsidR="002D146B">
        <w:rPr>
          <w:rFonts w:hint="cs"/>
          <w:rtl/>
          <w:lang/>
        </w:rPr>
        <w:t xml:space="preserve">عدام </w:t>
      </w:r>
      <w:r w:rsidR="002D146B" w:rsidRPr="00496859">
        <w:rPr>
          <w:rtl/>
          <w:lang/>
        </w:rPr>
        <w:t>ونص التقرير الأولي، والردود الخطية المقدمة على قائمة المسائل التي أعدتها اللجنة، والملاحظات الختامية من أجل زيادة وعي السلطات القضائية والتشريعية والإدارية والمجتمع المدني والمنظمات غير الحكومية العاملة في البلد، وكذلك عامة النا</w:t>
      </w:r>
      <w:r w:rsidR="002D146B" w:rsidRPr="00496859">
        <w:rPr>
          <w:rFonts w:hint="cs"/>
          <w:rtl/>
          <w:lang/>
        </w:rPr>
        <w:t xml:space="preserve">س. </w:t>
      </w:r>
      <w:r w:rsidR="002D146B" w:rsidRPr="00496859">
        <w:rPr>
          <w:rtl/>
          <w:lang/>
        </w:rPr>
        <w:t>وتقترح اللجنة أيضاً أن يترجم كل من التقرير والملاحظات الختامية إلى اللغات الرسمية للدولة الطر</w:t>
      </w:r>
      <w:r w:rsidR="002D146B" w:rsidRPr="00496859">
        <w:rPr>
          <w:rFonts w:hint="cs"/>
          <w:rtl/>
          <w:lang/>
        </w:rPr>
        <w:t>ف</w:t>
      </w:r>
      <w:r>
        <w:rPr>
          <w:rFonts w:hint="cs"/>
          <w:rtl/>
          <w:lang/>
        </w:rPr>
        <w:t xml:space="preserve">. </w:t>
      </w:r>
      <w:r w:rsidR="002D146B" w:rsidRPr="00496859">
        <w:rPr>
          <w:rtl/>
          <w:lang/>
        </w:rPr>
        <w:t xml:space="preserve">وترجو اللجنة من الدولة الطرف، عند إعداد تقريرها الدوري </w:t>
      </w:r>
      <w:r w:rsidR="002D146B" w:rsidRPr="00496859">
        <w:rPr>
          <w:rFonts w:hint="cs"/>
          <w:rtl/>
          <w:lang/>
        </w:rPr>
        <w:t>الثاني</w:t>
      </w:r>
      <w:r w:rsidR="002D146B" w:rsidRPr="00496859">
        <w:rPr>
          <w:rtl/>
          <w:lang/>
        </w:rPr>
        <w:t>، أن تتشاور على نطاق واسع مع المجتمع المدني والمؤسسة الوطنية لحقوق الإنسان والمنظمات غير الحكومية</w:t>
      </w:r>
      <w:r w:rsidR="002D146B">
        <w:rPr>
          <w:rFonts w:hint="cs"/>
          <w:rtl/>
          <w:lang/>
        </w:rPr>
        <w:t>.</w:t>
      </w:r>
    </w:p>
    <w:p w:rsidR="002D146B" w:rsidRPr="00496859" w:rsidRDefault="00F22F3B" w:rsidP="008D75A4">
      <w:pPr>
        <w:pStyle w:val="SingleTxtGA"/>
        <w:rPr>
          <w:rFonts w:hint="cs"/>
        </w:rPr>
      </w:pPr>
      <w:r>
        <w:rPr>
          <w:rFonts w:hint="cs"/>
          <w:rtl/>
          <w:lang/>
        </w:rPr>
        <w:t>24-</w:t>
      </w:r>
      <w:r>
        <w:rPr>
          <w:rFonts w:hint="cs"/>
          <w:rtl/>
          <w:lang/>
        </w:rPr>
        <w:tab/>
      </w:r>
      <w:r w:rsidR="002D146B" w:rsidRPr="00496859">
        <w:rPr>
          <w:rtl/>
          <w:lang/>
        </w:rPr>
        <w:t xml:space="preserve">وعملاً بالفقرة 5 من المادة 71 من نظام اللجنة الداخلي، ينبغي للدولة الطرف أن تقدم، في غضون سنة واحدة، معلومات عن مدى تنفيذها توصيات اللجنة في الفقرات </w:t>
      </w:r>
      <w:r w:rsidR="002D146B" w:rsidRPr="00496859">
        <w:rPr>
          <w:rFonts w:hint="cs"/>
          <w:rtl/>
          <w:lang/>
        </w:rPr>
        <w:t>13</w:t>
      </w:r>
      <w:r w:rsidR="002D146B" w:rsidRPr="00496859">
        <w:rPr>
          <w:rtl/>
          <w:lang/>
        </w:rPr>
        <w:t xml:space="preserve"> و</w:t>
      </w:r>
      <w:r w:rsidR="002D146B" w:rsidRPr="00496859">
        <w:rPr>
          <w:rFonts w:hint="cs"/>
          <w:rtl/>
          <w:lang/>
        </w:rPr>
        <w:t>14</w:t>
      </w:r>
      <w:r w:rsidR="002D146B" w:rsidRPr="00496859">
        <w:rPr>
          <w:rtl/>
          <w:lang/>
        </w:rPr>
        <w:t xml:space="preserve"> و</w:t>
      </w:r>
      <w:r w:rsidR="002D146B" w:rsidRPr="00496859">
        <w:rPr>
          <w:rFonts w:hint="cs"/>
          <w:rtl/>
          <w:lang/>
        </w:rPr>
        <w:t>1</w:t>
      </w:r>
      <w:r w:rsidR="002D146B" w:rsidRPr="00496859">
        <w:rPr>
          <w:rtl/>
          <w:lang/>
        </w:rPr>
        <w:t>5 أعلاه</w:t>
      </w:r>
      <w:r w:rsidR="002D146B" w:rsidRPr="00496859">
        <w:rPr>
          <w:rFonts w:hint="cs"/>
          <w:rtl/>
          <w:lang/>
        </w:rPr>
        <w:t>.</w:t>
      </w:r>
    </w:p>
    <w:p w:rsidR="002D146B" w:rsidRPr="00496859" w:rsidRDefault="00F22F3B" w:rsidP="002137A7">
      <w:pPr>
        <w:pStyle w:val="SingleTxtGA"/>
        <w:rPr>
          <w:rFonts w:hint="cs"/>
        </w:rPr>
      </w:pPr>
      <w:r>
        <w:rPr>
          <w:rFonts w:hint="cs"/>
          <w:rtl/>
          <w:lang/>
        </w:rPr>
        <w:t>25-</w:t>
      </w:r>
      <w:r>
        <w:rPr>
          <w:rFonts w:hint="cs"/>
          <w:rtl/>
          <w:lang/>
        </w:rPr>
        <w:tab/>
      </w:r>
      <w:r w:rsidR="002D146B" w:rsidRPr="00496859">
        <w:rPr>
          <w:rtl/>
          <w:lang/>
        </w:rPr>
        <w:t xml:space="preserve">وتطلب اللجنة إلى الدولة الطرف أن تدرج في تقريرها الدوري المقبل، المقرر تقديمه في </w:t>
      </w:r>
      <w:r w:rsidR="002D146B" w:rsidRPr="00496859">
        <w:rPr>
          <w:rFonts w:hint="cs"/>
          <w:rtl/>
          <w:lang/>
        </w:rPr>
        <w:t>1</w:t>
      </w:r>
      <w:r w:rsidR="002D146B" w:rsidRPr="00496859">
        <w:rPr>
          <w:rtl/>
          <w:lang/>
        </w:rPr>
        <w:t xml:space="preserve"> </w:t>
      </w:r>
      <w:r w:rsidR="002D146B" w:rsidRPr="00496859">
        <w:rPr>
          <w:rFonts w:hint="cs"/>
          <w:rtl/>
          <w:lang/>
        </w:rPr>
        <w:t>تشرين الثاني/نوفمبر</w:t>
      </w:r>
      <w:r w:rsidR="002D146B" w:rsidRPr="00496859">
        <w:rPr>
          <w:rtl/>
          <w:lang/>
        </w:rPr>
        <w:t xml:space="preserve"> 201</w:t>
      </w:r>
      <w:r w:rsidR="002137A7">
        <w:rPr>
          <w:rFonts w:hint="cs"/>
          <w:rtl/>
          <w:lang/>
        </w:rPr>
        <w:t>7</w:t>
      </w:r>
      <w:r w:rsidR="002D146B" w:rsidRPr="00496859">
        <w:rPr>
          <w:rtl/>
          <w:lang/>
        </w:rPr>
        <w:t>، معلومات محددة محدثة بشأن تنفيذ جميع توصياتها وبشأن تطبيق العهد بمجمله</w:t>
      </w:r>
      <w:r w:rsidR="002D146B" w:rsidRPr="00496859">
        <w:rPr>
          <w:rFonts w:hint="cs"/>
          <w:rtl/>
          <w:lang/>
        </w:rPr>
        <w:t>.</w:t>
      </w:r>
    </w:p>
    <w:p w:rsidR="008B4BC6" w:rsidRPr="00F22F3B" w:rsidRDefault="00F22F3B" w:rsidP="00F22F3B">
      <w:pPr>
        <w:spacing w:before="120"/>
        <w:jc w:val="center"/>
        <w:rPr>
          <w:rFonts w:hint="cs"/>
          <w:u w:val="single"/>
          <w:rtl/>
        </w:rPr>
      </w:pPr>
      <w:r>
        <w:rPr>
          <w:u w:val="single"/>
          <w:rtl/>
        </w:rPr>
        <w:tab/>
      </w:r>
      <w:r>
        <w:rPr>
          <w:u w:val="single"/>
          <w:rtl/>
        </w:rPr>
        <w:tab/>
      </w:r>
      <w:r>
        <w:rPr>
          <w:u w:val="single"/>
          <w:rtl/>
        </w:rPr>
        <w:tab/>
      </w:r>
    </w:p>
    <w:sectPr w:rsidR="008B4BC6" w:rsidRPr="00F22F3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00" w:rsidRPr="00FE6865" w:rsidRDefault="002A2000" w:rsidP="00FE6865">
      <w:pPr>
        <w:pStyle w:val="Footer"/>
      </w:pPr>
    </w:p>
  </w:endnote>
  <w:endnote w:type="continuationSeparator" w:id="0">
    <w:p w:rsidR="002A2000" w:rsidRDefault="002A2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B7" w:rsidRPr="002D146B" w:rsidRDefault="005773B7" w:rsidP="002D146B">
    <w:pPr>
      <w:pStyle w:val="Footer"/>
      <w:tabs>
        <w:tab w:val="right" w:pos="9598"/>
      </w:tabs>
    </w:pPr>
    <w:r>
      <w:t>GE.13-48878</w:t>
    </w:r>
    <w:r>
      <w:tab/>
    </w:r>
    <w:r w:rsidRPr="002D146B">
      <w:rPr>
        <w:b/>
        <w:sz w:val="18"/>
      </w:rPr>
      <w:fldChar w:fldCharType="begin"/>
    </w:r>
    <w:r w:rsidRPr="002D146B">
      <w:rPr>
        <w:b/>
        <w:sz w:val="18"/>
      </w:rPr>
      <w:instrText xml:space="preserve"> PAGE  \* MERGEFORMAT </w:instrText>
    </w:r>
    <w:r w:rsidRPr="002D146B">
      <w:rPr>
        <w:b/>
        <w:sz w:val="18"/>
      </w:rPr>
      <w:fldChar w:fldCharType="separate"/>
    </w:r>
    <w:r w:rsidR="004810F9">
      <w:rPr>
        <w:b/>
        <w:noProof/>
        <w:sz w:val="18"/>
      </w:rPr>
      <w:t>4</w:t>
    </w:r>
    <w:r w:rsidRPr="002D146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B7" w:rsidRPr="002D146B" w:rsidRDefault="005773B7" w:rsidP="002D146B">
    <w:pPr>
      <w:pStyle w:val="Footer"/>
      <w:tabs>
        <w:tab w:val="right" w:pos="9598"/>
      </w:tabs>
      <w:rPr>
        <w:b/>
        <w:sz w:val="18"/>
      </w:rPr>
    </w:pPr>
    <w:r w:rsidRPr="002D146B">
      <w:rPr>
        <w:b/>
        <w:sz w:val="18"/>
      </w:rPr>
      <w:fldChar w:fldCharType="begin"/>
    </w:r>
    <w:r w:rsidRPr="002D146B">
      <w:rPr>
        <w:b/>
        <w:sz w:val="18"/>
      </w:rPr>
      <w:instrText xml:space="preserve"> PAGE  \* MERGEFORMAT </w:instrText>
    </w:r>
    <w:r w:rsidRPr="002D146B">
      <w:rPr>
        <w:b/>
        <w:sz w:val="18"/>
      </w:rPr>
      <w:fldChar w:fldCharType="separate"/>
    </w:r>
    <w:r w:rsidR="004810F9">
      <w:rPr>
        <w:b/>
        <w:noProof/>
        <w:sz w:val="18"/>
      </w:rPr>
      <w:t>3</w:t>
    </w:r>
    <w:r w:rsidRPr="002D146B">
      <w:rPr>
        <w:b/>
        <w:sz w:val="18"/>
      </w:rPr>
      <w:fldChar w:fldCharType="end"/>
    </w:r>
    <w:r>
      <w:rPr>
        <w:b/>
        <w:sz w:val="18"/>
      </w:rPr>
      <w:tab/>
    </w:r>
    <w:r>
      <w:t>GE.13-48878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B7" w:rsidRDefault="005773B7" w:rsidP="002D146B">
    <w:pPr>
      <w:pStyle w:val="Footer"/>
      <w:jc w:val="right"/>
    </w:pPr>
    <w:r>
      <w:rPr>
        <w:sz w:val="20"/>
      </w:rPr>
      <w:t>(A)   GE.13-48878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061213    091213</w:t>
    </w:r>
    <w:r w:rsidR="004810F9">
      <w:rPr>
        <w:sz w:val="20"/>
      </w:rPr>
      <w:br/>
    </w:r>
    <w:r w:rsidR="004810F9" w:rsidRPr="004810F9">
      <w:rPr>
        <w:rFonts w:ascii="C39T30Lfz" w:hAnsi="C39T30Lfz"/>
        <w:sz w:val="56"/>
      </w:rPr>
      <w:t></w:t>
    </w:r>
    <w:r w:rsidR="004810F9" w:rsidRPr="004810F9">
      <w:rPr>
        <w:rFonts w:ascii="C39T30Lfz" w:hAnsi="C39T30Lfz"/>
        <w:sz w:val="56"/>
      </w:rPr>
      <w:t></w:t>
    </w:r>
    <w:r w:rsidR="004810F9" w:rsidRPr="004810F9">
      <w:rPr>
        <w:rFonts w:ascii="C39T30Lfz" w:hAnsi="C39T30Lfz"/>
        <w:sz w:val="56"/>
      </w:rPr>
      <w:t></w:t>
    </w:r>
    <w:r w:rsidR="004810F9" w:rsidRPr="004810F9">
      <w:rPr>
        <w:rFonts w:ascii="C39T30Lfz" w:hAnsi="C39T30Lfz"/>
        <w:sz w:val="56"/>
      </w:rPr>
      <w:t></w:t>
    </w:r>
    <w:r w:rsidR="004810F9" w:rsidRPr="004810F9">
      <w:rPr>
        <w:rFonts w:ascii="C39T30Lfz" w:hAnsi="C39T30Lfz"/>
        <w:sz w:val="56"/>
      </w:rPr>
      <w:t></w:t>
    </w:r>
    <w:r w:rsidR="004810F9" w:rsidRPr="004810F9">
      <w:rPr>
        <w:rFonts w:ascii="C39T30Lfz" w:hAnsi="C39T30Lfz"/>
        <w:sz w:val="56"/>
      </w:rPr>
      <w:t></w:t>
    </w:r>
    <w:r w:rsidR="004810F9" w:rsidRPr="004810F9">
      <w:rPr>
        <w:rFonts w:ascii="C39T30Lfz" w:hAnsi="C39T30Lfz"/>
        <w:sz w:val="56"/>
      </w:rPr>
      <w:t></w:t>
    </w:r>
    <w:r w:rsidR="004810F9" w:rsidRPr="004810F9">
      <w:rPr>
        <w:rFonts w:ascii="C39T30Lfz" w:hAnsi="C39T30Lfz"/>
        <w:sz w:val="56"/>
      </w:rPr>
      <w:t></w:t>
    </w:r>
    <w:r w:rsidR="004810F9" w:rsidRPr="004810F9">
      <w:rPr>
        <w:rFonts w:ascii="C39T30Lfz" w:hAnsi="C39T30Lfz"/>
        <w:sz w:val="56"/>
      </w:rPr>
      <w:t></w:t>
    </w:r>
    <w:r w:rsidR="004810F9">
      <w:tab/>
    </w:r>
    <w:r w:rsidR="004810F9">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00" w:rsidRDefault="002A2000" w:rsidP="007E4686">
      <w:pPr>
        <w:pStyle w:val="Footer"/>
        <w:bidi/>
        <w:spacing w:after="80" w:line="200" w:lineRule="exact"/>
        <w:ind w:left="680"/>
      </w:pPr>
      <w:r>
        <w:rPr>
          <w:rFonts w:hint="cs"/>
          <w:rtl/>
        </w:rPr>
        <w:t>__________</w:t>
      </w:r>
    </w:p>
  </w:footnote>
  <w:footnote w:type="continuationSeparator" w:id="0">
    <w:p w:rsidR="002A2000" w:rsidRDefault="002A2000" w:rsidP="007E4686">
      <w:pPr>
        <w:pStyle w:val="Footer"/>
        <w:bidi/>
        <w:spacing w:after="80" w:line="200" w:lineRule="exact"/>
        <w:ind w:left="680"/>
      </w:pPr>
      <w:r>
        <w:rPr>
          <w:rFonts w:hint="cs"/>
          <w:rtl/>
        </w:rPr>
        <w:t>__________</w:t>
      </w:r>
    </w:p>
  </w:footnote>
  <w:footnote w:id="1">
    <w:p w:rsidR="005773B7" w:rsidRPr="002D146B" w:rsidRDefault="005773B7" w:rsidP="004810F9">
      <w:pPr>
        <w:pStyle w:val="footnoteText0"/>
        <w:spacing w:after="240"/>
        <w:rPr>
          <w:rFonts w:hint="cs"/>
          <w:rtl/>
        </w:rPr>
      </w:pPr>
      <w:r>
        <w:rPr>
          <w:rtl/>
        </w:rPr>
        <w:tab/>
      </w:r>
      <w:r w:rsidRPr="002D146B">
        <w:rPr>
          <w:rStyle w:val="FootnoteReference"/>
          <w:sz w:val="20"/>
          <w:vertAlign w:val="baseline"/>
          <w:rtl/>
        </w:rPr>
        <w:t>*</w:t>
      </w:r>
      <w:r>
        <w:rPr>
          <w:rtl/>
        </w:rPr>
        <w:tab/>
      </w:r>
      <w:r>
        <w:rPr>
          <w:rFonts w:hint="cs"/>
          <w:rtl/>
        </w:rPr>
        <w:t>اعتمدتها اللجنة في دورتها 109 (14 تشرين الأول/أكتوبر - 1 تشرين الثاني/نوفمبر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B7" w:rsidRPr="002D146B" w:rsidRDefault="005773B7" w:rsidP="002D146B">
    <w:pPr>
      <w:pStyle w:val="Header"/>
      <w:jc w:val="right"/>
    </w:pPr>
    <w:r w:rsidRPr="002D146B">
      <w:t>CCPR/C/MOZ/CO/1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B7" w:rsidRPr="002D146B" w:rsidRDefault="005773B7" w:rsidP="002D146B">
    <w:pPr>
      <w:pStyle w:val="Header"/>
      <w:jc w:val="left"/>
    </w:pPr>
    <w:r w:rsidRPr="002D146B">
      <w:t>CCPR/C/MOZ/CO/1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B7" w:rsidRDefault="005773B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5773B7" w:rsidRPr="008F6743" w:rsidRDefault="005773B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3466F9"/>
    <w:multiLevelType w:val="hybridMultilevel"/>
    <w:tmpl w:val="A3BA9BC0"/>
    <w:lvl w:ilvl="0" w:tplc="C2F024DC">
      <w:start w:val="5"/>
      <w:numFmt w:val="decimal"/>
      <w:lvlText w:val="%1."/>
      <w:lvlJc w:val="left"/>
      <w:pPr>
        <w:ind w:left="1650" w:hanging="360"/>
      </w:pPr>
      <w:rPr>
        <w:rFonts w:ascii="Times New Roman" w:hAnsi="Times New Roman" w:cs="Times New Roman" w:hint="default"/>
        <w:sz w:val="24"/>
        <w:szCs w:val="24"/>
      </w:rPr>
    </w:lvl>
    <w:lvl w:ilvl="1" w:tplc="100C0019" w:tentative="1">
      <w:start w:val="1"/>
      <w:numFmt w:val="lowerLetter"/>
      <w:lvlText w:val="%2."/>
      <w:lvlJc w:val="left"/>
      <w:pPr>
        <w:ind w:left="2370" w:hanging="360"/>
      </w:pPr>
    </w:lvl>
    <w:lvl w:ilvl="2" w:tplc="100C001B" w:tentative="1">
      <w:start w:val="1"/>
      <w:numFmt w:val="lowerRoman"/>
      <w:lvlText w:val="%3."/>
      <w:lvlJc w:val="right"/>
      <w:pPr>
        <w:ind w:left="3090" w:hanging="180"/>
      </w:pPr>
    </w:lvl>
    <w:lvl w:ilvl="3" w:tplc="100C000F" w:tentative="1">
      <w:start w:val="1"/>
      <w:numFmt w:val="decimal"/>
      <w:lvlText w:val="%4."/>
      <w:lvlJc w:val="left"/>
      <w:pPr>
        <w:ind w:left="3810" w:hanging="360"/>
      </w:pPr>
    </w:lvl>
    <w:lvl w:ilvl="4" w:tplc="100C0019" w:tentative="1">
      <w:start w:val="1"/>
      <w:numFmt w:val="lowerLetter"/>
      <w:lvlText w:val="%5."/>
      <w:lvlJc w:val="left"/>
      <w:pPr>
        <w:ind w:left="4530" w:hanging="360"/>
      </w:pPr>
    </w:lvl>
    <w:lvl w:ilvl="5" w:tplc="100C001B" w:tentative="1">
      <w:start w:val="1"/>
      <w:numFmt w:val="lowerRoman"/>
      <w:lvlText w:val="%6."/>
      <w:lvlJc w:val="right"/>
      <w:pPr>
        <w:ind w:left="5250" w:hanging="180"/>
      </w:pPr>
    </w:lvl>
    <w:lvl w:ilvl="6" w:tplc="100C000F" w:tentative="1">
      <w:start w:val="1"/>
      <w:numFmt w:val="decimal"/>
      <w:lvlText w:val="%7."/>
      <w:lvlJc w:val="left"/>
      <w:pPr>
        <w:ind w:left="5970" w:hanging="360"/>
      </w:pPr>
    </w:lvl>
    <w:lvl w:ilvl="7" w:tplc="100C0019" w:tentative="1">
      <w:start w:val="1"/>
      <w:numFmt w:val="lowerLetter"/>
      <w:lvlText w:val="%8."/>
      <w:lvlJc w:val="left"/>
      <w:pPr>
        <w:ind w:left="6690" w:hanging="360"/>
      </w:pPr>
    </w:lvl>
    <w:lvl w:ilvl="8" w:tplc="100C001B" w:tentative="1">
      <w:start w:val="1"/>
      <w:numFmt w:val="lowerRoman"/>
      <w:lvlText w:val="%9."/>
      <w:lvlJc w:val="right"/>
      <w:pPr>
        <w:ind w:left="7410" w:hanging="18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57582A"/>
    <w:multiLevelType w:val="hybridMultilevel"/>
    <w:tmpl w:val="A008E20E"/>
    <w:lvl w:ilvl="0" w:tplc="30FEF1B8">
      <w:start w:val="1"/>
      <w:numFmt w:val="arabicAlpha"/>
      <w:lvlText w:val="(%1)"/>
      <w:lvlJc w:val="left"/>
      <w:pPr>
        <w:ind w:left="2010" w:hanging="360"/>
      </w:pPr>
      <w:rPr>
        <w:rFonts w:hint="default"/>
      </w:rPr>
    </w:lvl>
    <w:lvl w:ilvl="1" w:tplc="100C0019" w:tentative="1">
      <w:start w:val="1"/>
      <w:numFmt w:val="lowerLetter"/>
      <w:lvlText w:val="%2."/>
      <w:lvlJc w:val="left"/>
      <w:pPr>
        <w:ind w:left="2730" w:hanging="360"/>
      </w:pPr>
    </w:lvl>
    <w:lvl w:ilvl="2" w:tplc="100C001B" w:tentative="1">
      <w:start w:val="1"/>
      <w:numFmt w:val="lowerRoman"/>
      <w:lvlText w:val="%3."/>
      <w:lvlJc w:val="right"/>
      <w:pPr>
        <w:ind w:left="3450" w:hanging="180"/>
      </w:pPr>
    </w:lvl>
    <w:lvl w:ilvl="3" w:tplc="100C000F" w:tentative="1">
      <w:start w:val="1"/>
      <w:numFmt w:val="decimal"/>
      <w:lvlText w:val="%4."/>
      <w:lvlJc w:val="left"/>
      <w:pPr>
        <w:ind w:left="4170" w:hanging="360"/>
      </w:pPr>
    </w:lvl>
    <w:lvl w:ilvl="4" w:tplc="100C0019" w:tentative="1">
      <w:start w:val="1"/>
      <w:numFmt w:val="lowerLetter"/>
      <w:lvlText w:val="%5."/>
      <w:lvlJc w:val="left"/>
      <w:pPr>
        <w:ind w:left="4890" w:hanging="360"/>
      </w:pPr>
    </w:lvl>
    <w:lvl w:ilvl="5" w:tplc="100C001B" w:tentative="1">
      <w:start w:val="1"/>
      <w:numFmt w:val="lowerRoman"/>
      <w:lvlText w:val="%6."/>
      <w:lvlJc w:val="right"/>
      <w:pPr>
        <w:ind w:left="5610" w:hanging="180"/>
      </w:pPr>
    </w:lvl>
    <w:lvl w:ilvl="6" w:tplc="100C000F" w:tentative="1">
      <w:start w:val="1"/>
      <w:numFmt w:val="decimal"/>
      <w:lvlText w:val="%7."/>
      <w:lvlJc w:val="left"/>
      <w:pPr>
        <w:ind w:left="6330" w:hanging="360"/>
      </w:pPr>
    </w:lvl>
    <w:lvl w:ilvl="7" w:tplc="100C0019" w:tentative="1">
      <w:start w:val="1"/>
      <w:numFmt w:val="lowerLetter"/>
      <w:lvlText w:val="%8."/>
      <w:lvlJc w:val="left"/>
      <w:pPr>
        <w:ind w:left="7050" w:hanging="360"/>
      </w:pPr>
    </w:lvl>
    <w:lvl w:ilvl="8" w:tplc="100C001B" w:tentative="1">
      <w:start w:val="1"/>
      <w:numFmt w:val="lowerRoman"/>
      <w:lvlText w:val="%9."/>
      <w:lvlJc w:val="right"/>
      <w:pPr>
        <w:ind w:left="7770" w:hanging="18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B6C41DE"/>
    <w:multiLevelType w:val="hybridMultilevel"/>
    <w:tmpl w:val="C04222BC"/>
    <w:lvl w:ilvl="0" w:tplc="3648F140">
      <w:start w:val="1"/>
      <w:numFmt w:val="decimal"/>
      <w:lvlText w:val="%1."/>
      <w:lvlJc w:val="left"/>
      <w:pPr>
        <w:ind w:left="1650" w:hanging="360"/>
      </w:pPr>
      <w:rPr>
        <w:rFonts w:hint="default"/>
      </w:rPr>
    </w:lvl>
    <w:lvl w:ilvl="1" w:tplc="100C0019" w:tentative="1">
      <w:start w:val="1"/>
      <w:numFmt w:val="lowerLetter"/>
      <w:lvlText w:val="%2."/>
      <w:lvlJc w:val="left"/>
      <w:pPr>
        <w:ind w:left="2370" w:hanging="360"/>
      </w:pPr>
    </w:lvl>
    <w:lvl w:ilvl="2" w:tplc="100C001B" w:tentative="1">
      <w:start w:val="1"/>
      <w:numFmt w:val="lowerRoman"/>
      <w:lvlText w:val="%3."/>
      <w:lvlJc w:val="right"/>
      <w:pPr>
        <w:ind w:left="3090" w:hanging="180"/>
      </w:pPr>
    </w:lvl>
    <w:lvl w:ilvl="3" w:tplc="100C000F" w:tentative="1">
      <w:start w:val="1"/>
      <w:numFmt w:val="decimal"/>
      <w:lvlText w:val="%4."/>
      <w:lvlJc w:val="left"/>
      <w:pPr>
        <w:ind w:left="3810" w:hanging="360"/>
      </w:pPr>
    </w:lvl>
    <w:lvl w:ilvl="4" w:tplc="100C0019" w:tentative="1">
      <w:start w:val="1"/>
      <w:numFmt w:val="lowerLetter"/>
      <w:lvlText w:val="%5."/>
      <w:lvlJc w:val="left"/>
      <w:pPr>
        <w:ind w:left="4530" w:hanging="360"/>
      </w:pPr>
    </w:lvl>
    <w:lvl w:ilvl="5" w:tplc="100C001B" w:tentative="1">
      <w:start w:val="1"/>
      <w:numFmt w:val="lowerRoman"/>
      <w:lvlText w:val="%6."/>
      <w:lvlJc w:val="right"/>
      <w:pPr>
        <w:ind w:left="5250" w:hanging="180"/>
      </w:pPr>
    </w:lvl>
    <w:lvl w:ilvl="6" w:tplc="100C000F" w:tentative="1">
      <w:start w:val="1"/>
      <w:numFmt w:val="decimal"/>
      <w:lvlText w:val="%7."/>
      <w:lvlJc w:val="left"/>
      <w:pPr>
        <w:ind w:left="5970" w:hanging="360"/>
      </w:pPr>
    </w:lvl>
    <w:lvl w:ilvl="7" w:tplc="100C0019" w:tentative="1">
      <w:start w:val="1"/>
      <w:numFmt w:val="lowerLetter"/>
      <w:lvlText w:val="%8."/>
      <w:lvlJc w:val="left"/>
      <w:pPr>
        <w:ind w:left="6690" w:hanging="360"/>
      </w:pPr>
    </w:lvl>
    <w:lvl w:ilvl="8" w:tplc="100C001B" w:tentative="1">
      <w:start w:val="1"/>
      <w:numFmt w:val="lowerRoman"/>
      <w:lvlText w:val="%9."/>
      <w:lvlJc w:val="right"/>
      <w:pPr>
        <w:ind w:left="7410" w:hanging="180"/>
      </w:p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4"/>
  </w:num>
  <w:num w:numId="35">
    <w:abstractNumId w:val="5"/>
  </w:num>
  <w:num w:numId="36">
    <w:abstractNumId w:val="16"/>
  </w:num>
  <w:num w:numId="37">
    <w:abstractNumId w:val="19"/>
  </w:num>
  <w:num w:numId="38">
    <w:abstractNumId w:val="0"/>
  </w:num>
  <w:num w:numId="39">
    <w:abstractNumId w:val="6"/>
  </w:num>
  <w:num w:numId="40">
    <w:abstractNumId w:val="23"/>
  </w:num>
  <w:num w:numId="41">
    <w:abstractNumId w:val="21"/>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93E"/>
    <w:rsid w:val="00040E25"/>
    <w:rsid w:val="00042149"/>
    <w:rsid w:val="000648EA"/>
    <w:rsid w:val="000944F2"/>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175C"/>
    <w:rsid w:val="001455A0"/>
    <w:rsid w:val="001602A3"/>
    <w:rsid w:val="001A5161"/>
    <w:rsid w:val="001A60BD"/>
    <w:rsid w:val="001C6D53"/>
    <w:rsid w:val="002137A7"/>
    <w:rsid w:val="00232277"/>
    <w:rsid w:val="0023736D"/>
    <w:rsid w:val="00257225"/>
    <w:rsid w:val="002A2000"/>
    <w:rsid w:val="002D146B"/>
    <w:rsid w:val="00310160"/>
    <w:rsid w:val="00341A8C"/>
    <w:rsid w:val="003519E6"/>
    <w:rsid w:val="00355F81"/>
    <w:rsid w:val="003B4356"/>
    <w:rsid w:val="003E0F21"/>
    <w:rsid w:val="003F08A8"/>
    <w:rsid w:val="004250E3"/>
    <w:rsid w:val="0044376D"/>
    <w:rsid w:val="00472A81"/>
    <w:rsid w:val="004810F9"/>
    <w:rsid w:val="004A20A6"/>
    <w:rsid w:val="004B2C92"/>
    <w:rsid w:val="004D6A3A"/>
    <w:rsid w:val="004F4AD7"/>
    <w:rsid w:val="004F5707"/>
    <w:rsid w:val="00557CD3"/>
    <w:rsid w:val="0056593E"/>
    <w:rsid w:val="00571432"/>
    <w:rsid w:val="005732A2"/>
    <w:rsid w:val="005762A5"/>
    <w:rsid w:val="005773B7"/>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D75A4"/>
    <w:rsid w:val="008F6743"/>
    <w:rsid w:val="00901E57"/>
    <w:rsid w:val="009070DF"/>
    <w:rsid w:val="00935F0E"/>
    <w:rsid w:val="0095208F"/>
    <w:rsid w:val="00977B3F"/>
    <w:rsid w:val="009814AE"/>
    <w:rsid w:val="009901D3"/>
    <w:rsid w:val="0099038B"/>
    <w:rsid w:val="00996BBE"/>
    <w:rsid w:val="009B2C03"/>
    <w:rsid w:val="009D17B9"/>
    <w:rsid w:val="009D1DD5"/>
    <w:rsid w:val="009F722C"/>
    <w:rsid w:val="00A26157"/>
    <w:rsid w:val="00A265C3"/>
    <w:rsid w:val="00A43F9A"/>
    <w:rsid w:val="00A53F38"/>
    <w:rsid w:val="00A543D4"/>
    <w:rsid w:val="00AB56B8"/>
    <w:rsid w:val="00AD0014"/>
    <w:rsid w:val="00AD4CF2"/>
    <w:rsid w:val="00AF0BBA"/>
    <w:rsid w:val="00B25159"/>
    <w:rsid w:val="00B30468"/>
    <w:rsid w:val="00B44E31"/>
    <w:rsid w:val="00BA4F7E"/>
    <w:rsid w:val="00BB2C41"/>
    <w:rsid w:val="00BC55C8"/>
    <w:rsid w:val="00BC5C10"/>
    <w:rsid w:val="00BE2964"/>
    <w:rsid w:val="00BF0FC4"/>
    <w:rsid w:val="00C026BB"/>
    <w:rsid w:val="00C21623"/>
    <w:rsid w:val="00C24FBD"/>
    <w:rsid w:val="00C473BA"/>
    <w:rsid w:val="00C611ED"/>
    <w:rsid w:val="00C6490A"/>
    <w:rsid w:val="00C64FE1"/>
    <w:rsid w:val="00C726D2"/>
    <w:rsid w:val="00C74296"/>
    <w:rsid w:val="00C8345E"/>
    <w:rsid w:val="00CA20A7"/>
    <w:rsid w:val="00CA5F7C"/>
    <w:rsid w:val="00D1622A"/>
    <w:rsid w:val="00D51067"/>
    <w:rsid w:val="00D75657"/>
    <w:rsid w:val="00D960AD"/>
    <w:rsid w:val="00DA0E0E"/>
    <w:rsid w:val="00DB0885"/>
    <w:rsid w:val="00DB0C39"/>
    <w:rsid w:val="00DB7679"/>
    <w:rsid w:val="00DF1702"/>
    <w:rsid w:val="00DF4DD8"/>
    <w:rsid w:val="00DF668E"/>
    <w:rsid w:val="00E016FA"/>
    <w:rsid w:val="00E04826"/>
    <w:rsid w:val="00E14D2B"/>
    <w:rsid w:val="00E20DBA"/>
    <w:rsid w:val="00E5082A"/>
    <w:rsid w:val="00E6524A"/>
    <w:rsid w:val="00E660D6"/>
    <w:rsid w:val="00E771AB"/>
    <w:rsid w:val="00EA796F"/>
    <w:rsid w:val="00EB077B"/>
    <w:rsid w:val="00EC50B9"/>
    <w:rsid w:val="00ED26A0"/>
    <w:rsid w:val="00F1727A"/>
    <w:rsid w:val="00F22F3B"/>
    <w:rsid w:val="00F34764"/>
    <w:rsid w:val="00F54E3C"/>
    <w:rsid w:val="00F874BD"/>
    <w:rsid w:val="00FB1D0B"/>
    <w:rsid w:val="00FE398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10</Pages>
  <Words>3171</Words>
  <Characters>16585</Characters>
  <Application>Microsoft Office Outlook</Application>
  <DocSecurity>4</DocSecurity>
  <Lines>285</Lines>
  <Paragraphs>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CCPR/C/MOZ/CO/1</vt:lpstr>
      <vt:lpstr>CCPR/C/MOZ/CO/1</vt:lpstr>
    </vt:vector>
  </TitlesOfParts>
  <Company>CSD</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CCPR/C/MOZ/CO/1</dc:title>
  <dc:subject>Louati</dc:subject>
  <dc:creator>Joumana</dc:creator>
  <cp:keywords/>
  <dc:description/>
  <cp:lastModifiedBy>TPS</cp:lastModifiedBy>
  <cp:revision>2</cp:revision>
  <cp:lastPrinted>2013-12-09T08:55:00Z</cp:lastPrinted>
  <dcterms:created xsi:type="dcterms:W3CDTF">2013-12-09T14:19:00Z</dcterms:created>
  <dcterms:modified xsi:type="dcterms:W3CDTF">2013-12-09T14:19:00Z</dcterms:modified>
</cp:coreProperties>
</file>