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74" w:rsidRDefault="00A10274">
      <w:pPr>
        <w:spacing w:line="240" w:lineRule="auto"/>
        <w:rPr>
          <w:sz w:val="2"/>
          <w:lang w:val="fr-CA"/>
        </w:rPr>
        <w:sectPr w:rsidR="00A10274">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Pr>
          <w:rStyle w:val="CommentReference"/>
        </w:rPr>
        <w:commentReference w:id="0"/>
      </w:r>
    </w:p>
    <w:p w:rsidR="00A10274" w:rsidRDefault="00A1027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Comité pour l’élimination de la discrimination</w:t>
      </w:r>
      <w:r>
        <w:rPr>
          <w:lang w:val="fr-CA"/>
        </w:rPr>
        <w:br/>
        <w:t>à l’égard des femmes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rPr>
          <w:szCs w:val="24"/>
        </w:rPr>
        <w:tab/>
      </w:r>
      <w:r>
        <w:rPr>
          <w:szCs w:val="24"/>
        </w:rPr>
        <w:tab/>
        <w:t xml:space="preserve">Examen des rapports présentés par les États parties </w:t>
      </w:r>
      <w:r>
        <w:rPr>
          <w:szCs w:val="24"/>
        </w:rPr>
        <w:br/>
        <w:t>en application de l’article 18 de la Convention</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CA"/>
        </w:rPr>
      </w:pPr>
      <w:r>
        <w:rPr>
          <w:lang w:val="fr-CA"/>
        </w:rPr>
        <w:tab/>
      </w:r>
      <w:r>
        <w:rPr>
          <w:lang w:val="fr-CA"/>
        </w:rPr>
        <w:tab/>
        <w:t xml:space="preserve">Cinquièmes rapports périodiques des États parties </w:t>
      </w:r>
      <w:r>
        <w:rPr>
          <w:lang w:val="fr-CA"/>
        </w:rPr>
        <w:br/>
        <w:t>dus en 2012</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framePr w:w="9792" w:h="432" w:hSpace="180" w:wrap="around" w:hAnchor="page" w:x="1210" w:yAlign="bottom"/>
        <w:spacing w:line="240" w:lineRule="auto"/>
        <w:rPr>
          <w:sz w:val="10"/>
          <w:lang w:val="fr-CA"/>
        </w:rPr>
      </w:pPr>
      <w:r>
        <w:rPr>
          <w:noProof/>
          <w:w w:val="100"/>
          <w:sz w:val="10"/>
          <w:lang w:val="fr-CA"/>
        </w:rPr>
        <w:pict>
          <v:line id="_x0000_s1026" style="position:absolute;z-index:1;mso-position-horizontal-relative:page" from="108pt,-1pt" to="180pt,-1pt" strokeweight=".25pt">
            <w10:wrap anchorx="page"/>
          </v:line>
        </w:pict>
      </w:r>
    </w:p>
    <w:p w:rsidR="00A10274" w:rsidRDefault="00A10274">
      <w:pPr>
        <w:framePr w:w="9792" w:h="432" w:hSpace="180" w:wrap="around" w:hAnchor="page" w:x="1210" w:yAlign="bottom"/>
        <w:spacing w:line="240" w:lineRule="auto"/>
        <w:rPr>
          <w:sz w:val="6"/>
          <w:lang w:val="fr-CA"/>
        </w:rPr>
      </w:pPr>
    </w:p>
    <w:p w:rsidR="00A10274" w:rsidRDefault="00A1027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CA"/>
        </w:rPr>
      </w:pPr>
      <w:r>
        <w:rPr>
          <w:sz w:val="17"/>
          <w:lang w:val="fr-CA"/>
        </w:rPr>
        <w:tab/>
        <w:t>*</w:t>
      </w:r>
      <w:r>
        <w:rPr>
          <w:sz w:val="17"/>
          <w:lang w:val="fr-CA"/>
        </w:rPr>
        <w:tab/>
        <w:t>Le présent rapport n’a pas été revu par les services d’édition.</w:t>
      </w: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fr-CA"/>
        </w:rPr>
      </w:pPr>
      <w:r>
        <w:rPr>
          <w:lang w:val="fr-CA"/>
        </w:rPr>
        <w:tab/>
      </w:r>
      <w:r>
        <w:rPr>
          <w:lang w:val="fr-CA"/>
        </w:rPr>
        <w:tab/>
      </w:r>
      <w:r>
        <w:rPr>
          <w:sz w:val="28"/>
          <w:szCs w:val="28"/>
          <w:lang w:val="fr-CA"/>
        </w:rPr>
        <w:t>Érythrée</w:t>
      </w:r>
      <w:r>
        <w:rPr>
          <w:b w:val="0"/>
          <w:sz w:val="20"/>
          <w:lang w:val="fr-CA"/>
        </w:rPr>
        <w:t>*</w:t>
      </w:r>
    </w:p>
    <w:p w:rsidR="00A10274" w:rsidRDefault="00A10274">
      <w:pPr>
        <w:pStyle w:val="SingleTxt"/>
        <w:rPr>
          <w:lang w:val="fr-CA"/>
        </w:rPr>
      </w:pPr>
    </w:p>
    <w:p w:rsidR="00A10274" w:rsidRDefault="00A10274">
      <w:pPr>
        <w:pStyle w:val="SingleTxt"/>
        <w:rPr>
          <w:lang w:val="fr-CA"/>
        </w:rPr>
      </w:pPr>
    </w:p>
    <w:p w:rsidR="00A10274" w:rsidRDefault="00A1027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Résumé analytique</w:t>
      </w:r>
    </w:p>
    <w:p w:rsidR="00A10274" w:rsidRDefault="00A10274">
      <w:pPr>
        <w:pStyle w:val="SingleTxt"/>
        <w:spacing w:after="0" w:line="120" w:lineRule="exact"/>
        <w:rPr>
          <w:sz w:val="10"/>
          <w:lang w:val="fr-CA" w:eastAsia="fr-FR"/>
        </w:rPr>
      </w:pPr>
    </w:p>
    <w:p w:rsidR="00A10274" w:rsidRDefault="00A10274">
      <w:pPr>
        <w:pStyle w:val="SingleTxt"/>
        <w:spacing w:after="0" w:line="120" w:lineRule="exact"/>
        <w:rPr>
          <w:sz w:val="10"/>
          <w:szCs w:val="24"/>
          <w:lang w:val="fr-CA"/>
        </w:rPr>
      </w:pPr>
    </w:p>
    <w:p w:rsidR="00A10274" w:rsidRDefault="00A10274">
      <w:pPr>
        <w:pStyle w:val="SingleTxt"/>
        <w:rPr>
          <w:lang w:val="fr-CA"/>
        </w:rPr>
      </w:pPr>
      <w:r>
        <w:rPr>
          <w:lang w:val="fr-CA"/>
        </w:rPr>
        <w:t>1.</w:t>
      </w:r>
      <w:r>
        <w:rPr>
          <w:lang w:val="fr-CA"/>
        </w:rPr>
        <w:tab/>
        <w:t>Le Gouvernement de l’État d’Érythrée renvoie à sa précédente présentation de l’ensemble, réunis en un seul, de ses premier, deuxième, troisième et quatrième rapports périodiques sur les progrès accomplis, jusqu’à 2010, vers la mise en œuvre de la Convention sur l’élimination de toutes les formes de discrimination à l’égard des femmes. Le présent rapport périodique couvre la période 2009-2012 et tient compte également des recommandations du Comité pour l’élimination de la discrimination à l’égard des femmes (</w:t>
      </w:r>
      <w:hyperlink r:id="rId14" w:history="1">
        <w:r>
          <w:rPr>
            <w:rStyle w:val="Hyperlink"/>
            <w:lang w:val="fr-CA"/>
          </w:rPr>
          <w:t>CEDAW/C/ERI/CO/3</w:t>
        </w:r>
      </w:hyperlink>
      <w:r>
        <w:rPr>
          <w:lang w:val="fr-CA"/>
        </w:rPr>
        <w:t>).</w:t>
      </w:r>
    </w:p>
    <w:p w:rsidR="00A10274" w:rsidRDefault="00A10274">
      <w:pPr>
        <w:pStyle w:val="SingleTxt"/>
        <w:rPr>
          <w:lang w:val="fr-CA"/>
        </w:rPr>
      </w:pPr>
      <w:r>
        <w:rPr>
          <w:lang w:val="fr-CA"/>
        </w:rPr>
        <w:t>2.</w:t>
      </w:r>
      <w:r>
        <w:rPr>
          <w:lang w:val="fr-CA"/>
        </w:rPr>
        <w:tab/>
        <w:t>Comme il a été abondamment traité de la plupart des définitions ainsi que des questions d’ordre législatif et règlementaire dans les derniers rapports, le présent rapport concerne les progrès accomplis dans les divers programmes. Toute mesure de politique générale ou toutes mesures spéciales se rapportant aux articles 1 à 4 dont il faut faire rapport sont présentées dans les programmes respectifs. C’est pourquoi le présent rapport est à lire en ayant égard aux quatre rapports périodiques passés.</w:t>
      </w:r>
    </w:p>
    <w:p w:rsidR="00A10274" w:rsidRDefault="00A10274">
      <w:pPr>
        <w:pStyle w:val="SingleTxt"/>
        <w:rPr>
          <w:lang w:val="fr-CA"/>
        </w:rPr>
      </w:pPr>
      <w:r>
        <w:rPr>
          <w:lang w:val="fr-CA"/>
        </w:rPr>
        <w:t>3.</w:t>
      </w:r>
      <w:r>
        <w:rPr>
          <w:lang w:val="fr-CA"/>
        </w:rPr>
        <w:tab/>
        <w:t>Durant la période sur laquelle porte le rapport, le Gouvernement a continué à mettre en œuvre les dispositions de la Convention concurremment avec les grandes politiques de développement national et celles des dispositions des autres conventions internationales qu’il a signées. Durant la période considérée, il s’est attaché au développement du capital humain, assurant la sécurité alimentaire du pays, la croissance économique, les progrès de la sécurité sociale et de la justice sociale. Les progrès accomplis vers la réalisation des objectifs du Millénaire pour le développement (OMD), notamment en matière d’égalité des sexes, d’éducation et de santé, ont été encourageants.</w:t>
      </w:r>
    </w:p>
    <w:p w:rsidR="00A10274" w:rsidRDefault="00A10274">
      <w:pPr>
        <w:pStyle w:val="SingleTxt"/>
        <w:rPr>
          <w:lang w:val="fr-CA"/>
        </w:rPr>
      </w:pPr>
      <w:r>
        <w:rPr>
          <w:lang w:val="fr-CA"/>
        </w:rPr>
        <w:t>4.</w:t>
      </w:r>
      <w:r>
        <w:rPr>
          <w:lang w:val="fr-CA"/>
        </w:rPr>
        <w:tab/>
        <w:t>Il va sans dire que l’Union nationale des femmes d’Érythrée (UNFE) a mené la coordination des enjeux d’égalité des sexes en général et a été chargée par le Gouvernement de surveiller la mise en œuvre de la Convention en son nom.</w:t>
      </w:r>
    </w:p>
    <w:p w:rsidR="00A10274" w:rsidRDefault="00A10274">
      <w:pPr>
        <w:pStyle w:val="SingleTxt"/>
        <w:rPr>
          <w:lang w:val="fr-CA"/>
        </w:rPr>
      </w:pPr>
      <w:r>
        <w:rPr>
          <w:lang w:val="fr-CA"/>
        </w:rPr>
        <w:t>5.</w:t>
      </w:r>
      <w:r>
        <w:rPr>
          <w:lang w:val="fr-CA"/>
        </w:rPr>
        <w:tab/>
        <w:t>Il ne fait pas de doute que la crise économique mondiale a présenté d’immenses problèmes qui ont eu pour effet de ralentir le rythme des progrès obtenus par les divers programmes de développement. Toute réalisation est à apprécier à l’aune de ces problèmes et du fait que l’Érythrée est une jeune et nouvelle nation en développement.</w:t>
      </w:r>
    </w:p>
    <w:p w:rsidR="00A10274" w:rsidRDefault="00A10274">
      <w:pPr>
        <w:pStyle w:val="SingleTxt"/>
        <w:rPr>
          <w:lang w:val="fr-CA"/>
        </w:rPr>
      </w:pPr>
      <w:r>
        <w:rPr>
          <w:lang w:val="fr-CA"/>
        </w:rPr>
        <w:t>6.</w:t>
      </w:r>
      <w:r>
        <w:rPr>
          <w:lang w:val="fr-CA"/>
        </w:rPr>
        <w:tab/>
        <w:t>Le fait que le pays connait une situation qui, sans être une situation de guerre n’est toutefois pas une situation de paix, qu’il est par ailleurs l’objet de circonstances d’origine externe défavorables, à quoi viennent s’ajouter des irrégularités climatiques, n’est pas non plus sans avoir un impact.</w:t>
      </w:r>
    </w:p>
    <w:p w:rsidR="00A10274" w:rsidRDefault="00A10274">
      <w:pPr>
        <w:pStyle w:val="SingleTxt"/>
        <w:rPr>
          <w:lang w:val="fr-CA"/>
        </w:rPr>
      </w:pPr>
      <w:r>
        <w:rPr>
          <w:lang w:val="fr-CA"/>
        </w:rPr>
        <w:t>7.</w:t>
      </w:r>
      <w:r>
        <w:rPr>
          <w:lang w:val="fr-CA"/>
        </w:rPr>
        <w:tab/>
        <w:t>Les crises économiques qui ont marqué la précédente période considérée n’ont rien perdu de leur intensité dans celle que nous considérons ici. Et pourtant, le pays a fait des progrès notables dans toutes les sphères sociales et économiques.</w:t>
      </w:r>
    </w:p>
    <w:p w:rsidR="00A10274" w:rsidRDefault="00A10274">
      <w:pPr>
        <w:pStyle w:val="SingleTxt"/>
        <w:rPr>
          <w:lang w:val="fr-CA"/>
        </w:rPr>
      </w:pPr>
      <w:r>
        <w:rPr>
          <w:lang w:val="fr-CA"/>
        </w:rPr>
        <w:t>8.</w:t>
      </w:r>
      <w:r>
        <w:rPr>
          <w:lang w:val="fr-CA"/>
        </w:rPr>
        <w:tab/>
        <w:t>Malgré l’amélioration générale, la documentation à base de données ventilées par sexe est encore faible dans certains compartiments des secteurs public et privé.</w:t>
      </w:r>
    </w:p>
    <w:p w:rsidR="00A10274" w:rsidRDefault="00A10274">
      <w:pPr>
        <w:pStyle w:val="SingleTxt"/>
        <w:rPr>
          <w:lang w:val="fr-CA"/>
        </w:rPr>
      </w:pPr>
      <w:r>
        <w:rPr>
          <w:lang w:val="fr-CA"/>
        </w:rPr>
        <w:t>9.</w:t>
      </w:r>
      <w:r>
        <w:rPr>
          <w:lang w:val="fr-CA"/>
        </w:rPr>
        <w:tab/>
        <w:t>Dans l’établissement du présent rapport périodique, toutes les structures gouvernementales et organisations de la société civile ont été consultées et elles sont intervenues tout au long du processus. Des ateliers à vocation consensuelle ont été tenus avant la finalisation du présent rapport, ce qui leur a permis d’apporter à l’œuvre une contribution près appréciable.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Deuxième partie</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Articles 1-3</w:t>
      </w:r>
      <w:r>
        <w:rPr>
          <w:lang w:val="fr-CA"/>
        </w:rPr>
        <w:br/>
        <w:t xml:space="preserve">Définition de la discrimination et mesures de politique </w:t>
      </w:r>
      <w:r>
        <w:rPr>
          <w:lang w:val="fr-CA"/>
        </w:rPr>
        <w:br/>
        <w:t>générale prises</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SingleTxt"/>
        <w:rPr>
          <w:lang w:val="fr-CA"/>
        </w:rPr>
      </w:pPr>
      <w:r>
        <w:rPr>
          <w:lang w:val="fr-CA"/>
        </w:rPr>
        <w:t>10.</w:t>
      </w:r>
      <w:r>
        <w:rPr>
          <w:lang w:val="fr-CA"/>
        </w:rPr>
        <w:tab/>
        <w:t>Le Gouvernement de l’État d’Érythrée renvoie à ses précédents rapports (rapports périodiques 1-4) et indique qu’il n’y a pas eu de nouvelles définitions de la discrimination ou de mesures de politique générale prises suite à ce qui a été dit.</w:t>
      </w:r>
    </w:p>
    <w:p w:rsidR="00A10274" w:rsidRDefault="00A10274">
      <w:pPr>
        <w:pStyle w:val="SingleTxt"/>
        <w:rPr>
          <w:lang w:val="fr-CA"/>
        </w:rPr>
      </w:pPr>
      <w:r>
        <w:rPr>
          <w:lang w:val="fr-CA"/>
        </w:rPr>
        <w:t>11.</w:t>
      </w:r>
      <w:r>
        <w:rPr>
          <w:lang w:val="fr-CA"/>
        </w:rPr>
        <w:tab/>
        <w:t>Il convient de noter que l’examen de la législation relative aux codes civil et pénal dont il a déjà été fait état est toujours en cours. De même, l’examen de la loi sur le travail jusqu’ici en vigueur est en cours et des progrès sont faits dans la définition et l’articulation des parties qui appellent révision.</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Troisième partie </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Article 4</w:t>
      </w:r>
      <w:r>
        <w:rPr>
          <w:lang w:val="fr-CA"/>
        </w:rPr>
        <w:br/>
        <w:t>Mesures spéciales</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SingleTxt"/>
        <w:rPr>
          <w:lang w:val="fr-CA"/>
        </w:rPr>
      </w:pPr>
      <w:r>
        <w:rPr>
          <w:lang w:val="fr-CA"/>
        </w:rPr>
        <w:t>12.</w:t>
      </w:r>
      <w:r>
        <w:rPr>
          <w:lang w:val="fr-CA"/>
        </w:rPr>
        <w:tab/>
        <w:t>Les mesures de discrimination positive visant à réserver un tiers des sièges à divers niveaux des organes électifs que le Gouvernement a introduites continuent à être appliquées. Les processus électoraux actifs qui ont eu lieu durant la période sur laquelle porte le rapport concernent les juges des tribunaux communautaires ainsi que les conseils des villages et des sous-régions. Le Gouvernement a également donné son adhésion aux mesures spéciales visant à assurer une représentation des femmes dans les diverses structures de l’État, notamment au poste de Ministre, de Directeur général, d’Administrateur régional, et dans les relations extérieures. Il n’y a toutefois pas eu de changement majeur dans ces derniers postes. Il faudra attendre voir ce qu’il en adviendra lors des processus de réorganisation des institutions de l’État prévus pour bientôt.</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Article 5</w:t>
      </w:r>
      <w:r>
        <w:rPr>
          <w:lang w:val="fr-CA"/>
        </w:rPr>
        <w:br/>
        <w:t xml:space="preserve">Mesures relatives aux rôles correspondant </w:t>
      </w:r>
      <w:r>
        <w:rPr>
          <w:lang w:val="fr-CA"/>
        </w:rPr>
        <w:br/>
        <w:t>à des stéréotypes sexistes</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SingleTxt"/>
        <w:rPr>
          <w:b/>
          <w:lang w:val="fr-CA"/>
        </w:rPr>
      </w:pPr>
      <w:r>
        <w:rPr>
          <w:lang w:val="fr-CA"/>
        </w:rPr>
        <w:t>13.</w:t>
      </w:r>
      <w:r>
        <w:rPr>
          <w:lang w:val="fr-CA"/>
        </w:rPr>
        <w:tab/>
        <w:t>L’Union nationale des femmes d’Érythrée n’a cessé de mener des campagnes par voie de séminaires, d’ateliers et de formations pour lutter contre des stéréotypes sexistes inscrits par la tradition dans la société érythréenne. Les stéréotypes relatifs aux rôles de l’un et l’autre sexe vont de l’organisation de la famille aux relations sociales, économiques et politiques plus larges entre les sexes à tous les âges, et cela dès l’enfance.</w:t>
      </w:r>
    </w:p>
    <w:p w:rsidR="00A10274" w:rsidRDefault="00A10274">
      <w:pPr>
        <w:pStyle w:val="SingleTxt"/>
        <w:rPr>
          <w:lang w:val="fr-CA"/>
        </w:rPr>
      </w:pPr>
      <w:r>
        <w:rPr>
          <w:lang w:val="fr-CA"/>
        </w:rPr>
        <w:t>14.</w:t>
      </w:r>
      <w:r>
        <w:rPr>
          <w:lang w:val="fr-CA"/>
        </w:rPr>
        <w:tab/>
        <w:t>Outre la campagne de l’Union nationale des femmes d’Érythrée, diverses institutions gouvernementales, mais principalement le Ministère de l’éducation, le Ministère du travail et de la prévoyance sociale et le Ministère de la santé ont, pour faire largement connaitre les dispositions des Conventions, mis en place divers programmes éducatifs de sensibilisation aux méfaits des stéréotypes et aux droits des femmes. Diverses instances gouvernementales, dont le Ministère de l’agriculture, le Ministère de la terre, de l’eau et de l’environnement, le Ministère de l’énergie et des mines, le Ministère de l’information ainsi que l’Union nationale des femmes d’Érythrée et autres organisations civiques comme la Confédération nationale des travailleurs érythréens et l’Union nationale des jeunes et des étudiants érythréens, ont mis en œuvre des programmes et des projets qui facilitent le changement dans les rôles marqués par des stéréotypes sexistes. Il est important aussi de noter que les valeurs fondamentales des droits de la personne entrent dans le cadre plus large de l’enseignement de la morale dans toutes les écoles.</w:t>
      </w:r>
    </w:p>
    <w:p w:rsidR="00A10274" w:rsidRDefault="00A10274">
      <w:pPr>
        <w:pStyle w:val="SingleTxt"/>
        <w:rPr>
          <w:lang w:val="fr-CA"/>
        </w:rPr>
      </w:pPr>
      <w:r>
        <w:rPr>
          <w:lang w:val="fr-CA"/>
        </w:rPr>
        <w:t>15.</w:t>
      </w:r>
      <w:r>
        <w:rPr>
          <w:lang w:val="fr-CA"/>
        </w:rPr>
        <w:tab/>
        <w:t>Le Ministère du travail et de la prévoyance sociale a, comme institution chef de file, en collaboration avec ses partenaires sociaux du Gouvernement et les organisations non gouvernementales, mené la lutte contre les stéréotypes sexistes qui ont cours parmi les enfants et les parents, tout en mettant en œuvre la Convention relative aux droits de l’enfant. Les petits systèmes de micro-crédit ciblent en particulier les femmes et visent à élever leur participation directe aux activités économiques et à en finir avec les stéréotypes quant aux rôles dévolus à l’un ou à l’autre sexe. La participation des femmes à des sports et activités récréatives, précédemment l’apanage des hommes, contribue à la réalisation d’une percée dans le combat contre les stéréotypes sexistes dans l’attribution des rôles.</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Article 6</w:t>
      </w:r>
      <w:r>
        <w:rPr>
          <w:lang w:val="fr-CA"/>
        </w:rPr>
        <w:br/>
        <w:t>Traite des femmes et exploitation de la prostitution</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SingleTxt"/>
        <w:rPr>
          <w:lang w:val="fr-CA"/>
        </w:rPr>
      </w:pPr>
      <w:r>
        <w:rPr>
          <w:lang w:val="fr-CA"/>
        </w:rPr>
        <w:t>16.</w:t>
      </w:r>
      <w:r>
        <w:rPr>
          <w:lang w:val="fr-CA"/>
        </w:rPr>
        <w:tab/>
        <w:t>Comme on l’a indiqué dans les précédents rapports, la loi protège les femmes contre les crimes de traite et de contrebande. La traite des personnes est un phénomène auquel l’Érythrée a récemment été exposée. On ne connait pas le nombre de femmes touchées par ce phénomène relativement nouveau. Pourtant, le Gouvernement érythréen a pris des mesures de lutte contre la traite des personnes en créant un front commun avec les États voisins et en demandant expressément au Secrétaire général de l’ONU de l’aider dans la recherche et la poursuite des auteurs de ce crime exécrable.</w:t>
      </w:r>
    </w:p>
    <w:p w:rsidR="00A10274" w:rsidRDefault="00A10274">
      <w:pPr>
        <w:pStyle w:val="SingleTxt"/>
        <w:rPr>
          <w:lang w:val="fr-CA"/>
        </w:rPr>
      </w:pPr>
      <w:r>
        <w:rPr>
          <w:lang w:val="fr-CA"/>
        </w:rPr>
        <w:t>17.</w:t>
      </w:r>
      <w:r>
        <w:rPr>
          <w:lang w:val="fr-CA"/>
        </w:rPr>
        <w:tab/>
        <w:t>On considère la prostitution comme un comportement indécent qui est socialement honni. Le Gouvernement s’est employé à en éliminer la pratique comme mode de vie et à mettre fin à toute exploitation et dégradation des femmes qui en font métier. La prostitution n’est pas une activité déclarée en Érythrée. Cependant, le Gouvernement ne ménage pas ses efforts, se mettant, notamment, à tenter de dissuader celles qui se livrent à des activités sexuelles à des fins commerciales, de les réhabiliter et de les trouver par des programmes de travail décent. L’Union nationale des femmes d’Érythrée mène des campagnes de sensibilisation contre la prostitution et les dangers que représente l’exploitation des femmes. En outre, afin d’empêcher les femmes de se livrer au commerce du sexe, on leur recherche des activités génératrices de revenu. S’il y a peut-être aujourd’hui un petit nombre d’endroits tenus secrets pour le commerce du sexe, le pays ne compte pas de bordels opérant au grand jour comme tels.</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Article 7</w:t>
      </w:r>
      <w:r>
        <w:rPr>
          <w:lang w:val="fr-CA"/>
        </w:rPr>
        <w:br/>
        <w:t>Les femmes en politique et dans la vie publique</w:t>
      </w:r>
    </w:p>
    <w:p w:rsidR="00A10274" w:rsidRDefault="00A10274">
      <w:pPr>
        <w:pStyle w:val="SingleTxt"/>
        <w:keepNext/>
        <w:spacing w:after="0" w:line="120" w:lineRule="exact"/>
        <w:rPr>
          <w:sz w:val="10"/>
          <w:szCs w:val="24"/>
          <w:lang w:val="fr-CA"/>
        </w:rPr>
      </w:pPr>
    </w:p>
    <w:p w:rsidR="00A10274" w:rsidRDefault="00A10274">
      <w:pPr>
        <w:pStyle w:val="SingleTxt"/>
        <w:keepNext/>
        <w:spacing w:after="0" w:line="120" w:lineRule="exact"/>
        <w:rPr>
          <w:sz w:val="10"/>
          <w:szCs w:val="24"/>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1</w:t>
      </w:r>
      <w:r>
        <w:rPr>
          <w:lang w:val="fr-CA"/>
        </w:rPr>
        <w:br/>
        <w:t>Répartition par sexe des cadres supérieurs de l’Administration</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35" w:type="dxa"/>
        <w:tblInd w:w="1260" w:type="dxa"/>
        <w:tblBorders>
          <w:top w:val="single" w:sz="4" w:space="0" w:color="auto"/>
        </w:tblBorders>
        <w:tblCellMar>
          <w:left w:w="0" w:type="dxa"/>
          <w:right w:w="0" w:type="dxa"/>
        </w:tblCellMar>
        <w:tblLook w:val="04A0"/>
      </w:tblPr>
      <w:tblGrid>
        <w:gridCol w:w="2835"/>
        <w:gridCol w:w="621"/>
        <w:gridCol w:w="729"/>
        <w:gridCol w:w="927"/>
        <w:gridCol w:w="630"/>
        <w:gridCol w:w="693"/>
        <w:gridCol w:w="900"/>
      </w:tblGrid>
      <w:tr w:rsidR="00A10274">
        <w:trPr>
          <w:trHeight w:val="240"/>
          <w:tblHeader/>
        </w:trPr>
        <w:tc>
          <w:tcPr>
            <w:tcW w:w="2835" w:type="dxa"/>
            <w:vMerge w:val="restart"/>
            <w:tcBorders>
              <w:top w:val="single" w:sz="4" w:space="0" w:color="auto"/>
            </w:tcBorders>
            <w:shd w:val="clear" w:color="auto" w:fill="auto"/>
            <w:vAlign w:val="bottom"/>
          </w:tcPr>
          <w:p w:rsidR="00A10274" w:rsidRDefault="00A10274">
            <w:pPr>
              <w:pStyle w:val="SingleTxtG"/>
              <w:keepNext/>
              <w:suppressAutoHyphens w:val="0"/>
              <w:spacing w:before="80" w:after="80" w:line="160" w:lineRule="exact"/>
              <w:ind w:left="0" w:right="0"/>
              <w:jc w:val="left"/>
              <w:rPr>
                <w:bCs/>
                <w:i/>
                <w:sz w:val="14"/>
                <w:szCs w:val="14"/>
                <w:lang w:val="fr-CA"/>
              </w:rPr>
            </w:pPr>
            <w:r>
              <w:rPr>
                <w:bCs/>
                <w:i/>
                <w:sz w:val="14"/>
                <w:szCs w:val="14"/>
                <w:lang w:val="fr-CA"/>
              </w:rPr>
              <w:t>Cadre administratif</w:t>
            </w:r>
          </w:p>
        </w:tc>
        <w:tc>
          <w:tcPr>
            <w:tcW w:w="2277" w:type="dxa"/>
            <w:gridSpan w:val="3"/>
            <w:tcBorders>
              <w:top w:val="single" w:sz="4" w:space="0" w:color="auto"/>
              <w:bottom w:val="single" w:sz="6" w:space="0" w:color="auto"/>
            </w:tcBorders>
            <w:shd w:val="clear" w:color="auto" w:fill="auto"/>
            <w:vAlign w:val="bottom"/>
          </w:tcPr>
          <w:p w:rsidR="00A10274" w:rsidRDefault="00A10274">
            <w:pPr>
              <w:pStyle w:val="SingleTxtG"/>
              <w:keepNext/>
              <w:suppressAutoHyphens w:val="0"/>
              <w:spacing w:before="80" w:after="80" w:line="160" w:lineRule="exact"/>
              <w:ind w:left="113" w:right="0"/>
              <w:jc w:val="center"/>
              <w:rPr>
                <w:bCs/>
                <w:i/>
                <w:sz w:val="14"/>
                <w:szCs w:val="14"/>
                <w:lang w:val="fr-CA"/>
              </w:rPr>
            </w:pPr>
            <w:r>
              <w:rPr>
                <w:bCs/>
                <w:i/>
                <w:sz w:val="14"/>
                <w:szCs w:val="14"/>
                <w:lang w:val="fr-CA"/>
              </w:rPr>
              <w:t>Année 2009</w:t>
            </w:r>
          </w:p>
        </w:tc>
        <w:tc>
          <w:tcPr>
            <w:tcW w:w="2223" w:type="dxa"/>
            <w:gridSpan w:val="3"/>
            <w:tcBorders>
              <w:top w:val="single" w:sz="4" w:space="0" w:color="auto"/>
              <w:bottom w:val="single" w:sz="6" w:space="0" w:color="auto"/>
            </w:tcBorders>
            <w:shd w:val="clear" w:color="auto" w:fill="auto"/>
            <w:vAlign w:val="bottom"/>
          </w:tcPr>
          <w:p w:rsidR="00A10274" w:rsidRDefault="00A10274">
            <w:pPr>
              <w:pStyle w:val="SingleTxtG"/>
              <w:keepNext/>
              <w:suppressAutoHyphens w:val="0"/>
              <w:spacing w:before="80" w:after="80" w:line="160" w:lineRule="exact"/>
              <w:ind w:left="113" w:right="0"/>
              <w:jc w:val="center"/>
              <w:rPr>
                <w:bCs/>
                <w:i/>
                <w:sz w:val="14"/>
                <w:szCs w:val="14"/>
                <w:lang w:val="fr-CA"/>
              </w:rPr>
            </w:pPr>
            <w:r>
              <w:rPr>
                <w:bCs/>
                <w:i/>
                <w:sz w:val="14"/>
                <w:szCs w:val="14"/>
                <w:lang w:val="fr-CA"/>
              </w:rPr>
              <w:t>Année 2012</w:t>
            </w:r>
          </w:p>
        </w:tc>
      </w:tr>
      <w:tr w:rsidR="00A10274">
        <w:trPr>
          <w:trHeight w:val="240"/>
        </w:trPr>
        <w:tc>
          <w:tcPr>
            <w:tcW w:w="2835" w:type="dxa"/>
            <w:vMerge/>
            <w:tcBorders>
              <w:bottom w:val="single" w:sz="12" w:space="0" w:color="auto"/>
            </w:tcBorders>
            <w:shd w:val="clear" w:color="auto" w:fill="auto"/>
          </w:tcPr>
          <w:p w:rsidR="00A10274" w:rsidRDefault="00A10274">
            <w:pPr>
              <w:pStyle w:val="SingleTxtG"/>
              <w:keepNext/>
              <w:suppressAutoHyphens w:val="0"/>
              <w:spacing w:before="80" w:after="80" w:line="160" w:lineRule="exact"/>
              <w:ind w:left="0" w:right="0"/>
              <w:jc w:val="left"/>
              <w:rPr>
                <w:bCs/>
                <w:i/>
                <w:sz w:val="14"/>
                <w:szCs w:val="14"/>
                <w:lang w:val="fr-CA"/>
              </w:rPr>
            </w:pPr>
          </w:p>
        </w:tc>
        <w:tc>
          <w:tcPr>
            <w:tcW w:w="621"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bCs/>
                <w:i/>
                <w:sz w:val="14"/>
                <w:szCs w:val="14"/>
                <w:lang w:val="fr-CA"/>
              </w:rPr>
            </w:pPr>
            <w:r>
              <w:rPr>
                <w:bCs/>
                <w:i/>
                <w:sz w:val="14"/>
                <w:szCs w:val="14"/>
                <w:lang w:val="fr-CA"/>
              </w:rPr>
              <w:t>Total</w:t>
            </w:r>
          </w:p>
        </w:tc>
        <w:tc>
          <w:tcPr>
            <w:tcW w:w="729"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bCs/>
                <w:i/>
                <w:sz w:val="14"/>
                <w:szCs w:val="14"/>
                <w:lang w:val="fr-CA"/>
              </w:rPr>
            </w:pPr>
            <w:r>
              <w:rPr>
                <w:bCs/>
                <w:i/>
                <w:sz w:val="14"/>
                <w:szCs w:val="14"/>
                <w:lang w:val="fr-CA"/>
              </w:rPr>
              <w:t>Femmes</w:t>
            </w:r>
          </w:p>
        </w:tc>
        <w:tc>
          <w:tcPr>
            <w:tcW w:w="927"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bCs/>
                <w:i/>
                <w:sz w:val="14"/>
                <w:szCs w:val="14"/>
                <w:lang w:val="fr-CA"/>
              </w:rPr>
            </w:pPr>
            <w:r>
              <w:rPr>
                <w:bCs/>
                <w:i/>
                <w:sz w:val="14"/>
                <w:szCs w:val="14"/>
                <w:lang w:val="fr-CA"/>
              </w:rPr>
              <w:t>Femmes</w:t>
            </w:r>
            <w:r>
              <w:rPr>
                <w:bCs/>
                <w:i/>
                <w:sz w:val="14"/>
                <w:szCs w:val="14"/>
                <w:lang w:val="fr-CA"/>
              </w:rPr>
              <w:br/>
              <w:t>(pourcentage</w:t>
            </w:r>
            <w:r>
              <w:rPr>
                <w:bCs/>
                <w:i/>
                <w:sz w:val="14"/>
                <w:szCs w:val="14"/>
                <w:lang w:val="fr-CA"/>
              </w:rPr>
              <w:br/>
              <w:t xml:space="preserve"> du total)</w:t>
            </w:r>
          </w:p>
        </w:tc>
        <w:tc>
          <w:tcPr>
            <w:tcW w:w="630"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bCs/>
                <w:i/>
                <w:sz w:val="14"/>
                <w:szCs w:val="14"/>
                <w:lang w:val="fr-CA"/>
              </w:rPr>
            </w:pPr>
            <w:r>
              <w:rPr>
                <w:bCs/>
                <w:i/>
                <w:sz w:val="14"/>
                <w:szCs w:val="14"/>
                <w:lang w:val="fr-CA"/>
              </w:rPr>
              <w:t>Total</w:t>
            </w:r>
          </w:p>
        </w:tc>
        <w:tc>
          <w:tcPr>
            <w:tcW w:w="693"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bCs/>
                <w:i/>
                <w:sz w:val="14"/>
                <w:szCs w:val="14"/>
                <w:lang w:val="fr-CA"/>
              </w:rPr>
            </w:pPr>
            <w:r>
              <w:rPr>
                <w:bCs/>
                <w:i/>
                <w:sz w:val="14"/>
                <w:szCs w:val="14"/>
                <w:lang w:val="fr-CA"/>
              </w:rPr>
              <w:t>Femmes</w:t>
            </w:r>
          </w:p>
        </w:tc>
        <w:tc>
          <w:tcPr>
            <w:tcW w:w="900"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bCs/>
                <w:i/>
                <w:sz w:val="14"/>
                <w:szCs w:val="14"/>
                <w:lang w:val="fr-CA"/>
              </w:rPr>
            </w:pPr>
            <w:r>
              <w:rPr>
                <w:bCs/>
                <w:i/>
                <w:sz w:val="14"/>
                <w:szCs w:val="14"/>
                <w:lang w:val="fr-CA"/>
              </w:rPr>
              <w:t xml:space="preserve">Femmes </w:t>
            </w:r>
            <w:r>
              <w:rPr>
                <w:bCs/>
                <w:i/>
                <w:sz w:val="14"/>
                <w:szCs w:val="14"/>
                <w:lang w:val="fr-CA"/>
              </w:rPr>
              <w:br/>
              <w:t>(pourcentage</w:t>
            </w:r>
            <w:r>
              <w:rPr>
                <w:bCs/>
                <w:i/>
                <w:sz w:val="14"/>
                <w:szCs w:val="14"/>
                <w:lang w:val="fr-CA"/>
              </w:rPr>
              <w:br/>
              <w:t>du total)</w:t>
            </w:r>
          </w:p>
        </w:tc>
      </w:tr>
      <w:tr w:rsidR="00A10274">
        <w:trPr>
          <w:trHeight w:val="240"/>
        </w:trPr>
        <w:tc>
          <w:tcPr>
            <w:tcW w:w="2835" w:type="dxa"/>
            <w:tcBorders>
              <w:top w:val="single" w:sz="12" w:space="0" w:color="auto"/>
            </w:tcBorders>
            <w:shd w:val="clear" w:color="auto" w:fill="auto"/>
          </w:tcPr>
          <w:p w:rsidR="00A10274" w:rsidRDefault="00A10274">
            <w:pPr>
              <w:pStyle w:val="SingleTxtG"/>
              <w:keepNext/>
              <w:suppressAutoHyphens w:val="0"/>
              <w:spacing w:before="81" w:after="40" w:line="240" w:lineRule="auto"/>
              <w:ind w:left="0" w:right="0"/>
              <w:jc w:val="left"/>
              <w:rPr>
                <w:sz w:val="18"/>
                <w:szCs w:val="18"/>
                <w:lang w:val="fr-CA"/>
              </w:rPr>
            </w:pPr>
            <w:r>
              <w:rPr>
                <w:sz w:val="18"/>
                <w:szCs w:val="18"/>
                <w:lang w:val="fr-CA"/>
              </w:rPr>
              <w:t xml:space="preserve">Assemblée nationale </w:t>
            </w:r>
          </w:p>
        </w:tc>
        <w:tc>
          <w:tcPr>
            <w:tcW w:w="621" w:type="dxa"/>
            <w:tcBorders>
              <w:top w:val="single" w:sz="12" w:space="0" w:color="auto"/>
            </w:tcBorders>
            <w:shd w:val="clear" w:color="auto" w:fill="auto"/>
            <w:vAlign w:val="bottom"/>
          </w:tcPr>
          <w:p w:rsidR="00A10274" w:rsidRDefault="00A10274">
            <w:pPr>
              <w:pStyle w:val="SingleTxtG"/>
              <w:keepNext/>
              <w:suppressAutoHyphens w:val="0"/>
              <w:spacing w:before="81" w:after="40" w:line="240" w:lineRule="auto"/>
              <w:ind w:left="113" w:right="0"/>
              <w:jc w:val="right"/>
              <w:rPr>
                <w:sz w:val="18"/>
                <w:szCs w:val="18"/>
                <w:lang w:val="fr-CA"/>
              </w:rPr>
            </w:pPr>
            <w:r>
              <w:rPr>
                <w:sz w:val="18"/>
                <w:szCs w:val="18"/>
                <w:lang w:val="fr-CA"/>
              </w:rPr>
              <w:t>150</w:t>
            </w:r>
          </w:p>
        </w:tc>
        <w:tc>
          <w:tcPr>
            <w:tcW w:w="729" w:type="dxa"/>
            <w:tcBorders>
              <w:top w:val="single" w:sz="12" w:space="0" w:color="auto"/>
            </w:tcBorders>
            <w:shd w:val="clear" w:color="auto" w:fill="auto"/>
            <w:vAlign w:val="bottom"/>
          </w:tcPr>
          <w:p w:rsidR="00A10274" w:rsidRDefault="00A10274">
            <w:pPr>
              <w:pStyle w:val="SingleTxtG"/>
              <w:keepNext/>
              <w:suppressAutoHyphens w:val="0"/>
              <w:spacing w:before="81" w:after="40" w:line="240" w:lineRule="auto"/>
              <w:ind w:left="113" w:right="0"/>
              <w:jc w:val="right"/>
              <w:rPr>
                <w:sz w:val="18"/>
                <w:szCs w:val="18"/>
                <w:lang w:val="fr-CA"/>
              </w:rPr>
            </w:pPr>
            <w:r>
              <w:rPr>
                <w:sz w:val="18"/>
                <w:szCs w:val="18"/>
                <w:lang w:val="fr-CA"/>
              </w:rPr>
              <w:t>33</w:t>
            </w:r>
          </w:p>
        </w:tc>
        <w:tc>
          <w:tcPr>
            <w:tcW w:w="927" w:type="dxa"/>
            <w:tcBorders>
              <w:top w:val="single" w:sz="12" w:space="0" w:color="auto"/>
            </w:tcBorders>
            <w:shd w:val="clear" w:color="auto" w:fill="auto"/>
            <w:vAlign w:val="bottom"/>
          </w:tcPr>
          <w:p w:rsidR="00A10274" w:rsidRDefault="00A10274">
            <w:pPr>
              <w:pStyle w:val="SingleTxtG"/>
              <w:keepNext/>
              <w:suppressAutoHyphens w:val="0"/>
              <w:spacing w:before="81" w:after="40" w:line="240" w:lineRule="auto"/>
              <w:ind w:left="113" w:right="0"/>
              <w:jc w:val="right"/>
              <w:rPr>
                <w:sz w:val="18"/>
                <w:szCs w:val="18"/>
                <w:lang w:val="fr-CA"/>
              </w:rPr>
            </w:pPr>
            <w:r>
              <w:rPr>
                <w:sz w:val="18"/>
                <w:szCs w:val="18"/>
                <w:lang w:val="fr-CA"/>
              </w:rPr>
              <w:t>22,0</w:t>
            </w:r>
          </w:p>
        </w:tc>
        <w:tc>
          <w:tcPr>
            <w:tcW w:w="630" w:type="dxa"/>
            <w:tcBorders>
              <w:top w:val="single" w:sz="12" w:space="0" w:color="auto"/>
            </w:tcBorders>
            <w:shd w:val="clear" w:color="auto" w:fill="auto"/>
            <w:vAlign w:val="bottom"/>
          </w:tcPr>
          <w:p w:rsidR="00A10274" w:rsidRDefault="00A10274">
            <w:pPr>
              <w:pStyle w:val="SingleTxtG"/>
              <w:keepNext/>
              <w:suppressAutoHyphens w:val="0"/>
              <w:spacing w:before="81" w:after="40" w:line="240" w:lineRule="auto"/>
              <w:ind w:left="113" w:right="0"/>
              <w:jc w:val="right"/>
              <w:rPr>
                <w:bCs/>
                <w:sz w:val="18"/>
                <w:szCs w:val="18"/>
                <w:lang w:val="fr-CA"/>
              </w:rPr>
            </w:pPr>
            <w:r>
              <w:rPr>
                <w:bCs/>
                <w:sz w:val="18"/>
                <w:szCs w:val="18"/>
                <w:lang w:val="fr-CA"/>
              </w:rPr>
              <w:t>150</w:t>
            </w:r>
          </w:p>
        </w:tc>
        <w:tc>
          <w:tcPr>
            <w:tcW w:w="693" w:type="dxa"/>
            <w:tcBorders>
              <w:top w:val="single" w:sz="12" w:space="0" w:color="auto"/>
            </w:tcBorders>
            <w:shd w:val="clear" w:color="auto" w:fill="auto"/>
            <w:vAlign w:val="bottom"/>
          </w:tcPr>
          <w:p w:rsidR="00A10274" w:rsidRDefault="00A10274">
            <w:pPr>
              <w:pStyle w:val="SingleTxtG"/>
              <w:keepNext/>
              <w:suppressAutoHyphens w:val="0"/>
              <w:spacing w:before="81" w:after="40" w:line="240" w:lineRule="auto"/>
              <w:ind w:left="113" w:right="0"/>
              <w:jc w:val="right"/>
              <w:rPr>
                <w:bCs/>
                <w:sz w:val="18"/>
                <w:szCs w:val="18"/>
                <w:lang w:val="fr-CA"/>
              </w:rPr>
            </w:pPr>
            <w:r>
              <w:rPr>
                <w:bCs/>
                <w:sz w:val="18"/>
                <w:szCs w:val="18"/>
                <w:lang w:val="fr-CA"/>
              </w:rPr>
              <w:t>33</w:t>
            </w:r>
          </w:p>
        </w:tc>
        <w:tc>
          <w:tcPr>
            <w:tcW w:w="900" w:type="dxa"/>
            <w:tcBorders>
              <w:top w:val="single" w:sz="12" w:space="0" w:color="auto"/>
            </w:tcBorders>
            <w:shd w:val="clear" w:color="auto" w:fill="auto"/>
            <w:vAlign w:val="bottom"/>
          </w:tcPr>
          <w:p w:rsidR="00A10274" w:rsidRDefault="00A10274">
            <w:pPr>
              <w:pStyle w:val="SingleTxtG"/>
              <w:keepNext/>
              <w:suppressAutoHyphens w:val="0"/>
              <w:spacing w:before="81" w:after="40" w:line="240" w:lineRule="auto"/>
              <w:ind w:left="113" w:right="0"/>
              <w:jc w:val="right"/>
              <w:rPr>
                <w:bCs/>
                <w:sz w:val="18"/>
                <w:szCs w:val="18"/>
                <w:lang w:val="fr-CA"/>
              </w:rPr>
            </w:pPr>
            <w:r>
              <w:rPr>
                <w:bCs/>
                <w:sz w:val="18"/>
                <w:szCs w:val="18"/>
                <w:lang w:val="fr-CA"/>
              </w:rPr>
              <w:t>22,0</w:t>
            </w:r>
          </w:p>
        </w:tc>
      </w:tr>
      <w:tr w:rsidR="00A10274">
        <w:trPr>
          <w:trHeight w:val="240"/>
        </w:trPr>
        <w:tc>
          <w:tcPr>
            <w:tcW w:w="2835" w:type="dxa"/>
            <w:shd w:val="clear" w:color="auto" w:fill="auto"/>
          </w:tcPr>
          <w:p w:rsidR="00A10274" w:rsidRDefault="00A10274">
            <w:pPr>
              <w:pStyle w:val="SingleTxtG"/>
              <w:keepNext/>
              <w:suppressAutoHyphens w:val="0"/>
              <w:spacing w:before="40" w:after="40" w:line="240" w:lineRule="auto"/>
              <w:ind w:left="0" w:right="0"/>
              <w:jc w:val="left"/>
              <w:rPr>
                <w:sz w:val="18"/>
                <w:szCs w:val="18"/>
                <w:lang w:val="fr-CA"/>
              </w:rPr>
            </w:pPr>
            <w:r>
              <w:rPr>
                <w:sz w:val="18"/>
                <w:szCs w:val="18"/>
                <w:lang w:val="fr-CA"/>
              </w:rPr>
              <w:t xml:space="preserve">Ministres </w:t>
            </w:r>
          </w:p>
        </w:tc>
        <w:tc>
          <w:tcPr>
            <w:tcW w:w="621"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17</w:t>
            </w:r>
          </w:p>
        </w:tc>
        <w:tc>
          <w:tcPr>
            <w:tcW w:w="729"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4</w:t>
            </w:r>
          </w:p>
        </w:tc>
        <w:tc>
          <w:tcPr>
            <w:tcW w:w="927"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23,53</w:t>
            </w:r>
          </w:p>
        </w:tc>
        <w:tc>
          <w:tcPr>
            <w:tcW w:w="630" w:type="dxa"/>
            <w:shd w:val="clear" w:color="auto" w:fill="auto"/>
            <w:vAlign w:val="bottom"/>
          </w:tcPr>
          <w:p w:rsidR="00A10274" w:rsidRDefault="00A10274">
            <w:pPr>
              <w:pStyle w:val="SingleTxtG"/>
              <w:keepNext/>
              <w:suppressAutoHyphens w:val="0"/>
              <w:spacing w:before="40" w:after="40" w:line="240" w:lineRule="auto"/>
              <w:ind w:left="113" w:right="0"/>
              <w:jc w:val="right"/>
              <w:rPr>
                <w:bCs/>
                <w:sz w:val="18"/>
                <w:szCs w:val="18"/>
                <w:lang w:val="fr-CA"/>
              </w:rPr>
            </w:pPr>
            <w:r>
              <w:rPr>
                <w:bCs/>
                <w:sz w:val="18"/>
                <w:szCs w:val="18"/>
                <w:lang w:val="fr-CA"/>
              </w:rPr>
              <w:t>17</w:t>
            </w:r>
          </w:p>
        </w:tc>
        <w:tc>
          <w:tcPr>
            <w:tcW w:w="693" w:type="dxa"/>
            <w:shd w:val="clear" w:color="auto" w:fill="auto"/>
            <w:vAlign w:val="bottom"/>
          </w:tcPr>
          <w:p w:rsidR="00A10274" w:rsidRDefault="00A10274">
            <w:pPr>
              <w:pStyle w:val="SingleTxtG"/>
              <w:keepNext/>
              <w:suppressAutoHyphens w:val="0"/>
              <w:spacing w:before="40" w:after="40" w:line="240" w:lineRule="auto"/>
              <w:ind w:left="113" w:right="0"/>
              <w:jc w:val="right"/>
              <w:rPr>
                <w:bCs/>
                <w:sz w:val="18"/>
                <w:szCs w:val="18"/>
                <w:lang w:val="fr-CA"/>
              </w:rPr>
            </w:pPr>
            <w:r>
              <w:rPr>
                <w:bCs/>
                <w:sz w:val="18"/>
                <w:szCs w:val="18"/>
                <w:lang w:val="fr-CA"/>
              </w:rPr>
              <w:t>4</w:t>
            </w:r>
          </w:p>
        </w:tc>
        <w:tc>
          <w:tcPr>
            <w:tcW w:w="900" w:type="dxa"/>
            <w:shd w:val="clear" w:color="auto" w:fill="auto"/>
            <w:vAlign w:val="bottom"/>
          </w:tcPr>
          <w:p w:rsidR="00A10274" w:rsidRDefault="00A10274">
            <w:pPr>
              <w:pStyle w:val="SingleTxtG"/>
              <w:keepNext/>
              <w:suppressAutoHyphens w:val="0"/>
              <w:spacing w:before="40" w:after="40" w:line="240" w:lineRule="auto"/>
              <w:ind w:left="113" w:right="0"/>
              <w:jc w:val="right"/>
              <w:rPr>
                <w:bCs/>
                <w:sz w:val="18"/>
                <w:szCs w:val="18"/>
                <w:lang w:val="fr-CA"/>
              </w:rPr>
            </w:pPr>
            <w:r>
              <w:rPr>
                <w:bCs/>
                <w:sz w:val="18"/>
                <w:szCs w:val="18"/>
                <w:lang w:val="fr-CA"/>
              </w:rPr>
              <w:t>23,53</w:t>
            </w:r>
          </w:p>
        </w:tc>
      </w:tr>
      <w:tr w:rsidR="00A10274">
        <w:trPr>
          <w:trHeight w:val="240"/>
        </w:trPr>
        <w:tc>
          <w:tcPr>
            <w:tcW w:w="2835" w:type="dxa"/>
            <w:shd w:val="clear" w:color="auto" w:fill="auto"/>
          </w:tcPr>
          <w:p w:rsidR="00A10274" w:rsidRDefault="00A10274">
            <w:pPr>
              <w:pStyle w:val="SingleTxtG"/>
              <w:keepNext/>
              <w:suppressAutoHyphens w:val="0"/>
              <w:spacing w:before="40" w:after="40" w:line="240" w:lineRule="auto"/>
              <w:ind w:left="0" w:right="0"/>
              <w:jc w:val="left"/>
              <w:rPr>
                <w:sz w:val="18"/>
                <w:szCs w:val="18"/>
                <w:lang w:val="fr-CA"/>
              </w:rPr>
            </w:pPr>
            <w:r>
              <w:rPr>
                <w:sz w:val="18"/>
                <w:szCs w:val="18"/>
                <w:lang w:val="fr-CA"/>
              </w:rPr>
              <w:t xml:space="preserve">Gouverneurs régionaux </w:t>
            </w:r>
          </w:p>
        </w:tc>
        <w:tc>
          <w:tcPr>
            <w:tcW w:w="621"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6</w:t>
            </w:r>
          </w:p>
        </w:tc>
        <w:tc>
          <w:tcPr>
            <w:tcW w:w="729"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1</w:t>
            </w:r>
          </w:p>
        </w:tc>
        <w:tc>
          <w:tcPr>
            <w:tcW w:w="927"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16,67</w:t>
            </w:r>
          </w:p>
        </w:tc>
        <w:tc>
          <w:tcPr>
            <w:tcW w:w="630" w:type="dxa"/>
            <w:shd w:val="clear" w:color="auto" w:fill="auto"/>
            <w:vAlign w:val="bottom"/>
          </w:tcPr>
          <w:p w:rsidR="00A10274" w:rsidRDefault="00A10274">
            <w:pPr>
              <w:pStyle w:val="SingleTxtG"/>
              <w:keepNext/>
              <w:suppressAutoHyphens w:val="0"/>
              <w:spacing w:before="40" w:after="40" w:line="240" w:lineRule="auto"/>
              <w:ind w:left="113" w:right="0"/>
              <w:jc w:val="right"/>
              <w:rPr>
                <w:bCs/>
                <w:sz w:val="18"/>
                <w:szCs w:val="18"/>
                <w:lang w:val="fr-CA"/>
              </w:rPr>
            </w:pPr>
            <w:r>
              <w:rPr>
                <w:bCs/>
                <w:sz w:val="18"/>
                <w:szCs w:val="18"/>
                <w:lang w:val="fr-CA"/>
              </w:rPr>
              <w:t>6</w:t>
            </w:r>
          </w:p>
        </w:tc>
        <w:tc>
          <w:tcPr>
            <w:tcW w:w="693" w:type="dxa"/>
            <w:shd w:val="clear" w:color="auto" w:fill="auto"/>
            <w:vAlign w:val="bottom"/>
          </w:tcPr>
          <w:p w:rsidR="00A10274" w:rsidRDefault="00A10274">
            <w:pPr>
              <w:pStyle w:val="SingleTxtG"/>
              <w:keepNext/>
              <w:suppressAutoHyphens w:val="0"/>
              <w:spacing w:before="40" w:after="40" w:line="240" w:lineRule="auto"/>
              <w:ind w:left="113" w:right="0"/>
              <w:jc w:val="right"/>
              <w:rPr>
                <w:bCs/>
                <w:sz w:val="18"/>
                <w:szCs w:val="18"/>
                <w:lang w:val="fr-CA"/>
              </w:rPr>
            </w:pPr>
            <w:r>
              <w:rPr>
                <w:bCs/>
                <w:sz w:val="18"/>
                <w:szCs w:val="18"/>
                <w:lang w:val="fr-CA"/>
              </w:rPr>
              <w:t>1</w:t>
            </w:r>
          </w:p>
        </w:tc>
        <w:tc>
          <w:tcPr>
            <w:tcW w:w="900" w:type="dxa"/>
            <w:shd w:val="clear" w:color="auto" w:fill="auto"/>
            <w:vAlign w:val="bottom"/>
          </w:tcPr>
          <w:p w:rsidR="00A10274" w:rsidRDefault="00A10274">
            <w:pPr>
              <w:pStyle w:val="SingleTxtG"/>
              <w:keepNext/>
              <w:suppressAutoHyphens w:val="0"/>
              <w:spacing w:before="40" w:after="40" w:line="240" w:lineRule="auto"/>
              <w:ind w:left="113" w:right="0"/>
              <w:jc w:val="right"/>
              <w:rPr>
                <w:bCs/>
                <w:sz w:val="18"/>
                <w:szCs w:val="18"/>
                <w:lang w:val="fr-CA"/>
              </w:rPr>
            </w:pPr>
            <w:r>
              <w:rPr>
                <w:bCs/>
                <w:sz w:val="18"/>
                <w:szCs w:val="18"/>
                <w:lang w:val="fr-CA"/>
              </w:rPr>
              <w:t>16,7</w:t>
            </w:r>
          </w:p>
        </w:tc>
      </w:tr>
      <w:tr w:rsidR="00A10274">
        <w:trPr>
          <w:trHeight w:val="240"/>
        </w:trPr>
        <w:tc>
          <w:tcPr>
            <w:tcW w:w="2835"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 xml:space="preserve">Directeurs généraux </w:t>
            </w:r>
          </w:p>
        </w:tc>
        <w:tc>
          <w:tcPr>
            <w:tcW w:w="62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88</w:t>
            </w:r>
          </w:p>
        </w:tc>
        <w:tc>
          <w:tcPr>
            <w:tcW w:w="729"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w:t>
            </w:r>
          </w:p>
        </w:tc>
        <w:tc>
          <w:tcPr>
            <w:tcW w:w="92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5,67</w:t>
            </w:r>
          </w:p>
        </w:tc>
        <w:tc>
          <w:tcPr>
            <w:tcW w:w="63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54</w:t>
            </w:r>
          </w:p>
        </w:tc>
        <w:tc>
          <w:tcPr>
            <w:tcW w:w="693"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4</w:t>
            </w:r>
          </w:p>
        </w:tc>
        <w:tc>
          <w:tcPr>
            <w:tcW w:w="90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6,9</w:t>
            </w:r>
          </w:p>
        </w:tc>
      </w:tr>
      <w:tr w:rsidR="00A10274">
        <w:trPr>
          <w:trHeight w:val="240"/>
        </w:trPr>
        <w:tc>
          <w:tcPr>
            <w:tcW w:w="2835"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 xml:space="preserve">Directeurs </w:t>
            </w:r>
          </w:p>
        </w:tc>
        <w:tc>
          <w:tcPr>
            <w:tcW w:w="62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280</w:t>
            </w:r>
          </w:p>
        </w:tc>
        <w:tc>
          <w:tcPr>
            <w:tcW w:w="729"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58</w:t>
            </w:r>
          </w:p>
        </w:tc>
        <w:tc>
          <w:tcPr>
            <w:tcW w:w="92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20,7</w:t>
            </w:r>
          </w:p>
        </w:tc>
        <w:tc>
          <w:tcPr>
            <w:tcW w:w="63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245</w:t>
            </w:r>
          </w:p>
        </w:tc>
        <w:tc>
          <w:tcPr>
            <w:tcW w:w="693"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26</w:t>
            </w:r>
          </w:p>
        </w:tc>
        <w:tc>
          <w:tcPr>
            <w:tcW w:w="90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10,6</w:t>
            </w:r>
          </w:p>
        </w:tc>
      </w:tr>
      <w:tr w:rsidR="00A10274">
        <w:trPr>
          <w:trHeight w:val="240"/>
        </w:trPr>
        <w:tc>
          <w:tcPr>
            <w:tcW w:w="2835"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 xml:space="preserve">Chefs de service </w:t>
            </w:r>
          </w:p>
        </w:tc>
        <w:tc>
          <w:tcPr>
            <w:tcW w:w="621"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1 397</w:t>
            </w:r>
          </w:p>
        </w:tc>
        <w:tc>
          <w:tcPr>
            <w:tcW w:w="729"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950</w:t>
            </w:r>
          </w:p>
        </w:tc>
        <w:tc>
          <w:tcPr>
            <w:tcW w:w="927"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31,9</w:t>
            </w:r>
          </w:p>
        </w:tc>
        <w:tc>
          <w:tcPr>
            <w:tcW w:w="63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424</w:t>
            </w:r>
          </w:p>
        </w:tc>
        <w:tc>
          <w:tcPr>
            <w:tcW w:w="693"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150</w:t>
            </w:r>
          </w:p>
        </w:tc>
        <w:tc>
          <w:tcPr>
            <w:tcW w:w="90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35,4</w:t>
            </w:r>
          </w:p>
        </w:tc>
      </w:tr>
      <w:tr w:rsidR="00A10274">
        <w:trPr>
          <w:trHeight w:val="240"/>
        </w:trPr>
        <w:tc>
          <w:tcPr>
            <w:tcW w:w="2835"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 xml:space="preserve">Ambassadeurs </w:t>
            </w:r>
          </w:p>
        </w:tc>
        <w:tc>
          <w:tcPr>
            <w:tcW w:w="62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30</w:t>
            </w:r>
          </w:p>
        </w:tc>
        <w:tc>
          <w:tcPr>
            <w:tcW w:w="729"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c>
          <w:tcPr>
            <w:tcW w:w="92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0,0</w:t>
            </w:r>
          </w:p>
        </w:tc>
        <w:tc>
          <w:tcPr>
            <w:tcW w:w="63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29</w:t>
            </w:r>
          </w:p>
        </w:tc>
        <w:tc>
          <w:tcPr>
            <w:tcW w:w="693"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0</w:t>
            </w:r>
          </w:p>
        </w:tc>
        <w:tc>
          <w:tcPr>
            <w:tcW w:w="90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0,0</w:t>
            </w:r>
          </w:p>
        </w:tc>
      </w:tr>
      <w:tr w:rsidR="00A10274">
        <w:trPr>
          <w:trHeight w:val="240"/>
        </w:trPr>
        <w:tc>
          <w:tcPr>
            <w:tcW w:w="2835"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 xml:space="preserve">Consul général </w:t>
            </w:r>
          </w:p>
        </w:tc>
        <w:tc>
          <w:tcPr>
            <w:tcW w:w="62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14</w:t>
            </w:r>
          </w:p>
        </w:tc>
        <w:tc>
          <w:tcPr>
            <w:tcW w:w="729"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c>
          <w:tcPr>
            <w:tcW w:w="92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0,0</w:t>
            </w:r>
          </w:p>
        </w:tc>
        <w:tc>
          <w:tcPr>
            <w:tcW w:w="63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10</w:t>
            </w:r>
          </w:p>
        </w:tc>
        <w:tc>
          <w:tcPr>
            <w:tcW w:w="693"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0</w:t>
            </w:r>
          </w:p>
        </w:tc>
        <w:tc>
          <w:tcPr>
            <w:tcW w:w="90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0,0</w:t>
            </w:r>
          </w:p>
        </w:tc>
      </w:tr>
      <w:tr w:rsidR="00A10274">
        <w:trPr>
          <w:trHeight w:val="240"/>
        </w:trPr>
        <w:tc>
          <w:tcPr>
            <w:tcW w:w="2835"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 xml:space="preserve">Premier Secrétaire </w:t>
            </w:r>
          </w:p>
        </w:tc>
        <w:tc>
          <w:tcPr>
            <w:tcW w:w="62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33</w:t>
            </w:r>
          </w:p>
        </w:tc>
        <w:tc>
          <w:tcPr>
            <w:tcW w:w="729"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w:t>
            </w:r>
          </w:p>
        </w:tc>
        <w:tc>
          <w:tcPr>
            <w:tcW w:w="92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10,0</w:t>
            </w:r>
          </w:p>
        </w:tc>
        <w:tc>
          <w:tcPr>
            <w:tcW w:w="63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28</w:t>
            </w:r>
          </w:p>
        </w:tc>
        <w:tc>
          <w:tcPr>
            <w:tcW w:w="693"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2</w:t>
            </w:r>
          </w:p>
        </w:tc>
        <w:tc>
          <w:tcPr>
            <w:tcW w:w="90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6,7</w:t>
            </w:r>
          </w:p>
        </w:tc>
      </w:tr>
      <w:tr w:rsidR="00A10274">
        <w:trPr>
          <w:trHeight w:val="240"/>
        </w:trPr>
        <w:tc>
          <w:tcPr>
            <w:tcW w:w="2835"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 xml:space="preserve">Juges de la Haute Cour </w:t>
            </w:r>
          </w:p>
        </w:tc>
        <w:tc>
          <w:tcPr>
            <w:tcW w:w="62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35</w:t>
            </w:r>
          </w:p>
        </w:tc>
        <w:tc>
          <w:tcPr>
            <w:tcW w:w="729"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w:t>
            </w:r>
          </w:p>
        </w:tc>
        <w:tc>
          <w:tcPr>
            <w:tcW w:w="92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11,4</w:t>
            </w:r>
          </w:p>
        </w:tc>
        <w:tc>
          <w:tcPr>
            <w:tcW w:w="63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18</w:t>
            </w:r>
          </w:p>
        </w:tc>
        <w:tc>
          <w:tcPr>
            <w:tcW w:w="693"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4</w:t>
            </w:r>
          </w:p>
        </w:tc>
        <w:tc>
          <w:tcPr>
            <w:tcW w:w="90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22,2</w:t>
            </w:r>
          </w:p>
        </w:tc>
      </w:tr>
      <w:tr w:rsidR="00A10274">
        <w:trPr>
          <w:trHeight w:val="240"/>
        </w:trPr>
        <w:tc>
          <w:tcPr>
            <w:tcW w:w="2835"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 xml:space="preserve">Juges des tribunaux régionaux </w:t>
            </w:r>
          </w:p>
        </w:tc>
        <w:tc>
          <w:tcPr>
            <w:tcW w:w="62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114</w:t>
            </w:r>
          </w:p>
        </w:tc>
        <w:tc>
          <w:tcPr>
            <w:tcW w:w="729"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12</w:t>
            </w:r>
          </w:p>
        </w:tc>
        <w:tc>
          <w:tcPr>
            <w:tcW w:w="92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10,5</w:t>
            </w:r>
          </w:p>
        </w:tc>
        <w:tc>
          <w:tcPr>
            <w:tcW w:w="63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71</w:t>
            </w:r>
          </w:p>
        </w:tc>
        <w:tc>
          <w:tcPr>
            <w:tcW w:w="693"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9</w:t>
            </w:r>
          </w:p>
        </w:tc>
        <w:tc>
          <w:tcPr>
            <w:tcW w:w="900"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12,6</w:t>
            </w:r>
          </w:p>
        </w:tc>
      </w:tr>
      <w:tr w:rsidR="00A10274">
        <w:trPr>
          <w:trHeight w:val="240"/>
        </w:trPr>
        <w:tc>
          <w:tcPr>
            <w:tcW w:w="2835" w:type="dxa"/>
            <w:tcBorders>
              <w:bottom w:val="single" w:sz="4" w:space="0" w:color="auto"/>
            </w:tcBorders>
            <w:shd w:val="clear" w:color="auto" w:fill="auto"/>
          </w:tcPr>
          <w:p w:rsidR="00A10274" w:rsidRDefault="00A10274">
            <w:pPr>
              <w:pStyle w:val="SingleTxtG"/>
              <w:suppressAutoHyphens w:val="0"/>
              <w:spacing w:before="40" w:after="81" w:line="240" w:lineRule="auto"/>
              <w:ind w:left="0" w:right="0"/>
              <w:jc w:val="left"/>
              <w:rPr>
                <w:sz w:val="18"/>
                <w:szCs w:val="18"/>
                <w:lang w:val="fr-CA"/>
              </w:rPr>
            </w:pPr>
            <w:r>
              <w:rPr>
                <w:sz w:val="18"/>
                <w:szCs w:val="18"/>
                <w:lang w:val="fr-CA"/>
              </w:rPr>
              <w:t>Juges des tribunaux communautaires</w:t>
            </w:r>
          </w:p>
        </w:tc>
        <w:tc>
          <w:tcPr>
            <w:tcW w:w="621" w:type="dxa"/>
            <w:tcBorders>
              <w:bottom w:val="single" w:sz="4" w:space="0" w:color="auto"/>
            </w:tcBorders>
            <w:shd w:val="clear" w:color="auto" w:fill="auto"/>
            <w:vAlign w:val="bottom"/>
          </w:tcPr>
          <w:p w:rsidR="00A10274" w:rsidRDefault="00A10274">
            <w:pPr>
              <w:pStyle w:val="SingleTxtG"/>
              <w:suppressAutoHyphens w:val="0"/>
              <w:spacing w:before="40" w:after="81" w:line="240" w:lineRule="auto"/>
              <w:ind w:left="113" w:right="0"/>
              <w:jc w:val="right"/>
              <w:rPr>
                <w:sz w:val="18"/>
                <w:szCs w:val="18"/>
                <w:lang w:val="fr-CA"/>
              </w:rPr>
            </w:pPr>
            <w:r>
              <w:rPr>
                <w:sz w:val="18"/>
                <w:szCs w:val="18"/>
                <w:lang w:val="fr-CA"/>
              </w:rPr>
              <w:t>0</w:t>
            </w:r>
          </w:p>
        </w:tc>
        <w:tc>
          <w:tcPr>
            <w:tcW w:w="729" w:type="dxa"/>
            <w:tcBorders>
              <w:bottom w:val="single" w:sz="4" w:space="0" w:color="auto"/>
            </w:tcBorders>
            <w:shd w:val="clear" w:color="auto" w:fill="auto"/>
            <w:vAlign w:val="bottom"/>
          </w:tcPr>
          <w:p w:rsidR="00A10274" w:rsidRDefault="00A10274">
            <w:pPr>
              <w:pStyle w:val="SingleTxtG"/>
              <w:suppressAutoHyphens w:val="0"/>
              <w:spacing w:before="40" w:after="81" w:line="240" w:lineRule="auto"/>
              <w:ind w:left="113" w:right="0"/>
              <w:jc w:val="right"/>
              <w:rPr>
                <w:sz w:val="18"/>
                <w:szCs w:val="18"/>
                <w:lang w:val="fr-CA"/>
              </w:rPr>
            </w:pPr>
            <w:r>
              <w:rPr>
                <w:sz w:val="18"/>
                <w:szCs w:val="18"/>
                <w:lang w:val="fr-CA"/>
              </w:rPr>
              <w:t>0</w:t>
            </w:r>
          </w:p>
        </w:tc>
        <w:tc>
          <w:tcPr>
            <w:tcW w:w="927" w:type="dxa"/>
            <w:tcBorders>
              <w:bottom w:val="single" w:sz="4" w:space="0" w:color="auto"/>
            </w:tcBorders>
            <w:shd w:val="clear" w:color="auto" w:fill="auto"/>
            <w:vAlign w:val="bottom"/>
          </w:tcPr>
          <w:p w:rsidR="00A10274" w:rsidRDefault="00A10274">
            <w:pPr>
              <w:pStyle w:val="SingleTxtG"/>
              <w:suppressAutoHyphens w:val="0"/>
              <w:spacing w:before="40" w:after="81" w:line="240" w:lineRule="auto"/>
              <w:ind w:left="113" w:right="0"/>
              <w:jc w:val="right"/>
              <w:rPr>
                <w:sz w:val="18"/>
                <w:szCs w:val="18"/>
                <w:lang w:val="fr-CA"/>
              </w:rPr>
            </w:pPr>
            <w:r>
              <w:rPr>
                <w:sz w:val="18"/>
                <w:szCs w:val="18"/>
                <w:lang w:val="fr-CA"/>
              </w:rPr>
              <w:t>0,0</w:t>
            </w:r>
          </w:p>
        </w:tc>
        <w:tc>
          <w:tcPr>
            <w:tcW w:w="630" w:type="dxa"/>
            <w:tcBorders>
              <w:bottom w:val="single" w:sz="4" w:space="0" w:color="auto"/>
            </w:tcBorders>
            <w:shd w:val="clear" w:color="auto" w:fill="auto"/>
            <w:vAlign w:val="bottom"/>
          </w:tcPr>
          <w:p w:rsidR="00A10274" w:rsidRDefault="00A10274">
            <w:pPr>
              <w:pStyle w:val="SingleTxtG"/>
              <w:suppressAutoHyphens w:val="0"/>
              <w:spacing w:before="40" w:after="81" w:line="240" w:lineRule="auto"/>
              <w:ind w:left="113" w:right="0"/>
              <w:jc w:val="right"/>
              <w:rPr>
                <w:bCs/>
                <w:sz w:val="18"/>
                <w:szCs w:val="18"/>
                <w:lang w:val="fr-CA"/>
              </w:rPr>
            </w:pPr>
            <w:r>
              <w:rPr>
                <w:bCs/>
                <w:sz w:val="18"/>
                <w:szCs w:val="18"/>
                <w:lang w:val="fr-CA"/>
              </w:rPr>
              <w:t>947</w:t>
            </w:r>
          </w:p>
        </w:tc>
        <w:tc>
          <w:tcPr>
            <w:tcW w:w="693" w:type="dxa"/>
            <w:tcBorders>
              <w:bottom w:val="single" w:sz="4" w:space="0" w:color="auto"/>
            </w:tcBorders>
            <w:shd w:val="clear" w:color="auto" w:fill="auto"/>
            <w:vAlign w:val="bottom"/>
          </w:tcPr>
          <w:p w:rsidR="00A10274" w:rsidRDefault="00A10274">
            <w:pPr>
              <w:pStyle w:val="SingleTxtG"/>
              <w:suppressAutoHyphens w:val="0"/>
              <w:spacing w:before="40" w:after="81" w:line="240" w:lineRule="auto"/>
              <w:ind w:left="113" w:right="0"/>
              <w:jc w:val="right"/>
              <w:rPr>
                <w:bCs/>
                <w:sz w:val="18"/>
                <w:szCs w:val="18"/>
                <w:lang w:val="fr-CA"/>
              </w:rPr>
            </w:pPr>
            <w:r>
              <w:rPr>
                <w:bCs/>
                <w:sz w:val="18"/>
                <w:szCs w:val="18"/>
                <w:lang w:val="fr-CA"/>
              </w:rPr>
              <w:t>300</w:t>
            </w:r>
          </w:p>
        </w:tc>
        <w:tc>
          <w:tcPr>
            <w:tcW w:w="900" w:type="dxa"/>
            <w:tcBorders>
              <w:bottom w:val="single" w:sz="4" w:space="0" w:color="auto"/>
            </w:tcBorders>
            <w:shd w:val="clear" w:color="auto" w:fill="auto"/>
            <w:vAlign w:val="bottom"/>
          </w:tcPr>
          <w:p w:rsidR="00A10274" w:rsidRDefault="00A10274">
            <w:pPr>
              <w:pStyle w:val="SingleTxtG"/>
              <w:suppressAutoHyphens w:val="0"/>
              <w:spacing w:before="40" w:after="81" w:line="240" w:lineRule="auto"/>
              <w:ind w:left="113" w:right="0"/>
              <w:jc w:val="right"/>
              <w:rPr>
                <w:bCs/>
                <w:sz w:val="18"/>
                <w:szCs w:val="18"/>
                <w:lang w:val="fr-CA"/>
              </w:rPr>
            </w:pPr>
            <w:r>
              <w:rPr>
                <w:bCs/>
                <w:sz w:val="18"/>
                <w:szCs w:val="18"/>
                <w:lang w:val="fr-CA"/>
              </w:rPr>
              <w:t>37,7</w:t>
            </w:r>
          </w:p>
        </w:tc>
      </w:tr>
      <w:tr w:rsidR="00A10274">
        <w:trPr>
          <w:trHeight w:val="240"/>
        </w:trPr>
        <w:tc>
          <w:tcPr>
            <w:tcW w:w="2835" w:type="dxa"/>
            <w:tcBorders>
              <w:top w:val="single" w:sz="4" w:space="0" w:color="auto"/>
              <w:bottom w:val="single" w:sz="12" w:space="0" w:color="auto"/>
            </w:tcBorders>
            <w:shd w:val="clear" w:color="auto" w:fill="auto"/>
          </w:tcPr>
          <w:p w:rsidR="00A10274" w:rsidRDefault="00A10274">
            <w:pPr>
              <w:pStyle w:val="SingleTxtG"/>
              <w:tabs>
                <w:tab w:val="left" w:pos="288"/>
              </w:tabs>
              <w:suppressAutoHyphens w:val="0"/>
              <w:spacing w:before="81" w:after="81" w:line="240" w:lineRule="auto"/>
              <w:ind w:left="0" w:right="0"/>
              <w:jc w:val="left"/>
              <w:rPr>
                <w:b/>
                <w:sz w:val="18"/>
                <w:szCs w:val="18"/>
                <w:lang w:val="fr-CA"/>
              </w:rPr>
            </w:pPr>
            <w:r>
              <w:rPr>
                <w:b/>
                <w:sz w:val="18"/>
                <w:szCs w:val="18"/>
                <w:lang w:val="fr-CA"/>
              </w:rPr>
              <w:tab/>
              <w:t xml:space="preserve">Total </w:t>
            </w:r>
          </w:p>
        </w:tc>
        <w:tc>
          <w:tcPr>
            <w:tcW w:w="621"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1" w:after="81" w:line="240" w:lineRule="auto"/>
              <w:ind w:left="113" w:right="0"/>
              <w:jc w:val="right"/>
              <w:rPr>
                <w:b/>
                <w:sz w:val="18"/>
                <w:szCs w:val="18"/>
                <w:lang w:val="fr-CA"/>
              </w:rPr>
            </w:pPr>
            <w:r>
              <w:rPr>
                <w:b/>
                <w:sz w:val="18"/>
                <w:szCs w:val="18"/>
                <w:lang w:val="fr-CA"/>
              </w:rPr>
              <w:t>2 164</w:t>
            </w:r>
          </w:p>
        </w:tc>
        <w:tc>
          <w:tcPr>
            <w:tcW w:w="729"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1" w:after="81" w:line="240" w:lineRule="auto"/>
              <w:ind w:left="113" w:right="0"/>
              <w:jc w:val="right"/>
              <w:rPr>
                <w:b/>
                <w:sz w:val="18"/>
                <w:szCs w:val="18"/>
                <w:lang w:val="fr-CA"/>
              </w:rPr>
            </w:pPr>
            <w:r>
              <w:rPr>
                <w:b/>
                <w:sz w:val="18"/>
                <w:szCs w:val="18"/>
                <w:lang w:val="fr-CA"/>
              </w:rPr>
              <w:t>1 071</w:t>
            </w:r>
          </w:p>
        </w:tc>
        <w:tc>
          <w:tcPr>
            <w:tcW w:w="927"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1" w:after="81" w:line="240" w:lineRule="auto"/>
              <w:ind w:left="113" w:right="0"/>
              <w:jc w:val="right"/>
              <w:rPr>
                <w:b/>
                <w:sz w:val="18"/>
                <w:szCs w:val="18"/>
                <w:lang w:val="fr-CA"/>
              </w:rPr>
            </w:pPr>
          </w:p>
        </w:tc>
        <w:tc>
          <w:tcPr>
            <w:tcW w:w="630"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1" w:after="81" w:line="240" w:lineRule="auto"/>
              <w:ind w:left="113" w:right="0"/>
              <w:jc w:val="right"/>
              <w:rPr>
                <w:b/>
                <w:bCs/>
                <w:sz w:val="18"/>
                <w:szCs w:val="18"/>
                <w:lang w:val="fr-CA"/>
              </w:rPr>
            </w:pPr>
            <w:r>
              <w:rPr>
                <w:b/>
                <w:bCs/>
                <w:sz w:val="18"/>
                <w:szCs w:val="18"/>
                <w:lang w:val="fr-CA"/>
              </w:rPr>
              <w:t>1 999</w:t>
            </w:r>
          </w:p>
        </w:tc>
        <w:tc>
          <w:tcPr>
            <w:tcW w:w="693"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1" w:after="81" w:line="240" w:lineRule="auto"/>
              <w:ind w:left="113" w:right="0"/>
              <w:jc w:val="right"/>
              <w:rPr>
                <w:b/>
                <w:bCs/>
                <w:sz w:val="18"/>
                <w:szCs w:val="18"/>
                <w:lang w:val="fr-CA"/>
              </w:rPr>
            </w:pPr>
            <w:r>
              <w:rPr>
                <w:b/>
                <w:bCs/>
                <w:sz w:val="18"/>
                <w:szCs w:val="18"/>
                <w:lang w:val="fr-CA"/>
              </w:rPr>
              <w:fldChar w:fldCharType="begin"/>
            </w:r>
            <w:r>
              <w:rPr>
                <w:b/>
                <w:bCs/>
                <w:sz w:val="18"/>
                <w:szCs w:val="18"/>
                <w:lang w:val="fr-CA"/>
              </w:rPr>
              <w:instrText xml:space="preserve"> =SUM(ABOVE) </w:instrText>
            </w:r>
            <w:r>
              <w:rPr>
                <w:b/>
                <w:bCs/>
                <w:sz w:val="18"/>
                <w:szCs w:val="18"/>
                <w:lang w:val="fr-CA"/>
              </w:rPr>
              <w:fldChar w:fldCharType="separate"/>
            </w:r>
            <w:r>
              <w:rPr>
                <w:b/>
                <w:bCs/>
                <w:noProof/>
                <w:sz w:val="18"/>
                <w:szCs w:val="18"/>
                <w:lang w:val="fr-CA"/>
              </w:rPr>
              <w:t>533</w:t>
            </w:r>
            <w:r>
              <w:rPr>
                <w:b/>
                <w:sz w:val="18"/>
                <w:szCs w:val="18"/>
                <w:lang w:val="fr-CA"/>
              </w:rPr>
              <w:fldChar w:fldCharType="end"/>
            </w:r>
          </w:p>
        </w:tc>
        <w:tc>
          <w:tcPr>
            <w:tcW w:w="900"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1" w:after="81" w:line="240" w:lineRule="auto"/>
              <w:ind w:left="113" w:right="0"/>
              <w:jc w:val="right"/>
              <w:rPr>
                <w:b/>
                <w:bCs/>
                <w:sz w:val="18"/>
                <w:szCs w:val="18"/>
                <w:lang w:val="fr-CA"/>
              </w:rPr>
            </w:pPr>
            <w:r>
              <w:rPr>
                <w:b/>
                <w:bCs/>
                <w:sz w:val="18"/>
                <w:szCs w:val="18"/>
                <w:lang w:val="fr-CA"/>
              </w:rPr>
              <w:t>26,7</w:t>
            </w:r>
          </w:p>
        </w:tc>
      </w:tr>
    </w:tbl>
    <w:p w:rsidR="00A10274" w:rsidRDefault="00A10274">
      <w:pPr>
        <w:pStyle w:val="SingleTxt"/>
        <w:spacing w:before="240"/>
        <w:rPr>
          <w:lang w:val="fr-CA"/>
        </w:rPr>
      </w:pPr>
      <w:r>
        <w:rPr>
          <w:lang w:val="fr-CA"/>
        </w:rPr>
        <w:t>18.</w:t>
      </w:r>
      <w:r>
        <w:rPr>
          <w:lang w:val="fr-CA"/>
        </w:rPr>
        <w:tab/>
        <w:t>Comme il n’y a pas eu de réorganisation majeure des institutions gouvernementales durant la période considérée dans le rapport, il n’y a pas eu de changements marquants dans la composition hommes/femmes des cadres supérieurs de l’Administration. Le changement le plus notable s’est produit dans les tribunaux communautaires dont les postes sont pourvus par élections locales. Les femmes y représentaient 37,7 %. D’une manière générale, les femmes occupent 26,7 % des postes, réservés et non réservés, aux cadres supérieurs de l’Administration.</w:t>
      </w:r>
    </w:p>
    <w:p w:rsidR="00A10274" w:rsidRDefault="00A10274">
      <w:pPr>
        <w:pStyle w:val="SingleTxt"/>
        <w:keepNext/>
        <w:spacing w:after="0" w:line="120" w:lineRule="exact"/>
        <w:rPr>
          <w:sz w:val="10"/>
          <w:szCs w:val="24"/>
          <w:lang w:val="fr-CA"/>
        </w:rPr>
      </w:pPr>
    </w:p>
    <w:p w:rsidR="00A10274" w:rsidRDefault="00A10274">
      <w:pPr>
        <w:pStyle w:val="SingleTxt"/>
        <w:keepNext/>
        <w:spacing w:after="0" w:line="120" w:lineRule="exact"/>
        <w:rPr>
          <w:sz w:val="10"/>
          <w:szCs w:val="24"/>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Article 8</w:t>
      </w:r>
      <w:r>
        <w:rPr>
          <w:lang w:val="fr-CA"/>
        </w:rPr>
        <w:br/>
        <w:t>Représentation au niveau international</w:t>
      </w:r>
    </w:p>
    <w:p w:rsidR="00A10274" w:rsidRDefault="00A10274">
      <w:pPr>
        <w:pStyle w:val="SingleTxt"/>
        <w:keepNext/>
        <w:spacing w:after="0" w:line="120" w:lineRule="exact"/>
        <w:rPr>
          <w:sz w:val="10"/>
          <w:szCs w:val="24"/>
          <w:lang w:val="fr-CA"/>
        </w:rPr>
      </w:pPr>
    </w:p>
    <w:p w:rsidR="00A10274" w:rsidRDefault="00A10274">
      <w:pPr>
        <w:pStyle w:val="SingleTxt"/>
        <w:keepNext/>
        <w:spacing w:after="0" w:line="120" w:lineRule="exact"/>
        <w:rPr>
          <w:sz w:val="10"/>
          <w:szCs w:val="24"/>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2</w:t>
      </w:r>
      <w:r>
        <w:rPr>
          <w:lang w:val="fr-CA"/>
        </w:rPr>
        <w:br/>
        <w:t>Les femmes et les hommes dans les affaires internationales</w:t>
      </w:r>
    </w:p>
    <w:p w:rsidR="00A10274" w:rsidRDefault="00A10274">
      <w:pPr>
        <w:pStyle w:val="SingleTxt"/>
        <w:keepNext/>
        <w:spacing w:after="0" w:line="120" w:lineRule="exact"/>
        <w:jc w:val="left"/>
        <w:rPr>
          <w:b/>
          <w:sz w:val="10"/>
          <w:lang w:val="fr-CA"/>
        </w:rPr>
      </w:pPr>
    </w:p>
    <w:p w:rsidR="00A10274" w:rsidRDefault="00A10274">
      <w:pPr>
        <w:pStyle w:val="SingleTxt"/>
        <w:keepNext/>
        <w:spacing w:after="0" w:line="120" w:lineRule="exact"/>
        <w:jc w:val="left"/>
        <w:rPr>
          <w:b/>
          <w:sz w:val="10"/>
          <w:lang w:val="fr-CA"/>
        </w:rPr>
      </w:pPr>
    </w:p>
    <w:tbl>
      <w:tblPr>
        <w:tblW w:w="7326" w:type="dxa"/>
        <w:tblInd w:w="1269" w:type="dxa"/>
        <w:tblBorders>
          <w:top w:val="single" w:sz="4" w:space="0" w:color="auto"/>
        </w:tblBorders>
        <w:tblCellMar>
          <w:left w:w="0" w:type="dxa"/>
          <w:right w:w="0" w:type="dxa"/>
        </w:tblCellMar>
        <w:tblLook w:val="01E0"/>
      </w:tblPr>
      <w:tblGrid>
        <w:gridCol w:w="1436"/>
        <w:gridCol w:w="865"/>
        <w:gridCol w:w="934"/>
        <w:gridCol w:w="1071"/>
        <w:gridCol w:w="847"/>
        <w:gridCol w:w="1041"/>
        <w:gridCol w:w="1132"/>
      </w:tblGrid>
      <w:tr w:rsidR="00A10274">
        <w:trPr>
          <w:trHeight w:val="240"/>
          <w:tblHeader/>
        </w:trPr>
        <w:tc>
          <w:tcPr>
            <w:tcW w:w="1436" w:type="dxa"/>
            <w:vMerge w:val="restart"/>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160" w:lineRule="exact"/>
              <w:ind w:left="0" w:right="0"/>
              <w:jc w:val="left"/>
              <w:rPr>
                <w:i/>
                <w:sz w:val="14"/>
                <w:szCs w:val="14"/>
                <w:lang w:val="fr-CA"/>
              </w:rPr>
            </w:pPr>
            <w:r>
              <w:rPr>
                <w:i/>
                <w:sz w:val="14"/>
                <w:szCs w:val="14"/>
                <w:lang w:val="fr-CA"/>
              </w:rPr>
              <w:t>Poste</w:t>
            </w:r>
          </w:p>
        </w:tc>
        <w:tc>
          <w:tcPr>
            <w:tcW w:w="2870" w:type="dxa"/>
            <w:gridSpan w:val="3"/>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160" w:lineRule="exact"/>
              <w:ind w:left="113" w:right="0"/>
              <w:jc w:val="center"/>
              <w:rPr>
                <w:i/>
                <w:sz w:val="14"/>
                <w:szCs w:val="14"/>
                <w:lang w:val="fr-CA"/>
              </w:rPr>
            </w:pPr>
            <w:r>
              <w:rPr>
                <w:i/>
                <w:sz w:val="14"/>
                <w:szCs w:val="14"/>
                <w:lang w:val="fr-CA"/>
              </w:rPr>
              <w:t>Année 2009</w:t>
            </w:r>
          </w:p>
        </w:tc>
        <w:tc>
          <w:tcPr>
            <w:tcW w:w="3020" w:type="dxa"/>
            <w:gridSpan w:val="3"/>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160" w:lineRule="exact"/>
              <w:ind w:left="113" w:right="0"/>
              <w:jc w:val="center"/>
              <w:rPr>
                <w:i/>
                <w:sz w:val="14"/>
                <w:szCs w:val="14"/>
                <w:lang w:val="fr-CA"/>
              </w:rPr>
            </w:pPr>
            <w:r>
              <w:rPr>
                <w:i/>
                <w:sz w:val="14"/>
                <w:szCs w:val="14"/>
                <w:lang w:val="fr-CA"/>
              </w:rPr>
              <w:t>Année 2012</w:t>
            </w:r>
          </w:p>
        </w:tc>
      </w:tr>
      <w:tr w:rsidR="00A10274">
        <w:trPr>
          <w:trHeight w:val="240"/>
          <w:tblHeader/>
        </w:trPr>
        <w:tc>
          <w:tcPr>
            <w:tcW w:w="1436" w:type="dxa"/>
            <w:vMerge/>
            <w:tcBorders>
              <w:top w:val="single" w:sz="12" w:space="0" w:color="auto"/>
              <w:bottom w:val="single" w:sz="12" w:space="0" w:color="auto"/>
            </w:tcBorders>
            <w:shd w:val="clear" w:color="auto" w:fill="auto"/>
            <w:vAlign w:val="bottom"/>
          </w:tcPr>
          <w:p w:rsidR="00A10274" w:rsidRDefault="00A10274">
            <w:pPr>
              <w:pStyle w:val="SingleTxtG"/>
              <w:suppressAutoHyphens w:val="0"/>
              <w:spacing w:before="80" w:after="80" w:line="160" w:lineRule="exact"/>
              <w:ind w:left="0" w:right="0"/>
              <w:jc w:val="left"/>
              <w:rPr>
                <w:sz w:val="14"/>
                <w:szCs w:val="14"/>
                <w:lang w:val="fr-CA"/>
              </w:rPr>
            </w:pPr>
          </w:p>
        </w:tc>
        <w:tc>
          <w:tcPr>
            <w:tcW w:w="86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Total</w:t>
            </w:r>
          </w:p>
        </w:tc>
        <w:tc>
          <w:tcPr>
            <w:tcW w:w="93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Femmes</w:t>
            </w:r>
          </w:p>
        </w:tc>
        <w:tc>
          <w:tcPr>
            <w:tcW w:w="1071"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Femmes</w:t>
            </w:r>
            <w:r>
              <w:rPr>
                <w:i/>
                <w:sz w:val="14"/>
                <w:szCs w:val="14"/>
                <w:lang w:val="fr-CA"/>
              </w:rPr>
              <w:br/>
              <w:t>(pourcentage)</w:t>
            </w:r>
          </w:p>
        </w:tc>
        <w:tc>
          <w:tcPr>
            <w:tcW w:w="847"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Total</w:t>
            </w:r>
          </w:p>
        </w:tc>
        <w:tc>
          <w:tcPr>
            <w:tcW w:w="1041"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Femmes</w:t>
            </w:r>
          </w:p>
        </w:tc>
        <w:tc>
          <w:tcPr>
            <w:tcW w:w="1132"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Femmes</w:t>
            </w:r>
            <w:r>
              <w:rPr>
                <w:i/>
                <w:sz w:val="14"/>
                <w:szCs w:val="14"/>
                <w:lang w:val="fr-CA"/>
              </w:rPr>
              <w:br/>
              <w:t>(pourcentage)</w:t>
            </w:r>
          </w:p>
        </w:tc>
      </w:tr>
      <w:tr w:rsidR="00A10274">
        <w:trPr>
          <w:trHeight w:val="240"/>
        </w:trPr>
        <w:tc>
          <w:tcPr>
            <w:tcW w:w="1436" w:type="dxa"/>
            <w:tcBorders>
              <w:top w:val="single" w:sz="12" w:space="0" w:color="auto"/>
            </w:tcBorders>
            <w:shd w:val="clear" w:color="auto" w:fill="auto"/>
          </w:tcPr>
          <w:p w:rsidR="00A10274" w:rsidRDefault="00A10274">
            <w:pPr>
              <w:pStyle w:val="SingleTxtG"/>
              <w:suppressAutoHyphens w:val="0"/>
              <w:spacing w:before="81" w:after="40" w:line="240" w:lineRule="auto"/>
              <w:ind w:left="0" w:right="0"/>
              <w:jc w:val="left"/>
              <w:rPr>
                <w:sz w:val="18"/>
                <w:szCs w:val="18"/>
                <w:lang w:val="fr-CA"/>
              </w:rPr>
            </w:pPr>
            <w:r>
              <w:rPr>
                <w:sz w:val="18"/>
                <w:szCs w:val="18"/>
                <w:lang w:val="fr-CA"/>
              </w:rPr>
              <w:t>Ministre</w:t>
            </w:r>
          </w:p>
        </w:tc>
        <w:tc>
          <w:tcPr>
            <w:tcW w:w="865" w:type="dxa"/>
            <w:tcBorders>
              <w:top w:val="single" w:sz="12" w:space="0" w:color="auto"/>
            </w:tcBorders>
            <w:shd w:val="clear" w:color="auto" w:fill="auto"/>
            <w:vAlign w:val="bottom"/>
          </w:tcPr>
          <w:p w:rsidR="00A10274" w:rsidRDefault="00A10274">
            <w:pPr>
              <w:pStyle w:val="SingleTxtG"/>
              <w:suppressAutoHyphens w:val="0"/>
              <w:spacing w:before="81" w:after="40" w:line="240" w:lineRule="auto"/>
              <w:ind w:left="113" w:right="0"/>
              <w:jc w:val="right"/>
              <w:rPr>
                <w:sz w:val="18"/>
                <w:szCs w:val="18"/>
                <w:lang w:val="fr-CA"/>
              </w:rPr>
            </w:pPr>
            <w:r>
              <w:rPr>
                <w:sz w:val="18"/>
                <w:szCs w:val="18"/>
                <w:lang w:val="fr-CA"/>
              </w:rPr>
              <w:t>1</w:t>
            </w:r>
          </w:p>
        </w:tc>
        <w:tc>
          <w:tcPr>
            <w:tcW w:w="934" w:type="dxa"/>
            <w:tcBorders>
              <w:top w:val="single" w:sz="12" w:space="0" w:color="auto"/>
            </w:tcBorders>
            <w:shd w:val="clear" w:color="auto" w:fill="auto"/>
            <w:vAlign w:val="bottom"/>
          </w:tcPr>
          <w:p w:rsidR="00A10274" w:rsidRDefault="00A10274">
            <w:pPr>
              <w:pStyle w:val="SingleTxtG"/>
              <w:suppressAutoHyphens w:val="0"/>
              <w:spacing w:before="81" w:after="40" w:line="240" w:lineRule="auto"/>
              <w:ind w:left="113" w:right="0"/>
              <w:jc w:val="right"/>
              <w:rPr>
                <w:sz w:val="18"/>
                <w:szCs w:val="18"/>
                <w:lang w:val="fr-CA"/>
              </w:rPr>
            </w:pPr>
            <w:r>
              <w:rPr>
                <w:sz w:val="18"/>
                <w:szCs w:val="18"/>
                <w:lang w:val="fr-CA"/>
              </w:rPr>
              <w:t>0</w:t>
            </w:r>
          </w:p>
        </w:tc>
        <w:tc>
          <w:tcPr>
            <w:tcW w:w="1071" w:type="dxa"/>
            <w:tcBorders>
              <w:top w:val="single" w:sz="12" w:space="0" w:color="auto"/>
            </w:tcBorders>
            <w:shd w:val="clear" w:color="auto" w:fill="auto"/>
            <w:vAlign w:val="bottom"/>
          </w:tcPr>
          <w:p w:rsidR="00A10274" w:rsidRDefault="00A10274">
            <w:pPr>
              <w:pStyle w:val="SingleTxtG"/>
              <w:suppressAutoHyphens w:val="0"/>
              <w:spacing w:before="81" w:after="40" w:line="240" w:lineRule="auto"/>
              <w:ind w:left="113" w:right="0"/>
              <w:jc w:val="right"/>
              <w:rPr>
                <w:sz w:val="18"/>
                <w:szCs w:val="18"/>
                <w:lang w:val="fr-CA"/>
              </w:rPr>
            </w:pPr>
            <w:r>
              <w:rPr>
                <w:sz w:val="18"/>
                <w:szCs w:val="18"/>
                <w:lang w:val="fr-CA"/>
              </w:rPr>
              <w:t>0,0</w:t>
            </w:r>
          </w:p>
        </w:tc>
        <w:tc>
          <w:tcPr>
            <w:tcW w:w="847" w:type="dxa"/>
            <w:tcBorders>
              <w:top w:val="single" w:sz="12" w:space="0" w:color="auto"/>
            </w:tcBorders>
            <w:shd w:val="clear" w:color="auto" w:fill="auto"/>
            <w:vAlign w:val="bottom"/>
          </w:tcPr>
          <w:p w:rsidR="00A10274" w:rsidRDefault="00A10274">
            <w:pPr>
              <w:pStyle w:val="SingleTxtG"/>
              <w:suppressAutoHyphens w:val="0"/>
              <w:spacing w:before="81" w:after="40" w:line="240" w:lineRule="auto"/>
              <w:ind w:left="113" w:right="0"/>
              <w:jc w:val="right"/>
              <w:rPr>
                <w:sz w:val="18"/>
                <w:szCs w:val="18"/>
                <w:lang w:val="fr-CA"/>
              </w:rPr>
            </w:pPr>
            <w:r>
              <w:rPr>
                <w:sz w:val="18"/>
                <w:szCs w:val="18"/>
                <w:lang w:val="fr-CA"/>
              </w:rPr>
              <w:t>0</w:t>
            </w:r>
          </w:p>
        </w:tc>
        <w:tc>
          <w:tcPr>
            <w:tcW w:w="1041" w:type="dxa"/>
            <w:tcBorders>
              <w:top w:val="single" w:sz="12" w:space="0" w:color="auto"/>
            </w:tcBorders>
            <w:shd w:val="clear" w:color="auto" w:fill="auto"/>
            <w:vAlign w:val="bottom"/>
          </w:tcPr>
          <w:p w:rsidR="00A10274" w:rsidRDefault="00A10274">
            <w:pPr>
              <w:pStyle w:val="SingleTxtG"/>
              <w:suppressAutoHyphens w:val="0"/>
              <w:spacing w:before="81" w:after="40" w:line="240" w:lineRule="auto"/>
              <w:ind w:left="113" w:right="0"/>
              <w:jc w:val="right"/>
              <w:rPr>
                <w:sz w:val="18"/>
                <w:szCs w:val="18"/>
                <w:lang w:val="fr-CA"/>
              </w:rPr>
            </w:pPr>
            <w:r>
              <w:rPr>
                <w:sz w:val="18"/>
                <w:szCs w:val="18"/>
                <w:lang w:val="fr-CA"/>
              </w:rPr>
              <w:t>1</w:t>
            </w:r>
          </w:p>
        </w:tc>
        <w:tc>
          <w:tcPr>
            <w:tcW w:w="1132" w:type="dxa"/>
            <w:tcBorders>
              <w:top w:val="single" w:sz="12" w:space="0" w:color="auto"/>
            </w:tcBorders>
            <w:shd w:val="clear" w:color="auto" w:fill="auto"/>
            <w:vAlign w:val="bottom"/>
          </w:tcPr>
          <w:p w:rsidR="00A10274" w:rsidRDefault="00A10274">
            <w:pPr>
              <w:pStyle w:val="SingleTxtG"/>
              <w:suppressAutoHyphens w:val="0"/>
              <w:spacing w:before="81" w:after="40" w:line="240" w:lineRule="auto"/>
              <w:ind w:left="113" w:right="0"/>
              <w:jc w:val="right"/>
              <w:rPr>
                <w:sz w:val="18"/>
                <w:szCs w:val="18"/>
                <w:lang w:val="fr-CA"/>
              </w:rPr>
            </w:pPr>
            <w:r>
              <w:rPr>
                <w:sz w:val="18"/>
                <w:szCs w:val="18"/>
                <w:lang w:val="fr-CA"/>
              </w:rPr>
              <w:t>0,0</w:t>
            </w:r>
          </w:p>
        </w:tc>
      </w:tr>
      <w:tr w:rsidR="00A10274">
        <w:trPr>
          <w:trHeight w:val="240"/>
        </w:trPr>
        <w:tc>
          <w:tcPr>
            <w:tcW w:w="1436"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Directeur général</w:t>
            </w:r>
          </w:p>
        </w:tc>
        <w:tc>
          <w:tcPr>
            <w:tcW w:w="86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w:t>
            </w:r>
          </w:p>
        </w:tc>
        <w:tc>
          <w:tcPr>
            <w:tcW w:w="93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w:t>
            </w:r>
          </w:p>
        </w:tc>
        <w:tc>
          <w:tcPr>
            <w:tcW w:w="107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28,6</w:t>
            </w:r>
          </w:p>
        </w:tc>
        <w:tc>
          <w:tcPr>
            <w:tcW w:w="84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w:t>
            </w:r>
          </w:p>
        </w:tc>
        <w:tc>
          <w:tcPr>
            <w:tcW w:w="104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w:t>
            </w:r>
          </w:p>
        </w:tc>
        <w:tc>
          <w:tcPr>
            <w:tcW w:w="113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22,2</w:t>
            </w:r>
          </w:p>
        </w:tc>
      </w:tr>
      <w:tr w:rsidR="00A10274">
        <w:trPr>
          <w:trHeight w:val="240"/>
        </w:trPr>
        <w:tc>
          <w:tcPr>
            <w:tcW w:w="1436"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Directeur</w:t>
            </w:r>
          </w:p>
        </w:tc>
        <w:tc>
          <w:tcPr>
            <w:tcW w:w="86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12</w:t>
            </w:r>
          </w:p>
        </w:tc>
        <w:tc>
          <w:tcPr>
            <w:tcW w:w="93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w:t>
            </w:r>
          </w:p>
        </w:tc>
        <w:tc>
          <w:tcPr>
            <w:tcW w:w="107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25,0</w:t>
            </w:r>
          </w:p>
        </w:tc>
        <w:tc>
          <w:tcPr>
            <w:tcW w:w="84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17</w:t>
            </w:r>
          </w:p>
        </w:tc>
        <w:tc>
          <w:tcPr>
            <w:tcW w:w="104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w:t>
            </w:r>
          </w:p>
        </w:tc>
        <w:tc>
          <w:tcPr>
            <w:tcW w:w="113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23,5</w:t>
            </w:r>
          </w:p>
        </w:tc>
      </w:tr>
      <w:tr w:rsidR="00A10274">
        <w:trPr>
          <w:trHeight w:val="240"/>
        </w:trPr>
        <w:tc>
          <w:tcPr>
            <w:tcW w:w="1436"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Chef de service</w:t>
            </w:r>
          </w:p>
        </w:tc>
        <w:tc>
          <w:tcPr>
            <w:tcW w:w="86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25</w:t>
            </w:r>
          </w:p>
        </w:tc>
        <w:tc>
          <w:tcPr>
            <w:tcW w:w="93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w:t>
            </w:r>
          </w:p>
        </w:tc>
        <w:tc>
          <w:tcPr>
            <w:tcW w:w="107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16,0</w:t>
            </w:r>
          </w:p>
        </w:tc>
        <w:tc>
          <w:tcPr>
            <w:tcW w:w="84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16</w:t>
            </w:r>
          </w:p>
        </w:tc>
        <w:tc>
          <w:tcPr>
            <w:tcW w:w="104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w:t>
            </w:r>
          </w:p>
        </w:tc>
        <w:tc>
          <w:tcPr>
            <w:tcW w:w="113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25,0</w:t>
            </w:r>
          </w:p>
        </w:tc>
      </w:tr>
      <w:tr w:rsidR="00A10274">
        <w:trPr>
          <w:trHeight w:val="240"/>
        </w:trPr>
        <w:tc>
          <w:tcPr>
            <w:tcW w:w="1436"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Ambassadeur</w:t>
            </w:r>
          </w:p>
        </w:tc>
        <w:tc>
          <w:tcPr>
            <w:tcW w:w="86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30</w:t>
            </w:r>
          </w:p>
        </w:tc>
        <w:tc>
          <w:tcPr>
            <w:tcW w:w="93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c>
          <w:tcPr>
            <w:tcW w:w="107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0,0</w:t>
            </w:r>
          </w:p>
        </w:tc>
        <w:tc>
          <w:tcPr>
            <w:tcW w:w="84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29</w:t>
            </w:r>
          </w:p>
        </w:tc>
        <w:tc>
          <w:tcPr>
            <w:tcW w:w="104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c>
          <w:tcPr>
            <w:tcW w:w="113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0,0</w:t>
            </w:r>
          </w:p>
        </w:tc>
      </w:tr>
      <w:tr w:rsidR="00A10274">
        <w:trPr>
          <w:trHeight w:val="240"/>
        </w:trPr>
        <w:tc>
          <w:tcPr>
            <w:tcW w:w="1436"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Consul général</w:t>
            </w:r>
          </w:p>
        </w:tc>
        <w:tc>
          <w:tcPr>
            <w:tcW w:w="86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14</w:t>
            </w:r>
          </w:p>
        </w:tc>
        <w:tc>
          <w:tcPr>
            <w:tcW w:w="93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c>
          <w:tcPr>
            <w:tcW w:w="107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0,0</w:t>
            </w:r>
          </w:p>
        </w:tc>
        <w:tc>
          <w:tcPr>
            <w:tcW w:w="84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w:t>
            </w:r>
          </w:p>
        </w:tc>
        <w:tc>
          <w:tcPr>
            <w:tcW w:w="104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c>
          <w:tcPr>
            <w:tcW w:w="113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0,0</w:t>
            </w:r>
          </w:p>
        </w:tc>
      </w:tr>
      <w:tr w:rsidR="00A10274">
        <w:trPr>
          <w:trHeight w:val="240"/>
        </w:trPr>
        <w:tc>
          <w:tcPr>
            <w:tcW w:w="1436"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Premier Secrétaire</w:t>
            </w:r>
          </w:p>
        </w:tc>
        <w:tc>
          <w:tcPr>
            <w:tcW w:w="86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30</w:t>
            </w:r>
          </w:p>
        </w:tc>
        <w:tc>
          <w:tcPr>
            <w:tcW w:w="93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w:t>
            </w:r>
          </w:p>
        </w:tc>
        <w:tc>
          <w:tcPr>
            <w:tcW w:w="107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10,0</w:t>
            </w:r>
          </w:p>
        </w:tc>
        <w:tc>
          <w:tcPr>
            <w:tcW w:w="84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28</w:t>
            </w:r>
          </w:p>
        </w:tc>
        <w:tc>
          <w:tcPr>
            <w:tcW w:w="104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w:t>
            </w:r>
          </w:p>
        </w:tc>
        <w:tc>
          <w:tcPr>
            <w:tcW w:w="113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7,1</w:t>
            </w:r>
          </w:p>
        </w:tc>
      </w:tr>
      <w:tr w:rsidR="00A10274">
        <w:trPr>
          <w:trHeight w:val="240"/>
        </w:trPr>
        <w:tc>
          <w:tcPr>
            <w:tcW w:w="1436"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Deuxième Secrétaire</w:t>
            </w:r>
          </w:p>
        </w:tc>
        <w:tc>
          <w:tcPr>
            <w:tcW w:w="86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24</w:t>
            </w:r>
          </w:p>
        </w:tc>
        <w:tc>
          <w:tcPr>
            <w:tcW w:w="93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c>
          <w:tcPr>
            <w:tcW w:w="107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0,0</w:t>
            </w:r>
          </w:p>
        </w:tc>
        <w:tc>
          <w:tcPr>
            <w:tcW w:w="84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20</w:t>
            </w:r>
          </w:p>
        </w:tc>
        <w:tc>
          <w:tcPr>
            <w:tcW w:w="104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w:t>
            </w:r>
          </w:p>
        </w:tc>
        <w:tc>
          <w:tcPr>
            <w:tcW w:w="113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5,0</w:t>
            </w:r>
          </w:p>
        </w:tc>
      </w:tr>
      <w:tr w:rsidR="00A10274">
        <w:trPr>
          <w:trHeight w:val="240"/>
        </w:trPr>
        <w:tc>
          <w:tcPr>
            <w:tcW w:w="1436"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Troisième Secrétaire</w:t>
            </w:r>
          </w:p>
        </w:tc>
        <w:tc>
          <w:tcPr>
            <w:tcW w:w="86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w:t>
            </w:r>
          </w:p>
        </w:tc>
        <w:tc>
          <w:tcPr>
            <w:tcW w:w="93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w:t>
            </w:r>
          </w:p>
        </w:tc>
        <w:tc>
          <w:tcPr>
            <w:tcW w:w="107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50,0</w:t>
            </w:r>
          </w:p>
        </w:tc>
        <w:tc>
          <w:tcPr>
            <w:tcW w:w="84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8</w:t>
            </w:r>
          </w:p>
        </w:tc>
        <w:tc>
          <w:tcPr>
            <w:tcW w:w="104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w:t>
            </w:r>
          </w:p>
        </w:tc>
        <w:tc>
          <w:tcPr>
            <w:tcW w:w="113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12,5</w:t>
            </w:r>
          </w:p>
        </w:tc>
      </w:tr>
      <w:tr w:rsidR="00A10274">
        <w:trPr>
          <w:trHeight w:val="240"/>
        </w:trPr>
        <w:tc>
          <w:tcPr>
            <w:tcW w:w="1436" w:type="dxa"/>
            <w:tcBorders>
              <w:bottom w:val="single" w:sz="4" w:space="0" w:color="auto"/>
            </w:tcBorders>
            <w:shd w:val="clear" w:color="auto" w:fill="auto"/>
          </w:tcPr>
          <w:p w:rsidR="00A10274" w:rsidRDefault="00A10274">
            <w:pPr>
              <w:pStyle w:val="SingleTxtG"/>
              <w:suppressAutoHyphens w:val="0"/>
              <w:spacing w:before="40" w:after="81" w:line="240" w:lineRule="auto"/>
              <w:ind w:left="0" w:right="0"/>
              <w:jc w:val="left"/>
              <w:rPr>
                <w:sz w:val="18"/>
                <w:szCs w:val="18"/>
                <w:lang w:val="fr-CA"/>
              </w:rPr>
            </w:pPr>
            <w:r>
              <w:rPr>
                <w:sz w:val="18"/>
                <w:szCs w:val="18"/>
                <w:lang w:val="fr-CA"/>
              </w:rPr>
              <w:t>Attachés</w:t>
            </w:r>
          </w:p>
        </w:tc>
        <w:tc>
          <w:tcPr>
            <w:tcW w:w="865" w:type="dxa"/>
            <w:tcBorders>
              <w:bottom w:val="single" w:sz="4" w:space="0" w:color="auto"/>
            </w:tcBorders>
            <w:shd w:val="clear" w:color="auto" w:fill="auto"/>
            <w:vAlign w:val="bottom"/>
          </w:tcPr>
          <w:p w:rsidR="00A10274" w:rsidRDefault="00A10274">
            <w:pPr>
              <w:pStyle w:val="SingleTxtG"/>
              <w:suppressAutoHyphens w:val="0"/>
              <w:spacing w:before="40" w:after="81" w:line="240" w:lineRule="auto"/>
              <w:ind w:left="113" w:right="0"/>
              <w:jc w:val="right"/>
              <w:rPr>
                <w:sz w:val="18"/>
                <w:szCs w:val="18"/>
                <w:lang w:val="fr-CA"/>
              </w:rPr>
            </w:pPr>
            <w:r>
              <w:rPr>
                <w:sz w:val="18"/>
                <w:szCs w:val="18"/>
                <w:lang w:val="fr-CA"/>
              </w:rPr>
              <w:t>2</w:t>
            </w:r>
          </w:p>
        </w:tc>
        <w:tc>
          <w:tcPr>
            <w:tcW w:w="934" w:type="dxa"/>
            <w:tcBorders>
              <w:bottom w:val="single" w:sz="4" w:space="0" w:color="auto"/>
            </w:tcBorders>
            <w:shd w:val="clear" w:color="auto" w:fill="auto"/>
            <w:vAlign w:val="bottom"/>
          </w:tcPr>
          <w:p w:rsidR="00A10274" w:rsidRDefault="00A10274">
            <w:pPr>
              <w:pStyle w:val="SingleTxtG"/>
              <w:suppressAutoHyphens w:val="0"/>
              <w:spacing w:before="40" w:after="81" w:line="240" w:lineRule="auto"/>
              <w:ind w:left="113" w:right="0"/>
              <w:jc w:val="right"/>
              <w:rPr>
                <w:sz w:val="18"/>
                <w:szCs w:val="18"/>
                <w:lang w:val="fr-CA"/>
              </w:rPr>
            </w:pPr>
            <w:r>
              <w:rPr>
                <w:sz w:val="18"/>
                <w:szCs w:val="18"/>
                <w:lang w:val="fr-CA"/>
              </w:rPr>
              <w:t>0</w:t>
            </w:r>
          </w:p>
        </w:tc>
        <w:tc>
          <w:tcPr>
            <w:tcW w:w="1071" w:type="dxa"/>
            <w:tcBorders>
              <w:bottom w:val="single" w:sz="4" w:space="0" w:color="auto"/>
            </w:tcBorders>
            <w:shd w:val="clear" w:color="auto" w:fill="auto"/>
            <w:vAlign w:val="bottom"/>
          </w:tcPr>
          <w:p w:rsidR="00A10274" w:rsidRDefault="00A10274">
            <w:pPr>
              <w:pStyle w:val="SingleTxtG"/>
              <w:suppressAutoHyphens w:val="0"/>
              <w:spacing w:before="40" w:after="81" w:line="240" w:lineRule="auto"/>
              <w:ind w:left="113" w:right="0"/>
              <w:jc w:val="right"/>
              <w:rPr>
                <w:sz w:val="18"/>
                <w:szCs w:val="18"/>
                <w:lang w:val="fr-CA"/>
              </w:rPr>
            </w:pPr>
            <w:r>
              <w:rPr>
                <w:sz w:val="18"/>
                <w:szCs w:val="18"/>
                <w:lang w:val="fr-CA"/>
              </w:rPr>
              <w:t>0,0</w:t>
            </w:r>
          </w:p>
        </w:tc>
        <w:tc>
          <w:tcPr>
            <w:tcW w:w="847" w:type="dxa"/>
            <w:tcBorders>
              <w:bottom w:val="single" w:sz="4" w:space="0" w:color="auto"/>
            </w:tcBorders>
            <w:shd w:val="clear" w:color="auto" w:fill="auto"/>
            <w:vAlign w:val="bottom"/>
          </w:tcPr>
          <w:p w:rsidR="00A10274" w:rsidRDefault="00A10274">
            <w:pPr>
              <w:pStyle w:val="SingleTxtG"/>
              <w:suppressAutoHyphens w:val="0"/>
              <w:spacing w:before="40" w:after="81" w:line="240" w:lineRule="auto"/>
              <w:ind w:left="113" w:right="0"/>
              <w:jc w:val="right"/>
              <w:rPr>
                <w:sz w:val="18"/>
                <w:szCs w:val="18"/>
                <w:lang w:val="fr-CA"/>
              </w:rPr>
            </w:pPr>
            <w:r>
              <w:rPr>
                <w:sz w:val="18"/>
                <w:szCs w:val="18"/>
                <w:lang w:val="fr-CA"/>
              </w:rPr>
              <w:t>1</w:t>
            </w:r>
          </w:p>
        </w:tc>
        <w:tc>
          <w:tcPr>
            <w:tcW w:w="1041" w:type="dxa"/>
            <w:tcBorders>
              <w:bottom w:val="single" w:sz="4" w:space="0" w:color="auto"/>
            </w:tcBorders>
            <w:shd w:val="clear" w:color="auto" w:fill="auto"/>
            <w:vAlign w:val="bottom"/>
          </w:tcPr>
          <w:p w:rsidR="00A10274" w:rsidRDefault="00A10274">
            <w:pPr>
              <w:pStyle w:val="SingleTxtG"/>
              <w:suppressAutoHyphens w:val="0"/>
              <w:spacing w:before="40" w:after="81" w:line="240" w:lineRule="auto"/>
              <w:ind w:left="113" w:right="0"/>
              <w:jc w:val="right"/>
              <w:rPr>
                <w:sz w:val="18"/>
                <w:szCs w:val="18"/>
                <w:lang w:val="fr-CA"/>
              </w:rPr>
            </w:pPr>
            <w:r>
              <w:rPr>
                <w:sz w:val="18"/>
                <w:szCs w:val="18"/>
                <w:lang w:val="fr-CA"/>
              </w:rPr>
              <w:t>0</w:t>
            </w:r>
          </w:p>
        </w:tc>
        <w:tc>
          <w:tcPr>
            <w:tcW w:w="1132" w:type="dxa"/>
            <w:tcBorders>
              <w:bottom w:val="single" w:sz="4" w:space="0" w:color="auto"/>
            </w:tcBorders>
            <w:shd w:val="clear" w:color="auto" w:fill="auto"/>
            <w:vAlign w:val="bottom"/>
          </w:tcPr>
          <w:p w:rsidR="00A10274" w:rsidRDefault="00A10274">
            <w:pPr>
              <w:pStyle w:val="SingleTxtG"/>
              <w:suppressAutoHyphens w:val="0"/>
              <w:spacing w:before="40" w:after="81" w:line="240" w:lineRule="auto"/>
              <w:ind w:left="113" w:right="0"/>
              <w:jc w:val="right"/>
              <w:rPr>
                <w:sz w:val="18"/>
                <w:szCs w:val="18"/>
                <w:lang w:val="fr-CA"/>
              </w:rPr>
            </w:pPr>
            <w:r>
              <w:rPr>
                <w:sz w:val="18"/>
                <w:szCs w:val="18"/>
                <w:lang w:val="fr-CA"/>
              </w:rPr>
              <w:t>0,0</w:t>
            </w:r>
          </w:p>
        </w:tc>
      </w:tr>
      <w:tr w:rsidR="00A10274">
        <w:trPr>
          <w:trHeight w:val="240"/>
        </w:trPr>
        <w:tc>
          <w:tcPr>
            <w:tcW w:w="1436" w:type="dxa"/>
            <w:tcBorders>
              <w:top w:val="single" w:sz="4" w:space="0" w:color="auto"/>
              <w:bottom w:val="single" w:sz="12" w:space="0" w:color="auto"/>
            </w:tcBorders>
            <w:shd w:val="clear" w:color="auto" w:fill="auto"/>
          </w:tcPr>
          <w:p w:rsidR="00A10274" w:rsidRDefault="00A10274">
            <w:pPr>
              <w:pStyle w:val="SingleTxtG"/>
              <w:tabs>
                <w:tab w:val="left" w:pos="306"/>
              </w:tabs>
              <w:suppressAutoHyphens w:val="0"/>
              <w:spacing w:before="81" w:after="81" w:line="240" w:lineRule="auto"/>
              <w:ind w:left="0" w:right="0"/>
              <w:jc w:val="left"/>
              <w:rPr>
                <w:b/>
                <w:sz w:val="18"/>
                <w:szCs w:val="18"/>
                <w:lang w:val="fr-CA"/>
              </w:rPr>
            </w:pPr>
            <w:r>
              <w:rPr>
                <w:b/>
                <w:sz w:val="18"/>
                <w:szCs w:val="18"/>
                <w:lang w:val="fr-CA"/>
              </w:rPr>
              <w:tab/>
              <w:t>Total</w:t>
            </w:r>
          </w:p>
        </w:tc>
        <w:tc>
          <w:tcPr>
            <w:tcW w:w="865"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1" w:after="81" w:line="240" w:lineRule="auto"/>
              <w:ind w:left="113" w:right="0"/>
              <w:jc w:val="right"/>
              <w:rPr>
                <w:b/>
                <w:sz w:val="18"/>
                <w:szCs w:val="18"/>
                <w:lang w:val="fr-CA"/>
              </w:rPr>
            </w:pPr>
            <w:r>
              <w:rPr>
                <w:b/>
                <w:sz w:val="18"/>
                <w:szCs w:val="18"/>
                <w:lang w:val="fr-CA"/>
              </w:rPr>
              <w:fldChar w:fldCharType="begin"/>
            </w:r>
            <w:r>
              <w:rPr>
                <w:b/>
                <w:sz w:val="18"/>
                <w:szCs w:val="18"/>
                <w:lang w:val="fr-CA"/>
              </w:rPr>
              <w:instrText xml:space="preserve"> =SUM(ABOVE) </w:instrText>
            </w:r>
            <w:r>
              <w:rPr>
                <w:b/>
                <w:sz w:val="18"/>
                <w:szCs w:val="18"/>
                <w:lang w:val="fr-CA"/>
              </w:rPr>
              <w:fldChar w:fldCharType="separate"/>
            </w:r>
            <w:r>
              <w:rPr>
                <w:b/>
                <w:noProof/>
                <w:sz w:val="18"/>
                <w:szCs w:val="18"/>
                <w:lang w:val="fr-CA"/>
              </w:rPr>
              <w:t>149</w:t>
            </w:r>
            <w:r>
              <w:rPr>
                <w:b/>
                <w:sz w:val="18"/>
                <w:szCs w:val="18"/>
                <w:lang w:val="fr-CA"/>
              </w:rPr>
              <w:fldChar w:fldCharType="end"/>
            </w:r>
          </w:p>
        </w:tc>
        <w:tc>
          <w:tcPr>
            <w:tcW w:w="934"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1" w:after="81" w:line="240" w:lineRule="auto"/>
              <w:ind w:left="113" w:right="0"/>
              <w:jc w:val="right"/>
              <w:rPr>
                <w:b/>
                <w:sz w:val="18"/>
                <w:szCs w:val="18"/>
                <w:lang w:val="fr-CA"/>
              </w:rPr>
            </w:pPr>
            <w:r>
              <w:rPr>
                <w:b/>
                <w:sz w:val="18"/>
                <w:szCs w:val="18"/>
                <w:lang w:val="fr-CA"/>
              </w:rPr>
              <w:t>135</w:t>
            </w:r>
          </w:p>
        </w:tc>
        <w:tc>
          <w:tcPr>
            <w:tcW w:w="1071"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1" w:after="81" w:line="240" w:lineRule="auto"/>
              <w:ind w:left="113" w:right="0"/>
              <w:jc w:val="right"/>
              <w:rPr>
                <w:b/>
                <w:sz w:val="18"/>
                <w:szCs w:val="18"/>
                <w:lang w:val="fr-CA"/>
              </w:rPr>
            </w:pPr>
            <w:r>
              <w:rPr>
                <w:b/>
                <w:sz w:val="18"/>
                <w:szCs w:val="18"/>
                <w:lang w:val="fr-CA"/>
              </w:rPr>
              <w:t>9,4</w:t>
            </w:r>
          </w:p>
        </w:tc>
        <w:tc>
          <w:tcPr>
            <w:tcW w:w="847"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1" w:after="81" w:line="240" w:lineRule="auto"/>
              <w:ind w:left="113" w:right="0"/>
              <w:jc w:val="right"/>
              <w:rPr>
                <w:b/>
                <w:sz w:val="18"/>
                <w:szCs w:val="18"/>
                <w:lang w:val="fr-CA"/>
              </w:rPr>
            </w:pPr>
            <w:r>
              <w:rPr>
                <w:b/>
                <w:sz w:val="18"/>
                <w:szCs w:val="18"/>
                <w:lang w:val="fr-CA"/>
              </w:rPr>
              <w:t>14</w:t>
            </w:r>
          </w:p>
        </w:tc>
        <w:tc>
          <w:tcPr>
            <w:tcW w:w="1041"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1" w:after="81" w:line="240" w:lineRule="auto"/>
              <w:ind w:left="113" w:right="0"/>
              <w:jc w:val="right"/>
              <w:rPr>
                <w:b/>
                <w:sz w:val="18"/>
                <w:szCs w:val="18"/>
                <w:lang w:val="fr-CA"/>
              </w:rPr>
            </w:pPr>
            <w:r>
              <w:rPr>
                <w:b/>
                <w:sz w:val="18"/>
                <w:szCs w:val="18"/>
                <w:lang w:val="fr-CA"/>
              </w:rPr>
              <w:t>125</w:t>
            </w:r>
          </w:p>
        </w:tc>
        <w:tc>
          <w:tcPr>
            <w:tcW w:w="1132"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1" w:after="81" w:line="240" w:lineRule="auto"/>
              <w:ind w:left="113" w:right="0"/>
              <w:jc w:val="right"/>
              <w:rPr>
                <w:b/>
                <w:sz w:val="18"/>
                <w:szCs w:val="18"/>
                <w:lang w:val="fr-CA"/>
              </w:rPr>
            </w:pPr>
            <w:r>
              <w:rPr>
                <w:b/>
                <w:sz w:val="18"/>
                <w:szCs w:val="18"/>
                <w:lang w:val="fr-CA"/>
              </w:rPr>
              <w:t>10,1</w:t>
            </w:r>
          </w:p>
        </w:tc>
      </w:tr>
    </w:tbl>
    <w:p w:rsidR="00A10274" w:rsidRDefault="00A10274">
      <w:pPr>
        <w:pStyle w:val="SingleTxt"/>
        <w:spacing w:after="0" w:line="120" w:lineRule="exact"/>
        <w:rPr>
          <w:sz w:val="10"/>
          <w:lang w:val="fr-CA"/>
        </w:rPr>
      </w:pPr>
    </w:p>
    <w:p w:rsidR="00A10274" w:rsidRDefault="00A10274">
      <w:pPr>
        <w:pStyle w:val="SingleTxt"/>
        <w:spacing w:before="240"/>
        <w:rPr>
          <w:lang w:val="fr-CA"/>
        </w:rPr>
      </w:pPr>
      <w:r>
        <w:rPr>
          <w:lang w:val="fr-CA"/>
        </w:rPr>
        <w:t>19.</w:t>
      </w:r>
      <w:r>
        <w:rPr>
          <w:lang w:val="fr-CA"/>
        </w:rPr>
        <w:tab/>
        <w:t>Comme pour les cadres supérieurs de l’Administration, la représentation des femmes dans les affaires internationales est demeurée plus ou moins la même en 2013 qu’en 2008. Ceci indique qu’il n’y a pas eu de changements majeurs dans l’affectation des postes dans le Ministère des affaires étrangères.</w:t>
      </w:r>
    </w:p>
    <w:p w:rsidR="00A10274" w:rsidRDefault="00A10274">
      <w:pPr>
        <w:pStyle w:val="SingleTxt"/>
        <w:spacing w:after="0" w:line="120" w:lineRule="exact"/>
        <w:ind w:left="1264" w:right="1264"/>
        <w:rPr>
          <w:sz w:val="10"/>
          <w:szCs w:val="24"/>
          <w:lang w:val="fr-CA"/>
        </w:rPr>
      </w:pPr>
    </w:p>
    <w:p w:rsidR="00A10274" w:rsidRDefault="00A10274">
      <w:pPr>
        <w:pStyle w:val="SingleTxt"/>
        <w:spacing w:after="0" w:line="120" w:lineRule="exact"/>
        <w:ind w:left="1264" w:right="1264"/>
        <w:rPr>
          <w:sz w:val="10"/>
          <w:szCs w:val="24"/>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Article 9</w:t>
      </w:r>
      <w:r>
        <w:rPr>
          <w:lang w:val="fr-CA"/>
        </w:rPr>
        <w:br/>
        <w:t>Nationalité/Citoyenneté</w:t>
      </w:r>
    </w:p>
    <w:p w:rsidR="00A10274" w:rsidRDefault="00A10274">
      <w:pPr>
        <w:pStyle w:val="SingleTxt"/>
        <w:spacing w:after="0" w:line="120" w:lineRule="exact"/>
        <w:ind w:left="1264"/>
        <w:rPr>
          <w:sz w:val="10"/>
          <w:szCs w:val="24"/>
          <w:lang w:val="fr-CA"/>
        </w:rPr>
      </w:pPr>
    </w:p>
    <w:p w:rsidR="00A10274" w:rsidRDefault="00A10274">
      <w:pPr>
        <w:pStyle w:val="SingleTxt"/>
        <w:spacing w:after="0" w:line="120" w:lineRule="exact"/>
        <w:ind w:left="1264"/>
        <w:rPr>
          <w:sz w:val="10"/>
          <w:szCs w:val="24"/>
          <w:lang w:val="fr-CA"/>
        </w:rPr>
      </w:pPr>
    </w:p>
    <w:p w:rsidR="00A10274" w:rsidRDefault="00A10274">
      <w:pPr>
        <w:pStyle w:val="SingleTxt"/>
        <w:ind w:left="1264"/>
        <w:rPr>
          <w:lang w:val="fr-CA"/>
        </w:rPr>
      </w:pPr>
      <w:r>
        <w:rPr>
          <w:lang w:val="fr-CA"/>
        </w:rPr>
        <w:t>20.</w:t>
      </w:r>
      <w:r>
        <w:rPr>
          <w:lang w:val="fr-CA"/>
        </w:rPr>
        <w:tab/>
        <w:t>Le Gouvernement de l’État érythréen renvoie au quatrième rapport périodique où il a été abondamment traité des aspects juridiques et pratiques des questions de nationalité/citoyenneté. Il n’y avait rien de nouveau à dire concernant ces questions (art. 9), sauf que les droits qui ont été juridiquement élaborés ont continué à être appliqués sans problèmes durant la période considérée.</w:t>
      </w:r>
    </w:p>
    <w:p w:rsidR="00A10274" w:rsidRDefault="00A10274">
      <w:pPr>
        <w:pStyle w:val="SingleTxt"/>
        <w:spacing w:after="0" w:line="120" w:lineRule="exact"/>
        <w:ind w:left="1264"/>
        <w:rPr>
          <w:sz w:val="10"/>
          <w:lang w:val="fr-CA"/>
        </w:rPr>
      </w:pPr>
    </w:p>
    <w:p w:rsidR="00A10274" w:rsidRDefault="00A10274">
      <w:pPr>
        <w:pStyle w:val="SingleTxt"/>
        <w:spacing w:after="0" w:line="120" w:lineRule="exact"/>
        <w:ind w:left="1264"/>
        <w:rPr>
          <w:sz w:val="10"/>
          <w:lang w:val="fr-CA"/>
        </w:rPr>
      </w:pPr>
    </w:p>
    <w:p w:rsidR="00A10274" w:rsidRDefault="00A1027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Quatrième partie</w:t>
      </w:r>
    </w:p>
    <w:p w:rsidR="00A10274" w:rsidRDefault="00A10274">
      <w:pPr>
        <w:pStyle w:val="SingleTxt"/>
        <w:spacing w:after="0" w:line="120" w:lineRule="exact"/>
        <w:ind w:left="1264"/>
        <w:rPr>
          <w:sz w:val="10"/>
          <w:szCs w:val="24"/>
          <w:lang w:val="fr-CA"/>
        </w:rPr>
      </w:pPr>
    </w:p>
    <w:p w:rsidR="00A10274" w:rsidRDefault="00A10274">
      <w:pPr>
        <w:pStyle w:val="SingleTxt"/>
        <w:spacing w:after="0" w:line="120" w:lineRule="exact"/>
        <w:ind w:left="1264"/>
        <w:rPr>
          <w:sz w:val="10"/>
          <w:szCs w:val="24"/>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Article 10</w:t>
      </w:r>
      <w:r>
        <w:rPr>
          <w:lang w:val="fr-CA"/>
        </w:rPr>
        <w:br/>
        <w:t>Éducation</w:t>
      </w:r>
    </w:p>
    <w:p w:rsidR="00A10274" w:rsidRDefault="00A10274">
      <w:pPr>
        <w:pStyle w:val="SingleTxt"/>
        <w:spacing w:after="0" w:line="120" w:lineRule="exact"/>
        <w:ind w:left="1264"/>
        <w:rPr>
          <w:sz w:val="10"/>
          <w:szCs w:val="24"/>
          <w:lang w:val="fr-CA"/>
        </w:rPr>
      </w:pPr>
    </w:p>
    <w:p w:rsidR="00A10274" w:rsidRDefault="00A10274">
      <w:pPr>
        <w:pStyle w:val="SingleTxt"/>
        <w:spacing w:after="0" w:line="120" w:lineRule="exact"/>
        <w:ind w:left="1264"/>
        <w:rPr>
          <w:sz w:val="10"/>
          <w:szCs w:val="24"/>
          <w:lang w:val="fr-CA"/>
        </w:rPr>
      </w:pPr>
    </w:p>
    <w:p w:rsidR="00A10274" w:rsidRDefault="00A10274">
      <w:pPr>
        <w:pStyle w:val="SingleTxt"/>
        <w:ind w:left="1264"/>
        <w:rPr>
          <w:lang w:val="fr-CA"/>
        </w:rPr>
      </w:pPr>
      <w:r>
        <w:rPr>
          <w:lang w:val="fr-CA"/>
        </w:rPr>
        <w:t>21.</w:t>
      </w:r>
      <w:r>
        <w:rPr>
          <w:lang w:val="fr-CA"/>
        </w:rPr>
        <w:tab/>
        <w:t>Le Ministère de l’éducation s’est vu confier pour tâche d’améliorer la qualité de l’éducation ainsi que d’élargir l’accès des diverses couches de la population à l’éducation. Un nouveau programme qui vise à faciliter l’accès à l’éducation dans les endroits éloignés et difficiles à atteindre contribue à permettre aux femmes, aux handicapés et, d’une manière générale, aux enfants géographiquement défavorisés, d’arriver plus facilement à s’instruire.</w:t>
      </w:r>
    </w:p>
    <w:p w:rsidR="00A10274" w:rsidRDefault="00A10274">
      <w:pPr>
        <w:pStyle w:val="SingleTxt"/>
        <w:ind w:left="1264"/>
        <w:rPr>
          <w:lang w:val="fr-CA"/>
        </w:rPr>
      </w:pPr>
      <w:r>
        <w:rPr>
          <w:lang w:val="fr-CA"/>
        </w:rPr>
        <w:t>22.</w:t>
      </w:r>
      <w:r>
        <w:rPr>
          <w:lang w:val="fr-CA"/>
        </w:rPr>
        <w:tab/>
        <w:t>Cet effort s’est manifesté par l’ouverture de nouvelles écoles de niveau élémentaire, intermédiaire et secondaire dans tout le pays. En rapprochant les écoles des familles des élèves des divers niveaux on contribue à faire baisser le taux des décrochages scolaires. De plus, l’existence d’écoles mobiles dans les régions nomadiques a permis aux jeunes nomades des deux sexes de se scolariser.</w:t>
      </w:r>
    </w:p>
    <w:p w:rsidR="00A10274" w:rsidRDefault="00A10274">
      <w:pPr>
        <w:pStyle w:val="SingleTxt"/>
        <w:ind w:left="1264"/>
        <w:rPr>
          <w:lang w:val="fr-CA"/>
        </w:rPr>
      </w:pPr>
      <w:r>
        <w:rPr>
          <w:lang w:val="fr-CA"/>
        </w:rPr>
        <w:t>23.</w:t>
      </w:r>
      <w:r>
        <w:rPr>
          <w:lang w:val="fr-CA"/>
        </w:rPr>
        <w:tab/>
        <w:t>Les données présentées dans les tableaux suivants montrent les progrès réalisés de 2009/10 à 2011/12 dans les écoles de niveau préscolaire, élémentaire, intermédiaire et secondaire d’après l’enquête effectuée par l’Office de statistique et d’évaluation en 2010.</w:t>
      </w:r>
    </w:p>
    <w:p w:rsidR="00A10274" w:rsidRDefault="00A10274">
      <w:pPr>
        <w:pStyle w:val="SingleTxt"/>
        <w:spacing w:after="0" w:line="120" w:lineRule="exact"/>
        <w:ind w:left="1264"/>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3</w:t>
      </w:r>
      <w:r>
        <w:rPr>
          <w:lang w:val="fr-CA"/>
        </w:rPr>
        <w:br/>
        <w:t xml:space="preserve">Niveau préprimaire : taux net de scolarisation par année 2009/2010 </w:t>
      </w:r>
      <w:r>
        <w:rPr>
          <w:lang w:val="fr-CA"/>
        </w:rPr>
        <w:br/>
        <w:t>– 2011/2012</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71" w:type="dxa"/>
        <w:tblInd w:w="1276" w:type="dxa"/>
        <w:tblBorders>
          <w:top w:val="single" w:sz="4" w:space="0" w:color="auto"/>
        </w:tblBorders>
        <w:tblCellMar>
          <w:left w:w="0" w:type="dxa"/>
          <w:right w:w="0" w:type="dxa"/>
        </w:tblCellMar>
        <w:tblLook w:val="04A0"/>
      </w:tblPr>
      <w:tblGrid>
        <w:gridCol w:w="709"/>
        <w:gridCol w:w="732"/>
        <w:gridCol w:w="777"/>
        <w:gridCol w:w="698"/>
        <w:gridCol w:w="748"/>
        <w:gridCol w:w="758"/>
        <w:gridCol w:w="698"/>
        <w:gridCol w:w="743"/>
        <w:gridCol w:w="799"/>
        <w:gridCol w:w="709"/>
      </w:tblGrid>
      <w:tr w:rsidR="00A10274">
        <w:trPr>
          <w:trHeight w:val="240"/>
          <w:tblHeader/>
        </w:trPr>
        <w:tc>
          <w:tcPr>
            <w:tcW w:w="709" w:type="dxa"/>
            <w:vMerge w:val="restart"/>
            <w:tcBorders>
              <w:top w:val="single" w:sz="4" w:space="0" w:color="auto"/>
            </w:tcBorders>
            <w:shd w:val="clear" w:color="auto" w:fill="auto"/>
            <w:vAlign w:val="bottom"/>
          </w:tcPr>
          <w:p w:rsidR="00A10274" w:rsidRDefault="00A10274">
            <w:pPr>
              <w:pStyle w:val="SingleTxtG"/>
              <w:keepNext/>
              <w:suppressAutoHyphens w:val="0"/>
              <w:spacing w:before="80" w:after="80" w:line="160" w:lineRule="exact"/>
              <w:ind w:left="0" w:right="0"/>
              <w:jc w:val="left"/>
              <w:rPr>
                <w:i/>
                <w:sz w:val="14"/>
                <w:szCs w:val="14"/>
                <w:lang w:val="fr-CA"/>
              </w:rPr>
            </w:pPr>
            <w:r>
              <w:rPr>
                <w:i/>
                <w:sz w:val="14"/>
                <w:szCs w:val="14"/>
                <w:lang w:val="fr-CA"/>
              </w:rPr>
              <w:t>Année</w:t>
            </w:r>
          </w:p>
        </w:tc>
        <w:tc>
          <w:tcPr>
            <w:tcW w:w="2207" w:type="dxa"/>
            <w:gridSpan w:val="3"/>
            <w:tcBorders>
              <w:top w:val="single" w:sz="4" w:space="0" w:color="auto"/>
              <w:bottom w:val="single" w:sz="6" w:space="0" w:color="auto"/>
            </w:tcBorders>
            <w:shd w:val="clear" w:color="auto" w:fill="auto"/>
            <w:vAlign w:val="bottom"/>
          </w:tcPr>
          <w:p w:rsidR="00A10274" w:rsidRDefault="00A10274">
            <w:pPr>
              <w:pStyle w:val="SingleTxtG"/>
              <w:keepNext/>
              <w:suppressAutoHyphens w:val="0"/>
              <w:spacing w:before="80" w:after="80" w:line="160" w:lineRule="exact"/>
              <w:ind w:left="113" w:right="0"/>
              <w:jc w:val="center"/>
              <w:rPr>
                <w:i/>
                <w:sz w:val="14"/>
                <w:szCs w:val="14"/>
                <w:lang w:val="fr-CA"/>
              </w:rPr>
            </w:pPr>
            <w:r>
              <w:rPr>
                <w:i/>
                <w:sz w:val="14"/>
                <w:szCs w:val="14"/>
                <w:lang w:val="fr-CA"/>
              </w:rPr>
              <w:t>Groupe d’âge 5-6</w:t>
            </w:r>
          </w:p>
        </w:tc>
        <w:tc>
          <w:tcPr>
            <w:tcW w:w="2204" w:type="dxa"/>
            <w:gridSpan w:val="3"/>
            <w:tcBorders>
              <w:top w:val="single" w:sz="4" w:space="0" w:color="auto"/>
              <w:bottom w:val="single" w:sz="6" w:space="0" w:color="auto"/>
            </w:tcBorders>
            <w:shd w:val="clear" w:color="auto" w:fill="auto"/>
            <w:vAlign w:val="bottom"/>
          </w:tcPr>
          <w:p w:rsidR="00A10274" w:rsidRDefault="00A10274">
            <w:pPr>
              <w:pStyle w:val="SingleTxtG"/>
              <w:keepNext/>
              <w:suppressAutoHyphens w:val="0"/>
              <w:spacing w:before="80" w:after="80" w:line="160" w:lineRule="exact"/>
              <w:ind w:left="113" w:right="0"/>
              <w:jc w:val="center"/>
              <w:rPr>
                <w:i/>
                <w:sz w:val="14"/>
                <w:szCs w:val="14"/>
                <w:lang w:val="fr-CA"/>
              </w:rPr>
            </w:pPr>
            <w:r>
              <w:rPr>
                <w:i/>
                <w:sz w:val="14"/>
                <w:szCs w:val="14"/>
                <w:lang w:val="fr-CA"/>
              </w:rPr>
              <w:t>Total net de scolarisation</w:t>
            </w:r>
          </w:p>
        </w:tc>
        <w:tc>
          <w:tcPr>
            <w:tcW w:w="2251" w:type="dxa"/>
            <w:gridSpan w:val="3"/>
            <w:tcBorders>
              <w:top w:val="single" w:sz="4" w:space="0" w:color="auto"/>
              <w:bottom w:val="single" w:sz="6" w:space="0" w:color="auto"/>
            </w:tcBorders>
            <w:shd w:val="clear" w:color="auto" w:fill="auto"/>
            <w:vAlign w:val="bottom"/>
          </w:tcPr>
          <w:p w:rsidR="00A10274" w:rsidRDefault="00A10274">
            <w:pPr>
              <w:pStyle w:val="SingleTxtG"/>
              <w:keepNext/>
              <w:suppressAutoHyphens w:val="0"/>
              <w:spacing w:before="80" w:after="80" w:line="160" w:lineRule="exact"/>
              <w:ind w:left="113" w:right="0"/>
              <w:jc w:val="center"/>
              <w:rPr>
                <w:i/>
                <w:sz w:val="14"/>
                <w:szCs w:val="14"/>
                <w:lang w:val="fr-CA"/>
              </w:rPr>
            </w:pPr>
            <w:r>
              <w:rPr>
                <w:i/>
                <w:sz w:val="14"/>
                <w:szCs w:val="14"/>
                <w:lang w:val="fr-CA"/>
              </w:rPr>
              <w:t>Taux net de scolarisation</w:t>
            </w:r>
          </w:p>
        </w:tc>
      </w:tr>
      <w:tr w:rsidR="00A10274">
        <w:trPr>
          <w:trHeight w:val="240"/>
        </w:trPr>
        <w:tc>
          <w:tcPr>
            <w:tcW w:w="709" w:type="dxa"/>
            <w:vMerge/>
            <w:tcBorders>
              <w:bottom w:val="single" w:sz="12" w:space="0" w:color="auto"/>
            </w:tcBorders>
            <w:shd w:val="clear" w:color="auto" w:fill="auto"/>
          </w:tcPr>
          <w:p w:rsidR="00A10274" w:rsidRDefault="00A10274">
            <w:pPr>
              <w:pStyle w:val="SingleTxtG"/>
              <w:keepNext/>
              <w:suppressAutoHyphens w:val="0"/>
              <w:spacing w:before="80" w:after="80" w:line="160" w:lineRule="exact"/>
              <w:ind w:left="0" w:right="0"/>
              <w:jc w:val="left"/>
              <w:rPr>
                <w:i/>
                <w:sz w:val="14"/>
                <w:szCs w:val="14"/>
                <w:lang w:val="fr-CA"/>
              </w:rPr>
            </w:pPr>
          </w:p>
        </w:tc>
        <w:tc>
          <w:tcPr>
            <w:tcW w:w="732"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i/>
                <w:sz w:val="14"/>
                <w:szCs w:val="14"/>
                <w:lang w:val="fr-CA"/>
              </w:rPr>
            </w:pPr>
            <w:r>
              <w:rPr>
                <w:i/>
                <w:sz w:val="14"/>
                <w:szCs w:val="14"/>
                <w:lang w:val="fr-CA"/>
              </w:rPr>
              <w:t>Total</w:t>
            </w:r>
          </w:p>
        </w:tc>
        <w:tc>
          <w:tcPr>
            <w:tcW w:w="777"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i/>
                <w:sz w:val="14"/>
                <w:szCs w:val="14"/>
                <w:lang w:val="fr-CA"/>
              </w:rPr>
            </w:pPr>
            <w:r>
              <w:rPr>
                <w:i/>
                <w:sz w:val="14"/>
                <w:szCs w:val="14"/>
                <w:lang w:val="fr-CA"/>
              </w:rPr>
              <w:t>Sexe M</w:t>
            </w:r>
          </w:p>
        </w:tc>
        <w:tc>
          <w:tcPr>
            <w:tcW w:w="698"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i/>
                <w:sz w:val="14"/>
                <w:szCs w:val="14"/>
                <w:lang w:val="fr-CA"/>
              </w:rPr>
            </w:pPr>
            <w:r>
              <w:rPr>
                <w:i/>
                <w:sz w:val="14"/>
                <w:szCs w:val="14"/>
                <w:lang w:val="fr-CA"/>
              </w:rPr>
              <w:t>Sexe F</w:t>
            </w:r>
          </w:p>
        </w:tc>
        <w:tc>
          <w:tcPr>
            <w:tcW w:w="748"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i/>
                <w:sz w:val="14"/>
                <w:szCs w:val="14"/>
                <w:lang w:val="fr-CA"/>
              </w:rPr>
            </w:pPr>
            <w:r>
              <w:rPr>
                <w:i/>
                <w:sz w:val="14"/>
                <w:szCs w:val="14"/>
                <w:lang w:val="fr-CA"/>
              </w:rPr>
              <w:t>Total</w:t>
            </w:r>
          </w:p>
        </w:tc>
        <w:tc>
          <w:tcPr>
            <w:tcW w:w="758"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i/>
                <w:sz w:val="14"/>
                <w:szCs w:val="14"/>
                <w:lang w:val="fr-CA"/>
              </w:rPr>
            </w:pPr>
            <w:r>
              <w:rPr>
                <w:i/>
                <w:sz w:val="14"/>
                <w:szCs w:val="14"/>
                <w:lang w:val="fr-CA"/>
              </w:rPr>
              <w:t>Sexe M</w:t>
            </w:r>
          </w:p>
        </w:tc>
        <w:tc>
          <w:tcPr>
            <w:tcW w:w="698"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i/>
                <w:sz w:val="14"/>
                <w:szCs w:val="14"/>
                <w:lang w:val="fr-CA"/>
              </w:rPr>
            </w:pPr>
            <w:r>
              <w:rPr>
                <w:i/>
                <w:sz w:val="14"/>
                <w:szCs w:val="14"/>
                <w:lang w:val="fr-CA"/>
              </w:rPr>
              <w:t>Sexe F</w:t>
            </w:r>
          </w:p>
        </w:tc>
        <w:tc>
          <w:tcPr>
            <w:tcW w:w="743"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i/>
                <w:sz w:val="14"/>
                <w:szCs w:val="14"/>
                <w:lang w:val="fr-CA"/>
              </w:rPr>
            </w:pPr>
            <w:r>
              <w:rPr>
                <w:i/>
                <w:sz w:val="14"/>
                <w:szCs w:val="14"/>
                <w:lang w:val="fr-CA"/>
              </w:rPr>
              <w:t>Total</w:t>
            </w:r>
          </w:p>
        </w:tc>
        <w:tc>
          <w:tcPr>
            <w:tcW w:w="799"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i/>
                <w:sz w:val="14"/>
                <w:szCs w:val="14"/>
                <w:lang w:val="fr-CA"/>
              </w:rPr>
            </w:pPr>
            <w:r>
              <w:rPr>
                <w:i/>
                <w:sz w:val="14"/>
                <w:szCs w:val="14"/>
                <w:lang w:val="fr-CA"/>
              </w:rPr>
              <w:t>Sexe M</w:t>
            </w:r>
          </w:p>
        </w:tc>
        <w:tc>
          <w:tcPr>
            <w:tcW w:w="709"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160" w:lineRule="exact"/>
              <w:ind w:left="113" w:right="0"/>
              <w:jc w:val="right"/>
              <w:rPr>
                <w:i/>
                <w:sz w:val="14"/>
                <w:szCs w:val="14"/>
                <w:lang w:val="fr-CA"/>
              </w:rPr>
            </w:pPr>
            <w:r>
              <w:rPr>
                <w:i/>
                <w:sz w:val="14"/>
                <w:szCs w:val="14"/>
                <w:lang w:val="fr-CA"/>
              </w:rPr>
              <w:t>Sexe F</w:t>
            </w:r>
          </w:p>
        </w:tc>
      </w:tr>
      <w:tr w:rsidR="00A10274">
        <w:trPr>
          <w:trHeight w:val="240"/>
        </w:trPr>
        <w:tc>
          <w:tcPr>
            <w:tcW w:w="709" w:type="dxa"/>
            <w:tcBorders>
              <w:top w:val="single" w:sz="12" w:space="0" w:color="auto"/>
            </w:tcBorders>
            <w:shd w:val="clear" w:color="auto" w:fill="auto"/>
          </w:tcPr>
          <w:p w:rsidR="00A10274" w:rsidRDefault="00A10274">
            <w:pPr>
              <w:pStyle w:val="SingleTxtG"/>
              <w:keepNext/>
              <w:suppressAutoHyphens w:val="0"/>
              <w:spacing w:before="40" w:after="40" w:line="210" w:lineRule="exact"/>
              <w:ind w:left="0" w:right="0"/>
              <w:jc w:val="left"/>
              <w:rPr>
                <w:sz w:val="18"/>
                <w:szCs w:val="18"/>
                <w:lang w:val="fr-CA"/>
              </w:rPr>
            </w:pPr>
            <w:r>
              <w:rPr>
                <w:sz w:val="18"/>
                <w:szCs w:val="18"/>
                <w:lang w:val="fr-CA"/>
              </w:rPr>
              <w:t>2009/10</w:t>
            </w:r>
          </w:p>
        </w:tc>
        <w:tc>
          <w:tcPr>
            <w:tcW w:w="732" w:type="dxa"/>
            <w:tcBorders>
              <w:top w:val="single" w:sz="12" w:space="0" w:color="auto"/>
            </w:tcBorders>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133 259</w:t>
            </w:r>
          </w:p>
        </w:tc>
        <w:tc>
          <w:tcPr>
            <w:tcW w:w="777" w:type="dxa"/>
            <w:tcBorders>
              <w:top w:val="single" w:sz="12" w:space="0" w:color="auto"/>
            </w:tcBorders>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69 838</w:t>
            </w:r>
          </w:p>
        </w:tc>
        <w:tc>
          <w:tcPr>
            <w:tcW w:w="698" w:type="dxa"/>
            <w:tcBorders>
              <w:top w:val="single" w:sz="12" w:space="0" w:color="auto"/>
            </w:tcBorders>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63 526</w:t>
            </w:r>
          </w:p>
        </w:tc>
        <w:tc>
          <w:tcPr>
            <w:tcW w:w="748" w:type="dxa"/>
            <w:tcBorders>
              <w:top w:val="single" w:sz="12" w:space="0" w:color="auto"/>
            </w:tcBorders>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27 163</w:t>
            </w:r>
          </w:p>
        </w:tc>
        <w:tc>
          <w:tcPr>
            <w:tcW w:w="758" w:type="dxa"/>
            <w:tcBorders>
              <w:top w:val="single" w:sz="12" w:space="0" w:color="auto"/>
            </w:tcBorders>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14 071</w:t>
            </w:r>
          </w:p>
        </w:tc>
        <w:tc>
          <w:tcPr>
            <w:tcW w:w="698" w:type="dxa"/>
            <w:tcBorders>
              <w:top w:val="single" w:sz="12" w:space="0" w:color="auto"/>
            </w:tcBorders>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13 092</w:t>
            </w:r>
          </w:p>
        </w:tc>
        <w:tc>
          <w:tcPr>
            <w:tcW w:w="743" w:type="dxa"/>
            <w:tcBorders>
              <w:top w:val="single" w:sz="12" w:space="0" w:color="auto"/>
            </w:tcBorders>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20,4</w:t>
            </w:r>
          </w:p>
        </w:tc>
        <w:tc>
          <w:tcPr>
            <w:tcW w:w="799" w:type="dxa"/>
            <w:tcBorders>
              <w:top w:val="single" w:sz="12" w:space="0" w:color="auto"/>
            </w:tcBorders>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20,1</w:t>
            </w:r>
          </w:p>
        </w:tc>
        <w:tc>
          <w:tcPr>
            <w:tcW w:w="709" w:type="dxa"/>
            <w:tcBorders>
              <w:top w:val="single" w:sz="12" w:space="0" w:color="auto"/>
            </w:tcBorders>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20,6</w:t>
            </w:r>
          </w:p>
        </w:tc>
      </w:tr>
      <w:tr w:rsidR="00A10274">
        <w:trPr>
          <w:trHeight w:val="240"/>
        </w:trPr>
        <w:tc>
          <w:tcPr>
            <w:tcW w:w="709" w:type="dxa"/>
            <w:shd w:val="clear" w:color="auto" w:fill="auto"/>
          </w:tcPr>
          <w:p w:rsidR="00A10274" w:rsidRDefault="00A10274">
            <w:pPr>
              <w:pStyle w:val="SingleTxtG"/>
              <w:keepNext/>
              <w:suppressAutoHyphens w:val="0"/>
              <w:spacing w:before="40" w:after="40" w:line="210" w:lineRule="exact"/>
              <w:ind w:left="0" w:right="0"/>
              <w:jc w:val="left"/>
              <w:rPr>
                <w:sz w:val="18"/>
                <w:szCs w:val="18"/>
                <w:lang w:val="fr-CA"/>
              </w:rPr>
            </w:pPr>
            <w:r>
              <w:rPr>
                <w:sz w:val="18"/>
                <w:szCs w:val="18"/>
                <w:lang w:val="fr-CA"/>
              </w:rPr>
              <w:t>2010/11</w:t>
            </w:r>
          </w:p>
        </w:tc>
        <w:tc>
          <w:tcPr>
            <w:tcW w:w="732" w:type="dxa"/>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133 756</w:t>
            </w:r>
          </w:p>
        </w:tc>
        <w:tc>
          <w:tcPr>
            <w:tcW w:w="777" w:type="dxa"/>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69 925</w:t>
            </w:r>
          </w:p>
        </w:tc>
        <w:tc>
          <w:tcPr>
            <w:tcW w:w="698" w:type="dxa"/>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63 829</w:t>
            </w:r>
          </w:p>
        </w:tc>
        <w:tc>
          <w:tcPr>
            <w:tcW w:w="748" w:type="dxa"/>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29 990</w:t>
            </w:r>
          </w:p>
        </w:tc>
        <w:tc>
          <w:tcPr>
            <w:tcW w:w="758" w:type="dxa"/>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15 404</w:t>
            </w:r>
          </w:p>
        </w:tc>
        <w:tc>
          <w:tcPr>
            <w:tcW w:w="698" w:type="dxa"/>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14 586</w:t>
            </w:r>
          </w:p>
        </w:tc>
        <w:tc>
          <w:tcPr>
            <w:tcW w:w="743" w:type="dxa"/>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22,4</w:t>
            </w:r>
          </w:p>
        </w:tc>
        <w:tc>
          <w:tcPr>
            <w:tcW w:w="799" w:type="dxa"/>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22,0</w:t>
            </w:r>
          </w:p>
        </w:tc>
        <w:tc>
          <w:tcPr>
            <w:tcW w:w="709" w:type="dxa"/>
            <w:shd w:val="clear" w:color="auto" w:fill="auto"/>
            <w:vAlign w:val="bottom"/>
          </w:tcPr>
          <w:p w:rsidR="00A10274" w:rsidRDefault="00A10274">
            <w:pPr>
              <w:pStyle w:val="SingleTxtG"/>
              <w:keepNext/>
              <w:suppressAutoHyphens w:val="0"/>
              <w:spacing w:before="40" w:after="40" w:line="210" w:lineRule="exact"/>
              <w:ind w:left="113" w:right="0"/>
              <w:jc w:val="right"/>
              <w:rPr>
                <w:sz w:val="18"/>
                <w:szCs w:val="18"/>
                <w:lang w:val="fr-CA"/>
              </w:rPr>
            </w:pPr>
            <w:r>
              <w:rPr>
                <w:sz w:val="18"/>
                <w:szCs w:val="18"/>
                <w:lang w:val="fr-CA"/>
              </w:rPr>
              <w:t>22,9</w:t>
            </w:r>
          </w:p>
        </w:tc>
      </w:tr>
      <w:tr w:rsidR="00A10274">
        <w:trPr>
          <w:trHeight w:val="240"/>
        </w:trPr>
        <w:tc>
          <w:tcPr>
            <w:tcW w:w="709" w:type="dxa"/>
            <w:tcBorders>
              <w:bottom w:val="single" w:sz="12" w:space="0" w:color="auto"/>
            </w:tcBorders>
            <w:shd w:val="clear" w:color="auto" w:fill="auto"/>
          </w:tcPr>
          <w:p w:rsidR="00A10274" w:rsidRDefault="00A10274">
            <w:pPr>
              <w:pStyle w:val="SingleTxtG"/>
              <w:suppressAutoHyphens w:val="0"/>
              <w:spacing w:before="40" w:after="40" w:line="210" w:lineRule="exact"/>
              <w:ind w:left="0" w:right="0"/>
              <w:jc w:val="left"/>
              <w:rPr>
                <w:sz w:val="18"/>
                <w:szCs w:val="18"/>
                <w:lang w:val="fr-CA"/>
              </w:rPr>
            </w:pPr>
            <w:r>
              <w:rPr>
                <w:sz w:val="18"/>
                <w:szCs w:val="18"/>
                <w:lang w:val="fr-CA"/>
              </w:rPr>
              <w:t>2011/12</w:t>
            </w:r>
          </w:p>
        </w:tc>
        <w:tc>
          <w:tcPr>
            <w:tcW w:w="732" w:type="dxa"/>
            <w:tcBorders>
              <w:bottom w:val="single" w:sz="12" w:space="0" w:color="auto"/>
            </w:tcBorders>
            <w:shd w:val="clear" w:color="auto" w:fill="auto"/>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145 775</w:t>
            </w:r>
          </w:p>
        </w:tc>
        <w:tc>
          <w:tcPr>
            <w:tcW w:w="777" w:type="dxa"/>
            <w:tcBorders>
              <w:bottom w:val="single" w:sz="12" w:space="0" w:color="auto"/>
            </w:tcBorders>
            <w:shd w:val="clear" w:color="auto" w:fill="auto"/>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75 847</w:t>
            </w:r>
          </w:p>
        </w:tc>
        <w:tc>
          <w:tcPr>
            <w:tcW w:w="698" w:type="dxa"/>
            <w:tcBorders>
              <w:bottom w:val="single" w:sz="12" w:space="0" w:color="auto"/>
            </w:tcBorders>
            <w:shd w:val="clear" w:color="auto" w:fill="auto"/>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69 928</w:t>
            </w:r>
          </w:p>
        </w:tc>
        <w:tc>
          <w:tcPr>
            <w:tcW w:w="748" w:type="dxa"/>
            <w:tcBorders>
              <w:bottom w:val="single" w:sz="12" w:space="0" w:color="auto"/>
            </w:tcBorders>
            <w:shd w:val="clear" w:color="auto" w:fill="auto"/>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28 952</w:t>
            </w:r>
          </w:p>
        </w:tc>
        <w:tc>
          <w:tcPr>
            <w:tcW w:w="758" w:type="dxa"/>
            <w:tcBorders>
              <w:bottom w:val="single" w:sz="12" w:space="0" w:color="auto"/>
            </w:tcBorders>
            <w:shd w:val="clear" w:color="auto" w:fill="auto"/>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14 801</w:t>
            </w:r>
          </w:p>
        </w:tc>
        <w:tc>
          <w:tcPr>
            <w:tcW w:w="698" w:type="dxa"/>
            <w:tcBorders>
              <w:bottom w:val="single" w:sz="12" w:space="0" w:color="auto"/>
            </w:tcBorders>
            <w:shd w:val="clear" w:color="auto" w:fill="auto"/>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14 151</w:t>
            </w:r>
          </w:p>
        </w:tc>
        <w:tc>
          <w:tcPr>
            <w:tcW w:w="743" w:type="dxa"/>
            <w:tcBorders>
              <w:bottom w:val="single" w:sz="12" w:space="0" w:color="auto"/>
            </w:tcBorders>
            <w:shd w:val="clear" w:color="auto" w:fill="auto"/>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19,9</w:t>
            </w:r>
          </w:p>
        </w:tc>
        <w:tc>
          <w:tcPr>
            <w:tcW w:w="799" w:type="dxa"/>
            <w:tcBorders>
              <w:bottom w:val="single" w:sz="12" w:space="0" w:color="auto"/>
            </w:tcBorders>
            <w:shd w:val="clear" w:color="auto" w:fill="auto"/>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19,5</w:t>
            </w:r>
          </w:p>
        </w:tc>
        <w:tc>
          <w:tcPr>
            <w:tcW w:w="709" w:type="dxa"/>
            <w:tcBorders>
              <w:bottom w:val="single" w:sz="12" w:space="0" w:color="auto"/>
            </w:tcBorders>
            <w:shd w:val="clear" w:color="auto" w:fill="auto"/>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20,2</w:t>
            </w:r>
          </w:p>
        </w:tc>
      </w:tr>
    </w:tbl>
    <w:p w:rsidR="00A10274" w:rsidRDefault="00A10274">
      <w:pPr>
        <w:pStyle w:val="SingleTxt"/>
        <w:spacing w:after="0" w:line="120" w:lineRule="exact"/>
        <w:ind w:left="1264"/>
        <w:rPr>
          <w:sz w:val="10"/>
          <w:lang w:val="fr-CA"/>
        </w:rPr>
      </w:pPr>
    </w:p>
    <w:p w:rsidR="00A10274" w:rsidRDefault="00A10274">
      <w:pPr>
        <w:pStyle w:val="SingleTxt"/>
        <w:spacing w:after="0" w:line="120" w:lineRule="exact"/>
        <w:ind w:left="1264"/>
        <w:rPr>
          <w:sz w:val="10"/>
          <w:lang w:val="fr-CA"/>
        </w:rPr>
      </w:pPr>
    </w:p>
    <w:p w:rsidR="00A10274" w:rsidRDefault="00A10274">
      <w:pPr>
        <w:pStyle w:val="SingleTxt"/>
        <w:rPr>
          <w:lang w:val="fr-CA"/>
        </w:rPr>
      </w:pPr>
      <w:r>
        <w:rPr>
          <w:lang w:val="fr-CA"/>
        </w:rPr>
        <w:t>24.</w:t>
      </w:r>
      <w:r>
        <w:rPr>
          <w:lang w:val="fr-CA"/>
        </w:rPr>
        <w:tab/>
        <w:t>Comme le montre le tableau 4, il n’y a pas eu, au niveau préscolaire, de tendance particulière dans le taux net de scolarisation des deux sexes pendant les années scolaires 2009/10 à 2011/12. Dans un premier temps, le taux de scolarisation des filles a augmenté de 2,3 % de 2009/10 à 2010/11 pour tomber de 2,7 % l’année suivante.</w:t>
      </w:r>
    </w:p>
    <w:p w:rsidR="00A10274" w:rsidRDefault="00A10274">
      <w:pPr>
        <w:pStyle w:val="SingleTxt"/>
        <w:keepNext/>
        <w:spacing w:after="0" w:line="120" w:lineRule="exact"/>
        <w:jc w:val="lef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4</w:t>
      </w:r>
      <w:r>
        <w:rPr>
          <w:lang w:val="fr-CA"/>
        </w:rPr>
        <w:br/>
        <w:t xml:space="preserve">Niveau élémentaire : Taux brut et net de scolarisation par année </w:t>
      </w:r>
      <w:r>
        <w:rPr>
          <w:lang w:val="fr-CA"/>
        </w:rPr>
        <w:br/>
        <w:t>et par sexe 2009/10 – 2011/12</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0" w:type="auto"/>
        <w:tblInd w:w="1276" w:type="dxa"/>
        <w:tblBorders>
          <w:top w:val="single" w:sz="4" w:space="0" w:color="auto"/>
        </w:tblBorders>
        <w:tblLayout w:type="fixed"/>
        <w:tblCellMar>
          <w:left w:w="0" w:type="dxa"/>
          <w:right w:w="0" w:type="dxa"/>
        </w:tblCellMar>
        <w:tblLook w:val="04A0"/>
      </w:tblPr>
      <w:tblGrid>
        <w:gridCol w:w="992"/>
        <w:gridCol w:w="992"/>
        <w:gridCol w:w="992"/>
        <w:gridCol w:w="993"/>
        <w:gridCol w:w="1060"/>
        <w:gridCol w:w="1060"/>
        <w:gridCol w:w="1275"/>
      </w:tblGrid>
      <w:tr w:rsidR="00A10274">
        <w:trPr>
          <w:trHeight w:val="240"/>
          <w:tblHeader/>
        </w:trPr>
        <w:tc>
          <w:tcPr>
            <w:tcW w:w="992" w:type="dxa"/>
            <w:tcBorders>
              <w:top w:val="single" w:sz="4" w:space="0" w:color="auto"/>
              <w:bottom w:val="nil"/>
            </w:tcBorders>
            <w:shd w:val="clear" w:color="auto" w:fill="auto"/>
            <w:noWrap/>
            <w:vAlign w:val="bottom"/>
          </w:tcPr>
          <w:p w:rsidR="00A10274" w:rsidRDefault="00A10274">
            <w:pPr>
              <w:pStyle w:val="SingleTxtG"/>
              <w:suppressAutoHyphens w:val="0"/>
              <w:spacing w:before="80" w:after="80" w:line="160" w:lineRule="exact"/>
              <w:ind w:left="0" w:right="0"/>
              <w:jc w:val="left"/>
              <w:rPr>
                <w:i/>
                <w:sz w:val="14"/>
                <w:szCs w:val="14"/>
                <w:lang w:val="fr-CA"/>
              </w:rPr>
            </w:pPr>
            <w:r>
              <w:rPr>
                <w:i/>
                <w:sz w:val="14"/>
                <w:szCs w:val="14"/>
                <w:lang w:val="fr-CA"/>
              </w:rPr>
              <w:t> </w:t>
            </w:r>
          </w:p>
        </w:tc>
        <w:tc>
          <w:tcPr>
            <w:tcW w:w="992" w:type="dxa"/>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160" w:lineRule="exact"/>
              <w:ind w:left="0" w:right="0"/>
              <w:jc w:val="left"/>
              <w:rPr>
                <w:i/>
                <w:sz w:val="14"/>
                <w:szCs w:val="14"/>
                <w:lang w:val="fr-CA"/>
              </w:rPr>
            </w:pPr>
          </w:p>
        </w:tc>
        <w:tc>
          <w:tcPr>
            <w:tcW w:w="1985" w:type="dxa"/>
            <w:gridSpan w:val="2"/>
            <w:tcBorders>
              <w:top w:val="single" w:sz="4" w:space="0" w:color="auto"/>
              <w:bottom w:val="single" w:sz="6" w:space="0" w:color="auto"/>
            </w:tcBorders>
            <w:shd w:val="clear" w:color="auto" w:fill="auto"/>
            <w:noWrap/>
            <w:vAlign w:val="bottom"/>
          </w:tcPr>
          <w:p w:rsidR="00A10274" w:rsidRDefault="00A10274">
            <w:pPr>
              <w:pStyle w:val="SingleTxtG"/>
              <w:suppressAutoHyphens w:val="0"/>
              <w:spacing w:before="80" w:after="80" w:line="160" w:lineRule="exact"/>
              <w:ind w:left="113" w:right="0"/>
              <w:jc w:val="center"/>
              <w:rPr>
                <w:i/>
                <w:sz w:val="14"/>
                <w:szCs w:val="14"/>
                <w:lang w:val="fr-CA"/>
              </w:rPr>
            </w:pPr>
            <w:r>
              <w:rPr>
                <w:i/>
                <w:sz w:val="14"/>
                <w:szCs w:val="14"/>
                <w:lang w:val="fr-CA"/>
              </w:rPr>
              <w:t>TBS</w:t>
            </w:r>
          </w:p>
        </w:tc>
        <w:tc>
          <w:tcPr>
            <w:tcW w:w="3395" w:type="dxa"/>
            <w:gridSpan w:val="3"/>
            <w:tcBorders>
              <w:top w:val="single" w:sz="4" w:space="0" w:color="auto"/>
              <w:bottom w:val="single" w:sz="6" w:space="0" w:color="auto"/>
            </w:tcBorders>
            <w:shd w:val="clear" w:color="auto" w:fill="auto"/>
            <w:noWrap/>
            <w:vAlign w:val="bottom"/>
          </w:tcPr>
          <w:p w:rsidR="00A10274" w:rsidRDefault="00A10274">
            <w:pPr>
              <w:pStyle w:val="SingleTxtG"/>
              <w:suppressAutoHyphens w:val="0"/>
              <w:spacing w:before="80" w:after="80" w:line="160" w:lineRule="exact"/>
              <w:ind w:left="113" w:right="0"/>
              <w:jc w:val="center"/>
              <w:rPr>
                <w:i/>
                <w:sz w:val="14"/>
                <w:szCs w:val="14"/>
                <w:lang w:val="fr-CA"/>
              </w:rPr>
            </w:pPr>
            <w:r>
              <w:rPr>
                <w:i/>
                <w:sz w:val="14"/>
                <w:szCs w:val="14"/>
                <w:lang w:val="fr-CA"/>
              </w:rPr>
              <w:t>TNS</w:t>
            </w:r>
          </w:p>
        </w:tc>
      </w:tr>
      <w:tr w:rsidR="00A10274">
        <w:trPr>
          <w:trHeight w:val="240"/>
        </w:trPr>
        <w:tc>
          <w:tcPr>
            <w:tcW w:w="992" w:type="dxa"/>
            <w:tcBorders>
              <w:top w:val="nil"/>
              <w:bottom w:val="single" w:sz="12" w:space="0" w:color="auto"/>
            </w:tcBorders>
            <w:shd w:val="clear" w:color="auto" w:fill="auto"/>
            <w:noWrap/>
          </w:tcPr>
          <w:p w:rsidR="00A10274" w:rsidRDefault="00A10274">
            <w:pPr>
              <w:pStyle w:val="SingleTxtG"/>
              <w:suppressAutoHyphens w:val="0"/>
              <w:spacing w:before="80" w:after="80" w:line="160" w:lineRule="exact"/>
              <w:ind w:left="0" w:right="0"/>
              <w:jc w:val="left"/>
              <w:rPr>
                <w:sz w:val="14"/>
                <w:szCs w:val="14"/>
                <w:lang w:val="fr-CA"/>
              </w:rPr>
            </w:pPr>
            <w:r>
              <w:rPr>
                <w:sz w:val="14"/>
                <w:szCs w:val="14"/>
                <w:lang w:val="fr-CA"/>
              </w:rPr>
              <w:t> </w:t>
            </w:r>
          </w:p>
        </w:tc>
        <w:tc>
          <w:tcPr>
            <w:tcW w:w="992"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Garçons</w:t>
            </w:r>
          </w:p>
        </w:tc>
        <w:tc>
          <w:tcPr>
            <w:tcW w:w="992"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Filles</w:t>
            </w:r>
          </w:p>
        </w:tc>
        <w:tc>
          <w:tcPr>
            <w:tcW w:w="993"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Total</w:t>
            </w:r>
          </w:p>
        </w:tc>
        <w:tc>
          <w:tcPr>
            <w:tcW w:w="1060"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Garçons</w:t>
            </w:r>
          </w:p>
        </w:tc>
        <w:tc>
          <w:tcPr>
            <w:tcW w:w="1060"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Filles</w:t>
            </w:r>
          </w:p>
        </w:tc>
        <w:tc>
          <w:tcPr>
            <w:tcW w:w="1275"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Total</w:t>
            </w:r>
          </w:p>
        </w:tc>
      </w:tr>
      <w:tr w:rsidR="00A10274">
        <w:trPr>
          <w:trHeight w:val="240"/>
        </w:trPr>
        <w:tc>
          <w:tcPr>
            <w:tcW w:w="992" w:type="dxa"/>
            <w:tcBorders>
              <w:top w:val="single" w:sz="12" w:space="0" w:color="auto"/>
            </w:tcBorders>
            <w:shd w:val="clear" w:color="auto" w:fill="auto"/>
            <w:noWrap/>
          </w:tcPr>
          <w:p w:rsidR="00A10274" w:rsidRDefault="00A10274">
            <w:pPr>
              <w:pStyle w:val="SingleTxtG"/>
              <w:suppressAutoHyphens w:val="0"/>
              <w:spacing w:before="81" w:after="40" w:line="240" w:lineRule="auto"/>
              <w:ind w:left="0" w:right="0"/>
              <w:jc w:val="left"/>
              <w:rPr>
                <w:sz w:val="18"/>
                <w:szCs w:val="18"/>
                <w:lang w:val="fr-CA"/>
              </w:rPr>
            </w:pPr>
            <w:r>
              <w:rPr>
                <w:sz w:val="18"/>
                <w:szCs w:val="18"/>
                <w:lang w:val="fr-CA"/>
              </w:rPr>
              <w:t>2009/10</w:t>
            </w:r>
          </w:p>
        </w:tc>
        <w:tc>
          <w:tcPr>
            <w:tcW w:w="992" w:type="dxa"/>
            <w:tcBorders>
              <w:top w:val="single" w:sz="12" w:space="0" w:color="auto"/>
            </w:tcBorders>
            <w:shd w:val="clear" w:color="auto" w:fill="auto"/>
            <w:noWrap/>
            <w:vAlign w:val="bottom"/>
          </w:tcPr>
          <w:p w:rsidR="00A10274" w:rsidRDefault="00A10274">
            <w:pPr>
              <w:pStyle w:val="SingleTxtG"/>
              <w:suppressAutoHyphens w:val="0"/>
              <w:spacing w:before="81" w:after="40" w:line="240" w:lineRule="auto"/>
              <w:ind w:left="113" w:right="0"/>
              <w:jc w:val="right"/>
              <w:rPr>
                <w:sz w:val="18"/>
                <w:szCs w:val="18"/>
                <w:lang w:val="fr-CA"/>
              </w:rPr>
            </w:pPr>
            <w:r>
              <w:rPr>
                <w:sz w:val="18"/>
                <w:szCs w:val="18"/>
                <w:lang w:val="fr-CA"/>
              </w:rPr>
              <w:t>69,50</w:t>
            </w:r>
          </w:p>
        </w:tc>
        <w:tc>
          <w:tcPr>
            <w:tcW w:w="992" w:type="dxa"/>
            <w:tcBorders>
              <w:top w:val="single" w:sz="12" w:space="0" w:color="auto"/>
            </w:tcBorders>
            <w:shd w:val="clear" w:color="auto" w:fill="auto"/>
            <w:noWrap/>
            <w:vAlign w:val="bottom"/>
          </w:tcPr>
          <w:p w:rsidR="00A10274" w:rsidRDefault="00A10274">
            <w:pPr>
              <w:pStyle w:val="SingleTxtG"/>
              <w:suppressAutoHyphens w:val="0"/>
              <w:spacing w:before="81" w:after="40" w:line="240" w:lineRule="auto"/>
              <w:ind w:left="113" w:right="0"/>
              <w:jc w:val="right"/>
              <w:rPr>
                <w:sz w:val="18"/>
                <w:szCs w:val="18"/>
                <w:lang w:val="fr-CA"/>
              </w:rPr>
            </w:pPr>
            <w:r>
              <w:rPr>
                <w:sz w:val="18"/>
                <w:szCs w:val="18"/>
                <w:lang w:val="fr-CA"/>
              </w:rPr>
              <w:t>62,30</w:t>
            </w:r>
          </w:p>
        </w:tc>
        <w:tc>
          <w:tcPr>
            <w:tcW w:w="993" w:type="dxa"/>
            <w:tcBorders>
              <w:top w:val="single" w:sz="12" w:space="0" w:color="auto"/>
            </w:tcBorders>
            <w:shd w:val="clear" w:color="auto" w:fill="auto"/>
            <w:noWrap/>
            <w:vAlign w:val="bottom"/>
          </w:tcPr>
          <w:p w:rsidR="00A10274" w:rsidRDefault="00A10274">
            <w:pPr>
              <w:pStyle w:val="SingleTxtG"/>
              <w:suppressAutoHyphens w:val="0"/>
              <w:spacing w:before="81" w:after="40" w:line="240" w:lineRule="auto"/>
              <w:ind w:left="113" w:right="0"/>
              <w:jc w:val="right"/>
              <w:rPr>
                <w:sz w:val="18"/>
                <w:szCs w:val="18"/>
                <w:lang w:val="fr-CA"/>
              </w:rPr>
            </w:pPr>
            <w:r>
              <w:rPr>
                <w:sz w:val="18"/>
                <w:szCs w:val="18"/>
                <w:lang w:val="fr-CA"/>
              </w:rPr>
              <w:t>66,10</w:t>
            </w:r>
          </w:p>
        </w:tc>
        <w:tc>
          <w:tcPr>
            <w:tcW w:w="1060" w:type="dxa"/>
            <w:tcBorders>
              <w:top w:val="single" w:sz="12" w:space="0" w:color="auto"/>
            </w:tcBorders>
            <w:shd w:val="clear" w:color="auto" w:fill="auto"/>
            <w:noWrap/>
            <w:vAlign w:val="bottom"/>
          </w:tcPr>
          <w:p w:rsidR="00A10274" w:rsidRDefault="00A10274">
            <w:pPr>
              <w:pStyle w:val="SingleTxtG"/>
              <w:suppressAutoHyphens w:val="0"/>
              <w:spacing w:before="81" w:after="40" w:line="240" w:lineRule="auto"/>
              <w:ind w:left="113" w:right="0"/>
              <w:jc w:val="right"/>
              <w:rPr>
                <w:sz w:val="18"/>
                <w:szCs w:val="18"/>
                <w:lang w:val="fr-CA"/>
              </w:rPr>
            </w:pPr>
            <w:r>
              <w:rPr>
                <w:sz w:val="18"/>
                <w:szCs w:val="18"/>
                <w:lang w:val="fr-CA"/>
              </w:rPr>
              <w:t>51,40</w:t>
            </w:r>
          </w:p>
        </w:tc>
        <w:tc>
          <w:tcPr>
            <w:tcW w:w="1060" w:type="dxa"/>
            <w:tcBorders>
              <w:top w:val="single" w:sz="12" w:space="0" w:color="auto"/>
            </w:tcBorders>
            <w:shd w:val="clear" w:color="auto" w:fill="auto"/>
            <w:noWrap/>
            <w:vAlign w:val="bottom"/>
          </w:tcPr>
          <w:p w:rsidR="00A10274" w:rsidRDefault="00A10274">
            <w:pPr>
              <w:pStyle w:val="SingleTxtG"/>
              <w:suppressAutoHyphens w:val="0"/>
              <w:spacing w:before="81" w:after="40" w:line="240" w:lineRule="auto"/>
              <w:ind w:left="113" w:right="0"/>
              <w:jc w:val="right"/>
              <w:rPr>
                <w:sz w:val="18"/>
                <w:szCs w:val="18"/>
                <w:lang w:val="fr-CA"/>
              </w:rPr>
            </w:pPr>
            <w:r>
              <w:rPr>
                <w:sz w:val="18"/>
                <w:szCs w:val="18"/>
                <w:lang w:val="fr-CA"/>
              </w:rPr>
              <w:t>47,60</w:t>
            </w:r>
          </w:p>
        </w:tc>
        <w:tc>
          <w:tcPr>
            <w:tcW w:w="1275" w:type="dxa"/>
            <w:tcBorders>
              <w:top w:val="single" w:sz="12" w:space="0" w:color="auto"/>
            </w:tcBorders>
            <w:shd w:val="clear" w:color="auto" w:fill="auto"/>
            <w:noWrap/>
            <w:vAlign w:val="bottom"/>
          </w:tcPr>
          <w:p w:rsidR="00A10274" w:rsidRDefault="00A10274">
            <w:pPr>
              <w:pStyle w:val="SingleTxtG"/>
              <w:suppressAutoHyphens w:val="0"/>
              <w:spacing w:before="81" w:after="40" w:line="240" w:lineRule="auto"/>
              <w:ind w:left="113" w:right="0"/>
              <w:jc w:val="right"/>
              <w:rPr>
                <w:sz w:val="18"/>
                <w:szCs w:val="18"/>
                <w:lang w:val="fr-CA"/>
              </w:rPr>
            </w:pPr>
            <w:r>
              <w:rPr>
                <w:sz w:val="18"/>
                <w:szCs w:val="18"/>
                <w:lang w:val="fr-CA"/>
              </w:rPr>
              <w:t>49,60</w:t>
            </w:r>
          </w:p>
        </w:tc>
      </w:tr>
      <w:tr w:rsidR="00A10274">
        <w:trPr>
          <w:trHeight w:val="240"/>
        </w:trPr>
        <w:tc>
          <w:tcPr>
            <w:tcW w:w="992" w:type="dxa"/>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2010/11</w:t>
            </w:r>
          </w:p>
        </w:tc>
        <w:tc>
          <w:tcPr>
            <w:tcW w:w="992"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97,30</w:t>
            </w:r>
          </w:p>
        </w:tc>
        <w:tc>
          <w:tcPr>
            <w:tcW w:w="992"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86,70</w:t>
            </w:r>
          </w:p>
        </w:tc>
        <w:tc>
          <w:tcPr>
            <w:tcW w:w="993"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92,30</w:t>
            </w:r>
          </w:p>
        </w:tc>
        <w:tc>
          <w:tcPr>
            <w:tcW w:w="1060"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73,10</w:t>
            </w:r>
          </w:p>
        </w:tc>
        <w:tc>
          <w:tcPr>
            <w:tcW w:w="1060"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67,50</w:t>
            </w:r>
          </w:p>
        </w:tc>
        <w:tc>
          <w:tcPr>
            <w:tcW w:w="1275"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70,40</w:t>
            </w:r>
          </w:p>
        </w:tc>
      </w:tr>
      <w:tr w:rsidR="00A10274">
        <w:trPr>
          <w:trHeight w:val="240"/>
        </w:trPr>
        <w:tc>
          <w:tcPr>
            <w:tcW w:w="992" w:type="dxa"/>
            <w:tcBorders>
              <w:bottom w:val="single" w:sz="12" w:space="0" w:color="auto"/>
            </w:tcBorders>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2011/12</w:t>
            </w:r>
          </w:p>
        </w:tc>
        <w:tc>
          <w:tcPr>
            <w:tcW w:w="992"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104,20</w:t>
            </w:r>
          </w:p>
        </w:tc>
        <w:tc>
          <w:tcPr>
            <w:tcW w:w="992"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93,00</w:t>
            </w:r>
          </w:p>
        </w:tc>
        <w:tc>
          <w:tcPr>
            <w:tcW w:w="993"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99,00</w:t>
            </w:r>
          </w:p>
        </w:tc>
        <w:tc>
          <w:tcPr>
            <w:tcW w:w="1060"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79,70</w:t>
            </w:r>
          </w:p>
        </w:tc>
        <w:tc>
          <w:tcPr>
            <w:tcW w:w="1060"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73,40</w:t>
            </w:r>
          </w:p>
        </w:tc>
        <w:tc>
          <w:tcPr>
            <w:tcW w:w="1275"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76,80</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25.</w:t>
      </w:r>
      <w:r>
        <w:rPr>
          <w:lang w:val="fr-CA"/>
        </w:rPr>
        <w:tab/>
        <w:t>Le taux net de scolarisation des filles au niveau élémentaire a manifesté une tendance constante à la hausse durant la période quadriennale des années scolaires 2009/10 à 2011/12. Le taux net d’inscriptions scolaires des filles a augmenté de 21,4 % durant la période triennale considérée. La croissance est encourageante encore qu’il reste toujours un écart de 6,3 % en faveur des garçons.</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r>
      <w:r>
        <w:rPr>
          <w:b w:val="0"/>
          <w:lang w:val="fr-CA"/>
        </w:rPr>
        <w:t>Tableau 5</w:t>
      </w:r>
      <w:r>
        <w:rPr>
          <w:lang w:val="fr-CA"/>
        </w:rPr>
        <w:br/>
        <w:t xml:space="preserve">Niveau intermédiaire : Taux net de scolarisation par année </w:t>
      </w:r>
      <w:r>
        <w:rPr>
          <w:lang w:val="fr-CA"/>
        </w:rPr>
        <w:br/>
        <w:t>et par sexe 2009/2011/12</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0" w:type="auto"/>
        <w:tblInd w:w="1276" w:type="dxa"/>
        <w:tblBorders>
          <w:top w:val="single" w:sz="4" w:space="0" w:color="auto"/>
        </w:tblBorders>
        <w:tblLayout w:type="fixed"/>
        <w:tblCellMar>
          <w:left w:w="0" w:type="dxa"/>
          <w:right w:w="0" w:type="dxa"/>
        </w:tblCellMar>
        <w:tblLook w:val="04A0"/>
      </w:tblPr>
      <w:tblGrid>
        <w:gridCol w:w="889"/>
        <w:gridCol w:w="1032"/>
        <w:gridCol w:w="1032"/>
        <w:gridCol w:w="1032"/>
        <w:gridCol w:w="1122"/>
        <w:gridCol w:w="1123"/>
        <w:gridCol w:w="1123"/>
      </w:tblGrid>
      <w:tr w:rsidR="00A10274">
        <w:trPr>
          <w:tblHeader/>
        </w:trPr>
        <w:tc>
          <w:tcPr>
            <w:tcW w:w="889" w:type="dxa"/>
            <w:vMerge w:val="restart"/>
            <w:tcBorders>
              <w:top w:val="single" w:sz="4" w:space="0" w:color="auto"/>
            </w:tcBorders>
            <w:shd w:val="clear" w:color="auto" w:fill="auto"/>
            <w:noWrap/>
            <w:vAlign w:val="bottom"/>
          </w:tcPr>
          <w:p w:rsidR="00A10274" w:rsidRDefault="00A10274">
            <w:pPr>
              <w:pStyle w:val="SingleTxtG"/>
              <w:suppressAutoHyphens w:val="0"/>
              <w:spacing w:before="80" w:after="80" w:line="160" w:lineRule="exact"/>
              <w:ind w:left="0" w:right="0"/>
              <w:jc w:val="right"/>
              <w:rPr>
                <w:i/>
                <w:sz w:val="14"/>
                <w:szCs w:val="14"/>
                <w:lang w:val="fr-CA"/>
              </w:rPr>
            </w:pPr>
          </w:p>
        </w:tc>
        <w:tc>
          <w:tcPr>
            <w:tcW w:w="1032" w:type="dxa"/>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160" w:lineRule="exact"/>
              <w:ind w:left="0" w:right="0"/>
              <w:jc w:val="right"/>
              <w:rPr>
                <w:i/>
                <w:sz w:val="14"/>
                <w:szCs w:val="14"/>
                <w:lang w:val="fr-CA"/>
              </w:rPr>
            </w:pPr>
          </w:p>
        </w:tc>
        <w:tc>
          <w:tcPr>
            <w:tcW w:w="2064" w:type="dxa"/>
            <w:gridSpan w:val="2"/>
            <w:tcBorders>
              <w:top w:val="single" w:sz="4" w:space="0" w:color="auto"/>
              <w:bottom w:val="single" w:sz="6" w:space="0" w:color="auto"/>
            </w:tcBorders>
            <w:shd w:val="clear" w:color="auto" w:fill="auto"/>
            <w:noWrap/>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TBS</w:t>
            </w:r>
          </w:p>
        </w:tc>
        <w:tc>
          <w:tcPr>
            <w:tcW w:w="3368" w:type="dxa"/>
            <w:gridSpan w:val="3"/>
            <w:tcBorders>
              <w:top w:val="single" w:sz="4" w:space="0" w:color="auto"/>
              <w:bottom w:val="single" w:sz="6" w:space="0" w:color="auto"/>
            </w:tcBorders>
            <w:shd w:val="clear" w:color="auto" w:fill="auto"/>
            <w:noWrap/>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TNS</w:t>
            </w:r>
          </w:p>
        </w:tc>
      </w:tr>
      <w:tr w:rsidR="00A10274">
        <w:tc>
          <w:tcPr>
            <w:tcW w:w="889" w:type="dxa"/>
            <w:vMerge/>
            <w:tcBorders>
              <w:bottom w:val="single" w:sz="12" w:space="0" w:color="auto"/>
            </w:tcBorders>
            <w:shd w:val="clear" w:color="auto" w:fill="auto"/>
            <w:noWrap/>
          </w:tcPr>
          <w:p w:rsidR="00A10274" w:rsidRDefault="00A10274">
            <w:pPr>
              <w:pStyle w:val="SingleTxtG"/>
              <w:suppressAutoHyphens w:val="0"/>
              <w:spacing w:before="80" w:after="80" w:line="160" w:lineRule="exact"/>
              <w:ind w:left="0" w:right="0"/>
              <w:jc w:val="right"/>
              <w:rPr>
                <w:i/>
                <w:sz w:val="14"/>
                <w:szCs w:val="14"/>
                <w:lang w:val="fr-CA"/>
              </w:rPr>
            </w:pPr>
          </w:p>
        </w:tc>
        <w:tc>
          <w:tcPr>
            <w:tcW w:w="1032"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Garçons</w:t>
            </w:r>
          </w:p>
        </w:tc>
        <w:tc>
          <w:tcPr>
            <w:tcW w:w="1032"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Filles</w:t>
            </w:r>
          </w:p>
        </w:tc>
        <w:tc>
          <w:tcPr>
            <w:tcW w:w="1032"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Total</w:t>
            </w:r>
          </w:p>
        </w:tc>
        <w:tc>
          <w:tcPr>
            <w:tcW w:w="1122"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Garçons</w:t>
            </w:r>
          </w:p>
        </w:tc>
        <w:tc>
          <w:tcPr>
            <w:tcW w:w="1123"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Filles</w:t>
            </w:r>
          </w:p>
        </w:tc>
        <w:tc>
          <w:tcPr>
            <w:tcW w:w="1123"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160" w:lineRule="exact"/>
              <w:ind w:left="113" w:right="0"/>
              <w:jc w:val="right"/>
              <w:rPr>
                <w:i/>
                <w:sz w:val="14"/>
                <w:szCs w:val="14"/>
                <w:lang w:val="fr-CA"/>
              </w:rPr>
            </w:pPr>
            <w:r>
              <w:rPr>
                <w:i/>
                <w:sz w:val="14"/>
                <w:szCs w:val="14"/>
                <w:lang w:val="fr-CA"/>
              </w:rPr>
              <w:t>Total</w:t>
            </w:r>
          </w:p>
        </w:tc>
      </w:tr>
      <w:tr w:rsidR="00A10274">
        <w:trPr>
          <w:trHeight w:val="382"/>
        </w:trPr>
        <w:tc>
          <w:tcPr>
            <w:tcW w:w="889" w:type="dxa"/>
            <w:tcBorders>
              <w:top w:val="single" w:sz="12" w:space="0" w:color="auto"/>
            </w:tcBorders>
            <w:shd w:val="clear" w:color="auto" w:fill="auto"/>
            <w:noWrap/>
            <w:vAlign w:val="bottom"/>
          </w:tcPr>
          <w:p w:rsidR="00A10274" w:rsidRDefault="00A10274">
            <w:pPr>
              <w:pStyle w:val="SingleTxtG"/>
              <w:suppressAutoHyphens w:val="0"/>
              <w:spacing w:before="40" w:after="40" w:line="210" w:lineRule="exact"/>
              <w:ind w:left="0" w:right="0"/>
              <w:jc w:val="left"/>
              <w:rPr>
                <w:sz w:val="18"/>
                <w:szCs w:val="18"/>
                <w:lang w:val="fr-CA"/>
              </w:rPr>
            </w:pPr>
            <w:r>
              <w:rPr>
                <w:sz w:val="18"/>
                <w:szCs w:val="18"/>
                <w:lang w:val="fr-CA"/>
              </w:rPr>
              <w:t>2009/10</w:t>
            </w:r>
          </w:p>
        </w:tc>
        <w:tc>
          <w:tcPr>
            <w:tcW w:w="1032" w:type="dxa"/>
            <w:tcBorders>
              <w:top w:val="single" w:sz="12" w:space="0" w:color="auto"/>
            </w:tcBorders>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52,40</w:t>
            </w:r>
          </w:p>
        </w:tc>
        <w:tc>
          <w:tcPr>
            <w:tcW w:w="1032" w:type="dxa"/>
            <w:tcBorders>
              <w:top w:val="single" w:sz="12" w:space="0" w:color="auto"/>
            </w:tcBorders>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44,40</w:t>
            </w:r>
          </w:p>
        </w:tc>
        <w:tc>
          <w:tcPr>
            <w:tcW w:w="1032" w:type="dxa"/>
            <w:tcBorders>
              <w:top w:val="single" w:sz="12" w:space="0" w:color="auto"/>
            </w:tcBorders>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48,50</w:t>
            </w:r>
          </w:p>
        </w:tc>
        <w:tc>
          <w:tcPr>
            <w:tcW w:w="1122" w:type="dxa"/>
            <w:tcBorders>
              <w:top w:val="single" w:sz="12" w:space="0" w:color="auto"/>
            </w:tcBorders>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30,00</w:t>
            </w:r>
          </w:p>
        </w:tc>
        <w:tc>
          <w:tcPr>
            <w:tcW w:w="1123" w:type="dxa"/>
            <w:tcBorders>
              <w:top w:val="single" w:sz="12" w:space="0" w:color="auto"/>
            </w:tcBorders>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28,00</w:t>
            </w:r>
          </w:p>
        </w:tc>
        <w:tc>
          <w:tcPr>
            <w:tcW w:w="1123" w:type="dxa"/>
            <w:tcBorders>
              <w:top w:val="single" w:sz="12" w:space="0" w:color="auto"/>
            </w:tcBorders>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29,20</w:t>
            </w:r>
          </w:p>
        </w:tc>
      </w:tr>
      <w:tr w:rsidR="00A10274">
        <w:trPr>
          <w:trHeight w:val="382"/>
        </w:trPr>
        <w:tc>
          <w:tcPr>
            <w:tcW w:w="889" w:type="dxa"/>
            <w:shd w:val="clear" w:color="auto" w:fill="auto"/>
            <w:noWrap/>
            <w:vAlign w:val="bottom"/>
          </w:tcPr>
          <w:p w:rsidR="00A10274" w:rsidRDefault="00A10274">
            <w:pPr>
              <w:pStyle w:val="SingleTxtG"/>
              <w:suppressAutoHyphens w:val="0"/>
              <w:spacing w:before="40" w:after="40" w:line="210" w:lineRule="exact"/>
              <w:ind w:left="0" w:right="0"/>
              <w:jc w:val="left"/>
              <w:rPr>
                <w:sz w:val="18"/>
                <w:szCs w:val="18"/>
                <w:lang w:val="fr-CA"/>
              </w:rPr>
            </w:pPr>
            <w:r>
              <w:rPr>
                <w:sz w:val="18"/>
                <w:szCs w:val="18"/>
                <w:lang w:val="fr-CA"/>
              </w:rPr>
              <w:t>2010/11</w:t>
            </w:r>
          </w:p>
        </w:tc>
        <w:tc>
          <w:tcPr>
            <w:tcW w:w="1032" w:type="dxa"/>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66,72</w:t>
            </w:r>
          </w:p>
        </w:tc>
        <w:tc>
          <w:tcPr>
            <w:tcW w:w="1032" w:type="dxa"/>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56,23</w:t>
            </w:r>
          </w:p>
        </w:tc>
        <w:tc>
          <w:tcPr>
            <w:tcW w:w="1032" w:type="dxa"/>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61,62</w:t>
            </w:r>
          </w:p>
        </w:tc>
        <w:tc>
          <w:tcPr>
            <w:tcW w:w="1122" w:type="dxa"/>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33,10</w:t>
            </w:r>
          </w:p>
        </w:tc>
        <w:tc>
          <w:tcPr>
            <w:tcW w:w="1123" w:type="dxa"/>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30,80</w:t>
            </w:r>
          </w:p>
        </w:tc>
        <w:tc>
          <w:tcPr>
            <w:tcW w:w="1123" w:type="dxa"/>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32,00</w:t>
            </w:r>
          </w:p>
        </w:tc>
      </w:tr>
      <w:tr w:rsidR="00A10274">
        <w:trPr>
          <w:trHeight w:val="382"/>
        </w:trPr>
        <w:tc>
          <w:tcPr>
            <w:tcW w:w="889" w:type="dxa"/>
            <w:tcBorders>
              <w:bottom w:val="single" w:sz="12" w:space="0" w:color="auto"/>
            </w:tcBorders>
            <w:shd w:val="clear" w:color="auto" w:fill="auto"/>
            <w:noWrap/>
            <w:vAlign w:val="bottom"/>
          </w:tcPr>
          <w:p w:rsidR="00A10274" w:rsidRDefault="00A10274">
            <w:pPr>
              <w:pStyle w:val="SingleTxtG"/>
              <w:suppressAutoHyphens w:val="0"/>
              <w:spacing w:before="40" w:after="40" w:line="210" w:lineRule="exact"/>
              <w:ind w:left="0" w:right="0"/>
              <w:jc w:val="left"/>
              <w:rPr>
                <w:sz w:val="18"/>
                <w:szCs w:val="18"/>
                <w:lang w:val="fr-CA"/>
              </w:rPr>
            </w:pPr>
            <w:r>
              <w:rPr>
                <w:sz w:val="18"/>
                <w:szCs w:val="18"/>
                <w:lang w:val="fr-CA"/>
              </w:rPr>
              <w:t>2011/12</w:t>
            </w:r>
          </w:p>
        </w:tc>
        <w:tc>
          <w:tcPr>
            <w:tcW w:w="1032" w:type="dxa"/>
            <w:tcBorders>
              <w:bottom w:val="single" w:sz="12" w:space="0" w:color="auto"/>
            </w:tcBorders>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72,30</w:t>
            </w:r>
          </w:p>
        </w:tc>
        <w:tc>
          <w:tcPr>
            <w:tcW w:w="1032" w:type="dxa"/>
            <w:tcBorders>
              <w:bottom w:val="single" w:sz="12" w:space="0" w:color="auto"/>
            </w:tcBorders>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62,10</w:t>
            </w:r>
          </w:p>
        </w:tc>
        <w:tc>
          <w:tcPr>
            <w:tcW w:w="1032" w:type="dxa"/>
            <w:tcBorders>
              <w:bottom w:val="single" w:sz="12" w:space="0" w:color="auto"/>
            </w:tcBorders>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67,30</w:t>
            </w:r>
          </w:p>
        </w:tc>
        <w:tc>
          <w:tcPr>
            <w:tcW w:w="1122" w:type="dxa"/>
            <w:tcBorders>
              <w:bottom w:val="single" w:sz="12" w:space="0" w:color="auto"/>
            </w:tcBorders>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39,70</w:t>
            </w:r>
          </w:p>
        </w:tc>
        <w:tc>
          <w:tcPr>
            <w:tcW w:w="1123" w:type="dxa"/>
            <w:tcBorders>
              <w:bottom w:val="single" w:sz="12" w:space="0" w:color="auto"/>
            </w:tcBorders>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36,80</w:t>
            </w:r>
          </w:p>
        </w:tc>
        <w:tc>
          <w:tcPr>
            <w:tcW w:w="1123" w:type="dxa"/>
            <w:tcBorders>
              <w:bottom w:val="single" w:sz="12" w:space="0" w:color="auto"/>
            </w:tcBorders>
            <w:shd w:val="clear" w:color="auto" w:fill="auto"/>
            <w:noWrap/>
            <w:vAlign w:val="bottom"/>
          </w:tcPr>
          <w:p w:rsidR="00A10274" w:rsidRDefault="00A10274">
            <w:pPr>
              <w:pStyle w:val="SingleTxtG"/>
              <w:suppressAutoHyphens w:val="0"/>
              <w:spacing w:before="40" w:after="40" w:line="210" w:lineRule="exact"/>
              <w:ind w:left="113" w:right="0"/>
              <w:jc w:val="right"/>
              <w:rPr>
                <w:sz w:val="18"/>
                <w:szCs w:val="18"/>
                <w:lang w:val="fr-CA"/>
              </w:rPr>
            </w:pPr>
            <w:r>
              <w:rPr>
                <w:sz w:val="18"/>
                <w:szCs w:val="18"/>
                <w:lang w:val="fr-CA"/>
              </w:rPr>
              <w:t>38,30</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26.</w:t>
      </w:r>
      <w:r>
        <w:rPr>
          <w:lang w:val="fr-CA"/>
        </w:rPr>
        <w:tab/>
        <w:t>Le taux global net de scolarisation a crû de 4,6 % de 2009/10 à 2011/12. Il a également, en valeur nette, crû de 1,2 % durant la même période. Alors que celui des garçons croissait de 0,6 %, celui des filles croissait de 1,8 %. En raison de ce qui précède, l’écart de taux net de scolarisation entre garçons et filles est revenu de 4,1 % en 2009/10 à 2,9 % en 2011/12.</w:t>
      </w:r>
    </w:p>
    <w:p w:rsidR="00A10274" w:rsidRDefault="00A10274">
      <w:pPr>
        <w:pStyle w:val="SingleTxt"/>
        <w:keepNext/>
        <w:spacing w:after="0" w:line="120" w:lineRule="exact"/>
        <w:jc w:val="lef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6</w:t>
      </w:r>
      <w:r>
        <w:rPr>
          <w:lang w:val="fr-CA"/>
        </w:rPr>
        <w:br/>
        <w:t xml:space="preserve">Niveau secondaire : Taux net de scolarisation par année </w:t>
      </w:r>
      <w:r>
        <w:rPr>
          <w:lang w:val="fr-CA"/>
        </w:rPr>
        <w:br/>
        <w:t>et par sexe 2009/2011/12</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0" w:type="auto"/>
        <w:tblInd w:w="1276" w:type="dxa"/>
        <w:tblBorders>
          <w:top w:val="single" w:sz="4" w:space="0" w:color="auto"/>
        </w:tblBorders>
        <w:tblLayout w:type="fixed"/>
        <w:tblCellMar>
          <w:left w:w="0" w:type="dxa"/>
          <w:right w:w="0" w:type="dxa"/>
        </w:tblCellMar>
        <w:tblLook w:val="04A0"/>
      </w:tblPr>
      <w:tblGrid>
        <w:gridCol w:w="1134"/>
        <w:gridCol w:w="1003"/>
        <w:gridCol w:w="1003"/>
        <w:gridCol w:w="1003"/>
        <w:gridCol w:w="1064"/>
        <w:gridCol w:w="1065"/>
        <w:gridCol w:w="1065"/>
      </w:tblGrid>
      <w:tr w:rsidR="00A10274">
        <w:trPr>
          <w:trHeight w:val="387"/>
          <w:tblHeader/>
        </w:trPr>
        <w:tc>
          <w:tcPr>
            <w:tcW w:w="1134" w:type="dxa"/>
            <w:vMerge w:val="restart"/>
            <w:tcBorders>
              <w:top w:val="single" w:sz="4" w:space="0" w:color="auto"/>
            </w:tcBorders>
            <w:shd w:val="clear" w:color="auto" w:fill="auto"/>
            <w:noWrap/>
            <w:vAlign w:val="bottom"/>
          </w:tcPr>
          <w:p w:rsidR="00A10274" w:rsidRDefault="00A10274">
            <w:pPr>
              <w:pStyle w:val="SingleTxtG"/>
              <w:suppressAutoHyphens w:val="0"/>
              <w:spacing w:before="80" w:after="80" w:line="240" w:lineRule="auto"/>
              <w:ind w:left="0" w:right="0"/>
              <w:jc w:val="left"/>
              <w:rPr>
                <w:i/>
                <w:sz w:val="14"/>
                <w:szCs w:val="14"/>
                <w:lang w:val="fr-CA"/>
              </w:rPr>
            </w:pPr>
          </w:p>
        </w:tc>
        <w:tc>
          <w:tcPr>
            <w:tcW w:w="3009" w:type="dxa"/>
            <w:gridSpan w:val="3"/>
            <w:tcBorders>
              <w:top w:val="single" w:sz="4" w:space="0" w:color="auto"/>
              <w:bottom w:val="single" w:sz="6" w:space="0" w:color="auto"/>
            </w:tcBorders>
            <w:shd w:val="clear" w:color="auto" w:fill="auto"/>
            <w:noWrap/>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TBS</w:t>
            </w:r>
          </w:p>
        </w:tc>
        <w:tc>
          <w:tcPr>
            <w:tcW w:w="3194" w:type="dxa"/>
            <w:gridSpan w:val="3"/>
            <w:tcBorders>
              <w:top w:val="single" w:sz="4" w:space="0" w:color="auto"/>
              <w:bottom w:val="single" w:sz="6" w:space="0" w:color="auto"/>
            </w:tcBorders>
            <w:shd w:val="clear" w:color="auto" w:fill="auto"/>
            <w:noWrap/>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TNS</w:t>
            </w:r>
          </w:p>
        </w:tc>
      </w:tr>
      <w:tr w:rsidR="00A10274">
        <w:trPr>
          <w:trHeight w:val="387"/>
        </w:trPr>
        <w:tc>
          <w:tcPr>
            <w:tcW w:w="1134" w:type="dxa"/>
            <w:vMerge/>
            <w:tcBorders>
              <w:bottom w:val="single" w:sz="12" w:space="0" w:color="auto"/>
            </w:tcBorders>
            <w:shd w:val="clear" w:color="auto" w:fill="auto"/>
            <w:noWrap/>
          </w:tcPr>
          <w:p w:rsidR="00A10274" w:rsidRDefault="00A10274">
            <w:pPr>
              <w:pStyle w:val="SingleTxtG"/>
              <w:suppressAutoHyphens w:val="0"/>
              <w:spacing w:before="40" w:after="40" w:line="240" w:lineRule="auto"/>
              <w:ind w:left="0" w:right="0"/>
              <w:jc w:val="left"/>
              <w:rPr>
                <w:i/>
                <w:sz w:val="14"/>
                <w:szCs w:val="14"/>
                <w:lang w:val="fr-CA"/>
              </w:rPr>
            </w:pPr>
          </w:p>
        </w:tc>
        <w:tc>
          <w:tcPr>
            <w:tcW w:w="1003"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Garçons</w:t>
            </w:r>
          </w:p>
        </w:tc>
        <w:tc>
          <w:tcPr>
            <w:tcW w:w="1003"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Filles</w:t>
            </w:r>
          </w:p>
        </w:tc>
        <w:tc>
          <w:tcPr>
            <w:tcW w:w="1003"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Total</w:t>
            </w:r>
          </w:p>
        </w:tc>
        <w:tc>
          <w:tcPr>
            <w:tcW w:w="1064"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Garçons</w:t>
            </w:r>
          </w:p>
        </w:tc>
        <w:tc>
          <w:tcPr>
            <w:tcW w:w="1065"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Filles</w:t>
            </w:r>
          </w:p>
        </w:tc>
        <w:tc>
          <w:tcPr>
            <w:tcW w:w="1065"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Total</w:t>
            </w:r>
          </w:p>
        </w:tc>
      </w:tr>
      <w:tr w:rsidR="00A10274">
        <w:trPr>
          <w:trHeight w:val="387"/>
        </w:trPr>
        <w:tc>
          <w:tcPr>
            <w:tcW w:w="1134" w:type="dxa"/>
            <w:tcBorders>
              <w:top w:val="single" w:sz="12" w:space="0" w:color="auto"/>
            </w:tcBorders>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2009/10</w:t>
            </w:r>
          </w:p>
        </w:tc>
        <w:tc>
          <w:tcPr>
            <w:tcW w:w="1003" w:type="dxa"/>
            <w:tcBorders>
              <w:top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27,00</w:t>
            </w:r>
          </w:p>
        </w:tc>
        <w:tc>
          <w:tcPr>
            <w:tcW w:w="1003" w:type="dxa"/>
            <w:tcBorders>
              <w:top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19,60</w:t>
            </w:r>
          </w:p>
        </w:tc>
        <w:tc>
          <w:tcPr>
            <w:tcW w:w="1003" w:type="dxa"/>
            <w:tcBorders>
              <w:top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23,40</w:t>
            </w:r>
          </w:p>
        </w:tc>
        <w:tc>
          <w:tcPr>
            <w:tcW w:w="1064" w:type="dxa"/>
            <w:tcBorders>
              <w:top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17,70</w:t>
            </w:r>
          </w:p>
        </w:tc>
        <w:tc>
          <w:tcPr>
            <w:tcW w:w="1065" w:type="dxa"/>
            <w:tcBorders>
              <w:top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13,60</w:t>
            </w:r>
          </w:p>
        </w:tc>
        <w:tc>
          <w:tcPr>
            <w:tcW w:w="1065" w:type="dxa"/>
            <w:tcBorders>
              <w:top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15,70</w:t>
            </w:r>
          </w:p>
        </w:tc>
      </w:tr>
      <w:tr w:rsidR="00A10274">
        <w:trPr>
          <w:trHeight w:val="387"/>
        </w:trPr>
        <w:tc>
          <w:tcPr>
            <w:tcW w:w="1134" w:type="dxa"/>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2010/11</w:t>
            </w:r>
          </w:p>
        </w:tc>
        <w:tc>
          <w:tcPr>
            <w:tcW w:w="1003"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39,51</w:t>
            </w:r>
          </w:p>
        </w:tc>
        <w:tc>
          <w:tcPr>
            <w:tcW w:w="1003"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29,51</w:t>
            </w:r>
          </w:p>
        </w:tc>
        <w:tc>
          <w:tcPr>
            <w:tcW w:w="1003"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34,52</w:t>
            </w:r>
          </w:p>
        </w:tc>
        <w:tc>
          <w:tcPr>
            <w:tcW w:w="1064"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27,95</w:t>
            </w:r>
          </w:p>
        </w:tc>
        <w:tc>
          <w:tcPr>
            <w:tcW w:w="1065"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22,42</w:t>
            </w:r>
          </w:p>
        </w:tc>
        <w:tc>
          <w:tcPr>
            <w:tcW w:w="1065"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25,19</w:t>
            </w:r>
          </w:p>
        </w:tc>
      </w:tr>
      <w:tr w:rsidR="00A10274">
        <w:trPr>
          <w:trHeight w:val="387"/>
        </w:trPr>
        <w:tc>
          <w:tcPr>
            <w:tcW w:w="1134" w:type="dxa"/>
            <w:tcBorders>
              <w:bottom w:val="single" w:sz="12" w:space="0" w:color="auto"/>
            </w:tcBorders>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2011/12</w:t>
            </w:r>
          </w:p>
        </w:tc>
        <w:tc>
          <w:tcPr>
            <w:tcW w:w="1003"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36,30</w:t>
            </w:r>
          </w:p>
        </w:tc>
        <w:tc>
          <w:tcPr>
            <w:tcW w:w="1003"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27,00</w:t>
            </w:r>
          </w:p>
        </w:tc>
        <w:tc>
          <w:tcPr>
            <w:tcW w:w="1003"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31,70</w:t>
            </w:r>
          </w:p>
        </w:tc>
        <w:tc>
          <w:tcPr>
            <w:tcW w:w="1064"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24,40</w:t>
            </w:r>
          </w:p>
        </w:tc>
        <w:tc>
          <w:tcPr>
            <w:tcW w:w="1065"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19,80</w:t>
            </w:r>
          </w:p>
        </w:tc>
        <w:tc>
          <w:tcPr>
            <w:tcW w:w="1065"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22,10</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27.</w:t>
      </w:r>
      <w:r>
        <w:rPr>
          <w:lang w:val="fr-CA"/>
        </w:rPr>
        <w:tab/>
        <w:t>Le taux net de scolarisation des filles dans le secondaire est passé de 13,4 % en 2008/09 à 22,4 % en 2010/11, mais il est descendu à 19,8 % en 2011/12. L’écart entre garçons et filles demeure presque constant aux alentours de 5,5 %. À noter que, pour les garçons et les filles, le taux net de scolarisation a baissé en 2011/12 par rapport à la précédente année scolaire.</w:t>
      </w:r>
    </w:p>
    <w:p w:rsidR="00A10274" w:rsidRDefault="00A10274">
      <w:pPr>
        <w:pStyle w:val="SingleTxt"/>
        <w:rPr>
          <w:lang w:val="fr-CA"/>
        </w:rPr>
      </w:pPr>
      <w:r>
        <w:rPr>
          <w:lang w:val="fr-CA"/>
        </w:rPr>
        <w:t>28.</w:t>
      </w:r>
      <w:r>
        <w:rPr>
          <w:lang w:val="fr-CA"/>
        </w:rPr>
        <w:tab/>
        <w:t>Les chiffres relatifs au taux global net de scolarisation et au taux net ont joué au yo-yo pendant la période triennale considérée. Ceci vaut pour les garçons comme pour les filles. La différence de taux net de scolarisation entre garçons et filles dans le secondaire est revenue de 6,5 % à 4,6 % durant la période triennale considérée.</w:t>
      </w:r>
    </w:p>
    <w:p w:rsidR="00A10274" w:rsidRDefault="00A10274">
      <w:pPr>
        <w:pStyle w:val="SingleTxt"/>
        <w:spacing w:after="0" w:line="120" w:lineRule="exact"/>
        <w:ind w:left="1264"/>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r>
      <w:r>
        <w:rPr>
          <w:b w:val="0"/>
          <w:lang w:val="fr-CA"/>
        </w:rPr>
        <w:t>Tableau 7</w:t>
      </w:r>
      <w:r>
        <w:rPr>
          <w:lang w:val="fr-CA"/>
        </w:rPr>
        <w:br/>
        <w:t>Taux de fréquentation des établissements d’enseignement technique et professionnel par sexe et par année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256" w:type="dxa"/>
        <w:tblInd w:w="1276" w:type="dxa"/>
        <w:tblBorders>
          <w:top w:val="single" w:sz="4" w:space="0" w:color="auto"/>
        </w:tblBorders>
        <w:tblCellMar>
          <w:left w:w="0" w:type="dxa"/>
          <w:right w:w="0" w:type="dxa"/>
        </w:tblCellMar>
        <w:tblLook w:val="01E0"/>
      </w:tblPr>
      <w:tblGrid>
        <w:gridCol w:w="1134"/>
        <w:gridCol w:w="1748"/>
        <w:gridCol w:w="1748"/>
        <w:gridCol w:w="2626"/>
      </w:tblGrid>
      <w:tr w:rsidR="00A10274">
        <w:trPr>
          <w:trHeight w:val="240"/>
          <w:tblHeader/>
        </w:trPr>
        <w:tc>
          <w:tcPr>
            <w:tcW w:w="1134" w:type="dxa"/>
            <w:vMerge w:val="restart"/>
            <w:tcBorders>
              <w:top w:val="single" w:sz="4" w:space="0" w:color="auto"/>
            </w:tcBorders>
            <w:shd w:val="clear" w:color="auto" w:fill="auto"/>
            <w:vAlign w:val="bottom"/>
          </w:tcPr>
          <w:p w:rsidR="00A10274" w:rsidRDefault="00A10274">
            <w:pPr>
              <w:pStyle w:val="SingleTxtG"/>
              <w:spacing w:before="40" w:after="40" w:line="240" w:lineRule="auto"/>
              <w:ind w:left="0" w:right="0"/>
              <w:jc w:val="left"/>
              <w:rPr>
                <w:i/>
                <w:sz w:val="14"/>
                <w:szCs w:val="14"/>
                <w:lang w:val="fr-CA"/>
              </w:rPr>
            </w:pPr>
            <w:r>
              <w:rPr>
                <w:i/>
                <w:sz w:val="14"/>
                <w:szCs w:val="14"/>
                <w:lang w:val="fr-CA"/>
              </w:rPr>
              <w:t>Année</w:t>
            </w:r>
          </w:p>
        </w:tc>
        <w:tc>
          <w:tcPr>
            <w:tcW w:w="6122" w:type="dxa"/>
            <w:gridSpan w:val="3"/>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0" w:right="0"/>
              <w:jc w:val="center"/>
              <w:rPr>
                <w:i/>
                <w:sz w:val="14"/>
                <w:szCs w:val="14"/>
                <w:lang w:val="fr-CA"/>
              </w:rPr>
            </w:pPr>
            <w:r>
              <w:rPr>
                <w:i/>
                <w:sz w:val="14"/>
                <w:szCs w:val="14"/>
                <w:lang w:val="fr-CA"/>
              </w:rPr>
              <w:t>Niveau avancé/Intermédiaire</w:t>
            </w:r>
          </w:p>
        </w:tc>
      </w:tr>
      <w:tr w:rsidR="00A10274">
        <w:trPr>
          <w:trHeight w:val="240"/>
        </w:trPr>
        <w:tc>
          <w:tcPr>
            <w:tcW w:w="1134" w:type="dxa"/>
            <w:vMerge/>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i/>
                <w:sz w:val="14"/>
                <w:szCs w:val="14"/>
                <w:lang w:val="fr-CA"/>
              </w:rPr>
            </w:pPr>
          </w:p>
        </w:tc>
        <w:tc>
          <w:tcPr>
            <w:tcW w:w="174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0" w:right="0"/>
              <w:jc w:val="right"/>
              <w:rPr>
                <w:i/>
                <w:sz w:val="14"/>
                <w:szCs w:val="14"/>
                <w:lang w:val="fr-CA"/>
              </w:rPr>
            </w:pPr>
            <w:r>
              <w:rPr>
                <w:i/>
                <w:sz w:val="14"/>
                <w:szCs w:val="14"/>
                <w:lang w:val="fr-CA"/>
              </w:rPr>
              <w:t>F</w:t>
            </w:r>
          </w:p>
        </w:tc>
        <w:tc>
          <w:tcPr>
            <w:tcW w:w="174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0" w:right="0"/>
              <w:jc w:val="right"/>
              <w:rPr>
                <w:i/>
                <w:sz w:val="14"/>
                <w:szCs w:val="14"/>
                <w:lang w:val="fr-CA"/>
              </w:rPr>
            </w:pPr>
            <w:r>
              <w:rPr>
                <w:i/>
                <w:sz w:val="14"/>
                <w:szCs w:val="14"/>
                <w:lang w:val="fr-CA"/>
              </w:rPr>
              <w:t>Total</w:t>
            </w:r>
          </w:p>
        </w:tc>
        <w:tc>
          <w:tcPr>
            <w:tcW w:w="2626"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0" w:right="0"/>
              <w:jc w:val="right"/>
              <w:rPr>
                <w:i/>
                <w:sz w:val="14"/>
                <w:szCs w:val="14"/>
                <w:lang w:val="fr-CA"/>
              </w:rPr>
            </w:pPr>
            <w:r>
              <w:rPr>
                <w:i/>
                <w:sz w:val="14"/>
                <w:szCs w:val="14"/>
                <w:lang w:val="fr-CA"/>
              </w:rPr>
              <w:t>% F</w:t>
            </w:r>
          </w:p>
        </w:tc>
      </w:tr>
      <w:tr w:rsidR="00A10274">
        <w:trPr>
          <w:trHeight w:val="240"/>
        </w:trPr>
        <w:tc>
          <w:tcPr>
            <w:tcW w:w="1134"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2009/10</w:t>
            </w:r>
          </w:p>
        </w:tc>
        <w:tc>
          <w:tcPr>
            <w:tcW w:w="174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591</w:t>
            </w:r>
          </w:p>
        </w:tc>
        <w:tc>
          <w:tcPr>
            <w:tcW w:w="174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1 304</w:t>
            </w:r>
          </w:p>
        </w:tc>
        <w:tc>
          <w:tcPr>
            <w:tcW w:w="2626"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45,3</w:t>
            </w:r>
          </w:p>
        </w:tc>
      </w:tr>
      <w:tr w:rsidR="00A10274">
        <w:trPr>
          <w:trHeight w:val="240"/>
        </w:trPr>
        <w:tc>
          <w:tcPr>
            <w:tcW w:w="1134"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2010/11</w:t>
            </w:r>
          </w:p>
        </w:tc>
        <w:tc>
          <w:tcPr>
            <w:tcW w:w="1748" w:type="dxa"/>
            <w:shd w:val="clear" w:color="auto" w:fill="auto"/>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713</w:t>
            </w:r>
          </w:p>
        </w:tc>
        <w:tc>
          <w:tcPr>
            <w:tcW w:w="1748" w:type="dxa"/>
            <w:shd w:val="clear" w:color="auto" w:fill="auto"/>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1 992</w:t>
            </w:r>
          </w:p>
        </w:tc>
        <w:tc>
          <w:tcPr>
            <w:tcW w:w="2626" w:type="dxa"/>
            <w:shd w:val="clear" w:color="auto" w:fill="auto"/>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36,6</w:t>
            </w:r>
          </w:p>
        </w:tc>
      </w:tr>
      <w:tr w:rsidR="00A10274">
        <w:trPr>
          <w:trHeight w:val="240"/>
        </w:trPr>
        <w:tc>
          <w:tcPr>
            <w:tcW w:w="1134" w:type="dxa"/>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2011/12</w:t>
            </w:r>
          </w:p>
        </w:tc>
        <w:tc>
          <w:tcPr>
            <w:tcW w:w="1748"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1 128</w:t>
            </w:r>
          </w:p>
        </w:tc>
        <w:tc>
          <w:tcPr>
            <w:tcW w:w="1748"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2 520</w:t>
            </w:r>
          </w:p>
        </w:tc>
        <w:tc>
          <w:tcPr>
            <w:tcW w:w="2626"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44,8</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29.</w:t>
      </w:r>
      <w:r>
        <w:rPr>
          <w:lang w:val="fr-CA"/>
        </w:rPr>
        <w:tab/>
        <w:t>La fréquentation des écoles professionnelles et techniques par le sexe féminin a marqué des progrès, atteignant 44,8 % en 2011/2012.</w:t>
      </w:r>
    </w:p>
    <w:p w:rsidR="00A10274" w:rsidRDefault="00A10274">
      <w:pPr>
        <w:pStyle w:val="SingleTxt"/>
        <w:rPr>
          <w:lang w:val="fr-CA"/>
        </w:rPr>
      </w:pPr>
      <w:r>
        <w:rPr>
          <w:lang w:val="fr-CA"/>
        </w:rPr>
        <w:t>30.</w:t>
      </w:r>
      <w:r>
        <w:rPr>
          <w:lang w:val="fr-CA"/>
        </w:rPr>
        <w:tab/>
        <w:t>Il y a certes participation des deux sexes dans tous les domaines d’étude dans le Centre national de formation professionnelle, mais il y a des filières comme comptabilité, gestion et administration du matériel, protection des terres et des eaux et phytologie dans lesquels l’élément féminin prédomine. Par contre, le sexe masculin prédomine dans d’autres domaines, comme le bâtiment, le dessin industriel, l’électricité, la menuiserie, la plomberie et la construction mécanique lourde. Le taux global de scolarisation des filles dans le Centre national de formation professionnelle durant la période scolaire 2009/2012 était de 43 %.</w:t>
      </w:r>
    </w:p>
    <w:p w:rsidR="00A10274" w:rsidRDefault="00A10274">
      <w:pPr>
        <w:pStyle w:val="SingleTxt"/>
        <w:spacing w:after="0" w:line="120" w:lineRule="exact"/>
        <w:ind w:left="1264"/>
        <w:rPr>
          <w:sz w:val="10"/>
          <w:lang w:val="fr-CA"/>
        </w:rPr>
      </w:pPr>
    </w:p>
    <w:p w:rsidR="00A10274" w:rsidRDefault="00A10274">
      <w:pPr>
        <w:pStyle w:val="SingleTxt"/>
        <w:spacing w:after="0" w:line="120" w:lineRule="exact"/>
        <w:ind w:left="1264"/>
        <w:rPr>
          <w:sz w:val="10"/>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Éducation des besoins spéciaux</w:t>
      </w:r>
    </w:p>
    <w:p w:rsidR="00A10274" w:rsidRDefault="00A10274">
      <w:pPr>
        <w:pStyle w:val="SingleTxt"/>
        <w:keepNext/>
        <w:spacing w:after="0" w:line="120" w:lineRule="exact"/>
        <w:jc w:val="left"/>
        <w:rPr>
          <w:sz w:val="10"/>
          <w:lang w:val="fr-CA"/>
        </w:rPr>
      </w:pPr>
    </w:p>
    <w:p w:rsidR="00A10274" w:rsidRDefault="00A10274">
      <w:pPr>
        <w:pStyle w:val="SingleTxt"/>
        <w:keepNext/>
        <w:spacing w:after="0" w:line="120" w:lineRule="exact"/>
        <w:jc w:val="lef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8</w:t>
      </w:r>
      <w:r>
        <w:rPr>
          <w:lang w:val="fr-CA"/>
        </w:rPr>
        <w:br/>
        <w:t xml:space="preserve">Fréquentation des établissements d’éducation des besoins spéciaux </w:t>
      </w:r>
      <w:r>
        <w:rPr>
          <w:lang w:val="fr-CA"/>
        </w:rPr>
        <w:br/>
        <w:t>par sexe et par année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228" w:type="dxa"/>
        <w:tblInd w:w="1276" w:type="dxa"/>
        <w:tblBorders>
          <w:top w:val="single" w:sz="4" w:space="0" w:color="auto"/>
        </w:tblBorders>
        <w:tblCellMar>
          <w:left w:w="0" w:type="dxa"/>
          <w:right w:w="0" w:type="dxa"/>
        </w:tblCellMar>
        <w:tblLook w:val="01E0"/>
      </w:tblPr>
      <w:tblGrid>
        <w:gridCol w:w="1055"/>
        <w:gridCol w:w="968"/>
        <w:gridCol w:w="975"/>
        <w:gridCol w:w="1057"/>
        <w:gridCol w:w="968"/>
        <w:gridCol w:w="975"/>
        <w:gridCol w:w="1230"/>
      </w:tblGrid>
      <w:tr w:rsidR="00A10274">
        <w:trPr>
          <w:trHeight w:val="240"/>
          <w:tblHeader/>
        </w:trPr>
        <w:tc>
          <w:tcPr>
            <w:tcW w:w="1055" w:type="dxa"/>
            <w:vMerge w:val="restart"/>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 xml:space="preserve">École </w:t>
            </w:r>
            <w:r>
              <w:rPr>
                <w:i/>
                <w:sz w:val="14"/>
                <w:szCs w:val="14"/>
                <w:lang w:val="fr-CA"/>
              </w:rPr>
              <w:br/>
              <w:t>Année</w:t>
            </w:r>
          </w:p>
        </w:tc>
        <w:tc>
          <w:tcPr>
            <w:tcW w:w="6173" w:type="dxa"/>
            <w:gridSpan w:val="6"/>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Année</w:t>
            </w:r>
          </w:p>
        </w:tc>
      </w:tr>
      <w:tr w:rsidR="00A10274">
        <w:trPr>
          <w:trHeight w:val="240"/>
          <w:tblHeader/>
        </w:trPr>
        <w:tc>
          <w:tcPr>
            <w:tcW w:w="1055" w:type="dxa"/>
            <w:vMerge/>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0" w:right="0"/>
              <w:jc w:val="left"/>
              <w:rPr>
                <w:i/>
                <w:sz w:val="14"/>
                <w:szCs w:val="14"/>
                <w:lang w:val="fr-CA"/>
              </w:rPr>
            </w:pPr>
          </w:p>
        </w:tc>
        <w:tc>
          <w:tcPr>
            <w:tcW w:w="3000" w:type="dxa"/>
            <w:gridSpan w:val="3"/>
            <w:tcBorders>
              <w:top w:val="single" w:sz="6" w:space="0" w:color="auto"/>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center"/>
              <w:rPr>
                <w:i/>
                <w:sz w:val="14"/>
                <w:szCs w:val="14"/>
                <w:lang w:val="fr-CA"/>
              </w:rPr>
            </w:pPr>
            <w:r>
              <w:rPr>
                <w:i/>
                <w:sz w:val="14"/>
                <w:szCs w:val="14"/>
                <w:lang w:val="fr-CA"/>
              </w:rPr>
              <w:t>École pour aveugles</w:t>
            </w:r>
          </w:p>
        </w:tc>
        <w:tc>
          <w:tcPr>
            <w:tcW w:w="3173" w:type="dxa"/>
            <w:gridSpan w:val="3"/>
            <w:tcBorders>
              <w:top w:val="single" w:sz="6" w:space="0" w:color="auto"/>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center"/>
              <w:rPr>
                <w:i/>
                <w:sz w:val="14"/>
                <w:szCs w:val="14"/>
                <w:lang w:val="fr-CA"/>
              </w:rPr>
            </w:pPr>
            <w:r>
              <w:rPr>
                <w:i/>
                <w:sz w:val="14"/>
                <w:szCs w:val="14"/>
                <w:lang w:val="fr-CA"/>
              </w:rPr>
              <w:t>École pour sourds</w:t>
            </w:r>
          </w:p>
        </w:tc>
      </w:tr>
      <w:tr w:rsidR="00A10274">
        <w:trPr>
          <w:trHeight w:val="240"/>
          <w:tblHeader/>
        </w:trPr>
        <w:tc>
          <w:tcPr>
            <w:tcW w:w="1055" w:type="dxa"/>
            <w:vMerge/>
            <w:shd w:val="clear" w:color="auto" w:fill="auto"/>
            <w:vAlign w:val="bottom"/>
          </w:tcPr>
          <w:p w:rsidR="00A10274" w:rsidRDefault="00A10274">
            <w:pPr>
              <w:pStyle w:val="SingleTxtG"/>
              <w:suppressAutoHyphens w:val="0"/>
              <w:spacing w:before="40" w:after="40" w:line="240" w:lineRule="auto"/>
              <w:ind w:left="0" w:right="0"/>
              <w:jc w:val="left"/>
              <w:rPr>
                <w:i/>
                <w:sz w:val="14"/>
                <w:szCs w:val="14"/>
                <w:lang w:val="fr-CA"/>
              </w:rPr>
            </w:pPr>
          </w:p>
        </w:tc>
        <w:tc>
          <w:tcPr>
            <w:tcW w:w="96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Total</w:t>
            </w:r>
          </w:p>
        </w:tc>
        <w:tc>
          <w:tcPr>
            <w:tcW w:w="97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Sexe F</w:t>
            </w:r>
          </w:p>
        </w:tc>
        <w:tc>
          <w:tcPr>
            <w:tcW w:w="1057"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 xml:space="preserve">% Sexe  F  </w:t>
            </w:r>
          </w:p>
        </w:tc>
        <w:tc>
          <w:tcPr>
            <w:tcW w:w="96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Total</w:t>
            </w:r>
          </w:p>
        </w:tc>
        <w:tc>
          <w:tcPr>
            <w:tcW w:w="97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Sexe F</w:t>
            </w:r>
          </w:p>
        </w:tc>
        <w:tc>
          <w:tcPr>
            <w:tcW w:w="1230"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 de femmes</w:t>
            </w:r>
          </w:p>
        </w:tc>
      </w:tr>
      <w:tr w:rsidR="00A10274">
        <w:trPr>
          <w:trHeight w:val="240"/>
        </w:trPr>
        <w:tc>
          <w:tcPr>
            <w:tcW w:w="1055"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2009/10</w:t>
            </w:r>
          </w:p>
        </w:tc>
        <w:tc>
          <w:tcPr>
            <w:tcW w:w="96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54</w:t>
            </w:r>
          </w:p>
        </w:tc>
        <w:tc>
          <w:tcPr>
            <w:tcW w:w="975"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12</w:t>
            </w:r>
          </w:p>
        </w:tc>
        <w:tc>
          <w:tcPr>
            <w:tcW w:w="1057"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22,2</w:t>
            </w:r>
          </w:p>
        </w:tc>
        <w:tc>
          <w:tcPr>
            <w:tcW w:w="96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175</w:t>
            </w:r>
          </w:p>
        </w:tc>
        <w:tc>
          <w:tcPr>
            <w:tcW w:w="975"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63</w:t>
            </w:r>
          </w:p>
        </w:tc>
        <w:tc>
          <w:tcPr>
            <w:tcW w:w="123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36</w:t>
            </w:r>
          </w:p>
        </w:tc>
      </w:tr>
      <w:tr w:rsidR="00A10274">
        <w:trPr>
          <w:trHeight w:val="240"/>
        </w:trPr>
        <w:tc>
          <w:tcPr>
            <w:tcW w:w="1055"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2010/11</w:t>
            </w:r>
          </w:p>
        </w:tc>
        <w:tc>
          <w:tcPr>
            <w:tcW w:w="968"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48</w:t>
            </w:r>
          </w:p>
        </w:tc>
        <w:tc>
          <w:tcPr>
            <w:tcW w:w="97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11</w:t>
            </w:r>
          </w:p>
        </w:tc>
        <w:tc>
          <w:tcPr>
            <w:tcW w:w="105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22,9</w:t>
            </w:r>
          </w:p>
        </w:tc>
        <w:tc>
          <w:tcPr>
            <w:tcW w:w="968"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136</w:t>
            </w:r>
          </w:p>
        </w:tc>
        <w:tc>
          <w:tcPr>
            <w:tcW w:w="97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69</w:t>
            </w:r>
          </w:p>
        </w:tc>
        <w:tc>
          <w:tcPr>
            <w:tcW w:w="123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50,7</w:t>
            </w:r>
          </w:p>
        </w:tc>
      </w:tr>
      <w:tr w:rsidR="00A10274">
        <w:trPr>
          <w:trHeight w:val="240"/>
        </w:trPr>
        <w:tc>
          <w:tcPr>
            <w:tcW w:w="1055" w:type="dxa"/>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2011/12</w:t>
            </w:r>
          </w:p>
        </w:tc>
        <w:tc>
          <w:tcPr>
            <w:tcW w:w="968"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52</w:t>
            </w:r>
          </w:p>
        </w:tc>
        <w:tc>
          <w:tcPr>
            <w:tcW w:w="975"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15</w:t>
            </w:r>
          </w:p>
        </w:tc>
        <w:tc>
          <w:tcPr>
            <w:tcW w:w="1057"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28,8</w:t>
            </w:r>
          </w:p>
        </w:tc>
        <w:tc>
          <w:tcPr>
            <w:tcW w:w="968"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124</w:t>
            </w:r>
          </w:p>
        </w:tc>
        <w:tc>
          <w:tcPr>
            <w:tcW w:w="975"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61</w:t>
            </w:r>
          </w:p>
        </w:tc>
        <w:tc>
          <w:tcPr>
            <w:tcW w:w="1230"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49,2</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31.</w:t>
      </w:r>
      <w:r>
        <w:rPr>
          <w:lang w:val="fr-CA"/>
        </w:rPr>
        <w:tab/>
        <w:t>Alors que le taux d’inscriptions féminines dans l’école pour aveugles demeure très faible, ce taux, dans l’école pour sourds, a presque atteint le stade de parité avec celui des inscriptions masculines. Le pourcentage de fréquentation féminine de l’école pour aveugles reste figé à près d’un quart.</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Éducation des adultes</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9</w:t>
      </w:r>
      <w:r>
        <w:rPr>
          <w:lang w:val="fr-CA"/>
        </w:rPr>
        <w:br/>
        <w:t>Alphabétisation des adultes : Inscrits et persévérants par sexe et par année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71" w:type="dxa"/>
        <w:tblInd w:w="1276" w:type="dxa"/>
        <w:tblBorders>
          <w:top w:val="single" w:sz="4" w:space="0" w:color="auto"/>
        </w:tblBorders>
        <w:tblCellMar>
          <w:left w:w="0" w:type="dxa"/>
          <w:right w:w="0" w:type="dxa"/>
        </w:tblCellMar>
        <w:tblLook w:val="01E0"/>
      </w:tblPr>
      <w:tblGrid>
        <w:gridCol w:w="992"/>
        <w:gridCol w:w="828"/>
        <w:gridCol w:w="813"/>
        <w:gridCol w:w="930"/>
        <w:gridCol w:w="938"/>
        <w:gridCol w:w="813"/>
        <w:gridCol w:w="930"/>
        <w:gridCol w:w="1127"/>
      </w:tblGrid>
      <w:tr w:rsidR="00A10274">
        <w:trPr>
          <w:trHeight w:val="240"/>
          <w:tblHeader/>
        </w:trPr>
        <w:tc>
          <w:tcPr>
            <w:tcW w:w="992" w:type="dxa"/>
            <w:vMerge w:val="restart"/>
            <w:tcBorders>
              <w:top w:val="single" w:sz="4"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 xml:space="preserve">Année académique </w:t>
            </w:r>
          </w:p>
        </w:tc>
        <w:tc>
          <w:tcPr>
            <w:tcW w:w="2571" w:type="dxa"/>
            <w:gridSpan w:val="3"/>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 xml:space="preserve">Participants inscrits </w:t>
            </w:r>
          </w:p>
        </w:tc>
        <w:tc>
          <w:tcPr>
            <w:tcW w:w="2681" w:type="dxa"/>
            <w:gridSpan w:val="3"/>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 xml:space="preserve">Participants persévérants </w:t>
            </w:r>
          </w:p>
        </w:tc>
        <w:tc>
          <w:tcPr>
            <w:tcW w:w="1127" w:type="dxa"/>
            <w:vMerge w:val="restart"/>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 d’éléments F</w:t>
            </w:r>
          </w:p>
          <w:p w:rsidR="00A10274" w:rsidRDefault="00A10274">
            <w:pPr>
              <w:pStyle w:val="SingleTxtG"/>
              <w:suppressAutoHyphens w:val="0"/>
              <w:spacing w:before="80" w:after="80" w:line="240" w:lineRule="auto"/>
              <w:ind w:left="113" w:right="0"/>
              <w:jc w:val="right"/>
              <w:rPr>
                <w:i/>
                <w:sz w:val="14"/>
                <w:szCs w:val="14"/>
                <w:lang w:val="fr-CA"/>
              </w:rPr>
            </w:pPr>
          </w:p>
        </w:tc>
      </w:tr>
      <w:tr w:rsidR="00A10274">
        <w:trPr>
          <w:trHeight w:val="240"/>
          <w:tblHeader/>
        </w:trPr>
        <w:tc>
          <w:tcPr>
            <w:tcW w:w="992" w:type="dxa"/>
            <w:vMerge/>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i/>
                <w:sz w:val="14"/>
                <w:szCs w:val="14"/>
                <w:lang w:val="fr-CA"/>
              </w:rPr>
            </w:pPr>
          </w:p>
        </w:tc>
        <w:tc>
          <w:tcPr>
            <w:tcW w:w="82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 xml:space="preserve">Femmes </w:t>
            </w:r>
          </w:p>
        </w:tc>
        <w:tc>
          <w:tcPr>
            <w:tcW w:w="813"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Hommes</w:t>
            </w:r>
          </w:p>
        </w:tc>
        <w:tc>
          <w:tcPr>
            <w:tcW w:w="930"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 xml:space="preserve">Total </w:t>
            </w:r>
          </w:p>
        </w:tc>
        <w:tc>
          <w:tcPr>
            <w:tcW w:w="93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 xml:space="preserve">Femmes </w:t>
            </w:r>
          </w:p>
        </w:tc>
        <w:tc>
          <w:tcPr>
            <w:tcW w:w="813"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Hommes</w:t>
            </w:r>
          </w:p>
        </w:tc>
        <w:tc>
          <w:tcPr>
            <w:tcW w:w="930"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 xml:space="preserve">Total </w:t>
            </w:r>
          </w:p>
        </w:tc>
        <w:tc>
          <w:tcPr>
            <w:tcW w:w="1127" w:type="dxa"/>
            <w:vMerge/>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24"/>
                <w:szCs w:val="24"/>
                <w:lang w:val="fr-CA"/>
              </w:rPr>
            </w:pPr>
          </w:p>
        </w:tc>
      </w:tr>
      <w:tr w:rsidR="00A10274">
        <w:trPr>
          <w:trHeight w:val="240"/>
        </w:trPr>
        <w:tc>
          <w:tcPr>
            <w:tcW w:w="992"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2008/09</w:t>
            </w:r>
          </w:p>
        </w:tc>
        <w:tc>
          <w:tcPr>
            <w:tcW w:w="82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42 749</w:t>
            </w:r>
          </w:p>
        </w:tc>
        <w:tc>
          <w:tcPr>
            <w:tcW w:w="813"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4 081</w:t>
            </w:r>
          </w:p>
        </w:tc>
        <w:tc>
          <w:tcPr>
            <w:tcW w:w="93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46 830</w:t>
            </w:r>
          </w:p>
        </w:tc>
        <w:tc>
          <w:tcPr>
            <w:tcW w:w="93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33 087</w:t>
            </w:r>
          </w:p>
        </w:tc>
        <w:tc>
          <w:tcPr>
            <w:tcW w:w="813"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2 750</w:t>
            </w:r>
          </w:p>
        </w:tc>
        <w:tc>
          <w:tcPr>
            <w:tcW w:w="93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35 837</w:t>
            </w:r>
          </w:p>
        </w:tc>
        <w:tc>
          <w:tcPr>
            <w:tcW w:w="1127"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92,3</w:t>
            </w:r>
          </w:p>
        </w:tc>
      </w:tr>
      <w:tr w:rsidR="00A10274">
        <w:trPr>
          <w:trHeight w:val="240"/>
        </w:trPr>
        <w:tc>
          <w:tcPr>
            <w:tcW w:w="992"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2009/10</w:t>
            </w:r>
          </w:p>
        </w:tc>
        <w:tc>
          <w:tcPr>
            <w:tcW w:w="828"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36 639</w:t>
            </w:r>
          </w:p>
        </w:tc>
        <w:tc>
          <w:tcPr>
            <w:tcW w:w="81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3 550</w:t>
            </w:r>
          </w:p>
        </w:tc>
        <w:tc>
          <w:tcPr>
            <w:tcW w:w="93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40 189</w:t>
            </w:r>
          </w:p>
        </w:tc>
        <w:tc>
          <w:tcPr>
            <w:tcW w:w="938"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28 736</w:t>
            </w:r>
          </w:p>
        </w:tc>
        <w:tc>
          <w:tcPr>
            <w:tcW w:w="81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2 661</w:t>
            </w:r>
          </w:p>
        </w:tc>
        <w:tc>
          <w:tcPr>
            <w:tcW w:w="93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31 397</w:t>
            </w:r>
          </w:p>
        </w:tc>
        <w:tc>
          <w:tcPr>
            <w:tcW w:w="112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91,5</w:t>
            </w:r>
          </w:p>
        </w:tc>
      </w:tr>
      <w:tr w:rsidR="00A10274">
        <w:trPr>
          <w:trHeight w:val="240"/>
        </w:trPr>
        <w:tc>
          <w:tcPr>
            <w:tcW w:w="992"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2010/11</w:t>
            </w:r>
          </w:p>
        </w:tc>
        <w:tc>
          <w:tcPr>
            <w:tcW w:w="828"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40 828</w:t>
            </w:r>
          </w:p>
        </w:tc>
        <w:tc>
          <w:tcPr>
            <w:tcW w:w="81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5 297</w:t>
            </w:r>
          </w:p>
        </w:tc>
        <w:tc>
          <w:tcPr>
            <w:tcW w:w="93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46 125</w:t>
            </w:r>
          </w:p>
        </w:tc>
        <w:tc>
          <w:tcPr>
            <w:tcW w:w="938"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31 292</w:t>
            </w:r>
          </w:p>
        </w:tc>
        <w:tc>
          <w:tcPr>
            <w:tcW w:w="81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3 793</w:t>
            </w:r>
          </w:p>
        </w:tc>
        <w:tc>
          <w:tcPr>
            <w:tcW w:w="93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35 085</w:t>
            </w:r>
          </w:p>
        </w:tc>
        <w:tc>
          <w:tcPr>
            <w:tcW w:w="112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89,2</w:t>
            </w:r>
          </w:p>
        </w:tc>
      </w:tr>
      <w:tr w:rsidR="00A10274">
        <w:trPr>
          <w:trHeight w:val="240"/>
        </w:trPr>
        <w:tc>
          <w:tcPr>
            <w:tcW w:w="992" w:type="dxa"/>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2011/12</w:t>
            </w:r>
          </w:p>
        </w:tc>
        <w:tc>
          <w:tcPr>
            <w:tcW w:w="828"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47 449</w:t>
            </w:r>
          </w:p>
        </w:tc>
        <w:tc>
          <w:tcPr>
            <w:tcW w:w="813"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4 255</w:t>
            </w:r>
          </w:p>
        </w:tc>
        <w:tc>
          <w:tcPr>
            <w:tcW w:w="930"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51 704</w:t>
            </w:r>
          </w:p>
        </w:tc>
        <w:tc>
          <w:tcPr>
            <w:tcW w:w="938"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37 043</w:t>
            </w:r>
          </w:p>
        </w:tc>
        <w:tc>
          <w:tcPr>
            <w:tcW w:w="813"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2 737</w:t>
            </w:r>
          </w:p>
        </w:tc>
        <w:tc>
          <w:tcPr>
            <w:tcW w:w="930"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39 780</w:t>
            </w:r>
          </w:p>
        </w:tc>
        <w:tc>
          <w:tcPr>
            <w:tcW w:w="1127"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93,1</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32.</w:t>
      </w:r>
      <w:r>
        <w:rPr>
          <w:lang w:val="fr-CA"/>
        </w:rPr>
        <w:tab/>
        <w:t>Le taux global d’inscriptions dans le programme d’alphabétisation des adultes a généralement chuté durant la période considérée pour le rapport du fait que la population alphabète a augmenté. Il est encourageant de voir que les taux d’inscriptions et de persévérance</w:t>
      </w:r>
      <w:r>
        <w:rPr>
          <w:lang w:val="fr-CA"/>
        </w:rPr>
        <w:tab/>
        <w:t>se sont constamment situés au-dessus de 90 %, avec participation masculine d’environ 10 %. Dans ce programme, la participation des femmes dépasse de loin celle des hommes, ce qui compense le désavantage des femmes dans le système ordinaire d’éducation.</w:t>
      </w:r>
    </w:p>
    <w:p w:rsidR="00A10274" w:rsidRDefault="00A10274">
      <w:pPr>
        <w:pStyle w:val="SingleTxt"/>
        <w:rPr>
          <w:lang w:val="fr-CA"/>
        </w:rPr>
      </w:pPr>
      <w:r>
        <w:rPr>
          <w:lang w:val="fr-CA"/>
        </w:rPr>
        <w:t>33.</w:t>
      </w:r>
      <w:r>
        <w:rPr>
          <w:lang w:val="fr-CA"/>
        </w:rPr>
        <w:tab/>
        <w:t>Le taux d’alphabétisation est bien plus élevé pour les femmes jeunes que pour celles qui sont plus âgées. En 2010, environ 70 % des femmes de 15 à 19 ans étaient alphabètes, contre environ 90 % des hommes du même âge. Pour les femmes de 15 à 49 ans, le taux d’alphabétisation était d’environ 30 %, contre environ 64 % chez les hommes du même âge [NSO, 2010]. Les femmes et les hommes plus jeunes ont plus de chances d’être alphabètes et d’atteindre des niveaux plus élevés d’éducation que les femmes plus âgées, le pourcentage d’hommes qui sont alphabètes étant plus élevé que celui des femmes. Les programmes d’éducation des adultes se sont appliqués à éliminer l’analphabétisme et on constate que les femmes sont de plus en plus nombreuses à y participer.</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10</w:t>
      </w:r>
      <w:r>
        <w:rPr>
          <w:lang w:val="fr-CA"/>
        </w:rPr>
        <w:br/>
        <w:t xml:space="preserve">Programmes d’éducation des adultes (Éducation permanente </w:t>
      </w:r>
      <w:r>
        <w:rPr>
          <w:lang w:val="fr-CA"/>
        </w:rPr>
        <w:br/>
        <w:t>et centres de réadaptation)</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0" w:type="auto"/>
        <w:tblInd w:w="1276" w:type="dxa"/>
        <w:tblBorders>
          <w:top w:val="single" w:sz="4" w:space="0" w:color="auto"/>
        </w:tblBorders>
        <w:tblCellMar>
          <w:left w:w="0" w:type="dxa"/>
          <w:right w:w="0" w:type="dxa"/>
        </w:tblCellMar>
        <w:tblLook w:val="01E0"/>
      </w:tblPr>
      <w:tblGrid>
        <w:gridCol w:w="851"/>
        <w:gridCol w:w="945"/>
        <w:gridCol w:w="945"/>
        <w:gridCol w:w="945"/>
        <w:gridCol w:w="1181"/>
        <w:gridCol w:w="1181"/>
        <w:gridCol w:w="1181"/>
      </w:tblGrid>
      <w:tr w:rsidR="00A10274">
        <w:trPr>
          <w:trHeight w:val="240"/>
          <w:tblHeader/>
        </w:trPr>
        <w:tc>
          <w:tcPr>
            <w:tcW w:w="851" w:type="dxa"/>
            <w:vMerge w:val="restart"/>
            <w:tcBorders>
              <w:top w:val="single" w:sz="4"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0" w:right="0"/>
              <w:jc w:val="left"/>
              <w:rPr>
                <w:i/>
                <w:sz w:val="14"/>
                <w:szCs w:val="14"/>
                <w:lang w:val="fr-CA"/>
              </w:rPr>
            </w:pPr>
            <w:r>
              <w:rPr>
                <w:i/>
                <w:sz w:val="14"/>
                <w:szCs w:val="14"/>
                <w:lang w:val="fr-CA"/>
              </w:rPr>
              <w:t xml:space="preserve">Année </w:t>
            </w:r>
            <w:r>
              <w:rPr>
                <w:i/>
                <w:sz w:val="14"/>
                <w:szCs w:val="14"/>
                <w:lang w:val="fr-CA"/>
              </w:rPr>
              <w:br/>
              <w:t>académique</w:t>
            </w:r>
          </w:p>
        </w:tc>
        <w:tc>
          <w:tcPr>
            <w:tcW w:w="2835" w:type="dxa"/>
            <w:gridSpan w:val="3"/>
            <w:tcBorders>
              <w:top w:val="single" w:sz="4" w:space="0" w:color="auto"/>
              <w:bottom w:val="single" w:sz="4" w:space="0" w:color="auto"/>
            </w:tcBorders>
            <w:shd w:val="clear" w:color="auto" w:fill="auto"/>
            <w:vAlign w:val="bottom"/>
          </w:tcPr>
          <w:p w:rsidR="00A10274" w:rsidRDefault="00A10274">
            <w:pPr>
              <w:pStyle w:val="SingleTxtG"/>
              <w:suppressAutoHyphens w:val="0"/>
              <w:spacing w:before="60" w:after="60" w:line="240" w:lineRule="auto"/>
              <w:ind w:left="113" w:right="0"/>
              <w:jc w:val="center"/>
              <w:rPr>
                <w:i/>
                <w:sz w:val="14"/>
                <w:szCs w:val="14"/>
                <w:lang w:val="fr-CA"/>
              </w:rPr>
            </w:pPr>
            <w:r>
              <w:rPr>
                <w:i/>
                <w:sz w:val="14"/>
                <w:szCs w:val="14"/>
                <w:lang w:val="fr-CA"/>
              </w:rPr>
              <w:t>Inscrits</w:t>
            </w:r>
          </w:p>
        </w:tc>
        <w:tc>
          <w:tcPr>
            <w:tcW w:w="3543" w:type="dxa"/>
            <w:gridSpan w:val="3"/>
            <w:tcBorders>
              <w:top w:val="single" w:sz="4" w:space="0" w:color="auto"/>
              <w:bottom w:val="single" w:sz="4" w:space="0" w:color="auto"/>
            </w:tcBorders>
            <w:shd w:val="clear" w:color="auto" w:fill="auto"/>
            <w:vAlign w:val="bottom"/>
          </w:tcPr>
          <w:p w:rsidR="00A10274" w:rsidRDefault="00A10274">
            <w:pPr>
              <w:pStyle w:val="SingleTxtG"/>
              <w:suppressAutoHyphens w:val="0"/>
              <w:spacing w:before="60" w:after="60" w:line="240" w:lineRule="auto"/>
              <w:ind w:left="113" w:right="0"/>
              <w:jc w:val="center"/>
              <w:rPr>
                <w:i/>
                <w:sz w:val="14"/>
                <w:szCs w:val="14"/>
                <w:lang w:val="fr-CA"/>
              </w:rPr>
            </w:pPr>
            <w:r>
              <w:rPr>
                <w:i/>
                <w:sz w:val="14"/>
                <w:szCs w:val="14"/>
                <w:lang w:val="fr-CA"/>
              </w:rPr>
              <w:t>Persévérants</w:t>
            </w:r>
          </w:p>
        </w:tc>
      </w:tr>
      <w:tr w:rsidR="00A10274">
        <w:trPr>
          <w:trHeight w:val="240"/>
          <w:tblHeader/>
        </w:trPr>
        <w:tc>
          <w:tcPr>
            <w:tcW w:w="851" w:type="dxa"/>
            <w:vMerge/>
            <w:tcBorders>
              <w:top w:val="single" w:sz="12"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0" w:right="0"/>
              <w:jc w:val="left"/>
              <w:rPr>
                <w:i/>
                <w:sz w:val="14"/>
                <w:szCs w:val="14"/>
                <w:lang w:val="fr-CA"/>
              </w:rPr>
            </w:pPr>
          </w:p>
        </w:tc>
        <w:tc>
          <w:tcPr>
            <w:tcW w:w="945"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Sexe F</w:t>
            </w:r>
          </w:p>
        </w:tc>
        <w:tc>
          <w:tcPr>
            <w:tcW w:w="945"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Total</w:t>
            </w:r>
          </w:p>
        </w:tc>
        <w:tc>
          <w:tcPr>
            <w:tcW w:w="945"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 xml:space="preserve">% F du total </w:t>
            </w:r>
          </w:p>
        </w:tc>
        <w:tc>
          <w:tcPr>
            <w:tcW w:w="1181"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Sexe F</w:t>
            </w:r>
          </w:p>
        </w:tc>
        <w:tc>
          <w:tcPr>
            <w:tcW w:w="1181"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Total</w:t>
            </w:r>
          </w:p>
        </w:tc>
        <w:tc>
          <w:tcPr>
            <w:tcW w:w="1181"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 F du total</w:t>
            </w:r>
          </w:p>
        </w:tc>
      </w:tr>
      <w:tr w:rsidR="00A10274">
        <w:trPr>
          <w:trHeight w:val="240"/>
        </w:trPr>
        <w:tc>
          <w:tcPr>
            <w:tcW w:w="851" w:type="dxa"/>
            <w:tcBorders>
              <w:top w:val="single" w:sz="12" w:space="0" w:color="auto"/>
            </w:tcBorders>
            <w:shd w:val="clear" w:color="auto" w:fill="auto"/>
          </w:tcPr>
          <w:p w:rsidR="00A10274" w:rsidRDefault="00A10274">
            <w:pPr>
              <w:pStyle w:val="SingleTxtG"/>
              <w:suppressAutoHyphens w:val="0"/>
              <w:spacing w:before="60" w:after="60" w:line="240" w:lineRule="auto"/>
              <w:ind w:left="0" w:right="0"/>
              <w:jc w:val="left"/>
              <w:rPr>
                <w:sz w:val="18"/>
                <w:szCs w:val="18"/>
                <w:lang w:val="fr-CA"/>
              </w:rPr>
            </w:pPr>
            <w:r>
              <w:rPr>
                <w:sz w:val="18"/>
                <w:szCs w:val="18"/>
                <w:lang w:val="fr-CA"/>
              </w:rPr>
              <w:t>2009/10</w:t>
            </w:r>
          </w:p>
        </w:tc>
        <w:tc>
          <w:tcPr>
            <w:tcW w:w="945"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1 111</w:t>
            </w:r>
          </w:p>
        </w:tc>
        <w:tc>
          <w:tcPr>
            <w:tcW w:w="945"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2 626</w:t>
            </w:r>
          </w:p>
        </w:tc>
        <w:tc>
          <w:tcPr>
            <w:tcW w:w="945"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42,3</w:t>
            </w:r>
          </w:p>
        </w:tc>
        <w:tc>
          <w:tcPr>
            <w:tcW w:w="1181"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979</w:t>
            </w:r>
          </w:p>
        </w:tc>
        <w:tc>
          <w:tcPr>
            <w:tcW w:w="1181"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2 190</w:t>
            </w:r>
          </w:p>
        </w:tc>
        <w:tc>
          <w:tcPr>
            <w:tcW w:w="1181"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44,7</w:t>
            </w:r>
          </w:p>
        </w:tc>
      </w:tr>
      <w:tr w:rsidR="00A10274">
        <w:trPr>
          <w:trHeight w:val="240"/>
        </w:trPr>
        <w:tc>
          <w:tcPr>
            <w:tcW w:w="851" w:type="dxa"/>
            <w:shd w:val="clear" w:color="auto" w:fill="auto"/>
          </w:tcPr>
          <w:p w:rsidR="00A10274" w:rsidRDefault="00A10274">
            <w:pPr>
              <w:pStyle w:val="SingleTxtG"/>
              <w:suppressAutoHyphens w:val="0"/>
              <w:spacing w:before="60" w:after="60" w:line="240" w:lineRule="auto"/>
              <w:ind w:left="0" w:right="0"/>
              <w:jc w:val="left"/>
              <w:rPr>
                <w:sz w:val="18"/>
                <w:szCs w:val="18"/>
                <w:lang w:val="fr-CA"/>
              </w:rPr>
            </w:pPr>
            <w:r>
              <w:rPr>
                <w:sz w:val="18"/>
                <w:szCs w:val="18"/>
                <w:lang w:val="fr-CA"/>
              </w:rPr>
              <w:t>2010/11</w:t>
            </w:r>
          </w:p>
        </w:tc>
        <w:tc>
          <w:tcPr>
            <w:tcW w:w="945"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2 425</w:t>
            </w:r>
          </w:p>
        </w:tc>
        <w:tc>
          <w:tcPr>
            <w:tcW w:w="945"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5 989</w:t>
            </w:r>
          </w:p>
        </w:tc>
        <w:tc>
          <w:tcPr>
            <w:tcW w:w="945"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40,5</w:t>
            </w:r>
          </w:p>
        </w:tc>
        <w:tc>
          <w:tcPr>
            <w:tcW w:w="1181"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1 934</w:t>
            </w:r>
          </w:p>
        </w:tc>
        <w:tc>
          <w:tcPr>
            <w:tcW w:w="1181"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3 977</w:t>
            </w:r>
          </w:p>
        </w:tc>
        <w:tc>
          <w:tcPr>
            <w:tcW w:w="1181"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48,6</w:t>
            </w:r>
          </w:p>
        </w:tc>
      </w:tr>
      <w:tr w:rsidR="00A10274">
        <w:trPr>
          <w:trHeight w:val="240"/>
        </w:trPr>
        <w:tc>
          <w:tcPr>
            <w:tcW w:w="851" w:type="dxa"/>
            <w:tcBorders>
              <w:bottom w:val="single" w:sz="12" w:space="0" w:color="auto"/>
            </w:tcBorders>
            <w:shd w:val="clear" w:color="auto" w:fill="auto"/>
          </w:tcPr>
          <w:p w:rsidR="00A10274" w:rsidRDefault="00A10274">
            <w:pPr>
              <w:pStyle w:val="SingleTxtG"/>
              <w:suppressAutoHyphens w:val="0"/>
              <w:spacing w:before="60" w:after="60" w:line="240" w:lineRule="auto"/>
              <w:ind w:left="0" w:right="0"/>
              <w:jc w:val="left"/>
              <w:rPr>
                <w:sz w:val="18"/>
                <w:szCs w:val="18"/>
                <w:lang w:val="fr-CA"/>
              </w:rPr>
            </w:pPr>
            <w:r>
              <w:rPr>
                <w:sz w:val="18"/>
                <w:szCs w:val="18"/>
                <w:lang w:val="fr-CA"/>
              </w:rPr>
              <w:t>2011/12</w:t>
            </w:r>
          </w:p>
        </w:tc>
        <w:tc>
          <w:tcPr>
            <w:tcW w:w="945"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1 742</w:t>
            </w:r>
          </w:p>
        </w:tc>
        <w:tc>
          <w:tcPr>
            <w:tcW w:w="945"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5 803</w:t>
            </w:r>
          </w:p>
        </w:tc>
        <w:tc>
          <w:tcPr>
            <w:tcW w:w="945"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30,0</w:t>
            </w:r>
          </w:p>
        </w:tc>
        <w:tc>
          <w:tcPr>
            <w:tcW w:w="1181"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1 425</w:t>
            </w:r>
          </w:p>
        </w:tc>
        <w:tc>
          <w:tcPr>
            <w:tcW w:w="1181"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4 448</w:t>
            </w:r>
          </w:p>
        </w:tc>
        <w:tc>
          <w:tcPr>
            <w:tcW w:w="1181"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32,0</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34.</w:t>
      </w:r>
      <w:r>
        <w:rPr>
          <w:lang w:val="fr-CA"/>
        </w:rPr>
        <w:tab/>
        <w:t>Le nombre de femmes et d’hommes inscrits dans le programme d’éducation permanente des adultes est généralement en augmentation. Le nombre absolu de ceux qui ont suivi le programme jusqu’au bout a, lui aussi, augmenté régulièrement durant les trois dernières années. À la différence du programme d’alphabétisation des adultes, le nombre de femmes inscrites et le taux de persévérance correspondant ont fluctué et sont demeurés au-dessous de ce qu’il est pour les hommes.</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11</w:t>
      </w:r>
      <w:r>
        <w:rPr>
          <w:lang w:val="fr-CA"/>
        </w:rPr>
        <w:br/>
        <w:t>Inscriptions à l’Institut érythréen de technologie (EIT) par sexe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241" w:type="dxa"/>
        <w:tblInd w:w="1276" w:type="dxa"/>
        <w:tblBorders>
          <w:top w:val="single" w:sz="4" w:space="0" w:color="auto"/>
        </w:tblBorders>
        <w:tblCellMar>
          <w:left w:w="0" w:type="dxa"/>
          <w:right w:w="0" w:type="dxa"/>
        </w:tblCellMar>
        <w:tblLook w:val="01E0"/>
      </w:tblPr>
      <w:tblGrid>
        <w:gridCol w:w="847"/>
        <w:gridCol w:w="724"/>
        <w:gridCol w:w="725"/>
        <w:gridCol w:w="725"/>
        <w:gridCol w:w="725"/>
        <w:gridCol w:w="725"/>
        <w:gridCol w:w="725"/>
        <w:gridCol w:w="725"/>
        <w:gridCol w:w="651"/>
        <w:gridCol w:w="669"/>
      </w:tblGrid>
      <w:tr w:rsidR="00A10274">
        <w:trPr>
          <w:trHeight w:val="240"/>
          <w:tblHeader/>
        </w:trPr>
        <w:tc>
          <w:tcPr>
            <w:tcW w:w="847" w:type="dxa"/>
            <w:vMerge w:val="restart"/>
            <w:tcBorders>
              <w:top w:val="single" w:sz="4" w:space="0" w:color="auto"/>
            </w:tcBorders>
            <w:shd w:val="clear" w:color="auto" w:fill="auto"/>
            <w:vAlign w:val="bottom"/>
          </w:tcPr>
          <w:p w:rsidR="00A10274" w:rsidRDefault="00A10274">
            <w:pPr>
              <w:pStyle w:val="SingleTxtG"/>
              <w:suppressAutoHyphens w:val="0"/>
              <w:spacing w:before="60" w:after="60" w:line="240" w:lineRule="auto"/>
              <w:ind w:left="0" w:right="0"/>
              <w:jc w:val="left"/>
              <w:rPr>
                <w:i/>
                <w:sz w:val="14"/>
                <w:szCs w:val="14"/>
                <w:lang w:val="fr-CA"/>
              </w:rPr>
            </w:pPr>
            <w:r>
              <w:rPr>
                <w:i/>
                <w:sz w:val="14"/>
                <w:szCs w:val="14"/>
                <w:lang w:val="fr-CA"/>
              </w:rPr>
              <w:t>Année</w:t>
            </w:r>
          </w:p>
        </w:tc>
        <w:tc>
          <w:tcPr>
            <w:tcW w:w="2174" w:type="dxa"/>
            <w:gridSpan w:val="3"/>
            <w:tcBorders>
              <w:top w:val="single" w:sz="4" w:space="0" w:color="auto"/>
              <w:bottom w:val="single" w:sz="6"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Éducation</w:t>
            </w:r>
          </w:p>
        </w:tc>
        <w:tc>
          <w:tcPr>
            <w:tcW w:w="2175" w:type="dxa"/>
            <w:gridSpan w:val="3"/>
            <w:tcBorders>
              <w:top w:val="single" w:sz="4" w:space="0" w:color="auto"/>
              <w:bottom w:val="single" w:sz="6"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Ingénierie</w:t>
            </w:r>
          </w:p>
        </w:tc>
        <w:tc>
          <w:tcPr>
            <w:tcW w:w="2045" w:type="dxa"/>
            <w:gridSpan w:val="3"/>
            <w:tcBorders>
              <w:top w:val="single" w:sz="4" w:space="0" w:color="auto"/>
              <w:bottom w:val="single" w:sz="6"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Sciences</w:t>
            </w:r>
          </w:p>
        </w:tc>
      </w:tr>
      <w:tr w:rsidR="00A10274">
        <w:trPr>
          <w:trHeight w:val="240"/>
        </w:trPr>
        <w:tc>
          <w:tcPr>
            <w:tcW w:w="847" w:type="dxa"/>
            <w:vMerge/>
            <w:tcBorders>
              <w:bottom w:val="single" w:sz="12" w:space="0" w:color="auto"/>
            </w:tcBorders>
            <w:shd w:val="clear" w:color="auto" w:fill="auto"/>
          </w:tcPr>
          <w:p w:rsidR="00A10274" w:rsidRDefault="00A10274">
            <w:pPr>
              <w:pStyle w:val="SingleTxtG"/>
              <w:suppressAutoHyphens w:val="0"/>
              <w:spacing w:before="60" w:after="60" w:line="240" w:lineRule="auto"/>
              <w:ind w:left="0" w:right="0"/>
              <w:jc w:val="left"/>
              <w:rPr>
                <w:i/>
                <w:sz w:val="14"/>
                <w:szCs w:val="14"/>
                <w:lang w:val="fr-CA"/>
              </w:rPr>
            </w:pPr>
          </w:p>
        </w:tc>
        <w:tc>
          <w:tcPr>
            <w:tcW w:w="72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Total</w:t>
            </w:r>
          </w:p>
        </w:tc>
        <w:tc>
          <w:tcPr>
            <w:tcW w:w="72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F</w:t>
            </w:r>
          </w:p>
        </w:tc>
        <w:tc>
          <w:tcPr>
            <w:tcW w:w="72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 F</w:t>
            </w:r>
          </w:p>
        </w:tc>
        <w:tc>
          <w:tcPr>
            <w:tcW w:w="72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Total</w:t>
            </w:r>
          </w:p>
        </w:tc>
        <w:tc>
          <w:tcPr>
            <w:tcW w:w="72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F</w:t>
            </w:r>
          </w:p>
        </w:tc>
        <w:tc>
          <w:tcPr>
            <w:tcW w:w="72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 F</w:t>
            </w:r>
          </w:p>
        </w:tc>
        <w:tc>
          <w:tcPr>
            <w:tcW w:w="72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Total</w:t>
            </w:r>
          </w:p>
        </w:tc>
        <w:tc>
          <w:tcPr>
            <w:tcW w:w="651"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F</w:t>
            </w:r>
          </w:p>
        </w:tc>
        <w:tc>
          <w:tcPr>
            <w:tcW w:w="66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i/>
                <w:sz w:val="14"/>
                <w:szCs w:val="14"/>
                <w:lang w:val="fr-CA"/>
              </w:rPr>
            </w:pPr>
            <w:r>
              <w:rPr>
                <w:i/>
                <w:sz w:val="14"/>
                <w:szCs w:val="14"/>
                <w:lang w:val="fr-CA"/>
              </w:rPr>
              <w:t>% F</w:t>
            </w:r>
          </w:p>
        </w:tc>
      </w:tr>
      <w:tr w:rsidR="00A10274">
        <w:trPr>
          <w:trHeight w:val="240"/>
        </w:trPr>
        <w:tc>
          <w:tcPr>
            <w:tcW w:w="847" w:type="dxa"/>
            <w:tcBorders>
              <w:top w:val="single" w:sz="12" w:space="0" w:color="auto"/>
            </w:tcBorders>
            <w:shd w:val="clear" w:color="auto" w:fill="auto"/>
          </w:tcPr>
          <w:p w:rsidR="00A10274" w:rsidRDefault="00A10274">
            <w:pPr>
              <w:pStyle w:val="SingleTxtG"/>
              <w:suppressAutoHyphens w:val="0"/>
              <w:spacing w:before="60" w:after="60" w:line="240" w:lineRule="auto"/>
              <w:ind w:left="0" w:right="0"/>
              <w:jc w:val="left"/>
              <w:rPr>
                <w:sz w:val="18"/>
                <w:szCs w:val="18"/>
                <w:lang w:val="fr-CA"/>
              </w:rPr>
            </w:pPr>
            <w:r>
              <w:rPr>
                <w:sz w:val="18"/>
                <w:szCs w:val="18"/>
                <w:lang w:val="fr-CA"/>
              </w:rPr>
              <w:t>2009/10</w:t>
            </w:r>
          </w:p>
        </w:tc>
        <w:tc>
          <w:tcPr>
            <w:tcW w:w="724"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528</w:t>
            </w:r>
          </w:p>
        </w:tc>
        <w:tc>
          <w:tcPr>
            <w:tcW w:w="725"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233</w:t>
            </w:r>
          </w:p>
        </w:tc>
        <w:tc>
          <w:tcPr>
            <w:tcW w:w="725"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44,1</w:t>
            </w:r>
          </w:p>
        </w:tc>
        <w:tc>
          <w:tcPr>
            <w:tcW w:w="725"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2 262</w:t>
            </w:r>
          </w:p>
        </w:tc>
        <w:tc>
          <w:tcPr>
            <w:tcW w:w="725"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349</w:t>
            </w:r>
          </w:p>
        </w:tc>
        <w:tc>
          <w:tcPr>
            <w:tcW w:w="725"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15,4</w:t>
            </w:r>
          </w:p>
        </w:tc>
        <w:tc>
          <w:tcPr>
            <w:tcW w:w="725"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1 094</w:t>
            </w:r>
          </w:p>
        </w:tc>
        <w:tc>
          <w:tcPr>
            <w:tcW w:w="651"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370</w:t>
            </w:r>
          </w:p>
        </w:tc>
        <w:tc>
          <w:tcPr>
            <w:tcW w:w="669" w:type="dxa"/>
            <w:tcBorders>
              <w:top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33,8</w:t>
            </w:r>
          </w:p>
        </w:tc>
      </w:tr>
      <w:tr w:rsidR="00A10274">
        <w:trPr>
          <w:trHeight w:val="240"/>
        </w:trPr>
        <w:tc>
          <w:tcPr>
            <w:tcW w:w="847" w:type="dxa"/>
            <w:shd w:val="clear" w:color="auto" w:fill="auto"/>
          </w:tcPr>
          <w:p w:rsidR="00A10274" w:rsidRDefault="00A10274">
            <w:pPr>
              <w:pStyle w:val="SingleTxtG"/>
              <w:suppressAutoHyphens w:val="0"/>
              <w:spacing w:before="60" w:after="60" w:line="240" w:lineRule="auto"/>
              <w:ind w:left="0" w:right="0"/>
              <w:jc w:val="left"/>
              <w:rPr>
                <w:sz w:val="18"/>
                <w:szCs w:val="18"/>
                <w:lang w:val="fr-CA"/>
              </w:rPr>
            </w:pPr>
            <w:r>
              <w:rPr>
                <w:sz w:val="18"/>
                <w:szCs w:val="18"/>
                <w:lang w:val="fr-CA"/>
              </w:rPr>
              <w:t>2010/11</w:t>
            </w:r>
          </w:p>
        </w:tc>
        <w:tc>
          <w:tcPr>
            <w:tcW w:w="724"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1 569</w:t>
            </w:r>
          </w:p>
        </w:tc>
        <w:tc>
          <w:tcPr>
            <w:tcW w:w="725"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421</w:t>
            </w:r>
          </w:p>
        </w:tc>
        <w:tc>
          <w:tcPr>
            <w:tcW w:w="725"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26,8</w:t>
            </w:r>
          </w:p>
        </w:tc>
        <w:tc>
          <w:tcPr>
            <w:tcW w:w="725"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2 544</w:t>
            </w:r>
          </w:p>
        </w:tc>
        <w:tc>
          <w:tcPr>
            <w:tcW w:w="725"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459</w:t>
            </w:r>
          </w:p>
        </w:tc>
        <w:tc>
          <w:tcPr>
            <w:tcW w:w="725"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18,0</w:t>
            </w:r>
          </w:p>
        </w:tc>
        <w:tc>
          <w:tcPr>
            <w:tcW w:w="725"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1 677</w:t>
            </w:r>
          </w:p>
        </w:tc>
        <w:tc>
          <w:tcPr>
            <w:tcW w:w="651"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700</w:t>
            </w:r>
          </w:p>
        </w:tc>
        <w:tc>
          <w:tcPr>
            <w:tcW w:w="669" w:type="dxa"/>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41,7</w:t>
            </w:r>
          </w:p>
        </w:tc>
      </w:tr>
      <w:tr w:rsidR="00A10274">
        <w:trPr>
          <w:trHeight w:val="240"/>
        </w:trPr>
        <w:tc>
          <w:tcPr>
            <w:tcW w:w="847" w:type="dxa"/>
            <w:tcBorders>
              <w:bottom w:val="single" w:sz="12" w:space="0" w:color="auto"/>
            </w:tcBorders>
            <w:shd w:val="clear" w:color="auto" w:fill="auto"/>
          </w:tcPr>
          <w:p w:rsidR="00A10274" w:rsidRDefault="00A10274">
            <w:pPr>
              <w:pStyle w:val="SingleTxtG"/>
              <w:suppressAutoHyphens w:val="0"/>
              <w:spacing w:before="60" w:after="60" w:line="240" w:lineRule="auto"/>
              <w:ind w:left="0" w:right="0"/>
              <w:jc w:val="left"/>
              <w:rPr>
                <w:sz w:val="18"/>
                <w:szCs w:val="18"/>
                <w:lang w:val="fr-CA"/>
              </w:rPr>
            </w:pPr>
            <w:r>
              <w:rPr>
                <w:sz w:val="18"/>
                <w:szCs w:val="18"/>
                <w:lang w:val="fr-CA"/>
              </w:rPr>
              <w:t>2011/12</w:t>
            </w:r>
          </w:p>
        </w:tc>
        <w:tc>
          <w:tcPr>
            <w:tcW w:w="724"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980</w:t>
            </w:r>
          </w:p>
        </w:tc>
        <w:tc>
          <w:tcPr>
            <w:tcW w:w="725"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247</w:t>
            </w:r>
          </w:p>
        </w:tc>
        <w:tc>
          <w:tcPr>
            <w:tcW w:w="725"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25,2</w:t>
            </w:r>
          </w:p>
        </w:tc>
        <w:tc>
          <w:tcPr>
            <w:tcW w:w="725"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2 681</w:t>
            </w:r>
          </w:p>
        </w:tc>
        <w:tc>
          <w:tcPr>
            <w:tcW w:w="725"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492</w:t>
            </w:r>
          </w:p>
        </w:tc>
        <w:tc>
          <w:tcPr>
            <w:tcW w:w="725"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18,4</w:t>
            </w:r>
          </w:p>
        </w:tc>
        <w:tc>
          <w:tcPr>
            <w:tcW w:w="725"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1 694</w:t>
            </w:r>
          </w:p>
        </w:tc>
        <w:tc>
          <w:tcPr>
            <w:tcW w:w="651"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697</w:t>
            </w:r>
          </w:p>
        </w:tc>
        <w:tc>
          <w:tcPr>
            <w:tcW w:w="669" w:type="dxa"/>
            <w:tcBorders>
              <w:bottom w:val="single" w:sz="12" w:space="0" w:color="auto"/>
            </w:tcBorders>
            <w:shd w:val="clear" w:color="auto" w:fill="auto"/>
            <w:vAlign w:val="bottom"/>
          </w:tcPr>
          <w:p w:rsidR="00A10274" w:rsidRDefault="00A10274">
            <w:pPr>
              <w:pStyle w:val="SingleTxtG"/>
              <w:suppressAutoHyphens w:val="0"/>
              <w:spacing w:before="60" w:after="60" w:line="240" w:lineRule="auto"/>
              <w:ind w:left="113" w:right="0"/>
              <w:jc w:val="right"/>
              <w:rPr>
                <w:sz w:val="18"/>
                <w:szCs w:val="18"/>
                <w:lang w:val="fr-CA"/>
              </w:rPr>
            </w:pPr>
            <w:r>
              <w:rPr>
                <w:sz w:val="18"/>
                <w:szCs w:val="18"/>
                <w:lang w:val="fr-CA"/>
              </w:rPr>
              <w:t>41,1</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35.</w:t>
      </w:r>
      <w:r>
        <w:rPr>
          <w:lang w:val="fr-CA"/>
        </w:rPr>
        <w:tab/>
        <w:t>Le nombre d’hommes et de femmes inscrits à l’Institut érythréen de technologie est en augmentation. Le pourcentage de femmes inscrites à la faculté d’ingénierie a généralement marqué une tendance à la hausse alors qu’il est généralement en baisse à la faculté des sciences de l’éducation. Le taux d’inscription des femmes dans les sciences oscille constamment.</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12</w:t>
      </w:r>
      <w:r>
        <w:rPr>
          <w:lang w:val="fr-CA"/>
        </w:rPr>
        <w:br/>
        <w:t>Inscriptions à la faculté des sciences de la mer et de technologie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228" w:type="dxa"/>
        <w:tblInd w:w="1276" w:type="dxa"/>
        <w:tblBorders>
          <w:top w:val="single" w:sz="4" w:space="0" w:color="auto"/>
        </w:tblBorders>
        <w:tblCellMar>
          <w:left w:w="0" w:type="dxa"/>
          <w:right w:w="0" w:type="dxa"/>
        </w:tblCellMar>
        <w:tblLook w:val="01E0"/>
      </w:tblPr>
      <w:tblGrid>
        <w:gridCol w:w="1793"/>
        <w:gridCol w:w="29"/>
        <w:gridCol w:w="1764"/>
        <w:gridCol w:w="1958"/>
        <w:gridCol w:w="1684"/>
      </w:tblGrid>
      <w:tr w:rsidR="00A10274">
        <w:trPr>
          <w:trHeight w:val="240"/>
          <w:tblHeader/>
        </w:trPr>
        <w:tc>
          <w:tcPr>
            <w:tcW w:w="1793" w:type="dxa"/>
            <w:vMerge w:val="restart"/>
            <w:tcBorders>
              <w:top w:val="single" w:sz="6"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Année</w:t>
            </w:r>
          </w:p>
        </w:tc>
        <w:tc>
          <w:tcPr>
            <w:tcW w:w="1793" w:type="dxa"/>
            <w:gridSpan w:val="2"/>
            <w:tcBorders>
              <w:top w:val="single" w:sz="6"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p>
        </w:tc>
        <w:tc>
          <w:tcPr>
            <w:tcW w:w="3642" w:type="dxa"/>
            <w:gridSpan w:val="2"/>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Femmes</w:t>
            </w:r>
          </w:p>
        </w:tc>
      </w:tr>
      <w:tr w:rsidR="00A10274">
        <w:trPr>
          <w:trHeight w:val="240"/>
          <w:tblHeader/>
        </w:trPr>
        <w:tc>
          <w:tcPr>
            <w:tcW w:w="1793" w:type="dxa"/>
            <w:vMerge/>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4"/>
                <w:szCs w:val="14"/>
                <w:lang w:val="fr-CA"/>
              </w:rPr>
            </w:pPr>
          </w:p>
        </w:tc>
        <w:tc>
          <w:tcPr>
            <w:tcW w:w="1793" w:type="dxa"/>
            <w:gridSpan w:val="2"/>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Total</w:t>
            </w:r>
          </w:p>
        </w:tc>
        <w:tc>
          <w:tcPr>
            <w:tcW w:w="195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Nombre</w:t>
            </w:r>
          </w:p>
        </w:tc>
        <w:tc>
          <w:tcPr>
            <w:tcW w:w="168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w:t>
            </w:r>
          </w:p>
        </w:tc>
      </w:tr>
      <w:tr w:rsidR="00A10274">
        <w:trPr>
          <w:trHeight w:val="240"/>
        </w:trPr>
        <w:tc>
          <w:tcPr>
            <w:tcW w:w="1822" w:type="dxa"/>
            <w:gridSpan w:val="2"/>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2009/10</w:t>
            </w:r>
          </w:p>
        </w:tc>
        <w:tc>
          <w:tcPr>
            <w:tcW w:w="176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550</w:t>
            </w:r>
          </w:p>
        </w:tc>
        <w:tc>
          <w:tcPr>
            <w:tcW w:w="195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73</w:t>
            </w:r>
          </w:p>
        </w:tc>
        <w:tc>
          <w:tcPr>
            <w:tcW w:w="168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13,3</w:t>
            </w:r>
          </w:p>
        </w:tc>
      </w:tr>
      <w:tr w:rsidR="00A10274">
        <w:trPr>
          <w:trHeight w:val="240"/>
        </w:trPr>
        <w:tc>
          <w:tcPr>
            <w:tcW w:w="1822" w:type="dxa"/>
            <w:gridSpan w:val="2"/>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2010/11</w:t>
            </w:r>
          </w:p>
        </w:tc>
        <w:tc>
          <w:tcPr>
            <w:tcW w:w="176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641</w:t>
            </w:r>
          </w:p>
        </w:tc>
        <w:tc>
          <w:tcPr>
            <w:tcW w:w="1958"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90</w:t>
            </w:r>
          </w:p>
        </w:tc>
        <w:tc>
          <w:tcPr>
            <w:tcW w:w="16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14,0</w:t>
            </w:r>
          </w:p>
        </w:tc>
      </w:tr>
      <w:tr w:rsidR="00A10274">
        <w:trPr>
          <w:trHeight w:val="240"/>
        </w:trPr>
        <w:tc>
          <w:tcPr>
            <w:tcW w:w="1822" w:type="dxa"/>
            <w:gridSpan w:val="2"/>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2011/12</w:t>
            </w:r>
          </w:p>
        </w:tc>
        <w:tc>
          <w:tcPr>
            <w:tcW w:w="176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580</w:t>
            </w:r>
          </w:p>
        </w:tc>
        <w:tc>
          <w:tcPr>
            <w:tcW w:w="1958"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102</w:t>
            </w:r>
          </w:p>
        </w:tc>
        <w:tc>
          <w:tcPr>
            <w:tcW w:w="168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17,6</w:t>
            </w:r>
          </w:p>
        </w:tc>
      </w:tr>
    </w:tbl>
    <w:p w:rsidR="00A10274" w:rsidRDefault="00A10274">
      <w:pPr>
        <w:pStyle w:val="SingleTxt"/>
        <w:spacing w:after="0" w:line="120" w:lineRule="exact"/>
        <w:ind w:left="1264"/>
        <w:rPr>
          <w:sz w:val="10"/>
          <w:lang w:val="fr-CA"/>
        </w:rPr>
      </w:pPr>
    </w:p>
    <w:p w:rsidR="00A10274" w:rsidRDefault="00A10274">
      <w:pPr>
        <w:pStyle w:val="SingleTxt"/>
        <w:spacing w:before="240"/>
        <w:ind w:left="1264"/>
        <w:rPr>
          <w:lang w:val="fr-CA"/>
        </w:rPr>
      </w:pPr>
      <w:r>
        <w:rPr>
          <w:lang w:val="fr-CA"/>
        </w:rPr>
        <w:t>36.</w:t>
      </w:r>
      <w:r>
        <w:rPr>
          <w:lang w:val="fr-CA"/>
        </w:rPr>
        <w:tab/>
        <w:t>Les inscriptions féminines au collège des sciences de la mer et de technologie ont augmenté en chiffres absolus et relatifs durant les quatre dernières années (entre 2009/10 et 2012/13).</w:t>
      </w:r>
    </w:p>
    <w:p w:rsidR="00A10274" w:rsidRDefault="00A10274">
      <w:pPr>
        <w:pStyle w:val="SingleTxt"/>
        <w:keepNext/>
        <w:spacing w:after="0" w:line="120" w:lineRule="exact"/>
        <w:jc w:val="left"/>
        <w:rPr>
          <w:sz w:val="10"/>
          <w:lang w:val="fr-CA"/>
        </w:rPr>
      </w:pPr>
    </w:p>
    <w:p w:rsidR="00A10274" w:rsidRDefault="00A10274">
      <w:pPr>
        <w:pStyle w:val="SingleTxt"/>
        <w:keepNext/>
        <w:jc w:val="left"/>
        <w:rPr>
          <w:b/>
          <w:lang w:val="fr-CA"/>
        </w:rPr>
      </w:pPr>
      <w:r>
        <w:rPr>
          <w:lang w:val="fr-CA"/>
        </w:rPr>
        <w:t>Tableau 13</w:t>
      </w:r>
      <w:r>
        <w:rPr>
          <w:lang w:val="fr-CA"/>
        </w:rPr>
        <w:br/>
      </w:r>
      <w:r>
        <w:rPr>
          <w:b/>
          <w:lang w:val="fr-CA"/>
        </w:rPr>
        <w:t>Inscriptions au collège d’agriculture par sexe</w:t>
      </w:r>
    </w:p>
    <w:p w:rsidR="00A10274" w:rsidRDefault="00A10274">
      <w:pPr>
        <w:pStyle w:val="SingleTxt"/>
        <w:keepNext/>
        <w:spacing w:after="0" w:line="120" w:lineRule="exact"/>
        <w:jc w:val="left"/>
        <w:rPr>
          <w:b/>
          <w:sz w:val="10"/>
          <w:lang w:val="fr-CA"/>
        </w:rPr>
      </w:pPr>
    </w:p>
    <w:p w:rsidR="00A10274" w:rsidRDefault="00A10274">
      <w:pPr>
        <w:pStyle w:val="SingleTxt"/>
        <w:keepNext/>
        <w:spacing w:after="0" w:line="120" w:lineRule="exact"/>
        <w:jc w:val="left"/>
        <w:rPr>
          <w:b/>
          <w:sz w:val="10"/>
          <w:lang w:val="fr-CA"/>
        </w:rPr>
      </w:pPr>
    </w:p>
    <w:tbl>
      <w:tblPr>
        <w:tblW w:w="7228" w:type="dxa"/>
        <w:tblInd w:w="1276" w:type="dxa"/>
        <w:tblBorders>
          <w:top w:val="single" w:sz="4" w:space="0" w:color="auto"/>
        </w:tblBorders>
        <w:tblCellMar>
          <w:left w:w="0" w:type="dxa"/>
          <w:right w:w="0" w:type="dxa"/>
        </w:tblCellMar>
        <w:tblLook w:val="01E0"/>
      </w:tblPr>
      <w:tblGrid>
        <w:gridCol w:w="1793"/>
        <w:gridCol w:w="29"/>
        <w:gridCol w:w="1764"/>
        <w:gridCol w:w="1958"/>
        <w:gridCol w:w="1684"/>
      </w:tblGrid>
      <w:tr w:rsidR="00A10274">
        <w:trPr>
          <w:trHeight w:val="240"/>
          <w:tblHeader/>
        </w:trPr>
        <w:tc>
          <w:tcPr>
            <w:tcW w:w="1793" w:type="dxa"/>
            <w:vMerge w:val="restart"/>
            <w:tcBorders>
              <w:top w:val="single" w:sz="6"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Année</w:t>
            </w:r>
          </w:p>
        </w:tc>
        <w:tc>
          <w:tcPr>
            <w:tcW w:w="1793" w:type="dxa"/>
            <w:gridSpan w:val="2"/>
            <w:tcBorders>
              <w:top w:val="single" w:sz="6"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p>
        </w:tc>
        <w:tc>
          <w:tcPr>
            <w:tcW w:w="3642" w:type="dxa"/>
            <w:gridSpan w:val="2"/>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Femmes</w:t>
            </w:r>
          </w:p>
        </w:tc>
      </w:tr>
      <w:tr w:rsidR="00A10274">
        <w:trPr>
          <w:trHeight w:val="240"/>
          <w:tblHeader/>
        </w:trPr>
        <w:tc>
          <w:tcPr>
            <w:tcW w:w="1793" w:type="dxa"/>
            <w:vMerge/>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4"/>
                <w:szCs w:val="14"/>
                <w:lang w:val="fr-CA"/>
              </w:rPr>
            </w:pPr>
          </w:p>
        </w:tc>
        <w:tc>
          <w:tcPr>
            <w:tcW w:w="1793" w:type="dxa"/>
            <w:gridSpan w:val="2"/>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Total</w:t>
            </w:r>
          </w:p>
        </w:tc>
        <w:tc>
          <w:tcPr>
            <w:tcW w:w="195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Nombre</w:t>
            </w:r>
          </w:p>
        </w:tc>
        <w:tc>
          <w:tcPr>
            <w:tcW w:w="168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w:t>
            </w:r>
          </w:p>
        </w:tc>
      </w:tr>
      <w:tr w:rsidR="00A10274">
        <w:trPr>
          <w:trHeight w:val="240"/>
        </w:trPr>
        <w:tc>
          <w:tcPr>
            <w:tcW w:w="1822" w:type="dxa"/>
            <w:gridSpan w:val="2"/>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2009/10</w:t>
            </w:r>
          </w:p>
        </w:tc>
        <w:tc>
          <w:tcPr>
            <w:tcW w:w="176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1 142</w:t>
            </w:r>
          </w:p>
        </w:tc>
        <w:tc>
          <w:tcPr>
            <w:tcW w:w="195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366</w:t>
            </w:r>
          </w:p>
        </w:tc>
        <w:tc>
          <w:tcPr>
            <w:tcW w:w="168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32,0</w:t>
            </w:r>
          </w:p>
        </w:tc>
      </w:tr>
      <w:tr w:rsidR="00A10274">
        <w:trPr>
          <w:trHeight w:val="240"/>
        </w:trPr>
        <w:tc>
          <w:tcPr>
            <w:tcW w:w="1822" w:type="dxa"/>
            <w:gridSpan w:val="2"/>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2010/11</w:t>
            </w:r>
          </w:p>
        </w:tc>
        <w:tc>
          <w:tcPr>
            <w:tcW w:w="176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1 377</w:t>
            </w:r>
          </w:p>
        </w:tc>
        <w:tc>
          <w:tcPr>
            <w:tcW w:w="1958"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434</w:t>
            </w:r>
          </w:p>
        </w:tc>
        <w:tc>
          <w:tcPr>
            <w:tcW w:w="16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31,5</w:t>
            </w:r>
          </w:p>
        </w:tc>
      </w:tr>
      <w:tr w:rsidR="00A10274">
        <w:trPr>
          <w:trHeight w:val="240"/>
        </w:trPr>
        <w:tc>
          <w:tcPr>
            <w:tcW w:w="1822" w:type="dxa"/>
            <w:gridSpan w:val="2"/>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2011/12</w:t>
            </w:r>
          </w:p>
        </w:tc>
        <w:tc>
          <w:tcPr>
            <w:tcW w:w="176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1 574</w:t>
            </w:r>
          </w:p>
        </w:tc>
        <w:tc>
          <w:tcPr>
            <w:tcW w:w="1958"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584</w:t>
            </w:r>
          </w:p>
        </w:tc>
        <w:tc>
          <w:tcPr>
            <w:tcW w:w="168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37,1</w:t>
            </w:r>
          </w:p>
        </w:tc>
      </w:tr>
    </w:tbl>
    <w:p w:rsidR="00A10274" w:rsidRDefault="00A10274">
      <w:pPr>
        <w:pStyle w:val="SingleTxt"/>
        <w:spacing w:after="0" w:line="120" w:lineRule="exact"/>
        <w:ind w:left="1264"/>
        <w:rPr>
          <w:sz w:val="10"/>
          <w:lang w:val="fr-CA"/>
        </w:rPr>
      </w:pPr>
    </w:p>
    <w:p w:rsidR="00A10274" w:rsidRDefault="00A10274">
      <w:pPr>
        <w:pStyle w:val="SingleTxt"/>
        <w:spacing w:before="240"/>
        <w:ind w:left="1264"/>
        <w:rPr>
          <w:lang w:val="fr-CA"/>
        </w:rPr>
      </w:pPr>
      <w:r>
        <w:rPr>
          <w:lang w:val="fr-CA"/>
        </w:rPr>
        <w:br w:type="page"/>
        <w:t>37.</w:t>
      </w:r>
      <w:r>
        <w:rPr>
          <w:lang w:val="fr-CA"/>
        </w:rPr>
        <w:tab/>
        <w:t>Le taux d’inscription des femmes au collège d’agriculture est monté progressivement jusqu’à atteindre 38,4 %, contre 32 % il y a 4 ans.</w:t>
      </w:r>
    </w:p>
    <w:p w:rsidR="00A10274" w:rsidRDefault="00A10274">
      <w:pPr>
        <w:pStyle w:val="SingleTxt"/>
        <w:keepNext/>
        <w:spacing w:after="0" w:line="120" w:lineRule="exact"/>
        <w:jc w:val="left"/>
        <w:rPr>
          <w:sz w:val="10"/>
          <w:lang w:val="fr-CA"/>
        </w:rPr>
      </w:pPr>
    </w:p>
    <w:p w:rsidR="00A10274" w:rsidRDefault="00A10274">
      <w:pPr>
        <w:pStyle w:val="SingleTxt"/>
        <w:keepNext/>
        <w:jc w:val="left"/>
        <w:rPr>
          <w:b/>
          <w:lang w:val="fr-CA"/>
        </w:rPr>
      </w:pPr>
      <w:r>
        <w:rPr>
          <w:lang w:val="fr-CA"/>
        </w:rPr>
        <w:t>Tableau 14</w:t>
      </w:r>
      <w:r>
        <w:rPr>
          <w:lang w:val="fr-CA"/>
        </w:rPr>
        <w:br/>
      </w:r>
      <w:r>
        <w:rPr>
          <w:b/>
          <w:lang w:val="fr-CA"/>
        </w:rPr>
        <w:t>Inscriptions à la faculté de commerce et d’économie par sexe</w:t>
      </w:r>
    </w:p>
    <w:p w:rsidR="00A10274" w:rsidRDefault="00A10274">
      <w:pPr>
        <w:pStyle w:val="SingleTxt"/>
        <w:keepNext/>
        <w:spacing w:after="0" w:line="120" w:lineRule="exact"/>
        <w:jc w:val="left"/>
        <w:rPr>
          <w:b/>
          <w:sz w:val="10"/>
          <w:lang w:val="fr-CA"/>
        </w:rPr>
      </w:pPr>
    </w:p>
    <w:p w:rsidR="00A10274" w:rsidRDefault="00A10274">
      <w:pPr>
        <w:pStyle w:val="SingleTxt"/>
        <w:keepNext/>
        <w:spacing w:after="0" w:line="120" w:lineRule="exact"/>
        <w:jc w:val="left"/>
        <w:rPr>
          <w:b/>
          <w:sz w:val="10"/>
          <w:lang w:val="fr-CA"/>
        </w:rPr>
      </w:pPr>
    </w:p>
    <w:tbl>
      <w:tblPr>
        <w:tblW w:w="7228" w:type="dxa"/>
        <w:tblInd w:w="1276" w:type="dxa"/>
        <w:tblBorders>
          <w:top w:val="single" w:sz="4" w:space="0" w:color="auto"/>
        </w:tblBorders>
        <w:tblCellMar>
          <w:left w:w="0" w:type="dxa"/>
          <w:right w:w="0" w:type="dxa"/>
        </w:tblCellMar>
        <w:tblLook w:val="01E0"/>
      </w:tblPr>
      <w:tblGrid>
        <w:gridCol w:w="1793"/>
        <w:gridCol w:w="29"/>
        <w:gridCol w:w="1764"/>
        <w:gridCol w:w="1958"/>
        <w:gridCol w:w="1684"/>
      </w:tblGrid>
      <w:tr w:rsidR="00A10274">
        <w:trPr>
          <w:trHeight w:val="240"/>
          <w:tblHeader/>
        </w:trPr>
        <w:tc>
          <w:tcPr>
            <w:tcW w:w="1793" w:type="dxa"/>
            <w:vMerge w:val="restart"/>
            <w:tcBorders>
              <w:top w:val="single" w:sz="6"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Année</w:t>
            </w:r>
          </w:p>
        </w:tc>
        <w:tc>
          <w:tcPr>
            <w:tcW w:w="1793" w:type="dxa"/>
            <w:gridSpan w:val="2"/>
            <w:tcBorders>
              <w:top w:val="single" w:sz="6"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p>
        </w:tc>
        <w:tc>
          <w:tcPr>
            <w:tcW w:w="3642" w:type="dxa"/>
            <w:gridSpan w:val="2"/>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Femmes</w:t>
            </w:r>
          </w:p>
        </w:tc>
      </w:tr>
      <w:tr w:rsidR="00A10274">
        <w:trPr>
          <w:trHeight w:val="240"/>
          <w:tblHeader/>
        </w:trPr>
        <w:tc>
          <w:tcPr>
            <w:tcW w:w="1793" w:type="dxa"/>
            <w:vMerge/>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4"/>
                <w:szCs w:val="14"/>
                <w:lang w:val="fr-CA"/>
              </w:rPr>
            </w:pPr>
          </w:p>
        </w:tc>
        <w:tc>
          <w:tcPr>
            <w:tcW w:w="1793" w:type="dxa"/>
            <w:gridSpan w:val="2"/>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Total</w:t>
            </w:r>
          </w:p>
        </w:tc>
        <w:tc>
          <w:tcPr>
            <w:tcW w:w="195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Nombre</w:t>
            </w:r>
          </w:p>
        </w:tc>
        <w:tc>
          <w:tcPr>
            <w:tcW w:w="168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w:t>
            </w:r>
          </w:p>
        </w:tc>
      </w:tr>
      <w:tr w:rsidR="00A10274">
        <w:trPr>
          <w:trHeight w:val="240"/>
        </w:trPr>
        <w:tc>
          <w:tcPr>
            <w:tcW w:w="1822" w:type="dxa"/>
            <w:gridSpan w:val="2"/>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2009/10</w:t>
            </w:r>
          </w:p>
        </w:tc>
        <w:tc>
          <w:tcPr>
            <w:tcW w:w="176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1 439</w:t>
            </w:r>
          </w:p>
        </w:tc>
        <w:tc>
          <w:tcPr>
            <w:tcW w:w="195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412</w:t>
            </w:r>
          </w:p>
        </w:tc>
        <w:tc>
          <w:tcPr>
            <w:tcW w:w="168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28,6</w:t>
            </w:r>
          </w:p>
        </w:tc>
      </w:tr>
      <w:tr w:rsidR="00A10274">
        <w:trPr>
          <w:trHeight w:val="240"/>
        </w:trPr>
        <w:tc>
          <w:tcPr>
            <w:tcW w:w="1822" w:type="dxa"/>
            <w:gridSpan w:val="2"/>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2010/11</w:t>
            </w:r>
          </w:p>
        </w:tc>
        <w:tc>
          <w:tcPr>
            <w:tcW w:w="176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1 226</w:t>
            </w:r>
          </w:p>
        </w:tc>
        <w:tc>
          <w:tcPr>
            <w:tcW w:w="1958"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369</w:t>
            </w:r>
          </w:p>
        </w:tc>
        <w:tc>
          <w:tcPr>
            <w:tcW w:w="16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30,1</w:t>
            </w:r>
          </w:p>
        </w:tc>
      </w:tr>
      <w:tr w:rsidR="00A10274">
        <w:trPr>
          <w:trHeight w:val="240"/>
        </w:trPr>
        <w:tc>
          <w:tcPr>
            <w:tcW w:w="1822" w:type="dxa"/>
            <w:gridSpan w:val="2"/>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2011/12</w:t>
            </w:r>
          </w:p>
        </w:tc>
        <w:tc>
          <w:tcPr>
            <w:tcW w:w="176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1 389</w:t>
            </w:r>
          </w:p>
        </w:tc>
        <w:tc>
          <w:tcPr>
            <w:tcW w:w="1958"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459</w:t>
            </w:r>
          </w:p>
        </w:tc>
        <w:tc>
          <w:tcPr>
            <w:tcW w:w="168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33,0</w:t>
            </w:r>
          </w:p>
        </w:tc>
      </w:tr>
    </w:tbl>
    <w:p w:rsidR="00A10274" w:rsidRDefault="00A10274">
      <w:pPr>
        <w:pStyle w:val="SingleTxt"/>
        <w:spacing w:after="0" w:line="120" w:lineRule="exact"/>
        <w:ind w:left="1264"/>
        <w:rPr>
          <w:sz w:val="10"/>
          <w:lang w:val="fr-CA"/>
        </w:rPr>
      </w:pPr>
    </w:p>
    <w:p w:rsidR="00A10274" w:rsidRDefault="00A10274">
      <w:pPr>
        <w:pStyle w:val="SingleTxt"/>
        <w:spacing w:before="240"/>
        <w:ind w:left="1264"/>
        <w:rPr>
          <w:lang w:val="fr-CA"/>
        </w:rPr>
      </w:pPr>
      <w:r>
        <w:rPr>
          <w:lang w:val="fr-CA"/>
        </w:rPr>
        <w:t>38.</w:t>
      </w:r>
      <w:r>
        <w:rPr>
          <w:lang w:val="fr-CA"/>
        </w:rPr>
        <w:tab/>
        <w:t>De même, les inscriptions féminines au collège de commerce et d’économie sont en augmentation constante.</w:t>
      </w:r>
    </w:p>
    <w:p w:rsidR="00A10274" w:rsidRDefault="00A10274">
      <w:pPr>
        <w:pStyle w:val="SingleTxt"/>
        <w:spacing w:after="0" w:line="120" w:lineRule="exact"/>
        <w:ind w:left="1264"/>
        <w:rPr>
          <w:sz w:val="10"/>
          <w:lang w:val="fr-CA"/>
        </w:rPr>
      </w:pPr>
    </w:p>
    <w:p w:rsidR="00A10274" w:rsidRDefault="00A10274">
      <w:pPr>
        <w:pStyle w:val="SingleTxt"/>
        <w:keepNext/>
        <w:jc w:val="left"/>
        <w:rPr>
          <w:b/>
          <w:lang w:val="fr-CA"/>
        </w:rPr>
      </w:pPr>
      <w:r>
        <w:rPr>
          <w:lang w:val="fr-CA"/>
        </w:rPr>
        <w:t>Tableau 15</w:t>
      </w:r>
      <w:r>
        <w:rPr>
          <w:lang w:val="fr-CA"/>
        </w:rPr>
        <w:br/>
      </w:r>
      <w:r>
        <w:rPr>
          <w:b/>
          <w:lang w:val="fr-CA"/>
        </w:rPr>
        <w:t>Inscriptions à la faculté des lettres et des sciences sociales (Adi Keih) par sexe</w:t>
      </w:r>
    </w:p>
    <w:p w:rsidR="00A10274" w:rsidRDefault="00A10274">
      <w:pPr>
        <w:pStyle w:val="SingleTxt"/>
        <w:keepNext/>
        <w:spacing w:after="0" w:line="120" w:lineRule="exact"/>
        <w:jc w:val="left"/>
        <w:rPr>
          <w:b/>
          <w:sz w:val="10"/>
          <w:lang w:val="fr-CA"/>
        </w:rPr>
      </w:pPr>
    </w:p>
    <w:p w:rsidR="00A10274" w:rsidRDefault="00A10274">
      <w:pPr>
        <w:pStyle w:val="SingleTxt"/>
        <w:keepNext/>
        <w:spacing w:after="0" w:line="120" w:lineRule="exact"/>
        <w:jc w:val="left"/>
        <w:rPr>
          <w:b/>
          <w:sz w:val="10"/>
          <w:lang w:val="fr-CA"/>
        </w:rPr>
      </w:pPr>
    </w:p>
    <w:tbl>
      <w:tblPr>
        <w:tblW w:w="7228" w:type="dxa"/>
        <w:tblInd w:w="1276" w:type="dxa"/>
        <w:tblBorders>
          <w:top w:val="single" w:sz="4" w:space="0" w:color="auto"/>
        </w:tblBorders>
        <w:tblCellMar>
          <w:left w:w="0" w:type="dxa"/>
          <w:right w:w="0" w:type="dxa"/>
        </w:tblCellMar>
        <w:tblLook w:val="01E0"/>
      </w:tblPr>
      <w:tblGrid>
        <w:gridCol w:w="1793"/>
        <w:gridCol w:w="29"/>
        <w:gridCol w:w="1764"/>
        <w:gridCol w:w="1958"/>
        <w:gridCol w:w="1684"/>
      </w:tblGrid>
      <w:tr w:rsidR="00A10274">
        <w:trPr>
          <w:trHeight w:val="240"/>
          <w:tblHeader/>
        </w:trPr>
        <w:tc>
          <w:tcPr>
            <w:tcW w:w="1793" w:type="dxa"/>
            <w:vMerge w:val="restart"/>
            <w:tcBorders>
              <w:top w:val="single" w:sz="6"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Année</w:t>
            </w:r>
          </w:p>
        </w:tc>
        <w:tc>
          <w:tcPr>
            <w:tcW w:w="1793" w:type="dxa"/>
            <w:gridSpan w:val="2"/>
            <w:tcBorders>
              <w:top w:val="single" w:sz="6"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p>
        </w:tc>
        <w:tc>
          <w:tcPr>
            <w:tcW w:w="3642" w:type="dxa"/>
            <w:gridSpan w:val="2"/>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Femmes</w:t>
            </w:r>
          </w:p>
        </w:tc>
      </w:tr>
      <w:tr w:rsidR="00A10274">
        <w:trPr>
          <w:trHeight w:val="240"/>
          <w:tblHeader/>
        </w:trPr>
        <w:tc>
          <w:tcPr>
            <w:tcW w:w="1793" w:type="dxa"/>
            <w:vMerge/>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4"/>
                <w:szCs w:val="14"/>
                <w:lang w:val="fr-CA"/>
              </w:rPr>
            </w:pPr>
          </w:p>
        </w:tc>
        <w:tc>
          <w:tcPr>
            <w:tcW w:w="1793" w:type="dxa"/>
            <w:gridSpan w:val="2"/>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Total</w:t>
            </w:r>
          </w:p>
        </w:tc>
        <w:tc>
          <w:tcPr>
            <w:tcW w:w="195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Nombre</w:t>
            </w:r>
          </w:p>
        </w:tc>
        <w:tc>
          <w:tcPr>
            <w:tcW w:w="168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w:t>
            </w:r>
          </w:p>
        </w:tc>
      </w:tr>
      <w:tr w:rsidR="00A10274">
        <w:trPr>
          <w:trHeight w:val="240"/>
        </w:trPr>
        <w:tc>
          <w:tcPr>
            <w:tcW w:w="1822" w:type="dxa"/>
            <w:gridSpan w:val="2"/>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2009/10</w:t>
            </w:r>
          </w:p>
        </w:tc>
        <w:tc>
          <w:tcPr>
            <w:tcW w:w="176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658</w:t>
            </w:r>
          </w:p>
        </w:tc>
        <w:tc>
          <w:tcPr>
            <w:tcW w:w="195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150</w:t>
            </w:r>
          </w:p>
        </w:tc>
        <w:tc>
          <w:tcPr>
            <w:tcW w:w="168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22,8</w:t>
            </w:r>
          </w:p>
        </w:tc>
      </w:tr>
      <w:tr w:rsidR="00A10274">
        <w:trPr>
          <w:trHeight w:val="240"/>
        </w:trPr>
        <w:tc>
          <w:tcPr>
            <w:tcW w:w="1822" w:type="dxa"/>
            <w:gridSpan w:val="2"/>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2010/11</w:t>
            </w:r>
          </w:p>
        </w:tc>
        <w:tc>
          <w:tcPr>
            <w:tcW w:w="176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774</w:t>
            </w:r>
          </w:p>
        </w:tc>
        <w:tc>
          <w:tcPr>
            <w:tcW w:w="1958"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203</w:t>
            </w:r>
          </w:p>
        </w:tc>
        <w:tc>
          <w:tcPr>
            <w:tcW w:w="16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26,2</w:t>
            </w:r>
          </w:p>
        </w:tc>
      </w:tr>
      <w:tr w:rsidR="00A10274">
        <w:trPr>
          <w:trHeight w:val="240"/>
        </w:trPr>
        <w:tc>
          <w:tcPr>
            <w:tcW w:w="1822" w:type="dxa"/>
            <w:gridSpan w:val="2"/>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2011/12</w:t>
            </w:r>
          </w:p>
        </w:tc>
        <w:tc>
          <w:tcPr>
            <w:tcW w:w="176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740</w:t>
            </w:r>
          </w:p>
        </w:tc>
        <w:tc>
          <w:tcPr>
            <w:tcW w:w="1958"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184</w:t>
            </w:r>
          </w:p>
        </w:tc>
        <w:tc>
          <w:tcPr>
            <w:tcW w:w="168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24,9</w:t>
            </w:r>
          </w:p>
        </w:tc>
      </w:tr>
    </w:tbl>
    <w:p w:rsidR="00A10274" w:rsidRDefault="00A10274">
      <w:pPr>
        <w:pStyle w:val="SingleTxt"/>
        <w:spacing w:before="240"/>
        <w:ind w:left="1264"/>
        <w:rPr>
          <w:lang w:val="fr-CA"/>
        </w:rPr>
      </w:pPr>
      <w:r>
        <w:rPr>
          <w:lang w:val="fr-CA"/>
        </w:rPr>
        <w:t>39.</w:t>
      </w:r>
      <w:r>
        <w:rPr>
          <w:lang w:val="fr-CA"/>
        </w:rPr>
        <w:tab/>
        <w:t>Les inscriptions féminines à la faculté des lettres et des sciences sociales sont passées de 22,8 % en 2009/10 à 40,5 % en 2011/12.</w:t>
      </w:r>
    </w:p>
    <w:p w:rsidR="00A10274" w:rsidRDefault="00A10274">
      <w:pPr>
        <w:pStyle w:val="SingleTxt"/>
        <w:keepNext/>
        <w:spacing w:after="0" w:line="120" w:lineRule="exact"/>
        <w:jc w:val="left"/>
        <w:rPr>
          <w:sz w:val="10"/>
          <w:lang w:val="fr-CA"/>
        </w:rPr>
      </w:pPr>
    </w:p>
    <w:p w:rsidR="00A10274" w:rsidRDefault="00A10274">
      <w:pPr>
        <w:pStyle w:val="SingleTxt"/>
        <w:keepNext/>
        <w:jc w:val="left"/>
        <w:rPr>
          <w:b/>
          <w:lang w:val="fr-CA"/>
        </w:rPr>
      </w:pPr>
      <w:r>
        <w:rPr>
          <w:lang w:val="fr-CA"/>
        </w:rPr>
        <w:t>Tableau 16</w:t>
      </w:r>
      <w:r>
        <w:rPr>
          <w:lang w:val="fr-CA"/>
        </w:rPr>
        <w:br/>
      </w:r>
      <w:r>
        <w:rPr>
          <w:b/>
          <w:lang w:val="fr-CA"/>
        </w:rPr>
        <w:t>Inscriptions à la Faculté de médecine Orotta</w:t>
      </w:r>
    </w:p>
    <w:p w:rsidR="00A10274" w:rsidRDefault="00A10274">
      <w:pPr>
        <w:pStyle w:val="SingleTxt"/>
        <w:keepNext/>
        <w:spacing w:after="0" w:line="120" w:lineRule="exact"/>
        <w:jc w:val="left"/>
        <w:rPr>
          <w:b/>
          <w:sz w:val="10"/>
          <w:lang w:val="fr-CA"/>
        </w:rPr>
      </w:pPr>
    </w:p>
    <w:p w:rsidR="00A10274" w:rsidRDefault="00A10274">
      <w:pPr>
        <w:pStyle w:val="SingleTxt"/>
        <w:keepNext/>
        <w:spacing w:after="0" w:line="120" w:lineRule="exact"/>
        <w:jc w:val="left"/>
        <w:rPr>
          <w:b/>
          <w:sz w:val="10"/>
          <w:lang w:val="fr-CA"/>
        </w:rPr>
      </w:pPr>
    </w:p>
    <w:tbl>
      <w:tblPr>
        <w:tblW w:w="7228" w:type="dxa"/>
        <w:tblInd w:w="1276" w:type="dxa"/>
        <w:tblBorders>
          <w:top w:val="single" w:sz="4" w:space="0" w:color="auto"/>
        </w:tblBorders>
        <w:tblCellMar>
          <w:left w:w="0" w:type="dxa"/>
          <w:right w:w="0" w:type="dxa"/>
        </w:tblCellMar>
        <w:tblLook w:val="01E0"/>
      </w:tblPr>
      <w:tblGrid>
        <w:gridCol w:w="1793"/>
        <w:gridCol w:w="29"/>
        <w:gridCol w:w="1764"/>
        <w:gridCol w:w="1958"/>
        <w:gridCol w:w="1684"/>
      </w:tblGrid>
      <w:tr w:rsidR="00A10274">
        <w:trPr>
          <w:trHeight w:val="240"/>
          <w:tblHeader/>
        </w:trPr>
        <w:tc>
          <w:tcPr>
            <w:tcW w:w="1793" w:type="dxa"/>
            <w:vMerge w:val="restart"/>
            <w:tcBorders>
              <w:top w:val="single" w:sz="6"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Année</w:t>
            </w:r>
          </w:p>
        </w:tc>
        <w:tc>
          <w:tcPr>
            <w:tcW w:w="1793" w:type="dxa"/>
            <w:gridSpan w:val="2"/>
            <w:tcBorders>
              <w:top w:val="single" w:sz="6"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p>
        </w:tc>
        <w:tc>
          <w:tcPr>
            <w:tcW w:w="3642" w:type="dxa"/>
            <w:gridSpan w:val="2"/>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Femmes</w:t>
            </w:r>
          </w:p>
        </w:tc>
      </w:tr>
      <w:tr w:rsidR="00A10274">
        <w:trPr>
          <w:trHeight w:val="240"/>
          <w:tblHeader/>
        </w:trPr>
        <w:tc>
          <w:tcPr>
            <w:tcW w:w="1793" w:type="dxa"/>
            <w:vMerge/>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4"/>
                <w:szCs w:val="14"/>
                <w:lang w:val="fr-CA"/>
              </w:rPr>
            </w:pPr>
          </w:p>
        </w:tc>
        <w:tc>
          <w:tcPr>
            <w:tcW w:w="1793" w:type="dxa"/>
            <w:gridSpan w:val="2"/>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Total</w:t>
            </w:r>
          </w:p>
        </w:tc>
        <w:tc>
          <w:tcPr>
            <w:tcW w:w="195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Nombre</w:t>
            </w:r>
          </w:p>
        </w:tc>
        <w:tc>
          <w:tcPr>
            <w:tcW w:w="168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w:t>
            </w:r>
          </w:p>
        </w:tc>
      </w:tr>
      <w:tr w:rsidR="00A10274">
        <w:trPr>
          <w:trHeight w:val="240"/>
        </w:trPr>
        <w:tc>
          <w:tcPr>
            <w:tcW w:w="1822" w:type="dxa"/>
            <w:gridSpan w:val="2"/>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2009/10</w:t>
            </w:r>
          </w:p>
        </w:tc>
        <w:tc>
          <w:tcPr>
            <w:tcW w:w="176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259</w:t>
            </w:r>
          </w:p>
        </w:tc>
        <w:tc>
          <w:tcPr>
            <w:tcW w:w="195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57</w:t>
            </w:r>
          </w:p>
        </w:tc>
        <w:tc>
          <w:tcPr>
            <w:tcW w:w="168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22,0</w:t>
            </w:r>
          </w:p>
        </w:tc>
      </w:tr>
      <w:tr w:rsidR="00A10274">
        <w:trPr>
          <w:trHeight w:val="240"/>
        </w:trPr>
        <w:tc>
          <w:tcPr>
            <w:tcW w:w="1822" w:type="dxa"/>
            <w:gridSpan w:val="2"/>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2010/11</w:t>
            </w:r>
          </w:p>
        </w:tc>
        <w:tc>
          <w:tcPr>
            <w:tcW w:w="176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302</w:t>
            </w:r>
          </w:p>
        </w:tc>
        <w:tc>
          <w:tcPr>
            <w:tcW w:w="1958"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73</w:t>
            </w:r>
          </w:p>
        </w:tc>
        <w:tc>
          <w:tcPr>
            <w:tcW w:w="16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24,2</w:t>
            </w:r>
          </w:p>
        </w:tc>
      </w:tr>
      <w:tr w:rsidR="00A10274">
        <w:trPr>
          <w:trHeight w:val="240"/>
        </w:trPr>
        <w:tc>
          <w:tcPr>
            <w:tcW w:w="1822" w:type="dxa"/>
            <w:gridSpan w:val="2"/>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2011/12</w:t>
            </w:r>
          </w:p>
        </w:tc>
        <w:tc>
          <w:tcPr>
            <w:tcW w:w="176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320</w:t>
            </w:r>
          </w:p>
        </w:tc>
        <w:tc>
          <w:tcPr>
            <w:tcW w:w="1958"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83</w:t>
            </w:r>
          </w:p>
        </w:tc>
        <w:tc>
          <w:tcPr>
            <w:tcW w:w="168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25,9</w:t>
            </w:r>
          </w:p>
        </w:tc>
      </w:tr>
    </w:tbl>
    <w:p w:rsidR="00A10274" w:rsidRDefault="00A10274">
      <w:pPr>
        <w:pStyle w:val="SingleTxt"/>
        <w:spacing w:before="240"/>
        <w:ind w:left="1264"/>
        <w:rPr>
          <w:lang w:val="fr-CA"/>
        </w:rPr>
      </w:pPr>
      <w:r>
        <w:rPr>
          <w:lang w:val="fr-CA"/>
        </w:rPr>
        <w:t>40.</w:t>
      </w:r>
      <w:r>
        <w:rPr>
          <w:lang w:val="fr-CA"/>
        </w:rPr>
        <w:tab/>
        <w:t>Les inscriptions féminines à la faculté de médecine Orotta ont fait apparaitre une croissance légère mais régulière durant les quatre dernières années (2009/10 à 2011/12).</w:t>
      </w:r>
    </w:p>
    <w:p w:rsidR="00A10274" w:rsidRDefault="00A10274">
      <w:pPr>
        <w:pStyle w:val="SingleTxt"/>
        <w:keepNext/>
        <w:jc w:val="left"/>
        <w:rPr>
          <w:b/>
          <w:lang w:val="fr-CA"/>
        </w:rPr>
      </w:pPr>
      <w:r>
        <w:rPr>
          <w:lang w:val="fr-CA"/>
        </w:rPr>
        <w:t>Tableau 17</w:t>
      </w:r>
      <w:r>
        <w:rPr>
          <w:lang w:val="fr-CA"/>
        </w:rPr>
        <w:br/>
      </w:r>
      <w:r>
        <w:rPr>
          <w:b/>
          <w:lang w:val="fr-CA"/>
        </w:rPr>
        <w:t>Inscriptions à la faculté des sciences de la santé</w:t>
      </w:r>
    </w:p>
    <w:p w:rsidR="00A10274" w:rsidRDefault="00A10274">
      <w:pPr>
        <w:pStyle w:val="SingleTxt"/>
        <w:keepNext/>
        <w:spacing w:after="0" w:line="120" w:lineRule="exact"/>
        <w:jc w:val="left"/>
        <w:rPr>
          <w:b/>
          <w:sz w:val="10"/>
          <w:lang w:val="fr-CA"/>
        </w:rPr>
      </w:pPr>
    </w:p>
    <w:tbl>
      <w:tblPr>
        <w:tblW w:w="7228" w:type="dxa"/>
        <w:tblInd w:w="1276" w:type="dxa"/>
        <w:tblBorders>
          <w:top w:val="single" w:sz="4" w:space="0" w:color="auto"/>
        </w:tblBorders>
        <w:tblCellMar>
          <w:left w:w="0" w:type="dxa"/>
          <w:right w:w="0" w:type="dxa"/>
        </w:tblCellMar>
        <w:tblLook w:val="01E0"/>
      </w:tblPr>
      <w:tblGrid>
        <w:gridCol w:w="1793"/>
        <w:gridCol w:w="29"/>
        <w:gridCol w:w="1764"/>
        <w:gridCol w:w="1958"/>
        <w:gridCol w:w="1684"/>
      </w:tblGrid>
      <w:tr w:rsidR="00A10274">
        <w:trPr>
          <w:trHeight w:val="240"/>
          <w:tblHeader/>
        </w:trPr>
        <w:tc>
          <w:tcPr>
            <w:tcW w:w="1793" w:type="dxa"/>
            <w:vMerge w:val="restart"/>
            <w:tcBorders>
              <w:top w:val="single" w:sz="6"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Année</w:t>
            </w:r>
          </w:p>
        </w:tc>
        <w:tc>
          <w:tcPr>
            <w:tcW w:w="1793" w:type="dxa"/>
            <w:gridSpan w:val="2"/>
            <w:tcBorders>
              <w:top w:val="single" w:sz="6"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p>
        </w:tc>
        <w:tc>
          <w:tcPr>
            <w:tcW w:w="3642" w:type="dxa"/>
            <w:gridSpan w:val="2"/>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Femmes</w:t>
            </w:r>
          </w:p>
        </w:tc>
      </w:tr>
      <w:tr w:rsidR="00A10274">
        <w:trPr>
          <w:trHeight w:val="240"/>
          <w:tblHeader/>
        </w:trPr>
        <w:tc>
          <w:tcPr>
            <w:tcW w:w="1793" w:type="dxa"/>
            <w:vMerge/>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4"/>
                <w:szCs w:val="14"/>
                <w:lang w:val="fr-CA"/>
              </w:rPr>
            </w:pPr>
          </w:p>
        </w:tc>
        <w:tc>
          <w:tcPr>
            <w:tcW w:w="1793" w:type="dxa"/>
            <w:gridSpan w:val="2"/>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Total</w:t>
            </w:r>
          </w:p>
        </w:tc>
        <w:tc>
          <w:tcPr>
            <w:tcW w:w="195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Nombre</w:t>
            </w:r>
          </w:p>
        </w:tc>
        <w:tc>
          <w:tcPr>
            <w:tcW w:w="168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w:t>
            </w:r>
          </w:p>
        </w:tc>
      </w:tr>
      <w:tr w:rsidR="00A10274">
        <w:trPr>
          <w:trHeight w:val="240"/>
        </w:trPr>
        <w:tc>
          <w:tcPr>
            <w:tcW w:w="1822" w:type="dxa"/>
            <w:gridSpan w:val="2"/>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7"/>
                <w:szCs w:val="17"/>
                <w:lang w:val="fr-CA"/>
              </w:rPr>
            </w:pPr>
            <w:r>
              <w:rPr>
                <w:sz w:val="17"/>
                <w:szCs w:val="17"/>
                <w:lang w:val="fr-CA"/>
              </w:rPr>
              <w:t>2009/10</w:t>
            </w:r>
          </w:p>
        </w:tc>
        <w:tc>
          <w:tcPr>
            <w:tcW w:w="176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1 158</w:t>
            </w:r>
          </w:p>
        </w:tc>
        <w:tc>
          <w:tcPr>
            <w:tcW w:w="195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317</w:t>
            </w:r>
          </w:p>
        </w:tc>
        <w:tc>
          <w:tcPr>
            <w:tcW w:w="168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27,4</w:t>
            </w:r>
          </w:p>
        </w:tc>
      </w:tr>
      <w:tr w:rsidR="00A10274">
        <w:trPr>
          <w:trHeight w:val="240"/>
        </w:trPr>
        <w:tc>
          <w:tcPr>
            <w:tcW w:w="1822" w:type="dxa"/>
            <w:gridSpan w:val="2"/>
            <w:shd w:val="clear" w:color="auto" w:fill="auto"/>
          </w:tcPr>
          <w:p w:rsidR="00A10274" w:rsidRDefault="00A10274">
            <w:pPr>
              <w:pStyle w:val="SingleTxtG"/>
              <w:suppressAutoHyphens w:val="0"/>
              <w:spacing w:before="40" w:after="40" w:line="240" w:lineRule="auto"/>
              <w:ind w:left="0" w:right="0"/>
              <w:jc w:val="left"/>
              <w:rPr>
                <w:sz w:val="17"/>
                <w:szCs w:val="17"/>
                <w:lang w:val="fr-CA"/>
              </w:rPr>
            </w:pPr>
            <w:r>
              <w:rPr>
                <w:sz w:val="17"/>
                <w:szCs w:val="17"/>
                <w:lang w:val="fr-CA"/>
              </w:rPr>
              <w:t>2010/11</w:t>
            </w:r>
          </w:p>
        </w:tc>
        <w:tc>
          <w:tcPr>
            <w:tcW w:w="1764"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1 259</w:t>
            </w:r>
          </w:p>
        </w:tc>
        <w:tc>
          <w:tcPr>
            <w:tcW w:w="1958"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401</w:t>
            </w:r>
          </w:p>
        </w:tc>
        <w:tc>
          <w:tcPr>
            <w:tcW w:w="1684"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31,9</w:t>
            </w:r>
          </w:p>
        </w:tc>
      </w:tr>
      <w:tr w:rsidR="00A10274">
        <w:trPr>
          <w:trHeight w:val="240"/>
        </w:trPr>
        <w:tc>
          <w:tcPr>
            <w:tcW w:w="1822" w:type="dxa"/>
            <w:gridSpan w:val="2"/>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7"/>
                <w:szCs w:val="17"/>
                <w:lang w:val="fr-CA"/>
              </w:rPr>
            </w:pPr>
            <w:r>
              <w:rPr>
                <w:sz w:val="17"/>
                <w:szCs w:val="17"/>
                <w:lang w:val="fr-CA"/>
              </w:rPr>
              <w:t>2011/12</w:t>
            </w:r>
          </w:p>
        </w:tc>
        <w:tc>
          <w:tcPr>
            <w:tcW w:w="176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1 394</w:t>
            </w:r>
          </w:p>
        </w:tc>
        <w:tc>
          <w:tcPr>
            <w:tcW w:w="1958"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497</w:t>
            </w:r>
          </w:p>
        </w:tc>
        <w:tc>
          <w:tcPr>
            <w:tcW w:w="168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35,7</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41.</w:t>
      </w:r>
      <w:r>
        <w:rPr>
          <w:lang w:val="fr-CA"/>
        </w:rPr>
        <w:tab/>
        <w:t>Le taux d’inscriptions des femmes à la faculté des sciences de la santé est passé de 27,4 % à 35,7 % au cours des trois dernières années. La rapide tendance positive des inscriptions féminines dans les diverses sciences de la santé comprenant pharmacie, laboratoire médical, soins infirmiers, anesthésie, radiologie, etc. est très encourageante.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Article 11</w:t>
      </w:r>
      <w:r>
        <w:rPr>
          <w:lang w:val="fr-CA"/>
        </w:rPr>
        <w:br/>
        <w:t>Emploi</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ind w:left="1264"/>
        <w:rPr>
          <w:lang w:val="fr-CA"/>
        </w:rPr>
      </w:pPr>
      <w:r>
        <w:rPr>
          <w:lang w:val="fr-CA"/>
        </w:rPr>
        <w:t>42.</w:t>
      </w:r>
      <w:r>
        <w:rPr>
          <w:lang w:val="fr-CA"/>
        </w:rPr>
        <w:tab/>
        <w:t>Le Ministère du travail et de la prévoyance sociale s’emploie, avec la collaboration des secteurs public et privé, à réduire et éliminer le chômage et à créer des moyens de subsistance durables pour les socialement désavantagés, ce qu’il fait notamment en créant des possibilités d’emploi pour les plus vulnérables, une attention spéciale étant portée aux personnes handicapées, aux femmes désavantagées et en particulier aux familles de martyrs.</w:t>
      </w:r>
    </w:p>
    <w:p w:rsidR="00A10274" w:rsidRDefault="00A10274">
      <w:pPr>
        <w:pStyle w:val="SingleTxt"/>
        <w:ind w:left="1264"/>
        <w:rPr>
          <w:lang w:val="fr-CA"/>
        </w:rPr>
      </w:pPr>
      <w:r>
        <w:rPr>
          <w:lang w:val="fr-CA"/>
        </w:rPr>
        <w:t>43.</w:t>
      </w:r>
      <w:r>
        <w:rPr>
          <w:lang w:val="fr-CA"/>
        </w:rPr>
        <w:tab/>
        <w:t>Durant la période considérée dans le rapport, le Ministère s’est efforcé de placer les demandeurs d’emplois dans les divers secteurs économiques et sociaux. Il a assuré des formations et fourni une aide par le microcrédit aux femmes économiquement désavantagées dans le but de les aider à devenir leur propre employeur et à se constituer un revenu.</w:t>
      </w:r>
    </w:p>
    <w:p w:rsidR="00A10274" w:rsidRDefault="00A10274">
      <w:pPr>
        <w:pStyle w:val="SingleTxt"/>
        <w:ind w:left="1264"/>
        <w:rPr>
          <w:lang w:val="fr-CA"/>
        </w:rPr>
      </w:pPr>
      <w:r>
        <w:rPr>
          <w:lang w:val="fr-CA"/>
        </w:rPr>
        <w:t>44.</w:t>
      </w:r>
      <w:r>
        <w:rPr>
          <w:lang w:val="fr-CA"/>
        </w:rPr>
        <w:tab/>
        <w:t>Comme le montre le tableau 24 ci-dessous, de 2010 à 2012, le Ministère a, en association avec l’Organisation internationale du Travail (OIT), le Ministère du commerce et de l’industrie, l’UNICEF et le Fonds mondial, dispensé une formation à 259 femmes désavantagées, comme en tissage (239), en céramique (02), en fabrication et réparation de filets de pêche (18), et cela dans le but de valoriser la femme.</w:t>
      </w:r>
    </w:p>
    <w:p w:rsidR="00A10274" w:rsidRDefault="00A10274">
      <w:pPr>
        <w:pStyle w:val="SingleTxt"/>
        <w:spacing w:after="0" w:line="120" w:lineRule="exact"/>
        <w:ind w:left="1264"/>
        <w:rPr>
          <w:sz w:val="10"/>
          <w:lang w:val="fr-CA"/>
        </w:rPr>
      </w:pPr>
    </w:p>
    <w:p w:rsidR="00A10274" w:rsidRDefault="00A10274">
      <w:pPr>
        <w:pStyle w:val="SingleTxt"/>
        <w:keepNext/>
        <w:jc w:val="left"/>
        <w:rPr>
          <w:b/>
          <w:lang w:val="fr-CA"/>
        </w:rPr>
      </w:pPr>
      <w:r>
        <w:rPr>
          <w:lang w:val="fr-CA"/>
        </w:rPr>
        <w:t>Tableau 18</w:t>
      </w:r>
      <w:r>
        <w:rPr>
          <w:lang w:val="fr-CA"/>
        </w:rPr>
        <w:br/>
      </w:r>
      <w:r>
        <w:rPr>
          <w:b/>
          <w:lang w:val="fr-CA"/>
        </w:rPr>
        <w:t xml:space="preserve">Formation professionnelle assurée aux femmes par le Ministère du travail </w:t>
      </w:r>
      <w:r>
        <w:rPr>
          <w:b/>
          <w:lang w:val="fr-CA"/>
        </w:rPr>
        <w:br/>
        <w:t>et de la prévoyance sociale et l’Union nationale des femmes érythréennes</w:t>
      </w:r>
    </w:p>
    <w:tbl>
      <w:tblPr>
        <w:tblW w:w="7326" w:type="dxa"/>
        <w:tblInd w:w="1269" w:type="dxa"/>
        <w:tblBorders>
          <w:top w:val="single" w:sz="4" w:space="0" w:color="auto"/>
        </w:tblBorders>
        <w:tblCellMar>
          <w:left w:w="0" w:type="dxa"/>
          <w:right w:w="0" w:type="dxa"/>
        </w:tblCellMar>
        <w:tblLook w:val="04A0"/>
      </w:tblPr>
      <w:tblGrid>
        <w:gridCol w:w="1855"/>
        <w:gridCol w:w="1896"/>
        <w:gridCol w:w="1809"/>
        <w:gridCol w:w="1766"/>
      </w:tblGrid>
      <w:tr w:rsidR="00A10274">
        <w:trPr>
          <w:trHeight w:val="240"/>
          <w:tblHeader/>
        </w:trPr>
        <w:tc>
          <w:tcPr>
            <w:tcW w:w="1855"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0" w:right="0"/>
              <w:jc w:val="left"/>
              <w:rPr>
                <w:i/>
                <w:sz w:val="14"/>
                <w:szCs w:val="14"/>
                <w:lang w:val="fr-CA"/>
              </w:rPr>
            </w:pPr>
          </w:p>
        </w:tc>
        <w:tc>
          <w:tcPr>
            <w:tcW w:w="1896" w:type="dxa"/>
            <w:tcBorders>
              <w:top w:val="single" w:sz="4"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MTPS</w:t>
            </w:r>
          </w:p>
        </w:tc>
        <w:tc>
          <w:tcPr>
            <w:tcW w:w="1809" w:type="dxa"/>
            <w:tcBorders>
              <w:top w:val="single" w:sz="4"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UNFE</w:t>
            </w:r>
          </w:p>
        </w:tc>
        <w:tc>
          <w:tcPr>
            <w:tcW w:w="1766" w:type="dxa"/>
            <w:tcBorders>
              <w:top w:val="single" w:sz="4"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 xml:space="preserve">Total </w:t>
            </w:r>
          </w:p>
        </w:tc>
      </w:tr>
      <w:tr w:rsidR="00A10274">
        <w:trPr>
          <w:trHeight w:val="240"/>
        </w:trPr>
        <w:tc>
          <w:tcPr>
            <w:tcW w:w="1855" w:type="dxa"/>
            <w:tcBorders>
              <w:top w:val="single" w:sz="12" w:space="0" w:color="auto"/>
            </w:tcBorders>
            <w:shd w:val="clear" w:color="auto" w:fill="auto"/>
          </w:tcPr>
          <w:p w:rsidR="00A10274" w:rsidRDefault="00A10274">
            <w:pPr>
              <w:pStyle w:val="SingleTxtG"/>
              <w:keepNext/>
              <w:suppressAutoHyphens w:val="0"/>
              <w:spacing w:before="40" w:after="40" w:line="240" w:lineRule="auto"/>
              <w:ind w:left="0" w:right="0"/>
              <w:jc w:val="left"/>
              <w:rPr>
                <w:sz w:val="17"/>
                <w:szCs w:val="17"/>
                <w:lang w:val="fr-CA"/>
              </w:rPr>
            </w:pPr>
            <w:bookmarkStart w:id="1" w:name="insstart" w:colFirst="0" w:colLast="3"/>
            <w:r>
              <w:rPr>
                <w:sz w:val="17"/>
                <w:szCs w:val="17"/>
                <w:lang w:val="fr-CA"/>
              </w:rPr>
              <w:t>Tissage</w:t>
            </w:r>
          </w:p>
        </w:tc>
        <w:tc>
          <w:tcPr>
            <w:tcW w:w="1896" w:type="dxa"/>
            <w:tcBorders>
              <w:top w:val="single" w:sz="12"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7"/>
                <w:szCs w:val="17"/>
                <w:lang w:val="fr-CA"/>
              </w:rPr>
            </w:pPr>
            <w:r>
              <w:rPr>
                <w:sz w:val="17"/>
                <w:szCs w:val="17"/>
                <w:lang w:val="fr-CA"/>
              </w:rPr>
              <w:t>239</w:t>
            </w:r>
          </w:p>
        </w:tc>
        <w:tc>
          <w:tcPr>
            <w:tcW w:w="1809" w:type="dxa"/>
            <w:tcBorders>
              <w:top w:val="single" w:sz="12"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7"/>
                <w:szCs w:val="17"/>
                <w:lang w:val="fr-CA"/>
              </w:rPr>
            </w:pPr>
            <w:r>
              <w:rPr>
                <w:sz w:val="17"/>
                <w:szCs w:val="17"/>
                <w:lang w:val="fr-CA"/>
              </w:rPr>
              <w:t>563</w:t>
            </w:r>
          </w:p>
        </w:tc>
        <w:tc>
          <w:tcPr>
            <w:tcW w:w="1766" w:type="dxa"/>
            <w:tcBorders>
              <w:top w:val="single" w:sz="12"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7"/>
                <w:szCs w:val="17"/>
                <w:lang w:val="fr-CA"/>
              </w:rPr>
            </w:pPr>
            <w:r>
              <w:rPr>
                <w:sz w:val="17"/>
                <w:szCs w:val="17"/>
                <w:lang w:val="fr-CA"/>
              </w:rPr>
              <w:t>802</w:t>
            </w:r>
          </w:p>
        </w:tc>
      </w:tr>
      <w:tr w:rsidR="00A10274">
        <w:trPr>
          <w:trHeight w:val="240"/>
        </w:trPr>
        <w:tc>
          <w:tcPr>
            <w:tcW w:w="1855" w:type="dxa"/>
            <w:shd w:val="clear" w:color="auto" w:fill="auto"/>
          </w:tcPr>
          <w:p w:rsidR="00A10274" w:rsidRDefault="00A10274">
            <w:pPr>
              <w:pStyle w:val="SingleTxtG"/>
              <w:keepNext/>
              <w:suppressAutoHyphens w:val="0"/>
              <w:spacing w:before="40" w:after="40" w:line="240" w:lineRule="auto"/>
              <w:ind w:left="0" w:right="0"/>
              <w:jc w:val="left"/>
              <w:rPr>
                <w:sz w:val="17"/>
                <w:szCs w:val="17"/>
                <w:lang w:val="fr-CA"/>
              </w:rPr>
            </w:pPr>
            <w:r>
              <w:rPr>
                <w:sz w:val="17"/>
                <w:szCs w:val="17"/>
                <w:lang w:val="fr-CA"/>
              </w:rPr>
              <w:t xml:space="preserve">Céramique </w:t>
            </w:r>
          </w:p>
        </w:tc>
        <w:tc>
          <w:tcPr>
            <w:tcW w:w="1896" w:type="dxa"/>
            <w:shd w:val="clear" w:color="auto" w:fill="auto"/>
            <w:vAlign w:val="bottom"/>
          </w:tcPr>
          <w:p w:rsidR="00A10274" w:rsidRDefault="00A10274">
            <w:pPr>
              <w:pStyle w:val="SingleTxtG"/>
              <w:keepNext/>
              <w:suppressAutoHyphens w:val="0"/>
              <w:spacing w:before="40" w:after="40" w:line="240" w:lineRule="auto"/>
              <w:ind w:left="113" w:right="0"/>
              <w:jc w:val="right"/>
              <w:rPr>
                <w:sz w:val="17"/>
                <w:szCs w:val="17"/>
                <w:lang w:val="fr-CA"/>
              </w:rPr>
            </w:pPr>
            <w:r>
              <w:rPr>
                <w:sz w:val="17"/>
                <w:szCs w:val="17"/>
                <w:lang w:val="fr-CA"/>
              </w:rPr>
              <w:t>20</w:t>
            </w:r>
          </w:p>
        </w:tc>
        <w:tc>
          <w:tcPr>
            <w:tcW w:w="1809" w:type="dxa"/>
            <w:shd w:val="clear" w:color="auto" w:fill="auto"/>
            <w:vAlign w:val="bottom"/>
          </w:tcPr>
          <w:p w:rsidR="00A10274" w:rsidRDefault="00A10274">
            <w:pPr>
              <w:pStyle w:val="SingleTxtG"/>
              <w:keepNext/>
              <w:suppressAutoHyphens w:val="0"/>
              <w:spacing w:before="40" w:after="40" w:line="240" w:lineRule="auto"/>
              <w:ind w:left="113" w:right="0"/>
              <w:jc w:val="right"/>
              <w:rPr>
                <w:sz w:val="17"/>
                <w:szCs w:val="17"/>
                <w:lang w:val="fr-CA"/>
              </w:rPr>
            </w:pPr>
            <w:r>
              <w:rPr>
                <w:sz w:val="17"/>
                <w:szCs w:val="17"/>
                <w:lang w:val="fr-CA"/>
              </w:rPr>
              <w:t>15</w:t>
            </w:r>
          </w:p>
        </w:tc>
        <w:tc>
          <w:tcPr>
            <w:tcW w:w="1766" w:type="dxa"/>
            <w:shd w:val="clear" w:color="auto" w:fill="auto"/>
            <w:vAlign w:val="bottom"/>
          </w:tcPr>
          <w:p w:rsidR="00A10274" w:rsidRDefault="00A10274">
            <w:pPr>
              <w:pStyle w:val="SingleTxtG"/>
              <w:keepNext/>
              <w:suppressAutoHyphens w:val="0"/>
              <w:spacing w:before="40" w:after="40" w:line="240" w:lineRule="auto"/>
              <w:ind w:left="113" w:right="0"/>
              <w:jc w:val="right"/>
              <w:rPr>
                <w:sz w:val="17"/>
                <w:szCs w:val="17"/>
                <w:lang w:val="fr-CA"/>
              </w:rPr>
            </w:pPr>
            <w:r>
              <w:rPr>
                <w:sz w:val="17"/>
                <w:szCs w:val="17"/>
                <w:lang w:val="fr-CA"/>
              </w:rPr>
              <w:t>35</w:t>
            </w:r>
          </w:p>
        </w:tc>
      </w:tr>
      <w:tr w:rsidR="00A10274">
        <w:trPr>
          <w:trHeight w:val="240"/>
        </w:trPr>
        <w:tc>
          <w:tcPr>
            <w:tcW w:w="1855" w:type="dxa"/>
            <w:tcBorders>
              <w:bottom w:val="single" w:sz="6" w:space="0" w:color="auto"/>
            </w:tcBorders>
            <w:shd w:val="clear" w:color="auto" w:fill="auto"/>
          </w:tcPr>
          <w:p w:rsidR="00A10274" w:rsidRDefault="00A10274">
            <w:pPr>
              <w:pStyle w:val="SingleTxtG"/>
              <w:keepNext/>
              <w:suppressAutoHyphens w:val="0"/>
              <w:spacing w:before="40" w:after="40" w:line="240" w:lineRule="auto"/>
              <w:ind w:left="0" w:right="0"/>
              <w:jc w:val="left"/>
              <w:rPr>
                <w:sz w:val="17"/>
                <w:szCs w:val="17"/>
                <w:lang w:val="fr-CA"/>
              </w:rPr>
            </w:pPr>
            <w:r>
              <w:rPr>
                <w:sz w:val="17"/>
                <w:szCs w:val="17"/>
                <w:lang w:val="fr-CA"/>
              </w:rPr>
              <w:t>Artisanat</w:t>
            </w:r>
          </w:p>
        </w:tc>
        <w:tc>
          <w:tcPr>
            <w:tcW w:w="1896" w:type="dxa"/>
            <w:tcBorders>
              <w:bottom w:val="single" w:sz="6"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7"/>
                <w:szCs w:val="17"/>
                <w:lang w:val="fr-CA"/>
              </w:rPr>
            </w:pPr>
            <w:r>
              <w:rPr>
                <w:sz w:val="17"/>
                <w:szCs w:val="17"/>
                <w:lang w:val="fr-CA"/>
              </w:rPr>
              <w:t>na</w:t>
            </w:r>
          </w:p>
        </w:tc>
        <w:tc>
          <w:tcPr>
            <w:tcW w:w="1809" w:type="dxa"/>
            <w:tcBorders>
              <w:bottom w:val="single" w:sz="6"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7"/>
                <w:szCs w:val="17"/>
                <w:lang w:val="fr-CA"/>
              </w:rPr>
            </w:pPr>
            <w:r>
              <w:rPr>
                <w:sz w:val="17"/>
                <w:szCs w:val="17"/>
                <w:lang w:val="fr-CA"/>
              </w:rPr>
              <w:t>1 760</w:t>
            </w:r>
          </w:p>
        </w:tc>
        <w:tc>
          <w:tcPr>
            <w:tcW w:w="1766" w:type="dxa"/>
            <w:tcBorders>
              <w:bottom w:val="single" w:sz="6"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7"/>
                <w:szCs w:val="17"/>
                <w:lang w:val="fr-CA"/>
              </w:rPr>
            </w:pPr>
            <w:r>
              <w:rPr>
                <w:sz w:val="17"/>
                <w:szCs w:val="17"/>
                <w:lang w:val="fr-CA"/>
              </w:rPr>
              <w:t>1 760</w:t>
            </w:r>
          </w:p>
        </w:tc>
      </w:tr>
      <w:tr w:rsidR="00A10274">
        <w:trPr>
          <w:trHeight w:val="240"/>
        </w:trPr>
        <w:tc>
          <w:tcPr>
            <w:tcW w:w="1855" w:type="dxa"/>
            <w:tcBorders>
              <w:top w:val="single" w:sz="6" w:space="0" w:color="auto"/>
              <w:bottom w:val="single" w:sz="12" w:space="0" w:color="auto"/>
            </w:tcBorders>
            <w:shd w:val="clear" w:color="auto" w:fill="auto"/>
          </w:tcPr>
          <w:p w:rsidR="00A10274" w:rsidRDefault="00A10274">
            <w:pPr>
              <w:pStyle w:val="SingleTxtG"/>
              <w:keepNext/>
              <w:suppressAutoHyphens w:val="0"/>
              <w:spacing w:before="80" w:after="80" w:line="240" w:lineRule="auto"/>
              <w:ind w:left="0" w:right="0"/>
              <w:jc w:val="left"/>
              <w:rPr>
                <w:b/>
                <w:sz w:val="17"/>
                <w:szCs w:val="17"/>
                <w:lang w:val="fr-CA"/>
              </w:rPr>
            </w:pPr>
            <w:r>
              <w:rPr>
                <w:b/>
                <w:sz w:val="17"/>
                <w:szCs w:val="17"/>
                <w:lang w:val="fr-CA"/>
              </w:rPr>
              <w:t xml:space="preserve">Total </w:t>
            </w:r>
          </w:p>
        </w:tc>
        <w:tc>
          <w:tcPr>
            <w:tcW w:w="1896"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b/>
                <w:sz w:val="17"/>
                <w:szCs w:val="17"/>
                <w:lang w:val="fr-CA"/>
              </w:rPr>
            </w:pPr>
            <w:r>
              <w:rPr>
                <w:b/>
                <w:sz w:val="17"/>
                <w:szCs w:val="17"/>
                <w:lang w:val="fr-CA"/>
              </w:rPr>
              <w:t>259</w:t>
            </w:r>
          </w:p>
        </w:tc>
        <w:tc>
          <w:tcPr>
            <w:tcW w:w="1809"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b/>
                <w:sz w:val="17"/>
                <w:szCs w:val="17"/>
                <w:lang w:val="fr-CA"/>
              </w:rPr>
            </w:pPr>
            <w:r>
              <w:rPr>
                <w:b/>
                <w:sz w:val="17"/>
                <w:szCs w:val="17"/>
                <w:lang w:val="fr-CA"/>
              </w:rPr>
              <w:t>2 338</w:t>
            </w:r>
          </w:p>
        </w:tc>
        <w:tc>
          <w:tcPr>
            <w:tcW w:w="1766"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b/>
                <w:sz w:val="17"/>
                <w:szCs w:val="17"/>
                <w:lang w:val="fr-CA"/>
              </w:rPr>
            </w:pPr>
            <w:r>
              <w:rPr>
                <w:b/>
                <w:sz w:val="17"/>
                <w:szCs w:val="17"/>
                <w:lang w:val="fr-CA"/>
              </w:rPr>
              <w:t>2 597</w:t>
            </w:r>
          </w:p>
        </w:tc>
      </w:tr>
      <w:bookmarkEnd w:id="1"/>
    </w:tbl>
    <w:p w:rsidR="00A10274" w:rsidRDefault="00A10274">
      <w:pPr>
        <w:pStyle w:val="SingleTxt"/>
        <w:spacing w:after="0" w:line="120" w:lineRule="exact"/>
        <w:rPr>
          <w:i/>
          <w:sz w:val="10"/>
          <w:lang w:val="fr-CA"/>
        </w:rPr>
      </w:pPr>
    </w:p>
    <w:p w:rsidR="00A10274" w:rsidRDefault="00A10274">
      <w:pPr>
        <w:pStyle w:val="FootnoteText"/>
        <w:tabs>
          <w:tab w:val="right" w:pos="1476"/>
          <w:tab w:val="left" w:pos="1548"/>
          <w:tab w:val="right" w:pos="1836"/>
          <w:tab w:val="left" w:pos="1908"/>
        </w:tabs>
        <w:ind w:left="1548" w:right="1267" w:hanging="288"/>
        <w:rPr>
          <w:lang w:val="fr-CA"/>
        </w:rPr>
      </w:pPr>
      <w:r>
        <w:rPr>
          <w:i/>
          <w:lang w:val="fr-CA"/>
        </w:rPr>
        <w:t>Source :</w:t>
      </w:r>
      <w:r>
        <w:rPr>
          <w:b/>
          <w:lang w:val="fr-CA"/>
        </w:rPr>
        <w:t xml:space="preserve"> </w:t>
      </w:r>
      <w:r>
        <w:rPr>
          <w:lang w:val="fr-CA"/>
        </w:rPr>
        <w:t>Ministère du travail et de la prévoyance sociale.</w:t>
      </w:r>
    </w:p>
    <w:p w:rsidR="00A10274" w:rsidRDefault="00A10274">
      <w:pPr>
        <w:pStyle w:val="SingleTxt"/>
        <w:rPr>
          <w:lang w:val="fr-CA"/>
        </w:rPr>
      </w:pPr>
      <w:r>
        <w:rPr>
          <w:lang w:val="fr-CA"/>
        </w:rPr>
        <w:t>45.</w:t>
      </w:r>
      <w:r>
        <w:rPr>
          <w:lang w:val="fr-CA"/>
        </w:rPr>
        <w:tab/>
        <w:t xml:space="preserve">Outre la formation dispensée par le MTPS, il y en a d’autres, de court et moyen terme, qui sont assurées par les administrations locales et les antennes locales des ministères. Cela comprend la fabrication de fours, la conservation du bois de feu, le tissage et l’agriculture. </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Participation des deux sexes à la main-d’œuvre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46.</w:t>
      </w:r>
      <w:r>
        <w:rPr>
          <w:lang w:val="fr-CA"/>
        </w:rPr>
        <w:tab/>
        <w:t>Des efforts ont été engagés en vue d’étudier la participation des deux sexes à la main-d’œuvre dans des divers secteurs de l’économie du pays. Mais la chose n’a pas été facile faute de recensement de la population et d’enregistrement des emplois. La majeure partie de la main-d’œuvre est engagée dans le secteur agricole rural et le secteur informel, d’où la difficulté d’obtenir des données exactes ventilées par sexe.</w:t>
      </w:r>
    </w:p>
    <w:p w:rsidR="00A10274" w:rsidRDefault="00A10274">
      <w:pPr>
        <w:pStyle w:val="SingleTxt"/>
        <w:rPr>
          <w:lang w:val="fr-CA"/>
        </w:rPr>
      </w:pPr>
      <w:r>
        <w:rPr>
          <w:lang w:val="fr-CA"/>
        </w:rPr>
        <w:t>47.</w:t>
      </w:r>
      <w:r>
        <w:rPr>
          <w:lang w:val="fr-CA"/>
        </w:rPr>
        <w:tab/>
        <w:t xml:space="preserve">Le tableau 25 ci-après donne une estimation de la main-d’œuvre dans les établissements du secteur déclaré. Les femmes en représentent 45,7 % en 2012. Toutefois, il convient de noter que la majorité des femmes qui travaillent se trouvent dans des emplois peu qualifiés et faiblement rémunérés. </w:t>
      </w:r>
    </w:p>
    <w:p w:rsidR="00A10274" w:rsidRDefault="00A10274">
      <w:pPr>
        <w:pStyle w:val="SingleTxt"/>
        <w:keepNext/>
        <w:spacing w:after="0" w:line="120" w:lineRule="exact"/>
        <w:jc w:val="lef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19</w:t>
      </w:r>
      <w:r>
        <w:rPr>
          <w:lang w:val="fr-CA"/>
        </w:rPr>
        <w:br/>
        <w:t>Taux d’emplois par année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90" w:type="dxa"/>
        <w:tblInd w:w="1276" w:type="dxa"/>
        <w:tblBorders>
          <w:top w:val="single" w:sz="4" w:space="0" w:color="auto"/>
        </w:tblBorders>
        <w:tblCellMar>
          <w:left w:w="0" w:type="dxa"/>
          <w:right w:w="0" w:type="dxa"/>
        </w:tblCellMar>
        <w:tblLook w:val="0000"/>
      </w:tblPr>
      <w:tblGrid>
        <w:gridCol w:w="1236"/>
        <w:gridCol w:w="3123"/>
        <w:gridCol w:w="3079"/>
      </w:tblGrid>
      <w:tr w:rsidR="00A10274">
        <w:trPr>
          <w:trHeight w:val="240"/>
          <w:tblHeader/>
        </w:trPr>
        <w:tc>
          <w:tcPr>
            <w:tcW w:w="1220" w:type="dxa"/>
            <w:vMerge w:val="restart"/>
            <w:tcBorders>
              <w:top w:val="single" w:sz="4" w:space="0" w:color="auto"/>
            </w:tcBorders>
            <w:shd w:val="clear" w:color="auto" w:fill="auto"/>
            <w:noWrap/>
            <w:vAlign w:val="bottom"/>
          </w:tcPr>
          <w:p w:rsidR="00A10274" w:rsidRDefault="00A10274">
            <w:pPr>
              <w:pStyle w:val="SingleTxtG"/>
              <w:suppressAutoHyphens w:val="0"/>
              <w:spacing w:before="80" w:after="80" w:line="240" w:lineRule="auto"/>
              <w:ind w:left="0" w:right="0"/>
              <w:jc w:val="left"/>
              <w:rPr>
                <w:bCs/>
                <w:i/>
                <w:sz w:val="14"/>
                <w:szCs w:val="14"/>
                <w:lang w:val="fr-CA"/>
              </w:rPr>
            </w:pPr>
            <w:r>
              <w:rPr>
                <w:bCs/>
                <w:i/>
                <w:sz w:val="14"/>
                <w:szCs w:val="14"/>
                <w:lang w:val="fr-CA"/>
              </w:rPr>
              <w:t>Année</w:t>
            </w:r>
          </w:p>
        </w:tc>
        <w:tc>
          <w:tcPr>
            <w:tcW w:w="6170" w:type="dxa"/>
            <w:gridSpan w:val="2"/>
            <w:tcBorders>
              <w:top w:val="single" w:sz="4" w:space="0" w:color="auto"/>
              <w:bottom w:val="single" w:sz="6" w:space="0" w:color="auto"/>
            </w:tcBorders>
            <w:shd w:val="clear" w:color="auto" w:fill="auto"/>
            <w:noWrap/>
            <w:vAlign w:val="bottom"/>
          </w:tcPr>
          <w:p w:rsidR="00A10274" w:rsidRDefault="00A10274">
            <w:pPr>
              <w:pStyle w:val="SingleTxtG"/>
              <w:suppressAutoHyphens w:val="0"/>
              <w:spacing w:before="80" w:after="80" w:line="240" w:lineRule="auto"/>
              <w:ind w:left="113" w:right="0"/>
              <w:jc w:val="center"/>
              <w:rPr>
                <w:bCs/>
                <w:i/>
                <w:sz w:val="14"/>
                <w:szCs w:val="14"/>
                <w:lang w:val="fr-CA"/>
              </w:rPr>
            </w:pPr>
            <w:r>
              <w:rPr>
                <w:bCs/>
                <w:i/>
                <w:sz w:val="14"/>
                <w:szCs w:val="14"/>
                <w:lang w:val="fr-CA"/>
              </w:rPr>
              <w:t>Pourcentage</w:t>
            </w:r>
          </w:p>
        </w:tc>
      </w:tr>
      <w:tr w:rsidR="00A10274">
        <w:trPr>
          <w:trHeight w:val="240"/>
        </w:trPr>
        <w:tc>
          <w:tcPr>
            <w:tcW w:w="1220" w:type="dxa"/>
            <w:vMerge/>
            <w:tcBorders>
              <w:bottom w:val="single" w:sz="12" w:space="0" w:color="auto"/>
            </w:tcBorders>
            <w:shd w:val="clear" w:color="auto" w:fill="auto"/>
            <w:noWrap/>
          </w:tcPr>
          <w:p w:rsidR="00A10274" w:rsidRDefault="00A10274">
            <w:pPr>
              <w:pStyle w:val="SingleTxtG"/>
              <w:suppressAutoHyphens w:val="0"/>
              <w:spacing w:before="40" w:after="40" w:line="240" w:lineRule="auto"/>
              <w:ind w:left="0" w:right="0"/>
              <w:jc w:val="left"/>
              <w:rPr>
                <w:i/>
                <w:sz w:val="14"/>
                <w:szCs w:val="14"/>
                <w:lang w:val="fr-CA"/>
              </w:rPr>
            </w:pPr>
          </w:p>
        </w:tc>
        <w:tc>
          <w:tcPr>
            <w:tcW w:w="3107"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bCs/>
                <w:i/>
                <w:sz w:val="14"/>
                <w:szCs w:val="14"/>
                <w:lang w:val="fr-CA"/>
              </w:rPr>
            </w:pPr>
            <w:r>
              <w:rPr>
                <w:bCs/>
                <w:i/>
                <w:sz w:val="14"/>
                <w:szCs w:val="14"/>
                <w:lang w:val="fr-CA"/>
              </w:rPr>
              <w:t>Hommes</w:t>
            </w:r>
          </w:p>
        </w:tc>
        <w:tc>
          <w:tcPr>
            <w:tcW w:w="3063"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bCs/>
                <w:i/>
                <w:sz w:val="14"/>
                <w:szCs w:val="14"/>
                <w:lang w:val="fr-CA"/>
              </w:rPr>
            </w:pPr>
            <w:r>
              <w:rPr>
                <w:bCs/>
                <w:i/>
                <w:sz w:val="14"/>
                <w:szCs w:val="14"/>
                <w:lang w:val="fr-CA"/>
              </w:rPr>
              <w:t>Femmes</w:t>
            </w:r>
          </w:p>
        </w:tc>
      </w:tr>
      <w:tr w:rsidR="00A10274">
        <w:trPr>
          <w:trHeight w:val="240"/>
        </w:trPr>
        <w:tc>
          <w:tcPr>
            <w:tcW w:w="1220" w:type="dxa"/>
            <w:tcBorders>
              <w:top w:val="single" w:sz="12" w:space="0" w:color="auto"/>
            </w:tcBorders>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2009</w:t>
            </w:r>
          </w:p>
        </w:tc>
        <w:tc>
          <w:tcPr>
            <w:tcW w:w="3107" w:type="dxa"/>
            <w:tcBorders>
              <w:top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3063" w:type="dxa"/>
            <w:tcBorders>
              <w:top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p>
        </w:tc>
      </w:tr>
      <w:tr w:rsidR="00A10274">
        <w:trPr>
          <w:trHeight w:val="240"/>
        </w:trPr>
        <w:tc>
          <w:tcPr>
            <w:tcW w:w="1220" w:type="dxa"/>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2012</w:t>
            </w:r>
          </w:p>
        </w:tc>
        <w:tc>
          <w:tcPr>
            <w:tcW w:w="3107"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3063"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p>
        </w:tc>
      </w:tr>
      <w:tr w:rsidR="00A10274">
        <w:trPr>
          <w:trHeight w:val="240"/>
        </w:trPr>
        <w:tc>
          <w:tcPr>
            <w:tcW w:w="1220" w:type="dxa"/>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w:t>
            </w:r>
          </w:p>
        </w:tc>
        <w:tc>
          <w:tcPr>
            <w:tcW w:w="3107"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55,0</w:t>
            </w:r>
          </w:p>
        </w:tc>
        <w:tc>
          <w:tcPr>
            <w:tcW w:w="3063"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45,0</w:t>
            </w:r>
          </w:p>
        </w:tc>
      </w:tr>
      <w:tr w:rsidR="00A10274">
        <w:trPr>
          <w:trHeight w:val="240"/>
        </w:trPr>
        <w:tc>
          <w:tcPr>
            <w:tcW w:w="1220" w:type="dxa"/>
            <w:tcBorders>
              <w:bottom w:val="single" w:sz="12" w:space="0" w:color="auto"/>
            </w:tcBorders>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2012</w:t>
            </w:r>
          </w:p>
        </w:tc>
        <w:tc>
          <w:tcPr>
            <w:tcW w:w="3107"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54,3</w:t>
            </w:r>
          </w:p>
        </w:tc>
        <w:tc>
          <w:tcPr>
            <w:tcW w:w="3063"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45,7</w:t>
            </w:r>
          </w:p>
        </w:tc>
      </w:tr>
    </w:tbl>
    <w:p w:rsidR="00A10274" w:rsidRDefault="00A10274">
      <w:pPr>
        <w:pStyle w:val="SingleTxt"/>
        <w:spacing w:after="0" w:line="120" w:lineRule="exact"/>
        <w:rPr>
          <w:i/>
          <w:sz w:val="10"/>
          <w:lang w:val="fr-CA"/>
        </w:rPr>
      </w:pPr>
    </w:p>
    <w:p w:rsidR="00A10274" w:rsidRDefault="00A10274">
      <w:pPr>
        <w:pStyle w:val="FootnoteText"/>
        <w:tabs>
          <w:tab w:val="right" w:pos="1476"/>
          <w:tab w:val="left" w:pos="1548"/>
          <w:tab w:val="right" w:pos="1836"/>
          <w:tab w:val="left" w:pos="1908"/>
        </w:tabs>
        <w:ind w:left="1548" w:right="1267" w:hanging="288"/>
        <w:rPr>
          <w:lang w:val="fr-CA"/>
        </w:rPr>
      </w:pPr>
      <w:r>
        <w:rPr>
          <w:i/>
          <w:lang w:val="fr-CA"/>
        </w:rPr>
        <w:t>Source :</w:t>
      </w:r>
      <w:r>
        <w:rPr>
          <w:lang w:val="fr-CA"/>
        </w:rPr>
        <w:t xml:space="preserve"> Ministère du travail et de la prévoyance sociale.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48.</w:t>
      </w:r>
      <w:r>
        <w:rPr>
          <w:lang w:val="fr-CA"/>
        </w:rPr>
        <w:tab/>
        <w:t xml:space="preserve">Le taux d’emplois des femmes s’achemine lentement ver la parité avec celui des hommes. On constate que les femmes sont de plus en plus nombreuses à quitter leur foyer pour aller travailler dans divers établissements commerciaux et industriels. </w:t>
      </w:r>
    </w:p>
    <w:p w:rsidR="00A10274" w:rsidRDefault="00A10274">
      <w:pPr>
        <w:pStyle w:val="SingleTxt"/>
        <w:spacing w:after="0" w:line="120" w:lineRule="exact"/>
        <w:rPr>
          <w:sz w:val="10"/>
          <w:lang w:val="fr-CA"/>
        </w:rPr>
      </w:pPr>
    </w:p>
    <w:p w:rsidR="00A10274" w:rsidRDefault="00A10274">
      <w:pPr>
        <w:pStyle w:val="SingleTxt"/>
        <w:keepNext/>
        <w:jc w:val="left"/>
        <w:rPr>
          <w:b/>
          <w:lang w:val="fr-CA"/>
        </w:rPr>
      </w:pPr>
      <w:r>
        <w:rPr>
          <w:lang w:val="fr-CA"/>
        </w:rPr>
        <w:t>Tableau 20</w:t>
      </w:r>
      <w:r>
        <w:rPr>
          <w:lang w:val="fr-CA"/>
        </w:rPr>
        <w:br/>
      </w:r>
      <w:r>
        <w:rPr>
          <w:b/>
          <w:lang w:val="fr-CA"/>
        </w:rPr>
        <w:t>Pourcentage de femmes dans la population active par âge</w:t>
      </w:r>
    </w:p>
    <w:p w:rsidR="00A10274" w:rsidRDefault="00A10274">
      <w:pPr>
        <w:pStyle w:val="SingleTxt"/>
        <w:keepNext/>
        <w:spacing w:after="0" w:line="120" w:lineRule="exact"/>
        <w:jc w:val="left"/>
        <w:rPr>
          <w:b/>
          <w:sz w:val="10"/>
          <w:lang w:val="fr-CA"/>
        </w:rPr>
      </w:pPr>
    </w:p>
    <w:p w:rsidR="00A10274" w:rsidRDefault="00A10274">
      <w:pPr>
        <w:pStyle w:val="SingleTxt"/>
        <w:keepNext/>
        <w:spacing w:after="0" w:line="120" w:lineRule="exact"/>
        <w:jc w:val="left"/>
        <w:rPr>
          <w:b/>
          <w:sz w:val="10"/>
          <w:lang w:val="fr-CA"/>
        </w:rPr>
      </w:pPr>
    </w:p>
    <w:tbl>
      <w:tblPr>
        <w:tblW w:w="7326" w:type="dxa"/>
        <w:tblInd w:w="1269" w:type="dxa"/>
        <w:tblBorders>
          <w:top w:val="single" w:sz="4" w:space="0" w:color="auto"/>
        </w:tblBorders>
        <w:tblCellMar>
          <w:left w:w="0" w:type="dxa"/>
          <w:right w:w="0" w:type="dxa"/>
        </w:tblCellMar>
        <w:tblLook w:val="04A0"/>
      </w:tblPr>
      <w:tblGrid>
        <w:gridCol w:w="1473"/>
        <w:gridCol w:w="1448"/>
        <w:gridCol w:w="1449"/>
        <w:gridCol w:w="1449"/>
        <w:gridCol w:w="1507"/>
      </w:tblGrid>
      <w:tr w:rsidR="00A10274">
        <w:trPr>
          <w:trHeight w:val="240"/>
          <w:tblHeader/>
        </w:trPr>
        <w:tc>
          <w:tcPr>
            <w:tcW w:w="1473" w:type="dxa"/>
            <w:vMerge w:val="restart"/>
            <w:tcBorders>
              <w:top w:val="single" w:sz="4"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0" w:right="0"/>
              <w:jc w:val="left"/>
              <w:rPr>
                <w:i/>
                <w:sz w:val="14"/>
                <w:szCs w:val="14"/>
                <w:lang w:val="fr-CA"/>
              </w:rPr>
            </w:pPr>
            <w:r>
              <w:rPr>
                <w:i/>
                <w:sz w:val="14"/>
                <w:szCs w:val="14"/>
                <w:lang w:val="fr-CA"/>
              </w:rPr>
              <w:t>Sexe</w:t>
            </w:r>
          </w:p>
        </w:tc>
        <w:tc>
          <w:tcPr>
            <w:tcW w:w="5853" w:type="dxa"/>
            <w:gridSpan w:val="4"/>
            <w:tcBorders>
              <w:top w:val="single" w:sz="4" w:space="0" w:color="auto"/>
              <w:bottom w:val="single" w:sz="6" w:space="0" w:color="auto"/>
            </w:tcBorders>
            <w:shd w:val="clear" w:color="auto" w:fill="auto"/>
            <w:vAlign w:val="bottom"/>
          </w:tcPr>
          <w:p w:rsidR="00A10274" w:rsidRDefault="00A10274">
            <w:pPr>
              <w:pStyle w:val="SingleTxtG"/>
              <w:keepNext/>
              <w:suppressAutoHyphens w:val="0"/>
              <w:spacing w:before="80" w:after="80" w:line="240" w:lineRule="auto"/>
              <w:ind w:left="113" w:right="0"/>
              <w:jc w:val="center"/>
              <w:rPr>
                <w:i/>
                <w:sz w:val="14"/>
                <w:szCs w:val="14"/>
                <w:lang w:val="fr-CA"/>
              </w:rPr>
            </w:pPr>
            <w:r>
              <w:rPr>
                <w:i/>
                <w:sz w:val="14"/>
                <w:szCs w:val="14"/>
                <w:lang w:val="fr-CA"/>
              </w:rPr>
              <w:t>Âge en années</w:t>
            </w:r>
          </w:p>
        </w:tc>
      </w:tr>
      <w:tr w:rsidR="00A10274">
        <w:trPr>
          <w:trHeight w:val="240"/>
          <w:tblHeader/>
        </w:trPr>
        <w:tc>
          <w:tcPr>
            <w:tcW w:w="1473" w:type="dxa"/>
            <w:vMerge/>
            <w:tcBorders>
              <w:top w:val="single" w:sz="12"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0" w:right="0"/>
              <w:jc w:val="left"/>
              <w:rPr>
                <w:sz w:val="14"/>
                <w:szCs w:val="14"/>
                <w:lang w:val="fr-CA"/>
              </w:rPr>
            </w:pPr>
          </w:p>
        </w:tc>
        <w:tc>
          <w:tcPr>
            <w:tcW w:w="1448"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18-25</w:t>
            </w:r>
          </w:p>
        </w:tc>
        <w:tc>
          <w:tcPr>
            <w:tcW w:w="1449"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26-39</w:t>
            </w:r>
          </w:p>
        </w:tc>
        <w:tc>
          <w:tcPr>
            <w:tcW w:w="1449"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40-59</w:t>
            </w:r>
          </w:p>
        </w:tc>
        <w:tc>
          <w:tcPr>
            <w:tcW w:w="1507"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Plus 60</w:t>
            </w:r>
          </w:p>
        </w:tc>
      </w:tr>
      <w:tr w:rsidR="00A10274">
        <w:trPr>
          <w:trHeight w:val="240"/>
        </w:trPr>
        <w:tc>
          <w:tcPr>
            <w:tcW w:w="1473"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Hommes</w:t>
            </w:r>
          </w:p>
        </w:tc>
        <w:tc>
          <w:tcPr>
            <w:tcW w:w="144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44,5</w:t>
            </w:r>
          </w:p>
        </w:tc>
        <w:tc>
          <w:tcPr>
            <w:tcW w:w="1449"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46,7</w:t>
            </w:r>
          </w:p>
        </w:tc>
        <w:tc>
          <w:tcPr>
            <w:tcW w:w="1449"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60,2</w:t>
            </w:r>
          </w:p>
        </w:tc>
        <w:tc>
          <w:tcPr>
            <w:tcW w:w="1507"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90</w:t>
            </w:r>
          </w:p>
        </w:tc>
      </w:tr>
      <w:tr w:rsidR="00A10274">
        <w:trPr>
          <w:trHeight w:val="240"/>
        </w:trPr>
        <w:tc>
          <w:tcPr>
            <w:tcW w:w="1473" w:type="dxa"/>
            <w:tcBorders>
              <w:bottom w:val="single" w:sz="6"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Femmes</w:t>
            </w:r>
          </w:p>
        </w:tc>
        <w:tc>
          <w:tcPr>
            <w:tcW w:w="1448"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55,5</w:t>
            </w:r>
          </w:p>
        </w:tc>
        <w:tc>
          <w:tcPr>
            <w:tcW w:w="1449"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53,3</w:t>
            </w:r>
          </w:p>
        </w:tc>
        <w:tc>
          <w:tcPr>
            <w:tcW w:w="1449"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38,8</w:t>
            </w:r>
          </w:p>
        </w:tc>
        <w:tc>
          <w:tcPr>
            <w:tcW w:w="1507"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w:t>
            </w:r>
          </w:p>
        </w:tc>
      </w:tr>
      <w:tr w:rsidR="00A10274">
        <w:trPr>
          <w:trHeight w:val="240"/>
        </w:trPr>
        <w:tc>
          <w:tcPr>
            <w:tcW w:w="1473" w:type="dxa"/>
            <w:tcBorders>
              <w:top w:val="single" w:sz="6" w:space="0" w:color="auto"/>
              <w:bottom w:val="single" w:sz="12" w:space="0" w:color="auto"/>
            </w:tcBorders>
            <w:shd w:val="clear" w:color="auto" w:fill="auto"/>
          </w:tcPr>
          <w:p w:rsidR="00A10274" w:rsidRDefault="00A10274">
            <w:pPr>
              <w:pStyle w:val="SingleTxtG"/>
              <w:suppressAutoHyphens w:val="0"/>
              <w:spacing w:before="80" w:after="80" w:line="240" w:lineRule="auto"/>
              <w:ind w:left="0" w:right="0"/>
              <w:jc w:val="left"/>
              <w:rPr>
                <w:b/>
                <w:sz w:val="18"/>
                <w:szCs w:val="18"/>
                <w:lang w:val="fr-CA"/>
              </w:rPr>
            </w:pPr>
            <w:r>
              <w:rPr>
                <w:b/>
                <w:sz w:val="18"/>
                <w:szCs w:val="18"/>
                <w:lang w:val="fr-CA"/>
              </w:rPr>
              <w:t>Total</w:t>
            </w:r>
          </w:p>
        </w:tc>
        <w:tc>
          <w:tcPr>
            <w:tcW w:w="144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100</w:t>
            </w:r>
          </w:p>
        </w:tc>
        <w:tc>
          <w:tcPr>
            <w:tcW w:w="144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100</w:t>
            </w:r>
          </w:p>
        </w:tc>
        <w:tc>
          <w:tcPr>
            <w:tcW w:w="144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100</w:t>
            </w:r>
          </w:p>
        </w:tc>
        <w:tc>
          <w:tcPr>
            <w:tcW w:w="1507"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100</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49.</w:t>
      </w:r>
      <w:r>
        <w:rPr>
          <w:lang w:val="fr-CA"/>
        </w:rPr>
        <w:tab/>
        <w:t>Le fait que le taux d’emploi féminin est élevé dans la tranche d’âge des 18 à 25 ans signifie qu’il y a beaucoup de nouveaux entrants de sexe féminin dans le marché de l’emploi. La proportion de femmes est plus faible dans le groupe d’âge avancé, ce qui montre que les hommes exercent un emploi depuis plus longtemps. La proportion de femmes de plus de 60 ans qui ont un emploi est très faible.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Taux de chômage des hommes et des femmes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ind w:left="1264"/>
        <w:rPr>
          <w:lang w:val="fr-CA"/>
        </w:rPr>
      </w:pPr>
      <w:r>
        <w:rPr>
          <w:lang w:val="fr-CA"/>
        </w:rPr>
        <w:t>50.</w:t>
      </w:r>
      <w:r>
        <w:rPr>
          <w:lang w:val="fr-CA"/>
        </w:rPr>
        <w:tab/>
        <w:t>Comme on le montre dans le tableau 21, sur le total de demandeurs d’emploi enregistrés (2009-2012), les femmes représentent la plus grande partie avec 59,3%, contre 40,7% pour les hommes. Par contre, sur le total des demandeurs d’emplois placés, la proportion de femmes est plus faible, ne représentant que 44,9%.</w:t>
      </w:r>
    </w:p>
    <w:p w:rsidR="00A10274" w:rsidRDefault="00A10274">
      <w:pPr>
        <w:pStyle w:val="SingleTxt"/>
        <w:spacing w:after="0" w:line="120" w:lineRule="exact"/>
        <w:ind w:left="1264"/>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21</w:t>
      </w:r>
      <w:r>
        <w:rPr>
          <w:lang w:val="fr-CA"/>
        </w:rPr>
        <w:br/>
        <w:t>Demandeurs d’emplois enregistrés et placés par sexe et par année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17" w:type="dxa"/>
        <w:tblInd w:w="1278" w:type="dxa"/>
        <w:tblBorders>
          <w:top w:val="single" w:sz="4" w:space="0" w:color="auto"/>
        </w:tblBorders>
        <w:tblCellMar>
          <w:left w:w="0" w:type="dxa"/>
          <w:right w:w="0" w:type="dxa"/>
        </w:tblCellMar>
        <w:tblLook w:val="04A0"/>
      </w:tblPr>
      <w:tblGrid>
        <w:gridCol w:w="1038"/>
        <w:gridCol w:w="940"/>
        <w:gridCol w:w="940"/>
        <w:gridCol w:w="940"/>
        <w:gridCol w:w="940"/>
        <w:gridCol w:w="53"/>
        <w:gridCol w:w="1104"/>
        <w:gridCol w:w="1362"/>
      </w:tblGrid>
      <w:tr w:rsidR="00A10274">
        <w:trPr>
          <w:trHeight w:val="240"/>
          <w:tblHeader/>
        </w:trPr>
        <w:tc>
          <w:tcPr>
            <w:tcW w:w="1038" w:type="dxa"/>
            <w:tcBorders>
              <w:top w:val="single" w:sz="4" w:space="0" w:color="auto"/>
              <w:bottom w:val="nil"/>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p>
        </w:tc>
        <w:tc>
          <w:tcPr>
            <w:tcW w:w="6279" w:type="dxa"/>
            <w:gridSpan w:val="7"/>
            <w:tcBorders>
              <w:top w:val="single" w:sz="4" w:space="0" w:color="auto"/>
              <w:bottom w:val="single" w:sz="4"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Demandeurs d’emplois enregistrés 2009-2013</w:t>
            </w:r>
          </w:p>
        </w:tc>
      </w:tr>
      <w:tr w:rsidR="00A10274">
        <w:trPr>
          <w:trHeight w:val="240"/>
        </w:trPr>
        <w:tc>
          <w:tcPr>
            <w:tcW w:w="1038" w:type="dxa"/>
            <w:tcBorders>
              <w:top w:val="nil"/>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i/>
                <w:sz w:val="14"/>
                <w:szCs w:val="14"/>
                <w:lang w:val="fr-CA"/>
              </w:rPr>
            </w:pPr>
            <w:r>
              <w:rPr>
                <w:i/>
                <w:sz w:val="14"/>
                <w:szCs w:val="14"/>
                <w:lang w:val="fr-CA"/>
              </w:rPr>
              <w:t>Sexe</w:t>
            </w:r>
          </w:p>
        </w:tc>
        <w:tc>
          <w:tcPr>
            <w:tcW w:w="940"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2009</w:t>
            </w:r>
          </w:p>
        </w:tc>
        <w:tc>
          <w:tcPr>
            <w:tcW w:w="940"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2010</w:t>
            </w:r>
          </w:p>
        </w:tc>
        <w:tc>
          <w:tcPr>
            <w:tcW w:w="940"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2011</w:t>
            </w:r>
          </w:p>
        </w:tc>
        <w:tc>
          <w:tcPr>
            <w:tcW w:w="940"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2012</w:t>
            </w:r>
          </w:p>
        </w:tc>
        <w:tc>
          <w:tcPr>
            <w:tcW w:w="53"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p>
        </w:tc>
        <w:tc>
          <w:tcPr>
            <w:tcW w:w="1104"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Nombre</w:t>
            </w:r>
          </w:p>
        </w:tc>
        <w:tc>
          <w:tcPr>
            <w:tcW w:w="1362"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Pourcentage</w:t>
            </w:r>
          </w:p>
        </w:tc>
      </w:tr>
      <w:tr w:rsidR="00A10274">
        <w:trPr>
          <w:trHeight w:val="240"/>
        </w:trPr>
        <w:tc>
          <w:tcPr>
            <w:tcW w:w="1038"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Hommes</w:t>
            </w:r>
          </w:p>
        </w:tc>
        <w:tc>
          <w:tcPr>
            <w:tcW w:w="94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1 386</w:t>
            </w:r>
          </w:p>
        </w:tc>
        <w:tc>
          <w:tcPr>
            <w:tcW w:w="94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950</w:t>
            </w:r>
          </w:p>
        </w:tc>
        <w:tc>
          <w:tcPr>
            <w:tcW w:w="94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894</w:t>
            </w:r>
          </w:p>
        </w:tc>
        <w:tc>
          <w:tcPr>
            <w:tcW w:w="94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748</w:t>
            </w:r>
          </w:p>
        </w:tc>
        <w:tc>
          <w:tcPr>
            <w:tcW w:w="53"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110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4 501</w:t>
            </w:r>
          </w:p>
        </w:tc>
        <w:tc>
          <w:tcPr>
            <w:tcW w:w="1362"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40,7</w:t>
            </w:r>
          </w:p>
        </w:tc>
      </w:tr>
      <w:tr w:rsidR="00A10274">
        <w:trPr>
          <w:trHeight w:val="240"/>
        </w:trPr>
        <w:tc>
          <w:tcPr>
            <w:tcW w:w="1038" w:type="dxa"/>
            <w:tcBorders>
              <w:bottom w:val="single" w:sz="6"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Femmes</w:t>
            </w:r>
          </w:p>
        </w:tc>
        <w:tc>
          <w:tcPr>
            <w:tcW w:w="940"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2 420</w:t>
            </w:r>
          </w:p>
        </w:tc>
        <w:tc>
          <w:tcPr>
            <w:tcW w:w="940"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1 192</w:t>
            </w:r>
          </w:p>
        </w:tc>
        <w:tc>
          <w:tcPr>
            <w:tcW w:w="940"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1 203</w:t>
            </w:r>
          </w:p>
        </w:tc>
        <w:tc>
          <w:tcPr>
            <w:tcW w:w="940"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993</w:t>
            </w:r>
          </w:p>
        </w:tc>
        <w:tc>
          <w:tcPr>
            <w:tcW w:w="53"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1104"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6 570</w:t>
            </w:r>
          </w:p>
        </w:tc>
        <w:tc>
          <w:tcPr>
            <w:tcW w:w="1362"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59,3</w:t>
            </w:r>
          </w:p>
        </w:tc>
      </w:tr>
      <w:tr w:rsidR="00A10274">
        <w:trPr>
          <w:trHeight w:val="240"/>
        </w:trPr>
        <w:tc>
          <w:tcPr>
            <w:tcW w:w="1038" w:type="dxa"/>
            <w:tcBorders>
              <w:top w:val="single" w:sz="6" w:space="0" w:color="auto"/>
              <w:bottom w:val="single" w:sz="6" w:space="0" w:color="auto"/>
            </w:tcBorders>
            <w:shd w:val="clear" w:color="auto" w:fill="auto"/>
          </w:tcPr>
          <w:p w:rsidR="00A10274" w:rsidRDefault="00A10274">
            <w:pPr>
              <w:pStyle w:val="SingleTxtG"/>
              <w:suppressAutoHyphens w:val="0"/>
              <w:spacing w:before="80" w:after="80" w:line="240" w:lineRule="auto"/>
              <w:ind w:left="0" w:right="0"/>
              <w:jc w:val="left"/>
              <w:rPr>
                <w:b/>
                <w:sz w:val="18"/>
                <w:szCs w:val="18"/>
                <w:lang w:val="fr-CA"/>
              </w:rPr>
            </w:pPr>
            <w:r>
              <w:rPr>
                <w:b/>
                <w:sz w:val="18"/>
                <w:szCs w:val="18"/>
                <w:lang w:val="fr-CA"/>
              </w:rPr>
              <w:t>Total</w:t>
            </w:r>
          </w:p>
        </w:tc>
        <w:tc>
          <w:tcPr>
            <w:tcW w:w="940" w:type="dxa"/>
            <w:tcBorders>
              <w:top w:val="single" w:sz="6"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5 815</w:t>
            </w:r>
          </w:p>
        </w:tc>
        <w:tc>
          <w:tcPr>
            <w:tcW w:w="940" w:type="dxa"/>
            <w:tcBorders>
              <w:top w:val="single" w:sz="6"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4 152</w:t>
            </w:r>
          </w:p>
        </w:tc>
        <w:tc>
          <w:tcPr>
            <w:tcW w:w="940" w:type="dxa"/>
            <w:tcBorders>
              <w:top w:val="single" w:sz="6"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4 108</w:t>
            </w:r>
          </w:p>
        </w:tc>
        <w:tc>
          <w:tcPr>
            <w:tcW w:w="940" w:type="dxa"/>
            <w:tcBorders>
              <w:top w:val="single" w:sz="6"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3 753</w:t>
            </w:r>
          </w:p>
        </w:tc>
        <w:tc>
          <w:tcPr>
            <w:tcW w:w="53" w:type="dxa"/>
            <w:tcBorders>
              <w:top w:val="single" w:sz="6"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p>
        </w:tc>
        <w:tc>
          <w:tcPr>
            <w:tcW w:w="1104" w:type="dxa"/>
            <w:tcBorders>
              <w:top w:val="single" w:sz="6"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11 071</w:t>
            </w:r>
          </w:p>
        </w:tc>
        <w:tc>
          <w:tcPr>
            <w:tcW w:w="1362" w:type="dxa"/>
            <w:tcBorders>
              <w:top w:val="single" w:sz="6"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100</w:t>
            </w:r>
          </w:p>
        </w:tc>
      </w:tr>
      <w:tr w:rsidR="00A10274">
        <w:trPr>
          <w:trHeight w:val="240"/>
        </w:trPr>
        <w:tc>
          <w:tcPr>
            <w:tcW w:w="1038" w:type="dxa"/>
            <w:tcBorders>
              <w:top w:val="single" w:sz="6"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p>
        </w:tc>
        <w:tc>
          <w:tcPr>
            <w:tcW w:w="6279" w:type="dxa"/>
            <w:gridSpan w:val="7"/>
            <w:tcBorders>
              <w:top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Demandeurs d’emplois placés</w:t>
            </w:r>
          </w:p>
        </w:tc>
      </w:tr>
      <w:tr w:rsidR="00A10274">
        <w:trPr>
          <w:trHeight w:val="240"/>
        </w:trPr>
        <w:tc>
          <w:tcPr>
            <w:tcW w:w="1038"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Hommes</w:t>
            </w:r>
          </w:p>
        </w:tc>
        <w:tc>
          <w:tcPr>
            <w:tcW w:w="94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667</w:t>
            </w:r>
          </w:p>
        </w:tc>
        <w:tc>
          <w:tcPr>
            <w:tcW w:w="94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408</w:t>
            </w:r>
          </w:p>
        </w:tc>
        <w:tc>
          <w:tcPr>
            <w:tcW w:w="94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830</w:t>
            </w:r>
          </w:p>
        </w:tc>
        <w:tc>
          <w:tcPr>
            <w:tcW w:w="94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348</w:t>
            </w:r>
          </w:p>
        </w:tc>
        <w:tc>
          <w:tcPr>
            <w:tcW w:w="5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110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2 850</w:t>
            </w:r>
          </w:p>
        </w:tc>
        <w:tc>
          <w:tcPr>
            <w:tcW w:w="136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55,1</w:t>
            </w:r>
          </w:p>
        </w:tc>
      </w:tr>
      <w:tr w:rsidR="00A10274">
        <w:trPr>
          <w:trHeight w:val="240"/>
        </w:trPr>
        <w:tc>
          <w:tcPr>
            <w:tcW w:w="1038" w:type="dxa"/>
            <w:tcBorders>
              <w:bottom w:val="single" w:sz="6"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Femmes</w:t>
            </w:r>
          </w:p>
        </w:tc>
        <w:tc>
          <w:tcPr>
            <w:tcW w:w="940"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382</w:t>
            </w:r>
          </w:p>
        </w:tc>
        <w:tc>
          <w:tcPr>
            <w:tcW w:w="940"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330</w:t>
            </w:r>
          </w:p>
        </w:tc>
        <w:tc>
          <w:tcPr>
            <w:tcW w:w="940"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673</w:t>
            </w:r>
          </w:p>
        </w:tc>
        <w:tc>
          <w:tcPr>
            <w:tcW w:w="940"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404</w:t>
            </w:r>
          </w:p>
        </w:tc>
        <w:tc>
          <w:tcPr>
            <w:tcW w:w="53"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1104"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 xml:space="preserve">2 326 </w:t>
            </w:r>
          </w:p>
        </w:tc>
        <w:tc>
          <w:tcPr>
            <w:tcW w:w="1362"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44,9</w:t>
            </w:r>
          </w:p>
        </w:tc>
      </w:tr>
      <w:tr w:rsidR="00A10274">
        <w:trPr>
          <w:trHeight w:val="240"/>
        </w:trPr>
        <w:tc>
          <w:tcPr>
            <w:tcW w:w="1038" w:type="dxa"/>
            <w:tcBorders>
              <w:top w:val="single" w:sz="6" w:space="0" w:color="auto"/>
              <w:bottom w:val="single" w:sz="12" w:space="0" w:color="auto"/>
            </w:tcBorders>
            <w:shd w:val="clear" w:color="auto" w:fill="auto"/>
          </w:tcPr>
          <w:p w:rsidR="00A10274" w:rsidRDefault="00A10274">
            <w:pPr>
              <w:pStyle w:val="SingleTxtG"/>
              <w:suppressAutoHyphens w:val="0"/>
              <w:spacing w:before="80" w:after="80" w:line="240" w:lineRule="auto"/>
              <w:ind w:left="0" w:right="0"/>
              <w:jc w:val="left"/>
              <w:rPr>
                <w:b/>
                <w:sz w:val="18"/>
                <w:szCs w:val="18"/>
                <w:lang w:val="fr-CA"/>
              </w:rPr>
            </w:pPr>
            <w:r>
              <w:rPr>
                <w:b/>
                <w:sz w:val="18"/>
                <w:szCs w:val="18"/>
                <w:lang w:val="fr-CA"/>
              </w:rPr>
              <w:t>Total</w:t>
            </w:r>
          </w:p>
        </w:tc>
        <w:tc>
          <w:tcPr>
            <w:tcW w:w="940"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1 049</w:t>
            </w:r>
          </w:p>
        </w:tc>
        <w:tc>
          <w:tcPr>
            <w:tcW w:w="940"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738</w:t>
            </w:r>
          </w:p>
        </w:tc>
        <w:tc>
          <w:tcPr>
            <w:tcW w:w="940"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1 503</w:t>
            </w:r>
          </w:p>
        </w:tc>
        <w:tc>
          <w:tcPr>
            <w:tcW w:w="940"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fldChar w:fldCharType="begin"/>
            </w:r>
            <w:r>
              <w:rPr>
                <w:b/>
                <w:sz w:val="18"/>
                <w:szCs w:val="18"/>
                <w:lang w:val="fr-CA"/>
              </w:rPr>
              <w:instrText xml:space="preserve"> =SUM(ABOVE) </w:instrText>
            </w:r>
            <w:r>
              <w:rPr>
                <w:b/>
                <w:sz w:val="18"/>
                <w:szCs w:val="18"/>
                <w:lang w:val="fr-CA"/>
              </w:rPr>
              <w:fldChar w:fldCharType="separate"/>
            </w:r>
            <w:r>
              <w:rPr>
                <w:b/>
                <w:noProof/>
                <w:sz w:val="18"/>
                <w:szCs w:val="18"/>
                <w:lang w:val="fr-CA"/>
              </w:rPr>
              <w:t>752</w:t>
            </w:r>
            <w:r>
              <w:rPr>
                <w:b/>
                <w:sz w:val="18"/>
                <w:szCs w:val="18"/>
                <w:lang w:val="fr-CA"/>
              </w:rPr>
              <w:fldChar w:fldCharType="end"/>
            </w:r>
          </w:p>
        </w:tc>
        <w:tc>
          <w:tcPr>
            <w:tcW w:w="53"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p>
        </w:tc>
        <w:tc>
          <w:tcPr>
            <w:tcW w:w="110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5 176</w:t>
            </w:r>
          </w:p>
        </w:tc>
        <w:tc>
          <w:tcPr>
            <w:tcW w:w="1362"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100</w:t>
            </w:r>
          </w:p>
        </w:tc>
      </w:tr>
    </w:tbl>
    <w:p w:rsidR="00A10274" w:rsidRDefault="00A10274">
      <w:pPr>
        <w:pStyle w:val="SingleTxt"/>
        <w:spacing w:after="0" w:line="120" w:lineRule="exact"/>
        <w:rPr>
          <w:i/>
          <w:sz w:val="10"/>
          <w:lang w:val="fr-CA"/>
        </w:rPr>
      </w:pPr>
    </w:p>
    <w:p w:rsidR="00A10274" w:rsidRDefault="00A10274">
      <w:pPr>
        <w:pStyle w:val="FootnoteText"/>
        <w:tabs>
          <w:tab w:val="right" w:pos="1476"/>
          <w:tab w:val="left" w:pos="1548"/>
          <w:tab w:val="right" w:pos="1836"/>
          <w:tab w:val="left" w:pos="1908"/>
        </w:tabs>
        <w:ind w:left="1548" w:right="1267" w:hanging="288"/>
        <w:rPr>
          <w:lang w:val="fr-CA"/>
        </w:rPr>
      </w:pPr>
      <w:r>
        <w:rPr>
          <w:i/>
          <w:lang w:val="fr-CA"/>
        </w:rPr>
        <w:t xml:space="preserve">Source : </w:t>
      </w:r>
      <w:r>
        <w:rPr>
          <w:lang w:val="fr-CA"/>
        </w:rPr>
        <w:t>Ministère du travail et de la prévoyance sociale.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Pourcentage de femmes qui vont travailler à l’étranger</w:t>
      </w: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51.</w:t>
      </w:r>
      <w:r>
        <w:rPr>
          <w:lang w:val="fr-CA"/>
        </w:rPr>
        <w:tab/>
        <w:t>Les données issues du Ministère du travail et de la prévoyance sociale montrent qu’au cours de la période quadriennale (2009-2012), seules 2 646 personnes, dont 74,6 % étaient des femmes, ont officiellement migré pour travailler à l’étranger. Relativement parlant, la moyenne annuelle de 520 travailleurs et travailleuses qui migrent est statistiquement insignifiante.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Pourcentage de travailleuses et de travailleurs syndiqués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52.</w:t>
      </w:r>
      <w:r>
        <w:rPr>
          <w:lang w:val="fr-CA"/>
        </w:rPr>
        <w:tab/>
        <w:t>La Confédération nationale des travailleurs érythréens (CNTE) compte 21</w:t>
      </w:r>
      <w:r>
        <w:rPr>
          <w:b/>
          <w:lang w:val="fr-CA"/>
        </w:rPr>
        <w:t> </w:t>
      </w:r>
      <w:r>
        <w:rPr>
          <w:lang w:val="fr-CA"/>
        </w:rPr>
        <w:t>245 membres</w:t>
      </w:r>
      <w:r>
        <w:rPr>
          <w:b/>
          <w:lang w:val="fr-CA"/>
        </w:rPr>
        <w:t xml:space="preserve"> </w:t>
      </w:r>
      <w:r>
        <w:rPr>
          <w:lang w:val="fr-CA"/>
        </w:rPr>
        <w:t>enregistrés, dont 12 669 (59,6 %) sont des hommes et 8 576 (40,4 %) des femmes. Le nombre total des membres, hommes et femmes confondus, a généralement augmenté de 24,6 % en 2012 comparé à 2005.</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Violence sexiste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53.</w:t>
      </w:r>
      <w:r>
        <w:rPr>
          <w:lang w:val="fr-CA"/>
        </w:rPr>
        <w:tab/>
        <w:t>Toutes les formes de violence sont condamnées par la société et des campagnes de sensibilisation sont organisées pour la combattre partout où elle se manifeste. Il n’a pas été fait état de violence sexiste sur les lieux de travail durant la période considérée. Toutefois, cela ne veut pas dire qu’il n’y a pas eu de harcèlement sexuel ou de violence sexuelle sur les lieux de travail.</w:t>
      </w: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Article 12</w:t>
      </w:r>
      <w:r>
        <w:rPr>
          <w:lang w:val="fr-CA"/>
        </w:rPr>
        <w:br/>
        <w:t>La santé</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54.</w:t>
      </w:r>
      <w:r>
        <w:rPr>
          <w:lang w:val="fr-CA"/>
        </w:rPr>
        <w:tab/>
        <w:t>Comme dans l’éducation, la prestation de services préventifs et curatifs de santé a vu son champ s’élargir et sa qualité s’améliorer. La santé du public en général a connu des progrès sans précédent en raison de l’amélioration des conditions de vie et de la qualité des services sociaux assurés.</w:t>
      </w:r>
    </w:p>
    <w:p w:rsidR="00A10274" w:rsidRDefault="00A10274">
      <w:pPr>
        <w:pStyle w:val="SingleTxt"/>
        <w:rPr>
          <w:lang w:val="fr-CA"/>
        </w:rPr>
      </w:pPr>
      <w:r>
        <w:rPr>
          <w:lang w:val="fr-CA"/>
        </w:rPr>
        <w:t>55.</w:t>
      </w:r>
      <w:r>
        <w:rPr>
          <w:lang w:val="fr-CA"/>
        </w:rPr>
        <w:tab/>
        <w:t>Les divers indicateurs qualitatifs de santé montrent que le pays a fait des progrès extraordinaires dans l’élimination ou la prévention de la mortalité et de la morbidité consécutives à des maladies contagieuses comme le paludisme, la polio, la rougeole, etc. Les maladies épidémiques sont devenues choses du passé.</w:t>
      </w:r>
    </w:p>
    <w:p w:rsidR="00A10274" w:rsidRDefault="00A10274">
      <w:pPr>
        <w:pStyle w:val="SingleTxt"/>
        <w:rPr>
          <w:lang w:val="fr-CA"/>
        </w:rPr>
      </w:pPr>
      <w:r>
        <w:rPr>
          <w:lang w:val="fr-CA"/>
        </w:rPr>
        <w:t>56.</w:t>
      </w:r>
      <w:r>
        <w:rPr>
          <w:lang w:val="fr-CA"/>
        </w:rPr>
        <w:tab/>
        <w:t>En plus de la fourniture générale de services de santé au grand public, le Ministère de la santé a porté une attention spéciale à la santé et au bien-être de la mère et des enfants. Comme on le montre dans le tableau suivant, divers programmes de santé de la mère et de l’enfant ont été mis en place et ils donnent des résultats impressionnants.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Indicateurs quantitatifs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22</w:t>
      </w:r>
      <w:r>
        <w:rPr>
          <w:lang w:val="fr-CA"/>
        </w:rPr>
        <w:br/>
        <w:t>Couverture ANCE 2010-2012</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55" w:type="dxa"/>
        <w:tblInd w:w="1276" w:type="dxa"/>
        <w:tblBorders>
          <w:top w:val="single" w:sz="4" w:space="0" w:color="auto"/>
        </w:tblBorders>
        <w:tblCellMar>
          <w:left w:w="0" w:type="dxa"/>
          <w:right w:w="0" w:type="dxa"/>
        </w:tblCellMar>
        <w:tblLook w:val="04A0"/>
      </w:tblPr>
      <w:tblGrid>
        <w:gridCol w:w="992"/>
        <w:gridCol w:w="3240"/>
        <w:gridCol w:w="3123"/>
      </w:tblGrid>
      <w:tr w:rsidR="00A10274">
        <w:trPr>
          <w:trHeight w:val="240"/>
          <w:tblHeader/>
        </w:trPr>
        <w:tc>
          <w:tcPr>
            <w:tcW w:w="992"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Année</w:t>
            </w:r>
          </w:p>
        </w:tc>
        <w:tc>
          <w:tcPr>
            <w:tcW w:w="3240"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Nombre</w:t>
            </w:r>
          </w:p>
        </w:tc>
        <w:tc>
          <w:tcPr>
            <w:tcW w:w="3123"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Pourcentage</w:t>
            </w:r>
          </w:p>
        </w:tc>
      </w:tr>
      <w:tr w:rsidR="00A10274">
        <w:trPr>
          <w:trHeight w:val="240"/>
        </w:trPr>
        <w:tc>
          <w:tcPr>
            <w:tcW w:w="992"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w:t>
            </w:r>
          </w:p>
        </w:tc>
        <w:tc>
          <w:tcPr>
            <w:tcW w:w="324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85 718</w:t>
            </w:r>
          </w:p>
        </w:tc>
        <w:tc>
          <w:tcPr>
            <w:tcW w:w="3123"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57,2</w:t>
            </w:r>
          </w:p>
        </w:tc>
      </w:tr>
      <w:tr w:rsidR="00A10274">
        <w:trPr>
          <w:trHeight w:val="240"/>
        </w:trPr>
        <w:tc>
          <w:tcPr>
            <w:tcW w:w="992"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w:t>
            </w:r>
          </w:p>
        </w:tc>
        <w:tc>
          <w:tcPr>
            <w:tcW w:w="324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90 904</w:t>
            </w:r>
          </w:p>
        </w:tc>
        <w:tc>
          <w:tcPr>
            <w:tcW w:w="312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59,0</w:t>
            </w:r>
          </w:p>
        </w:tc>
      </w:tr>
      <w:tr w:rsidR="00A10274">
        <w:trPr>
          <w:trHeight w:val="240"/>
        </w:trPr>
        <w:tc>
          <w:tcPr>
            <w:tcW w:w="992"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2012</w:t>
            </w:r>
          </w:p>
        </w:tc>
        <w:tc>
          <w:tcPr>
            <w:tcW w:w="324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83 199</w:t>
            </w:r>
          </w:p>
        </w:tc>
        <w:tc>
          <w:tcPr>
            <w:tcW w:w="312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52,6</w:t>
            </w:r>
          </w:p>
        </w:tc>
      </w:tr>
      <w:tr w:rsidR="00A10274">
        <w:trPr>
          <w:trHeight w:val="240"/>
        </w:trPr>
        <w:tc>
          <w:tcPr>
            <w:tcW w:w="992" w:type="dxa"/>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2013</w:t>
            </w:r>
          </w:p>
        </w:tc>
        <w:tc>
          <w:tcPr>
            <w:tcW w:w="3240"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91 178</w:t>
            </w:r>
          </w:p>
        </w:tc>
        <w:tc>
          <w:tcPr>
            <w:tcW w:w="3123"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58,0</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57.</w:t>
      </w:r>
      <w:r>
        <w:rPr>
          <w:lang w:val="fr-CA"/>
        </w:rPr>
        <w:tab/>
        <w:t>La couverture ANCE au cours des quatre dernières années a approché les 60 %. Compte tenu des barrières géographiques et des niveaux de développement économique des diverses régions et ethnies du pays, cette couverture est remarquable.</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23</w:t>
      </w:r>
      <w:r>
        <w:rPr>
          <w:lang w:val="fr-CA"/>
        </w:rPr>
        <w:br/>
        <w:t>Visite de planning familial 2009-2012</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26" w:type="dxa"/>
        <w:tblInd w:w="1278" w:type="dxa"/>
        <w:tblBorders>
          <w:top w:val="single" w:sz="4" w:space="0" w:color="auto"/>
        </w:tblBorders>
        <w:tblCellMar>
          <w:left w:w="0" w:type="dxa"/>
          <w:right w:w="0" w:type="dxa"/>
        </w:tblCellMar>
        <w:tblLook w:val="04A0"/>
      </w:tblPr>
      <w:tblGrid>
        <w:gridCol w:w="1087"/>
        <w:gridCol w:w="1158"/>
        <w:gridCol w:w="889"/>
        <w:gridCol w:w="1157"/>
        <w:gridCol w:w="889"/>
        <w:gridCol w:w="1157"/>
        <w:gridCol w:w="989"/>
      </w:tblGrid>
      <w:tr w:rsidR="00A10274">
        <w:trPr>
          <w:trHeight w:val="240"/>
          <w:tblHeader/>
        </w:trPr>
        <w:tc>
          <w:tcPr>
            <w:tcW w:w="1087" w:type="dxa"/>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Année</w:t>
            </w:r>
          </w:p>
        </w:tc>
        <w:tc>
          <w:tcPr>
            <w:tcW w:w="2047" w:type="dxa"/>
            <w:gridSpan w:val="2"/>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2010</w:t>
            </w:r>
          </w:p>
        </w:tc>
        <w:tc>
          <w:tcPr>
            <w:tcW w:w="2046" w:type="dxa"/>
            <w:gridSpan w:val="2"/>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2011</w:t>
            </w:r>
          </w:p>
        </w:tc>
        <w:tc>
          <w:tcPr>
            <w:tcW w:w="2146" w:type="dxa"/>
            <w:gridSpan w:val="2"/>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2012</w:t>
            </w:r>
          </w:p>
        </w:tc>
      </w:tr>
      <w:tr w:rsidR="00A10274">
        <w:trPr>
          <w:trHeight w:val="240"/>
        </w:trPr>
        <w:tc>
          <w:tcPr>
            <w:tcW w:w="1087" w:type="dxa"/>
            <w:tcBorders>
              <w:top w:val="single" w:sz="6" w:space="0" w:color="auto"/>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i/>
                <w:sz w:val="14"/>
                <w:szCs w:val="14"/>
                <w:lang w:val="fr-CA"/>
              </w:rPr>
            </w:pPr>
            <w:r>
              <w:rPr>
                <w:i/>
                <w:sz w:val="14"/>
                <w:szCs w:val="14"/>
                <w:lang w:val="fr-CA"/>
              </w:rPr>
              <w:t>Activité</w:t>
            </w:r>
          </w:p>
        </w:tc>
        <w:tc>
          <w:tcPr>
            <w:tcW w:w="115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Nombre</w:t>
            </w:r>
          </w:p>
        </w:tc>
        <w:tc>
          <w:tcPr>
            <w:tcW w:w="88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w:t>
            </w:r>
          </w:p>
        </w:tc>
        <w:tc>
          <w:tcPr>
            <w:tcW w:w="1157"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Nombre</w:t>
            </w:r>
          </w:p>
        </w:tc>
        <w:tc>
          <w:tcPr>
            <w:tcW w:w="88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w:t>
            </w:r>
          </w:p>
        </w:tc>
        <w:tc>
          <w:tcPr>
            <w:tcW w:w="1157"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Nombre</w:t>
            </w:r>
          </w:p>
        </w:tc>
        <w:tc>
          <w:tcPr>
            <w:tcW w:w="98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w:t>
            </w:r>
          </w:p>
        </w:tc>
      </w:tr>
      <w:tr w:rsidR="00A10274">
        <w:trPr>
          <w:trHeight w:val="240"/>
        </w:trPr>
        <w:tc>
          <w:tcPr>
            <w:tcW w:w="1087"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Première visite</w:t>
            </w:r>
          </w:p>
        </w:tc>
        <w:tc>
          <w:tcPr>
            <w:tcW w:w="115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36 019</w:t>
            </w:r>
          </w:p>
        </w:tc>
        <w:tc>
          <w:tcPr>
            <w:tcW w:w="889"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4,8</w:t>
            </w:r>
          </w:p>
        </w:tc>
        <w:tc>
          <w:tcPr>
            <w:tcW w:w="1157"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26 759</w:t>
            </w:r>
          </w:p>
        </w:tc>
        <w:tc>
          <w:tcPr>
            <w:tcW w:w="889"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3,5</w:t>
            </w:r>
          </w:p>
        </w:tc>
        <w:tc>
          <w:tcPr>
            <w:tcW w:w="1157"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27 081</w:t>
            </w:r>
          </w:p>
        </w:tc>
        <w:tc>
          <w:tcPr>
            <w:tcW w:w="989"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3,4</w:t>
            </w:r>
          </w:p>
        </w:tc>
      </w:tr>
      <w:tr w:rsidR="00A10274">
        <w:trPr>
          <w:trHeight w:val="240"/>
        </w:trPr>
        <w:tc>
          <w:tcPr>
            <w:tcW w:w="1087" w:type="dxa"/>
            <w:tcBorders>
              <w:bottom w:val="single" w:sz="6"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Nouvelle visite</w:t>
            </w:r>
          </w:p>
        </w:tc>
        <w:tc>
          <w:tcPr>
            <w:tcW w:w="1158"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49 738</w:t>
            </w:r>
          </w:p>
        </w:tc>
        <w:tc>
          <w:tcPr>
            <w:tcW w:w="889"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1157"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52 214</w:t>
            </w:r>
          </w:p>
        </w:tc>
        <w:tc>
          <w:tcPr>
            <w:tcW w:w="889"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1157"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53 802</w:t>
            </w:r>
          </w:p>
        </w:tc>
        <w:tc>
          <w:tcPr>
            <w:tcW w:w="989"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r>
      <w:tr w:rsidR="00A10274">
        <w:trPr>
          <w:trHeight w:val="240"/>
        </w:trPr>
        <w:tc>
          <w:tcPr>
            <w:tcW w:w="1087" w:type="dxa"/>
            <w:tcBorders>
              <w:top w:val="single" w:sz="6" w:space="0" w:color="auto"/>
              <w:bottom w:val="single" w:sz="12" w:space="0" w:color="auto"/>
            </w:tcBorders>
            <w:shd w:val="clear" w:color="auto" w:fill="auto"/>
          </w:tcPr>
          <w:p w:rsidR="00A10274" w:rsidRDefault="00A10274">
            <w:pPr>
              <w:pStyle w:val="SingleTxtG"/>
              <w:suppressAutoHyphens w:val="0"/>
              <w:spacing w:before="80" w:after="80" w:line="240" w:lineRule="auto"/>
              <w:ind w:left="0" w:right="0"/>
              <w:jc w:val="left"/>
              <w:rPr>
                <w:b/>
                <w:sz w:val="18"/>
                <w:szCs w:val="18"/>
                <w:lang w:val="fr-CA"/>
              </w:rPr>
            </w:pPr>
            <w:r>
              <w:rPr>
                <w:b/>
                <w:sz w:val="18"/>
                <w:szCs w:val="18"/>
                <w:lang w:val="fr-CA"/>
              </w:rPr>
              <w:t>Total</w:t>
            </w:r>
          </w:p>
        </w:tc>
        <w:tc>
          <w:tcPr>
            <w:tcW w:w="115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85 757</w:t>
            </w:r>
          </w:p>
        </w:tc>
        <w:tc>
          <w:tcPr>
            <w:tcW w:w="88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p>
        </w:tc>
        <w:tc>
          <w:tcPr>
            <w:tcW w:w="1157"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78 973</w:t>
            </w:r>
          </w:p>
        </w:tc>
        <w:tc>
          <w:tcPr>
            <w:tcW w:w="88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p>
        </w:tc>
        <w:tc>
          <w:tcPr>
            <w:tcW w:w="1157"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80 883</w:t>
            </w:r>
          </w:p>
        </w:tc>
        <w:tc>
          <w:tcPr>
            <w:tcW w:w="98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58.</w:t>
      </w:r>
      <w:r>
        <w:rPr>
          <w:lang w:val="fr-CA"/>
        </w:rPr>
        <w:tab/>
        <w:t>Comme on le montre dans le tableau 31, les premières visites de planning familial ont marqué une baisse régulière durant les quatre dernières années (2009-2012). Le nombre combiné des premières et des nouvelles visites s’est situé autour de 80 000.</w:t>
      </w:r>
    </w:p>
    <w:p w:rsidR="00A10274" w:rsidRDefault="00A10274">
      <w:pPr>
        <w:pStyle w:val="SingleTxt"/>
        <w:rPr>
          <w:lang w:val="fr-CA"/>
        </w:rPr>
      </w:pPr>
      <w:r>
        <w:rPr>
          <w:lang w:val="fr-CA"/>
        </w:rPr>
        <w:t>59.</w:t>
      </w:r>
      <w:r>
        <w:rPr>
          <w:lang w:val="fr-CA"/>
        </w:rPr>
        <w:tab/>
        <w:t>Le tableau montre que les soins post-partum assurés dans les établissements de santé ont connu une augmentation impressionnante de 2009 à 2012 pour se maintenir aux alentours de 65 % durant cette période. Inversement, le taux de 6 heures de soins post-partum à domicile s’est maintenu à 10 %, voire au-dessous. Quant au taux de 6 jours de soins post-partum à domicile, il a marqué une tendance irrégulière pendant ces quatre ans. D’une manière générale, le tableau montre que la mise au monde d’enfants dans des établissements de santé a augmenté de manière régulière et que de moins en moins de femmes accouchent chez elles.</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24</w:t>
      </w:r>
      <w:r>
        <w:rPr>
          <w:lang w:val="fr-CA"/>
        </w:rPr>
        <w:br/>
        <w:t>Les soins post-partum 2010-2012</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69" w:type="dxa"/>
        <w:jc w:val="center"/>
        <w:tblInd w:w="32" w:type="dxa"/>
        <w:tblBorders>
          <w:top w:val="single" w:sz="4" w:space="0" w:color="auto"/>
        </w:tblBorders>
        <w:tblCellMar>
          <w:left w:w="0" w:type="dxa"/>
          <w:right w:w="0" w:type="dxa"/>
        </w:tblCellMar>
        <w:tblLook w:val="04A0"/>
      </w:tblPr>
      <w:tblGrid>
        <w:gridCol w:w="2095"/>
        <w:gridCol w:w="873"/>
        <w:gridCol w:w="874"/>
        <w:gridCol w:w="874"/>
        <w:gridCol w:w="874"/>
        <w:gridCol w:w="874"/>
        <w:gridCol w:w="905"/>
      </w:tblGrid>
      <w:tr w:rsidR="00A10274">
        <w:trPr>
          <w:trHeight w:val="240"/>
          <w:tblHeader/>
          <w:jc w:val="center"/>
        </w:trPr>
        <w:tc>
          <w:tcPr>
            <w:tcW w:w="2095" w:type="dxa"/>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Année</w:t>
            </w:r>
          </w:p>
        </w:tc>
        <w:tc>
          <w:tcPr>
            <w:tcW w:w="1747" w:type="dxa"/>
            <w:gridSpan w:val="2"/>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2010</w:t>
            </w:r>
          </w:p>
        </w:tc>
        <w:tc>
          <w:tcPr>
            <w:tcW w:w="1748" w:type="dxa"/>
            <w:gridSpan w:val="2"/>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2011</w:t>
            </w:r>
          </w:p>
        </w:tc>
        <w:tc>
          <w:tcPr>
            <w:tcW w:w="1779" w:type="dxa"/>
            <w:gridSpan w:val="2"/>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2012</w:t>
            </w:r>
          </w:p>
        </w:tc>
      </w:tr>
      <w:tr w:rsidR="00A10274">
        <w:trPr>
          <w:trHeight w:val="240"/>
          <w:jc w:val="center"/>
        </w:trPr>
        <w:tc>
          <w:tcPr>
            <w:tcW w:w="2095" w:type="dxa"/>
            <w:tcBorders>
              <w:top w:val="single" w:sz="6" w:space="0" w:color="auto"/>
              <w:bottom w:val="single" w:sz="12" w:space="0" w:color="auto"/>
            </w:tcBorders>
            <w:shd w:val="clear" w:color="auto" w:fill="auto"/>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Activité</w:t>
            </w:r>
          </w:p>
        </w:tc>
        <w:tc>
          <w:tcPr>
            <w:tcW w:w="873"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Nombre</w:t>
            </w:r>
          </w:p>
        </w:tc>
        <w:tc>
          <w:tcPr>
            <w:tcW w:w="87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w:t>
            </w:r>
          </w:p>
        </w:tc>
        <w:tc>
          <w:tcPr>
            <w:tcW w:w="87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Nombre</w:t>
            </w:r>
          </w:p>
        </w:tc>
        <w:tc>
          <w:tcPr>
            <w:tcW w:w="87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w:t>
            </w:r>
          </w:p>
        </w:tc>
        <w:tc>
          <w:tcPr>
            <w:tcW w:w="87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Nombre</w:t>
            </w:r>
          </w:p>
        </w:tc>
        <w:tc>
          <w:tcPr>
            <w:tcW w:w="90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w:t>
            </w:r>
          </w:p>
        </w:tc>
      </w:tr>
      <w:tr w:rsidR="00A10274">
        <w:trPr>
          <w:trHeight w:val="240"/>
          <w:jc w:val="center"/>
        </w:trPr>
        <w:tc>
          <w:tcPr>
            <w:tcW w:w="2095"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6 heures de soins PP dans un établissement de santé</w:t>
            </w:r>
          </w:p>
        </w:tc>
        <w:tc>
          <w:tcPr>
            <w:tcW w:w="873"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1 427</w:t>
            </w:r>
          </w:p>
        </w:tc>
        <w:tc>
          <w:tcPr>
            <w:tcW w:w="87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4,4</w:t>
            </w:r>
          </w:p>
        </w:tc>
        <w:tc>
          <w:tcPr>
            <w:tcW w:w="87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22 077</w:t>
            </w:r>
          </w:p>
        </w:tc>
        <w:tc>
          <w:tcPr>
            <w:tcW w:w="87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60,6</w:t>
            </w:r>
          </w:p>
        </w:tc>
        <w:tc>
          <w:tcPr>
            <w:tcW w:w="87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24 258</w:t>
            </w:r>
          </w:p>
        </w:tc>
        <w:tc>
          <w:tcPr>
            <w:tcW w:w="905"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65,2</w:t>
            </w:r>
          </w:p>
        </w:tc>
      </w:tr>
      <w:tr w:rsidR="00A10274">
        <w:trPr>
          <w:trHeight w:val="240"/>
          <w:jc w:val="center"/>
        </w:trPr>
        <w:tc>
          <w:tcPr>
            <w:tcW w:w="2095"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6 jours de soins PP dans un établissement de santé</w:t>
            </w:r>
          </w:p>
        </w:tc>
        <w:tc>
          <w:tcPr>
            <w:tcW w:w="87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317</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3 422</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9,4</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3 359</w:t>
            </w:r>
          </w:p>
        </w:tc>
        <w:tc>
          <w:tcPr>
            <w:tcW w:w="90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9,0</w:t>
            </w:r>
          </w:p>
        </w:tc>
      </w:tr>
      <w:tr w:rsidR="00A10274">
        <w:trPr>
          <w:trHeight w:val="240"/>
          <w:jc w:val="center"/>
        </w:trPr>
        <w:tc>
          <w:tcPr>
            <w:tcW w:w="2095"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6 heures de soins PP chez soi</w:t>
            </w:r>
          </w:p>
        </w:tc>
        <w:tc>
          <w:tcPr>
            <w:tcW w:w="87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76</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0,2</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2 842</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7,8</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3 767</w:t>
            </w:r>
          </w:p>
        </w:tc>
        <w:tc>
          <w:tcPr>
            <w:tcW w:w="90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10,1</w:t>
            </w:r>
          </w:p>
        </w:tc>
      </w:tr>
      <w:tr w:rsidR="00A10274">
        <w:trPr>
          <w:trHeight w:val="240"/>
          <w:jc w:val="center"/>
        </w:trPr>
        <w:tc>
          <w:tcPr>
            <w:tcW w:w="2095" w:type="dxa"/>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6 jours de soins PP chez soi</w:t>
            </w:r>
          </w:p>
        </w:tc>
        <w:tc>
          <w:tcPr>
            <w:tcW w:w="873"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605</w:t>
            </w:r>
          </w:p>
        </w:tc>
        <w:tc>
          <w:tcPr>
            <w:tcW w:w="87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18,5</w:t>
            </w:r>
          </w:p>
        </w:tc>
        <w:tc>
          <w:tcPr>
            <w:tcW w:w="87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10 475</w:t>
            </w:r>
          </w:p>
        </w:tc>
        <w:tc>
          <w:tcPr>
            <w:tcW w:w="87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28,8</w:t>
            </w:r>
          </w:p>
        </w:tc>
        <w:tc>
          <w:tcPr>
            <w:tcW w:w="87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11 877</w:t>
            </w:r>
          </w:p>
        </w:tc>
        <w:tc>
          <w:tcPr>
            <w:tcW w:w="905"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32</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25</w:t>
      </w:r>
      <w:r>
        <w:rPr>
          <w:lang w:val="fr-CA"/>
        </w:rPr>
        <w:br/>
        <w:t>Couverture nationale du service des accouchements 2010-2012</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64" w:type="dxa"/>
        <w:jc w:val="center"/>
        <w:tblInd w:w="127" w:type="dxa"/>
        <w:tblBorders>
          <w:top w:val="single" w:sz="4" w:space="0" w:color="auto"/>
        </w:tblBorders>
        <w:tblLayout w:type="fixed"/>
        <w:tblCellMar>
          <w:left w:w="0" w:type="dxa"/>
          <w:right w:w="0" w:type="dxa"/>
        </w:tblCellMar>
        <w:tblLook w:val="04A0"/>
      </w:tblPr>
      <w:tblGrid>
        <w:gridCol w:w="2141"/>
        <w:gridCol w:w="874"/>
        <w:gridCol w:w="874"/>
        <w:gridCol w:w="874"/>
        <w:gridCol w:w="874"/>
        <w:gridCol w:w="874"/>
        <w:gridCol w:w="853"/>
      </w:tblGrid>
      <w:tr w:rsidR="00A10274">
        <w:trPr>
          <w:trHeight w:val="240"/>
          <w:tblHeader/>
          <w:jc w:val="center"/>
        </w:trPr>
        <w:tc>
          <w:tcPr>
            <w:tcW w:w="2141"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Année</w:t>
            </w:r>
          </w:p>
        </w:tc>
        <w:tc>
          <w:tcPr>
            <w:tcW w:w="1748" w:type="dxa"/>
            <w:gridSpan w:val="2"/>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2010</w:t>
            </w:r>
          </w:p>
        </w:tc>
        <w:tc>
          <w:tcPr>
            <w:tcW w:w="1748" w:type="dxa"/>
            <w:gridSpan w:val="2"/>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2011</w:t>
            </w:r>
          </w:p>
        </w:tc>
        <w:tc>
          <w:tcPr>
            <w:tcW w:w="1727" w:type="dxa"/>
            <w:gridSpan w:val="2"/>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2012</w:t>
            </w:r>
          </w:p>
        </w:tc>
      </w:tr>
      <w:tr w:rsidR="00A10274">
        <w:trPr>
          <w:trHeight w:val="240"/>
          <w:jc w:val="center"/>
        </w:trPr>
        <w:tc>
          <w:tcPr>
            <w:tcW w:w="2141" w:type="dxa"/>
            <w:tcBorders>
              <w:top w:val="single" w:sz="12" w:space="0" w:color="auto"/>
            </w:tcBorders>
            <w:shd w:val="clear" w:color="auto" w:fill="auto"/>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Activité</w:t>
            </w:r>
          </w:p>
        </w:tc>
        <w:tc>
          <w:tcPr>
            <w:tcW w:w="874" w:type="dxa"/>
            <w:tcBorders>
              <w:top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Nombre</w:t>
            </w:r>
          </w:p>
        </w:tc>
        <w:tc>
          <w:tcPr>
            <w:tcW w:w="874" w:type="dxa"/>
            <w:tcBorders>
              <w:top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w:t>
            </w:r>
          </w:p>
        </w:tc>
        <w:tc>
          <w:tcPr>
            <w:tcW w:w="874" w:type="dxa"/>
            <w:tcBorders>
              <w:top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Nombre</w:t>
            </w:r>
          </w:p>
        </w:tc>
        <w:tc>
          <w:tcPr>
            <w:tcW w:w="874" w:type="dxa"/>
            <w:tcBorders>
              <w:top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w:t>
            </w:r>
          </w:p>
        </w:tc>
        <w:tc>
          <w:tcPr>
            <w:tcW w:w="874" w:type="dxa"/>
            <w:tcBorders>
              <w:top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Nombre</w:t>
            </w:r>
          </w:p>
        </w:tc>
        <w:tc>
          <w:tcPr>
            <w:tcW w:w="853" w:type="dxa"/>
            <w:tcBorders>
              <w:top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w:t>
            </w:r>
          </w:p>
        </w:tc>
      </w:tr>
      <w:tr w:rsidR="00A10274">
        <w:trPr>
          <w:trHeight w:val="240"/>
          <w:jc w:val="center"/>
        </w:trPr>
        <w:tc>
          <w:tcPr>
            <w:tcW w:w="2141"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 xml:space="preserve">Total accouchements </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32,074</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28.5</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36,901</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31.5</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37,912</w:t>
            </w:r>
          </w:p>
        </w:tc>
        <w:tc>
          <w:tcPr>
            <w:tcW w:w="85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31</w:t>
            </w:r>
          </w:p>
        </w:tc>
      </w:tr>
      <w:tr w:rsidR="00A10274">
        <w:trPr>
          <w:trHeight w:val="240"/>
          <w:jc w:val="center"/>
        </w:trPr>
        <w:tc>
          <w:tcPr>
            <w:tcW w:w="2141"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Naissances vivantes</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31,851</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99.3</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35,880</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97.2</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56,853</w:t>
            </w:r>
          </w:p>
        </w:tc>
        <w:tc>
          <w:tcPr>
            <w:tcW w:w="85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97.2</w:t>
            </w:r>
          </w:p>
        </w:tc>
      </w:tr>
      <w:tr w:rsidR="00A10274">
        <w:trPr>
          <w:trHeight w:val="240"/>
          <w:jc w:val="center"/>
        </w:trPr>
        <w:tc>
          <w:tcPr>
            <w:tcW w:w="2141"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Mortinatalité intrapartum</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199</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0.6</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596</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1.6</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582</w:t>
            </w:r>
          </w:p>
        </w:tc>
        <w:tc>
          <w:tcPr>
            <w:tcW w:w="85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1.6</w:t>
            </w:r>
          </w:p>
        </w:tc>
      </w:tr>
      <w:tr w:rsidR="00A10274">
        <w:trPr>
          <w:trHeight w:val="240"/>
          <w:jc w:val="center"/>
        </w:trPr>
        <w:tc>
          <w:tcPr>
            <w:tcW w:w="2141"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Mortinatalité antepartum</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24</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0.07</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425</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1.2</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477</w:t>
            </w:r>
          </w:p>
        </w:tc>
        <w:tc>
          <w:tcPr>
            <w:tcW w:w="85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1.3</w:t>
            </w:r>
          </w:p>
        </w:tc>
      </w:tr>
      <w:tr w:rsidR="00A10274">
        <w:trPr>
          <w:trHeight w:val="240"/>
          <w:jc w:val="center"/>
        </w:trPr>
        <w:tc>
          <w:tcPr>
            <w:tcW w:w="2141"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Mortinatalité intrapartum et antepartum</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223</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0.67</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1,021</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2.8</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1,059</w:t>
            </w:r>
          </w:p>
        </w:tc>
        <w:tc>
          <w:tcPr>
            <w:tcW w:w="85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2.9</w:t>
            </w:r>
          </w:p>
        </w:tc>
      </w:tr>
      <w:tr w:rsidR="00A10274">
        <w:trPr>
          <w:trHeight w:val="240"/>
          <w:jc w:val="center"/>
        </w:trPr>
        <w:tc>
          <w:tcPr>
            <w:tcW w:w="2141"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LBW</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2 476</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7,7</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2 637</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7,2</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2 747</w:t>
            </w:r>
          </w:p>
        </w:tc>
        <w:tc>
          <w:tcPr>
            <w:tcW w:w="85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7,4</w:t>
            </w:r>
          </w:p>
        </w:tc>
      </w:tr>
      <w:tr w:rsidR="00A10274">
        <w:trPr>
          <w:trHeight w:val="240"/>
          <w:jc w:val="center"/>
        </w:trPr>
        <w:tc>
          <w:tcPr>
            <w:tcW w:w="2141"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Total C/S</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1 851</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4,8</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2 187</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3,5</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2 256</w:t>
            </w:r>
          </w:p>
        </w:tc>
        <w:tc>
          <w:tcPr>
            <w:tcW w:w="85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3,4</w:t>
            </w:r>
          </w:p>
        </w:tc>
      </w:tr>
      <w:tr w:rsidR="00A10274">
        <w:trPr>
          <w:trHeight w:val="240"/>
          <w:jc w:val="center"/>
        </w:trPr>
        <w:tc>
          <w:tcPr>
            <w:tcW w:w="2141"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 xml:space="preserve">Décès maternel en établissements de santé </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60</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0,19</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58</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0,16</w:t>
            </w:r>
          </w:p>
        </w:tc>
        <w:tc>
          <w:tcPr>
            <w:tcW w:w="87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60</w:t>
            </w:r>
          </w:p>
        </w:tc>
        <w:tc>
          <w:tcPr>
            <w:tcW w:w="85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0,16</w:t>
            </w:r>
          </w:p>
        </w:tc>
      </w:tr>
      <w:tr w:rsidR="00A10274">
        <w:trPr>
          <w:trHeight w:val="240"/>
          <w:jc w:val="center"/>
        </w:trPr>
        <w:tc>
          <w:tcPr>
            <w:tcW w:w="2141" w:type="dxa"/>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Décès néonatals en établissements de santé</w:t>
            </w:r>
          </w:p>
        </w:tc>
        <w:tc>
          <w:tcPr>
            <w:tcW w:w="87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111</w:t>
            </w:r>
          </w:p>
        </w:tc>
        <w:tc>
          <w:tcPr>
            <w:tcW w:w="87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0,4</w:t>
            </w:r>
          </w:p>
        </w:tc>
        <w:tc>
          <w:tcPr>
            <w:tcW w:w="87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126</w:t>
            </w:r>
          </w:p>
        </w:tc>
        <w:tc>
          <w:tcPr>
            <w:tcW w:w="87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0,4</w:t>
            </w:r>
          </w:p>
        </w:tc>
        <w:tc>
          <w:tcPr>
            <w:tcW w:w="874"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215</w:t>
            </w:r>
          </w:p>
        </w:tc>
        <w:tc>
          <w:tcPr>
            <w:tcW w:w="853"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0,6</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60.</w:t>
      </w:r>
      <w:r>
        <w:rPr>
          <w:lang w:val="fr-CA"/>
        </w:rPr>
        <w:tab/>
        <w:t>Le tableau 25 donne l’état des accouchements dans les établissements de santé. Le nombre absolu et le pourcentage des accouchements survenus dans des établissements de santé à un niveau national a connu une augmentation constante, faisant apparaitre une augmentation du nombre d’accouchements de 8 766 en 2012 comparé à 2010.</w:t>
      </w:r>
    </w:p>
    <w:p w:rsidR="00A10274" w:rsidRDefault="00A10274">
      <w:pPr>
        <w:pStyle w:val="SingleTxt"/>
        <w:rPr>
          <w:lang w:val="fr-CA"/>
        </w:rPr>
      </w:pPr>
      <w:r>
        <w:rPr>
          <w:lang w:val="fr-CA"/>
        </w:rPr>
        <w:t>61.</w:t>
      </w:r>
      <w:r>
        <w:rPr>
          <w:lang w:val="fr-CA"/>
        </w:rPr>
        <w:tab/>
        <w:t xml:space="preserve">En ce qui concerne les naissances vivantes et les mortinatalités, le tableau montre que le taux combiné de mortinatalités intrapartum et antepartum a augmenté pendant la période quadriennale (partant de 0,7 % en 2010 pour atteindre 3,3 % en 2012). Les mortinatalités intrapartum représentent la majorité des mortinatalités dans les établissements de santé. </w:t>
      </w:r>
    </w:p>
    <w:p w:rsidR="00A10274" w:rsidRDefault="00A10274">
      <w:pPr>
        <w:pStyle w:val="SingleTxt"/>
        <w:rPr>
          <w:lang w:val="fr-CA"/>
        </w:rPr>
      </w:pPr>
      <w:r>
        <w:rPr>
          <w:lang w:val="fr-CA"/>
        </w:rPr>
        <w:t>62.</w:t>
      </w:r>
      <w:r>
        <w:rPr>
          <w:lang w:val="fr-CA"/>
        </w:rPr>
        <w:tab/>
        <w:t>Le taux de mortalité maternelle dans les établissements de santé a marqué une tendance à la baisse durant la période quadriennale (revenant de 0,19 % en 2010 à 0,15 % en 2012). Les mortalités néonatales dans les établissements de santé ont, elles aussi, baissé, sauf pour l’année 2012, qui a vu un quasi-doublement des cas par rapport aux années précédentes et ensuite.</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26</w:t>
      </w:r>
      <w:r>
        <w:rPr>
          <w:lang w:val="fr-CA"/>
        </w:rPr>
        <w:br/>
        <w:t>Les femmes dans la profession de santé 2012</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0" w:type="auto"/>
        <w:jc w:val="center"/>
        <w:tblInd w:w="-510" w:type="dxa"/>
        <w:tblBorders>
          <w:top w:val="single" w:sz="4" w:space="0" w:color="auto"/>
        </w:tblBorders>
        <w:tblLayout w:type="fixed"/>
        <w:tblCellMar>
          <w:left w:w="0" w:type="dxa"/>
          <w:right w:w="0" w:type="dxa"/>
        </w:tblCellMar>
        <w:tblLook w:val="04A0"/>
      </w:tblPr>
      <w:tblGrid>
        <w:gridCol w:w="538"/>
        <w:gridCol w:w="2687"/>
        <w:gridCol w:w="1047"/>
        <w:gridCol w:w="1047"/>
        <w:gridCol w:w="1047"/>
        <w:gridCol w:w="992"/>
      </w:tblGrid>
      <w:tr w:rsidR="00A10274">
        <w:trPr>
          <w:trHeight w:val="240"/>
          <w:tblHeader/>
          <w:jc w:val="center"/>
        </w:trPr>
        <w:tc>
          <w:tcPr>
            <w:tcW w:w="538" w:type="dxa"/>
            <w:vMerge w:val="restart"/>
            <w:tcBorders>
              <w:top w:val="single" w:sz="4"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S.N</w:t>
            </w:r>
          </w:p>
        </w:tc>
        <w:tc>
          <w:tcPr>
            <w:tcW w:w="2687" w:type="dxa"/>
            <w:vMerge w:val="restart"/>
            <w:tcBorders>
              <w:top w:val="single" w:sz="4"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Position</w:t>
            </w:r>
          </w:p>
        </w:tc>
        <w:tc>
          <w:tcPr>
            <w:tcW w:w="3141" w:type="dxa"/>
            <w:gridSpan w:val="3"/>
            <w:tcBorders>
              <w:top w:val="single" w:sz="4" w:space="0" w:color="auto"/>
              <w:bottom w:val="single" w:sz="4" w:space="0" w:color="auto"/>
            </w:tcBorders>
            <w:shd w:val="clear" w:color="auto" w:fill="auto"/>
            <w:noWrap/>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Nombre de membres du personnel</w:t>
            </w:r>
          </w:p>
        </w:tc>
        <w:tc>
          <w:tcPr>
            <w:tcW w:w="992" w:type="dxa"/>
            <w:vMerge w:val="restart"/>
            <w:tcBorders>
              <w:top w:val="single" w:sz="4"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 Femmes</w:t>
            </w:r>
          </w:p>
        </w:tc>
      </w:tr>
      <w:tr w:rsidR="00A10274">
        <w:trPr>
          <w:trHeight w:val="240"/>
          <w:tblHeader/>
          <w:jc w:val="center"/>
        </w:trPr>
        <w:tc>
          <w:tcPr>
            <w:tcW w:w="538" w:type="dxa"/>
            <w:vMerge/>
            <w:tcBorders>
              <w:top w:val="single" w:sz="12"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0" w:right="0"/>
              <w:jc w:val="left"/>
              <w:rPr>
                <w:sz w:val="14"/>
                <w:szCs w:val="14"/>
                <w:lang w:val="fr-CA"/>
              </w:rPr>
            </w:pPr>
          </w:p>
        </w:tc>
        <w:tc>
          <w:tcPr>
            <w:tcW w:w="2687" w:type="dxa"/>
            <w:vMerge/>
            <w:tcBorders>
              <w:top w:val="single" w:sz="12"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0" w:right="0"/>
              <w:jc w:val="left"/>
              <w:rPr>
                <w:sz w:val="14"/>
                <w:szCs w:val="14"/>
                <w:lang w:val="fr-CA"/>
              </w:rPr>
            </w:pPr>
          </w:p>
        </w:tc>
        <w:tc>
          <w:tcPr>
            <w:tcW w:w="1047" w:type="dxa"/>
            <w:tcBorders>
              <w:top w:val="single" w:sz="4"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Femmes</w:t>
            </w:r>
          </w:p>
        </w:tc>
        <w:tc>
          <w:tcPr>
            <w:tcW w:w="1047" w:type="dxa"/>
            <w:tcBorders>
              <w:top w:val="single" w:sz="4"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Hommes</w:t>
            </w:r>
          </w:p>
        </w:tc>
        <w:tc>
          <w:tcPr>
            <w:tcW w:w="1047" w:type="dxa"/>
            <w:tcBorders>
              <w:top w:val="single" w:sz="4"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0" w:right="0"/>
              <w:jc w:val="right"/>
              <w:rPr>
                <w:i/>
                <w:sz w:val="14"/>
                <w:szCs w:val="14"/>
                <w:lang w:val="fr-CA"/>
              </w:rPr>
            </w:pPr>
            <w:r>
              <w:rPr>
                <w:i/>
                <w:sz w:val="14"/>
                <w:szCs w:val="14"/>
                <w:lang w:val="fr-CA"/>
              </w:rPr>
              <w:t>Total</w:t>
            </w:r>
          </w:p>
        </w:tc>
        <w:tc>
          <w:tcPr>
            <w:tcW w:w="992" w:type="dxa"/>
            <w:vMerge/>
            <w:tcBorders>
              <w:top w:val="single" w:sz="12" w:space="0" w:color="auto"/>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p>
        </w:tc>
      </w:tr>
      <w:tr w:rsidR="00A10274">
        <w:trPr>
          <w:trHeight w:val="240"/>
          <w:jc w:val="center"/>
        </w:trPr>
        <w:tc>
          <w:tcPr>
            <w:tcW w:w="538" w:type="dxa"/>
            <w:tcBorders>
              <w:top w:val="single" w:sz="12" w:space="0" w:color="auto"/>
            </w:tcBorders>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1</w:t>
            </w:r>
          </w:p>
        </w:tc>
        <w:tc>
          <w:tcPr>
            <w:tcW w:w="2687" w:type="dxa"/>
            <w:tcBorders>
              <w:top w:val="single" w:sz="12" w:space="0" w:color="auto"/>
            </w:tcBorders>
            <w:shd w:val="clear" w:color="auto" w:fill="auto"/>
            <w:noWrap/>
            <w:vAlign w:val="bottom"/>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Ministre</w:t>
            </w:r>
          </w:p>
        </w:tc>
        <w:tc>
          <w:tcPr>
            <w:tcW w:w="1047" w:type="dxa"/>
            <w:tcBorders>
              <w:top w:val="single" w:sz="12" w:space="0" w:color="auto"/>
            </w:tcBorders>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w:t>
            </w:r>
          </w:p>
        </w:tc>
        <w:tc>
          <w:tcPr>
            <w:tcW w:w="1047" w:type="dxa"/>
            <w:tcBorders>
              <w:top w:val="single" w:sz="12" w:space="0" w:color="auto"/>
            </w:tcBorders>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0</w:t>
            </w:r>
          </w:p>
        </w:tc>
        <w:tc>
          <w:tcPr>
            <w:tcW w:w="1047" w:type="dxa"/>
            <w:tcBorders>
              <w:top w:val="single" w:sz="12" w:space="0" w:color="auto"/>
            </w:tcBorders>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w:t>
            </w:r>
          </w:p>
        </w:tc>
        <w:tc>
          <w:tcPr>
            <w:tcW w:w="992" w:type="dxa"/>
            <w:tcBorders>
              <w:top w:val="single" w:sz="12" w:space="0" w:color="auto"/>
            </w:tcBorders>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100</w:t>
            </w:r>
          </w:p>
        </w:tc>
      </w:tr>
      <w:tr w:rsidR="00A10274">
        <w:trPr>
          <w:trHeight w:val="240"/>
          <w:jc w:val="center"/>
        </w:trPr>
        <w:tc>
          <w:tcPr>
            <w:tcW w:w="538" w:type="dxa"/>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w:t>
            </w:r>
          </w:p>
        </w:tc>
        <w:tc>
          <w:tcPr>
            <w:tcW w:w="2687" w:type="dxa"/>
            <w:shd w:val="clear" w:color="auto" w:fill="auto"/>
            <w:noWrap/>
            <w:vAlign w:val="bottom"/>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DG</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0</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2</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2</w:t>
            </w:r>
          </w:p>
        </w:tc>
        <w:tc>
          <w:tcPr>
            <w:tcW w:w="992"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0</w:t>
            </w:r>
          </w:p>
        </w:tc>
      </w:tr>
      <w:tr w:rsidR="00A10274">
        <w:trPr>
          <w:trHeight w:val="240"/>
          <w:jc w:val="center"/>
        </w:trPr>
        <w:tc>
          <w:tcPr>
            <w:tcW w:w="538" w:type="dxa"/>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3</w:t>
            </w:r>
          </w:p>
        </w:tc>
        <w:tc>
          <w:tcPr>
            <w:tcW w:w="2687" w:type="dxa"/>
            <w:shd w:val="clear" w:color="auto" w:fill="auto"/>
            <w:noWrap/>
            <w:vAlign w:val="bottom"/>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 xml:space="preserve">Directeur </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3</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14</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17</w:t>
            </w:r>
          </w:p>
        </w:tc>
        <w:tc>
          <w:tcPr>
            <w:tcW w:w="992"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17,6</w:t>
            </w:r>
          </w:p>
        </w:tc>
      </w:tr>
      <w:tr w:rsidR="00A10274">
        <w:trPr>
          <w:trHeight w:val="240"/>
          <w:jc w:val="center"/>
        </w:trPr>
        <w:tc>
          <w:tcPr>
            <w:tcW w:w="538" w:type="dxa"/>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4</w:t>
            </w:r>
          </w:p>
        </w:tc>
        <w:tc>
          <w:tcPr>
            <w:tcW w:w="2687" w:type="dxa"/>
            <w:shd w:val="clear" w:color="auto" w:fill="auto"/>
            <w:noWrap/>
            <w:vAlign w:val="bottom"/>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Chef de service</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9</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47</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56</w:t>
            </w:r>
          </w:p>
        </w:tc>
        <w:tc>
          <w:tcPr>
            <w:tcW w:w="992"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16,1</w:t>
            </w:r>
          </w:p>
        </w:tc>
      </w:tr>
      <w:tr w:rsidR="00A10274">
        <w:trPr>
          <w:trHeight w:val="240"/>
          <w:jc w:val="center"/>
        </w:trPr>
        <w:tc>
          <w:tcPr>
            <w:tcW w:w="538" w:type="dxa"/>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5</w:t>
            </w:r>
          </w:p>
        </w:tc>
        <w:tc>
          <w:tcPr>
            <w:tcW w:w="2687" w:type="dxa"/>
            <w:shd w:val="clear" w:color="auto" w:fill="auto"/>
            <w:noWrap/>
            <w:vAlign w:val="bottom"/>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Spécialiste</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11</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42</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53</w:t>
            </w:r>
          </w:p>
        </w:tc>
        <w:tc>
          <w:tcPr>
            <w:tcW w:w="992"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20,8</w:t>
            </w:r>
          </w:p>
        </w:tc>
      </w:tr>
      <w:tr w:rsidR="00A10274">
        <w:trPr>
          <w:trHeight w:val="240"/>
          <w:jc w:val="center"/>
        </w:trPr>
        <w:tc>
          <w:tcPr>
            <w:tcW w:w="538" w:type="dxa"/>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6</w:t>
            </w:r>
          </w:p>
        </w:tc>
        <w:tc>
          <w:tcPr>
            <w:tcW w:w="2687" w:type="dxa"/>
            <w:shd w:val="clear" w:color="auto" w:fill="auto"/>
            <w:noWrap/>
            <w:vAlign w:val="bottom"/>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Docteur</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18</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90</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108</w:t>
            </w:r>
          </w:p>
        </w:tc>
        <w:tc>
          <w:tcPr>
            <w:tcW w:w="992"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16,7</w:t>
            </w:r>
          </w:p>
        </w:tc>
      </w:tr>
      <w:tr w:rsidR="00A10274">
        <w:trPr>
          <w:trHeight w:val="240"/>
          <w:jc w:val="center"/>
        </w:trPr>
        <w:tc>
          <w:tcPr>
            <w:tcW w:w="538" w:type="dxa"/>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7</w:t>
            </w:r>
          </w:p>
        </w:tc>
        <w:tc>
          <w:tcPr>
            <w:tcW w:w="2687" w:type="dxa"/>
            <w:shd w:val="clear" w:color="auto" w:fill="auto"/>
            <w:noWrap/>
            <w:vAlign w:val="bottom"/>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Technicien (niveau diplôme)</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152</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409</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561</w:t>
            </w:r>
          </w:p>
        </w:tc>
        <w:tc>
          <w:tcPr>
            <w:tcW w:w="992"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27,1</w:t>
            </w:r>
          </w:p>
        </w:tc>
      </w:tr>
      <w:tr w:rsidR="00A10274">
        <w:trPr>
          <w:trHeight w:val="240"/>
          <w:jc w:val="center"/>
        </w:trPr>
        <w:tc>
          <w:tcPr>
            <w:tcW w:w="538" w:type="dxa"/>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8</w:t>
            </w:r>
          </w:p>
        </w:tc>
        <w:tc>
          <w:tcPr>
            <w:tcW w:w="2687" w:type="dxa"/>
            <w:shd w:val="clear" w:color="auto" w:fill="auto"/>
            <w:noWrap/>
            <w:vAlign w:val="bottom"/>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Licence (CLS, PHO, Pharmacie)</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60</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255</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315</w:t>
            </w:r>
          </w:p>
        </w:tc>
        <w:tc>
          <w:tcPr>
            <w:tcW w:w="992"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19</w:t>
            </w:r>
          </w:p>
        </w:tc>
      </w:tr>
      <w:tr w:rsidR="00A10274">
        <w:trPr>
          <w:trHeight w:val="240"/>
          <w:jc w:val="center"/>
        </w:trPr>
        <w:tc>
          <w:tcPr>
            <w:tcW w:w="538" w:type="dxa"/>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9</w:t>
            </w:r>
          </w:p>
        </w:tc>
        <w:tc>
          <w:tcPr>
            <w:tcW w:w="2687" w:type="dxa"/>
            <w:shd w:val="clear" w:color="auto" w:fill="auto"/>
            <w:noWrap/>
            <w:vAlign w:val="bottom"/>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Personnels infirmiers (diplômés et titulaires)</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561</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755</w:t>
            </w:r>
          </w:p>
        </w:tc>
        <w:tc>
          <w:tcPr>
            <w:tcW w:w="1047"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1 316</w:t>
            </w:r>
          </w:p>
        </w:tc>
        <w:tc>
          <w:tcPr>
            <w:tcW w:w="992" w:type="dxa"/>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42,6</w:t>
            </w:r>
          </w:p>
        </w:tc>
      </w:tr>
      <w:tr w:rsidR="00A10274">
        <w:trPr>
          <w:trHeight w:val="240"/>
          <w:jc w:val="center"/>
        </w:trPr>
        <w:tc>
          <w:tcPr>
            <w:tcW w:w="538" w:type="dxa"/>
            <w:tcBorders>
              <w:bottom w:val="single" w:sz="6" w:space="0" w:color="auto"/>
            </w:tcBorders>
            <w:shd w:val="clear" w:color="auto" w:fill="auto"/>
            <w:noWrap/>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10</w:t>
            </w:r>
          </w:p>
        </w:tc>
        <w:tc>
          <w:tcPr>
            <w:tcW w:w="2687" w:type="dxa"/>
            <w:tcBorders>
              <w:bottom w:val="single" w:sz="6" w:space="0" w:color="auto"/>
            </w:tcBorders>
            <w:shd w:val="clear" w:color="auto" w:fill="auto"/>
            <w:noWrap/>
            <w:vAlign w:val="bottom"/>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Personnels infirmiers associés</w:t>
            </w:r>
          </w:p>
        </w:tc>
        <w:tc>
          <w:tcPr>
            <w:tcW w:w="1047" w:type="dxa"/>
            <w:tcBorders>
              <w:bottom w:val="single" w:sz="6" w:space="0" w:color="auto"/>
            </w:tcBorders>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1 948</w:t>
            </w:r>
          </w:p>
        </w:tc>
        <w:tc>
          <w:tcPr>
            <w:tcW w:w="1047" w:type="dxa"/>
            <w:tcBorders>
              <w:bottom w:val="single" w:sz="6" w:space="0" w:color="auto"/>
            </w:tcBorders>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1 053</w:t>
            </w:r>
          </w:p>
        </w:tc>
        <w:tc>
          <w:tcPr>
            <w:tcW w:w="1047" w:type="dxa"/>
            <w:tcBorders>
              <w:bottom w:val="single" w:sz="6" w:space="0" w:color="auto"/>
            </w:tcBorders>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3 001</w:t>
            </w:r>
          </w:p>
        </w:tc>
        <w:tc>
          <w:tcPr>
            <w:tcW w:w="992" w:type="dxa"/>
            <w:tcBorders>
              <w:bottom w:val="single" w:sz="6" w:space="0" w:color="auto"/>
            </w:tcBorders>
            <w:shd w:val="clear" w:color="auto" w:fill="auto"/>
            <w:noWrap/>
            <w:vAlign w:val="bottom"/>
          </w:tcPr>
          <w:p w:rsidR="00A10274" w:rsidRDefault="00A10274">
            <w:pPr>
              <w:pStyle w:val="SingleTxtG"/>
              <w:suppressAutoHyphens w:val="0"/>
              <w:spacing w:before="40" w:after="40" w:line="240" w:lineRule="auto"/>
              <w:ind w:left="0" w:right="0"/>
              <w:jc w:val="right"/>
              <w:rPr>
                <w:sz w:val="18"/>
                <w:szCs w:val="18"/>
                <w:lang w:val="fr-CA"/>
              </w:rPr>
            </w:pPr>
            <w:r>
              <w:rPr>
                <w:sz w:val="18"/>
                <w:szCs w:val="18"/>
                <w:lang w:val="fr-CA"/>
              </w:rPr>
              <w:t>64,9</w:t>
            </w:r>
          </w:p>
        </w:tc>
      </w:tr>
      <w:tr w:rsidR="00A10274">
        <w:trPr>
          <w:trHeight w:val="240"/>
          <w:jc w:val="center"/>
        </w:trPr>
        <w:tc>
          <w:tcPr>
            <w:tcW w:w="538" w:type="dxa"/>
            <w:tcBorders>
              <w:top w:val="single" w:sz="6" w:space="0" w:color="auto"/>
              <w:bottom w:val="single" w:sz="12" w:space="0" w:color="auto"/>
            </w:tcBorders>
            <w:shd w:val="clear" w:color="auto" w:fill="auto"/>
            <w:noWrap/>
          </w:tcPr>
          <w:p w:rsidR="00A10274" w:rsidRDefault="00A10274">
            <w:pPr>
              <w:pStyle w:val="SingleTxtG"/>
              <w:suppressAutoHyphens w:val="0"/>
              <w:spacing w:before="80" w:after="80" w:line="240" w:lineRule="auto"/>
              <w:ind w:left="0" w:right="0"/>
              <w:jc w:val="left"/>
              <w:rPr>
                <w:b/>
                <w:sz w:val="18"/>
                <w:szCs w:val="18"/>
                <w:lang w:val="fr-CA"/>
              </w:rPr>
            </w:pPr>
            <w:r>
              <w:rPr>
                <w:b/>
                <w:sz w:val="18"/>
                <w:szCs w:val="18"/>
                <w:lang w:val="fr-CA"/>
              </w:rPr>
              <w:t> </w:t>
            </w:r>
          </w:p>
        </w:tc>
        <w:tc>
          <w:tcPr>
            <w:tcW w:w="2687"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0" w:right="0"/>
              <w:jc w:val="left"/>
              <w:rPr>
                <w:b/>
                <w:sz w:val="18"/>
                <w:szCs w:val="18"/>
                <w:lang w:val="fr-CA"/>
              </w:rPr>
            </w:pPr>
            <w:r>
              <w:rPr>
                <w:b/>
                <w:sz w:val="18"/>
                <w:szCs w:val="18"/>
                <w:lang w:val="fr-CA"/>
              </w:rPr>
              <w:t>Total</w:t>
            </w:r>
          </w:p>
        </w:tc>
        <w:tc>
          <w:tcPr>
            <w:tcW w:w="1047"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0" w:right="0"/>
              <w:jc w:val="right"/>
              <w:rPr>
                <w:b/>
                <w:sz w:val="18"/>
                <w:szCs w:val="18"/>
                <w:lang w:val="fr-CA"/>
              </w:rPr>
            </w:pPr>
            <w:r>
              <w:rPr>
                <w:b/>
                <w:sz w:val="18"/>
                <w:szCs w:val="18"/>
                <w:lang w:val="fr-CA"/>
              </w:rPr>
              <w:t>2 763</w:t>
            </w:r>
          </w:p>
        </w:tc>
        <w:tc>
          <w:tcPr>
            <w:tcW w:w="1047"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0" w:right="0"/>
              <w:jc w:val="right"/>
              <w:rPr>
                <w:b/>
                <w:sz w:val="18"/>
                <w:szCs w:val="18"/>
                <w:lang w:val="fr-CA"/>
              </w:rPr>
            </w:pPr>
            <w:r>
              <w:rPr>
                <w:b/>
                <w:sz w:val="18"/>
                <w:szCs w:val="18"/>
                <w:lang w:val="fr-CA"/>
              </w:rPr>
              <w:t>2 667</w:t>
            </w:r>
          </w:p>
        </w:tc>
        <w:tc>
          <w:tcPr>
            <w:tcW w:w="1047"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0" w:right="0"/>
              <w:jc w:val="right"/>
              <w:rPr>
                <w:b/>
                <w:sz w:val="18"/>
                <w:szCs w:val="18"/>
                <w:lang w:val="fr-CA"/>
              </w:rPr>
            </w:pPr>
            <w:r>
              <w:rPr>
                <w:b/>
                <w:sz w:val="18"/>
                <w:szCs w:val="18"/>
                <w:lang w:val="fr-CA"/>
              </w:rPr>
              <w:t>5 430</w:t>
            </w:r>
          </w:p>
        </w:tc>
        <w:tc>
          <w:tcPr>
            <w:tcW w:w="992"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0" w:right="0"/>
              <w:jc w:val="right"/>
              <w:rPr>
                <w:b/>
                <w:sz w:val="18"/>
                <w:szCs w:val="18"/>
                <w:lang w:val="fr-CA"/>
              </w:rPr>
            </w:pPr>
            <w:r>
              <w:rPr>
                <w:b/>
                <w:sz w:val="18"/>
                <w:szCs w:val="18"/>
                <w:lang w:val="fr-CA"/>
              </w:rPr>
              <w:t>50,9</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rPr>
          <w:lang w:val="fr-CA"/>
        </w:rPr>
      </w:pPr>
      <w:r>
        <w:rPr>
          <w:lang w:val="fr-CA"/>
        </w:rPr>
        <w:t>63</w:t>
      </w:r>
      <w:r>
        <w:rPr>
          <w:lang w:val="fr-CA"/>
        </w:rPr>
        <w:tab/>
        <w:t>Les femmes sont présentes à tous les niveaux de la profession sanitaire, sauf à celui de Directeur général. Le Ministre de la santé est une femme et les femmes constituent 50,9 % du personnel du Ministère. Pourtant, le tableau 26 montre que la majorité des employées se trouvent dans la catégorie des personnels infirmiers, avec 90,8 % du nombre total de femmes du ministère. Les femmes docteurs sont 16,7 % et les spécialistes 20,8 %.</w:t>
      </w:r>
    </w:p>
    <w:p w:rsidR="00A10274" w:rsidRDefault="00A10274">
      <w:pPr>
        <w:pStyle w:val="SingleTxt"/>
        <w:rPr>
          <w:lang w:val="fr-CA"/>
        </w:rPr>
      </w:pPr>
      <w:r>
        <w:rPr>
          <w:lang w:val="fr-CA"/>
        </w:rPr>
        <w:t>64.</w:t>
      </w:r>
      <w:r>
        <w:rPr>
          <w:lang w:val="fr-CA"/>
        </w:rPr>
        <w:tab/>
        <w:t>Le Gouvernement n’a pas ménagé ses efforts pour améliorer la qualité et l’accès des services de santé pour les citoyens dans l’ensemble du pays. Outre l’expansion des équipements de prestations de services de santé, la main-d’œuvre engagée dans le secteur de la santé a augmenté année après année, résultat obtenu par la formation des divers professionnels dans le pays et l’appel à des professionnels expatriés.</w:t>
      </w:r>
    </w:p>
    <w:p w:rsidR="00A10274" w:rsidRDefault="00A10274">
      <w:pPr>
        <w:pStyle w:val="SingleTxt"/>
        <w:rPr>
          <w:lang w:val="fr-CA"/>
        </w:rPr>
      </w:pPr>
      <w:r>
        <w:rPr>
          <w:lang w:val="fr-CA"/>
        </w:rPr>
        <w:t>65.</w:t>
      </w:r>
      <w:r>
        <w:rPr>
          <w:lang w:val="fr-CA"/>
        </w:rPr>
        <w:tab/>
        <w:t>Les trois principales causes de mortalité infantile (moins d’un an) en 2010 ont été la pneumonie grave, la septicémie et la malnutrition. En 2013, la pneumonie grave et la septicémie ont continué à être les deux causes principales, la septicémie néonatale venant en troisième place.</w:t>
      </w:r>
    </w:p>
    <w:p w:rsidR="00A10274" w:rsidRDefault="00A10274">
      <w:pPr>
        <w:pStyle w:val="SingleTxt"/>
        <w:rPr>
          <w:lang w:val="fr-CA"/>
        </w:rPr>
      </w:pPr>
      <w:r>
        <w:rPr>
          <w:lang w:val="fr-CA"/>
        </w:rPr>
        <w:t>66.</w:t>
      </w:r>
      <w:r>
        <w:rPr>
          <w:lang w:val="fr-CA"/>
        </w:rPr>
        <w:tab/>
        <w:t>Néanmoins, hormis les changements intermittents dans le classement de certaines causes d’une année sur l’autre, les dix causes majeures de mortalité parmi les moins d’un an en établissements de santé sont restées les mêmes, à savoir la pneumonie grave, la septicémie, la septicémie néonatale, la diarrhée et la déshydratation, la malnutrition, l’insuffisance pondérale à la naissance et l’hypoxie/asphyxie intra-utérine.</w:t>
      </w:r>
    </w:p>
    <w:p w:rsidR="00A10274" w:rsidRDefault="00A10274">
      <w:pPr>
        <w:pStyle w:val="SingleTxt"/>
        <w:rPr>
          <w:lang w:val="fr-CA"/>
        </w:rPr>
      </w:pPr>
      <w:r>
        <w:rPr>
          <w:lang w:val="fr-CA"/>
        </w:rPr>
        <w:t>67.</w:t>
      </w:r>
      <w:r>
        <w:rPr>
          <w:lang w:val="fr-CA"/>
        </w:rPr>
        <w:tab/>
        <w:t>En 2010, la pneumonie grave et la septicémie représentaient 43 % des décès des moins d’un an. Les mêmes deux maladies en représentaient 36,2 % en 2012. D’une manière générale, le nombre de décès chez les moins d’un an était moins élevé en 2012 qu’en 2010.</w:t>
      </w:r>
    </w:p>
    <w:p w:rsidR="00A10274" w:rsidRDefault="00A10274">
      <w:pPr>
        <w:pStyle w:val="SingleTxt"/>
        <w:rPr>
          <w:lang w:val="fr-CA"/>
        </w:rPr>
      </w:pPr>
      <w:r>
        <w:rPr>
          <w:lang w:val="fr-CA"/>
        </w:rPr>
        <w:t>68.</w:t>
      </w:r>
      <w:r>
        <w:rPr>
          <w:lang w:val="fr-CA"/>
        </w:rPr>
        <w:tab/>
        <w:t>Chez les moins de 5 ans, la pneumonie grave et la malnutrition étaient les principales causes de décès en 2010 comme en 2012. Pour ces deux années, ces ceux causes représentaient 30 % des décès chez les moins de cinq ans.</w:t>
      </w:r>
    </w:p>
    <w:p w:rsidR="00A10274" w:rsidRDefault="00A10274">
      <w:pPr>
        <w:pStyle w:val="SingleTxt"/>
        <w:rPr>
          <w:lang w:val="fr-CA"/>
        </w:rPr>
      </w:pPr>
      <w:r>
        <w:rPr>
          <w:lang w:val="fr-CA"/>
        </w:rPr>
        <w:t>69.</w:t>
      </w:r>
      <w:r>
        <w:rPr>
          <w:lang w:val="fr-CA"/>
        </w:rPr>
        <w:tab/>
        <w:t xml:space="preserve">Les autres causes de décès chez les moins de 5 ans étaient le marasme, la diarrhée et le kwashiorkor. À la différence des décès chez les moins d’un an, les maladies liées à la malnutrition prédominent dans les décès des moins de 5 ans. </w:t>
      </w:r>
    </w:p>
    <w:p w:rsidR="00A10274" w:rsidRDefault="00A10274">
      <w:pPr>
        <w:pStyle w:val="SingleTxt"/>
        <w:rPr>
          <w:lang w:val="fr-CA"/>
        </w:rPr>
      </w:pPr>
      <w:r>
        <w:rPr>
          <w:lang w:val="fr-CA"/>
        </w:rPr>
        <w:t>70.</w:t>
      </w:r>
      <w:r>
        <w:rPr>
          <w:lang w:val="fr-CA"/>
        </w:rPr>
        <w:tab/>
        <w:t>La pratique générale des différentes méthodes de contraception comme le montre le tableau 37 indique une tendance à la baisse de 2010 à 2012. Par rapport à 2010, il y a eu une chute de 44,5% dans l’utilisation des contraceptifs en 2012.</w:t>
      </w:r>
    </w:p>
    <w:p w:rsidR="00A10274" w:rsidRDefault="00A10274">
      <w:pPr>
        <w:pStyle w:val="SingleTxt"/>
        <w:rPr>
          <w:lang w:val="fr-CA"/>
        </w:rPr>
      </w:pPr>
      <w:r>
        <w:rPr>
          <w:lang w:val="fr-CA"/>
        </w:rPr>
        <w:t>71.</w:t>
      </w:r>
      <w:r>
        <w:rPr>
          <w:lang w:val="fr-CA"/>
        </w:rPr>
        <w:tab/>
        <w:t>La chute la plus significative dans l’utilisation des contraceptifs s’est produite dans les préservatifs masculins, dont le nombre d’utilisateurs est tombé de 15 136 en 2010 à 5 858 en 2012. Par contre, la pratique de l’injection est en hausse. La raison de cette tendance n’est pas explicable, mais elle peut être due à un comportement de relâchement suite au recul du VIH/sida dans le pays.</w:t>
      </w:r>
    </w:p>
    <w:p w:rsidR="00A10274" w:rsidRDefault="00A10274">
      <w:pPr>
        <w:pStyle w:val="SingleTxt"/>
        <w:rPr>
          <w:lang w:val="fr-CA"/>
        </w:rPr>
      </w:pPr>
      <w:r>
        <w:rPr>
          <w:lang w:val="fr-CA"/>
        </w:rPr>
        <w:t>72.</w:t>
      </w:r>
      <w:r>
        <w:rPr>
          <w:lang w:val="fr-CA"/>
        </w:rPr>
        <w:tab/>
        <w:t>D’après l’enquête sur la population et la santé en Érythrée (EPHS 2010), l’utilisation de tous moyens de contraception chez les femmes de 15 à 49 ans a été de 5,5 %, dont 4,7 % utilisaient les méthodes modernes. La pratique de toutes méthodes de contraception chez les femmes mariées était de 8,0 %. Près d’un tiers (31,6 %) des femmes non mariées sexuellement actives pratiquent une forme quelconque de contraception.</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27</w:t>
      </w:r>
      <w:r>
        <w:rPr>
          <w:lang w:val="fr-CA"/>
        </w:rPr>
        <w:br/>
        <w:t>Répartition des cas de cancer chez les femmes par type de cancer</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6946" w:type="dxa"/>
        <w:tblInd w:w="1276" w:type="dxa"/>
        <w:tblBorders>
          <w:top w:val="single" w:sz="4" w:space="0" w:color="auto"/>
        </w:tblBorders>
        <w:tblLayout w:type="fixed"/>
        <w:tblCellMar>
          <w:left w:w="0" w:type="dxa"/>
          <w:right w:w="0" w:type="dxa"/>
        </w:tblCellMar>
        <w:tblLook w:val="04A0"/>
      </w:tblPr>
      <w:tblGrid>
        <w:gridCol w:w="3544"/>
        <w:gridCol w:w="850"/>
        <w:gridCol w:w="851"/>
        <w:gridCol w:w="850"/>
        <w:gridCol w:w="851"/>
      </w:tblGrid>
      <w:tr w:rsidR="00A10274">
        <w:trPr>
          <w:trHeight w:val="300"/>
          <w:tblHeader/>
        </w:trPr>
        <w:tc>
          <w:tcPr>
            <w:tcW w:w="3544" w:type="dxa"/>
            <w:tcBorders>
              <w:top w:val="single" w:sz="4" w:space="0" w:color="auto"/>
              <w:bottom w:val="single" w:sz="12" w:space="0" w:color="auto"/>
            </w:tcBorders>
            <w:shd w:val="clear" w:color="auto" w:fill="auto"/>
            <w:noWrap/>
            <w:vAlign w:val="bottom"/>
          </w:tcPr>
          <w:p w:rsidR="00A10274" w:rsidRDefault="00A10274">
            <w:pPr>
              <w:pStyle w:val="SingleTxtG"/>
              <w:keepNext/>
              <w:suppressAutoHyphens w:val="0"/>
              <w:spacing w:before="80" w:after="80" w:line="240" w:lineRule="auto"/>
              <w:ind w:left="0" w:right="0"/>
              <w:jc w:val="left"/>
              <w:rPr>
                <w:i/>
                <w:sz w:val="14"/>
                <w:szCs w:val="14"/>
                <w:lang w:val="fr-CA"/>
              </w:rPr>
            </w:pPr>
            <w:r>
              <w:rPr>
                <w:i/>
                <w:sz w:val="14"/>
                <w:szCs w:val="14"/>
                <w:lang w:val="fr-CA"/>
              </w:rPr>
              <w:t>Type</w:t>
            </w:r>
          </w:p>
        </w:tc>
        <w:tc>
          <w:tcPr>
            <w:tcW w:w="850" w:type="dxa"/>
            <w:tcBorders>
              <w:top w:val="single" w:sz="4" w:space="0" w:color="auto"/>
              <w:bottom w:val="single" w:sz="12" w:space="0" w:color="auto"/>
            </w:tcBorders>
            <w:shd w:val="clear" w:color="auto" w:fill="auto"/>
            <w:noWrap/>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2010</w:t>
            </w:r>
          </w:p>
        </w:tc>
        <w:tc>
          <w:tcPr>
            <w:tcW w:w="851" w:type="dxa"/>
            <w:tcBorders>
              <w:top w:val="single" w:sz="4" w:space="0" w:color="auto"/>
              <w:bottom w:val="single" w:sz="12" w:space="0" w:color="auto"/>
            </w:tcBorders>
            <w:shd w:val="clear" w:color="auto" w:fill="auto"/>
            <w:noWrap/>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2011</w:t>
            </w:r>
          </w:p>
        </w:tc>
        <w:tc>
          <w:tcPr>
            <w:tcW w:w="850" w:type="dxa"/>
            <w:tcBorders>
              <w:top w:val="single" w:sz="4" w:space="0" w:color="auto"/>
              <w:bottom w:val="single" w:sz="12" w:space="0" w:color="auto"/>
            </w:tcBorders>
            <w:shd w:val="clear" w:color="auto" w:fill="auto"/>
            <w:noWrap/>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2012</w:t>
            </w:r>
          </w:p>
        </w:tc>
        <w:tc>
          <w:tcPr>
            <w:tcW w:w="851" w:type="dxa"/>
            <w:tcBorders>
              <w:top w:val="single" w:sz="4" w:space="0" w:color="auto"/>
              <w:bottom w:val="single" w:sz="12" w:space="0" w:color="auto"/>
            </w:tcBorders>
            <w:shd w:val="clear" w:color="auto" w:fill="auto"/>
            <w:noWrap/>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Total</w:t>
            </w:r>
          </w:p>
        </w:tc>
      </w:tr>
      <w:tr w:rsidR="00A10274">
        <w:trPr>
          <w:trHeight w:val="300"/>
        </w:trPr>
        <w:tc>
          <w:tcPr>
            <w:tcW w:w="3544" w:type="dxa"/>
            <w:tcBorders>
              <w:top w:val="single" w:sz="12" w:space="0" w:color="auto"/>
            </w:tcBorders>
            <w:shd w:val="clear" w:color="auto" w:fill="auto"/>
          </w:tcPr>
          <w:p w:rsidR="00A10274" w:rsidRDefault="00A10274">
            <w:pPr>
              <w:pStyle w:val="SingleTxtG"/>
              <w:keepNext/>
              <w:suppressAutoHyphens w:val="0"/>
              <w:spacing w:before="40" w:after="40" w:line="240" w:lineRule="auto"/>
              <w:ind w:left="0" w:right="0"/>
              <w:jc w:val="left"/>
              <w:rPr>
                <w:sz w:val="18"/>
                <w:szCs w:val="18"/>
                <w:lang w:val="fr-CA"/>
              </w:rPr>
            </w:pPr>
            <w:r>
              <w:rPr>
                <w:sz w:val="18"/>
                <w:szCs w:val="18"/>
                <w:lang w:val="fr-CA"/>
              </w:rPr>
              <w:t>Néoplasme malin du sein</w:t>
            </w:r>
          </w:p>
        </w:tc>
        <w:tc>
          <w:tcPr>
            <w:tcW w:w="850" w:type="dxa"/>
            <w:tcBorders>
              <w:top w:val="single" w:sz="12"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232</w:t>
            </w:r>
          </w:p>
        </w:tc>
        <w:tc>
          <w:tcPr>
            <w:tcW w:w="851" w:type="dxa"/>
            <w:tcBorders>
              <w:top w:val="single" w:sz="12"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235</w:t>
            </w:r>
          </w:p>
        </w:tc>
        <w:tc>
          <w:tcPr>
            <w:tcW w:w="850" w:type="dxa"/>
            <w:tcBorders>
              <w:top w:val="single" w:sz="12"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219</w:t>
            </w:r>
          </w:p>
        </w:tc>
        <w:tc>
          <w:tcPr>
            <w:tcW w:w="851" w:type="dxa"/>
            <w:tcBorders>
              <w:top w:val="single" w:sz="12" w:space="0" w:color="auto"/>
            </w:tcBorders>
            <w:shd w:val="clear" w:color="auto" w:fill="auto"/>
            <w:noWrap/>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686</w:t>
            </w:r>
          </w:p>
        </w:tc>
      </w:tr>
      <w:tr w:rsidR="00A10274">
        <w:trPr>
          <w:trHeight w:val="300"/>
        </w:trPr>
        <w:tc>
          <w:tcPr>
            <w:tcW w:w="3544"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Néoplasme malin du col de l’utérus</w:t>
            </w:r>
          </w:p>
        </w:tc>
        <w:tc>
          <w:tcPr>
            <w:tcW w:w="8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94</w:t>
            </w:r>
          </w:p>
        </w:tc>
        <w:tc>
          <w:tcPr>
            <w:tcW w:w="85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108</w:t>
            </w:r>
          </w:p>
        </w:tc>
        <w:tc>
          <w:tcPr>
            <w:tcW w:w="8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111</w:t>
            </w:r>
          </w:p>
        </w:tc>
        <w:tc>
          <w:tcPr>
            <w:tcW w:w="851"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313</w:t>
            </w:r>
          </w:p>
        </w:tc>
      </w:tr>
      <w:tr w:rsidR="00A10274">
        <w:trPr>
          <w:trHeight w:val="300"/>
        </w:trPr>
        <w:tc>
          <w:tcPr>
            <w:tcW w:w="3544"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 xml:space="preserve">Néoplasme malin d’autres parties de l’utérus </w:t>
            </w:r>
          </w:p>
        </w:tc>
        <w:tc>
          <w:tcPr>
            <w:tcW w:w="8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45</w:t>
            </w:r>
          </w:p>
        </w:tc>
        <w:tc>
          <w:tcPr>
            <w:tcW w:w="85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32</w:t>
            </w:r>
          </w:p>
        </w:tc>
        <w:tc>
          <w:tcPr>
            <w:tcW w:w="8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16</w:t>
            </w:r>
          </w:p>
        </w:tc>
        <w:tc>
          <w:tcPr>
            <w:tcW w:w="851"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93</w:t>
            </w:r>
          </w:p>
        </w:tc>
      </w:tr>
      <w:tr w:rsidR="00A10274">
        <w:trPr>
          <w:trHeight w:val="300"/>
        </w:trPr>
        <w:tc>
          <w:tcPr>
            <w:tcW w:w="3544"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Néoplasme bénin du sein</w:t>
            </w:r>
          </w:p>
        </w:tc>
        <w:tc>
          <w:tcPr>
            <w:tcW w:w="8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174</w:t>
            </w:r>
          </w:p>
        </w:tc>
        <w:tc>
          <w:tcPr>
            <w:tcW w:w="85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164</w:t>
            </w:r>
          </w:p>
        </w:tc>
        <w:tc>
          <w:tcPr>
            <w:tcW w:w="8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161</w:t>
            </w:r>
          </w:p>
        </w:tc>
        <w:tc>
          <w:tcPr>
            <w:tcW w:w="851" w:type="dxa"/>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499</w:t>
            </w:r>
          </w:p>
        </w:tc>
      </w:tr>
      <w:tr w:rsidR="00A10274">
        <w:trPr>
          <w:trHeight w:val="300"/>
        </w:trPr>
        <w:tc>
          <w:tcPr>
            <w:tcW w:w="3544" w:type="dxa"/>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Léiomyome de l’utérus</w:t>
            </w:r>
          </w:p>
        </w:tc>
        <w:tc>
          <w:tcPr>
            <w:tcW w:w="850"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522</w:t>
            </w:r>
          </w:p>
        </w:tc>
        <w:tc>
          <w:tcPr>
            <w:tcW w:w="851"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699</w:t>
            </w:r>
          </w:p>
        </w:tc>
        <w:tc>
          <w:tcPr>
            <w:tcW w:w="850"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631</w:t>
            </w:r>
          </w:p>
        </w:tc>
        <w:tc>
          <w:tcPr>
            <w:tcW w:w="851" w:type="dxa"/>
            <w:tcBorders>
              <w:bottom w:val="single" w:sz="12" w:space="0" w:color="auto"/>
            </w:tcBorders>
            <w:shd w:val="clear" w:color="auto" w:fill="auto"/>
            <w:noWrap/>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1 852</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numPr>
          <w:ilvl w:val="0"/>
          <w:numId w:val="4"/>
        </w:numPr>
        <w:rPr>
          <w:lang w:val="fr-CA"/>
        </w:rPr>
      </w:pPr>
      <w:r>
        <w:rPr>
          <w:lang w:val="fr-CA"/>
        </w:rPr>
        <w:t>Le néoplasme malin du sein a été le type dominant du cancer chez les femmes tout au long de la période 2010-2012. Venait ensuite le néoplasme malin du col du l’utérus, suivi par le néoplasme malin d’autres parties de l’utérus et le léiomyome de l’utérus. L’incidence total annuel du cancer chez les femmes pendant la période considérée a reculé, pour tombait à 352 cas enregistrés en 2012. Le Ministère de la santé s’emploie à freiner l’incidence de cette maladie mortelle et il a entrepris d’établir un centre de traitement du cancer dans le pays.</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28</w:t>
      </w:r>
      <w:r>
        <w:rPr>
          <w:lang w:val="fr-CA"/>
        </w:rPr>
        <w:br/>
        <w:t>Cas relatifs à l’avortement</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6946" w:type="dxa"/>
        <w:tblInd w:w="1276" w:type="dxa"/>
        <w:tblBorders>
          <w:top w:val="single" w:sz="4" w:space="0" w:color="auto"/>
        </w:tblBorders>
        <w:tblLayout w:type="fixed"/>
        <w:tblCellMar>
          <w:left w:w="0" w:type="dxa"/>
          <w:right w:w="0" w:type="dxa"/>
        </w:tblCellMar>
        <w:tblLook w:val="04A0"/>
      </w:tblPr>
      <w:tblGrid>
        <w:gridCol w:w="3544"/>
        <w:gridCol w:w="850"/>
        <w:gridCol w:w="851"/>
        <w:gridCol w:w="850"/>
        <w:gridCol w:w="851"/>
      </w:tblGrid>
      <w:tr w:rsidR="00A10274">
        <w:trPr>
          <w:trHeight w:val="300"/>
          <w:tblHeader/>
        </w:trPr>
        <w:tc>
          <w:tcPr>
            <w:tcW w:w="3544" w:type="dxa"/>
            <w:tcBorders>
              <w:top w:val="single" w:sz="4" w:space="0" w:color="auto"/>
              <w:bottom w:val="single" w:sz="12" w:space="0" w:color="auto"/>
            </w:tcBorders>
            <w:shd w:val="clear" w:color="auto" w:fill="auto"/>
            <w:noWrap/>
            <w:vAlign w:val="bottom"/>
          </w:tcPr>
          <w:p w:rsidR="00A10274" w:rsidRDefault="00A10274">
            <w:pPr>
              <w:pStyle w:val="SingleTxtG"/>
              <w:keepNext/>
              <w:suppressAutoHyphens w:val="0"/>
              <w:spacing w:before="80" w:after="80" w:line="240" w:lineRule="auto"/>
              <w:ind w:left="0" w:right="0"/>
              <w:jc w:val="left"/>
              <w:rPr>
                <w:i/>
                <w:sz w:val="14"/>
                <w:szCs w:val="14"/>
                <w:lang w:val="fr-CA"/>
              </w:rPr>
            </w:pPr>
            <w:r>
              <w:rPr>
                <w:i/>
                <w:sz w:val="14"/>
                <w:szCs w:val="14"/>
                <w:lang w:val="fr-CA"/>
              </w:rPr>
              <w:t>Type</w:t>
            </w:r>
          </w:p>
        </w:tc>
        <w:tc>
          <w:tcPr>
            <w:tcW w:w="850" w:type="dxa"/>
            <w:tcBorders>
              <w:top w:val="single" w:sz="4" w:space="0" w:color="auto"/>
              <w:bottom w:val="single" w:sz="12" w:space="0" w:color="auto"/>
            </w:tcBorders>
            <w:shd w:val="clear" w:color="auto" w:fill="auto"/>
            <w:noWrap/>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2010</w:t>
            </w:r>
          </w:p>
        </w:tc>
        <w:tc>
          <w:tcPr>
            <w:tcW w:w="851" w:type="dxa"/>
            <w:tcBorders>
              <w:top w:val="single" w:sz="4" w:space="0" w:color="auto"/>
              <w:bottom w:val="single" w:sz="12" w:space="0" w:color="auto"/>
            </w:tcBorders>
            <w:shd w:val="clear" w:color="auto" w:fill="auto"/>
            <w:noWrap/>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2011</w:t>
            </w:r>
          </w:p>
        </w:tc>
        <w:tc>
          <w:tcPr>
            <w:tcW w:w="850" w:type="dxa"/>
            <w:tcBorders>
              <w:top w:val="single" w:sz="4" w:space="0" w:color="auto"/>
              <w:bottom w:val="single" w:sz="12" w:space="0" w:color="auto"/>
            </w:tcBorders>
            <w:shd w:val="clear" w:color="auto" w:fill="auto"/>
            <w:noWrap/>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2012</w:t>
            </w:r>
          </w:p>
        </w:tc>
        <w:tc>
          <w:tcPr>
            <w:tcW w:w="851" w:type="dxa"/>
            <w:tcBorders>
              <w:top w:val="single" w:sz="4" w:space="0" w:color="auto"/>
              <w:bottom w:val="single" w:sz="12" w:space="0" w:color="auto"/>
            </w:tcBorders>
            <w:shd w:val="clear" w:color="auto" w:fill="auto"/>
            <w:noWrap/>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Total</w:t>
            </w:r>
          </w:p>
        </w:tc>
      </w:tr>
      <w:tr w:rsidR="00A10274">
        <w:trPr>
          <w:trHeight w:val="300"/>
        </w:trPr>
        <w:tc>
          <w:tcPr>
            <w:tcW w:w="3544"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Avortement spontané sans complications</w:t>
            </w:r>
          </w:p>
        </w:tc>
        <w:tc>
          <w:tcPr>
            <w:tcW w:w="85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1 077</w:t>
            </w:r>
          </w:p>
        </w:tc>
        <w:tc>
          <w:tcPr>
            <w:tcW w:w="851"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1 328</w:t>
            </w:r>
          </w:p>
        </w:tc>
        <w:tc>
          <w:tcPr>
            <w:tcW w:w="85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1 233</w:t>
            </w:r>
          </w:p>
        </w:tc>
        <w:tc>
          <w:tcPr>
            <w:tcW w:w="851"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3 638</w:t>
            </w:r>
          </w:p>
        </w:tc>
      </w:tr>
      <w:tr w:rsidR="00A10274">
        <w:trPr>
          <w:trHeight w:val="300"/>
        </w:trPr>
        <w:tc>
          <w:tcPr>
            <w:tcW w:w="3544"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Avortement risqué</w:t>
            </w:r>
          </w:p>
        </w:tc>
        <w:tc>
          <w:tcPr>
            <w:tcW w:w="8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1 615</w:t>
            </w:r>
          </w:p>
        </w:tc>
        <w:tc>
          <w:tcPr>
            <w:tcW w:w="85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1 629</w:t>
            </w:r>
          </w:p>
        </w:tc>
        <w:tc>
          <w:tcPr>
            <w:tcW w:w="8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1 342</w:t>
            </w:r>
          </w:p>
        </w:tc>
        <w:tc>
          <w:tcPr>
            <w:tcW w:w="85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1 342</w:t>
            </w:r>
          </w:p>
        </w:tc>
      </w:tr>
      <w:tr w:rsidR="00A10274">
        <w:trPr>
          <w:trHeight w:val="300"/>
        </w:trPr>
        <w:tc>
          <w:tcPr>
            <w:tcW w:w="3544"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Avortement spontané compliqué avec infection</w:t>
            </w:r>
          </w:p>
        </w:tc>
        <w:tc>
          <w:tcPr>
            <w:tcW w:w="8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2 806</w:t>
            </w:r>
          </w:p>
        </w:tc>
        <w:tc>
          <w:tcPr>
            <w:tcW w:w="85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3 179</w:t>
            </w:r>
          </w:p>
        </w:tc>
        <w:tc>
          <w:tcPr>
            <w:tcW w:w="8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2 968</w:t>
            </w:r>
          </w:p>
        </w:tc>
        <w:tc>
          <w:tcPr>
            <w:tcW w:w="85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2 968</w:t>
            </w:r>
          </w:p>
        </w:tc>
      </w:tr>
      <w:tr w:rsidR="00A10274">
        <w:trPr>
          <w:trHeight w:val="300"/>
        </w:trPr>
        <w:tc>
          <w:tcPr>
            <w:tcW w:w="3544"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 xml:space="preserve">Soins d’avortement avec réception de contraceptifs </w:t>
            </w:r>
          </w:p>
        </w:tc>
        <w:tc>
          <w:tcPr>
            <w:tcW w:w="8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w:t>
            </w:r>
          </w:p>
        </w:tc>
        <w:tc>
          <w:tcPr>
            <w:tcW w:w="85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278</w:t>
            </w:r>
          </w:p>
        </w:tc>
        <w:tc>
          <w:tcPr>
            <w:tcW w:w="8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325</w:t>
            </w:r>
          </w:p>
        </w:tc>
        <w:tc>
          <w:tcPr>
            <w:tcW w:w="85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608</w:t>
            </w:r>
          </w:p>
        </w:tc>
      </w:tr>
      <w:tr w:rsidR="00A10274">
        <w:trPr>
          <w:trHeight w:val="300"/>
        </w:trPr>
        <w:tc>
          <w:tcPr>
            <w:tcW w:w="3544"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Avortement médical</w:t>
            </w:r>
          </w:p>
        </w:tc>
        <w:tc>
          <w:tcPr>
            <w:tcW w:w="8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93</w:t>
            </w:r>
          </w:p>
        </w:tc>
        <w:tc>
          <w:tcPr>
            <w:tcW w:w="85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35</w:t>
            </w:r>
          </w:p>
        </w:tc>
        <w:tc>
          <w:tcPr>
            <w:tcW w:w="8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36</w:t>
            </w:r>
          </w:p>
        </w:tc>
        <w:tc>
          <w:tcPr>
            <w:tcW w:w="85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164</w:t>
            </w:r>
          </w:p>
        </w:tc>
      </w:tr>
      <w:tr w:rsidR="00A10274">
        <w:trPr>
          <w:trHeight w:val="300"/>
        </w:trPr>
        <w:tc>
          <w:tcPr>
            <w:tcW w:w="3544" w:type="dxa"/>
            <w:tcBorders>
              <w:bottom w:val="single" w:sz="6"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Autres cas de grossesse finissant en avortement</w:t>
            </w:r>
          </w:p>
        </w:tc>
        <w:tc>
          <w:tcPr>
            <w:tcW w:w="850"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793</w:t>
            </w:r>
          </w:p>
        </w:tc>
        <w:tc>
          <w:tcPr>
            <w:tcW w:w="851"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740</w:t>
            </w:r>
          </w:p>
        </w:tc>
        <w:tc>
          <w:tcPr>
            <w:tcW w:w="850"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532</w:t>
            </w:r>
          </w:p>
        </w:tc>
        <w:tc>
          <w:tcPr>
            <w:tcW w:w="851"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2 065</w:t>
            </w:r>
          </w:p>
        </w:tc>
      </w:tr>
      <w:tr w:rsidR="00A10274">
        <w:trPr>
          <w:trHeight w:val="300"/>
        </w:trPr>
        <w:tc>
          <w:tcPr>
            <w:tcW w:w="3544" w:type="dxa"/>
            <w:tcBorders>
              <w:top w:val="single" w:sz="6" w:space="0" w:color="auto"/>
              <w:bottom w:val="single" w:sz="12" w:space="0" w:color="auto"/>
            </w:tcBorders>
            <w:shd w:val="clear" w:color="auto" w:fill="auto"/>
            <w:noWrap/>
          </w:tcPr>
          <w:p w:rsidR="00A10274" w:rsidRDefault="00A10274">
            <w:pPr>
              <w:pStyle w:val="SingleTxtG"/>
              <w:suppressAutoHyphens w:val="0"/>
              <w:spacing w:before="80" w:after="80" w:line="240" w:lineRule="auto"/>
              <w:ind w:left="0" w:right="0"/>
              <w:jc w:val="left"/>
              <w:rPr>
                <w:b/>
                <w:sz w:val="18"/>
                <w:szCs w:val="18"/>
                <w:lang w:val="fr-CA"/>
              </w:rPr>
            </w:pPr>
            <w:r>
              <w:rPr>
                <w:b/>
                <w:sz w:val="18"/>
                <w:szCs w:val="18"/>
                <w:lang w:val="fr-CA"/>
              </w:rPr>
              <w:t>Total</w:t>
            </w:r>
          </w:p>
        </w:tc>
        <w:tc>
          <w:tcPr>
            <w:tcW w:w="850"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8 399</w:t>
            </w:r>
          </w:p>
        </w:tc>
        <w:tc>
          <w:tcPr>
            <w:tcW w:w="851"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9 200</w:t>
            </w:r>
          </w:p>
        </w:tc>
        <w:tc>
          <w:tcPr>
            <w:tcW w:w="850"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8 448</w:t>
            </w:r>
          </w:p>
        </w:tc>
        <w:tc>
          <w:tcPr>
            <w:tcW w:w="851" w:type="dxa"/>
            <w:tcBorders>
              <w:top w:val="single" w:sz="6" w:space="0" w:color="auto"/>
              <w:bottom w:val="single" w:sz="12" w:space="0" w:color="auto"/>
            </w:tcBorders>
            <w:shd w:val="clear" w:color="auto" w:fill="auto"/>
            <w:noWrap/>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26 047</w:t>
            </w:r>
          </w:p>
        </w:tc>
      </w:tr>
    </w:tbl>
    <w:p w:rsidR="00A10274" w:rsidRDefault="00A10274">
      <w:pPr>
        <w:pStyle w:val="SingleTxt"/>
        <w:tabs>
          <w:tab w:val="clear" w:pos="1267"/>
        </w:tabs>
        <w:spacing w:after="0" w:line="120" w:lineRule="exact"/>
        <w:ind w:left="1264"/>
        <w:rPr>
          <w:sz w:val="10"/>
          <w:lang w:val="fr-CA"/>
        </w:rPr>
      </w:pPr>
    </w:p>
    <w:p w:rsidR="00A10274" w:rsidRDefault="00A10274">
      <w:pPr>
        <w:pStyle w:val="SingleTxt"/>
        <w:tabs>
          <w:tab w:val="clear" w:pos="1267"/>
        </w:tabs>
        <w:spacing w:after="0" w:line="120" w:lineRule="exact"/>
        <w:ind w:left="1264"/>
        <w:rPr>
          <w:sz w:val="10"/>
          <w:lang w:val="fr-CA"/>
        </w:rPr>
      </w:pPr>
    </w:p>
    <w:p w:rsidR="00A10274" w:rsidRDefault="00A10274">
      <w:pPr>
        <w:pStyle w:val="SingleTxt"/>
        <w:tabs>
          <w:tab w:val="clear" w:pos="1267"/>
        </w:tabs>
        <w:spacing w:before="120"/>
        <w:ind w:left="1264"/>
        <w:rPr>
          <w:lang w:val="fr-CA"/>
        </w:rPr>
      </w:pPr>
      <w:r>
        <w:rPr>
          <w:lang w:val="fr-CA"/>
        </w:rPr>
        <w:t>74.</w:t>
      </w:r>
      <w:r>
        <w:rPr>
          <w:lang w:val="fr-CA"/>
        </w:rPr>
        <w:tab/>
        <w:t>Comme le montre le tableau 39, les cas annuels d’avortement dans les services de santé ont également marqué une baisse, surtout depuis 2011. Le type majeur d’avortement pour toute la période a été un avortement compliqué spontané avec infection, suivi par l’avortement risqué.</w:t>
      </w:r>
    </w:p>
    <w:p w:rsidR="00A10274" w:rsidRDefault="00A10274">
      <w:pPr>
        <w:pStyle w:val="SingleTxt"/>
        <w:tabs>
          <w:tab w:val="clear" w:pos="1267"/>
        </w:tabs>
        <w:spacing w:before="120"/>
        <w:ind w:left="1264"/>
        <w:rPr>
          <w:lang w:val="fr-CA"/>
        </w:rPr>
      </w:pPr>
      <w:r>
        <w:rPr>
          <w:lang w:val="fr-CA"/>
        </w:rPr>
        <w:t>75.</w:t>
      </w:r>
      <w:r>
        <w:rPr>
          <w:lang w:val="fr-CA"/>
        </w:rPr>
        <w:tab/>
        <w:t>Comme on l’a déjà dit, les lois érythréennes ne permettent pas l’avortement, sauf pour raisons de santé, pour cause d’inceste, de viol et de grossesse de mineures. C’est pourquoi les cas susmentionnés étaient des cas de nature médicale traités dans des établissements de santé.</w:t>
      </w:r>
    </w:p>
    <w:p w:rsidR="00A10274" w:rsidRDefault="00A10274">
      <w:pPr>
        <w:pStyle w:val="SingleTxt"/>
        <w:tabs>
          <w:tab w:val="clear" w:pos="1267"/>
        </w:tabs>
        <w:spacing w:after="0" w:line="120" w:lineRule="exact"/>
        <w:ind w:left="1264"/>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29</w:t>
      </w:r>
      <w:r>
        <w:rPr>
          <w:lang w:val="fr-CA"/>
        </w:rPr>
        <w:br/>
        <w:t xml:space="preserve">Taux d’incidence du VIH et des IST dans l’enquête de surveillance </w:t>
      </w:r>
      <w:r>
        <w:rPr>
          <w:lang w:val="fr-CA"/>
        </w:rPr>
        <w:br/>
        <w:t>du poste-sentinelle d’ANC Érythrée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37" w:type="dxa"/>
        <w:tblInd w:w="1276" w:type="dxa"/>
        <w:tblBorders>
          <w:top w:val="single" w:sz="4" w:space="0" w:color="auto"/>
        </w:tblBorders>
        <w:tblCellMar>
          <w:left w:w="0" w:type="dxa"/>
          <w:right w:w="0" w:type="dxa"/>
        </w:tblCellMar>
        <w:tblLook w:val="01E0"/>
      </w:tblPr>
      <w:tblGrid>
        <w:gridCol w:w="993"/>
        <w:gridCol w:w="3914"/>
        <w:gridCol w:w="2430"/>
      </w:tblGrid>
      <w:tr w:rsidR="00A10274">
        <w:trPr>
          <w:trHeight w:val="240"/>
          <w:tblHeader/>
        </w:trPr>
        <w:tc>
          <w:tcPr>
            <w:tcW w:w="993" w:type="dxa"/>
            <w:tcBorders>
              <w:top w:val="single" w:sz="4"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0" w:right="0"/>
              <w:jc w:val="left"/>
              <w:rPr>
                <w:i/>
                <w:sz w:val="14"/>
                <w:szCs w:val="14"/>
                <w:lang w:val="fr-CA"/>
              </w:rPr>
            </w:pPr>
            <w:r>
              <w:rPr>
                <w:i/>
                <w:sz w:val="14"/>
                <w:szCs w:val="14"/>
                <w:lang w:val="fr-CA"/>
              </w:rPr>
              <w:t>Année</w:t>
            </w:r>
          </w:p>
        </w:tc>
        <w:tc>
          <w:tcPr>
            <w:tcW w:w="3914" w:type="dxa"/>
            <w:tcBorders>
              <w:top w:val="single" w:sz="4"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VIH/sida</w:t>
            </w:r>
          </w:p>
        </w:tc>
        <w:tc>
          <w:tcPr>
            <w:tcW w:w="2430" w:type="dxa"/>
            <w:tcBorders>
              <w:top w:val="single" w:sz="4"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IST</w:t>
            </w:r>
          </w:p>
        </w:tc>
      </w:tr>
      <w:tr w:rsidR="00A10274">
        <w:trPr>
          <w:trHeight w:val="240"/>
        </w:trPr>
        <w:tc>
          <w:tcPr>
            <w:tcW w:w="993" w:type="dxa"/>
            <w:tcBorders>
              <w:top w:val="single" w:sz="12" w:space="0" w:color="auto"/>
            </w:tcBorders>
            <w:shd w:val="clear" w:color="auto" w:fill="auto"/>
          </w:tcPr>
          <w:p w:rsidR="00A10274" w:rsidRDefault="00A10274">
            <w:pPr>
              <w:pStyle w:val="SingleTxtG"/>
              <w:keepNext/>
              <w:suppressAutoHyphens w:val="0"/>
              <w:spacing w:before="40" w:after="40" w:line="240" w:lineRule="auto"/>
              <w:ind w:left="0" w:right="0"/>
              <w:jc w:val="left"/>
              <w:rPr>
                <w:sz w:val="18"/>
                <w:szCs w:val="18"/>
                <w:lang w:val="fr-CA"/>
              </w:rPr>
            </w:pPr>
            <w:r>
              <w:rPr>
                <w:sz w:val="18"/>
                <w:szCs w:val="18"/>
                <w:lang w:val="fr-CA"/>
              </w:rPr>
              <w:t>2009</w:t>
            </w:r>
          </w:p>
        </w:tc>
        <w:tc>
          <w:tcPr>
            <w:tcW w:w="3914" w:type="dxa"/>
            <w:tcBorders>
              <w:top w:val="single" w:sz="12"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1,31</w:t>
            </w:r>
          </w:p>
        </w:tc>
        <w:tc>
          <w:tcPr>
            <w:tcW w:w="2430" w:type="dxa"/>
            <w:tcBorders>
              <w:top w:val="single" w:sz="12"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0,62</w:t>
            </w:r>
          </w:p>
        </w:tc>
      </w:tr>
      <w:tr w:rsidR="00A10274">
        <w:trPr>
          <w:trHeight w:val="240"/>
        </w:trPr>
        <w:tc>
          <w:tcPr>
            <w:tcW w:w="993" w:type="dxa"/>
            <w:shd w:val="clear" w:color="auto" w:fill="auto"/>
          </w:tcPr>
          <w:p w:rsidR="00A10274" w:rsidRDefault="00A10274">
            <w:pPr>
              <w:pStyle w:val="SingleTxtG"/>
              <w:keepNext/>
              <w:suppressAutoHyphens w:val="0"/>
              <w:spacing w:before="40" w:after="40" w:line="240" w:lineRule="auto"/>
              <w:ind w:left="0" w:right="0"/>
              <w:jc w:val="left"/>
              <w:rPr>
                <w:sz w:val="18"/>
                <w:szCs w:val="18"/>
                <w:lang w:val="fr-CA"/>
              </w:rPr>
            </w:pPr>
            <w:r>
              <w:rPr>
                <w:sz w:val="18"/>
                <w:szCs w:val="18"/>
                <w:lang w:val="fr-CA"/>
              </w:rPr>
              <w:t>2010</w:t>
            </w:r>
          </w:p>
        </w:tc>
        <w:tc>
          <w:tcPr>
            <w:tcW w:w="3914"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0</w:t>
            </w:r>
          </w:p>
        </w:tc>
        <w:tc>
          <w:tcPr>
            <w:tcW w:w="2430"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0</w:t>
            </w:r>
          </w:p>
        </w:tc>
      </w:tr>
      <w:tr w:rsidR="00A10274">
        <w:trPr>
          <w:trHeight w:val="240"/>
        </w:trPr>
        <w:tc>
          <w:tcPr>
            <w:tcW w:w="993" w:type="dxa"/>
            <w:shd w:val="clear" w:color="auto" w:fill="auto"/>
          </w:tcPr>
          <w:p w:rsidR="00A10274" w:rsidRDefault="00A10274">
            <w:pPr>
              <w:pStyle w:val="SingleTxtG"/>
              <w:keepNext/>
              <w:suppressAutoHyphens w:val="0"/>
              <w:spacing w:before="40" w:after="40" w:line="240" w:lineRule="auto"/>
              <w:ind w:left="0" w:right="0"/>
              <w:jc w:val="left"/>
              <w:rPr>
                <w:sz w:val="18"/>
                <w:szCs w:val="18"/>
                <w:lang w:val="fr-CA"/>
              </w:rPr>
            </w:pPr>
            <w:r>
              <w:rPr>
                <w:sz w:val="18"/>
                <w:szCs w:val="18"/>
                <w:lang w:val="fr-CA"/>
              </w:rPr>
              <w:t>2011</w:t>
            </w:r>
          </w:p>
        </w:tc>
        <w:tc>
          <w:tcPr>
            <w:tcW w:w="3914"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0,89</w:t>
            </w:r>
          </w:p>
        </w:tc>
        <w:tc>
          <w:tcPr>
            <w:tcW w:w="2430"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0,24</w:t>
            </w:r>
          </w:p>
        </w:tc>
      </w:tr>
      <w:tr w:rsidR="00A10274">
        <w:trPr>
          <w:trHeight w:val="240"/>
        </w:trPr>
        <w:tc>
          <w:tcPr>
            <w:tcW w:w="993" w:type="dxa"/>
            <w:tcBorders>
              <w:bottom w:val="single" w:sz="12" w:space="0" w:color="auto"/>
            </w:tcBorders>
            <w:shd w:val="clear" w:color="auto" w:fill="auto"/>
          </w:tcPr>
          <w:p w:rsidR="00A10274" w:rsidRDefault="00A10274">
            <w:pPr>
              <w:pStyle w:val="SingleTxtG"/>
              <w:keepNext/>
              <w:suppressAutoHyphens w:val="0"/>
              <w:spacing w:before="40" w:after="40" w:line="240" w:lineRule="auto"/>
              <w:ind w:left="0" w:right="0"/>
              <w:jc w:val="left"/>
              <w:rPr>
                <w:sz w:val="18"/>
                <w:szCs w:val="18"/>
                <w:lang w:val="fr-CA"/>
              </w:rPr>
            </w:pPr>
            <w:r>
              <w:rPr>
                <w:sz w:val="18"/>
                <w:szCs w:val="18"/>
                <w:lang w:val="fr-CA"/>
              </w:rPr>
              <w:t>2012</w:t>
            </w:r>
          </w:p>
        </w:tc>
        <w:tc>
          <w:tcPr>
            <w:tcW w:w="3914" w:type="dxa"/>
            <w:tcBorders>
              <w:bottom w:val="single" w:sz="12"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0</w:t>
            </w:r>
          </w:p>
        </w:tc>
        <w:tc>
          <w:tcPr>
            <w:tcW w:w="2430" w:type="dxa"/>
            <w:tcBorders>
              <w:bottom w:val="single" w:sz="12"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0</w:t>
            </w:r>
          </w:p>
        </w:tc>
      </w:tr>
    </w:tbl>
    <w:p w:rsidR="00A10274" w:rsidRDefault="00A10274">
      <w:pPr>
        <w:pStyle w:val="SingleTxt"/>
        <w:spacing w:after="0" w:line="120" w:lineRule="exact"/>
        <w:rPr>
          <w:i/>
          <w:sz w:val="10"/>
          <w:lang w:val="fr-CA"/>
        </w:rPr>
      </w:pPr>
    </w:p>
    <w:p w:rsidR="00A10274" w:rsidRDefault="00A10274">
      <w:pPr>
        <w:pStyle w:val="FootnoteText"/>
        <w:tabs>
          <w:tab w:val="right" w:pos="1476"/>
          <w:tab w:val="left" w:pos="1548"/>
          <w:tab w:val="right" w:pos="1836"/>
          <w:tab w:val="left" w:pos="1908"/>
        </w:tabs>
        <w:ind w:left="1548" w:right="1267" w:hanging="288"/>
        <w:rPr>
          <w:lang w:val="fr-CA"/>
        </w:rPr>
      </w:pPr>
      <w:r>
        <w:rPr>
          <w:i/>
          <w:lang w:val="fr-CA"/>
        </w:rPr>
        <w:t>Source :</w:t>
      </w:r>
      <w:r>
        <w:rPr>
          <w:b/>
          <w:lang w:val="fr-CA"/>
        </w:rPr>
        <w:t xml:space="preserve"> -</w:t>
      </w:r>
      <w:r>
        <w:rPr>
          <w:lang w:val="fr-CA"/>
        </w:rPr>
        <w:t>Enquête de surveillance du poste-sentinelle d’ANC, 2007, 2009, 2011.</w:t>
      </w:r>
    </w:p>
    <w:p w:rsidR="00A10274" w:rsidRDefault="00A10274">
      <w:pPr>
        <w:pStyle w:val="FootnoteText"/>
        <w:tabs>
          <w:tab w:val="right" w:pos="1476"/>
          <w:tab w:val="left" w:pos="1548"/>
          <w:tab w:val="right" w:pos="1836"/>
          <w:tab w:val="left" w:pos="1908"/>
        </w:tabs>
        <w:spacing w:line="120" w:lineRule="exact"/>
        <w:ind w:left="1548" w:right="1267" w:hanging="288"/>
        <w:rPr>
          <w:sz w:val="10"/>
          <w:lang w:val="fr-CA"/>
        </w:rPr>
      </w:pPr>
    </w:p>
    <w:p w:rsidR="00A10274" w:rsidRDefault="00A10274">
      <w:pPr>
        <w:pStyle w:val="FootnoteText"/>
        <w:tabs>
          <w:tab w:val="right" w:pos="1476"/>
          <w:tab w:val="left" w:pos="1548"/>
          <w:tab w:val="right" w:pos="1836"/>
          <w:tab w:val="left" w:pos="1908"/>
        </w:tabs>
        <w:ind w:left="1548" w:right="1267" w:hanging="288"/>
        <w:rPr>
          <w:lang w:val="fr-CA"/>
        </w:rPr>
      </w:pPr>
      <w:r>
        <w:rPr>
          <w:lang w:val="fr-CA"/>
        </w:rPr>
        <w:t>À noter que le taux d’incidence est évalué tous les deux ans.</w:t>
      </w:r>
    </w:p>
    <w:p w:rsidR="00A10274" w:rsidRDefault="00A10274">
      <w:pPr>
        <w:pStyle w:val="FootnoteText"/>
        <w:tabs>
          <w:tab w:val="right" w:pos="1476"/>
          <w:tab w:val="left" w:pos="1548"/>
          <w:tab w:val="right" w:pos="1836"/>
          <w:tab w:val="left" w:pos="1908"/>
        </w:tabs>
        <w:spacing w:line="120" w:lineRule="exact"/>
        <w:ind w:left="1548" w:right="1267" w:hanging="288"/>
        <w:rPr>
          <w:sz w:val="10"/>
          <w:lang w:val="fr-CA"/>
        </w:rPr>
      </w:pPr>
    </w:p>
    <w:p w:rsidR="00A10274" w:rsidRDefault="00A10274">
      <w:pPr>
        <w:pStyle w:val="FootnoteText"/>
        <w:tabs>
          <w:tab w:val="right" w:pos="1476"/>
          <w:tab w:val="left" w:pos="1548"/>
          <w:tab w:val="right" w:pos="1836"/>
          <w:tab w:val="left" w:pos="1908"/>
        </w:tabs>
        <w:spacing w:line="120" w:lineRule="exact"/>
        <w:ind w:left="1548" w:right="1267" w:hanging="288"/>
        <w:rPr>
          <w:sz w:val="10"/>
          <w:lang w:val="fr-CA"/>
        </w:rPr>
      </w:pPr>
    </w:p>
    <w:p w:rsidR="00A10274" w:rsidRDefault="00A10274">
      <w:pPr>
        <w:pStyle w:val="SingleTxt"/>
        <w:numPr>
          <w:ilvl w:val="0"/>
          <w:numId w:val="6"/>
        </w:numPr>
        <w:rPr>
          <w:lang w:val="fr-CA"/>
        </w:rPr>
      </w:pPr>
      <w:r>
        <w:rPr>
          <w:lang w:val="fr-CA"/>
        </w:rPr>
        <w:t>Le taux d’incidence du VIH/sida en Érythrée est revenu de 1,31 % en 2009 à 0,89 % en 2011. Comme on l’évalue tous les deux ans, ce taux doit avoir encore baissé en 2013. Mais, comme on l’indique ci-dessus, le processus d’évaluation n’est pas parvenu à son terme. Les progrès réalisés dans la réduction de l’incidence du VIH/sida en Érythrée sont encourageants.</w:t>
      </w:r>
    </w:p>
    <w:p w:rsidR="00A10274" w:rsidRDefault="00A10274">
      <w:pPr>
        <w:pStyle w:val="SingleTxt"/>
        <w:numPr>
          <w:ilvl w:val="0"/>
          <w:numId w:val="6"/>
        </w:numPr>
        <w:rPr>
          <w:lang w:val="fr-CA"/>
        </w:rPr>
      </w:pPr>
      <w:r>
        <w:rPr>
          <w:lang w:val="fr-CA"/>
        </w:rPr>
        <w:t>En ce qui concerne les infections sexuellement transmises (IST), les cas annuels se situent entre 4 000 et 5 000. Aucune tendance n’est discernable dans un sens ou dans l’autre, mais l’incidence, quelle qu’elle soit, est gérable et des efforts sont faits pour l’atténuer, sinon la réduire à son niveau le plus bas.</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30</w:t>
      </w:r>
      <w:r>
        <w:rPr>
          <w:lang w:val="fr-CA"/>
        </w:rPr>
        <w:br/>
        <w:t xml:space="preserve">Proportion de cas de séropositivité chez les femmes enceintes </w:t>
      </w:r>
      <w:r>
        <w:rPr>
          <w:lang w:val="fr-CA"/>
        </w:rPr>
        <w:br/>
        <w:t>inscrites à l’ANC</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235" w:type="dxa"/>
        <w:tblInd w:w="1269" w:type="dxa"/>
        <w:tblBorders>
          <w:top w:val="single" w:sz="4" w:space="0" w:color="auto"/>
        </w:tblBorders>
        <w:tblCellMar>
          <w:left w:w="0" w:type="dxa"/>
          <w:right w:w="0" w:type="dxa"/>
        </w:tblCellMar>
        <w:tblLook w:val="0000"/>
      </w:tblPr>
      <w:tblGrid>
        <w:gridCol w:w="999"/>
        <w:gridCol w:w="2552"/>
        <w:gridCol w:w="1701"/>
        <w:gridCol w:w="1983"/>
      </w:tblGrid>
      <w:tr w:rsidR="00A10274">
        <w:trPr>
          <w:trHeight w:val="240"/>
          <w:tblHeader/>
        </w:trPr>
        <w:tc>
          <w:tcPr>
            <w:tcW w:w="999"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iCs/>
                <w:sz w:val="14"/>
                <w:szCs w:val="14"/>
                <w:lang w:val="fr-CA"/>
              </w:rPr>
              <w:t>Années</w:t>
            </w:r>
          </w:p>
        </w:tc>
        <w:tc>
          <w:tcPr>
            <w:tcW w:w="2552"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iCs/>
                <w:sz w:val="14"/>
                <w:szCs w:val="14"/>
                <w:lang w:val="fr-CA"/>
              </w:rPr>
              <w:t>Femmes enceintes soumises au test de VIH</w:t>
            </w:r>
          </w:p>
        </w:tc>
        <w:tc>
          <w:tcPr>
            <w:tcW w:w="1701"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iCs/>
                <w:sz w:val="14"/>
                <w:szCs w:val="14"/>
                <w:lang w:val="fr-CA"/>
              </w:rPr>
            </w:pPr>
            <w:r>
              <w:rPr>
                <w:i/>
                <w:iCs/>
                <w:sz w:val="14"/>
                <w:szCs w:val="14"/>
                <w:lang w:val="fr-CA"/>
              </w:rPr>
              <w:t>Nombre de cas positifs</w:t>
            </w:r>
          </w:p>
        </w:tc>
        <w:tc>
          <w:tcPr>
            <w:tcW w:w="1983"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iCs/>
                <w:sz w:val="14"/>
                <w:szCs w:val="14"/>
                <w:lang w:val="fr-CA"/>
              </w:rPr>
            </w:pPr>
            <w:r>
              <w:rPr>
                <w:i/>
                <w:iCs/>
                <w:sz w:val="14"/>
                <w:szCs w:val="14"/>
                <w:lang w:val="fr-CA"/>
              </w:rPr>
              <w:t>Pourcentage de séropositives</w:t>
            </w:r>
          </w:p>
        </w:tc>
      </w:tr>
      <w:tr w:rsidR="00A10274">
        <w:trPr>
          <w:trHeight w:val="240"/>
        </w:trPr>
        <w:tc>
          <w:tcPr>
            <w:tcW w:w="999"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2009</w:t>
            </w:r>
          </w:p>
        </w:tc>
        <w:tc>
          <w:tcPr>
            <w:tcW w:w="2552"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48 437</w:t>
            </w:r>
          </w:p>
        </w:tc>
        <w:tc>
          <w:tcPr>
            <w:tcW w:w="1701"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320</w:t>
            </w:r>
          </w:p>
        </w:tc>
        <w:tc>
          <w:tcPr>
            <w:tcW w:w="1983"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0,66</w:t>
            </w:r>
          </w:p>
        </w:tc>
      </w:tr>
      <w:tr w:rsidR="00A10274">
        <w:trPr>
          <w:trHeight w:val="240"/>
        </w:trPr>
        <w:tc>
          <w:tcPr>
            <w:tcW w:w="999"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w:t>
            </w:r>
          </w:p>
        </w:tc>
        <w:tc>
          <w:tcPr>
            <w:tcW w:w="255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52 205</w:t>
            </w:r>
          </w:p>
        </w:tc>
        <w:tc>
          <w:tcPr>
            <w:tcW w:w="170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318</w:t>
            </w:r>
          </w:p>
        </w:tc>
        <w:tc>
          <w:tcPr>
            <w:tcW w:w="198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0,61</w:t>
            </w:r>
          </w:p>
        </w:tc>
      </w:tr>
      <w:tr w:rsidR="00A10274">
        <w:trPr>
          <w:trHeight w:val="240"/>
        </w:trPr>
        <w:tc>
          <w:tcPr>
            <w:tcW w:w="999"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w:t>
            </w:r>
          </w:p>
        </w:tc>
        <w:tc>
          <w:tcPr>
            <w:tcW w:w="255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66 986</w:t>
            </w:r>
          </w:p>
        </w:tc>
        <w:tc>
          <w:tcPr>
            <w:tcW w:w="170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295</w:t>
            </w:r>
          </w:p>
        </w:tc>
        <w:tc>
          <w:tcPr>
            <w:tcW w:w="198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0,44</w:t>
            </w:r>
          </w:p>
        </w:tc>
      </w:tr>
      <w:tr w:rsidR="00A10274">
        <w:trPr>
          <w:trHeight w:val="240"/>
        </w:trPr>
        <w:tc>
          <w:tcPr>
            <w:tcW w:w="999" w:type="dxa"/>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2012</w:t>
            </w:r>
          </w:p>
        </w:tc>
        <w:tc>
          <w:tcPr>
            <w:tcW w:w="2552"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61 874</w:t>
            </w:r>
          </w:p>
        </w:tc>
        <w:tc>
          <w:tcPr>
            <w:tcW w:w="1701"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297</w:t>
            </w:r>
          </w:p>
        </w:tc>
        <w:tc>
          <w:tcPr>
            <w:tcW w:w="1983"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0,48</w:t>
            </w:r>
          </w:p>
        </w:tc>
      </w:tr>
    </w:tbl>
    <w:p w:rsidR="00A10274" w:rsidRDefault="00A10274">
      <w:pPr>
        <w:spacing w:line="120" w:lineRule="exact"/>
        <w:ind w:left="1134"/>
        <w:jc w:val="both"/>
        <w:rPr>
          <w:i/>
          <w:sz w:val="10"/>
          <w:szCs w:val="18"/>
          <w:lang w:val="fr-CA"/>
        </w:rPr>
      </w:pPr>
    </w:p>
    <w:p w:rsidR="00A10274" w:rsidRDefault="00A10274">
      <w:pPr>
        <w:pStyle w:val="FootnoteText"/>
        <w:tabs>
          <w:tab w:val="right" w:pos="1476"/>
          <w:tab w:val="left" w:pos="1548"/>
          <w:tab w:val="right" w:pos="1836"/>
          <w:tab w:val="left" w:pos="1908"/>
        </w:tabs>
        <w:ind w:left="1548" w:right="1267" w:hanging="288"/>
        <w:rPr>
          <w:lang w:val="fr-CA"/>
        </w:rPr>
      </w:pPr>
      <w:r>
        <w:rPr>
          <w:i/>
          <w:lang w:val="fr-CA"/>
        </w:rPr>
        <w:t>Source</w:t>
      </w:r>
      <w:r>
        <w:rPr>
          <w:lang w:val="fr-CA"/>
        </w:rPr>
        <w:t> : Rapports sur le programme national de lutte contre le sida.</w:t>
      </w:r>
    </w:p>
    <w:p w:rsidR="00A10274" w:rsidRDefault="00A10274">
      <w:pPr>
        <w:pStyle w:val="FootnoteText"/>
        <w:tabs>
          <w:tab w:val="right" w:pos="1476"/>
          <w:tab w:val="left" w:pos="1548"/>
          <w:tab w:val="right" w:pos="1836"/>
          <w:tab w:val="left" w:pos="1908"/>
        </w:tabs>
        <w:spacing w:line="120" w:lineRule="exact"/>
        <w:ind w:left="1548" w:right="1267" w:hanging="288"/>
        <w:rPr>
          <w:sz w:val="10"/>
          <w:lang w:val="fr-CA"/>
        </w:rPr>
      </w:pPr>
    </w:p>
    <w:p w:rsidR="00A10274" w:rsidRDefault="00A10274">
      <w:pPr>
        <w:pStyle w:val="FootnoteText"/>
        <w:tabs>
          <w:tab w:val="right" w:pos="1476"/>
          <w:tab w:val="left" w:pos="1548"/>
          <w:tab w:val="right" w:pos="1836"/>
          <w:tab w:val="left" w:pos="1908"/>
        </w:tabs>
        <w:spacing w:line="120" w:lineRule="exact"/>
        <w:ind w:left="1548" w:right="1267" w:hanging="288"/>
        <w:rPr>
          <w:sz w:val="10"/>
          <w:lang w:val="fr-CA"/>
        </w:rPr>
      </w:pPr>
    </w:p>
    <w:p w:rsidR="00A10274" w:rsidRDefault="00A10274">
      <w:pPr>
        <w:pStyle w:val="SingleTxt"/>
        <w:numPr>
          <w:ilvl w:val="0"/>
          <w:numId w:val="6"/>
        </w:numPr>
        <w:rPr>
          <w:lang w:val="fr-CA"/>
        </w:rPr>
      </w:pPr>
      <w:r>
        <w:rPr>
          <w:lang w:val="fr-CA"/>
        </w:rPr>
        <w:t>Le taux de femmes enceintes séropositives est resté inférieur à 1 % au cours des cinq dernières années. Celles qui ont été déclarées positives reçoivent gratuitement un traitement ART indépendamment du compte de CD4 afin d’éliminer la transmission maternelle du VIH. Ceci est très encourageant et témoigne de la campagne menée résolument par le Gouvernement contre l’épidémie. Sur plus de 60 000 femmes enceintes ayant subi chaque année le test de dépistage du VIH, 300 seulement se sont révélées séropositives.</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31</w:t>
      </w:r>
      <w:r>
        <w:rPr>
          <w:lang w:val="fr-CA"/>
        </w:rPr>
        <w:br/>
        <w:t xml:space="preserve">Proportion de séropositivité chez les femmes enceintes soumises </w:t>
      </w:r>
      <w:r>
        <w:rPr>
          <w:lang w:val="fr-CA"/>
        </w:rPr>
        <w:br/>
        <w:t>au test volontaire de traitement et de soins ou VCT</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01" w:type="dxa"/>
        <w:tblInd w:w="1276" w:type="dxa"/>
        <w:tblBorders>
          <w:top w:val="single" w:sz="4" w:space="0" w:color="auto"/>
        </w:tblBorders>
        <w:tblCellMar>
          <w:left w:w="0" w:type="dxa"/>
          <w:right w:w="0" w:type="dxa"/>
        </w:tblCellMar>
        <w:tblLook w:val="04A0"/>
      </w:tblPr>
      <w:tblGrid>
        <w:gridCol w:w="992"/>
        <w:gridCol w:w="2198"/>
        <w:gridCol w:w="1951"/>
        <w:gridCol w:w="2160"/>
      </w:tblGrid>
      <w:tr w:rsidR="00A10274">
        <w:trPr>
          <w:trHeight w:val="240"/>
          <w:tblHeader/>
        </w:trPr>
        <w:tc>
          <w:tcPr>
            <w:tcW w:w="992" w:type="dxa"/>
            <w:tcBorders>
              <w:top w:val="single" w:sz="4"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0" w:right="0"/>
              <w:jc w:val="left"/>
              <w:rPr>
                <w:i/>
                <w:sz w:val="14"/>
                <w:szCs w:val="14"/>
                <w:lang w:val="fr-CA"/>
              </w:rPr>
            </w:pPr>
            <w:r>
              <w:rPr>
                <w:i/>
                <w:sz w:val="14"/>
                <w:szCs w:val="14"/>
                <w:lang w:val="fr-CA"/>
              </w:rPr>
              <w:t>Années</w:t>
            </w:r>
          </w:p>
        </w:tc>
        <w:tc>
          <w:tcPr>
            <w:tcW w:w="2198" w:type="dxa"/>
            <w:tcBorders>
              <w:top w:val="single" w:sz="4"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Total des visites de VCT</w:t>
            </w:r>
          </w:p>
        </w:tc>
        <w:tc>
          <w:tcPr>
            <w:tcW w:w="1951" w:type="dxa"/>
            <w:tcBorders>
              <w:top w:val="single" w:sz="4"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Séropositives</w:t>
            </w:r>
          </w:p>
        </w:tc>
        <w:tc>
          <w:tcPr>
            <w:tcW w:w="2160" w:type="dxa"/>
            <w:tcBorders>
              <w:top w:val="single" w:sz="4"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i/>
                <w:sz w:val="14"/>
                <w:szCs w:val="14"/>
                <w:lang w:val="fr-CA"/>
              </w:rPr>
            </w:pPr>
            <w:r>
              <w:rPr>
                <w:i/>
                <w:sz w:val="14"/>
                <w:szCs w:val="14"/>
                <w:lang w:val="fr-CA"/>
              </w:rPr>
              <w:t>Pourcentage</w:t>
            </w:r>
          </w:p>
        </w:tc>
      </w:tr>
      <w:tr w:rsidR="00A10274">
        <w:trPr>
          <w:trHeight w:val="240"/>
        </w:trPr>
        <w:tc>
          <w:tcPr>
            <w:tcW w:w="992" w:type="dxa"/>
            <w:tcBorders>
              <w:top w:val="single" w:sz="12" w:space="0" w:color="auto"/>
            </w:tcBorders>
            <w:shd w:val="clear" w:color="auto" w:fill="auto"/>
          </w:tcPr>
          <w:p w:rsidR="00A10274" w:rsidRDefault="00A10274">
            <w:pPr>
              <w:pStyle w:val="SingleTxtG"/>
              <w:keepNext/>
              <w:suppressAutoHyphens w:val="0"/>
              <w:spacing w:before="40" w:after="40" w:line="240" w:lineRule="auto"/>
              <w:ind w:left="0" w:right="0"/>
              <w:jc w:val="left"/>
              <w:rPr>
                <w:sz w:val="18"/>
                <w:szCs w:val="18"/>
                <w:lang w:val="fr-CA"/>
              </w:rPr>
            </w:pPr>
            <w:r>
              <w:rPr>
                <w:sz w:val="18"/>
                <w:szCs w:val="18"/>
                <w:lang w:val="fr-CA"/>
              </w:rPr>
              <w:t>2009</w:t>
            </w:r>
          </w:p>
        </w:tc>
        <w:tc>
          <w:tcPr>
            <w:tcW w:w="2198" w:type="dxa"/>
            <w:tcBorders>
              <w:top w:val="single" w:sz="12"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86 285</w:t>
            </w:r>
          </w:p>
        </w:tc>
        <w:tc>
          <w:tcPr>
            <w:tcW w:w="1951" w:type="dxa"/>
            <w:tcBorders>
              <w:top w:val="single" w:sz="12"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1 941</w:t>
            </w:r>
          </w:p>
        </w:tc>
        <w:tc>
          <w:tcPr>
            <w:tcW w:w="2160" w:type="dxa"/>
            <w:tcBorders>
              <w:top w:val="single" w:sz="12"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2,25 %</w:t>
            </w:r>
          </w:p>
        </w:tc>
      </w:tr>
      <w:tr w:rsidR="00A10274">
        <w:trPr>
          <w:trHeight w:val="240"/>
        </w:trPr>
        <w:tc>
          <w:tcPr>
            <w:tcW w:w="992" w:type="dxa"/>
            <w:shd w:val="clear" w:color="auto" w:fill="auto"/>
          </w:tcPr>
          <w:p w:rsidR="00A10274" w:rsidRDefault="00A10274">
            <w:pPr>
              <w:pStyle w:val="SingleTxtG"/>
              <w:keepNext/>
              <w:suppressAutoHyphens w:val="0"/>
              <w:spacing w:before="40" w:after="40" w:line="240" w:lineRule="auto"/>
              <w:ind w:left="0" w:right="0"/>
              <w:jc w:val="left"/>
              <w:rPr>
                <w:sz w:val="18"/>
                <w:szCs w:val="18"/>
                <w:lang w:val="fr-CA"/>
              </w:rPr>
            </w:pPr>
            <w:r>
              <w:rPr>
                <w:sz w:val="18"/>
                <w:szCs w:val="18"/>
                <w:lang w:val="fr-CA"/>
              </w:rPr>
              <w:t>2010</w:t>
            </w:r>
          </w:p>
        </w:tc>
        <w:tc>
          <w:tcPr>
            <w:tcW w:w="2198"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73 685</w:t>
            </w:r>
          </w:p>
        </w:tc>
        <w:tc>
          <w:tcPr>
            <w:tcW w:w="1951"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1 488</w:t>
            </w:r>
          </w:p>
        </w:tc>
        <w:tc>
          <w:tcPr>
            <w:tcW w:w="2160"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2,02 %</w:t>
            </w:r>
          </w:p>
        </w:tc>
      </w:tr>
      <w:tr w:rsidR="00A10274">
        <w:trPr>
          <w:trHeight w:val="240"/>
        </w:trPr>
        <w:tc>
          <w:tcPr>
            <w:tcW w:w="992" w:type="dxa"/>
            <w:shd w:val="clear" w:color="auto" w:fill="auto"/>
          </w:tcPr>
          <w:p w:rsidR="00A10274" w:rsidRDefault="00A10274">
            <w:pPr>
              <w:pStyle w:val="SingleTxtG"/>
              <w:keepNext/>
              <w:suppressAutoHyphens w:val="0"/>
              <w:spacing w:before="40" w:after="40" w:line="240" w:lineRule="auto"/>
              <w:ind w:left="0" w:right="0"/>
              <w:jc w:val="left"/>
              <w:rPr>
                <w:sz w:val="18"/>
                <w:szCs w:val="18"/>
                <w:lang w:val="fr-CA"/>
              </w:rPr>
            </w:pPr>
            <w:r>
              <w:rPr>
                <w:sz w:val="18"/>
                <w:szCs w:val="18"/>
                <w:lang w:val="fr-CA"/>
              </w:rPr>
              <w:t>2011</w:t>
            </w:r>
          </w:p>
        </w:tc>
        <w:tc>
          <w:tcPr>
            <w:tcW w:w="2198"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77 008</w:t>
            </w:r>
          </w:p>
        </w:tc>
        <w:tc>
          <w:tcPr>
            <w:tcW w:w="1951"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1 353</w:t>
            </w:r>
          </w:p>
        </w:tc>
        <w:tc>
          <w:tcPr>
            <w:tcW w:w="2160" w:type="dxa"/>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r>
              <w:rPr>
                <w:sz w:val="18"/>
                <w:szCs w:val="18"/>
                <w:lang w:val="fr-CA"/>
              </w:rPr>
              <w:t>1,77 %</w:t>
            </w:r>
          </w:p>
        </w:tc>
      </w:tr>
      <w:tr w:rsidR="00A10274">
        <w:trPr>
          <w:trHeight w:val="240"/>
        </w:trPr>
        <w:tc>
          <w:tcPr>
            <w:tcW w:w="992" w:type="dxa"/>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2012</w:t>
            </w:r>
          </w:p>
        </w:tc>
        <w:tc>
          <w:tcPr>
            <w:tcW w:w="2198"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76 292</w:t>
            </w:r>
          </w:p>
        </w:tc>
        <w:tc>
          <w:tcPr>
            <w:tcW w:w="1951"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1 060</w:t>
            </w:r>
          </w:p>
        </w:tc>
        <w:tc>
          <w:tcPr>
            <w:tcW w:w="2160"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1,39 %</w:t>
            </w:r>
          </w:p>
        </w:tc>
      </w:tr>
    </w:tbl>
    <w:p w:rsidR="00A10274" w:rsidRDefault="00A10274">
      <w:pPr>
        <w:spacing w:line="120" w:lineRule="exact"/>
        <w:ind w:left="1276"/>
        <w:jc w:val="both"/>
        <w:rPr>
          <w:i/>
          <w:sz w:val="10"/>
          <w:szCs w:val="18"/>
          <w:lang w:val="fr-CA"/>
        </w:rPr>
      </w:pPr>
    </w:p>
    <w:p w:rsidR="00A10274" w:rsidRDefault="00A10274">
      <w:pPr>
        <w:pStyle w:val="FootnoteText"/>
        <w:tabs>
          <w:tab w:val="right" w:pos="1476"/>
          <w:tab w:val="left" w:pos="1548"/>
          <w:tab w:val="right" w:pos="1836"/>
          <w:tab w:val="left" w:pos="1908"/>
        </w:tabs>
        <w:ind w:left="1548" w:right="1267" w:hanging="288"/>
        <w:rPr>
          <w:lang w:val="fr-CA"/>
        </w:rPr>
      </w:pPr>
      <w:r>
        <w:rPr>
          <w:i/>
          <w:lang w:val="fr-CA"/>
        </w:rPr>
        <w:t>Source</w:t>
      </w:r>
      <w:r>
        <w:rPr>
          <w:lang w:val="fr-CA"/>
        </w:rPr>
        <w:t> : Rapports sur le programme national de lutte contre le VIH.</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numPr>
          <w:ilvl w:val="0"/>
          <w:numId w:val="6"/>
        </w:numPr>
        <w:rPr>
          <w:lang w:val="fr-CA"/>
        </w:rPr>
      </w:pPr>
      <w:r>
        <w:rPr>
          <w:lang w:val="fr-CA"/>
        </w:rPr>
        <w:t>Ici encore on note que les visites de VCT ont généralement augmenté durant la période considérée. Le taux d’incidence des cas de séropositivité parmi celles qui ont subi le test a chuté de 2,02 % en 2009 à 1,39 % (moins de 100) en 2012, tendance régulièrement à la baisse. Les réalisations dans le combat contre le VIH/sida sont grandes.</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t>Excision</w:t>
      </w:r>
    </w:p>
    <w:p w:rsidR="00A10274" w:rsidRDefault="00A10274">
      <w:pPr>
        <w:pStyle w:val="SingleTxt"/>
        <w:spacing w:after="0" w:line="120" w:lineRule="exact"/>
        <w:rPr>
          <w:color w:val="000000"/>
          <w:sz w:val="10"/>
          <w:lang w:val="fr-CA"/>
        </w:rPr>
      </w:pPr>
    </w:p>
    <w:p w:rsidR="00A10274" w:rsidRDefault="00A10274">
      <w:pPr>
        <w:pStyle w:val="SingleTxt"/>
        <w:spacing w:after="0" w:line="120" w:lineRule="exact"/>
        <w:rPr>
          <w:color w:val="000000"/>
          <w:sz w:val="10"/>
          <w:lang w:val="fr-CA"/>
        </w:rPr>
      </w:pPr>
    </w:p>
    <w:p w:rsidR="00A10274" w:rsidRDefault="00A10274">
      <w:pPr>
        <w:pStyle w:val="SingleTxt"/>
        <w:numPr>
          <w:ilvl w:val="0"/>
          <w:numId w:val="6"/>
        </w:numPr>
        <w:rPr>
          <w:color w:val="000000"/>
          <w:lang w:val="fr-CA"/>
        </w:rPr>
      </w:pPr>
      <w:r>
        <w:rPr>
          <w:color w:val="000000"/>
          <w:lang w:val="fr-CA"/>
        </w:rPr>
        <w:t>Les conclusions de l’EPHS 2010 montrent que 91 % des Érythréennes ont entendu parler de la proclamation interdisant l’excision. Soixante-dix-sept pour cent d’entre elles et 82 % des hommes pensent que l’excision ne présente aucun avantage.</w:t>
      </w:r>
    </w:p>
    <w:p w:rsidR="00A10274" w:rsidRDefault="00A10274">
      <w:pPr>
        <w:pStyle w:val="SingleTxt"/>
        <w:numPr>
          <w:ilvl w:val="0"/>
          <w:numId w:val="6"/>
        </w:numPr>
        <w:rPr>
          <w:color w:val="000000"/>
          <w:lang w:val="fr-CA"/>
        </w:rPr>
      </w:pPr>
      <w:r>
        <w:rPr>
          <w:color w:val="000000"/>
          <w:lang w:val="fr-CA"/>
        </w:rPr>
        <w:t>On pense que la pratique de l’excision a très fortement baissé ces dernières années. En 2002, 9 femmes sur 10 (89 %) avaient subi cette opération, en légère baisse par rapport aux 95 % de 1995. En 2010, l’incidence de l’excision chez les 15 à 19 ans se situait autour de 68,8 %, 93,1 % des 45 à 49 ans ayant subi cette opération, ce qui montre qu’avec le temps l’excision recule chez les jeunes.</w:t>
      </w:r>
    </w:p>
    <w:p w:rsidR="00A10274" w:rsidRDefault="00A10274">
      <w:pPr>
        <w:pStyle w:val="SingleTxt"/>
        <w:numPr>
          <w:ilvl w:val="0"/>
          <w:numId w:val="7"/>
        </w:numPr>
        <w:rPr>
          <w:color w:val="000000"/>
          <w:lang w:val="fr-CA"/>
        </w:rPr>
      </w:pPr>
      <w:r>
        <w:rPr>
          <w:color w:val="000000"/>
          <w:lang w:val="fr-CA"/>
        </w:rPr>
        <w:t>Le pourcentage de femmes qui ont entendu parler de la proclamation relative à l’excision est légèrement plus faible parmi les 15 à 19 ans, qui est de 86,3 %, alors qu’il dépasse 90 % chez les 29 à 49 ans. Le pourcentage de femmes qui ont fait état d’activités hostiles à l’excision dans la région est plus élevé chez les 45 à 49 ans (64,6 %) et plus faible chez les 15 à 19 ans (51,3 %).</w:t>
      </w:r>
    </w:p>
    <w:p w:rsidR="00A10274" w:rsidRDefault="00A10274">
      <w:pPr>
        <w:pStyle w:val="SingleTxt"/>
        <w:numPr>
          <w:ilvl w:val="0"/>
          <w:numId w:val="7"/>
        </w:numPr>
        <w:rPr>
          <w:color w:val="000000"/>
          <w:lang w:val="fr-CA"/>
        </w:rPr>
      </w:pPr>
      <w:r>
        <w:rPr>
          <w:color w:val="000000"/>
          <w:lang w:val="fr-CA"/>
        </w:rPr>
        <w:t>La campagne anti-excision menée par l’UNFE et autres partenaires, qui a culminé en 2007 avec la promulgation de la loi interdisant l’excision et l’introduction d’un dispositif novateur pour donner force à la proclamation du Gouvernement. Un comité chargé des mesures d’exécution a, au cours des quatre dernières années, traduit 144 praticiens de l’excision devant les tribunaux.</w:t>
      </w:r>
    </w:p>
    <w:p w:rsidR="00A10274" w:rsidRDefault="00A10274">
      <w:pPr>
        <w:pStyle w:val="SingleTxt"/>
        <w:numPr>
          <w:ilvl w:val="0"/>
          <w:numId w:val="7"/>
        </w:numPr>
        <w:rPr>
          <w:color w:val="000000"/>
          <w:lang w:val="fr-CA"/>
        </w:rPr>
      </w:pPr>
      <w:r>
        <w:rPr>
          <w:color w:val="000000"/>
          <w:lang w:val="fr-CA"/>
        </w:rPr>
        <w:t>De loin la plus grande organisation dispensatrice de services de santé du pays est le Ministère de la santé, qui regroupe 87,8 % de tous les professionnels de la santé. Les organisations du secteur privé viennent ensuite avec 5 %, suivies par l’ECS et l’IND, qui entrent, respectivement, pour 3,2 % et 2,3 %.</w:t>
      </w:r>
    </w:p>
    <w:p w:rsidR="00A10274" w:rsidRDefault="00A10274">
      <w:pPr>
        <w:pStyle w:val="SingleTxt"/>
        <w:numPr>
          <w:ilvl w:val="0"/>
          <w:numId w:val="7"/>
        </w:numPr>
        <w:rPr>
          <w:color w:val="000000"/>
          <w:lang w:val="fr-CA"/>
        </w:rPr>
      </w:pPr>
      <w:r>
        <w:rPr>
          <w:color w:val="000000"/>
          <w:lang w:val="fr-CA"/>
        </w:rPr>
        <w:t>Le pays compte en tout 143 médecins et chirurgiens qualifiés. Pour une population estimative de 3,2 millions de personnes, il y a en moyenne un médecin pour 22 377 personnes. Malgré de rapides améliorations, cela représente toujours une lourde charge. Le Gouvernement s’est résolument appliqué à doter les institutions locales des moyens de former des docteurs en médecine à la mesure des besoins du pays. Fin 2012, environ 56 docteurs en médecine sont sortis de l’école de médecine Orotta d’Asmara. Le Collège des sciences de la santé est engagé dans la formation des divers professionnels de la santé.</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Article 13</w:t>
      </w:r>
      <w:r>
        <w:rPr>
          <w:lang w:val="fr-CA"/>
        </w:rPr>
        <w:br/>
        <w:t>Vie économique et sociale</w:t>
      </w:r>
    </w:p>
    <w:p w:rsidR="00A10274" w:rsidRDefault="00A10274">
      <w:pPr>
        <w:pStyle w:val="SingleTxt"/>
        <w:spacing w:after="0" w:line="120" w:lineRule="exact"/>
        <w:rPr>
          <w:color w:val="000000"/>
          <w:sz w:val="10"/>
          <w:lang w:val="fr-CA"/>
        </w:rPr>
      </w:pPr>
    </w:p>
    <w:p w:rsidR="00A10274" w:rsidRDefault="00A10274">
      <w:pPr>
        <w:pStyle w:val="SingleTxt"/>
        <w:spacing w:after="0" w:line="120" w:lineRule="exact"/>
        <w:rPr>
          <w:color w:val="000000"/>
          <w:sz w:val="10"/>
          <w:lang w:val="fr-CA"/>
        </w:rPr>
      </w:pPr>
    </w:p>
    <w:p w:rsidR="00A10274" w:rsidRDefault="00A10274">
      <w:pPr>
        <w:pStyle w:val="SingleTxt"/>
        <w:numPr>
          <w:ilvl w:val="0"/>
          <w:numId w:val="7"/>
        </w:numPr>
        <w:rPr>
          <w:color w:val="000000"/>
          <w:lang w:val="fr-CA"/>
        </w:rPr>
      </w:pPr>
      <w:r>
        <w:rPr>
          <w:color w:val="000000"/>
          <w:lang w:val="fr-CA"/>
        </w:rPr>
        <w:t>Le Gouvernement de l’État d’Érythrée</w:t>
      </w:r>
      <w:r>
        <w:rPr>
          <w:b/>
          <w:color w:val="000000"/>
          <w:lang w:val="fr-CA"/>
        </w:rPr>
        <w:t xml:space="preserve"> </w:t>
      </w:r>
      <w:r>
        <w:rPr>
          <w:color w:val="000000"/>
          <w:lang w:val="fr-CA"/>
        </w:rPr>
        <w:t>renvoie à ce qu’il a dit dans les précédents rapports sur des questions concernant les droits constitutionnels, politiques et juridiques des femmes dans le domaine économique et social dans le cadre de sa stratégie globale de lutte contre la pauvreté des femmes. C’est pourquoi il ne sera question dans le présent rapport que des progrès réalisés dans les domaines pertinents.</w:t>
      </w:r>
    </w:p>
    <w:p w:rsidR="00A10274" w:rsidRDefault="00A10274">
      <w:pPr>
        <w:pStyle w:val="SingleTxt"/>
        <w:numPr>
          <w:ilvl w:val="0"/>
          <w:numId w:val="7"/>
        </w:numPr>
        <w:rPr>
          <w:color w:val="000000"/>
          <w:lang w:val="fr-CA"/>
        </w:rPr>
      </w:pPr>
      <w:r>
        <w:rPr>
          <w:color w:val="000000"/>
          <w:lang w:val="fr-CA"/>
        </w:rPr>
        <w:t>La fourniture de crédit par le Programme d’épargne et de microcrédit mis en place par le Gouvernement dans les six régions administratives constitue un tremplin permettant d’aider les femmes à établir des petites et moyennes entreprises et à améliorer leur situation économique et celle de leur famille. La participation des femmes à cette formule a été encourageante.</w:t>
      </w:r>
    </w:p>
    <w:p w:rsidR="00A10274" w:rsidRDefault="00A10274">
      <w:pPr>
        <w:pStyle w:val="SingleTxt"/>
        <w:numPr>
          <w:ilvl w:val="0"/>
          <w:numId w:val="7"/>
        </w:numPr>
        <w:rPr>
          <w:color w:val="000000"/>
          <w:lang w:val="fr-CA"/>
        </w:rPr>
      </w:pPr>
      <w:r>
        <w:rPr>
          <w:color w:val="000000"/>
          <w:lang w:val="fr-CA"/>
        </w:rPr>
        <w:t>Il y a en outre d’autres programmes de microcrédit mis en place par diverses institutions, et ceux-ci ciblent particulièrement les femmes. Cela comprend le programme de l’UNFE, du Ministère des administrations locales, du Ministère du travail et de la prévoyance sociale, de la Confédération nationale des travailleurs érythréens et de certaines administrations locales dans certaines régions. Le tableau 32 donne un exemple de ces programmes dans la région administrative du Sud.</w:t>
      </w:r>
    </w:p>
    <w:p w:rsidR="00A10274" w:rsidRDefault="00A10274">
      <w:pPr>
        <w:pStyle w:val="SingleTxt"/>
        <w:spacing w:after="0" w:line="120" w:lineRule="exact"/>
        <w:rPr>
          <w:color w:val="000000"/>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color w:val="000000"/>
          <w:lang w:val="fr-CA"/>
        </w:rPr>
        <w:tab/>
      </w:r>
      <w:r>
        <w:rPr>
          <w:color w:val="000000"/>
          <w:lang w:val="fr-CA"/>
        </w:rPr>
        <w:tab/>
      </w:r>
      <w:r>
        <w:rPr>
          <w:b w:val="0"/>
          <w:color w:val="000000"/>
          <w:lang w:val="fr-CA"/>
        </w:rPr>
        <w:t>Tableau 32</w:t>
      </w:r>
      <w:r>
        <w:rPr>
          <w:color w:val="000000"/>
          <w:lang w:val="fr-CA"/>
        </w:rPr>
        <w:br/>
      </w:r>
      <w:r>
        <w:rPr>
          <w:lang w:val="fr-CA"/>
        </w:rPr>
        <w:t>Système d’épargne et de microcrédit de la zone Sud</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35" w:type="dxa"/>
        <w:tblInd w:w="1278" w:type="dxa"/>
        <w:tblBorders>
          <w:top w:val="single" w:sz="4" w:space="0" w:color="auto"/>
        </w:tblBorders>
        <w:tblCellMar>
          <w:left w:w="0" w:type="dxa"/>
          <w:right w:w="0" w:type="dxa"/>
        </w:tblCellMar>
        <w:tblLook w:val="04A0"/>
      </w:tblPr>
      <w:tblGrid>
        <w:gridCol w:w="1220"/>
        <w:gridCol w:w="1541"/>
        <w:gridCol w:w="1473"/>
        <w:gridCol w:w="1475"/>
        <w:gridCol w:w="1626"/>
      </w:tblGrid>
      <w:tr w:rsidR="00A10274">
        <w:trPr>
          <w:trHeight w:val="240"/>
          <w:tblHeader/>
        </w:trPr>
        <w:tc>
          <w:tcPr>
            <w:tcW w:w="1220"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left"/>
              <w:rPr>
                <w:bCs/>
                <w:i/>
                <w:sz w:val="14"/>
                <w:szCs w:val="14"/>
                <w:lang w:val="fr-CA"/>
              </w:rPr>
            </w:pPr>
            <w:r>
              <w:rPr>
                <w:bCs/>
                <w:i/>
                <w:sz w:val="14"/>
                <w:szCs w:val="14"/>
                <w:lang w:val="fr-CA"/>
              </w:rPr>
              <w:t xml:space="preserve">Année </w:t>
            </w:r>
          </w:p>
        </w:tc>
        <w:tc>
          <w:tcPr>
            <w:tcW w:w="1541"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Cs/>
                <w:i/>
                <w:sz w:val="14"/>
                <w:szCs w:val="14"/>
                <w:lang w:val="fr-CA"/>
              </w:rPr>
            </w:pPr>
            <w:r>
              <w:rPr>
                <w:bCs/>
                <w:i/>
                <w:sz w:val="14"/>
                <w:szCs w:val="14"/>
                <w:lang w:val="fr-CA"/>
              </w:rPr>
              <w:t>Clientes</w:t>
            </w:r>
          </w:p>
        </w:tc>
        <w:tc>
          <w:tcPr>
            <w:tcW w:w="1473"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Cs/>
                <w:i/>
                <w:sz w:val="14"/>
                <w:szCs w:val="14"/>
                <w:lang w:val="fr-CA"/>
              </w:rPr>
            </w:pPr>
            <w:r>
              <w:rPr>
                <w:bCs/>
                <w:i/>
                <w:sz w:val="14"/>
                <w:szCs w:val="14"/>
                <w:lang w:val="fr-CA"/>
              </w:rPr>
              <w:t>Clients</w:t>
            </w:r>
          </w:p>
        </w:tc>
        <w:tc>
          <w:tcPr>
            <w:tcW w:w="1475"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Cs/>
                <w:i/>
                <w:sz w:val="14"/>
                <w:szCs w:val="14"/>
                <w:lang w:val="fr-CA"/>
              </w:rPr>
            </w:pPr>
            <w:r>
              <w:rPr>
                <w:bCs/>
                <w:i/>
                <w:sz w:val="14"/>
                <w:szCs w:val="14"/>
                <w:lang w:val="fr-CA"/>
              </w:rPr>
              <w:t>Total clients</w:t>
            </w:r>
          </w:p>
        </w:tc>
        <w:tc>
          <w:tcPr>
            <w:tcW w:w="1626"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Cs/>
                <w:i/>
                <w:sz w:val="14"/>
                <w:szCs w:val="14"/>
                <w:lang w:val="fr-CA"/>
              </w:rPr>
            </w:pPr>
            <w:r>
              <w:rPr>
                <w:bCs/>
                <w:i/>
                <w:sz w:val="14"/>
                <w:szCs w:val="14"/>
                <w:lang w:val="fr-CA"/>
              </w:rPr>
              <w:t>% féminin du total</w:t>
            </w:r>
          </w:p>
        </w:tc>
      </w:tr>
      <w:tr w:rsidR="00A10274">
        <w:trPr>
          <w:trHeight w:val="240"/>
        </w:trPr>
        <w:tc>
          <w:tcPr>
            <w:tcW w:w="1220"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bCs/>
                <w:sz w:val="18"/>
                <w:szCs w:val="18"/>
                <w:lang w:val="fr-CA"/>
              </w:rPr>
            </w:pPr>
            <w:r>
              <w:rPr>
                <w:bCs/>
                <w:sz w:val="18"/>
                <w:szCs w:val="18"/>
                <w:lang w:val="fr-CA"/>
              </w:rPr>
              <w:t>2010</w:t>
            </w:r>
          </w:p>
        </w:tc>
        <w:tc>
          <w:tcPr>
            <w:tcW w:w="1541"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14 642</w:t>
            </w:r>
          </w:p>
        </w:tc>
        <w:tc>
          <w:tcPr>
            <w:tcW w:w="1473"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10 535</w:t>
            </w:r>
          </w:p>
        </w:tc>
        <w:tc>
          <w:tcPr>
            <w:tcW w:w="1475"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25 177</w:t>
            </w:r>
          </w:p>
        </w:tc>
        <w:tc>
          <w:tcPr>
            <w:tcW w:w="1626"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58,1</w:t>
            </w:r>
          </w:p>
        </w:tc>
      </w:tr>
      <w:tr w:rsidR="00A10274">
        <w:trPr>
          <w:trHeight w:val="240"/>
        </w:trPr>
        <w:tc>
          <w:tcPr>
            <w:tcW w:w="1220" w:type="dxa"/>
            <w:shd w:val="clear" w:color="auto" w:fill="auto"/>
          </w:tcPr>
          <w:p w:rsidR="00A10274" w:rsidRDefault="00A10274">
            <w:pPr>
              <w:pStyle w:val="SingleTxtG"/>
              <w:suppressAutoHyphens w:val="0"/>
              <w:spacing w:before="40" w:after="40" w:line="240" w:lineRule="auto"/>
              <w:ind w:left="0" w:right="0"/>
              <w:jc w:val="left"/>
              <w:rPr>
                <w:bCs/>
                <w:sz w:val="18"/>
                <w:szCs w:val="18"/>
                <w:lang w:val="fr-CA"/>
              </w:rPr>
            </w:pPr>
            <w:r>
              <w:rPr>
                <w:bCs/>
                <w:sz w:val="18"/>
                <w:szCs w:val="18"/>
                <w:lang w:val="fr-CA"/>
              </w:rPr>
              <w:t>2011</w:t>
            </w:r>
          </w:p>
        </w:tc>
        <w:tc>
          <w:tcPr>
            <w:tcW w:w="1541"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12 717</w:t>
            </w:r>
          </w:p>
        </w:tc>
        <w:tc>
          <w:tcPr>
            <w:tcW w:w="1473"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8 910</w:t>
            </w:r>
          </w:p>
        </w:tc>
        <w:tc>
          <w:tcPr>
            <w:tcW w:w="1475"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21 627</w:t>
            </w:r>
          </w:p>
        </w:tc>
        <w:tc>
          <w:tcPr>
            <w:tcW w:w="1626" w:type="dxa"/>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58,8</w:t>
            </w:r>
          </w:p>
        </w:tc>
      </w:tr>
      <w:tr w:rsidR="00A10274">
        <w:trPr>
          <w:trHeight w:val="240"/>
        </w:trPr>
        <w:tc>
          <w:tcPr>
            <w:tcW w:w="1220" w:type="dxa"/>
            <w:tcBorders>
              <w:bottom w:val="single" w:sz="6" w:space="0" w:color="auto"/>
            </w:tcBorders>
            <w:shd w:val="clear" w:color="auto" w:fill="auto"/>
          </w:tcPr>
          <w:p w:rsidR="00A10274" w:rsidRDefault="00A10274">
            <w:pPr>
              <w:pStyle w:val="SingleTxtG"/>
              <w:suppressAutoHyphens w:val="0"/>
              <w:spacing w:before="40" w:after="40" w:line="240" w:lineRule="auto"/>
              <w:ind w:left="0" w:right="0"/>
              <w:jc w:val="left"/>
              <w:rPr>
                <w:bCs/>
                <w:sz w:val="18"/>
                <w:szCs w:val="18"/>
                <w:lang w:val="fr-CA"/>
              </w:rPr>
            </w:pPr>
            <w:r>
              <w:rPr>
                <w:bCs/>
                <w:sz w:val="18"/>
                <w:szCs w:val="18"/>
                <w:lang w:val="fr-CA"/>
              </w:rPr>
              <w:t>2012</w:t>
            </w:r>
          </w:p>
        </w:tc>
        <w:tc>
          <w:tcPr>
            <w:tcW w:w="1541"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12 448</w:t>
            </w:r>
          </w:p>
        </w:tc>
        <w:tc>
          <w:tcPr>
            <w:tcW w:w="1473"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8 531</w:t>
            </w:r>
          </w:p>
        </w:tc>
        <w:tc>
          <w:tcPr>
            <w:tcW w:w="1475"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20 979</w:t>
            </w:r>
          </w:p>
        </w:tc>
        <w:tc>
          <w:tcPr>
            <w:tcW w:w="1626"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bCs/>
                <w:sz w:val="18"/>
                <w:szCs w:val="18"/>
                <w:lang w:val="fr-CA"/>
              </w:rPr>
            </w:pPr>
            <w:r>
              <w:rPr>
                <w:bCs/>
                <w:sz w:val="18"/>
                <w:szCs w:val="18"/>
                <w:lang w:val="fr-CA"/>
              </w:rPr>
              <w:t>59,3</w:t>
            </w:r>
          </w:p>
        </w:tc>
      </w:tr>
      <w:tr w:rsidR="00A10274">
        <w:trPr>
          <w:trHeight w:val="240"/>
        </w:trPr>
        <w:tc>
          <w:tcPr>
            <w:tcW w:w="1220" w:type="dxa"/>
            <w:tcBorders>
              <w:top w:val="single" w:sz="6" w:space="0" w:color="auto"/>
              <w:bottom w:val="single" w:sz="12" w:space="0" w:color="auto"/>
            </w:tcBorders>
            <w:shd w:val="clear" w:color="auto" w:fill="auto"/>
          </w:tcPr>
          <w:p w:rsidR="00A10274" w:rsidRDefault="00A10274">
            <w:pPr>
              <w:pStyle w:val="SingleTxtG"/>
              <w:suppressAutoHyphens w:val="0"/>
              <w:spacing w:before="80" w:after="80" w:line="240" w:lineRule="auto"/>
              <w:ind w:left="0" w:right="0"/>
              <w:jc w:val="left"/>
              <w:rPr>
                <w:b/>
                <w:bCs/>
                <w:sz w:val="18"/>
                <w:szCs w:val="18"/>
                <w:lang w:val="fr-CA"/>
              </w:rPr>
            </w:pPr>
            <w:r>
              <w:rPr>
                <w:b/>
                <w:bCs/>
                <w:sz w:val="18"/>
                <w:szCs w:val="18"/>
                <w:lang w:val="fr-CA"/>
              </w:rPr>
              <w:t>Total</w:t>
            </w:r>
          </w:p>
        </w:tc>
        <w:tc>
          <w:tcPr>
            <w:tcW w:w="1541"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bCs/>
                <w:sz w:val="18"/>
                <w:szCs w:val="18"/>
                <w:lang w:val="fr-CA"/>
              </w:rPr>
            </w:pPr>
            <w:r>
              <w:rPr>
                <w:b/>
                <w:bCs/>
                <w:sz w:val="18"/>
                <w:szCs w:val="18"/>
                <w:lang w:val="fr-CA"/>
              </w:rPr>
              <w:t>52 435</w:t>
            </w:r>
          </w:p>
        </w:tc>
        <w:tc>
          <w:tcPr>
            <w:tcW w:w="1473"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bCs/>
                <w:sz w:val="18"/>
                <w:szCs w:val="18"/>
                <w:lang w:val="fr-CA"/>
              </w:rPr>
            </w:pPr>
            <w:r>
              <w:rPr>
                <w:b/>
                <w:bCs/>
                <w:sz w:val="18"/>
                <w:szCs w:val="18"/>
                <w:lang w:val="fr-CA"/>
              </w:rPr>
              <w:t>36 466</w:t>
            </w:r>
          </w:p>
        </w:tc>
        <w:tc>
          <w:tcPr>
            <w:tcW w:w="147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bCs/>
                <w:sz w:val="18"/>
                <w:szCs w:val="18"/>
                <w:lang w:val="fr-CA"/>
              </w:rPr>
            </w:pPr>
            <w:r>
              <w:rPr>
                <w:b/>
                <w:bCs/>
                <w:sz w:val="18"/>
                <w:szCs w:val="18"/>
                <w:lang w:val="fr-CA"/>
              </w:rPr>
              <w:t>88 901</w:t>
            </w:r>
          </w:p>
        </w:tc>
        <w:tc>
          <w:tcPr>
            <w:tcW w:w="1626"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bCs/>
                <w:sz w:val="18"/>
                <w:szCs w:val="18"/>
                <w:lang w:val="fr-CA"/>
              </w:rPr>
            </w:pPr>
            <w:r>
              <w:rPr>
                <w:b/>
                <w:bCs/>
                <w:sz w:val="18"/>
                <w:szCs w:val="18"/>
                <w:lang w:val="fr-CA"/>
              </w:rPr>
              <w:t>59,0</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numPr>
          <w:ilvl w:val="0"/>
          <w:numId w:val="8"/>
        </w:numPr>
        <w:rPr>
          <w:lang w:val="fr-CA"/>
        </w:rPr>
      </w:pPr>
      <w:r>
        <w:rPr>
          <w:lang w:val="fr-CA"/>
        </w:rPr>
        <w:t>Comme le montre le tableau 45, la majorité des bénéficiaires du système d’épargne et de microcrédit dans la région Sud sont des femmes. Leur taux de participation n’a cessé de croitre au cours des quatre dernières années.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Activités récréatives</w:t>
      </w:r>
    </w:p>
    <w:p w:rsidR="00A10274" w:rsidRDefault="00A10274">
      <w:pPr>
        <w:pStyle w:val="SingleTxt"/>
        <w:keepNext/>
        <w:spacing w:after="0" w:line="120" w:lineRule="exact"/>
        <w:rPr>
          <w:sz w:val="10"/>
          <w:lang w:val="fr-CA"/>
        </w:rPr>
      </w:pPr>
    </w:p>
    <w:p w:rsidR="00A10274" w:rsidRDefault="00A10274">
      <w:pPr>
        <w:pStyle w:val="SingleTxt"/>
        <w:keepNext/>
        <w:spacing w:after="0" w:line="120" w:lineRule="exact"/>
        <w:rPr>
          <w:sz w:val="10"/>
          <w:lang w:val="fr-CA"/>
        </w:rPr>
      </w:pPr>
    </w:p>
    <w:p w:rsidR="00A10274" w:rsidRDefault="00A10274">
      <w:pPr>
        <w:pStyle w:val="SingleTxt"/>
        <w:numPr>
          <w:ilvl w:val="0"/>
          <w:numId w:val="10"/>
        </w:numPr>
        <w:rPr>
          <w:lang w:val="fr-CA"/>
        </w:rPr>
      </w:pPr>
      <w:r>
        <w:rPr>
          <w:lang w:val="fr-CA"/>
        </w:rPr>
        <w:t>La participation féminine aux sports et autres activités culturelles récréatives augmente progressivement. Il n’y a pas d’activité sportive à laquelle les femmes ne prennent une part active, et cela non seulement dans les sports eux-mêmes, mais aussi dans les organismes de gestion comme les fédérations et les comités. Le tableau 46 montre la part que prennent les femmes dans la fédération nationale érythréenne de football.</w:t>
      </w:r>
    </w:p>
    <w:p w:rsidR="00A10274" w:rsidRDefault="00A10274">
      <w:pPr>
        <w:pStyle w:val="SingleTxt"/>
        <w:numPr>
          <w:ilvl w:val="0"/>
          <w:numId w:val="10"/>
        </w:numPr>
        <w:rPr>
          <w:lang w:val="fr-CA"/>
        </w:rPr>
      </w:pPr>
      <w:r>
        <w:rPr>
          <w:lang w:val="fr-CA"/>
        </w:rPr>
        <w:t>Chaque fédération sportive compte sept chefs du service administratif, dont un siège est réservé aux femmes, celles-ci ayant la possibilité de présenter leur candidature pour les six autres. En outre, un comité de femmes siège dans la commission nationale des sports. Il s’agit d’étudier et d’encourager les femmes à participer aux activités sportives. Il y a aussi une femme parmi les membres du Comité olympique.</w:t>
      </w:r>
    </w:p>
    <w:p w:rsidR="00A10274" w:rsidRDefault="00A10274">
      <w:pPr>
        <w:pStyle w:val="SingleTxt"/>
        <w:numPr>
          <w:ilvl w:val="0"/>
          <w:numId w:val="10"/>
        </w:numPr>
        <w:rPr>
          <w:lang w:val="fr-CA"/>
        </w:rPr>
      </w:pPr>
      <w:r>
        <w:rPr>
          <w:lang w:val="fr-CA"/>
        </w:rPr>
        <w:t>Le tableau 33 montre la participation des femmes dans les diverses équipes sportives. Si l’écrasante majorité d’entre elles participe au football, qui est le sport le plus populaire du pays, elles ont en fait part à tous les sports sans exception, chose impensable il y a seulement quelques années et qui témoigne du fait que les femmes progressent dans toutes les sphères de la vie.</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r>
      <w:r>
        <w:rPr>
          <w:b w:val="0"/>
          <w:lang w:val="fr-CA"/>
        </w:rPr>
        <w:t>Tableau 33</w:t>
      </w:r>
      <w:r>
        <w:rPr>
          <w:lang w:val="fr-CA"/>
        </w:rPr>
        <w:br/>
        <w:t>Participation des femmes à diverses activités sportives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44" w:type="dxa"/>
        <w:tblInd w:w="1269" w:type="dxa"/>
        <w:tblBorders>
          <w:top w:val="single" w:sz="4" w:space="0" w:color="auto"/>
        </w:tblBorders>
        <w:tblCellMar>
          <w:left w:w="0" w:type="dxa"/>
          <w:right w:w="0" w:type="dxa"/>
        </w:tblCellMar>
        <w:tblLook w:val="04A0"/>
      </w:tblPr>
      <w:tblGrid>
        <w:gridCol w:w="716"/>
        <w:gridCol w:w="1661"/>
        <w:gridCol w:w="1765"/>
        <w:gridCol w:w="1335"/>
        <w:gridCol w:w="1867"/>
        <w:tblGridChange w:id="2">
          <w:tblGrid>
            <w:gridCol w:w="716"/>
            <w:gridCol w:w="1661"/>
            <w:gridCol w:w="1765"/>
            <w:gridCol w:w="1335"/>
            <w:gridCol w:w="1867"/>
          </w:tblGrid>
        </w:tblGridChange>
      </w:tblGrid>
      <w:tr w:rsidR="00A10274">
        <w:trPr>
          <w:trHeight w:val="240"/>
          <w:tblHeader/>
        </w:trPr>
        <w:tc>
          <w:tcPr>
            <w:tcW w:w="716"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Dans l’ordre</w:t>
            </w:r>
          </w:p>
        </w:tc>
        <w:tc>
          <w:tcPr>
            <w:tcW w:w="1661"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Type de sports</w:t>
            </w:r>
          </w:p>
        </w:tc>
        <w:tc>
          <w:tcPr>
            <w:tcW w:w="1765"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Nombre de femmes</w:t>
            </w:r>
          </w:p>
        </w:tc>
        <w:tc>
          <w:tcPr>
            <w:tcW w:w="1335"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Total</w:t>
            </w:r>
          </w:p>
        </w:tc>
        <w:tc>
          <w:tcPr>
            <w:tcW w:w="1867"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 de femmes</w:t>
            </w:r>
          </w:p>
        </w:tc>
      </w:tr>
      <w:tr w:rsidR="00A10274">
        <w:trPr>
          <w:trHeight w:val="240"/>
        </w:trPr>
        <w:tc>
          <w:tcPr>
            <w:tcW w:w="716"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7"/>
                <w:szCs w:val="17"/>
                <w:lang w:val="fr-CA"/>
              </w:rPr>
            </w:pPr>
            <w:r>
              <w:rPr>
                <w:sz w:val="17"/>
                <w:szCs w:val="17"/>
                <w:lang w:val="fr-CA"/>
              </w:rPr>
              <w:t>1.</w:t>
            </w:r>
          </w:p>
        </w:tc>
        <w:tc>
          <w:tcPr>
            <w:tcW w:w="1661"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Football</w:t>
            </w:r>
          </w:p>
        </w:tc>
        <w:tc>
          <w:tcPr>
            <w:tcW w:w="1765"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7 580</w:t>
            </w:r>
          </w:p>
        </w:tc>
        <w:tc>
          <w:tcPr>
            <w:tcW w:w="1335"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47 754</w:t>
            </w:r>
          </w:p>
        </w:tc>
        <w:tc>
          <w:tcPr>
            <w:tcW w:w="1867"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15,9 %</w:t>
            </w:r>
          </w:p>
        </w:tc>
      </w:tr>
      <w:tr w:rsidR="00A10274">
        <w:trPr>
          <w:trHeight w:val="240"/>
        </w:trPr>
        <w:tc>
          <w:tcPr>
            <w:tcW w:w="716" w:type="dxa"/>
            <w:shd w:val="clear" w:color="auto" w:fill="auto"/>
          </w:tcPr>
          <w:p w:rsidR="00A10274" w:rsidRDefault="00A10274">
            <w:pPr>
              <w:pStyle w:val="SingleTxtG"/>
              <w:suppressAutoHyphens w:val="0"/>
              <w:spacing w:before="40" w:after="40" w:line="240" w:lineRule="auto"/>
              <w:ind w:left="0" w:right="0"/>
              <w:jc w:val="left"/>
              <w:rPr>
                <w:sz w:val="17"/>
                <w:szCs w:val="17"/>
                <w:lang w:val="fr-CA"/>
              </w:rPr>
            </w:pPr>
            <w:r>
              <w:rPr>
                <w:sz w:val="17"/>
                <w:szCs w:val="17"/>
                <w:lang w:val="fr-CA"/>
              </w:rPr>
              <w:t>2.</w:t>
            </w:r>
          </w:p>
        </w:tc>
        <w:tc>
          <w:tcPr>
            <w:tcW w:w="1661"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Athlétisme</w:t>
            </w:r>
          </w:p>
        </w:tc>
        <w:tc>
          <w:tcPr>
            <w:tcW w:w="1765"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250</w:t>
            </w:r>
          </w:p>
        </w:tc>
        <w:tc>
          <w:tcPr>
            <w:tcW w:w="1335"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1 325</w:t>
            </w:r>
          </w:p>
        </w:tc>
        <w:tc>
          <w:tcPr>
            <w:tcW w:w="1867"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18,9 %</w:t>
            </w:r>
          </w:p>
        </w:tc>
      </w:tr>
      <w:tr w:rsidR="00A10274">
        <w:trPr>
          <w:trHeight w:val="240"/>
        </w:trPr>
        <w:tc>
          <w:tcPr>
            <w:tcW w:w="716" w:type="dxa"/>
            <w:shd w:val="clear" w:color="auto" w:fill="auto"/>
          </w:tcPr>
          <w:p w:rsidR="00A10274" w:rsidRDefault="00A10274">
            <w:pPr>
              <w:pStyle w:val="SingleTxtG"/>
              <w:suppressAutoHyphens w:val="0"/>
              <w:spacing w:before="40" w:after="40" w:line="240" w:lineRule="auto"/>
              <w:ind w:left="0" w:right="0"/>
              <w:jc w:val="left"/>
              <w:rPr>
                <w:sz w:val="17"/>
                <w:szCs w:val="17"/>
                <w:lang w:val="fr-CA"/>
              </w:rPr>
            </w:pPr>
            <w:r>
              <w:rPr>
                <w:sz w:val="17"/>
                <w:szCs w:val="17"/>
                <w:lang w:val="fr-CA"/>
              </w:rPr>
              <w:t>3.</w:t>
            </w:r>
          </w:p>
        </w:tc>
        <w:tc>
          <w:tcPr>
            <w:tcW w:w="1661"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Cyclisme</w:t>
            </w:r>
          </w:p>
        </w:tc>
        <w:tc>
          <w:tcPr>
            <w:tcW w:w="1765"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254</w:t>
            </w:r>
          </w:p>
        </w:tc>
        <w:tc>
          <w:tcPr>
            <w:tcW w:w="1335"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1 778</w:t>
            </w:r>
          </w:p>
        </w:tc>
        <w:tc>
          <w:tcPr>
            <w:tcW w:w="1867"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14,3 %</w:t>
            </w:r>
          </w:p>
        </w:tc>
      </w:tr>
      <w:tr w:rsidR="00A10274">
        <w:trPr>
          <w:trHeight w:val="240"/>
        </w:trPr>
        <w:tc>
          <w:tcPr>
            <w:tcW w:w="716" w:type="dxa"/>
            <w:shd w:val="clear" w:color="auto" w:fill="auto"/>
          </w:tcPr>
          <w:p w:rsidR="00A10274" w:rsidRDefault="00A10274">
            <w:pPr>
              <w:pStyle w:val="SingleTxtG"/>
              <w:suppressAutoHyphens w:val="0"/>
              <w:spacing w:before="40" w:after="40" w:line="240" w:lineRule="auto"/>
              <w:ind w:left="0" w:right="0"/>
              <w:jc w:val="left"/>
              <w:rPr>
                <w:sz w:val="17"/>
                <w:szCs w:val="17"/>
                <w:lang w:val="fr-CA"/>
              </w:rPr>
            </w:pPr>
            <w:r>
              <w:rPr>
                <w:sz w:val="17"/>
                <w:szCs w:val="17"/>
                <w:lang w:val="fr-CA"/>
              </w:rPr>
              <w:t>4</w:t>
            </w:r>
          </w:p>
        </w:tc>
        <w:tc>
          <w:tcPr>
            <w:tcW w:w="1661"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Basketball</w:t>
            </w:r>
          </w:p>
        </w:tc>
        <w:tc>
          <w:tcPr>
            <w:tcW w:w="1765"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200</w:t>
            </w:r>
          </w:p>
        </w:tc>
        <w:tc>
          <w:tcPr>
            <w:tcW w:w="1335"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940</w:t>
            </w:r>
          </w:p>
        </w:tc>
        <w:tc>
          <w:tcPr>
            <w:tcW w:w="1867"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21,3 %</w:t>
            </w:r>
          </w:p>
        </w:tc>
      </w:tr>
      <w:tr w:rsidR="00A10274">
        <w:trPr>
          <w:trHeight w:val="240"/>
        </w:trPr>
        <w:tc>
          <w:tcPr>
            <w:tcW w:w="716" w:type="dxa"/>
            <w:shd w:val="clear" w:color="auto" w:fill="auto"/>
          </w:tcPr>
          <w:p w:rsidR="00A10274" w:rsidRDefault="00A10274">
            <w:pPr>
              <w:pStyle w:val="SingleTxtG"/>
              <w:suppressAutoHyphens w:val="0"/>
              <w:spacing w:before="40" w:after="40" w:line="240" w:lineRule="auto"/>
              <w:ind w:left="0" w:right="0"/>
              <w:jc w:val="left"/>
              <w:rPr>
                <w:sz w:val="17"/>
                <w:szCs w:val="17"/>
                <w:lang w:val="fr-CA"/>
              </w:rPr>
            </w:pPr>
            <w:r>
              <w:rPr>
                <w:sz w:val="17"/>
                <w:szCs w:val="17"/>
                <w:lang w:val="fr-CA"/>
              </w:rPr>
              <w:t>5</w:t>
            </w:r>
          </w:p>
        </w:tc>
        <w:tc>
          <w:tcPr>
            <w:tcW w:w="1661"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Volleyball</w:t>
            </w:r>
          </w:p>
        </w:tc>
        <w:tc>
          <w:tcPr>
            <w:tcW w:w="1765"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205</w:t>
            </w:r>
          </w:p>
        </w:tc>
        <w:tc>
          <w:tcPr>
            <w:tcW w:w="1335"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1 148</w:t>
            </w:r>
          </w:p>
        </w:tc>
        <w:tc>
          <w:tcPr>
            <w:tcW w:w="1867"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17,9 %</w:t>
            </w:r>
          </w:p>
        </w:tc>
      </w:tr>
      <w:tr w:rsidR="00A10274">
        <w:trPr>
          <w:trHeight w:val="240"/>
        </w:trPr>
        <w:tc>
          <w:tcPr>
            <w:tcW w:w="716" w:type="dxa"/>
            <w:shd w:val="clear" w:color="auto" w:fill="auto"/>
          </w:tcPr>
          <w:p w:rsidR="00A10274" w:rsidRDefault="00A10274">
            <w:pPr>
              <w:pStyle w:val="SingleTxtG"/>
              <w:suppressAutoHyphens w:val="0"/>
              <w:spacing w:before="40" w:after="40" w:line="240" w:lineRule="auto"/>
              <w:ind w:left="0" w:right="0"/>
              <w:jc w:val="left"/>
              <w:rPr>
                <w:sz w:val="17"/>
                <w:szCs w:val="17"/>
                <w:lang w:val="fr-CA"/>
              </w:rPr>
            </w:pPr>
            <w:r>
              <w:rPr>
                <w:sz w:val="17"/>
                <w:szCs w:val="17"/>
                <w:lang w:val="fr-CA"/>
              </w:rPr>
              <w:t>6.</w:t>
            </w:r>
          </w:p>
        </w:tc>
        <w:tc>
          <w:tcPr>
            <w:tcW w:w="1661"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Tennis</w:t>
            </w:r>
          </w:p>
        </w:tc>
        <w:tc>
          <w:tcPr>
            <w:tcW w:w="1765"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50</w:t>
            </w:r>
          </w:p>
        </w:tc>
        <w:tc>
          <w:tcPr>
            <w:tcW w:w="1335"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310</w:t>
            </w:r>
          </w:p>
        </w:tc>
        <w:tc>
          <w:tcPr>
            <w:tcW w:w="1867"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16,1 %</w:t>
            </w:r>
          </w:p>
        </w:tc>
      </w:tr>
      <w:tr w:rsidR="00A10274">
        <w:trPr>
          <w:trHeight w:val="240"/>
        </w:trPr>
        <w:tc>
          <w:tcPr>
            <w:tcW w:w="716" w:type="dxa"/>
            <w:shd w:val="clear" w:color="auto" w:fill="auto"/>
          </w:tcPr>
          <w:p w:rsidR="00A10274" w:rsidRDefault="00A10274">
            <w:pPr>
              <w:pStyle w:val="SingleTxtG"/>
              <w:suppressAutoHyphens w:val="0"/>
              <w:spacing w:before="40" w:after="40" w:line="240" w:lineRule="auto"/>
              <w:ind w:left="0" w:right="0"/>
              <w:jc w:val="left"/>
              <w:rPr>
                <w:sz w:val="17"/>
                <w:szCs w:val="17"/>
                <w:lang w:val="fr-CA"/>
              </w:rPr>
            </w:pPr>
            <w:r>
              <w:rPr>
                <w:sz w:val="17"/>
                <w:szCs w:val="17"/>
                <w:lang w:val="fr-CA"/>
              </w:rPr>
              <w:t>7.</w:t>
            </w:r>
          </w:p>
        </w:tc>
        <w:tc>
          <w:tcPr>
            <w:tcW w:w="1661"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Badminton</w:t>
            </w:r>
          </w:p>
        </w:tc>
        <w:tc>
          <w:tcPr>
            <w:tcW w:w="1765"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190</w:t>
            </w:r>
          </w:p>
        </w:tc>
        <w:tc>
          <w:tcPr>
            <w:tcW w:w="1335"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585</w:t>
            </w:r>
          </w:p>
        </w:tc>
        <w:tc>
          <w:tcPr>
            <w:tcW w:w="1867" w:type="dxa"/>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48,1 %</w:t>
            </w:r>
          </w:p>
        </w:tc>
      </w:tr>
      <w:tr w:rsidR="00A10274">
        <w:trPr>
          <w:trHeight w:val="240"/>
        </w:trPr>
        <w:tc>
          <w:tcPr>
            <w:tcW w:w="716" w:type="dxa"/>
            <w:tcBorders>
              <w:bottom w:val="single" w:sz="6" w:space="0" w:color="auto"/>
            </w:tcBorders>
            <w:shd w:val="clear" w:color="auto" w:fill="auto"/>
          </w:tcPr>
          <w:p w:rsidR="00A10274" w:rsidRDefault="00A10274">
            <w:pPr>
              <w:pStyle w:val="SingleTxtG"/>
              <w:suppressAutoHyphens w:val="0"/>
              <w:spacing w:before="40" w:after="40" w:line="240" w:lineRule="auto"/>
              <w:ind w:left="0" w:right="0"/>
              <w:jc w:val="left"/>
              <w:rPr>
                <w:sz w:val="17"/>
                <w:szCs w:val="17"/>
                <w:lang w:val="fr-CA"/>
              </w:rPr>
            </w:pPr>
            <w:r>
              <w:rPr>
                <w:sz w:val="17"/>
                <w:szCs w:val="17"/>
                <w:lang w:val="fr-CA"/>
              </w:rPr>
              <w:t>8.</w:t>
            </w:r>
          </w:p>
        </w:tc>
        <w:tc>
          <w:tcPr>
            <w:tcW w:w="1661"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Tennis de table</w:t>
            </w:r>
          </w:p>
        </w:tc>
        <w:tc>
          <w:tcPr>
            <w:tcW w:w="1765"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300</w:t>
            </w:r>
          </w:p>
        </w:tc>
        <w:tc>
          <w:tcPr>
            <w:tcW w:w="1335"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2 175</w:t>
            </w:r>
          </w:p>
        </w:tc>
        <w:tc>
          <w:tcPr>
            <w:tcW w:w="1867"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7"/>
                <w:szCs w:val="17"/>
                <w:lang w:val="fr-CA"/>
              </w:rPr>
            </w:pPr>
            <w:r>
              <w:rPr>
                <w:sz w:val="17"/>
                <w:szCs w:val="17"/>
                <w:lang w:val="fr-CA"/>
              </w:rPr>
              <w:t>13,8 %</w:t>
            </w:r>
          </w:p>
        </w:tc>
      </w:tr>
      <w:tr w:rsidR="00A10274">
        <w:trPr>
          <w:trHeight w:val="240"/>
        </w:trPr>
        <w:tc>
          <w:tcPr>
            <w:tcW w:w="716" w:type="dxa"/>
            <w:tcBorders>
              <w:top w:val="single" w:sz="6" w:space="0" w:color="auto"/>
              <w:bottom w:val="single" w:sz="12" w:space="0" w:color="auto"/>
            </w:tcBorders>
            <w:shd w:val="clear" w:color="auto" w:fill="auto"/>
          </w:tcPr>
          <w:p w:rsidR="00A10274" w:rsidRDefault="00A10274">
            <w:pPr>
              <w:pStyle w:val="SingleTxtG"/>
              <w:suppressAutoHyphens w:val="0"/>
              <w:spacing w:before="80" w:after="80" w:line="240" w:lineRule="auto"/>
              <w:ind w:left="0" w:right="0"/>
              <w:jc w:val="left"/>
              <w:rPr>
                <w:b/>
                <w:sz w:val="17"/>
                <w:szCs w:val="17"/>
                <w:lang w:val="fr-CA"/>
              </w:rPr>
            </w:pPr>
          </w:p>
        </w:tc>
        <w:tc>
          <w:tcPr>
            <w:tcW w:w="1661"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7"/>
                <w:szCs w:val="17"/>
                <w:lang w:val="fr-CA"/>
              </w:rPr>
            </w:pPr>
            <w:r>
              <w:rPr>
                <w:b/>
                <w:sz w:val="17"/>
                <w:szCs w:val="17"/>
                <w:lang w:val="fr-CA"/>
              </w:rPr>
              <w:t>Total</w:t>
            </w:r>
          </w:p>
        </w:tc>
        <w:tc>
          <w:tcPr>
            <w:tcW w:w="176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7"/>
                <w:szCs w:val="17"/>
                <w:lang w:val="fr-CA"/>
              </w:rPr>
            </w:pPr>
            <w:r>
              <w:rPr>
                <w:b/>
                <w:sz w:val="17"/>
                <w:szCs w:val="17"/>
                <w:lang w:val="fr-CA"/>
              </w:rPr>
              <w:t>9 029</w:t>
            </w:r>
          </w:p>
        </w:tc>
        <w:tc>
          <w:tcPr>
            <w:tcW w:w="133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7"/>
                <w:szCs w:val="17"/>
                <w:lang w:val="fr-CA"/>
              </w:rPr>
            </w:pPr>
            <w:r>
              <w:rPr>
                <w:b/>
                <w:sz w:val="17"/>
                <w:szCs w:val="17"/>
                <w:lang w:val="fr-CA"/>
              </w:rPr>
              <w:t>56 015</w:t>
            </w:r>
          </w:p>
        </w:tc>
        <w:tc>
          <w:tcPr>
            <w:tcW w:w="1867"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7"/>
                <w:szCs w:val="17"/>
                <w:lang w:val="fr-CA"/>
              </w:rPr>
            </w:pPr>
            <w:r>
              <w:rPr>
                <w:b/>
                <w:sz w:val="17"/>
                <w:szCs w:val="17"/>
                <w:lang w:val="fr-CA"/>
              </w:rPr>
              <w:t>16,1 %</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Beaux-arts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numPr>
          <w:ilvl w:val="0"/>
          <w:numId w:val="10"/>
        </w:numPr>
        <w:rPr>
          <w:lang w:val="fr-CA"/>
        </w:rPr>
      </w:pPr>
      <w:r>
        <w:rPr>
          <w:lang w:val="fr-CA"/>
        </w:rPr>
        <w:t>Les données qui existent sur la participation des femmes aux différentes activités relatives aux beaux-arts sont dispersées et rares, mais les femmes sont présentes dans tous les domaines qui s’y rapportent. Cela comprend notamment l’artisanat, la haute couture, la musique, le théâtre, la peinture, la création et la direction de films.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Article 14</w:t>
      </w:r>
      <w:r>
        <w:rPr>
          <w:lang w:val="fr-CA"/>
        </w:rPr>
        <w:br/>
        <w:t>Les femmes dans les zones rurales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numPr>
          <w:ilvl w:val="0"/>
          <w:numId w:val="10"/>
        </w:numPr>
        <w:rPr>
          <w:lang w:val="fr-CA"/>
        </w:rPr>
      </w:pPr>
      <w:r>
        <w:rPr>
          <w:lang w:val="fr-CA"/>
        </w:rPr>
        <w:t>Les gains de subsistance des femmes des zones rurales ne cessent de s’améliorer suite à plusieurs interventions dont fait l’objet l’ensemble du pays. Traditionnellement, les femmes rurales ont été socialement et économiquement désavantagées et contraintes de supporter d’horribles conditions de vie. Mais la construction de routes, la mise en place de services de santé, l’éducation, l’adduction d’eau, l’électrification, les moulins à farine et autres services de base qui ont fait leur apparition dans l’ensemble du pays ont apporté des changements drastiques dans la qualité de vie des rurales et de leurs familles.</w:t>
      </w:r>
    </w:p>
    <w:p w:rsidR="00A10274" w:rsidRDefault="00A10274">
      <w:pPr>
        <w:pStyle w:val="SingleTxt"/>
        <w:numPr>
          <w:ilvl w:val="0"/>
          <w:numId w:val="10"/>
        </w:numPr>
        <w:rPr>
          <w:lang w:val="fr-CA"/>
        </w:rPr>
      </w:pPr>
      <w:r>
        <w:rPr>
          <w:lang w:val="fr-CA"/>
        </w:rPr>
        <w:t>Les facilités de crédit proposées par les diverses institutions déjà mentionnées rendent les femmes économiquement et socialement plus autonomes. Elles sortent de leurs engagements de reproduction routinière pour participer à diverses activités économiques comme le commerce, l’horticulture, l’exploitation laitière, l’embouche animale et beaucoup d’autres petites entreprises. Il faut savoir que la majorité des systèmes de crédit s’adressent aux femmes rurales.</w:t>
      </w:r>
    </w:p>
    <w:p w:rsidR="00A10274" w:rsidRDefault="00A10274">
      <w:pPr>
        <w:pStyle w:val="SingleTxt"/>
        <w:numPr>
          <w:ilvl w:val="0"/>
          <w:numId w:val="10"/>
        </w:numPr>
        <w:rPr>
          <w:lang w:val="fr-CA"/>
        </w:rPr>
      </w:pPr>
      <w:r>
        <w:rPr>
          <w:lang w:val="fr-CA"/>
        </w:rPr>
        <w:t>Le Ministère de l’agriculture s’est, durant les quatre dernières années (2009-2012), employé à former les femmes à la construction de poêles à forte intensité énergétique. Ainsi, environ 39 709 femmes rurales ont été formées aux techniques de fabrication de poêles moins consommateurs de combustible. La fabrication des poêles permet aux femmes de consacrer moins de temps et d’énergie à la recherche de bois de feu, ce qui est bon pour leur santé en ce qu’elles sont ainsi moins exposées à la fumée et bon également pour l’environnement dont cela réduit la dégradation.</w:t>
      </w:r>
    </w:p>
    <w:p w:rsidR="00A10274" w:rsidRDefault="00A10274">
      <w:pPr>
        <w:pStyle w:val="SingleTxt"/>
        <w:numPr>
          <w:ilvl w:val="0"/>
          <w:numId w:val="10"/>
        </w:numPr>
        <w:rPr>
          <w:lang w:val="fr-CA"/>
        </w:rPr>
      </w:pPr>
      <w:r>
        <w:rPr>
          <w:lang w:val="fr-CA"/>
        </w:rPr>
        <w:t>Par ailleurs, le Ministère a assuré aux rurales des formations en production céréalière, en horticulture, en protection des sols et des eaux, en élevage de bétail et en économie domestique afin de les aider à mieux gérer leur agriculture et leurs activités domestiques. Les coopératives d’agricultrices font leur apparition en production horticole dans de nombreux villages.</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34</w:t>
      </w:r>
      <w:r>
        <w:rPr>
          <w:lang w:val="fr-CA"/>
        </w:rPr>
        <w:br/>
        <w:t xml:space="preserve">Femmes rurales formées à l’acquisition de diverses compétences </w:t>
      </w:r>
      <w:r>
        <w:rPr>
          <w:lang w:val="fr-CA"/>
        </w:rPr>
        <w:br/>
        <w:t>par rapport aux hommes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vertAlign w:val="superscript"/>
          <w:lang w:val="fr-CA"/>
        </w:rPr>
      </w:pPr>
    </w:p>
    <w:tbl>
      <w:tblPr>
        <w:tblW w:w="0" w:type="auto"/>
        <w:tblInd w:w="1276" w:type="dxa"/>
        <w:tblBorders>
          <w:top w:val="single" w:sz="4" w:space="0" w:color="auto"/>
        </w:tblBorders>
        <w:tblCellMar>
          <w:left w:w="0" w:type="dxa"/>
          <w:right w:w="0" w:type="dxa"/>
        </w:tblCellMar>
        <w:tblLook w:val="01E0"/>
      </w:tblPr>
      <w:tblGrid>
        <w:gridCol w:w="567"/>
        <w:gridCol w:w="3525"/>
        <w:gridCol w:w="784"/>
        <w:gridCol w:w="784"/>
        <w:gridCol w:w="784"/>
        <w:gridCol w:w="893"/>
      </w:tblGrid>
      <w:tr w:rsidR="00A10274">
        <w:trPr>
          <w:trHeight w:val="240"/>
          <w:tblHeader/>
        </w:trPr>
        <w:tc>
          <w:tcPr>
            <w:tcW w:w="567"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 </w:t>
            </w:r>
          </w:p>
        </w:tc>
        <w:tc>
          <w:tcPr>
            <w:tcW w:w="3525"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left"/>
              <w:rPr>
                <w:i/>
                <w:sz w:val="14"/>
                <w:szCs w:val="14"/>
                <w:lang w:val="fr-CA"/>
              </w:rPr>
            </w:pPr>
            <w:r>
              <w:rPr>
                <w:i/>
                <w:sz w:val="14"/>
                <w:szCs w:val="14"/>
                <w:lang w:val="fr-CA"/>
              </w:rPr>
              <w:t>Type de formation</w:t>
            </w:r>
          </w:p>
        </w:tc>
        <w:tc>
          <w:tcPr>
            <w:tcW w:w="784"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2010</w:t>
            </w:r>
          </w:p>
        </w:tc>
        <w:tc>
          <w:tcPr>
            <w:tcW w:w="784"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2011</w:t>
            </w:r>
          </w:p>
        </w:tc>
        <w:tc>
          <w:tcPr>
            <w:tcW w:w="784"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2012</w:t>
            </w:r>
          </w:p>
        </w:tc>
        <w:tc>
          <w:tcPr>
            <w:tcW w:w="893"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Total</w:t>
            </w:r>
          </w:p>
        </w:tc>
      </w:tr>
      <w:tr w:rsidR="00A10274">
        <w:trPr>
          <w:trHeight w:val="240"/>
        </w:trPr>
        <w:tc>
          <w:tcPr>
            <w:tcW w:w="567"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1.</w:t>
            </w:r>
          </w:p>
        </w:tc>
        <w:tc>
          <w:tcPr>
            <w:tcW w:w="3525"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Fabrication de poêles sans fumée économes en énergie (Adhanet)</w:t>
            </w:r>
          </w:p>
        </w:tc>
        <w:tc>
          <w:tcPr>
            <w:tcW w:w="78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10 484</w:t>
            </w:r>
          </w:p>
        </w:tc>
        <w:tc>
          <w:tcPr>
            <w:tcW w:w="78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7 017</w:t>
            </w:r>
          </w:p>
        </w:tc>
        <w:tc>
          <w:tcPr>
            <w:tcW w:w="78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10 708</w:t>
            </w:r>
          </w:p>
        </w:tc>
        <w:tc>
          <w:tcPr>
            <w:tcW w:w="893"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28 209</w:t>
            </w:r>
          </w:p>
        </w:tc>
      </w:tr>
      <w:tr w:rsidR="00A10274">
        <w:trPr>
          <w:trHeight w:val="240"/>
        </w:trPr>
        <w:tc>
          <w:tcPr>
            <w:tcW w:w="567"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w:t>
            </w:r>
          </w:p>
        </w:tc>
        <w:tc>
          <w:tcPr>
            <w:tcW w:w="3525"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Production et protection céréalière</w:t>
            </w:r>
          </w:p>
        </w:tc>
        <w:tc>
          <w:tcPr>
            <w:tcW w:w="7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921</w:t>
            </w:r>
          </w:p>
        </w:tc>
        <w:tc>
          <w:tcPr>
            <w:tcW w:w="7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254</w:t>
            </w:r>
          </w:p>
        </w:tc>
        <w:tc>
          <w:tcPr>
            <w:tcW w:w="7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459</w:t>
            </w:r>
          </w:p>
        </w:tc>
        <w:tc>
          <w:tcPr>
            <w:tcW w:w="89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1 634</w:t>
            </w:r>
          </w:p>
        </w:tc>
      </w:tr>
      <w:tr w:rsidR="00A10274">
        <w:trPr>
          <w:trHeight w:val="240"/>
        </w:trPr>
        <w:tc>
          <w:tcPr>
            <w:tcW w:w="567"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3.</w:t>
            </w:r>
          </w:p>
        </w:tc>
        <w:tc>
          <w:tcPr>
            <w:tcW w:w="3525"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Horticulture</w:t>
            </w:r>
          </w:p>
        </w:tc>
        <w:tc>
          <w:tcPr>
            <w:tcW w:w="7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102</w:t>
            </w:r>
          </w:p>
        </w:tc>
        <w:tc>
          <w:tcPr>
            <w:tcW w:w="7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152</w:t>
            </w:r>
          </w:p>
        </w:tc>
        <w:tc>
          <w:tcPr>
            <w:tcW w:w="7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105</w:t>
            </w:r>
          </w:p>
        </w:tc>
        <w:tc>
          <w:tcPr>
            <w:tcW w:w="89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359</w:t>
            </w:r>
          </w:p>
        </w:tc>
      </w:tr>
      <w:tr w:rsidR="00A10274">
        <w:trPr>
          <w:trHeight w:val="240"/>
        </w:trPr>
        <w:tc>
          <w:tcPr>
            <w:tcW w:w="567"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4.</w:t>
            </w:r>
          </w:p>
        </w:tc>
        <w:tc>
          <w:tcPr>
            <w:tcW w:w="3525"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Préservation des sols et des eaux</w:t>
            </w:r>
          </w:p>
        </w:tc>
        <w:tc>
          <w:tcPr>
            <w:tcW w:w="7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350</w:t>
            </w:r>
          </w:p>
        </w:tc>
        <w:tc>
          <w:tcPr>
            <w:tcW w:w="7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461</w:t>
            </w:r>
          </w:p>
        </w:tc>
        <w:tc>
          <w:tcPr>
            <w:tcW w:w="7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670</w:t>
            </w:r>
          </w:p>
        </w:tc>
        <w:tc>
          <w:tcPr>
            <w:tcW w:w="89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1 481</w:t>
            </w:r>
          </w:p>
        </w:tc>
      </w:tr>
      <w:tr w:rsidR="00A10274">
        <w:trPr>
          <w:trHeight w:val="240"/>
        </w:trPr>
        <w:tc>
          <w:tcPr>
            <w:tcW w:w="567"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5.</w:t>
            </w:r>
          </w:p>
        </w:tc>
        <w:tc>
          <w:tcPr>
            <w:tcW w:w="3525"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Élevage</w:t>
            </w:r>
          </w:p>
        </w:tc>
        <w:tc>
          <w:tcPr>
            <w:tcW w:w="7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1 241</w:t>
            </w:r>
          </w:p>
        </w:tc>
        <w:tc>
          <w:tcPr>
            <w:tcW w:w="7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713</w:t>
            </w:r>
          </w:p>
        </w:tc>
        <w:tc>
          <w:tcPr>
            <w:tcW w:w="78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320</w:t>
            </w:r>
          </w:p>
        </w:tc>
        <w:tc>
          <w:tcPr>
            <w:tcW w:w="89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2 274</w:t>
            </w:r>
          </w:p>
        </w:tc>
      </w:tr>
      <w:tr w:rsidR="00A10274">
        <w:trPr>
          <w:trHeight w:val="240"/>
        </w:trPr>
        <w:tc>
          <w:tcPr>
            <w:tcW w:w="567" w:type="dxa"/>
            <w:tcBorders>
              <w:bottom w:val="single" w:sz="6"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6.</w:t>
            </w:r>
          </w:p>
        </w:tc>
        <w:tc>
          <w:tcPr>
            <w:tcW w:w="3525"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Économie ménagère</w:t>
            </w:r>
          </w:p>
        </w:tc>
        <w:tc>
          <w:tcPr>
            <w:tcW w:w="784"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459</w:t>
            </w:r>
          </w:p>
        </w:tc>
        <w:tc>
          <w:tcPr>
            <w:tcW w:w="784"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395</w:t>
            </w:r>
          </w:p>
        </w:tc>
        <w:tc>
          <w:tcPr>
            <w:tcW w:w="784"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450</w:t>
            </w:r>
          </w:p>
        </w:tc>
        <w:tc>
          <w:tcPr>
            <w:tcW w:w="893"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1 304</w:t>
            </w:r>
          </w:p>
        </w:tc>
      </w:tr>
      <w:tr w:rsidR="00A10274">
        <w:trPr>
          <w:trHeight w:val="240"/>
        </w:trPr>
        <w:tc>
          <w:tcPr>
            <w:tcW w:w="567" w:type="dxa"/>
            <w:tcBorders>
              <w:top w:val="single" w:sz="6" w:space="0" w:color="auto"/>
              <w:bottom w:val="single" w:sz="12" w:space="0" w:color="auto"/>
            </w:tcBorders>
            <w:shd w:val="clear" w:color="auto" w:fill="auto"/>
          </w:tcPr>
          <w:p w:rsidR="00A10274" w:rsidRDefault="00A10274">
            <w:pPr>
              <w:pStyle w:val="SingleTxtG"/>
              <w:suppressAutoHyphens w:val="0"/>
              <w:spacing w:before="80" w:after="80" w:line="240" w:lineRule="auto"/>
              <w:ind w:left="0" w:right="0"/>
              <w:jc w:val="left"/>
              <w:rPr>
                <w:b/>
                <w:sz w:val="18"/>
                <w:szCs w:val="18"/>
                <w:lang w:val="fr-CA"/>
              </w:rPr>
            </w:pPr>
            <w:r>
              <w:rPr>
                <w:b/>
                <w:sz w:val="18"/>
                <w:szCs w:val="18"/>
                <w:lang w:val="fr-CA"/>
              </w:rPr>
              <w:t>7.</w:t>
            </w:r>
          </w:p>
        </w:tc>
        <w:tc>
          <w:tcPr>
            <w:tcW w:w="352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left"/>
              <w:rPr>
                <w:b/>
                <w:sz w:val="18"/>
                <w:szCs w:val="18"/>
                <w:lang w:val="fr-CA"/>
              </w:rPr>
            </w:pPr>
            <w:r>
              <w:rPr>
                <w:b/>
                <w:sz w:val="18"/>
                <w:szCs w:val="18"/>
                <w:lang w:val="fr-CA"/>
              </w:rPr>
              <w:t xml:space="preserve">Total </w:t>
            </w:r>
          </w:p>
        </w:tc>
        <w:tc>
          <w:tcPr>
            <w:tcW w:w="78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13 557</w:t>
            </w:r>
          </w:p>
        </w:tc>
        <w:tc>
          <w:tcPr>
            <w:tcW w:w="78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8 992</w:t>
            </w:r>
          </w:p>
        </w:tc>
        <w:tc>
          <w:tcPr>
            <w:tcW w:w="78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12 712</w:t>
            </w:r>
          </w:p>
        </w:tc>
        <w:tc>
          <w:tcPr>
            <w:tcW w:w="893"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35 361</w:t>
            </w:r>
          </w:p>
        </w:tc>
      </w:tr>
    </w:tbl>
    <w:p w:rsidR="00A10274" w:rsidRDefault="00A10274">
      <w:pPr>
        <w:pStyle w:val="SingleTxt"/>
        <w:spacing w:after="0" w:line="120" w:lineRule="exact"/>
        <w:rPr>
          <w:i/>
          <w:sz w:val="10"/>
          <w:lang w:val="fr-CA"/>
        </w:rPr>
      </w:pPr>
    </w:p>
    <w:p w:rsidR="00A10274" w:rsidRDefault="00A10274">
      <w:pPr>
        <w:pStyle w:val="FootnoteText"/>
        <w:tabs>
          <w:tab w:val="right" w:pos="1476"/>
          <w:tab w:val="left" w:pos="1548"/>
          <w:tab w:val="right" w:pos="1836"/>
          <w:tab w:val="left" w:pos="1908"/>
        </w:tabs>
        <w:ind w:left="1548" w:right="1267" w:hanging="288"/>
        <w:rPr>
          <w:lang w:val="fr-CA"/>
        </w:rPr>
      </w:pPr>
      <w:r>
        <w:rPr>
          <w:i/>
          <w:lang w:val="fr-CA"/>
        </w:rPr>
        <w:t>Source </w:t>
      </w:r>
      <w:r>
        <w:rPr>
          <w:lang w:val="fr-CA"/>
        </w:rPr>
        <w:t>: Rapport du Ministère de l’agriculture, 2013.</w:t>
      </w:r>
    </w:p>
    <w:p w:rsidR="00A10274" w:rsidRDefault="00A10274">
      <w:pPr>
        <w:pStyle w:val="FootnoteText"/>
        <w:tabs>
          <w:tab w:val="right" w:pos="1476"/>
          <w:tab w:val="left" w:pos="1548"/>
          <w:tab w:val="right" w:pos="1836"/>
          <w:tab w:val="left" w:pos="1908"/>
        </w:tabs>
        <w:spacing w:line="120" w:lineRule="exact"/>
        <w:ind w:left="1548" w:right="1267" w:hanging="288"/>
        <w:rPr>
          <w:sz w:val="10"/>
          <w:lang w:val="fr-CA"/>
        </w:rPr>
      </w:pPr>
    </w:p>
    <w:p w:rsidR="00A10274" w:rsidRDefault="00A10274">
      <w:pPr>
        <w:pStyle w:val="FootnoteText"/>
        <w:tabs>
          <w:tab w:val="right" w:pos="1476"/>
          <w:tab w:val="left" w:pos="1548"/>
          <w:tab w:val="right" w:pos="1836"/>
          <w:tab w:val="left" w:pos="1908"/>
        </w:tabs>
        <w:spacing w:line="120" w:lineRule="exact"/>
        <w:ind w:left="1548" w:right="1267" w:hanging="288"/>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35</w:t>
      </w:r>
      <w:r>
        <w:rPr>
          <w:lang w:val="fr-CA"/>
        </w:rPr>
        <w:br/>
        <w:t>Employés du Ministère de l’agriculture par sexe et titre universitaire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28" w:type="dxa"/>
        <w:tblInd w:w="1276" w:type="dxa"/>
        <w:tblBorders>
          <w:top w:val="single" w:sz="4" w:space="0" w:color="auto"/>
        </w:tblBorders>
        <w:tblCellMar>
          <w:left w:w="0" w:type="dxa"/>
          <w:right w:w="0" w:type="dxa"/>
        </w:tblCellMar>
        <w:tblLook w:val="01E0"/>
      </w:tblPr>
      <w:tblGrid>
        <w:gridCol w:w="851"/>
        <w:gridCol w:w="1886"/>
        <w:gridCol w:w="1497"/>
        <w:gridCol w:w="1497"/>
        <w:gridCol w:w="1597"/>
      </w:tblGrid>
      <w:tr w:rsidR="00A10274">
        <w:trPr>
          <w:trHeight w:val="240"/>
          <w:tblHeader/>
        </w:trPr>
        <w:tc>
          <w:tcPr>
            <w:tcW w:w="851"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SN</w:t>
            </w:r>
          </w:p>
        </w:tc>
        <w:tc>
          <w:tcPr>
            <w:tcW w:w="1886"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left"/>
              <w:rPr>
                <w:i/>
                <w:sz w:val="14"/>
                <w:szCs w:val="14"/>
                <w:lang w:val="fr-CA"/>
              </w:rPr>
            </w:pPr>
            <w:r>
              <w:rPr>
                <w:i/>
                <w:sz w:val="14"/>
                <w:szCs w:val="14"/>
                <w:lang w:val="fr-CA"/>
              </w:rPr>
              <w:t xml:space="preserve">Titre universitaire </w:t>
            </w:r>
          </w:p>
        </w:tc>
        <w:tc>
          <w:tcPr>
            <w:tcW w:w="1497"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 xml:space="preserve">Total </w:t>
            </w:r>
          </w:p>
        </w:tc>
        <w:tc>
          <w:tcPr>
            <w:tcW w:w="1497"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 xml:space="preserve">Femmes </w:t>
            </w:r>
          </w:p>
        </w:tc>
        <w:tc>
          <w:tcPr>
            <w:tcW w:w="1597"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 Femmes</w:t>
            </w:r>
          </w:p>
        </w:tc>
      </w:tr>
      <w:tr w:rsidR="00A10274">
        <w:trPr>
          <w:trHeight w:val="240"/>
        </w:trPr>
        <w:tc>
          <w:tcPr>
            <w:tcW w:w="851"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1.</w:t>
            </w:r>
          </w:p>
        </w:tc>
        <w:tc>
          <w:tcPr>
            <w:tcW w:w="1886"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PhD</w:t>
            </w:r>
          </w:p>
        </w:tc>
        <w:tc>
          <w:tcPr>
            <w:tcW w:w="1497"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w:t>
            </w:r>
          </w:p>
        </w:tc>
        <w:tc>
          <w:tcPr>
            <w:tcW w:w="1497"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c>
          <w:tcPr>
            <w:tcW w:w="1597"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0,00</w:t>
            </w:r>
          </w:p>
        </w:tc>
      </w:tr>
      <w:tr w:rsidR="00A10274">
        <w:trPr>
          <w:trHeight w:val="240"/>
        </w:trPr>
        <w:tc>
          <w:tcPr>
            <w:tcW w:w="851"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w:t>
            </w:r>
          </w:p>
        </w:tc>
        <w:tc>
          <w:tcPr>
            <w:tcW w:w="1886"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MSc</w:t>
            </w:r>
          </w:p>
        </w:tc>
        <w:tc>
          <w:tcPr>
            <w:tcW w:w="14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55</w:t>
            </w:r>
          </w:p>
        </w:tc>
        <w:tc>
          <w:tcPr>
            <w:tcW w:w="14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w:t>
            </w:r>
          </w:p>
        </w:tc>
        <w:tc>
          <w:tcPr>
            <w:tcW w:w="15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3,64</w:t>
            </w:r>
          </w:p>
        </w:tc>
      </w:tr>
      <w:tr w:rsidR="00A10274">
        <w:trPr>
          <w:trHeight w:val="240"/>
        </w:trPr>
        <w:tc>
          <w:tcPr>
            <w:tcW w:w="851"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3.</w:t>
            </w:r>
          </w:p>
        </w:tc>
        <w:tc>
          <w:tcPr>
            <w:tcW w:w="1886"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DVM</w:t>
            </w:r>
          </w:p>
        </w:tc>
        <w:tc>
          <w:tcPr>
            <w:tcW w:w="14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11</w:t>
            </w:r>
          </w:p>
        </w:tc>
        <w:tc>
          <w:tcPr>
            <w:tcW w:w="14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w:t>
            </w:r>
          </w:p>
        </w:tc>
        <w:tc>
          <w:tcPr>
            <w:tcW w:w="15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9,09</w:t>
            </w:r>
          </w:p>
        </w:tc>
      </w:tr>
      <w:tr w:rsidR="00A10274">
        <w:trPr>
          <w:trHeight w:val="240"/>
        </w:trPr>
        <w:tc>
          <w:tcPr>
            <w:tcW w:w="851"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4.</w:t>
            </w:r>
          </w:p>
        </w:tc>
        <w:tc>
          <w:tcPr>
            <w:tcW w:w="1886"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Licence</w:t>
            </w:r>
          </w:p>
        </w:tc>
        <w:tc>
          <w:tcPr>
            <w:tcW w:w="14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553</w:t>
            </w:r>
          </w:p>
        </w:tc>
        <w:tc>
          <w:tcPr>
            <w:tcW w:w="14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55</w:t>
            </w:r>
          </w:p>
        </w:tc>
        <w:tc>
          <w:tcPr>
            <w:tcW w:w="15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9,95</w:t>
            </w:r>
          </w:p>
        </w:tc>
      </w:tr>
      <w:tr w:rsidR="00A10274">
        <w:trPr>
          <w:trHeight w:val="240"/>
        </w:trPr>
        <w:tc>
          <w:tcPr>
            <w:tcW w:w="851"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5.</w:t>
            </w:r>
          </w:p>
        </w:tc>
        <w:tc>
          <w:tcPr>
            <w:tcW w:w="1886"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Diplôme</w:t>
            </w:r>
          </w:p>
        </w:tc>
        <w:tc>
          <w:tcPr>
            <w:tcW w:w="14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964</w:t>
            </w:r>
          </w:p>
        </w:tc>
        <w:tc>
          <w:tcPr>
            <w:tcW w:w="14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239</w:t>
            </w:r>
          </w:p>
        </w:tc>
        <w:tc>
          <w:tcPr>
            <w:tcW w:w="15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24,79</w:t>
            </w:r>
          </w:p>
        </w:tc>
      </w:tr>
      <w:tr w:rsidR="00A10274">
        <w:trPr>
          <w:trHeight w:val="240"/>
        </w:trPr>
        <w:tc>
          <w:tcPr>
            <w:tcW w:w="851" w:type="dxa"/>
            <w:tcBorders>
              <w:bottom w:val="single" w:sz="4"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6.</w:t>
            </w:r>
          </w:p>
        </w:tc>
        <w:tc>
          <w:tcPr>
            <w:tcW w:w="1886" w:type="dxa"/>
            <w:tcBorders>
              <w:bottom w:val="single" w:sz="4" w:space="0" w:color="auto"/>
            </w:tcBorders>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Certificat</w:t>
            </w:r>
          </w:p>
        </w:tc>
        <w:tc>
          <w:tcPr>
            <w:tcW w:w="1497" w:type="dxa"/>
            <w:tcBorders>
              <w:bottom w:val="single" w:sz="4"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2 351</w:t>
            </w:r>
          </w:p>
        </w:tc>
        <w:tc>
          <w:tcPr>
            <w:tcW w:w="1497" w:type="dxa"/>
            <w:tcBorders>
              <w:bottom w:val="single" w:sz="4"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1 180</w:t>
            </w:r>
          </w:p>
        </w:tc>
        <w:tc>
          <w:tcPr>
            <w:tcW w:w="1597" w:type="dxa"/>
            <w:tcBorders>
              <w:bottom w:val="single" w:sz="4"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50,19</w:t>
            </w:r>
          </w:p>
        </w:tc>
      </w:tr>
      <w:tr w:rsidR="00A10274">
        <w:trPr>
          <w:trHeight w:val="240"/>
        </w:trPr>
        <w:tc>
          <w:tcPr>
            <w:tcW w:w="851" w:type="dxa"/>
            <w:tcBorders>
              <w:top w:val="single" w:sz="4" w:space="0" w:color="auto"/>
              <w:bottom w:val="single" w:sz="12" w:space="0" w:color="auto"/>
            </w:tcBorders>
            <w:shd w:val="clear" w:color="auto" w:fill="auto"/>
          </w:tcPr>
          <w:p w:rsidR="00A10274" w:rsidRDefault="00A10274">
            <w:pPr>
              <w:pStyle w:val="SingleTxtG"/>
              <w:suppressAutoHyphens w:val="0"/>
              <w:spacing w:before="80" w:after="80" w:line="240" w:lineRule="auto"/>
              <w:ind w:left="0" w:right="0"/>
              <w:jc w:val="left"/>
              <w:rPr>
                <w:b/>
                <w:sz w:val="18"/>
                <w:szCs w:val="18"/>
                <w:lang w:val="fr-CA"/>
              </w:rPr>
            </w:pPr>
          </w:p>
        </w:tc>
        <w:tc>
          <w:tcPr>
            <w:tcW w:w="1886"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left"/>
              <w:rPr>
                <w:b/>
                <w:sz w:val="18"/>
                <w:szCs w:val="18"/>
                <w:lang w:val="fr-CA"/>
              </w:rPr>
            </w:pPr>
            <w:r>
              <w:rPr>
                <w:b/>
                <w:sz w:val="18"/>
                <w:szCs w:val="18"/>
                <w:lang w:val="fr-CA"/>
              </w:rPr>
              <w:t>Total</w:t>
            </w:r>
          </w:p>
        </w:tc>
        <w:tc>
          <w:tcPr>
            <w:tcW w:w="1497"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3 935</w:t>
            </w:r>
          </w:p>
        </w:tc>
        <w:tc>
          <w:tcPr>
            <w:tcW w:w="1497"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1 477</w:t>
            </w:r>
          </w:p>
        </w:tc>
        <w:tc>
          <w:tcPr>
            <w:tcW w:w="1597"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37,5</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numPr>
          <w:ilvl w:val="0"/>
          <w:numId w:val="10"/>
        </w:numPr>
        <w:rPr>
          <w:lang w:val="fr-CA"/>
        </w:rPr>
      </w:pPr>
      <w:r>
        <w:rPr>
          <w:lang w:val="fr-CA"/>
        </w:rPr>
        <w:t>Comme le montre le tableau 35, les femmes forment 37,5 % du total des employés du Ministère. Toutefois, la majorité se trouvent dans les échelons inférieurs des titres universitaires, à savoir celui de certificat et au-dessous. Les détenteurs de titres supérieurs sont toujours en majorité des hommes.</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br w:type="page"/>
      </w:r>
      <w:r>
        <w:rPr>
          <w:lang w:val="fr-CA"/>
        </w:rPr>
        <w:tab/>
      </w:r>
      <w:r>
        <w:rPr>
          <w:lang w:val="fr-CA"/>
        </w:rPr>
        <w:tab/>
      </w:r>
      <w:r>
        <w:rPr>
          <w:b w:val="0"/>
          <w:lang w:val="fr-CA"/>
        </w:rPr>
        <w:t>Tableau 36</w:t>
      </w:r>
      <w:r>
        <w:rPr>
          <w:lang w:val="fr-CA"/>
        </w:rPr>
        <w:br/>
        <w:t>Formation du personnel du Ministère de l’agriculture par sexe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vertAlign w:val="superscript"/>
          <w:lang w:val="fr-CA"/>
        </w:rPr>
      </w:pPr>
    </w:p>
    <w:tbl>
      <w:tblPr>
        <w:tblW w:w="7344" w:type="dxa"/>
        <w:tblInd w:w="1269" w:type="dxa"/>
        <w:tblBorders>
          <w:top w:val="single" w:sz="4" w:space="0" w:color="auto"/>
        </w:tblBorders>
        <w:tblCellMar>
          <w:left w:w="0" w:type="dxa"/>
          <w:right w:w="0" w:type="dxa"/>
        </w:tblCellMar>
        <w:tblLook w:val="01E0"/>
      </w:tblPr>
      <w:tblGrid>
        <w:gridCol w:w="360"/>
        <w:gridCol w:w="2482"/>
        <w:gridCol w:w="562"/>
        <w:gridCol w:w="640"/>
        <w:gridCol w:w="656"/>
        <w:gridCol w:w="636"/>
        <w:gridCol w:w="637"/>
        <w:gridCol w:w="606"/>
        <w:gridCol w:w="765"/>
      </w:tblGrid>
      <w:tr w:rsidR="00A10274">
        <w:trPr>
          <w:trHeight w:val="240"/>
          <w:tblHeader/>
        </w:trPr>
        <w:tc>
          <w:tcPr>
            <w:tcW w:w="360" w:type="dxa"/>
            <w:vMerge w:val="restart"/>
            <w:tcBorders>
              <w:top w:val="single" w:sz="4" w:space="0" w:color="auto"/>
            </w:tcBorders>
            <w:shd w:val="clear" w:color="auto" w:fill="auto"/>
            <w:vAlign w:val="bottom"/>
          </w:tcPr>
          <w:p w:rsidR="00A10274" w:rsidRDefault="00A10274">
            <w:pPr>
              <w:pStyle w:val="SingleTxtG"/>
              <w:spacing w:before="40" w:after="40" w:line="240" w:lineRule="auto"/>
              <w:ind w:left="0" w:right="0"/>
              <w:jc w:val="left"/>
              <w:rPr>
                <w:i/>
                <w:sz w:val="14"/>
                <w:szCs w:val="14"/>
                <w:lang w:val="fr-CA"/>
              </w:rPr>
            </w:pPr>
            <w:r>
              <w:rPr>
                <w:i/>
                <w:sz w:val="14"/>
                <w:szCs w:val="14"/>
                <w:lang w:val="fr-CA"/>
              </w:rPr>
              <w:t> </w:t>
            </w:r>
          </w:p>
        </w:tc>
        <w:tc>
          <w:tcPr>
            <w:tcW w:w="2482" w:type="dxa"/>
            <w:vMerge w:val="restart"/>
            <w:tcBorders>
              <w:top w:val="single" w:sz="4" w:space="0" w:color="auto"/>
            </w:tcBorders>
            <w:shd w:val="clear" w:color="auto" w:fill="auto"/>
            <w:vAlign w:val="bottom"/>
          </w:tcPr>
          <w:p w:rsidR="00A10274" w:rsidRDefault="00A10274">
            <w:pPr>
              <w:pStyle w:val="SingleTxtG"/>
              <w:spacing w:before="40" w:after="40" w:line="240" w:lineRule="auto"/>
              <w:ind w:left="113" w:right="0"/>
              <w:jc w:val="left"/>
              <w:rPr>
                <w:i/>
                <w:sz w:val="14"/>
                <w:szCs w:val="14"/>
                <w:lang w:val="fr-CA"/>
              </w:rPr>
            </w:pPr>
            <w:r>
              <w:rPr>
                <w:i/>
                <w:sz w:val="14"/>
                <w:szCs w:val="14"/>
                <w:lang w:val="fr-CA"/>
              </w:rPr>
              <w:t>Type de formation</w:t>
            </w:r>
          </w:p>
        </w:tc>
        <w:tc>
          <w:tcPr>
            <w:tcW w:w="562" w:type="dxa"/>
            <w:tcBorders>
              <w:top w:val="single" w:sz="4" w:space="0" w:color="auto"/>
              <w:bottom w:val="single" w:sz="4"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2009</w:t>
            </w:r>
          </w:p>
        </w:tc>
        <w:tc>
          <w:tcPr>
            <w:tcW w:w="1296" w:type="dxa"/>
            <w:gridSpan w:val="2"/>
            <w:tcBorders>
              <w:top w:val="single" w:sz="4" w:space="0" w:color="auto"/>
              <w:bottom w:val="single" w:sz="4"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2010</w:t>
            </w:r>
          </w:p>
        </w:tc>
        <w:tc>
          <w:tcPr>
            <w:tcW w:w="1273" w:type="dxa"/>
            <w:gridSpan w:val="2"/>
            <w:tcBorders>
              <w:top w:val="single" w:sz="4" w:space="0" w:color="auto"/>
              <w:bottom w:val="single" w:sz="4"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2011</w:t>
            </w:r>
          </w:p>
        </w:tc>
        <w:tc>
          <w:tcPr>
            <w:tcW w:w="1371" w:type="dxa"/>
            <w:gridSpan w:val="2"/>
            <w:tcBorders>
              <w:top w:val="single" w:sz="4" w:space="0" w:color="auto"/>
              <w:bottom w:val="single" w:sz="4"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2012</w:t>
            </w:r>
          </w:p>
        </w:tc>
      </w:tr>
      <w:tr w:rsidR="00A10274">
        <w:trPr>
          <w:trHeight w:val="240"/>
        </w:trPr>
        <w:tc>
          <w:tcPr>
            <w:tcW w:w="360" w:type="dxa"/>
            <w:vMerge/>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i/>
                <w:sz w:val="14"/>
                <w:szCs w:val="14"/>
                <w:lang w:val="fr-CA"/>
              </w:rPr>
            </w:pPr>
          </w:p>
        </w:tc>
        <w:tc>
          <w:tcPr>
            <w:tcW w:w="2482" w:type="dxa"/>
            <w:vMerge/>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left"/>
              <w:rPr>
                <w:i/>
                <w:sz w:val="14"/>
                <w:szCs w:val="14"/>
                <w:lang w:val="fr-CA"/>
              </w:rPr>
            </w:pPr>
          </w:p>
        </w:tc>
        <w:tc>
          <w:tcPr>
            <w:tcW w:w="562"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p>
        </w:tc>
        <w:tc>
          <w:tcPr>
            <w:tcW w:w="640"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57"/>
              <w:jc w:val="right"/>
              <w:rPr>
                <w:i/>
                <w:sz w:val="14"/>
                <w:szCs w:val="14"/>
                <w:lang w:val="fr-CA"/>
              </w:rPr>
            </w:pPr>
            <w:r>
              <w:rPr>
                <w:i/>
                <w:sz w:val="14"/>
                <w:szCs w:val="14"/>
                <w:lang w:val="fr-CA"/>
              </w:rPr>
              <w:t>M</w:t>
            </w:r>
          </w:p>
        </w:tc>
        <w:tc>
          <w:tcPr>
            <w:tcW w:w="656"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F</w:t>
            </w:r>
          </w:p>
        </w:tc>
        <w:tc>
          <w:tcPr>
            <w:tcW w:w="636"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M</w:t>
            </w:r>
          </w:p>
        </w:tc>
        <w:tc>
          <w:tcPr>
            <w:tcW w:w="637"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F</w:t>
            </w:r>
          </w:p>
        </w:tc>
        <w:tc>
          <w:tcPr>
            <w:tcW w:w="606"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M</w:t>
            </w:r>
          </w:p>
        </w:tc>
        <w:tc>
          <w:tcPr>
            <w:tcW w:w="765"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F</w:t>
            </w:r>
          </w:p>
        </w:tc>
      </w:tr>
      <w:tr w:rsidR="00A10274">
        <w:trPr>
          <w:trHeight w:val="240"/>
        </w:trPr>
        <w:tc>
          <w:tcPr>
            <w:tcW w:w="360"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1.</w:t>
            </w:r>
          </w:p>
        </w:tc>
        <w:tc>
          <w:tcPr>
            <w:tcW w:w="2482"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Ressources animales</w:t>
            </w:r>
          </w:p>
        </w:tc>
        <w:tc>
          <w:tcPr>
            <w:tcW w:w="562"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64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195</w:t>
            </w:r>
          </w:p>
        </w:tc>
        <w:tc>
          <w:tcPr>
            <w:tcW w:w="656"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72</w:t>
            </w:r>
          </w:p>
        </w:tc>
        <w:tc>
          <w:tcPr>
            <w:tcW w:w="636"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NC</w:t>
            </w:r>
          </w:p>
        </w:tc>
        <w:tc>
          <w:tcPr>
            <w:tcW w:w="637"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NC</w:t>
            </w:r>
          </w:p>
        </w:tc>
        <w:tc>
          <w:tcPr>
            <w:tcW w:w="606"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w:t>
            </w:r>
          </w:p>
        </w:tc>
        <w:tc>
          <w:tcPr>
            <w:tcW w:w="765"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r>
      <w:tr w:rsidR="00A10274">
        <w:trPr>
          <w:trHeight w:val="240"/>
        </w:trPr>
        <w:tc>
          <w:tcPr>
            <w:tcW w:w="360"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w:t>
            </w:r>
          </w:p>
        </w:tc>
        <w:tc>
          <w:tcPr>
            <w:tcW w:w="2482"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Sciences végétales</w:t>
            </w:r>
          </w:p>
        </w:tc>
        <w:tc>
          <w:tcPr>
            <w:tcW w:w="56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64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189</w:t>
            </w:r>
          </w:p>
        </w:tc>
        <w:tc>
          <w:tcPr>
            <w:tcW w:w="65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33</w:t>
            </w:r>
          </w:p>
        </w:tc>
        <w:tc>
          <w:tcPr>
            <w:tcW w:w="63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NC</w:t>
            </w:r>
          </w:p>
        </w:tc>
        <w:tc>
          <w:tcPr>
            <w:tcW w:w="63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NC</w:t>
            </w:r>
          </w:p>
        </w:tc>
        <w:tc>
          <w:tcPr>
            <w:tcW w:w="60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w:t>
            </w:r>
          </w:p>
        </w:tc>
        <w:tc>
          <w:tcPr>
            <w:tcW w:w="76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32</w:t>
            </w:r>
          </w:p>
        </w:tc>
      </w:tr>
      <w:tr w:rsidR="00A10274">
        <w:trPr>
          <w:trHeight w:val="240"/>
        </w:trPr>
        <w:tc>
          <w:tcPr>
            <w:tcW w:w="360"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3.</w:t>
            </w:r>
          </w:p>
        </w:tc>
        <w:tc>
          <w:tcPr>
            <w:tcW w:w="2482"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 xml:space="preserve">Gestion des ressources naturelles </w:t>
            </w:r>
          </w:p>
        </w:tc>
        <w:tc>
          <w:tcPr>
            <w:tcW w:w="56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64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260</w:t>
            </w:r>
          </w:p>
        </w:tc>
        <w:tc>
          <w:tcPr>
            <w:tcW w:w="65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76</w:t>
            </w:r>
          </w:p>
        </w:tc>
        <w:tc>
          <w:tcPr>
            <w:tcW w:w="63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NC</w:t>
            </w:r>
          </w:p>
        </w:tc>
        <w:tc>
          <w:tcPr>
            <w:tcW w:w="63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NC</w:t>
            </w:r>
          </w:p>
        </w:tc>
        <w:tc>
          <w:tcPr>
            <w:tcW w:w="60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w:t>
            </w:r>
          </w:p>
        </w:tc>
        <w:tc>
          <w:tcPr>
            <w:tcW w:w="76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23</w:t>
            </w:r>
          </w:p>
        </w:tc>
      </w:tr>
      <w:tr w:rsidR="00A10274">
        <w:trPr>
          <w:trHeight w:val="240"/>
        </w:trPr>
        <w:tc>
          <w:tcPr>
            <w:tcW w:w="360"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4.</w:t>
            </w:r>
          </w:p>
        </w:tc>
        <w:tc>
          <w:tcPr>
            <w:tcW w:w="2482"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Service de vulgarisation</w:t>
            </w:r>
          </w:p>
        </w:tc>
        <w:tc>
          <w:tcPr>
            <w:tcW w:w="56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64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78</w:t>
            </w:r>
          </w:p>
        </w:tc>
        <w:tc>
          <w:tcPr>
            <w:tcW w:w="65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19</w:t>
            </w:r>
          </w:p>
        </w:tc>
        <w:tc>
          <w:tcPr>
            <w:tcW w:w="63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 xml:space="preserve">NC </w:t>
            </w:r>
          </w:p>
        </w:tc>
        <w:tc>
          <w:tcPr>
            <w:tcW w:w="63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NC</w:t>
            </w:r>
          </w:p>
        </w:tc>
        <w:tc>
          <w:tcPr>
            <w:tcW w:w="60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c>
          <w:tcPr>
            <w:tcW w:w="76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r>
      <w:tr w:rsidR="00A10274">
        <w:trPr>
          <w:trHeight w:val="240"/>
        </w:trPr>
        <w:tc>
          <w:tcPr>
            <w:tcW w:w="360"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5.</w:t>
            </w:r>
          </w:p>
        </w:tc>
        <w:tc>
          <w:tcPr>
            <w:tcW w:w="2482"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Développement communautaire</w:t>
            </w:r>
          </w:p>
        </w:tc>
        <w:tc>
          <w:tcPr>
            <w:tcW w:w="56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64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c>
          <w:tcPr>
            <w:tcW w:w="65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c>
          <w:tcPr>
            <w:tcW w:w="63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 xml:space="preserve">NC </w:t>
            </w:r>
          </w:p>
        </w:tc>
        <w:tc>
          <w:tcPr>
            <w:tcW w:w="63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NC</w:t>
            </w:r>
          </w:p>
        </w:tc>
        <w:tc>
          <w:tcPr>
            <w:tcW w:w="60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c>
          <w:tcPr>
            <w:tcW w:w="76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0</w:t>
            </w:r>
          </w:p>
        </w:tc>
      </w:tr>
      <w:tr w:rsidR="00A10274">
        <w:trPr>
          <w:trHeight w:val="240"/>
        </w:trPr>
        <w:tc>
          <w:tcPr>
            <w:tcW w:w="360"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6.</w:t>
            </w:r>
          </w:p>
        </w:tc>
        <w:tc>
          <w:tcPr>
            <w:tcW w:w="2482"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Administration et Fin.</w:t>
            </w:r>
          </w:p>
        </w:tc>
        <w:tc>
          <w:tcPr>
            <w:tcW w:w="56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64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35</w:t>
            </w:r>
          </w:p>
        </w:tc>
        <w:tc>
          <w:tcPr>
            <w:tcW w:w="65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w:t>
            </w:r>
          </w:p>
        </w:tc>
        <w:tc>
          <w:tcPr>
            <w:tcW w:w="63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NC</w:t>
            </w:r>
          </w:p>
        </w:tc>
        <w:tc>
          <w:tcPr>
            <w:tcW w:w="63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 xml:space="preserve">NC </w:t>
            </w:r>
          </w:p>
        </w:tc>
        <w:tc>
          <w:tcPr>
            <w:tcW w:w="60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39</w:t>
            </w:r>
          </w:p>
        </w:tc>
        <w:tc>
          <w:tcPr>
            <w:tcW w:w="76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60</w:t>
            </w:r>
          </w:p>
        </w:tc>
      </w:tr>
      <w:tr w:rsidR="00A10274">
        <w:trPr>
          <w:trHeight w:val="240"/>
        </w:trPr>
        <w:tc>
          <w:tcPr>
            <w:tcW w:w="360"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7.</w:t>
            </w:r>
          </w:p>
        </w:tc>
        <w:tc>
          <w:tcPr>
            <w:tcW w:w="2482"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 xml:space="preserve">Total </w:t>
            </w:r>
          </w:p>
        </w:tc>
        <w:tc>
          <w:tcPr>
            <w:tcW w:w="56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64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757</w:t>
            </w:r>
          </w:p>
        </w:tc>
        <w:tc>
          <w:tcPr>
            <w:tcW w:w="65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204</w:t>
            </w:r>
          </w:p>
        </w:tc>
        <w:tc>
          <w:tcPr>
            <w:tcW w:w="63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 xml:space="preserve">NC </w:t>
            </w:r>
          </w:p>
        </w:tc>
        <w:tc>
          <w:tcPr>
            <w:tcW w:w="63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NC</w:t>
            </w:r>
          </w:p>
        </w:tc>
        <w:tc>
          <w:tcPr>
            <w:tcW w:w="606"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42</w:t>
            </w:r>
          </w:p>
        </w:tc>
        <w:tc>
          <w:tcPr>
            <w:tcW w:w="76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115</w:t>
            </w:r>
          </w:p>
        </w:tc>
      </w:tr>
      <w:tr w:rsidR="00A10274">
        <w:trPr>
          <w:trHeight w:val="240"/>
        </w:trPr>
        <w:tc>
          <w:tcPr>
            <w:tcW w:w="360" w:type="dxa"/>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8.</w:t>
            </w:r>
          </w:p>
        </w:tc>
        <w:tc>
          <w:tcPr>
            <w:tcW w:w="2482"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w:t>
            </w:r>
          </w:p>
        </w:tc>
        <w:tc>
          <w:tcPr>
            <w:tcW w:w="562"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640"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656"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2,2</w:t>
            </w:r>
          </w:p>
        </w:tc>
        <w:tc>
          <w:tcPr>
            <w:tcW w:w="636"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637"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606"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p>
        </w:tc>
        <w:tc>
          <w:tcPr>
            <w:tcW w:w="765" w:type="dxa"/>
            <w:tcBorders>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73,2</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numPr>
          <w:ilvl w:val="0"/>
          <w:numId w:val="10"/>
        </w:numPr>
        <w:rPr>
          <w:lang w:val="fr-CA"/>
        </w:rPr>
      </w:pPr>
      <w:r>
        <w:rPr>
          <w:lang w:val="fr-CA"/>
        </w:rPr>
        <w:t>Le Ministère a également assuré une formation à ses employés afin d’accroitre leurs compétences professionnelles. Comme l’indique le tableau 50, l’attention se porte de plus en plus sur le fait que le ministère prévoit de renforcer les compétences de son personnel féminin. Parti de 31,2 % en 2010, le taux des inscriptions aux formations s’est élevé à 73,2 % en 2012. Comme les données disponibles sont intermittentes, cependant, on peut se demander si ce niveau de participation pourra se maintenir.</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Approvisionnement en eau</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numPr>
          <w:ilvl w:val="0"/>
          <w:numId w:val="10"/>
        </w:numPr>
        <w:rPr>
          <w:lang w:val="fr-CA"/>
        </w:rPr>
      </w:pPr>
      <w:r>
        <w:rPr>
          <w:lang w:val="fr-CA"/>
        </w:rPr>
        <w:t>Selon EPHS 2010, la consommation rurale d’eau issue de canalisations publiques a doublé depuis EDHS 2002. Plus d’un tiers des ménages ruraux a accès à des robinets publics et 23 % à des eaux de surface. Au total, six ménages érythréens sur dix ont accès à une source d’eau améliorée, les chiffres correspondants pour les ménages urbains et ruraux étant, respectivement, de 73 et 50 %.</w:t>
      </w:r>
    </w:p>
    <w:p w:rsidR="00A10274" w:rsidRDefault="00A10274">
      <w:pPr>
        <w:pStyle w:val="SingleTxt"/>
        <w:numPr>
          <w:ilvl w:val="0"/>
          <w:numId w:val="10"/>
        </w:numPr>
        <w:rPr>
          <w:lang w:val="fr-CA"/>
        </w:rPr>
      </w:pPr>
      <w:r>
        <w:rPr>
          <w:lang w:val="fr-CA"/>
        </w:rPr>
        <w:t>En 2012, l’accès à une eau salubre en milieu rural est de 71 %, contre 88,8% en milieu urbain. Ceci montre que par suite de toute l’attention portée par le Gouvernement au développement des zones rurales, l’approvisionnement de ces zones en eau non polluée et salubre est proche de ce qu’il est dans les centres urbains, ce qui a fortement contribué à l’amélioration de la santé de la population rurale.</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Accès des ménages à la lumière solaire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numPr>
          <w:ilvl w:val="0"/>
          <w:numId w:val="10"/>
        </w:numPr>
        <w:rPr>
          <w:lang w:val="fr-CA"/>
        </w:rPr>
      </w:pPr>
      <w:r>
        <w:rPr>
          <w:lang w:val="fr-CA"/>
        </w:rPr>
        <w:t>Le Ministère de l’énergie et des mines s’est employé à promouvoir l’utilisation d’une énergie renouvelable dans le pays. Il a entrepris de développer les initiatives en cours concernant l’utilisation de l’énergie solaire et éolienne à diverses fins ménagères, comme l’éclairage et le pompage de l’eau.</w:t>
      </w:r>
    </w:p>
    <w:p w:rsidR="00A10274" w:rsidRDefault="00A10274">
      <w:pPr>
        <w:pStyle w:val="SingleTxt"/>
        <w:numPr>
          <w:ilvl w:val="0"/>
          <w:numId w:val="10"/>
        </w:numPr>
        <w:rPr>
          <w:lang w:val="fr-CA"/>
        </w:rPr>
      </w:pPr>
      <w:r>
        <w:rPr>
          <w:lang w:val="fr-CA"/>
        </w:rPr>
        <w:t>Le Ministère a, en collaboration avec des partenaires locaux et internationaux, fait construire et distribuer, entre 2009 et 2012, quelque 91 000 poêles moins émetteurs de fumée et d’un bon rendement énergétique dans les zones rurales d’Érythrée. Ceci ne contribue pas seulement à l’amélioration des conditions de vie des rurales; on lui doit aussi l’amélioration de la santé et du bien-être de l’ensemble des ménages. La distribution de ce poêle a beaucoup fait pour réduire la consommation de carburant issu de la biomasse et pour la préservation de la couverture végétale fortement dégradée du pays.</w:t>
      </w:r>
    </w:p>
    <w:p w:rsidR="00A10274" w:rsidRDefault="00A10274">
      <w:pPr>
        <w:pStyle w:val="SingleTxt"/>
        <w:spacing w:after="0" w:line="120" w:lineRule="exact"/>
        <w:rPr>
          <w:sz w:val="10"/>
          <w:szCs w:val="24"/>
          <w:lang w:val="fr-CA"/>
        </w:rPr>
      </w:pPr>
    </w:p>
    <w:p w:rsidR="00A10274" w:rsidRDefault="00A10274">
      <w:pPr>
        <w:pStyle w:val="SingleTxt"/>
        <w:spacing w:after="0" w:line="120" w:lineRule="exact"/>
        <w:rPr>
          <w:sz w:val="10"/>
          <w:szCs w:val="24"/>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Les femmes rurales et l’accès à la terre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37</w:t>
      </w:r>
      <w:r>
        <w:rPr>
          <w:lang w:val="fr-CA"/>
        </w:rPr>
        <w:br/>
        <w:t>Terres distribuées aux hommes et aux femmes chefs de famille 2009-2012</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vertAlign w:val="superscript"/>
          <w:lang w:val="fr-CA"/>
        </w:rPr>
      </w:pPr>
    </w:p>
    <w:tbl>
      <w:tblPr>
        <w:tblW w:w="7319" w:type="dxa"/>
        <w:tblInd w:w="1276" w:type="dxa"/>
        <w:tblBorders>
          <w:top w:val="single" w:sz="4" w:space="0" w:color="auto"/>
        </w:tblBorders>
        <w:tblCellMar>
          <w:left w:w="0" w:type="dxa"/>
          <w:right w:w="0" w:type="dxa"/>
        </w:tblCellMar>
        <w:tblLook w:val="04A0"/>
      </w:tblPr>
      <w:tblGrid>
        <w:gridCol w:w="425"/>
        <w:gridCol w:w="2552"/>
        <w:gridCol w:w="1062"/>
        <w:gridCol w:w="1063"/>
        <w:gridCol w:w="1063"/>
        <w:gridCol w:w="1154"/>
      </w:tblGrid>
      <w:tr w:rsidR="00A10274">
        <w:trPr>
          <w:trHeight w:val="240"/>
          <w:tblHeader/>
        </w:trPr>
        <w:tc>
          <w:tcPr>
            <w:tcW w:w="425"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p>
        </w:tc>
        <w:tc>
          <w:tcPr>
            <w:tcW w:w="2552"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left"/>
              <w:rPr>
                <w:i/>
                <w:sz w:val="14"/>
                <w:szCs w:val="14"/>
                <w:lang w:val="fr-CA"/>
              </w:rPr>
            </w:pPr>
            <w:r>
              <w:rPr>
                <w:i/>
                <w:sz w:val="14"/>
                <w:szCs w:val="14"/>
                <w:lang w:val="fr-CA"/>
              </w:rPr>
              <w:t>Catégorie foncière</w:t>
            </w:r>
          </w:p>
        </w:tc>
        <w:tc>
          <w:tcPr>
            <w:tcW w:w="1062"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Femmes</w:t>
            </w:r>
          </w:p>
        </w:tc>
        <w:tc>
          <w:tcPr>
            <w:tcW w:w="1063"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Hommes</w:t>
            </w:r>
          </w:p>
        </w:tc>
        <w:tc>
          <w:tcPr>
            <w:tcW w:w="1063"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Total</w:t>
            </w:r>
          </w:p>
        </w:tc>
        <w:tc>
          <w:tcPr>
            <w:tcW w:w="1154" w:type="dxa"/>
            <w:tcBorders>
              <w:top w:val="single" w:sz="4"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 de femmes</w:t>
            </w:r>
          </w:p>
        </w:tc>
      </w:tr>
      <w:tr w:rsidR="00A10274">
        <w:trPr>
          <w:trHeight w:val="240"/>
        </w:trPr>
        <w:tc>
          <w:tcPr>
            <w:tcW w:w="425"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1.</w:t>
            </w:r>
          </w:p>
        </w:tc>
        <w:tc>
          <w:tcPr>
            <w:tcW w:w="2552"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Terre constructible</w:t>
            </w:r>
          </w:p>
        </w:tc>
        <w:tc>
          <w:tcPr>
            <w:tcW w:w="1062"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5 320</w:t>
            </w:r>
          </w:p>
        </w:tc>
        <w:tc>
          <w:tcPr>
            <w:tcW w:w="1063"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10 540</w:t>
            </w:r>
          </w:p>
        </w:tc>
        <w:tc>
          <w:tcPr>
            <w:tcW w:w="1063"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15 860</w:t>
            </w:r>
          </w:p>
        </w:tc>
        <w:tc>
          <w:tcPr>
            <w:tcW w:w="115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33,5</w:t>
            </w:r>
          </w:p>
        </w:tc>
      </w:tr>
      <w:tr w:rsidR="00A10274">
        <w:trPr>
          <w:trHeight w:val="240"/>
        </w:trPr>
        <w:tc>
          <w:tcPr>
            <w:tcW w:w="425"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w:t>
            </w:r>
          </w:p>
        </w:tc>
        <w:tc>
          <w:tcPr>
            <w:tcW w:w="2552" w:type="dxa"/>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Agriculture commerciale</w:t>
            </w:r>
          </w:p>
        </w:tc>
        <w:tc>
          <w:tcPr>
            <w:tcW w:w="1062"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75</w:t>
            </w:r>
          </w:p>
        </w:tc>
        <w:tc>
          <w:tcPr>
            <w:tcW w:w="106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376</w:t>
            </w:r>
          </w:p>
        </w:tc>
        <w:tc>
          <w:tcPr>
            <w:tcW w:w="1063"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fldChar w:fldCharType="begin"/>
            </w:r>
            <w:r>
              <w:rPr>
                <w:sz w:val="18"/>
                <w:szCs w:val="18"/>
                <w:lang w:val="fr-CA"/>
              </w:rPr>
              <w:instrText xml:space="preserve"> =SUM(left) </w:instrText>
            </w:r>
            <w:r>
              <w:rPr>
                <w:sz w:val="18"/>
                <w:szCs w:val="18"/>
                <w:lang w:val="fr-CA"/>
              </w:rPr>
              <w:fldChar w:fldCharType="separate"/>
            </w:r>
            <w:r>
              <w:rPr>
                <w:noProof/>
                <w:sz w:val="18"/>
                <w:szCs w:val="18"/>
                <w:lang w:val="fr-CA"/>
              </w:rPr>
              <w:t>451</w:t>
            </w:r>
            <w:r>
              <w:rPr>
                <w:sz w:val="18"/>
                <w:szCs w:val="18"/>
                <w:lang w:val="fr-CA"/>
              </w:rPr>
              <w:fldChar w:fldCharType="end"/>
            </w:r>
          </w:p>
        </w:tc>
        <w:tc>
          <w:tcPr>
            <w:tcW w:w="115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16,6</w:t>
            </w:r>
          </w:p>
        </w:tc>
      </w:tr>
      <w:tr w:rsidR="00A10274">
        <w:trPr>
          <w:trHeight w:val="240"/>
        </w:trPr>
        <w:tc>
          <w:tcPr>
            <w:tcW w:w="425" w:type="dxa"/>
            <w:tcBorders>
              <w:bottom w:val="single" w:sz="6"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3.</w:t>
            </w:r>
          </w:p>
        </w:tc>
        <w:tc>
          <w:tcPr>
            <w:tcW w:w="2552"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left"/>
              <w:rPr>
                <w:sz w:val="18"/>
                <w:szCs w:val="18"/>
                <w:lang w:val="fr-CA"/>
              </w:rPr>
            </w:pPr>
            <w:r>
              <w:rPr>
                <w:sz w:val="18"/>
                <w:szCs w:val="18"/>
                <w:lang w:val="fr-CA"/>
              </w:rPr>
              <w:t>Entreprises commerciales</w:t>
            </w:r>
          </w:p>
        </w:tc>
        <w:tc>
          <w:tcPr>
            <w:tcW w:w="1062"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305</w:t>
            </w:r>
          </w:p>
        </w:tc>
        <w:tc>
          <w:tcPr>
            <w:tcW w:w="1063"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1 068</w:t>
            </w:r>
          </w:p>
        </w:tc>
        <w:tc>
          <w:tcPr>
            <w:tcW w:w="1063"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1 373</w:t>
            </w:r>
          </w:p>
        </w:tc>
        <w:tc>
          <w:tcPr>
            <w:tcW w:w="1154"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28,6</w:t>
            </w:r>
          </w:p>
        </w:tc>
      </w:tr>
      <w:tr w:rsidR="00A10274">
        <w:trPr>
          <w:trHeight w:val="240"/>
        </w:trPr>
        <w:tc>
          <w:tcPr>
            <w:tcW w:w="425" w:type="dxa"/>
            <w:tcBorders>
              <w:top w:val="single" w:sz="6" w:space="0" w:color="auto"/>
              <w:bottom w:val="single" w:sz="12" w:space="0" w:color="auto"/>
            </w:tcBorders>
            <w:shd w:val="clear" w:color="auto" w:fill="auto"/>
          </w:tcPr>
          <w:p w:rsidR="00A10274" w:rsidRDefault="00A10274">
            <w:pPr>
              <w:pStyle w:val="SingleTxtG"/>
              <w:suppressAutoHyphens w:val="0"/>
              <w:spacing w:before="80" w:after="80" w:line="240" w:lineRule="auto"/>
              <w:ind w:left="0" w:right="0"/>
              <w:jc w:val="left"/>
              <w:rPr>
                <w:b/>
                <w:sz w:val="18"/>
                <w:szCs w:val="18"/>
                <w:lang w:val="fr-CA"/>
              </w:rPr>
            </w:pPr>
          </w:p>
        </w:tc>
        <w:tc>
          <w:tcPr>
            <w:tcW w:w="2552"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left"/>
              <w:rPr>
                <w:b/>
                <w:sz w:val="18"/>
                <w:szCs w:val="18"/>
                <w:lang w:val="fr-CA"/>
              </w:rPr>
            </w:pPr>
            <w:r>
              <w:rPr>
                <w:b/>
                <w:sz w:val="18"/>
                <w:szCs w:val="18"/>
                <w:lang w:val="fr-CA"/>
              </w:rPr>
              <w:t>Total</w:t>
            </w:r>
          </w:p>
        </w:tc>
        <w:tc>
          <w:tcPr>
            <w:tcW w:w="1062"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5 700</w:t>
            </w:r>
          </w:p>
        </w:tc>
        <w:tc>
          <w:tcPr>
            <w:tcW w:w="1063"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11 984</w:t>
            </w:r>
          </w:p>
        </w:tc>
        <w:tc>
          <w:tcPr>
            <w:tcW w:w="1063"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17 684</w:t>
            </w:r>
          </w:p>
        </w:tc>
        <w:tc>
          <w:tcPr>
            <w:tcW w:w="115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32,2</w:t>
            </w:r>
          </w:p>
        </w:tc>
      </w:tr>
    </w:tbl>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numPr>
          <w:ilvl w:val="0"/>
          <w:numId w:val="10"/>
        </w:numPr>
        <w:rPr>
          <w:lang w:val="fr-CA"/>
        </w:rPr>
      </w:pPr>
      <w:r>
        <w:rPr>
          <w:lang w:val="fr-CA"/>
        </w:rPr>
        <w:t>Les femmes qui sont chefs de ménage ont 32,2 % d’accès à une terre consacrée à diverses fins durant la période quadriennale. Comparé aux autres, le plus faible taux d’accès des femmes à la terre était à des fins d’agriculture commerciale. Ceci dépend de la capacité entrepreneuriale de la femme à investir dans une agriculture commerciale.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Assistance aux orphelins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38</w:t>
      </w:r>
      <w:r>
        <w:rPr>
          <w:lang w:val="fr-CA"/>
        </w:rPr>
        <w:br/>
        <w:t>Nombre d’orphelins et de familles d’accueil aidés par l’IGA</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71" w:type="dxa"/>
        <w:tblInd w:w="1276" w:type="dxa"/>
        <w:tblBorders>
          <w:top w:val="single" w:sz="4" w:space="0" w:color="auto"/>
        </w:tblBorders>
        <w:tblCellMar>
          <w:left w:w="0" w:type="dxa"/>
          <w:right w:w="0" w:type="dxa"/>
        </w:tblCellMar>
        <w:tblLook w:val="04A0"/>
      </w:tblPr>
      <w:tblGrid>
        <w:gridCol w:w="709"/>
        <w:gridCol w:w="881"/>
        <w:gridCol w:w="797"/>
        <w:gridCol w:w="808"/>
        <w:gridCol w:w="960"/>
        <w:gridCol w:w="797"/>
        <w:gridCol w:w="808"/>
        <w:gridCol w:w="1611"/>
      </w:tblGrid>
      <w:tr w:rsidR="00A10274">
        <w:trPr>
          <w:trHeight w:val="240"/>
          <w:tblHeader/>
        </w:trPr>
        <w:tc>
          <w:tcPr>
            <w:tcW w:w="709" w:type="dxa"/>
            <w:vMerge w:val="restart"/>
            <w:tcBorders>
              <w:top w:val="single" w:sz="4"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Année</w:t>
            </w:r>
          </w:p>
        </w:tc>
        <w:tc>
          <w:tcPr>
            <w:tcW w:w="2486" w:type="dxa"/>
            <w:gridSpan w:val="3"/>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Nombre d’orphelins réunis avec des familles d’accueil</w:t>
            </w:r>
          </w:p>
        </w:tc>
        <w:tc>
          <w:tcPr>
            <w:tcW w:w="2565" w:type="dxa"/>
            <w:gridSpan w:val="3"/>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 xml:space="preserve">Nombre de familles d’accueil aidées </w:t>
            </w:r>
            <w:r>
              <w:rPr>
                <w:i/>
                <w:sz w:val="14"/>
                <w:szCs w:val="14"/>
                <w:lang w:val="fr-CA"/>
              </w:rPr>
              <w:br/>
              <w:t>par l’IGA</w:t>
            </w:r>
          </w:p>
        </w:tc>
        <w:tc>
          <w:tcPr>
            <w:tcW w:w="1611" w:type="dxa"/>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Montant d’ERN décaissés</w:t>
            </w:r>
          </w:p>
        </w:tc>
      </w:tr>
      <w:tr w:rsidR="00A10274">
        <w:trPr>
          <w:trHeight w:val="240"/>
        </w:trPr>
        <w:tc>
          <w:tcPr>
            <w:tcW w:w="709" w:type="dxa"/>
            <w:vMerge/>
            <w:tcBorders>
              <w:bottom w:val="single" w:sz="12" w:space="0" w:color="auto"/>
            </w:tcBorders>
            <w:shd w:val="clear" w:color="auto" w:fill="auto"/>
          </w:tcPr>
          <w:p w:rsidR="00A10274" w:rsidRDefault="00A10274">
            <w:pPr>
              <w:pStyle w:val="SingleTxtG"/>
              <w:suppressAutoHyphens w:val="0"/>
              <w:spacing w:before="80" w:after="80" w:line="240" w:lineRule="auto"/>
              <w:ind w:left="0" w:right="0"/>
              <w:jc w:val="left"/>
              <w:rPr>
                <w:i/>
                <w:sz w:val="14"/>
                <w:szCs w:val="14"/>
                <w:lang w:val="fr-CA"/>
              </w:rPr>
            </w:pPr>
          </w:p>
        </w:tc>
        <w:tc>
          <w:tcPr>
            <w:tcW w:w="881"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Femmes</w:t>
            </w:r>
          </w:p>
        </w:tc>
        <w:tc>
          <w:tcPr>
            <w:tcW w:w="797"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Hommes</w:t>
            </w:r>
          </w:p>
        </w:tc>
        <w:tc>
          <w:tcPr>
            <w:tcW w:w="80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Total</w:t>
            </w:r>
          </w:p>
        </w:tc>
        <w:tc>
          <w:tcPr>
            <w:tcW w:w="960"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Femmes</w:t>
            </w:r>
          </w:p>
        </w:tc>
        <w:tc>
          <w:tcPr>
            <w:tcW w:w="797"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Hommes</w:t>
            </w:r>
          </w:p>
        </w:tc>
        <w:tc>
          <w:tcPr>
            <w:tcW w:w="80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Total</w:t>
            </w:r>
          </w:p>
        </w:tc>
        <w:tc>
          <w:tcPr>
            <w:tcW w:w="1611"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sz w:val="18"/>
                <w:szCs w:val="18"/>
                <w:lang w:val="fr-CA"/>
              </w:rPr>
            </w:pPr>
          </w:p>
        </w:tc>
      </w:tr>
      <w:tr w:rsidR="00A10274">
        <w:trPr>
          <w:trHeight w:val="240"/>
        </w:trPr>
        <w:tc>
          <w:tcPr>
            <w:tcW w:w="709"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w:t>
            </w:r>
          </w:p>
        </w:tc>
        <w:tc>
          <w:tcPr>
            <w:tcW w:w="881"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755</w:t>
            </w:r>
          </w:p>
        </w:tc>
        <w:tc>
          <w:tcPr>
            <w:tcW w:w="797"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838</w:t>
            </w:r>
          </w:p>
        </w:tc>
        <w:tc>
          <w:tcPr>
            <w:tcW w:w="80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1 593</w:t>
            </w:r>
          </w:p>
        </w:tc>
        <w:tc>
          <w:tcPr>
            <w:tcW w:w="96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425</w:t>
            </w:r>
          </w:p>
        </w:tc>
        <w:tc>
          <w:tcPr>
            <w:tcW w:w="797"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139</w:t>
            </w:r>
          </w:p>
        </w:tc>
        <w:tc>
          <w:tcPr>
            <w:tcW w:w="808"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564</w:t>
            </w:r>
          </w:p>
        </w:tc>
        <w:tc>
          <w:tcPr>
            <w:tcW w:w="1611"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11 341 302,00</w:t>
            </w:r>
          </w:p>
        </w:tc>
      </w:tr>
      <w:tr w:rsidR="00A10274">
        <w:trPr>
          <w:trHeight w:val="240"/>
        </w:trPr>
        <w:tc>
          <w:tcPr>
            <w:tcW w:w="709"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w:t>
            </w:r>
          </w:p>
        </w:tc>
        <w:tc>
          <w:tcPr>
            <w:tcW w:w="88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288</w:t>
            </w:r>
          </w:p>
        </w:tc>
        <w:tc>
          <w:tcPr>
            <w:tcW w:w="7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327</w:t>
            </w:r>
          </w:p>
        </w:tc>
        <w:tc>
          <w:tcPr>
            <w:tcW w:w="808"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615</w:t>
            </w:r>
          </w:p>
        </w:tc>
        <w:tc>
          <w:tcPr>
            <w:tcW w:w="96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162</w:t>
            </w:r>
          </w:p>
        </w:tc>
        <w:tc>
          <w:tcPr>
            <w:tcW w:w="7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60</w:t>
            </w:r>
          </w:p>
        </w:tc>
        <w:tc>
          <w:tcPr>
            <w:tcW w:w="808"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222</w:t>
            </w:r>
          </w:p>
        </w:tc>
        <w:tc>
          <w:tcPr>
            <w:tcW w:w="1611"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4 420 150,00</w:t>
            </w:r>
          </w:p>
        </w:tc>
      </w:tr>
      <w:tr w:rsidR="00A10274">
        <w:trPr>
          <w:trHeight w:val="240"/>
        </w:trPr>
        <w:tc>
          <w:tcPr>
            <w:tcW w:w="709" w:type="dxa"/>
            <w:tcBorders>
              <w:bottom w:val="single" w:sz="6"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2012</w:t>
            </w:r>
          </w:p>
        </w:tc>
        <w:tc>
          <w:tcPr>
            <w:tcW w:w="881"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635</w:t>
            </w:r>
          </w:p>
        </w:tc>
        <w:tc>
          <w:tcPr>
            <w:tcW w:w="797"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680</w:t>
            </w:r>
          </w:p>
        </w:tc>
        <w:tc>
          <w:tcPr>
            <w:tcW w:w="808"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1 315</w:t>
            </w:r>
          </w:p>
        </w:tc>
        <w:tc>
          <w:tcPr>
            <w:tcW w:w="960"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396</w:t>
            </w:r>
          </w:p>
        </w:tc>
        <w:tc>
          <w:tcPr>
            <w:tcW w:w="797"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46</w:t>
            </w:r>
          </w:p>
        </w:tc>
        <w:tc>
          <w:tcPr>
            <w:tcW w:w="808"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442</w:t>
            </w:r>
          </w:p>
        </w:tc>
        <w:tc>
          <w:tcPr>
            <w:tcW w:w="1611"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9 117 750,00</w:t>
            </w:r>
          </w:p>
        </w:tc>
      </w:tr>
      <w:tr w:rsidR="00A10274">
        <w:trPr>
          <w:trHeight w:val="240"/>
        </w:trPr>
        <w:tc>
          <w:tcPr>
            <w:tcW w:w="709" w:type="dxa"/>
            <w:tcBorders>
              <w:top w:val="single" w:sz="6" w:space="0" w:color="auto"/>
              <w:bottom w:val="single" w:sz="12" w:space="0" w:color="auto"/>
            </w:tcBorders>
            <w:shd w:val="clear" w:color="auto" w:fill="auto"/>
          </w:tcPr>
          <w:p w:rsidR="00A10274" w:rsidRDefault="00A10274">
            <w:pPr>
              <w:pStyle w:val="SingleTxtG"/>
              <w:suppressAutoHyphens w:val="0"/>
              <w:spacing w:before="80" w:after="80" w:line="240" w:lineRule="auto"/>
              <w:ind w:left="0" w:right="0"/>
              <w:jc w:val="left"/>
              <w:rPr>
                <w:b/>
                <w:sz w:val="18"/>
                <w:szCs w:val="18"/>
                <w:lang w:val="fr-CA"/>
              </w:rPr>
            </w:pPr>
            <w:r>
              <w:rPr>
                <w:b/>
                <w:sz w:val="18"/>
                <w:szCs w:val="18"/>
                <w:lang w:val="fr-CA"/>
              </w:rPr>
              <w:t>Total</w:t>
            </w:r>
          </w:p>
        </w:tc>
        <w:tc>
          <w:tcPr>
            <w:tcW w:w="881"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1 678</w:t>
            </w:r>
          </w:p>
        </w:tc>
        <w:tc>
          <w:tcPr>
            <w:tcW w:w="797"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1 845</w:t>
            </w:r>
          </w:p>
        </w:tc>
        <w:tc>
          <w:tcPr>
            <w:tcW w:w="80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3 523</w:t>
            </w:r>
          </w:p>
        </w:tc>
        <w:tc>
          <w:tcPr>
            <w:tcW w:w="960"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983</w:t>
            </w:r>
          </w:p>
        </w:tc>
        <w:tc>
          <w:tcPr>
            <w:tcW w:w="797"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245</w:t>
            </w:r>
          </w:p>
        </w:tc>
        <w:tc>
          <w:tcPr>
            <w:tcW w:w="808"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1 228</w:t>
            </w:r>
          </w:p>
        </w:tc>
        <w:tc>
          <w:tcPr>
            <w:tcW w:w="1611"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24 879 202,00</w:t>
            </w:r>
          </w:p>
        </w:tc>
      </w:tr>
    </w:tbl>
    <w:p w:rsidR="00A10274" w:rsidRDefault="00A10274">
      <w:pPr>
        <w:pStyle w:val="SingleTxt"/>
        <w:spacing w:after="0" w:line="120" w:lineRule="exact"/>
        <w:rPr>
          <w:i/>
          <w:sz w:val="10"/>
          <w:lang w:val="fr-CA"/>
        </w:rPr>
      </w:pPr>
    </w:p>
    <w:p w:rsidR="00A10274" w:rsidRDefault="00A10274">
      <w:pPr>
        <w:pStyle w:val="FootnoteText"/>
        <w:tabs>
          <w:tab w:val="right" w:pos="1476"/>
          <w:tab w:val="left" w:pos="1548"/>
          <w:tab w:val="right" w:pos="1836"/>
          <w:tab w:val="left" w:pos="1908"/>
        </w:tabs>
        <w:ind w:left="1548" w:right="1267" w:hanging="288"/>
        <w:rPr>
          <w:lang w:val="fr-CA"/>
        </w:rPr>
      </w:pPr>
      <w:r>
        <w:rPr>
          <w:i/>
          <w:lang w:val="fr-CA"/>
        </w:rPr>
        <w:t>Source</w:t>
      </w:r>
      <w:r>
        <w:rPr>
          <w:lang w:val="fr-CA"/>
        </w:rPr>
        <w:t> : Ministère du travail et de la prévoyance sociale.</w:t>
      </w:r>
    </w:p>
    <w:p w:rsidR="00A10274" w:rsidRDefault="00A10274">
      <w:pPr>
        <w:pStyle w:val="FootnoteText"/>
        <w:tabs>
          <w:tab w:val="right" w:pos="1476"/>
          <w:tab w:val="left" w:pos="1548"/>
          <w:tab w:val="right" w:pos="1836"/>
          <w:tab w:val="left" w:pos="1908"/>
        </w:tabs>
        <w:spacing w:line="120" w:lineRule="exact"/>
        <w:ind w:left="1548" w:right="1267" w:hanging="288"/>
        <w:rPr>
          <w:sz w:val="10"/>
          <w:lang w:val="fr-CA"/>
        </w:rPr>
      </w:pPr>
    </w:p>
    <w:p w:rsidR="00A10274" w:rsidRDefault="00A10274">
      <w:pPr>
        <w:pStyle w:val="FootnoteText"/>
        <w:tabs>
          <w:tab w:val="right" w:pos="1476"/>
          <w:tab w:val="left" w:pos="1548"/>
          <w:tab w:val="right" w:pos="1836"/>
          <w:tab w:val="left" w:pos="1908"/>
        </w:tabs>
        <w:spacing w:line="120" w:lineRule="exact"/>
        <w:ind w:left="1548" w:right="1267" w:hanging="288"/>
        <w:rPr>
          <w:sz w:val="10"/>
          <w:lang w:val="fr-CA"/>
        </w:rPr>
      </w:pPr>
    </w:p>
    <w:p w:rsidR="00A10274" w:rsidRDefault="00A10274">
      <w:pPr>
        <w:pStyle w:val="SingleTxt"/>
        <w:numPr>
          <w:ilvl w:val="0"/>
          <w:numId w:val="10"/>
        </w:numPr>
        <w:rPr>
          <w:lang w:val="fr-CA"/>
        </w:rPr>
      </w:pPr>
      <w:r>
        <w:rPr>
          <w:lang w:val="fr-CA"/>
        </w:rPr>
        <w:t>Le Ministère du travail et de la prévoyance sociale, qui est l’instance gouvernementale chargée du bien-être et de la sécurité sociale du peuple érythréen, a mis en œuvre plusieurs programmes visant à venir en aide aux éléments de population désavantagés comme les orphelins et les handicapés. Dans les efforts qu’il déploie pour réadapter et réintégrer les orphelins, le Ministère s’est, pendant les quatre dernières années (2009-2012), dépensé pour permettre à 5 426 orphelins, dont 2 621 (48,3 %) étaient de sexe féminin, de s’unir à des familles d’accueil. La majorité des familles d’accueil (79,5 %) qui ont reçu une aide avaient une femme à leur tête.</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39</w:t>
      </w:r>
      <w:r>
        <w:rPr>
          <w:lang w:val="fr-CA"/>
        </w:rPr>
        <w:br/>
        <w:t xml:space="preserve">Nombre d’enfants désavantagés et d’enfants des rues ayant reçu </w:t>
      </w:r>
      <w:r>
        <w:rPr>
          <w:lang w:val="fr-CA"/>
        </w:rPr>
        <w:br/>
        <w:t>du matériel scolaire par sexe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228" w:type="dxa"/>
        <w:tblInd w:w="1276" w:type="dxa"/>
        <w:tblBorders>
          <w:top w:val="single" w:sz="4" w:space="0" w:color="auto"/>
        </w:tblBorders>
        <w:tblCellMar>
          <w:left w:w="0" w:type="dxa"/>
          <w:right w:w="0" w:type="dxa"/>
        </w:tblCellMar>
        <w:tblLook w:val="04A0"/>
      </w:tblPr>
      <w:tblGrid>
        <w:gridCol w:w="704"/>
        <w:gridCol w:w="1620"/>
        <w:gridCol w:w="1980"/>
        <w:gridCol w:w="2924"/>
      </w:tblGrid>
      <w:tr w:rsidR="00A10274">
        <w:trPr>
          <w:trHeight w:val="240"/>
          <w:tblHeader/>
        </w:trPr>
        <w:tc>
          <w:tcPr>
            <w:tcW w:w="704" w:type="dxa"/>
            <w:vMerge w:val="restart"/>
            <w:tcBorders>
              <w:top w:val="single" w:sz="4"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Année</w:t>
            </w:r>
          </w:p>
        </w:tc>
        <w:tc>
          <w:tcPr>
            <w:tcW w:w="6524" w:type="dxa"/>
            <w:gridSpan w:val="3"/>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Nombre d’enfants désavantagés et d’enfants des rues assistés</w:t>
            </w:r>
          </w:p>
        </w:tc>
      </w:tr>
      <w:tr w:rsidR="00A10274">
        <w:trPr>
          <w:trHeight w:val="240"/>
        </w:trPr>
        <w:tc>
          <w:tcPr>
            <w:tcW w:w="704" w:type="dxa"/>
            <w:vMerge/>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p>
        </w:tc>
        <w:tc>
          <w:tcPr>
            <w:tcW w:w="1620"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Filles</w:t>
            </w:r>
          </w:p>
        </w:tc>
        <w:tc>
          <w:tcPr>
            <w:tcW w:w="1980"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Garçons</w:t>
            </w:r>
          </w:p>
        </w:tc>
        <w:tc>
          <w:tcPr>
            <w:tcW w:w="292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i/>
                <w:sz w:val="14"/>
                <w:szCs w:val="14"/>
                <w:lang w:val="fr-CA"/>
              </w:rPr>
            </w:pPr>
            <w:r>
              <w:rPr>
                <w:i/>
                <w:sz w:val="14"/>
                <w:szCs w:val="14"/>
                <w:lang w:val="fr-CA"/>
              </w:rPr>
              <w:t>Total</w:t>
            </w:r>
          </w:p>
        </w:tc>
      </w:tr>
      <w:tr w:rsidR="00A10274">
        <w:trPr>
          <w:trHeight w:val="240"/>
        </w:trPr>
        <w:tc>
          <w:tcPr>
            <w:tcW w:w="704"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w:t>
            </w:r>
          </w:p>
        </w:tc>
        <w:tc>
          <w:tcPr>
            <w:tcW w:w="162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1 785</w:t>
            </w:r>
          </w:p>
        </w:tc>
        <w:tc>
          <w:tcPr>
            <w:tcW w:w="198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1 886</w:t>
            </w:r>
          </w:p>
        </w:tc>
        <w:tc>
          <w:tcPr>
            <w:tcW w:w="2924"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3 671</w:t>
            </w:r>
          </w:p>
        </w:tc>
      </w:tr>
      <w:tr w:rsidR="00A10274">
        <w:trPr>
          <w:trHeight w:val="240"/>
        </w:trPr>
        <w:tc>
          <w:tcPr>
            <w:tcW w:w="704"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w:t>
            </w:r>
          </w:p>
        </w:tc>
        <w:tc>
          <w:tcPr>
            <w:tcW w:w="162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1 778</w:t>
            </w:r>
          </w:p>
        </w:tc>
        <w:tc>
          <w:tcPr>
            <w:tcW w:w="198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2 021</w:t>
            </w:r>
          </w:p>
        </w:tc>
        <w:tc>
          <w:tcPr>
            <w:tcW w:w="2924"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3 799</w:t>
            </w:r>
          </w:p>
        </w:tc>
      </w:tr>
      <w:tr w:rsidR="00A10274">
        <w:trPr>
          <w:trHeight w:val="240"/>
        </w:trPr>
        <w:tc>
          <w:tcPr>
            <w:tcW w:w="704" w:type="dxa"/>
            <w:tcBorders>
              <w:bottom w:val="single" w:sz="6"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2012</w:t>
            </w:r>
          </w:p>
        </w:tc>
        <w:tc>
          <w:tcPr>
            <w:tcW w:w="1620"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1 711</w:t>
            </w:r>
          </w:p>
        </w:tc>
        <w:tc>
          <w:tcPr>
            <w:tcW w:w="1980"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2 022</w:t>
            </w:r>
          </w:p>
        </w:tc>
        <w:tc>
          <w:tcPr>
            <w:tcW w:w="2924"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3 733</w:t>
            </w:r>
          </w:p>
        </w:tc>
      </w:tr>
      <w:tr w:rsidR="00A10274">
        <w:trPr>
          <w:trHeight w:val="240"/>
        </w:trPr>
        <w:tc>
          <w:tcPr>
            <w:tcW w:w="704" w:type="dxa"/>
            <w:tcBorders>
              <w:top w:val="single" w:sz="6" w:space="0" w:color="auto"/>
              <w:bottom w:val="single" w:sz="12" w:space="0" w:color="auto"/>
            </w:tcBorders>
            <w:shd w:val="clear" w:color="auto" w:fill="auto"/>
          </w:tcPr>
          <w:p w:rsidR="00A10274" w:rsidRDefault="00A10274">
            <w:pPr>
              <w:pStyle w:val="SingleTxtG"/>
              <w:suppressAutoHyphens w:val="0"/>
              <w:spacing w:before="80" w:after="80" w:line="240" w:lineRule="auto"/>
              <w:ind w:left="0" w:right="0"/>
              <w:jc w:val="left"/>
              <w:rPr>
                <w:b/>
                <w:sz w:val="18"/>
                <w:szCs w:val="18"/>
                <w:lang w:val="fr-CA"/>
              </w:rPr>
            </w:pPr>
            <w:r>
              <w:rPr>
                <w:b/>
                <w:sz w:val="18"/>
                <w:szCs w:val="18"/>
                <w:lang w:val="fr-CA"/>
              </w:rPr>
              <w:t>Total</w:t>
            </w:r>
          </w:p>
        </w:tc>
        <w:tc>
          <w:tcPr>
            <w:tcW w:w="1620"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5 274</w:t>
            </w:r>
          </w:p>
        </w:tc>
        <w:tc>
          <w:tcPr>
            <w:tcW w:w="1980"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5 929</w:t>
            </w:r>
          </w:p>
        </w:tc>
        <w:tc>
          <w:tcPr>
            <w:tcW w:w="2924"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11 203</w:t>
            </w:r>
          </w:p>
        </w:tc>
      </w:tr>
    </w:tbl>
    <w:p w:rsidR="00A10274" w:rsidRDefault="00A10274">
      <w:pPr>
        <w:pStyle w:val="SingleTxt"/>
        <w:spacing w:after="0" w:line="120" w:lineRule="exact"/>
        <w:rPr>
          <w:i/>
          <w:sz w:val="10"/>
          <w:lang w:val="fr-CA"/>
        </w:rPr>
      </w:pPr>
    </w:p>
    <w:p w:rsidR="00A10274" w:rsidRDefault="00A10274">
      <w:pPr>
        <w:pStyle w:val="FootnoteText"/>
        <w:tabs>
          <w:tab w:val="right" w:pos="1476"/>
          <w:tab w:val="left" w:pos="1548"/>
          <w:tab w:val="right" w:pos="1836"/>
          <w:tab w:val="left" w:pos="1908"/>
        </w:tabs>
        <w:ind w:left="1548" w:right="1267" w:hanging="288"/>
        <w:rPr>
          <w:lang w:val="fr-CA"/>
        </w:rPr>
      </w:pPr>
      <w:r>
        <w:rPr>
          <w:i/>
          <w:lang w:val="fr-CA"/>
        </w:rPr>
        <w:t>Source</w:t>
      </w:r>
      <w:r>
        <w:rPr>
          <w:lang w:val="fr-CA"/>
        </w:rPr>
        <w:t> : Ministère du travail et de la prévoyance sociale.</w:t>
      </w:r>
    </w:p>
    <w:p w:rsidR="00A10274" w:rsidRDefault="00A10274">
      <w:pPr>
        <w:pStyle w:val="FootnoteText"/>
        <w:tabs>
          <w:tab w:val="right" w:pos="1476"/>
          <w:tab w:val="left" w:pos="1548"/>
          <w:tab w:val="right" w:pos="1836"/>
          <w:tab w:val="left" w:pos="1908"/>
        </w:tabs>
        <w:spacing w:line="120" w:lineRule="exact"/>
        <w:ind w:left="1548" w:right="1267" w:hanging="288"/>
        <w:rPr>
          <w:sz w:val="10"/>
          <w:lang w:val="fr-CA"/>
        </w:rPr>
      </w:pPr>
    </w:p>
    <w:p w:rsidR="00A10274" w:rsidRDefault="00A10274">
      <w:pPr>
        <w:pStyle w:val="FootnoteText"/>
        <w:tabs>
          <w:tab w:val="right" w:pos="1476"/>
          <w:tab w:val="left" w:pos="1548"/>
          <w:tab w:val="right" w:pos="1836"/>
          <w:tab w:val="left" w:pos="1908"/>
        </w:tabs>
        <w:spacing w:line="120" w:lineRule="exact"/>
        <w:ind w:left="1548" w:right="1267" w:hanging="288"/>
        <w:rPr>
          <w:sz w:val="10"/>
          <w:lang w:val="fr-CA"/>
        </w:rPr>
      </w:pPr>
    </w:p>
    <w:p w:rsidR="00A10274" w:rsidRDefault="00A10274">
      <w:pPr>
        <w:pStyle w:val="SingleTxt"/>
        <w:numPr>
          <w:ilvl w:val="0"/>
          <w:numId w:val="10"/>
        </w:numPr>
        <w:rPr>
          <w:lang w:val="fr-CA"/>
        </w:rPr>
      </w:pPr>
      <w:r>
        <w:rPr>
          <w:lang w:val="fr-CA"/>
        </w:rPr>
        <w:tab/>
        <w:t>Parallèlement aux mêmes responsabilités d’ordre humanitaire, le MTPS a permis en moyenne à quelque 3 650 enfants désavantagés et enfants des rues de poursuivre leur éducation par l’offre de matériel scolaire. Le tableau 40 montre que 47,0 % des enfants désavantagés auxquels le ministère a apporté une aide par la fourniture de matériel scolaire étaient des filles.</w:t>
      </w: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40</w:t>
      </w:r>
      <w:r>
        <w:rPr>
          <w:lang w:val="fr-CA"/>
        </w:rPr>
        <w:br/>
        <w:t xml:space="preserve">Enfants désavantagés et enfants des rues ayant reçu de l’argent </w:t>
      </w:r>
      <w:r>
        <w:rPr>
          <w:lang w:val="fr-CA"/>
        </w:rPr>
        <w:br/>
        <w:t>pour l’achat d’uniformes et de manuels scolaires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228" w:type="dxa"/>
        <w:tblInd w:w="1276" w:type="dxa"/>
        <w:tblBorders>
          <w:top w:val="single" w:sz="4" w:space="0" w:color="auto"/>
        </w:tblBorders>
        <w:tblCellMar>
          <w:left w:w="0" w:type="dxa"/>
          <w:right w:w="0" w:type="dxa"/>
        </w:tblCellMar>
        <w:tblLook w:val="04A0"/>
      </w:tblPr>
      <w:tblGrid>
        <w:gridCol w:w="704"/>
        <w:gridCol w:w="1509"/>
        <w:gridCol w:w="1509"/>
        <w:gridCol w:w="1509"/>
        <w:gridCol w:w="1997"/>
      </w:tblGrid>
      <w:tr w:rsidR="00A10274">
        <w:trPr>
          <w:trHeight w:val="240"/>
          <w:tblHeader/>
        </w:trPr>
        <w:tc>
          <w:tcPr>
            <w:tcW w:w="704" w:type="dxa"/>
            <w:vMerge w:val="restart"/>
            <w:tcBorders>
              <w:top w:val="single" w:sz="4" w:space="0" w:color="auto"/>
            </w:tcBorders>
            <w:shd w:val="clear" w:color="auto" w:fill="auto"/>
            <w:vAlign w:val="bottom"/>
          </w:tcPr>
          <w:p w:rsidR="00A10274" w:rsidRDefault="00A10274">
            <w:pPr>
              <w:pStyle w:val="SingleTxtG"/>
              <w:suppressAutoHyphens w:val="0"/>
              <w:spacing w:before="80" w:after="80" w:line="240" w:lineRule="auto"/>
              <w:ind w:left="0" w:right="0"/>
              <w:jc w:val="left"/>
              <w:rPr>
                <w:i/>
                <w:sz w:val="14"/>
                <w:szCs w:val="14"/>
                <w:lang w:val="fr-CA"/>
              </w:rPr>
            </w:pPr>
            <w:r>
              <w:rPr>
                <w:i/>
                <w:sz w:val="14"/>
                <w:szCs w:val="14"/>
                <w:lang w:val="fr-CA"/>
              </w:rPr>
              <w:t>Année</w:t>
            </w:r>
          </w:p>
        </w:tc>
        <w:tc>
          <w:tcPr>
            <w:tcW w:w="4527" w:type="dxa"/>
            <w:gridSpan w:val="3"/>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Nombre d’enfants assistés</w:t>
            </w:r>
          </w:p>
        </w:tc>
        <w:tc>
          <w:tcPr>
            <w:tcW w:w="1997" w:type="dxa"/>
            <w:tcBorders>
              <w:top w:val="single" w:sz="4" w:space="0" w:color="auto"/>
              <w:bottom w:val="single" w:sz="6" w:space="0" w:color="auto"/>
            </w:tcBorders>
            <w:shd w:val="clear" w:color="auto" w:fill="auto"/>
            <w:vAlign w:val="bottom"/>
          </w:tcPr>
          <w:p w:rsidR="00A10274" w:rsidRDefault="00A10274">
            <w:pPr>
              <w:pStyle w:val="SingleTxtG"/>
              <w:suppressAutoHyphens w:val="0"/>
              <w:spacing w:before="80" w:after="80" w:line="240" w:lineRule="auto"/>
              <w:ind w:left="113" w:right="0"/>
              <w:jc w:val="center"/>
              <w:rPr>
                <w:i/>
                <w:sz w:val="14"/>
                <w:szCs w:val="14"/>
                <w:lang w:val="fr-CA"/>
              </w:rPr>
            </w:pPr>
            <w:r>
              <w:rPr>
                <w:i/>
                <w:sz w:val="14"/>
                <w:szCs w:val="14"/>
                <w:lang w:val="fr-CA"/>
              </w:rPr>
              <w:t>Dépenses en ERN</w:t>
            </w:r>
          </w:p>
        </w:tc>
      </w:tr>
      <w:tr w:rsidR="00A10274">
        <w:trPr>
          <w:trHeight w:val="240"/>
        </w:trPr>
        <w:tc>
          <w:tcPr>
            <w:tcW w:w="704" w:type="dxa"/>
            <w:vMerge/>
            <w:tcBorders>
              <w:bottom w:val="single" w:sz="12" w:space="0" w:color="auto"/>
            </w:tcBorders>
            <w:shd w:val="clear" w:color="auto" w:fill="auto"/>
          </w:tcPr>
          <w:p w:rsidR="00A10274" w:rsidRDefault="00A10274">
            <w:pPr>
              <w:pStyle w:val="SingleTxtG"/>
              <w:suppressAutoHyphens w:val="0"/>
              <w:spacing w:before="40" w:after="40" w:line="240" w:lineRule="auto"/>
              <w:ind w:left="0" w:right="0"/>
              <w:jc w:val="left"/>
              <w:rPr>
                <w:i/>
                <w:sz w:val="14"/>
                <w:szCs w:val="14"/>
                <w:lang w:val="fr-CA"/>
              </w:rPr>
            </w:pPr>
          </w:p>
        </w:tc>
        <w:tc>
          <w:tcPr>
            <w:tcW w:w="150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Filles</w:t>
            </w:r>
          </w:p>
        </w:tc>
        <w:tc>
          <w:tcPr>
            <w:tcW w:w="150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Garçons</w:t>
            </w:r>
          </w:p>
        </w:tc>
        <w:tc>
          <w:tcPr>
            <w:tcW w:w="150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r>
              <w:rPr>
                <w:i/>
                <w:sz w:val="14"/>
                <w:szCs w:val="14"/>
                <w:lang w:val="fr-CA"/>
              </w:rPr>
              <w:t>Total</w:t>
            </w:r>
          </w:p>
        </w:tc>
        <w:tc>
          <w:tcPr>
            <w:tcW w:w="1997"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i/>
                <w:sz w:val="14"/>
                <w:szCs w:val="14"/>
                <w:lang w:val="fr-CA"/>
              </w:rPr>
            </w:pPr>
          </w:p>
        </w:tc>
      </w:tr>
      <w:tr w:rsidR="00A10274">
        <w:trPr>
          <w:trHeight w:val="240"/>
        </w:trPr>
        <w:tc>
          <w:tcPr>
            <w:tcW w:w="704"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w:t>
            </w:r>
          </w:p>
        </w:tc>
        <w:tc>
          <w:tcPr>
            <w:tcW w:w="1509"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1 374</w:t>
            </w:r>
          </w:p>
        </w:tc>
        <w:tc>
          <w:tcPr>
            <w:tcW w:w="1509"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2 038</w:t>
            </w:r>
          </w:p>
        </w:tc>
        <w:tc>
          <w:tcPr>
            <w:tcW w:w="1509"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3 412</w:t>
            </w:r>
          </w:p>
        </w:tc>
        <w:tc>
          <w:tcPr>
            <w:tcW w:w="1997"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1 018 960,00</w:t>
            </w:r>
          </w:p>
        </w:tc>
      </w:tr>
      <w:tr w:rsidR="00A10274">
        <w:trPr>
          <w:trHeight w:val="240"/>
        </w:trPr>
        <w:tc>
          <w:tcPr>
            <w:tcW w:w="704"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w:t>
            </w:r>
          </w:p>
        </w:tc>
        <w:tc>
          <w:tcPr>
            <w:tcW w:w="1509"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2 828</w:t>
            </w:r>
          </w:p>
        </w:tc>
        <w:tc>
          <w:tcPr>
            <w:tcW w:w="1509"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3 110</w:t>
            </w:r>
          </w:p>
        </w:tc>
        <w:tc>
          <w:tcPr>
            <w:tcW w:w="1509"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5 938</w:t>
            </w:r>
          </w:p>
        </w:tc>
        <w:tc>
          <w:tcPr>
            <w:tcW w:w="1997"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1 728 870,00</w:t>
            </w:r>
          </w:p>
        </w:tc>
      </w:tr>
      <w:tr w:rsidR="00A10274">
        <w:trPr>
          <w:trHeight w:val="240"/>
        </w:trPr>
        <w:tc>
          <w:tcPr>
            <w:tcW w:w="704" w:type="dxa"/>
            <w:tcBorders>
              <w:bottom w:val="single" w:sz="6"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1012</w:t>
            </w:r>
          </w:p>
        </w:tc>
        <w:tc>
          <w:tcPr>
            <w:tcW w:w="1509"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1 388</w:t>
            </w:r>
          </w:p>
        </w:tc>
        <w:tc>
          <w:tcPr>
            <w:tcW w:w="1509"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1 642</w:t>
            </w:r>
          </w:p>
        </w:tc>
        <w:tc>
          <w:tcPr>
            <w:tcW w:w="1509"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3 030</w:t>
            </w:r>
          </w:p>
        </w:tc>
        <w:tc>
          <w:tcPr>
            <w:tcW w:w="1997"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999 900,00</w:t>
            </w:r>
          </w:p>
        </w:tc>
      </w:tr>
      <w:tr w:rsidR="00A10274">
        <w:trPr>
          <w:trHeight w:val="240"/>
        </w:trPr>
        <w:tc>
          <w:tcPr>
            <w:tcW w:w="704" w:type="dxa"/>
            <w:tcBorders>
              <w:top w:val="single" w:sz="6" w:space="0" w:color="auto"/>
              <w:bottom w:val="single" w:sz="12" w:space="0" w:color="auto"/>
            </w:tcBorders>
            <w:shd w:val="clear" w:color="auto" w:fill="auto"/>
          </w:tcPr>
          <w:p w:rsidR="00A10274" w:rsidRDefault="00A10274">
            <w:pPr>
              <w:pStyle w:val="SingleTxtG"/>
              <w:suppressAutoHyphens w:val="0"/>
              <w:spacing w:before="80" w:after="80" w:line="240" w:lineRule="auto"/>
              <w:ind w:left="0" w:right="0"/>
              <w:jc w:val="left"/>
              <w:rPr>
                <w:b/>
                <w:sz w:val="18"/>
                <w:szCs w:val="18"/>
                <w:lang w:val="fr-CA"/>
              </w:rPr>
            </w:pPr>
            <w:r>
              <w:rPr>
                <w:b/>
                <w:sz w:val="18"/>
                <w:szCs w:val="18"/>
                <w:lang w:val="fr-CA"/>
              </w:rPr>
              <w:t>Total</w:t>
            </w:r>
          </w:p>
        </w:tc>
        <w:tc>
          <w:tcPr>
            <w:tcW w:w="150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5 590</w:t>
            </w:r>
          </w:p>
        </w:tc>
        <w:tc>
          <w:tcPr>
            <w:tcW w:w="150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6 790</w:t>
            </w:r>
          </w:p>
        </w:tc>
        <w:tc>
          <w:tcPr>
            <w:tcW w:w="1509"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12 380</w:t>
            </w:r>
          </w:p>
        </w:tc>
        <w:tc>
          <w:tcPr>
            <w:tcW w:w="1997"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3 747 730,00</w:t>
            </w:r>
          </w:p>
        </w:tc>
      </w:tr>
    </w:tbl>
    <w:p w:rsidR="00A10274" w:rsidRDefault="00A10274">
      <w:pPr>
        <w:pStyle w:val="SingleTxt"/>
        <w:spacing w:after="0" w:line="120" w:lineRule="exact"/>
        <w:rPr>
          <w:i/>
          <w:sz w:val="10"/>
          <w:lang w:val="fr-CA"/>
        </w:rPr>
      </w:pPr>
    </w:p>
    <w:p w:rsidR="00A10274" w:rsidRDefault="00A10274">
      <w:pPr>
        <w:pStyle w:val="FootnoteText"/>
        <w:tabs>
          <w:tab w:val="right" w:pos="1476"/>
          <w:tab w:val="left" w:pos="1548"/>
          <w:tab w:val="right" w:pos="1836"/>
          <w:tab w:val="left" w:pos="1908"/>
        </w:tabs>
        <w:ind w:left="1548" w:right="1267" w:hanging="288"/>
        <w:rPr>
          <w:lang w:val="fr-CA"/>
        </w:rPr>
      </w:pPr>
      <w:r>
        <w:rPr>
          <w:i/>
          <w:lang w:val="fr-CA"/>
        </w:rPr>
        <w:t>Source</w:t>
      </w:r>
      <w:r>
        <w:rPr>
          <w:lang w:val="fr-CA"/>
        </w:rPr>
        <w:t> : MTPS.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numPr>
          <w:ilvl w:val="0"/>
          <w:numId w:val="10"/>
        </w:numPr>
        <w:rPr>
          <w:lang w:val="fr-CA"/>
        </w:rPr>
      </w:pPr>
      <w:r>
        <w:rPr>
          <w:lang w:val="fr-CA"/>
        </w:rPr>
        <w:t>Outre par la fourniture de matériels scolaires, le MTPS est venu en aide aux enfants désavantagés au moyen d’une aide monétaire pour leur permettre de s’acheter des uniformes et des manuels scolaires.</w:t>
      </w:r>
    </w:p>
    <w:p w:rsidR="00A10274" w:rsidRDefault="00A10274">
      <w:pPr>
        <w:pStyle w:val="SingleTxt"/>
        <w:numPr>
          <w:ilvl w:val="0"/>
          <w:numId w:val="10"/>
        </w:numPr>
        <w:rPr>
          <w:lang w:val="fr-CA"/>
        </w:rPr>
      </w:pPr>
      <w:r>
        <w:rPr>
          <w:lang w:val="fr-CA"/>
        </w:rPr>
        <w:t>Le Ministère encourage les communautés à prendre part aux programmes de protection sociale sous tous leurs aspects et il met en œuvre ses programmes avec le concours d’agents communautaires bénévoles, notamment dans les zones rurales, qui sont en tout 2 749, dont 26,1 % de femmes.</w:t>
      </w:r>
    </w:p>
    <w:p w:rsidR="00A10274" w:rsidRDefault="00A10274">
      <w:pPr>
        <w:pStyle w:val="SingleTxt"/>
        <w:numPr>
          <w:ilvl w:val="0"/>
          <w:numId w:val="10"/>
        </w:numPr>
        <w:rPr>
          <w:lang w:val="fr-CA"/>
        </w:rPr>
      </w:pPr>
      <w:r>
        <w:rPr>
          <w:lang w:val="fr-CA"/>
        </w:rPr>
        <w:t>Le Ministère vient pleinement en aide à 5 457 personnes souffrant de handicaps divers par l’apport de moyens de subsistance en espèces ou leur prise en charge dans des centres institutionnalisés. Environ 83,5 % des personnes handicapées assistées sont de sexe féminin.</w:t>
      </w:r>
    </w:p>
    <w:p w:rsidR="00A10274" w:rsidRDefault="00A10274">
      <w:pPr>
        <w:pStyle w:val="SingleTxt"/>
        <w:spacing w:after="0" w:line="120" w:lineRule="exact"/>
        <w:rPr>
          <w:sz w:val="10"/>
          <w:lang w:val="fr-CA"/>
        </w:rPr>
      </w:pPr>
    </w:p>
    <w:p w:rsidR="00A10274" w:rsidRDefault="00A10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Pr>
          <w:b w:val="0"/>
          <w:lang w:val="fr-CA"/>
        </w:rPr>
        <w:t>Tableau 41</w:t>
      </w:r>
      <w:r>
        <w:rPr>
          <w:lang w:val="fr-CA"/>
        </w:rPr>
        <w:br/>
        <w:t>Personnes handicapées recevant des appareils orthopédiques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tbl>
      <w:tblPr>
        <w:tblW w:w="7328" w:type="dxa"/>
        <w:tblInd w:w="1276" w:type="dxa"/>
        <w:tblBorders>
          <w:top w:val="single" w:sz="4" w:space="0" w:color="auto"/>
        </w:tblBorders>
        <w:tblCellMar>
          <w:left w:w="0" w:type="dxa"/>
          <w:right w:w="0" w:type="dxa"/>
        </w:tblCellMar>
        <w:tblLook w:val="04A0"/>
      </w:tblPr>
      <w:tblGrid>
        <w:gridCol w:w="1688"/>
        <w:gridCol w:w="1895"/>
        <w:gridCol w:w="1795"/>
        <w:gridCol w:w="1950"/>
      </w:tblGrid>
      <w:tr w:rsidR="00A10274">
        <w:trPr>
          <w:trHeight w:val="240"/>
          <w:tblHeader/>
        </w:trPr>
        <w:tc>
          <w:tcPr>
            <w:tcW w:w="1688" w:type="dxa"/>
            <w:vMerge w:val="restart"/>
            <w:tcBorders>
              <w:top w:val="single" w:sz="4"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0" w:right="0"/>
              <w:jc w:val="left"/>
              <w:rPr>
                <w:i/>
                <w:sz w:val="18"/>
                <w:szCs w:val="18"/>
                <w:lang w:val="fr-CA"/>
              </w:rPr>
            </w:pPr>
            <w:r>
              <w:rPr>
                <w:i/>
                <w:sz w:val="18"/>
                <w:szCs w:val="18"/>
                <w:lang w:val="fr-CA"/>
              </w:rPr>
              <w:t>Année</w:t>
            </w:r>
          </w:p>
        </w:tc>
        <w:tc>
          <w:tcPr>
            <w:tcW w:w="3690" w:type="dxa"/>
            <w:gridSpan w:val="2"/>
            <w:tcBorders>
              <w:top w:val="single" w:sz="4" w:space="0" w:color="auto"/>
              <w:bottom w:val="single" w:sz="6" w:space="0" w:color="auto"/>
            </w:tcBorders>
            <w:shd w:val="clear" w:color="auto" w:fill="auto"/>
            <w:vAlign w:val="bottom"/>
          </w:tcPr>
          <w:p w:rsidR="00A10274" w:rsidRDefault="00A10274">
            <w:pPr>
              <w:pStyle w:val="SingleTxtG"/>
              <w:keepNext/>
              <w:suppressAutoHyphens w:val="0"/>
              <w:spacing w:before="80" w:after="80" w:line="240" w:lineRule="auto"/>
              <w:ind w:left="113" w:right="0"/>
              <w:jc w:val="center"/>
              <w:rPr>
                <w:i/>
                <w:sz w:val="18"/>
                <w:szCs w:val="18"/>
                <w:lang w:val="fr-CA"/>
              </w:rPr>
            </w:pPr>
            <w:r>
              <w:rPr>
                <w:i/>
                <w:sz w:val="18"/>
                <w:szCs w:val="18"/>
                <w:lang w:val="fr-CA"/>
              </w:rPr>
              <w:t>Sexe</w:t>
            </w:r>
          </w:p>
        </w:tc>
        <w:tc>
          <w:tcPr>
            <w:tcW w:w="1950" w:type="dxa"/>
            <w:tcBorders>
              <w:top w:val="single" w:sz="4" w:space="0" w:color="auto"/>
              <w:bottom w:val="single" w:sz="6" w:space="0" w:color="auto"/>
            </w:tcBorders>
            <w:shd w:val="clear" w:color="auto" w:fill="auto"/>
            <w:vAlign w:val="bottom"/>
          </w:tcPr>
          <w:p w:rsidR="00A10274" w:rsidRDefault="00A10274">
            <w:pPr>
              <w:pStyle w:val="SingleTxtG"/>
              <w:keepNext/>
              <w:suppressAutoHyphens w:val="0"/>
              <w:spacing w:before="80" w:after="80" w:line="240" w:lineRule="auto"/>
              <w:ind w:left="113" w:right="0"/>
              <w:jc w:val="right"/>
              <w:rPr>
                <w:i/>
                <w:sz w:val="18"/>
                <w:szCs w:val="18"/>
                <w:lang w:val="fr-CA"/>
              </w:rPr>
            </w:pPr>
            <w:r>
              <w:rPr>
                <w:i/>
                <w:sz w:val="18"/>
                <w:szCs w:val="18"/>
                <w:lang w:val="fr-CA"/>
              </w:rPr>
              <w:t>Total</w:t>
            </w:r>
          </w:p>
        </w:tc>
      </w:tr>
      <w:tr w:rsidR="00A10274">
        <w:trPr>
          <w:trHeight w:val="240"/>
          <w:tblHeader/>
        </w:trPr>
        <w:tc>
          <w:tcPr>
            <w:tcW w:w="1688" w:type="dxa"/>
            <w:vMerge/>
            <w:tcBorders>
              <w:top w:val="single" w:sz="12" w:space="0" w:color="auto"/>
              <w:bottom w:val="single" w:sz="12" w:space="0" w:color="auto"/>
            </w:tcBorders>
            <w:shd w:val="clear" w:color="auto" w:fill="auto"/>
            <w:vAlign w:val="bottom"/>
          </w:tcPr>
          <w:p w:rsidR="00A10274" w:rsidRDefault="00A10274">
            <w:pPr>
              <w:pStyle w:val="SingleTxtG"/>
              <w:keepNext/>
              <w:suppressAutoHyphens w:val="0"/>
              <w:spacing w:before="40" w:after="40" w:line="240" w:lineRule="auto"/>
              <w:ind w:left="0" w:right="0"/>
              <w:jc w:val="left"/>
              <w:rPr>
                <w:sz w:val="18"/>
                <w:szCs w:val="18"/>
                <w:lang w:val="fr-CA"/>
              </w:rPr>
            </w:pPr>
          </w:p>
        </w:tc>
        <w:tc>
          <w:tcPr>
            <w:tcW w:w="1895"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0" w:right="0"/>
              <w:jc w:val="right"/>
              <w:rPr>
                <w:i/>
                <w:sz w:val="18"/>
                <w:szCs w:val="18"/>
                <w:lang w:val="fr-CA"/>
              </w:rPr>
            </w:pPr>
            <w:r>
              <w:rPr>
                <w:i/>
                <w:sz w:val="18"/>
                <w:szCs w:val="18"/>
                <w:lang w:val="fr-CA"/>
              </w:rPr>
              <w:t>Sexe F</w:t>
            </w:r>
          </w:p>
        </w:tc>
        <w:tc>
          <w:tcPr>
            <w:tcW w:w="1795"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80" w:after="80" w:line="240" w:lineRule="auto"/>
              <w:ind w:left="0" w:right="0"/>
              <w:jc w:val="right"/>
              <w:rPr>
                <w:i/>
                <w:sz w:val="18"/>
                <w:szCs w:val="18"/>
                <w:lang w:val="fr-CA"/>
              </w:rPr>
            </w:pPr>
            <w:r>
              <w:rPr>
                <w:i/>
                <w:sz w:val="18"/>
                <w:szCs w:val="18"/>
                <w:lang w:val="fr-CA"/>
              </w:rPr>
              <w:t>Sexe M</w:t>
            </w:r>
          </w:p>
        </w:tc>
        <w:tc>
          <w:tcPr>
            <w:tcW w:w="1950" w:type="dxa"/>
            <w:tcBorders>
              <w:top w:val="single" w:sz="6" w:space="0" w:color="auto"/>
              <w:bottom w:val="single" w:sz="12" w:space="0" w:color="auto"/>
            </w:tcBorders>
            <w:shd w:val="clear" w:color="auto" w:fill="auto"/>
            <w:vAlign w:val="bottom"/>
          </w:tcPr>
          <w:p w:rsidR="00A10274" w:rsidRDefault="00A10274">
            <w:pPr>
              <w:pStyle w:val="SingleTxtG"/>
              <w:keepNext/>
              <w:suppressAutoHyphens w:val="0"/>
              <w:spacing w:before="40" w:after="40" w:line="240" w:lineRule="auto"/>
              <w:ind w:left="113" w:right="0"/>
              <w:jc w:val="right"/>
              <w:rPr>
                <w:sz w:val="18"/>
                <w:szCs w:val="18"/>
                <w:lang w:val="fr-CA"/>
              </w:rPr>
            </w:pPr>
          </w:p>
        </w:tc>
      </w:tr>
      <w:tr w:rsidR="00A10274">
        <w:trPr>
          <w:trHeight w:val="240"/>
        </w:trPr>
        <w:tc>
          <w:tcPr>
            <w:tcW w:w="1688" w:type="dxa"/>
            <w:tcBorders>
              <w:top w:val="single" w:sz="12"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2010</w:t>
            </w:r>
          </w:p>
        </w:tc>
        <w:tc>
          <w:tcPr>
            <w:tcW w:w="1895"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341</w:t>
            </w:r>
          </w:p>
        </w:tc>
        <w:tc>
          <w:tcPr>
            <w:tcW w:w="1795"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1 719</w:t>
            </w:r>
          </w:p>
        </w:tc>
        <w:tc>
          <w:tcPr>
            <w:tcW w:w="1950" w:type="dxa"/>
            <w:tcBorders>
              <w:top w:val="single" w:sz="12"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2 060</w:t>
            </w:r>
          </w:p>
        </w:tc>
      </w:tr>
      <w:tr w:rsidR="00A10274">
        <w:trPr>
          <w:trHeight w:val="240"/>
        </w:trPr>
        <w:tc>
          <w:tcPr>
            <w:tcW w:w="1688" w:type="dxa"/>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2011</w:t>
            </w:r>
          </w:p>
        </w:tc>
        <w:tc>
          <w:tcPr>
            <w:tcW w:w="189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591</w:t>
            </w:r>
          </w:p>
        </w:tc>
        <w:tc>
          <w:tcPr>
            <w:tcW w:w="1795"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1 100</w:t>
            </w:r>
          </w:p>
        </w:tc>
        <w:tc>
          <w:tcPr>
            <w:tcW w:w="1950" w:type="dxa"/>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1 691</w:t>
            </w:r>
          </w:p>
        </w:tc>
      </w:tr>
      <w:tr w:rsidR="00A10274">
        <w:trPr>
          <w:trHeight w:val="240"/>
        </w:trPr>
        <w:tc>
          <w:tcPr>
            <w:tcW w:w="1688" w:type="dxa"/>
            <w:tcBorders>
              <w:bottom w:val="single" w:sz="6" w:space="0" w:color="auto"/>
            </w:tcBorders>
            <w:shd w:val="clear" w:color="auto" w:fill="auto"/>
          </w:tcPr>
          <w:p w:rsidR="00A10274" w:rsidRDefault="00A10274">
            <w:pPr>
              <w:pStyle w:val="SingleTxtG"/>
              <w:suppressAutoHyphens w:val="0"/>
              <w:spacing w:before="40" w:after="40" w:line="240" w:lineRule="auto"/>
              <w:ind w:left="0" w:right="0"/>
              <w:jc w:val="left"/>
              <w:rPr>
                <w:sz w:val="18"/>
                <w:szCs w:val="18"/>
                <w:lang w:val="fr-CA"/>
              </w:rPr>
            </w:pPr>
            <w:r>
              <w:rPr>
                <w:sz w:val="18"/>
                <w:szCs w:val="18"/>
                <w:lang w:val="fr-CA"/>
              </w:rPr>
              <w:t>2012</w:t>
            </w:r>
          </w:p>
        </w:tc>
        <w:tc>
          <w:tcPr>
            <w:tcW w:w="1895"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630</w:t>
            </w:r>
          </w:p>
        </w:tc>
        <w:tc>
          <w:tcPr>
            <w:tcW w:w="1795"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1 020</w:t>
            </w:r>
          </w:p>
        </w:tc>
        <w:tc>
          <w:tcPr>
            <w:tcW w:w="1950" w:type="dxa"/>
            <w:tcBorders>
              <w:bottom w:val="single" w:sz="6" w:space="0" w:color="auto"/>
            </w:tcBorders>
            <w:shd w:val="clear" w:color="auto" w:fill="auto"/>
            <w:vAlign w:val="bottom"/>
          </w:tcPr>
          <w:p w:rsidR="00A10274" w:rsidRDefault="00A10274">
            <w:pPr>
              <w:pStyle w:val="SingleTxtG"/>
              <w:suppressAutoHyphens w:val="0"/>
              <w:spacing w:before="40" w:after="40" w:line="240" w:lineRule="auto"/>
              <w:ind w:left="113" w:right="0"/>
              <w:jc w:val="right"/>
              <w:rPr>
                <w:sz w:val="18"/>
                <w:szCs w:val="18"/>
                <w:lang w:val="fr-CA"/>
              </w:rPr>
            </w:pPr>
            <w:r>
              <w:rPr>
                <w:sz w:val="18"/>
                <w:szCs w:val="18"/>
                <w:lang w:val="fr-CA"/>
              </w:rPr>
              <w:t>1 650</w:t>
            </w:r>
          </w:p>
        </w:tc>
      </w:tr>
      <w:tr w:rsidR="00A10274">
        <w:trPr>
          <w:trHeight w:val="240"/>
        </w:trPr>
        <w:tc>
          <w:tcPr>
            <w:tcW w:w="1688" w:type="dxa"/>
            <w:tcBorders>
              <w:top w:val="single" w:sz="6" w:space="0" w:color="auto"/>
              <w:bottom w:val="single" w:sz="12" w:space="0" w:color="auto"/>
            </w:tcBorders>
            <w:shd w:val="clear" w:color="auto" w:fill="auto"/>
          </w:tcPr>
          <w:p w:rsidR="00A10274" w:rsidRDefault="00A10274">
            <w:pPr>
              <w:pStyle w:val="SingleTxtG"/>
              <w:suppressAutoHyphens w:val="0"/>
              <w:spacing w:before="80" w:after="80" w:line="240" w:lineRule="auto"/>
              <w:ind w:left="0" w:right="0"/>
              <w:jc w:val="left"/>
              <w:rPr>
                <w:b/>
                <w:sz w:val="18"/>
                <w:szCs w:val="18"/>
                <w:lang w:val="fr-CA"/>
              </w:rPr>
            </w:pPr>
            <w:r>
              <w:rPr>
                <w:b/>
                <w:sz w:val="18"/>
                <w:szCs w:val="18"/>
                <w:lang w:val="fr-CA"/>
              </w:rPr>
              <w:t>Total</w:t>
            </w:r>
          </w:p>
        </w:tc>
        <w:tc>
          <w:tcPr>
            <w:tcW w:w="189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1 562</w:t>
            </w:r>
          </w:p>
        </w:tc>
        <w:tc>
          <w:tcPr>
            <w:tcW w:w="1795"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3 839</w:t>
            </w:r>
          </w:p>
        </w:tc>
        <w:tc>
          <w:tcPr>
            <w:tcW w:w="1950" w:type="dxa"/>
            <w:tcBorders>
              <w:top w:val="single" w:sz="6" w:space="0" w:color="auto"/>
              <w:bottom w:val="single" w:sz="12" w:space="0" w:color="auto"/>
            </w:tcBorders>
            <w:shd w:val="clear" w:color="auto" w:fill="auto"/>
            <w:vAlign w:val="bottom"/>
          </w:tcPr>
          <w:p w:rsidR="00A10274" w:rsidRDefault="00A10274">
            <w:pPr>
              <w:pStyle w:val="SingleTxtG"/>
              <w:suppressAutoHyphens w:val="0"/>
              <w:spacing w:before="80" w:after="80" w:line="240" w:lineRule="auto"/>
              <w:ind w:left="113" w:right="0"/>
              <w:jc w:val="right"/>
              <w:rPr>
                <w:b/>
                <w:sz w:val="18"/>
                <w:szCs w:val="18"/>
                <w:lang w:val="fr-CA"/>
              </w:rPr>
            </w:pPr>
            <w:r>
              <w:rPr>
                <w:b/>
                <w:sz w:val="18"/>
                <w:szCs w:val="18"/>
                <w:lang w:val="fr-CA"/>
              </w:rPr>
              <w:t>5 401</w:t>
            </w:r>
          </w:p>
        </w:tc>
      </w:tr>
    </w:tbl>
    <w:p w:rsidR="00A10274" w:rsidRDefault="00A10274">
      <w:pPr>
        <w:pStyle w:val="FootnoteText"/>
        <w:tabs>
          <w:tab w:val="right" w:pos="1476"/>
          <w:tab w:val="left" w:pos="1548"/>
          <w:tab w:val="right" w:pos="1836"/>
          <w:tab w:val="left" w:pos="1908"/>
        </w:tabs>
        <w:spacing w:line="120" w:lineRule="exact"/>
        <w:ind w:left="1548" w:right="1267" w:hanging="288"/>
        <w:rPr>
          <w:i/>
          <w:sz w:val="10"/>
          <w:lang w:val="fr-CA"/>
        </w:rPr>
      </w:pPr>
    </w:p>
    <w:p w:rsidR="00A10274" w:rsidRDefault="00A10274">
      <w:pPr>
        <w:pStyle w:val="FootnoteText"/>
        <w:tabs>
          <w:tab w:val="right" w:pos="1476"/>
          <w:tab w:val="left" w:pos="1548"/>
          <w:tab w:val="right" w:pos="1836"/>
          <w:tab w:val="left" w:pos="1908"/>
        </w:tabs>
        <w:ind w:left="1548" w:right="1267" w:hanging="288"/>
        <w:rPr>
          <w:lang w:val="fr-CA"/>
        </w:rPr>
      </w:pPr>
      <w:r>
        <w:rPr>
          <w:i/>
          <w:lang w:val="fr-CA"/>
        </w:rPr>
        <w:t>Source</w:t>
      </w:r>
      <w:r>
        <w:rPr>
          <w:lang w:val="fr-CA"/>
        </w:rPr>
        <w:t> : MTPS, 2014.</w:t>
      </w:r>
    </w:p>
    <w:p w:rsidR="00A10274" w:rsidRDefault="00A10274">
      <w:pPr>
        <w:pStyle w:val="SingleTxt"/>
        <w:tabs>
          <w:tab w:val="clear" w:pos="1267"/>
        </w:tabs>
        <w:spacing w:after="0" w:line="120" w:lineRule="exact"/>
        <w:ind w:left="1264"/>
        <w:rPr>
          <w:sz w:val="10"/>
          <w:lang w:val="fr-CA"/>
        </w:rPr>
      </w:pPr>
    </w:p>
    <w:p w:rsidR="00A10274" w:rsidRDefault="00A10274">
      <w:pPr>
        <w:pStyle w:val="SingleTxt"/>
        <w:tabs>
          <w:tab w:val="clear" w:pos="1267"/>
        </w:tabs>
        <w:spacing w:after="0" w:line="120" w:lineRule="exact"/>
        <w:ind w:left="1264"/>
        <w:rPr>
          <w:sz w:val="10"/>
          <w:lang w:val="fr-CA"/>
        </w:rPr>
      </w:pPr>
    </w:p>
    <w:p w:rsidR="00A10274" w:rsidRDefault="00A10274">
      <w:pPr>
        <w:pStyle w:val="SingleTxt"/>
        <w:numPr>
          <w:ilvl w:val="0"/>
          <w:numId w:val="10"/>
        </w:numPr>
        <w:tabs>
          <w:tab w:val="clear" w:pos="1267"/>
        </w:tabs>
        <w:spacing w:before="120"/>
        <w:ind w:left="1264"/>
        <w:rPr>
          <w:lang w:val="fr-CA"/>
        </w:rPr>
      </w:pPr>
      <w:r>
        <w:rPr>
          <w:lang w:val="fr-CA"/>
        </w:rPr>
        <w:t>Pour accroitre la mobilité des personnes handicapées, le Ministère organise des ateliers d’orthopédie dans lesquels des appareils et des prothèses sont fabriqués et attribués gratuitement à ceux qui en ont besoin. En outre, le Ministère importe des chaises roulantes, des béquilles et autres matériels de soutien. Comme le montre le tableau 41, 70,6 % des bénéficiaires sont de sexe féminin.</w:t>
      </w:r>
    </w:p>
    <w:p w:rsidR="00A10274" w:rsidRDefault="00A10274">
      <w:pPr>
        <w:pStyle w:val="SingleTxt"/>
        <w:numPr>
          <w:ilvl w:val="0"/>
          <w:numId w:val="10"/>
        </w:numPr>
        <w:tabs>
          <w:tab w:val="clear" w:pos="1267"/>
        </w:tabs>
        <w:spacing w:before="120"/>
        <w:ind w:left="1264"/>
        <w:rPr>
          <w:lang w:val="fr-CA"/>
        </w:rPr>
      </w:pPr>
      <w:r>
        <w:rPr>
          <w:lang w:val="fr-CA"/>
        </w:rPr>
        <w:t>Dans le but d’aider les diverses catégories de population désavantagées à devenir économiquement autonomes, le MTPS a attribué des prêts pour investissement en petites et moyennes entreprises. Au cours des quatre dernières années (2009-2012), le ministère a distribué 137,5 millions d’ERN sous formes de prêts/crédit, dont 24,2 % des bénéficiaires étaient des femmes.</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Article 15</w:t>
      </w:r>
      <w:r>
        <w:rPr>
          <w:lang w:val="fr-CA"/>
        </w:rPr>
        <w:br/>
        <w:t>Capacité juridique en matière civile</w:t>
      </w:r>
    </w:p>
    <w:p w:rsidR="00A10274" w:rsidRDefault="00A10274">
      <w:pPr>
        <w:pStyle w:val="SingleTxt"/>
        <w:spacing w:after="0" w:line="120" w:lineRule="exact"/>
        <w:rPr>
          <w:sz w:val="10"/>
          <w:lang w:val="fr-CA"/>
        </w:rPr>
      </w:pPr>
    </w:p>
    <w:p w:rsidR="00A10274" w:rsidRDefault="00A10274">
      <w:pPr>
        <w:pStyle w:val="SingleTxt"/>
        <w:spacing w:after="0" w:line="120" w:lineRule="exact"/>
        <w:rPr>
          <w:sz w:val="10"/>
          <w:lang w:val="fr-CA"/>
        </w:rPr>
      </w:pPr>
    </w:p>
    <w:p w:rsidR="00A10274" w:rsidRDefault="00A10274">
      <w:pPr>
        <w:pStyle w:val="SingleTxt"/>
        <w:numPr>
          <w:ilvl w:val="0"/>
          <w:numId w:val="10"/>
        </w:numPr>
        <w:rPr>
          <w:lang w:val="fr-CA"/>
        </w:rPr>
      </w:pPr>
      <w:r>
        <w:rPr>
          <w:lang w:val="fr-CA"/>
        </w:rPr>
        <w:t>Le Gouvernement de l’État d’Érythrée renvoie à son précédent rapport concernant l’égalité de droits juridiques assurée aux deux sexes. Les femmes ont la possibilité de se défendre en matière civile et en matière pénale.</w:t>
      </w:r>
    </w:p>
    <w:p w:rsidR="00A10274" w:rsidRDefault="00A10274">
      <w:pPr>
        <w:pStyle w:val="SingleTxt"/>
        <w:numPr>
          <w:ilvl w:val="0"/>
          <w:numId w:val="10"/>
        </w:numPr>
        <w:rPr>
          <w:lang w:val="fr-CA"/>
        </w:rPr>
      </w:pPr>
      <w:r>
        <w:rPr>
          <w:lang w:val="fr-CA"/>
        </w:rPr>
        <w:t>Au cours des quatre dernières années, 302 femmes ont eu la possibilité de porter plainte devant les tribunaux pour agressions sexuelles subies durant la période 2009-2012. Les motifs invoqués concernaient notamment le viol, outrage sexuel et séduction, adultère et bigamie. Le cas le plus flagrant était la bigamie. Environ 4 000 femmes se sont adressées au service des consultations de l’Union nationale des femmes d’Érythrée pour demander conseil concernant des questions de droit familial, comme celles de pension alimentaire et d’entretien d’enfants.</w:t>
      </w:r>
    </w:p>
    <w:p w:rsidR="00A10274" w:rsidRDefault="00A10274">
      <w:pPr>
        <w:pStyle w:val="SingleTxt"/>
        <w:spacing w:after="0" w:line="240" w:lineRule="auto"/>
        <w:rPr>
          <w:lang w:val="fr-CA" w:eastAsia="fr-FR"/>
        </w:rPr>
      </w:pPr>
      <w:r>
        <w:rPr>
          <w:noProof/>
          <w:w w:val="100"/>
          <w:lang w:val="fr-CA"/>
        </w:rPr>
        <w:pict>
          <v:line id="_x0000_s1027" style="position:absolute;left:0;text-align:left;z-index:2;mso-position-horizontal-relative:page" from="270pt,24pt" to="342pt,24pt" strokeweight=".25pt">
            <w10:wrap anchorx="page"/>
          </v:line>
        </w:pict>
      </w:r>
    </w:p>
    <w:sectPr w:rsidR="00A10274">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6-05T12:27:00Z" w:initials="Start">
    <w:p w:rsidR="00A10274" w:rsidRDefault="00A102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NO&gt;&gt;N1432273F&lt;&lt;ODS JOB NO&gt;&gt;</w:t>
      </w:r>
    </w:p>
    <w:p w:rsidR="00A10274" w:rsidRDefault="00A10274">
      <w:pPr>
        <w:pStyle w:val="CommentText"/>
      </w:pPr>
      <w:r>
        <w:t>&lt;&lt;ODS DOC SYMBOL1&gt;&gt;CEDAW/C/ERI/5&lt;&lt;ODS DOC SYMBOL1&gt;&gt;</w:t>
      </w:r>
    </w:p>
    <w:p w:rsidR="00A10274" w:rsidRDefault="00A1027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274" w:rsidRDefault="00A10274">
      <w:pPr>
        <w:spacing w:line="240" w:lineRule="auto"/>
      </w:pPr>
      <w:r>
        <w:separator/>
      </w:r>
    </w:p>
  </w:endnote>
  <w:endnote w:type="continuationSeparator" w:id="0">
    <w:p w:rsidR="00A10274" w:rsidRDefault="00A102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10274">
      <w:tblPrEx>
        <w:tblCellMar>
          <w:top w:w="0" w:type="dxa"/>
          <w:bottom w:w="0" w:type="dxa"/>
        </w:tblCellMar>
      </w:tblPrEx>
      <w:tc>
        <w:tcPr>
          <w:tcW w:w="5033" w:type="dxa"/>
          <w:shd w:val="clear" w:color="auto" w:fill="auto"/>
        </w:tcPr>
        <w:p w:rsidR="00A10274" w:rsidRPr="00853D26" w:rsidRDefault="00A10274">
          <w:pPr>
            <w:pStyle w:val="Footer"/>
            <w:jc w:val="right"/>
            <w:rPr>
              <w:b w:val="0"/>
              <w:w w:val="103"/>
              <w:sz w:val="14"/>
              <w:szCs w:val="22"/>
            </w:rPr>
          </w:pPr>
          <w:fldSimple w:instr=" DOCVARIABLE &quot;FooterJN&quot; \* MERGEFORMAT ">
            <w:r w:rsidRPr="00853D26">
              <w:rPr>
                <w:b w:val="0"/>
                <w:w w:val="103"/>
                <w:sz w:val="14"/>
                <w:szCs w:val="22"/>
              </w:rPr>
              <w:t>14-03989</w:t>
            </w:r>
          </w:fldSimple>
        </w:p>
      </w:tc>
      <w:tc>
        <w:tcPr>
          <w:tcW w:w="5033" w:type="dxa"/>
          <w:shd w:val="clear" w:color="auto" w:fill="auto"/>
        </w:tcPr>
        <w:p w:rsidR="00A10274" w:rsidRPr="00853D26" w:rsidRDefault="00A10274">
          <w:pPr>
            <w:pStyle w:val="Footer"/>
            <w:rPr>
              <w:w w:val="103"/>
              <w:szCs w:val="22"/>
            </w:rPr>
          </w:pPr>
          <w:r w:rsidRPr="00853D26">
            <w:rPr>
              <w:w w:val="103"/>
              <w:szCs w:val="22"/>
            </w:rPr>
            <w:fldChar w:fldCharType="begin"/>
          </w:r>
          <w:r w:rsidRPr="00853D26">
            <w:rPr>
              <w:w w:val="103"/>
              <w:szCs w:val="22"/>
            </w:rPr>
            <w:instrText xml:space="preserve"> PAGE  \* Arabic  \* MERGEFORMAT </w:instrText>
          </w:r>
          <w:r w:rsidRPr="00853D26">
            <w:rPr>
              <w:w w:val="103"/>
              <w:szCs w:val="22"/>
            </w:rPr>
            <w:fldChar w:fldCharType="separate"/>
          </w:r>
          <w:r w:rsidR="00567F43" w:rsidRPr="00853D26">
            <w:rPr>
              <w:noProof/>
              <w:w w:val="103"/>
              <w:szCs w:val="22"/>
            </w:rPr>
            <w:t>2</w:t>
          </w:r>
          <w:r w:rsidRPr="00853D26">
            <w:rPr>
              <w:w w:val="103"/>
              <w:szCs w:val="22"/>
            </w:rPr>
            <w:fldChar w:fldCharType="end"/>
          </w:r>
          <w:r w:rsidRPr="00853D26">
            <w:rPr>
              <w:w w:val="103"/>
              <w:szCs w:val="22"/>
            </w:rPr>
            <w:t>/</w:t>
          </w:r>
          <w:fldSimple w:instr=" NUMPAGES  \* Arabic  \* MERGEFORMAT ">
            <w:r w:rsidR="00567F43" w:rsidRPr="00853D26">
              <w:rPr>
                <w:noProof/>
                <w:w w:val="103"/>
                <w:szCs w:val="22"/>
              </w:rPr>
              <w:t>2</w:t>
            </w:r>
          </w:fldSimple>
        </w:p>
      </w:tc>
    </w:tr>
  </w:tbl>
  <w:p w:rsidR="00A10274" w:rsidRDefault="00A102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10274">
      <w:tblPrEx>
        <w:tblCellMar>
          <w:top w:w="0" w:type="dxa"/>
          <w:bottom w:w="0" w:type="dxa"/>
        </w:tblCellMar>
      </w:tblPrEx>
      <w:tc>
        <w:tcPr>
          <w:tcW w:w="5033" w:type="dxa"/>
          <w:shd w:val="clear" w:color="auto" w:fill="auto"/>
        </w:tcPr>
        <w:p w:rsidR="00A10274" w:rsidRPr="00853D26" w:rsidRDefault="00A10274">
          <w:pPr>
            <w:pStyle w:val="Footer"/>
            <w:jc w:val="right"/>
            <w:rPr>
              <w:w w:val="103"/>
              <w:szCs w:val="22"/>
            </w:rPr>
          </w:pPr>
          <w:r w:rsidRPr="00853D26">
            <w:rPr>
              <w:w w:val="103"/>
              <w:szCs w:val="22"/>
            </w:rPr>
            <w:fldChar w:fldCharType="begin"/>
          </w:r>
          <w:r w:rsidRPr="00853D26">
            <w:rPr>
              <w:w w:val="103"/>
              <w:szCs w:val="22"/>
            </w:rPr>
            <w:instrText xml:space="preserve"> PAGE  \* Arabic  \* MERGEFORMAT </w:instrText>
          </w:r>
          <w:r w:rsidRPr="00853D26">
            <w:rPr>
              <w:w w:val="103"/>
              <w:szCs w:val="22"/>
            </w:rPr>
            <w:fldChar w:fldCharType="separate"/>
          </w:r>
          <w:r w:rsidRPr="00853D26">
            <w:rPr>
              <w:noProof/>
              <w:w w:val="103"/>
              <w:szCs w:val="22"/>
            </w:rPr>
            <w:t>29</w:t>
          </w:r>
          <w:r w:rsidRPr="00853D26">
            <w:rPr>
              <w:w w:val="103"/>
              <w:szCs w:val="22"/>
            </w:rPr>
            <w:fldChar w:fldCharType="end"/>
          </w:r>
          <w:r w:rsidRPr="00853D26">
            <w:rPr>
              <w:w w:val="103"/>
              <w:szCs w:val="22"/>
            </w:rPr>
            <w:t>/</w:t>
          </w:r>
          <w:fldSimple w:instr=" NUMPAGES  \* Arabic  \* MERGEFORMAT ">
            <w:r w:rsidRPr="00853D26">
              <w:rPr>
                <w:noProof/>
                <w:w w:val="103"/>
                <w:szCs w:val="22"/>
              </w:rPr>
              <w:t>29</w:t>
            </w:r>
          </w:fldSimple>
        </w:p>
      </w:tc>
      <w:tc>
        <w:tcPr>
          <w:tcW w:w="5033" w:type="dxa"/>
          <w:shd w:val="clear" w:color="auto" w:fill="auto"/>
        </w:tcPr>
        <w:p w:rsidR="00A10274" w:rsidRPr="00853D26" w:rsidRDefault="00A10274">
          <w:pPr>
            <w:pStyle w:val="Footer"/>
            <w:rPr>
              <w:b w:val="0"/>
              <w:w w:val="103"/>
              <w:sz w:val="14"/>
              <w:szCs w:val="22"/>
            </w:rPr>
          </w:pPr>
          <w:fldSimple w:instr=" DOCVARIABLE &quot;FooterJN&quot; \* MERGEFORMAT ">
            <w:r w:rsidRPr="00853D26">
              <w:rPr>
                <w:b w:val="0"/>
                <w:w w:val="103"/>
                <w:sz w:val="14"/>
                <w:szCs w:val="22"/>
              </w:rPr>
              <w:t>14-03989</w:t>
            </w:r>
          </w:fldSimple>
        </w:p>
      </w:tc>
    </w:tr>
  </w:tbl>
  <w:p w:rsidR="00A10274" w:rsidRDefault="00A102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74" w:rsidRDefault="00A1027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4.35pt;width:54.05pt;height:54.05pt;z-index:1;mso-position-horizontal-relative:page;mso-position-vertical-relative:page" o:preferrelative="f" filled="t">
          <v:imagedata r:id="rId1" o:title="5&amp;Size =1&amp;Lang = F"/>
          <w10:wrap anchorx="page" anchory="page"/>
        </v:shape>
      </w:pict>
    </w:r>
  </w:p>
  <w:tbl>
    <w:tblPr>
      <w:tblW w:w="0" w:type="auto"/>
      <w:tblLayout w:type="fixed"/>
      <w:tblLook w:val="0000"/>
    </w:tblPr>
    <w:tblGrid>
      <w:gridCol w:w="5033"/>
      <w:gridCol w:w="3686"/>
    </w:tblGrid>
    <w:tr w:rsidR="00A10274">
      <w:tblPrEx>
        <w:tblCellMar>
          <w:top w:w="0" w:type="dxa"/>
          <w:bottom w:w="0" w:type="dxa"/>
        </w:tblCellMar>
      </w:tblPrEx>
      <w:tc>
        <w:tcPr>
          <w:tcW w:w="5033" w:type="dxa"/>
        </w:tcPr>
        <w:p w:rsidR="00A10274" w:rsidRPr="00853D26" w:rsidRDefault="00A10274">
          <w:pPr>
            <w:pStyle w:val="Footer"/>
            <w:rPr>
              <w:b w:val="0"/>
              <w:sz w:val="20"/>
              <w:szCs w:val="22"/>
            </w:rPr>
          </w:pPr>
          <w:r w:rsidRPr="00853D26">
            <w:rPr>
              <w:b w:val="0"/>
              <w:sz w:val="20"/>
              <w:szCs w:val="22"/>
            </w:rPr>
            <w:t>14-03989X (F)</w:t>
          </w:r>
        </w:p>
        <w:p w:rsidR="00A10274" w:rsidRPr="00853D26" w:rsidRDefault="00A10274">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Pr="00853D26">
              <w:rPr>
                <w:rFonts w:ascii="Barcode 3 of 9 by request" w:hAnsi="Barcode 3 of 9 by request"/>
                <w:b w:val="0"/>
                <w:spacing w:val="0"/>
                <w:w w:val="100"/>
                <w:sz w:val="24"/>
                <w:szCs w:val="22"/>
              </w:rPr>
              <w:t>*1403989*</w:t>
            </w:r>
          </w:fldSimple>
        </w:p>
      </w:tc>
      <w:tc>
        <w:tcPr>
          <w:tcW w:w="3686" w:type="dxa"/>
        </w:tcPr>
        <w:p w:rsidR="00A10274" w:rsidRPr="00853D26" w:rsidRDefault="00A10274">
          <w:pPr>
            <w:pStyle w:val="Footer"/>
            <w:spacing w:line="240" w:lineRule="atLeast"/>
            <w:jc w:val="right"/>
            <w:rPr>
              <w:b w:val="0"/>
              <w:sz w:val="20"/>
              <w:szCs w:val="22"/>
            </w:rPr>
          </w:pPr>
          <w:r w:rsidRPr="00853D26">
            <w:rPr>
              <w:b w:val="0"/>
              <w:sz w:val="20"/>
              <w:szCs w:val="22"/>
            </w:rPr>
            <w:pict>
              <v:shape id="_x0000_i1026" type="#_x0000_t75" style="width:87pt;height:18pt">
                <v:imagedata r:id="rId2" o:title="recycle_French"/>
              </v:shape>
            </w:pict>
          </w:r>
        </w:p>
      </w:tc>
    </w:tr>
  </w:tbl>
  <w:p w:rsidR="00A10274" w:rsidRDefault="00A10274">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274" w:rsidRDefault="00A10274">
      <w:pPr>
        <w:spacing w:line="240" w:lineRule="auto"/>
      </w:pPr>
      <w:r>
        <w:separator/>
      </w:r>
    </w:p>
  </w:footnote>
  <w:footnote w:type="continuationSeparator" w:id="0">
    <w:p w:rsidR="00A10274" w:rsidRDefault="00A102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A10274">
      <w:tblPrEx>
        <w:tblCellMar>
          <w:top w:w="0" w:type="dxa"/>
          <w:bottom w:w="0" w:type="dxa"/>
        </w:tblCellMar>
      </w:tblPrEx>
      <w:trPr>
        <w:trHeight w:hRule="exact" w:val="864"/>
      </w:trPr>
      <w:tc>
        <w:tcPr>
          <w:tcW w:w="4838" w:type="dxa"/>
          <w:shd w:val="clear" w:color="auto" w:fill="auto"/>
          <w:vAlign w:val="bottom"/>
        </w:tcPr>
        <w:p w:rsidR="00A10274" w:rsidRPr="00853D26" w:rsidRDefault="00A10274">
          <w:pPr>
            <w:pStyle w:val="Header"/>
            <w:spacing w:after="80"/>
            <w:rPr>
              <w:b/>
              <w:szCs w:val="22"/>
            </w:rPr>
          </w:pPr>
          <w:fldSimple w:instr=" DOCVARIABLE &quot;sss1&quot; \* MERGEFORMAT ">
            <w:r w:rsidRPr="00853D26">
              <w:rPr>
                <w:b/>
                <w:szCs w:val="22"/>
              </w:rPr>
              <w:t>CEDAW/C/ERI/5</w:t>
            </w:r>
          </w:fldSimple>
        </w:p>
      </w:tc>
      <w:tc>
        <w:tcPr>
          <w:tcW w:w="5033" w:type="dxa"/>
          <w:shd w:val="clear" w:color="auto" w:fill="auto"/>
          <w:vAlign w:val="bottom"/>
        </w:tcPr>
        <w:p w:rsidR="00A10274" w:rsidRPr="00853D26" w:rsidRDefault="00A10274">
          <w:pPr>
            <w:pStyle w:val="Header"/>
            <w:rPr>
              <w:szCs w:val="22"/>
            </w:rPr>
          </w:pPr>
        </w:p>
      </w:tc>
    </w:tr>
  </w:tbl>
  <w:p w:rsidR="00A10274" w:rsidRDefault="00A102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A10274">
      <w:tblPrEx>
        <w:tblCellMar>
          <w:top w:w="0" w:type="dxa"/>
          <w:bottom w:w="0" w:type="dxa"/>
        </w:tblCellMar>
      </w:tblPrEx>
      <w:trPr>
        <w:trHeight w:hRule="exact" w:val="864"/>
      </w:trPr>
      <w:tc>
        <w:tcPr>
          <w:tcW w:w="4838" w:type="dxa"/>
          <w:shd w:val="clear" w:color="auto" w:fill="auto"/>
          <w:vAlign w:val="bottom"/>
        </w:tcPr>
        <w:p w:rsidR="00A10274" w:rsidRPr="00853D26" w:rsidRDefault="00A10274">
          <w:pPr>
            <w:pStyle w:val="Header"/>
            <w:rPr>
              <w:szCs w:val="22"/>
            </w:rPr>
          </w:pPr>
        </w:p>
      </w:tc>
      <w:tc>
        <w:tcPr>
          <w:tcW w:w="5033" w:type="dxa"/>
          <w:shd w:val="clear" w:color="auto" w:fill="auto"/>
          <w:vAlign w:val="bottom"/>
        </w:tcPr>
        <w:p w:rsidR="00A10274" w:rsidRPr="00853D26" w:rsidRDefault="00A10274">
          <w:pPr>
            <w:pStyle w:val="Header"/>
            <w:spacing w:after="80"/>
            <w:jc w:val="right"/>
            <w:rPr>
              <w:b/>
              <w:szCs w:val="22"/>
            </w:rPr>
          </w:pPr>
          <w:fldSimple w:instr=" DOCVARIABLE &quot;sss1&quot; \* MERGEFORMAT ">
            <w:r w:rsidRPr="00853D26">
              <w:rPr>
                <w:b/>
                <w:szCs w:val="22"/>
              </w:rPr>
              <w:t>CEDAW/C/ERI/5</w:t>
            </w:r>
          </w:fldSimple>
        </w:p>
      </w:tc>
    </w:tr>
  </w:tbl>
  <w:p w:rsidR="00A10274" w:rsidRDefault="00A102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A1027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10274" w:rsidRPr="00853D26" w:rsidRDefault="00A10274">
          <w:pPr>
            <w:pStyle w:val="Header"/>
            <w:spacing w:after="120"/>
            <w:rPr>
              <w:szCs w:val="22"/>
            </w:rPr>
          </w:pPr>
        </w:p>
      </w:tc>
      <w:tc>
        <w:tcPr>
          <w:tcW w:w="2059" w:type="dxa"/>
          <w:tcBorders>
            <w:bottom w:val="single" w:sz="4" w:space="0" w:color="auto"/>
          </w:tcBorders>
          <w:shd w:val="clear" w:color="auto" w:fill="auto"/>
          <w:vAlign w:val="bottom"/>
        </w:tcPr>
        <w:p w:rsidR="00A10274" w:rsidRDefault="00A1027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10274" w:rsidRPr="00853D26" w:rsidRDefault="00A10274">
          <w:pPr>
            <w:pStyle w:val="Header"/>
            <w:spacing w:after="120"/>
            <w:rPr>
              <w:szCs w:val="22"/>
            </w:rPr>
          </w:pPr>
        </w:p>
      </w:tc>
      <w:tc>
        <w:tcPr>
          <w:tcW w:w="6523" w:type="dxa"/>
          <w:gridSpan w:val="3"/>
          <w:tcBorders>
            <w:bottom w:val="single" w:sz="4" w:space="0" w:color="auto"/>
          </w:tcBorders>
          <w:shd w:val="clear" w:color="auto" w:fill="auto"/>
          <w:vAlign w:val="bottom"/>
        </w:tcPr>
        <w:p w:rsidR="00A10274" w:rsidRDefault="00A10274">
          <w:pPr>
            <w:spacing w:after="80" w:line="240" w:lineRule="auto"/>
            <w:jc w:val="right"/>
            <w:rPr>
              <w:position w:val="-4"/>
            </w:rPr>
          </w:pPr>
          <w:r>
            <w:rPr>
              <w:position w:val="-4"/>
              <w:sz w:val="40"/>
            </w:rPr>
            <w:t>CEDAW</w:t>
          </w:r>
          <w:r>
            <w:rPr>
              <w:position w:val="-4"/>
            </w:rPr>
            <w:t>/C/ERI/5</w:t>
          </w:r>
        </w:p>
      </w:tc>
    </w:tr>
    <w:tr w:rsidR="00A1027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10274" w:rsidRPr="00853D26" w:rsidRDefault="00A10274">
          <w:pPr>
            <w:pStyle w:val="Header"/>
            <w:spacing w:before="880"/>
            <w:ind w:left="-72"/>
            <w:rPr>
              <w:szCs w:val="22"/>
            </w:rPr>
          </w:pPr>
          <w:r w:rsidRPr="00853D26">
            <w:rPr>
              <w:szCs w:val="22"/>
            </w:rPr>
            <w:t xml:space="preserve">  </w:t>
          </w:r>
          <w:r w:rsidRPr="00853D26">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10274" w:rsidRPr="00853D26" w:rsidRDefault="00A10274">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A10274" w:rsidRDefault="00A10274">
          <w:pPr>
            <w:pStyle w:val="XLarge"/>
            <w:spacing w:before="109" w:line="330" w:lineRule="exact"/>
            <w:rPr>
              <w:sz w:val="34"/>
              <w:lang w:val="fr-FR"/>
            </w:rPr>
          </w:pPr>
          <w:r>
            <w:rPr>
              <w:sz w:val="34"/>
              <w:lang w:val="fr-FR"/>
            </w:rPr>
            <w:t>Convention sur l’élimination</w:t>
          </w:r>
          <w:r>
            <w:rPr>
              <w:sz w:val="34"/>
              <w:lang w:val="fr-FR"/>
            </w:rPr>
            <w:br/>
            <w:t>de toutes les formes</w:t>
          </w:r>
          <w:r>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A10274" w:rsidRPr="00853D26" w:rsidRDefault="00A10274">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A10274" w:rsidRDefault="00A10274">
          <w:pPr>
            <w:pStyle w:val="Distribution"/>
            <w:rPr>
              <w:color w:val="000000"/>
              <w:lang w:val="fr-FR"/>
            </w:rPr>
          </w:pPr>
          <w:r>
            <w:rPr>
              <w:color w:val="000000"/>
              <w:lang w:val="fr-FR"/>
            </w:rPr>
            <w:t>Distr. générale</w:t>
          </w:r>
        </w:p>
        <w:p w:rsidR="00A10274" w:rsidRDefault="00A10274">
          <w:pPr>
            <w:pStyle w:val="Publication"/>
            <w:rPr>
              <w:color w:val="000000"/>
              <w:lang w:val="fr-FR"/>
            </w:rPr>
          </w:pPr>
          <w:r>
            <w:rPr>
              <w:color w:val="000000"/>
              <w:lang w:val="fr-FR"/>
            </w:rPr>
            <w:t>6 mai 2014</w:t>
          </w:r>
        </w:p>
        <w:p w:rsidR="00A10274" w:rsidRDefault="00A10274">
          <w:pPr>
            <w:rPr>
              <w:lang w:val="fr-FR"/>
            </w:rPr>
          </w:pPr>
          <w:r>
            <w:rPr>
              <w:lang w:val="fr-FR"/>
            </w:rPr>
            <w:t>Français</w:t>
          </w:r>
        </w:p>
        <w:p w:rsidR="00A10274" w:rsidRDefault="00A10274">
          <w:pPr>
            <w:pStyle w:val="Original"/>
            <w:rPr>
              <w:color w:val="000000"/>
              <w:lang w:val="fr-FR"/>
            </w:rPr>
          </w:pPr>
          <w:r>
            <w:rPr>
              <w:color w:val="000000"/>
              <w:lang w:val="fr-FR"/>
            </w:rPr>
            <w:t>Original : anglais</w:t>
          </w:r>
        </w:p>
      </w:tc>
    </w:tr>
  </w:tbl>
  <w:p w:rsidR="00A10274" w:rsidRDefault="00A10274">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C23A1C"/>
    <w:lvl w:ilvl="0">
      <w:start w:val="1"/>
      <w:numFmt w:val="decimal"/>
      <w:lvlText w:val="%1."/>
      <w:lvlJc w:val="left"/>
      <w:pPr>
        <w:tabs>
          <w:tab w:val="num" w:pos="1492"/>
        </w:tabs>
        <w:ind w:left="1492" w:hanging="360"/>
      </w:pPr>
    </w:lvl>
  </w:abstractNum>
  <w:abstractNum w:abstractNumId="1">
    <w:nsid w:val="FFFFFF7D"/>
    <w:multiLevelType w:val="singleLevel"/>
    <w:tmpl w:val="919C834C"/>
    <w:lvl w:ilvl="0">
      <w:start w:val="1"/>
      <w:numFmt w:val="decimal"/>
      <w:lvlText w:val="%1."/>
      <w:lvlJc w:val="left"/>
      <w:pPr>
        <w:tabs>
          <w:tab w:val="num" w:pos="1209"/>
        </w:tabs>
        <w:ind w:left="1209" w:hanging="360"/>
      </w:pPr>
    </w:lvl>
  </w:abstractNum>
  <w:abstractNum w:abstractNumId="2">
    <w:nsid w:val="FFFFFF7E"/>
    <w:multiLevelType w:val="singleLevel"/>
    <w:tmpl w:val="015805D0"/>
    <w:lvl w:ilvl="0">
      <w:start w:val="1"/>
      <w:numFmt w:val="decimal"/>
      <w:lvlText w:val="%1."/>
      <w:lvlJc w:val="left"/>
      <w:pPr>
        <w:tabs>
          <w:tab w:val="num" w:pos="926"/>
        </w:tabs>
        <w:ind w:left="926" w:hanging="360"/>
      </w:pPr>
    </w:lvl>
  </w:abstractNum>
  <w:abstractNum w:abstractNumId="3">
    <w:nsid w:val="FFFFFF7F"/>
    <w:multiLevelType w:val="singleLevel"/>
    <w:tmpl w:val="53B6D524"/>
    <w:lvl w:ilvl="0">
      <w:start w:val="1"/>
      <w:numFmt w:val="decimal"/>
      <w:lvlText w:val="%1."/>
      <w:lvlJc w:val="left"/>
      <w:pPr>
        <w:tabs>
          <w:tab w:val="num" w:pos="643"/>
        </w:tabs>
        <w:ind w:left="643" w:hanging="360"/>
      </w:pPr>
    </w:lvl>
  </w:abstractNum>
  <w:abstractNum w:abstractNumId="4">
    <w:nsid w:val="FFFFFF80"/>
    <w:multiLevelType w:val="singleLevel"/>
    <w:tmpl w:val="32D456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D891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78D3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DEDD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229994"/>
    <w:lvl w:ilvl="0">
      <w:start w:val="1"/>
      <w:numFmt w:val="decimal"/>
      <w:lvlText w:val="%1."/>
      <w:lvlJc w:val="left"/>
      <w:pPr>
        <w:tabs>
          <w:tab w:val="num" w:pos="360"/>
        </w:tabs>
        <w:ind w:left="360" w:hanging="360"/>
      </w:pPr>
    </w:lvl>
  </w:abstractNum>
  <w:abstractNum w:abstractNumId="9">
    <w:nsid w:val="FFFFFF89"/>
    <w:multiLevelType w:val="singleLevel"/>
    <w:tmpl w:val="ACC20200"/>
    <w:lvl w:ilvl="0">
      <w:start w:val="1"/>
      <w:numFmt w:val="bullet"/>
      <w:lvlText w:val=""/>
      <w:lvlJc w:val="left"/>
      <w:pPr>
        <w:tabs>
          <w:tab w:val="num" w:pos="360"/>
        </w:tabs>
        <w:ind w:left="360" w:hanging="360"/>
      </w:pPr>
      <w:rPr>
        <w:rFonts w:ascii="Symbol" w:hAnsi="Symbol" w:hint="default"/>
      </w:rPr>
    </w:lvl>
  </w:abstractNum>
  <w:abstractNum w:abstractNumId="1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12FE4434"/>
    <w:multiLevelType w:val="singleLevel"/>
    <w:tmpl w:val="C4348D26"/>
    <w:lvl w:ilvl="0">
      <w:start w:val="1"/>
      <w:numFmt w:val="decimal"/>
      <w:lvlRestart w:val="0"/>
      <w:lvlText w:val="%1."/>
      <w:lvlJc w:val="left"/>
      <w:pPr>
        <w:tabs>
          <w:tab w:val="num" w:pos="475"/>
        </w:tabs>
        <w:ind w:left="0" w:firstLine="0"/>
      </w:pPr>
      <w:rPr>
        <w:w w:val="100"/>
      </w:rPr>
    </w:lvl>
  </w:abstractNum>
  <w:abstractNum w:abstractNumId="13">
    <w:nsid w:val="263B6435"/>
    <w:multiLevelType w:val="singleLevel"/>
    <w:tmpl w:val="8B20E386"/>
    <w:lvl w:ilvl="0">
      <w:start w:val="73"/>
      <w:numFmt w:val="decimal"/>
      <w:lvlRestart w:val="0"/>
      <w:lvlText w:val="%1."/>
      <w:lvlJc w:val="left"/>
      <w:pPr>
        <w:tabs>
          <w:tab w:val="num" w:pos="1742"/>
        </w:tabs>
        <w:ind w:left="1267" w:firstLine="0"/>
      </w:pPr>
      <w:rPr>
        <w:w w:val="100"/>
      </w:rPr>
    </w:lvl>
  </w:abstractNum>
  <w:abstractNum w:abstractNumId="14">
    <w:nsid w:val="29DF1795"/>
    <w:multiLevelType w:val="singleLevel"/>
    <w:tmpl w:val="1E1A2D82"/>
    <w:lvl w:ilvl="0">
      <w:start w:val="90"/>
      <w:numFmt w:val="decimal"/>
      <w:lvlRestart w:val="0"/>
      <w:lvlText w:val="%1."/>
      <w:lvlJc w:val="left"/>
      <w:pPr>
        <w:tabs>
          <w:tab w:val="num" w:pos="1742"/>
        </w:tabs>
        <w:ind w:left="1267" w:firstLine="0"/>
      </w:pPr>
      <w:rPr>
        <w:w w:val="100"/>
      </w:rPr>
    </w:lvl>
  </w:abstractNum>
  <w:abstractNum w:abstractNumId="15">
    <w:nsid w:val="36825E22"/>
    <w:multiLevelType w:val="singleLevel"/>
    <w:tmpl w:val="B78C058E"/>
    <w:lvl w:ilvl="0">
      <w:start w:val="76"/>
      <w:numFmt w:val="decimal"/>
      <w:lvlRestart w:val="0"/>
      <w:lvlText w:val="%1."/>
      <w:lvlJc w:val="left"/>
      <w:pPr>
        <w:tabs>
          <w:tab w:val="num" w:pos="1742"/>
        </w:tabs>
        <w:ind w:left="1267" w:firstLine="0"/>
      </w:pPr>
      <w:rPr>
        <w:w w:val="100"/>
      </w:rPr>
    </w:lvl>
  </w:abstractNum>
  <w:abstractNum w:abstractNumId="16">
    <w:nsid w:val="398D0C3E"/>
    <w:multiLevelType w:val="singleLevel"/>
    <w:tmpl w:val="B78C058E"/>
    <w:lvl w:ilvl="0">
      <w:start w:val="76"/>
      <w:numFmt w:val="decimal"/>
      <w:lvlRestart w:val="0"/>
      <w:lvlText w:val="%1."/>
      <w:lvlJc w:val="left"/>
      <w:pPr>
        <w:tabs>
          <w:tab w:val="num" w:pos="1742"/>
        </w:tabs>
        <w:ind w:left="1267" w:firstLine="0"/>
      </w:pPr>
      <w:rPr>
        <w:w w:val="100"/>
      </w:rPr>
    </w:lvl>
  </w:abstractNum>
  <w:abstractNum w:abstractNumId="17">
    <w:nsid w:val="6EC679EB"/>
    <w:multiLevelType w:val="singleLevel"/>
    <w:tmpl w:val="1E1A2D82"/>
    <w:lvl w:ilvl="0">
      <w:start w:val="90"/>
      <w:numFmt w:val="decimal"/>
      <w:lvlRestart w:val="0"/>
      <w:lvlText w:val="%1."/>
      <w:lvlJc w:val="left"/>
      <w:pPr>
        <w:tabs>
          <w:tab w:val="num" w:pos="1742"/>
        </w:tabs>
        <w:ind w:left="1267" w:firstLine="0"/>
      </w:pPr>
      <w:rPr>
        <w:w w:val="100"/>
      </w:rPr>
    </w:lvl>
  </w:abstractNum>
  <w:abstractNum w:abstractNumId="18">
    <w:nsid w:val="7B2D4DB0"/>
    <w:multiLevelType w:val="singleLevel"/>
    <w:tmpl w:val="E74AC4B6"/>
    <w:lvl w:ilvl="0">
      <w:start w:val="89"/>
      <w:numFmt w:val="decimal"/>
      <w:lvlRestart w:val="0"/>
      <w:lvlText w:val="%1."/>
      <w:lvlJc w:val="left"/>
      <w:pPr>
        <w:tabs>
          <w:tab w:val="num" w:pos="1742"/>
        </w:tabs>
        <w:ind w:left="1267" w:firstLine="0"/>
      </w:pPr>
      <w:rPr>
        <w:w w:val="100"/>
      </w:rPr>
    </w:lvl>
  </w:abstractNum>
  <w:num w:numId="1">
    <w:abstractNumId w:val="11"/>
  </w:num>
  <w:num w:numId="2">
    <w:abstractNumId w:val="10"/>
  </w:num>
  <w:num w:numId="3">
    <w:abstractNumId w:val="12"/>
  </w:num>
  <w:num w:numId="4">
    <w:abstractNumId w:val="13"/>
  </w:num>
  <w:num w:numId="5">
    <w:abstractNumId w:val="15"/>
  </w:num>
  <w:num w:numId="6">
    <w:abstractNumId w:val="16"/>
  </w:num>
  <w:num w:numId="7">
    <w:abstractNumId w:val="16"/>
    <w:lvlOverride w:ilvl="0">
      <w:lvl w:ilvl="0">
        <w:start w:val="76"/>
        <w:numFmt w:val="decimal"/>
        <w:lvlRestart w:val="0"/>
        <w:lvlText w:val="%1."/>
        <w:lvlJc w:val="left"/>
        <w:pPr>
          <w:tabs>
            <w:tab w:val="num" w:pos="1742"/>
          </w:tabs>
          <w:ind w:left="1267" w:firstLine="0"/>
        </w:pPr>
        <w:rPr>
          <w:w w:val="100"/>
        </w:rPr>
      </w:lvl>
    </w:lvlOverride>
  </w:num>
  <w:num w:numId="8">
    <w:abstractNumId w:val="18"/>
  </w:num>
  <w:num w:numId="9">
    <w:abstractNumId w:val="14"/>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revisionView w:markup="0"/>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3989*"/>
    <w:docVar w:name="CreationDt" w:val="05/06/2014 12:27:55"/>
    <w:docVar w:name="DocCategory" w:val="Doc"/>
    <w:docVar w:name="DocType" w:val="Final"/>
    <w:docVar w:name="FooterJN" w:val="14-03989"/>
    <w:docVar w:name="jobn" w:val="14-03989 (F)"/>
    <w:docVar w:name="jobnDT" w:val="14-03989 (F)   050614"/>
    <w:docVar w:name="jobnDTDT" w:val="14-03989 (F)   050614   050614"/>
    <w:docVar w:name="JobNo" w:val="1403989F"/>
    <w:docVar w:name="JobNo2" w:val="1432273F"/>
    <w:docVar w:name="OandT" w:val="cbr"/>
    <w:docVar w:name="sss1" w:val="CEDAW/C/ERI/5"/>
    <w:docVar w:name="sss2" w:val="-"/>
    <w:docVar w:name="Symbol1" w:val="CEDAW/C/ERI/5"/>
    <w:docVar w:name="Symbol2" w:val="-"/>
  </w:docVars>
  <w:rsids>
    <w:rsidRoot w:val="00567F43"/>
    <w:rsid w:val="00567F43"/>
    <w:rsid w:val="00853D26"/>
    <w:rsid w:val="00A102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lin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qFormat/>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qFormat/>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qFormat/>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qFormat/>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qFormat/>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qFormat/>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qFormat/>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qFormat/>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Pr>
      <w:rFonts w:ascii="Cambria" w:eastAsia="Times New Roman" w:hAnsi="Cambria" w:cs="Times New Roman"/>
      <w:i/>
      <w:iCs/>
      <w:color w:val="243F60"/>
      <w:spacing w:val="4"/>
      <w:w w:val="103"/>
      <w:kern w:val="14"/>
      <w:sz w:val="20"/>
    </w:rPr>
  </w:style>
  <w:style w:type="character" w:styleId="Strong">
    <w:name w:val="Strong"/>
    <w:uiPriority w:val="22"/>
    <w:qFormat/>
    <w:rPr>
      <w:b/>
      <w:bCs/>
    </w:rPr>
  </w:style>
  <w:style w:type="paragraph" w:customStyle="1" w:styleId="H1">
    <w:name w:val="_ H_1"/>
    <w:basedOn w:val="Normal"/>
    <w:next w:val="SingleTxt"/>
    <w:qFormat/>
    <w:pPr>
      <w:keepNext/>
      <w:keepLines/>
      <w:suppressAutoHyphens/>
      <w:spacing w:line="270" w:lineRule="exact"/>
      <w:outlineLvl w:val="0"/>
    </w:pPr>
    <w:rPr>
      <w:b/>
      <w:sz w:val="24"/>
    </w:rPr>
  </w:style>
  <w:style w:type="paragraph" w:styleId="NoSpacing">
    <w:name w:val="No Spacing"/>
    <w:uiPriority w:val="1"/>
    <w:qFormat/>
    <w:rPr>
      <w:sz w:val="22"/>
      <w:szCs w:val="22"/>
    </w:rPr>
  </w:style>
  <w:style w:type="character" w:customStyle="1" w:styleId="Heading1Char">
    <w:name w:val="Heading 1 Char"/>
    <w:link w:val="Heading1"/>
    <w:uiPriority w:val="9"/>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pPr>
      <w:spacing w:line="300" w:lineRule="exact"/>
    </w:pPr>
    <w:rPr>
      <w:spacing w:val="-2"/>
      <w:sz w:val="28"/>
    </w:rPr>
  </w:style>
  <w:style w:type="paragraph" w:customStyle="1" w:styleId="HM">
    <w:name w:val="_ H __M"/>
    <w:basedOn w:val="HCH"/>
    <w:next w:val="Normal"/>
    <w:qFormat/>
    <w:pPr>
      <w:spacing w:line="360" w:lineRule="exact"/>
    </w:pPr>
    <w:rPr>
      <w:spacing w:val="-3"/>
      <w:w w:val="99"/>
      <w:sz w:val="34"/>
    </w:rPr>
  </w:style>
  <w:style w:type="paragraph" w:customStyle="1" w:styleId="H23">
    <w:name w:val="_ H_2/3"/>
    <w:basedOn w:val="H1"/>
    <w:next w:val="SingleTxt"/>
    <w:qFormat/>
    <w:pPr>
      <w:spacing w:line="240" w:lineRule="exact"/>
      <w:outlineLvl w:val="1"/>
    </w:pPr>
    <w:rPr>
      <w:spacing w:val="2"/>
      <w:sz w:val="20"/>
    </w:rPr>
  </w:style>
  <w:style w:type="paragraph" w:customStyle="1" w:styleId="H4">
    <w:name w:val="_ H_4"/>
    <w:basedOn w:val="Normal"/>
    <w:next w:val="Normal"/>
    <w:qFormat/>
    <w:pPr>
      <w:keepNext/>
      <w:keepLines/>
      <w:tabs>
        <w:tab w:val="right" w:pos="360"/>
      </w:tabs>
      <w:suppressAutoHyphens/>
      <w:outlineLvl w:val="3"/>
    </w:pPr>
    <w:rPr>
      <w:i/>
      <w:spacing w:val="3"/>
    </w:rPr>
  </w:style>
  <w:style w:type="paragraph" w:customStyle="1" w:styleId="H56">
    <w:name w:val="_ H_5/6"/>
    <w:basedOn w:val="Normal"/>
    <w:next w:val="Normal"/>
    <w:qFormat/>
    <w:pPr>
      <w:keepNext/>
      <w:keepLines/>
      <w:tabs>
        <w:tab w:val="right" w:pos="360"/>
      </w:tabs>
      <w:suppressAutoHyphens/>
      <w:outlineLvl w:val="4"/>
    </w:pPr>
    <w:rPr>
      <w:rFonts w:ascii="marge tawagan" w:hAnsi="marge tawagan"/>
    </w:rPr>
  </w:style>
  <w:style w:type="paragraph" w:customStyle="1" w:styleId="DualTxt">
    <w:name w:val="__Dual Txt"/>
    <w:basedOn w:val="Normal"/>
    <w:qFormat/>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pPr>
      <w:spacing w:line="540" w:lineRule="exact"/>
    </w:pPr>
    <w:rPr>
      <w:spacing w:val="-8"/>
      <w:w w:val="96"/>
      <w:sz w:val="57"/>
    </w:rPr>
  </w:style>
  <w:style w:type="paragraph" w:customStyle="1" w:styleId="SS">
    <w:name w:val="__S_S"/>
    <w:basedOn w:val="HCH"/>
    <w:next w:val="Normal"/>
    <w:qFormat/>
    <w:pPr>
      <w:ind w:left="1267" w:right="1267"/>
    </w:pPr>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Pr>
      <w:rFonts w:ascii="Times New Roman" w:hAnsi="Times New Roman"/>
      <w:b/>
      <w:spacing w:val="3"/>
      <w:w w:val="105"/>
      <w:sz w:val="17"/>
      <w:lang w:bidi="ar-SA"/>
    </w:rPr>
  </w:style>
  <w:style w:type="paragraph" w:styleId="Header">
    <w:name w:val="header"/>
    <w:link w:val="HeaderChar"/>
    <w:uiPriority w:val="99"/>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Pr>
      <w:rFonts w:ascii="Times New Roman" w:hAnsi="Times New Roman"/>
      <w:spacing w:val="3"/>
      <w:w w:val="105"/>
      <w:sz w:val="17"/>
      <w:lang w:bidi="ar-SA"/>
    </w:rPr>
  </w:style>
  <w:style w:type="character" w:styleId="LineNumber">
    <w:name w:val="line number"/>
    <w:uiPriority w:val="99"/>
    <w:qFormat/>
    <w:rPr>
      <w:sz w:val="14"/>
    </w:rPr>
  </w:style>
  <w:style w:type="paragraph" w:customStyle="1" w:styleId="Small">
    <w:name w:val="Small"/>
    <w:basedOn w:val="Normal"/>
    <w:next w:val="Normal"/>
    <w:qFormat/>
    <w:pPr>
      <w:tabs>
        <w:tab w:val="right" w:pos="9965"/>
      </w:tabs>
      <w:spacing w:line="210" w:lineRule="exact"/>
    </w:pPr>
    <w:rPr>
      <w:spacing w:val="5"/>
      <w:w w:val="104"/>
      <w:sz w:val="17"/>
    </w:rPr>
  </w:style>
  <w:style w:type="paragraph" w:customStyle="1" w:styleId="SmallX">
    <w:name w:val="SmallX"/>
    <w:basedOn w:val="Small"/>
    <w:next w:val="Normal"/>
    <w:qFormat/>
    <w:pPr>
      <w:spacing w:line="180" w:lineRule="exact"/>
      <w:jc w:val="right"/>
    </w:pPr>
    <w:rPr>
      <w:spacing w:val="6"/>
      <w:w w:val="106"/>
      <w:sz w:val="14"/>
    </w:rPr>
  </w:style>
  <w:style w:type="paragraph" w:customStyle="1" w:styleId="XLarge">
    <w:name w:val="XLarge"/>
    <w:basedOn w:val="HM"/>
    <w:qFormat/>
    <w:pPr>
      <w:tabs>
        <w:tab w:val="right" w:pos="360"/>
      </w:tabs>
      <w:spacing w:line="390" w:lineRule="exact"/>
    </w:pPr>
    <w:rPr>
      <w:spacing w:val="-4"/>
      <w:w w:val="98"/>
      <w:sz w:val="40"/>
    </w:rPr>
  </w:style>
  <w:style w:type="paragraph" w:customStyle="1" w:styleId="Style1">
    <w:name w:val="Style1"/>
    <w:basedOn w:val="Normal"/>
    <w:qFormat/>
  </w:style>
  <w:style w:type="paragraph" w:customStyle="1" w:styleId="Style2">
    <w:name w:val="Style2"/>
    <w:basedOn w:val="Normal"/>
    <w:autoRedefine/>
    <w:qFormat/>
  </w:style>
  <w:style w:type="paragraph" w:styleId="BalloonText">
    <w:name w:val="Balloon Text"/>
    <w:basedOn w:val="Normal"/>
    <w:link w:val="BalloonTextChar"/>
    <w:uiPriority w:val="99"/>
    <w:semiHidden/>
    <w:unhideWhenUsed/>
    <w:pPr>
      <w:spacing w:line="240" w:lineRule="auto"/>
    </w:pPr>
    <w:rPr>
      <w:rFonts w:ascii="Tahoma" w:hAnsi="Tahoma"/>
      <w:sz w:val="16"/>
      <w:szCs w:val="16"/>
      <w:lang/>
    </w:rPr>
  </w:style>
  <w:style w:type="character" w:customStyle="1" w:styleId="BalloonTextChar">
    <w:name w:val="Balloon Text Char"/>
    <w:link w:val="BalloonText"/>
    <w:uiPriority w:val="99"/>
    <w:semiHidden/>
    <w:rPr>
      <w:rFonts w:ascii="Tahoma" w:hAnsi="Tahoma" w:cs="Tahoma"/>
      <w:spacing w:val="4"/>
      <w:w w:val="103"/>
      <w:kern w:val="14"/>
      <w:sz w:val="16"/>
      <w:szCs w:val="16"/>
    </w:rPr>
  </w:style>
  <w:style w:type="paragraph" w:styleId="FootnoteText">
    <w:name w:val="footnote text"/>
    <w:basedOn w:val="Normal"/>
    <w:link w:val="FootnoteTextChar"/>
    <w:uiPriority w:val="99"/>
    <w:unhideWhenUsed/>
    <w:pPr>
      <w:spacing w:line="210" w:lineRule="exact"/>
    </w:pPr>
    <w:rPr>
      <w:spacing w:val="5"/>
      <w:w w:val="104"/>
      <w:sz w:val="17"/>
      <w:szCs w:val="20"/>
      <w:lang/>
    </w:rPr>
  </w:style>
  <w:style w:type="character" w:customStyle="1" w:styleId="FootnoteTextChar">
    <w:name w:val="Footnote Text Char"/>
    <w:link w:val="FootnoteText"/>
    <w:uiPriority w:val="99"/>
    <w:rPr>
      <w:rFonts w:ascii="Times New Roman" w:hAnsi="Times New Roman" w:cs="Times New Roman"/>
      <w:spacing w:val="5"/>
      <w:w w:val="104"/>
      <w:kern w:val="14"/>
      <w:sz w:val="17"/>
      <w:szCs w:val="20"/>
    </w:rPr>
  </w:style>
  <w:style w:type="character" w:customStyle="1" w:styleId="Heading7Char">
    <w:name w:val="Heading 7 Char"/>
    <w:link w:val="Heading7"/>
    <w:uiPriority w:val="9"/>
    <w:semiHidden/>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pPr>
      <w:ind w:left="720"/>
      <w:contextualSpacing/>
    </w:pPr>
  </w:style>
  <w:style w:type="paragraph" w:customStyle="1" w:styleId="Distribution">
    <w:name w:val="Distribution"/>
    <w:next w:val="Normal"/>
    <w:autoRedefine/>
    <w:qFormat/>
    <w:pPr>
      <w:spacing w:before="240"/>
    </w:pPr>
    <w:rPr>
      <w:rFonts w:ascii="Times New Roman" w:hAnsi="Times New Roman"/>
      <w:spacing w:val="4"/>
      <w:w w:val="103"/>
      <w:kern w:val="14"/>
      <w:szCs w:val="22"/>
    </w:rPr>
  </w:style>
  <w:style w:type="paragraph" w:customStyle="1" w:styleId="Publication">
    <w:name w:val="Publication"/>
    <w:next w:val="Normal"/>
    <w:autoRedefine/>
    <w:qFormat/>
    <w:rPr>
      <w:rFonts w:ascii="Times New Roman" w:hAnsi="Times New Roman"/>
      <w:spacing w:val="4"/>
      <w:w w:val="103"/>
      <w:kern w:val="14"/>
      <w:szCs w:val="22"/>
    </w:rPr>
  </w:style>
  <w:style w:type="paragraph" w:customStyle="1" w:styleId="Original">
    <w:name w:val="Original"/>
    <w:next w:val="Normal"/>
    <w:autoRedefine/>
    <w:qFormat/>
    <w:rPr>
      <w:rFonts w:ascii="Times New Roman" w:hAnsi="Times New Roman"/>
      <w:spacing w:val="4"/>
      <w:w w:val="103"/>
      <w:kern w:val="14"/>
      <w:szCs w:val="22"/>
    </w:rPr>
  </w:style>
  <w:style w:type="paragraph" w:customStyle="1" w:styleId="ReleaseDate">
    <w:name w:val="Release Date"/>
    <w:next w:val="Normal"/>
    <w:autoRedefine/>
    <w:qFormat/>
    <w:rPr>
      <w:rFonts w:ascii="Times New Roman" w:hAnsi="Times New Roman"/>
      <w:spacing w:val="-3"/>
      <w:w w:val="99"/>
      <w:kern w:val="14"/>
      <w:szCs w:val="22"/>
    </w:rPr>
  </w:style>
  <w:style w:type="paragraph" w:customStyle="1" w:styleId="Session">
    <w:name w:val="Session"/>
    <w:basedOn w:val="H23"/>
    <w:autoRedefine/>
    <w:qFormat/>
    <w:pPr>
      <w:ind w:right="1267"/>
    </w:pPr>
    <w:rPr>
      <w:spacing w:val="4"/>
    </w:rPr>
  </w:style>
  <w:style w:type="paragraph" w:customStyle="1" w:styleId="Committee">
    <w:name w:val="Committee"/>
    <w:basedOn w:val="H1"/>
    <w:autoRedefine/>
    <w:qFormat/>
    <w:pPr>
      <w:ind w:right="1267"/>
    </w:pPr>
  </w:style>
  <w:style w:type="paragraph" w:customStyle="1" w:styleId="Sponsors">
    <w:name w:val="Sponsors"/>
    <w:basedOn w:val="H23"/>
    <w:autoRedefine/>
    <w:qFormat/>
    <w:pPr>
      <w:tabs>
        <w:tab w:val="right" w:pos="1022"/>
        <w:tab w:val="left" w:pos="1267"/>
      </w:tabs>
      <w:ind w:left="1267" w:right="1267" w:hanging="1267"/>
    </w:pPr>
  </w:style>
  <w:style w:type="paragraph" w:customStyle="1" w:styleId="Type">
    <w:name w:val="Type"/>
    <w:basedOn w:val="H23"/>
    <w:autoRedefine/>
    <w:qFormat/>
    <w:pPr>
      <w:tabs>
        <w:tab w:val="right" w:pos="1022"/>
        <w:tab w:val="left" w:pos="1267"/>
      </w:tabs>
      <w:ind w:left="1267" w:right="1267" w:hanging="1267"/>
    </w:pPr>
  </w:style>
  <w:style w:type="paragraph" w:customStyle="1" w:styleId="AgendaTitle">
    <w:name w:val="AgendaTitle"/>
    <w:basedOn w:val="H23"/>
    <w:autoRedefine/>
    <w:qFormat/>
  </w:style>
  <w:style w:type="paragraph" w:customStyle="1" w:styleId="Title1">
    <w:name w:val="Title 1"/>
    <w:basedOn w:val="HCH"/>
    <w:autoRedefine/>
    <w:qFormat/>
    <w:pPr>
      <w:tabs>
        <w:tab w:val="right" w:pos="1022"/>
        <w:tab w:val="left" w:pos="1267"/>
      </w:tabs>
      <w:ind w:left="1267" w:right="1267" w:hanging="1267"/>
    </w:pPr>
  </w:style>
  <w:style w:type="paragraph" w:customStyle="1" w:styleId="Title2">
    <w:name w:val="Title 2"/>
    <w:basedOn w:val="H1"/>
    <w:qFormat/>
    <w:pPr>
      <w:tabs>
        <w:tab w:val="right" w:pos="1022"/>
        <w:tab w:val="left" w:pos="1267"/>
      </w:tabs>
      <w:ind w:left="1267" w:right="1267" w:hanging="1267"/>
    </w:pPr>
  </w:style>
  <w:style w:type="paragraph" w:styleId="EndnoteText">
    <w:name w:val="endnote text"/>
    <w:basedOn w:val="Normal"/>
    <w:link w:val="EndnoteTextChar"/>
    <w:uiPriority w:val="99"/>
    <w:semiHidden/>
    <w:unhideWhenUsed/>
    <w:pPr>
      <w:spacing w:line="210" w:lineRule="exact"/>
    </w:pPr>
    <w:rPr>
      <w:sz w:val="17"/>
      <w:szCs w:val="20"/>
      <w:lang/>
    </w:rPr>
  </w:style>
  <w:style w:type="character" w:customStyle="1" w:styleId="EndnoteTextChar">
    <w:name w:val="Endnote Text Char"/>
    <w:link w:val="EndnoteText"/>
    <w:uiPriority w:val="99"/>
    <w:semiHidden/>
    <w:rPr>
      <w:rFonts w:ascii="Times New Roman" w:hAnsi="Times New Roman"/>
      <w:spacing w:val="4"/>
      <w:w w:val="103"/>
      <w:kern w:val="14"/>
      <w:sz w:val="17"/>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lang/>
    </w:rPr>
  </w:style>
  <w:style w:type="character" w:customStyle="1" w:styleId="CommentTextChar">
    <w:name w:val="Comment Text Char"/>
    <w:link w:val="CommentText"/>
    <w:uiPriority w:val="99"/>
    <w:semiHidden/>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spacing w:val="4"/>
      <w:w w:val="103"/>
      <w:kern w:val="14"/>
    </w:rPr>
  </w:style>
  <w:style w:type="paragraph" w:customStyle="1" w:styleId="HCh0">
    <w:name w:val="_ H _Ch"/>
    <w:basedOn w:val="Normal"/>
    <w:next w:val="SingleTxt"/>
    <w:pPr>
      <w:keepNext/>
      <w:keepLines/>
      <w:suppressAutoHyphens/>
      <w:spacing w:line="300" w:lineRule="exact"/>
      <w:outlineLvl w:val="0"/>
    </w:pPr>
    <w:rPr>
      <w:rFonts w:eastAsia="Times New Roman"/>
      <w:b/>
      <w:spacing w:val="-2"/>
      <w:sz w:val="28"/>
      <w:szCs w:val="20"/>
      <w:lang w:val="fr-CA" w:eastAsia="fr-FR"/>
    </w:rPr>
  </w:style>
  <w:style w:type="character" w:customStyle="1" w:styleId="apple-converted-space">
    <w:name w:val="apple-converted-space"/>
    <w:basedOn w:val="DefaultParagraphFont"/>
  </w:style>
  <w:style w:type="paragraph" w:styleId="Revision">
    <w:name w:val="Revision"/>
    <w:hidden/>
    <w:uiPriority w:val="99"/>
    <w:semiHidden/>
    <w:rPr>
      <w:sz w:val="22"/>
      <w:szCs w:val="22"/>
      <w:lang w:val="fr-FR"/>
    </w:rPr>
  </w:style>
  <w:style w:type="paragraph" w:customStyle="1" w:styleId="SingleTxtG">
    <w:name w:val="_ Single Txt_G"/>
    <w:basedOn w:val="Normal"/>
    <w:pPr>
      <w:suppressAutoHyphens/>
      <w:spacing w:after="120" w:line="240" w:lineRule="atLeast"/>
      <w:ind w:left="1134" w:right="1134"/>
      <w:jc w:val="both"/>
    </w:pPr>
    <w:rPr>
      <w:rFonts w:eastAsia="Times New Roman"/>
      <w:spacing w:val="0"/>
      <w:w w:val="100"/>
      <w:kern w:val="0"/>
      <w:szCs w:val="20"/>
      <w:lang w:val="en-GB"/>
    </w:rPr>
  </w:style>
  <w:style w:type="character" w:styleId="Hyperlink">
    <w:name w:val="Hyperlink"/>
    <w:uiPriority w:val="99"/>
    <w:unhideWhenUsed/>
    <w:rPr>
      <w:color w:val="0000FF"/>
      <w:u w:val="none"/>
    </w:rPr>
  </w:style>
  <w:style w:type="character" w:styleId="FollowedHyperlink">
    <w:name w:val="FollowedHyperlink"/>
    <w:uiPriority w:val="99"/>
    <w:semiHidden/>
    <w:unhideWhenUsed/>
    <w:rPr>
      <w:color w:val="0000FF"/>
      <w:u w:val="none"/>
    </w:rPr>
  </w:style>
</w:styles>
</file>

<file path=word/webSettings.xml><?xml version="1.0" encoding="utf-8"?>
<w:webSettings xmlns:r="http://schemas.openxmlformats.org/officeDocument/2006/relationships" xmlns:w="http://schemas.openxmlformats.org/wordprocessingml/2006/main">
  <w:divs>
    <w:div w:id="21451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CEDAW/C/ERI/CO/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3</Pages>
  <Words>8959</Words>
  <Characters>51069</Characters>
  <Application>Microsoft Office Outlook</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59909</CharactersWithSpaces>
  <SharedDoc>false</SharedDoc>
  <HLinks>
    <vt:vector size="6" baseType="variant">
      <vt:variant>
        <vt:i4>720908</vt:i4>
      </vt:variant>
      <vt:variant>
        <vt:i4>0</vt:i4>
      </vt:variant>
      <vt:variant>
        <vt:i4>0</vt:i4>
      </vt:variant>
      <vt:variant>
        <vt:i4>5</vt:i4>
      </vt:variant>
      <vt:variant>
        <vt:lpwstr>http://undocs.org/fr/CEDAW/C/ERI/CO/3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Carmen Briere</dc:creator>
  <cp:keywords/>
  <dc:description/>
  <cp:lastModifiedBy>FTPU.FrontDesk1-by Window</cp:lastModifiedBy>
  <cp:revision>10</cp:revision>
  <cp:lastPrinted>2014-06-05T18:46:00Z</cp:lastPrinted>
  <dcterms:created xsi:type="dcterms:W3CDTF">2014-06-05T10:25:00Z</dcterms:created>
  <dcterms:modified xsi:type="dcterms:W3CDTF">2014-06-05T18:50:00Z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1403989F</vt:lpwstr>
  </property>
  <property fmtid="{D5CDD505-2E9C-101B-9397-08002B2CF9AE}" pid="3" name="ODSRefJobNo">
    <vt:lpwstr>1432273F</vt:lpwstr>
  </property>
  <property fmtid="{D5CDD505-2E9C-101B-9397-08002B2CF9AE}" pid="4" name="Symbol1">
    <vt:lpwstr>CEDAW/C/ERI/5</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6 mai 2014</vt:lpwstr>
  </property>
  <property fmtid="{D5CDD505-2E9C-101B-9397-08002B2CF9AE}" pid="9" name="Original">
    <vt:lpwstr>anglais</vt:lpwstr>
  </property>
  <property fmtid="{D5CDD505-2E9C-101B-9397-08002B2CF9AE}" pid="10" name="Release Date">
    <vt:lpwstr>050614</vt:lpwstr>
  </property>
  <property fmtid="{D5CDD505-2E9C-101B-9397-08002B2CF9AE}" pid="11" name="Comment">
    <vt:lpwstr>ARCHIVING</vt:lpwstr>
  </property>
  <property fmtid="{D5CDD505-2E9C-101B-9397-08002B2CF9AE}" pid="12" name="DraftPages">
    <vt:lpwstr> </vt:lpwstr>
  </property>
  <property fmtid="{D5CDD505-2E9C-101B-9397-08002B2CF9AE}" pid="13" name="Operator">
    <vt:lpwstr>cbr</vt:lpwstr>
  </property>
</Properties>
</file>