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A530E1" w:rsidTr="00B6553F">
        <w:trPr>
          <w:cantSplit/>
          <w:trHeight w:hRule="exact" w:val="851"/>
        </w:trPr>
        <w:tc>
          <w:tcPr>
            <w:tcW w:w="1276" w:type="dxa"/>
            <w:tcBorders>
              <w:bottom w:val="single" w:sz="4" w:space="0" w:color="auto"/>
            </w:tcBorders>
            <w:vAlign w:val="bottom"/>
          </w:tcPr>
          <w:p w:rsidR="00B56E9C" w:rsidRPr="00A530E1" w:rsidRDefault="00B56E9C" w:rsidP="00B6553F">
            <w:pPr>
              <w:spacing w:after="80"/>
            </w:pPr>
          </w:p>
        </w:tc>
        <w:tc>
          <w:tcPr>
            <w:tcW w:w="2268" w:type="dxa"/>
            <w:tcBorders>
              <w:bottom w:val="single" w:sz="4" w:space="0" w:color="auto"/>
            </w:tcBorders>
            <w:vAlign w:val="bottom"/>
          </w:tcPr>
          <w:p w:rsidR="00B56E9C" w:rsidRPr="00A530E1" w:rsidRDefault="00B56E9C" w:rsidP="00B6553F">
            <w:pPr>
              <w:spacing w:after="80" w:line="300" w:lineRule="exact"/>
              <w:rPr>
                <w:b/>
                <w:sz w:val="24"/>
                <w:szCs w:val="24"/>
              </w:rPr>
            </w:pPr>
            <w:r w:rsidRPr="00A530E1">
              <w:rPr>
                <w:sz w:val="28"/>
                <w:szCs w:val="28"/>
              </w:rPr>
              <w:t>United Nations</w:t>
            </w:r>
          </w:p>
        </w:tc>
        <w:tc>
          <w:tcPr>
            <w:tcW w:w="6095" w:type="dxa"/>
            <w:gridSpan w:val="2"/>
            <w:tcBorders>
              <w:bottom w:val="single" w:sz="4" w:space="0" w:color="auto"/>
            </w:tcBorders>
            <w:vAlign w:val="bottom"/>
          </w:tcPr>
          <w:p w:rsidR="00B56E9C" w:rsidRPr="00A530E1" w:rsidRDefault="0069167A" w:rsidP="0069167A">
            <w:pPr>
              <w:suppressAutoHyphens w:val="0"/>
              <w:spacing w:after="20"/>
              <w:jc w:val="right"/>
            </w:pPr>
            <w:r w:rsidRPr="00A530E1">
              <w:rPr>
                <w:sz w:val="40"/>
              </w:rPr>
              <w:t>CRPD</w:t>
            </w:r>
            <w:r w:rsidRPr="00A530E1">
              <w:t>/C/PER/1</w:t>
            </w:r>
          </w:p>
        </w:tc>
      </w:tr>
      <w:tr w:rsidR="00B56E9C" w:rsidRPr="00A530E1" w:rsidTr="00B6553F">
        <w:trPr>
          <w:cantSplit/>
          <w:trHeight w:hRule="exact" w:val="2835"/>
        </w:trPr>
        <w:tc>
          <w:tcPr>
            <w:tcW w:w="1276" w:type="dxa"/>
            <w:tcBorders>
              <w:top w:val="single" w:sz="4" w:space="0" w:color="auto"/>
              <w:bottom w:val="single" w:sz="12" w:space="0" w:color="auto"/>
            </w:tcBorders>
          </w:tcPr>
          <w:p w:rsidR="00B56E9C" w:rsidRPr="00A530E1" w:rsidRDefault="00B56E9C" w:rsidP="00B06775">
            <w:pPr>
              <w:spacing w:before="120"/>
              <w:jc w:val="center"/>
            </w:pPr>
            <w:r w:rsidRPr="00A530E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A530E1" w:rsidRDefault="00B56E9C" w:rsidP="00ED32A3">
            <w:pPr>
              <w:spacing w:before="120" w:line="380" w:lineRule="exact"/>
              <w:rPr>
                <w:b/>
                <w:sz w:val="34"/>
                <w:szCs w:val="40"/>
              </w:rPr>
            </w:pPr>
            <w:r w:rsidRPr="00A530E1">
              <w:rPr>
                <w:b/>
                <w:sz w:val="34"/>
                <w:szCs w:val="40"/>
              </w:rPr>
              <w:t>Convention on</w:t>
            </w:r>
            <w:r w:rsidR="00646687" w:rsidRPr="00A530E1">
              <w:rPr>
                <w:b/>
                <w:sz w:val="34"/>
                <w:szCs w:val="40"/>
              </w:rPr>
              <w:t xml:space="preserve"> </w:t>
            </w:r>
            <w:r w:rsidRPr="00A530E1">
              <w:rPr>
                <w:b/>
                <w:sz w:val="34"/>
                <w:szCs w:val="40"/>
              </w:rPr>
              <w:t>the</w:t>
            </w:r>
            <w:r w:rsidR="009F7711" w:rsidRPr="00A530E1">
              <w:rPr>
                <w:b/>
                <w:sz w:val="34"/>
                <w:szCs w:val="40"/>
              </w:rPr>
              <w:t xml:space="preserve"> </w:t>
            </w:r>
            <w:r w:rsidR="00646687" w:rsidRPr="00A530E1">
              <w:rPr>
                <w:b/>
                <w:sz w:val="34"/>
                <w:szCs w:val="40"/>
              </w:rPr>
              <w:t>Rights</w:t>
            </w:r>
            <w:r w:rsidR="009F7711" w:rsidRPr="00A530E1">
              <w:rPr>
                <w:b/>
                <w:sz w:val="34"/>
                <w:szCs w:val="40"/>
              </w:rPr>
              <w:br/>
            </w:r>
            <w:r w:rsidR="00646687" w:rsidRPr="00A530E1">
              <w:rPr>
                <w:b/>
                <w:sz w:val="34"/>
                <w:szCs w:val="40"/>
              </w:rPr>
              <w:t>of Persons with</w:t>
            </w:r>
            <w:r w:rsidR="009F7711" w:rsidRPr="00A530E1">
              <w:rPr>
                <w:b/>
                <w:sz w:val="34"/>
                <w:szCs w:val="40"/>
              </w:rPr>
              <w:t xml:space="preserve"> </w:t>
            </w:r>
            <w:r w:rsidR="00646687" w:rsidRPr="00A530E1">
              <w:rPr>
                <w:b/>
                <w:sz w:val="34"/>
                <w:szCs w:val="40"/>
              </w:rPr>
              <w:t>Disabilities</w:t>
            </w:r>
          </w:p>
          <w:p w:rsidR="00B56E9C" w:rsidRPr="00A530E1" w:rsidRDefault="00B56E9C" w:rsidP="00B6553F">
            <w:pPr>
              <w:spacing w:before="120" w:line="420" w:lineRule="exact"/>
            </w:pPr>
          </w:p>
        </w:tc>
        <w:tc>
          <w:tcPr>
            <w:tcW w:w="2835" w:type="dxa"/>
            <w:tcBorders>
              <w:top w:val="single" w:sz="4" w:space="0" w:color="auto"/>
              <w:bottom w:val="single" w:sz="12" w:space="0" w:color="auto"/>
            </w:tcBorders>
          </w:tcPr>
          <w:p w:rsidR="0069167A" w:rsidRPr="00A530E1" w:rsidRDefault="0069167A" w:rsidP="0069167A">
            <w:pPr>
              <w:suppressAutoHyphens w:val="0"/>
              <w:spacing w:before="240" w:line="240" w:lineRule="exact"/>
            </w:pPr>
            <w:r w:rsidRPr="00A530E1">
              <w:t>Distr.: General</w:t>
            </w:r>
          </w:p>
          <w:p w:rsidR="0069167A" w:rsidRPr="00A530E1" w:rsidRDefault="0069167A" w:rsidP="0069167A">
            <w:pPr>
              <w:suppressAutoHyphens w:val="0"/>
            </w:pPr>
            <w:r w:rsidRPr="00A530E1">
              <w:t>12 January 2011</w:t>
            </w:r>
          </w:p>
          <w:p w:rsidR="0069167A" w:rsidRPr="00A530E1" w:rsidRDefault="0069167A" w:rsidP="0069167A">
            <w:pPr>
              <w:suppressAutoHyphens w:val="0"/>
            </w:pPr>
            <w:r w:rsidRPr="00A530E1">
              <w:t>English</w:t>
            </w:r>
          </w:p>
          <w:p w:rsidR="00B56E9C" w:rsidRPr="00A530E1" w:rsidRDefault="0069167A" w:rsidP="0069167A">
            <w:pPr>
              <w:suppressAutoHyphens w:val="0"/>
            </w:pPr>
            <w:r w:rsidRPr="00A530E1">
              <w:t>Original: Spanish</w:t>
            </w:r>
          </w:p>
        </w:tc>
      </w:tr>
    </w:tbl>
    <w:p w:rsidR="001C6663" w:rsidRPr="00A530E1" w:rsidRDefault="00F5228C" w:rsidP="00327CF7">
      <w:pPr>
        <w:spacing w:before="120"/>
        <w:rPr>
          <w:b/>
          <w:sz w:val="24"/>
          <w:szCs w:val="24"/>
        </w:rPr>
      </w:pPr>
      <w:r w:rsidRPr="00A530E1">
        <w:rPr>
          <w:b/>
          <w:sz w:val="24"/>
          <w:szCs w:val="24"/>
        </w:rPr>
        <w:t>Committee on the Rights of Persons with Disabilities</w:t>
      </w:r>
    </w:p>
    <w:p w:rsidR="00F5228C" w:rsidRPr="00A530E1" w:rsidRDefault="00573935" w:rsidP="00573935">
      <w:pPr>
        <w:pStyle w:val="HMG"/>
      </w:pPr>
      <w:r w:rsidRPr="00A530E1">
        <w:tab/>
      </w:r>
      <w:r w:rsidRPr="00A530E1">
        <w:tab/>
      </w:r>
      <w:r w:rsidR="00AB5CD9" w:rsidRPr="00A530E1">
        <w:t>Implementation of the Convention on the Rights of Pers</w:t>
      </w:r>
      <w:r w:rsidR="006C078B" w:rsidRPr="00A530E1">
        <w:t>ons with D</w:t>
      </w:r>
      <w:r w:rsidR="00AB5CD9" w:rsidRPr="00A530E1">
        <w:t>isabilities</w:t>
      </w:r>
    </w:p>
    <w:p w:rsidR="00AB5CD9" w:rsidRPr="00A530E1" w:rsidRDefault="00AB5CD9" w:rsidP="00AB5CD9">
      <w:pPr>
        <w:pStyle w:val="HChG"/>
      </w:pPr>
      <w:r w:rsidRPr="00A530E1">
        <w:tab/>
      </w:r>
      <w:r w:rsidRPr="00A530E1">
        <w:tab/>
        <w:t xml:space="preserve">Initial reports submitted by States parties under article 35 of the Convention </w:t>
      </w:r>
    </w:p>
    <w:p w:rsidR="00AB5CD9" w:rsidRPr="00A530E1" w:rsidRDefault="00573935" w:rsidP="00573935">
      <w:pPr>
        <w:pStyle w:val="HMG"/>
        <w:rPr>
          <w:sz w:val="20"/>
        </w:rPr>
      </w:pPr>
      <w:r w:rsidRPr="00A530E1">
        <w:tab/>
      </w:r>
      <w:r w:rsidRPr="00A530E1">
        <w:tab/>
      </w:r>
      <w:r w:rsidR="00AB5CD9" w:rsidRPr="00A530E1">
        <w:t>Peru</w:t>
      </w:r>
      <w:r w:rsidR="00AB5CD9" w:rsidRPr="00A530E1">
        <w:rPr>
          <w:rStyle w:val="FootnoteReference"/>
          <w:b w:val="0"/>
          <w:sz w:val="20"/>
          <w:vertAlign w:val="baseline"/>
        </w:rPr>
        <w:footnoteReference w:customMarkFollows="1" w:id="2"/>
        <w:t>*</w:t>
      </w:r>
    </w:p>
    <w:p w:rsidR="00550189" w:rsidRPr="00A530E1" w:rsidRDefault="00AB5CD9" w:rsidP="006C078B">
      <w:pPr>
        <w:pStyle w:val="SingleTxtG"/>
        <w:jc w:val="right"/>
      </w:pPr>
      <w:r w:rsidRPr="00A530E1">
        <w:t>[8 July 2010]</w:t>
      </w:r>
    </w:p>
    <w:p w:rsidR="007A483C" w:rsidRPr="00A530E1" w:rsidRDefault="00550189" w:rsidP="007A483C">
      <w:pPr>
        <w:spacing w:after="120"/>
        <w:rPr>
          <w:sz w:val="28"/>
        </w:rPr>
      </w:pPr>
      <w:r w:rsidRPr="00A530E1">
        <w:br w:type="page"/>
      </w:r>
      <w:r w:rsidR="007A483C" w:rsidRPr="00A530E1">
        <w:rPr>
          <w:sz w:val="28"/>
        </w:rPr>
        <w:t>Contents</w:t>
      </w:r>
    </w:p>
    <w:p w:rsidR="007A483C" w:rsidRPr="00A530E1" w:rsidRDefault="007A483C" w:rsidP="007A483C">
      <w:pPr>
        <w:tabs>
          <w:tab w:val="right" w:pos="8929"/>
          <w:tab w:val="right" w:pos="9638"/>
        </w:tabs>
        <w:spacing w:after="120"/>
        <w:ind w:left="283"/>
      </w:pPr>
      <w:r w:rsidRPr="00A530E1">
        <w:rPr>
          <w:i/>
          <w:sz w:val="18"/>
        </w:rPr>
        <w:tab/>
        <w:t>Paragraphs</w:t>
      </w:r>
      <w:r w:rsidRPr="00A530E1">
        <w:rPr>
          <w:i/>
          <w:sz w:val="18"/>
        </w:rPr>
        <w:tab/>
        <w:t>Page</w:t>
      </w:r>
    </w:p>
    <w:p w:rsidR="007A483C" w:rsidRPr="00A530E1" w:rsidRDefault="007A483C" w:rsidP="007A483C">
      <w:pPr>
        <w:tabs>
          <w:tab w:val="right" w:pos="850"/>
          <w:tab w:val="left" w:pos="1134"/>
          <w:tab w:val="left" w:pos="1559"/>
          <w:tab w:val="left" w:pos="1984"/>
          <w:tab w:val="left" w:leader="dot" w:pos="7654"/>
          <w:tab w:val="right" w:pos="8929"/>
          <w:tab w:val="right" w:pos="9638"/>
        </w:tabs>
        <w:spacing w:after="120"/>
      </w:pPr>
      <w:r w:rsidRPr="00A530E1">
        <w:tab/>
        <w:t>I.</w:t>
      </w:r>
      <w:r w:rsidRPr="00A530E1">
        <w:tab/>
        <w:t>Introduction</w:t>
      </w:r>
      <w:r w:rsidRPr="00A530E1">
        <w:tab/>
      </w:r>
      <w:r w:rsidRPr="00A530E1">
        <w:tab/>
        <w:t>1–8</w:t>
      </w:r>
      <w:r w:rsidRPr="00A530E1">
        <w:tab/>
      </w:r>
      <w:r w:rsidR="00146AC0" w:rsidRPr="00A530E1">
        <w:t>3</w:t>
      </w:r>
    </w:p>
    <w:p w:rsidR="007A483C" w:rsidRPr="00A530E1" w:rsidRDefault="007A483C" w:rsidP="007A483C">
      <w:pPr>
        <w:tabs>
          <w:tab w:val="right" w:pos="850"/>
          <w:tab w:val="left" w:pos="1134"/>
          <w:tab w:val="left" w:pos="1559"/>
          <w:tab w:val="left" w:pos="1984"/>
          <w:tab w:val="left" w:leader="dot" w:pos="7654"/>
          <w:tab w:val="right" w:pos="8929"/>
          <w:tab w:val="right" w:pos="9638"/>
        </w:tabs>
        <w:spacing w:after="120"/>
      </w:pPr>
      <w:r w:rsidRPr="00A530E1">
        <w:tab/>
        <w:t>II.</w:t>
      </w:r>
      <w:r w:rsidRPr="00A530E1">
        <w:tab/>
        <w:t>Achievements</w:t>
      </w:r>
      <w:r w:rsidRPr="00A530E1">
        <w:tab/>
      </w:r>
      <w:r w:rsidRPr="00A530E1">
        <w:tab/>
        <w:t>9–52</w:t>
      </w:r>
      <w:r w:rsidRPr="00A530E1">
        <w:tab/>
      </w:r>
      <w:r w:rsidR="00146AC0" w:rsidRPr="00A530E1">
        <w:t>4</w:t>
      </w:r>
    </w:p>
    <w:p w:rsidR="007A483C" w:rsidRPr="00A530E1" w:rsidRDefault="007A483C" w:rsidP="007A483C">
      <w:pPr>
        <w:tabs>
          <w:tab w:val="right" w:pos="850"/>
          <w:tab w:val="left" w:pos="1134"/>
          <w:tab w:val="left" w:pos="1559"/>
          <w:tab w:val="left" w:pos="1984"/>
          <w:tab w:val="left" w:leader="dot" w:pos="7654"/>
          <w:tab w:val="right" w:pos="8929"/>
          <w:tab w:val="right" w:pos="9638"/>
        </w:tabs>
        <w:spacing w:after="120"/>
      </w:pPr>
      <w:r w:rsidRPr="00A530E1">
        <w:tab/>
      </w:r>
      <w:r w:rsidRPr="00A530E1">
        <w:tab/>
        <w:t>A.</w:t>
      </w:r>
      <w:r w:rsidRPr="00A530E1">
        <w:tab/>
        <w:t>Guidelines for a new approach to disability issues based on the</w:t>
      </w:r>
      <w:r w:rsidRPr="00A530E1">
        <w:br/>
      </w:r>
      <w:r w:rsidRPr="00A530E1">
        <w:tab/>
      </w:r>
      <w:r w:rsidRPr="00A530E1">
        <w:tab/>
      </w:r>
      <w:r w:rsidRPr="00A530E1">
        <w:tab/>
      </w:r>
      <w:r w:rsidR="0032359A">
        <w:t>provisions of the Convention</w:t>
      </w:r>
      <w:r w:rsidR="0032359A">
        <w:tab/>
      </w:r>
      <w:r w:rsidR="0032359A">
        <w:tab/>
        <w:t>22–33</w:t>
      </w:r>
      <w:r w:rsidRPr="00A530E1">
        <w:tab/>
        <w:t>6</w:t>
      </w:r>
    </w:p>
    <w:p w:rsidR="007A483C" w:rsidRPr="00A530E1" w:rsidRDefault="007A483C" w:rsidP="007A483C">
      <w:pPr>
        <w:tabs>
          <w:tab w:val="right" w:pos="850"/>
          <w:tab w:val="left" w:pos="1134"/>
          <w:tab w:val="left" w:pos="1559"/>
          <w:tab w:val="left" w:pos="1984"/>
          <w:tab w:val="left" w:leader="dot" w:pos="7654"/>
          <w:tab w:val="right" w:pos="8929"/>
          <w:tab w:val="right" w:pos="9638"/>
        </w:tabs>
        <w:spacing w:after="120"/>
      </w:pPr>
      <w:r w:rsidRPr="00A530E1">
        <w:tab/>
      </w:r>
      <w:r w:rsidRPr="00A530E1">
        <w:tab/>
        <w:t>B.</w:t>
      </w:r>
      <w:r w:rsidRPr="00A530E1">
        <w:tab/>
        <w:t xml:space="preserve">Participation of civil society in the work of the multisectoral </w:t>
      </w:r>
      <w:r w:rsidRPr="00A530E1">
        <w:br/>
      </w:r>
      <w:r w:rsidRPr="00A530E1">
        <w:tab/>
      </w:r>
      <w:r w:rsidRPr="00A530E1">
        <w:tab/>
      </w:r>
      <w:r w:rsidRPr="00A530E1">
        <w:tab/>
        <w:t>commission responsible for implementing the Convention</w:t>
      </w:r>
      <w:r w:rsidRPr="00A530E1">
        <w:tab/>
      </w:r>
      <w:r w:rsidRPr="00A530E1">
        <w:tab/>
        <w:t>34–38</w:t>
      </w:r>
      <w:r w:rsidRPr="00A530E1">
        <w:tab/>
        <w:t>8</w:t>
      </w:r>
    </w:p>
    <w:p w:rsidR="007A483C" w:rsidRPr="00A530E1" w:rsidRDefault="007A483C" w:rsidP="007A483C">
      <w:pPr>
        <w:tabs>
          <w:tab w:val="right" w:pos="850"/>
          <w:tab w:val="left" w:pos="1134"/>
          <w:tab w:val="left" w:pos="1559"/>
          <w:tab w:val="left" w:pos="1984"/>
          <w:tab w:val="left" w:leader="dot" w:pos="7654"/>
          <w:tab w:val="right" w:pos="8929"/>
          <w:tab w:val="right" w:pos="9638"/>
        </w:tabs>
        <w:spacing w:after="120"/>
      </w:pPr>
      <w:r w:rsidRPr="00A530E1">
        <w:tab/>
      </w:r>
      <w:r w:rsidRPr="00A530E1">
        <w:tab/>
        <w:t>C.</w:t>
      </w:r>
      <w:r w:rsidRPr="00A530E1">
        <w:tab/>
        <w:t>Statistical review</w:t>
      </w:r>
      <w:r w:rsidRPr="00A530E1">
        <w:tab/>
      </w:r>
      <w:r w:rsidRPr="00A530E1">
        <w:tab/>
        <w:t>39–52</w:t>
      </w:r>
      <w:r w:rsidRPr="00A530E1">
        <w:tab/>
        <w:t>9</w:t>
      </w:r>
    </w:p>
    <w:p w:rsidR="007A483C" w:rsidRPr="00A530E1" w:rsidRDefault="007A483C" w:rsidP="007A483C">
      <w:pPr>
        <w:tabs>
          <w:tab w:val="right" w:pos="850"/>
          <w:tab w:val="left" w:pos="1134"/>
          <w:tab w:val="left" w:pos="1559"/>
          <w:tab w:val="left" w:pos="1984"/>
          <w:tab w:val="left" w:leader="dot" w:pos="7654"/>
          <w:tab w:val="right" w:pos="8929"/>
          <w:tab w:val="right" w:pos="9638"/>
        </w:tabs>
        <w:spacing w:after="120"/>
      </w:pPr>
      <w:r w:rsidRPr="00A530E1">
        <w:tab/>
        <w:t>III.</w:t>
      </w:r>
      <w:r w:rsidRPr="00A530E1">
        <w:tab/>
        <w:t>Specific information relating to the implementation, in law and in fact,</w:t>
      </w:r>
      <w:r w:rsidRPr="00A530E1">
        <w:br/>
      </w:r>
      <w:r w:rsidRPr="00A530E1">
        <w:tab/>
      </w:r>
      <w:r w:rsidRPr="00A530E1">
        <w:tab/>
        <w:t>of articles 1 to 33 of the Convention</w:t>
      </w:r>
      <w:r w:rsidRPr="00A530E1">
        <w:tab/>
      </w:r>
      <w:r w:rsidRPr="00A530E1">
        <w:tab/>
        <w:t>53–</w:t>
      </w:r>
      <w:r w:rsidR="009B2AB0" w:rsidRPr="00A530E1">
        <w:t>87</w:t>
      </w:r>
      <w:r w:rsidRPr="00A530E1">
        <w:tab/>
        <w:t>17</w:t>
      </w:r>
    </w:p>
    <w:p w:rsidR="007A483C" w:rsidRPr="00A530E1" w:rsidRDefault="007A483C" w:rsidP="007A483C">
      <w:pPr>
        <w:tabs>
          <w:tab w:val="right" w:pos="850"/>
          <w:tab w:val="left" w:pos="1134"/>
          <w:tab w:val="left" w:pos="1559"/>
          <w:tab w:val="left" w:pos="1984"/>
          <w:tab w:val="left" w:leader="dot" w:pos="7654"/>
          <w:tab w:val="right" w:pos="8929"/>
          <w:tab w:val="right" w:pos="9638"/>
        </w:tabs>
        <w:spacing w:after="120"/>
      </w:pPr>
      <w:r w:rsidRPr="00A530E1">
        <w:tab/>
      </w:r>
      <w:r w:rsidRPr="00A530E1">
        <w:tab/>
        <w:t>A.</w:t>
      </w:r>
      <w:r w:rsidRPr="00A530E1">
        <w:tab/>
        <w:t>Background</w:t>
      </w:r>
      <w:r w:rsidRPr="00A530E1">
        <w:tab/>
      </w:r>
      <w:r w:rsidRPr="00A530E1">
        <w:tab/>
        <w:t>53–57</w:t>
      </w:r>
      <w:r w:rsidRPr="00A530E1">
        <w:tab/>
        <w:t>17</w:t>
      </w:r>
    </w:p>
    <w:p w:rsidR="007A483C" w:rsidRPr="00A530E1" w:rsidRDefault="007A483C" w:rsidP="007A483C">
      <w:pPr>
        <w:tabs>
          <w:tab w:val="right" w:pos="850"/>
          <w:tab w:val="left" w:pos="1134"/>
          <w:tab w:val="left" w:pos="1559"/>
          <w:tab w:val="left" w:pos="1984"/>
          <w:tab w:val="left" w:leader="dot" w:pos="7654"/>
          <w:tab w:val="right" w:pos="8929"/>
          <w:tab w:val="right" w:pos="9638"/>
        </w:tabs>
        <w:spacing w:after="120"/>
      </w:pPr>
      <w:r w:rsidRPr="00A530E1">
        <w:tab/>
      </w:r>
      <w:r w:rsidRPr="00A530E1">
        <w:tab/>
        <w:t>B.</w:t>
      </w:r>
      <w:r w:rsidRPr="00A530E1">
        <w:tab/>
        <w:t>General provisions of the Convention (arts. 1 to 4)</w:t>
      </w:r>
      <w:r w:rsidRPr="00A530E1">
        <w:tab/>
      </w:r>
      <w:r w:rsidRPr="00A530E1">
        <w:tab/>
        <w:t>58</w:t>
      </w:r>
      <w:r w:rsidRPr="00A530E1">
        <w:tab/>
      </w:r>
      <w:r w:rsidR="0032359A">
        <w:t>19</w:t>
      </w:r>
    </w:p>
    <w:p w:rsidR="007A483C" w:rsidRPr="00A530E1" w:rsidRDefault="007A483C" w:rsidP="007A483C">
      <w:pPr>
        <w:tabs>
          <w:tab w:val="right" w:pos="850"/>
          <w:tab w:val="left" w:pos="1134"/>
          <w:tab w:val="left" w:pos="1559"/>
          <w:tab w:val="left" w:pos="1984"/>
          <w:tab w:val="left" w:leader="dot" w:pos="7654"/>
          <w:tab w:val="right" w:pos="8929"/>
          <w:tab w:val="right" w:pos="9638"/>
        </w:tabs>
        <w:spacing w:after="120"/>
      </w:pPr>
      <w:r w:rsidRPr="00A530E1">
        <w:tab/>
      </w:r>
      <w:r w:rsidRPr="00A530E1">
        <w:tab/>
        <w:t>C.</w:t>
      </w:r>
      <w:r w:rsidRPr="00A530E1">
        <w:tab/>
        <w:t>Specific rights</w:t>
      </w:r>
      <w:r w:rsidRPr="00A530E1">
        <w:tab/>
      </w:r>
      <w:r w:rsidRPr="00A530E1">
        <w:tab/>
        <w:t>59</w:t>
      </w:r>
      <w:r w:rsidR="007052E5" w:rsidRPr="00A530E1">
        <w:t>–82</w:t>
      </w:r>
      <w:r w:rsidRPr="00A530E1">
        <w:tab/>
      </w:r>
      <w:r w:rsidR="0032359A">
        <w:t>22</w:t>
      </w:r>
    </w:p>
    <w:p w:rsidR="007A483C" w:rsidRPr="00A530E1" w:rsidRDefault="007A483C" w:rsidP="007A483C">
      <w:pPr>
        <w:tabs>
          <w:tab w:val="right" w:pos="850"/>
          <w:tab w:val="left" w:pos="1134"/>
          <w:tab w:val="left" w:pos="1559"/>
          <w:tab w:val="left" w:pos="1984"/>
          <w:tab w:val="left" w:leader="dot" w:pos="7654"/>
          <w:tab w:val="right" w:pos="8929"/>
          <w:tab w:val="right" w:pos="9638"/>
        </w:tabs>
        <w:spacing w:after="120"/>
      </w:pPr>
      <w:r w:rsidRPr="00A530E1">
        <w:tab/>
      </w:r>
      <w:r w:rsidRPr="00A530E1">
        <w:tab/>
        <w:t>D.</w:t>
      </w:r>
      <w:r w:rsidRPr="00A530E1">
        <w:tab/>
        <w:t>The specific situation of boys, girls and mothers with disabilities</w:t>
      </w:r>
      <w:r w:rsidRPr="00A530E1">
        <w:tab/>
      </w:r>
      <w:r w:rsidRPr="00A530E1">
        <w:tab/>
      </w:r>
      <w:r w:rsidR="007052E5" w:rsidRPr="00A530E1">
        <w:t>83–84</w:t>
      </w:r>
      <w:r w:rsidRPr="00A530E1">
        <w:tab/>
      </w:r>
      <w:r w:rsidR="00643C46">
        <w:t>54</w:t>
      </w:r>
    </w:p>
    <w:p w:rsidR="007A483C" w:rsidRPr="00A530E1" w:rsidRDefault="007A483C" w:rsidP="007A483C">
      <w:pPr>
        <w:tabs>
          <w:tab w:val="right" w:pos="850"/>
          <w:tab w:val="left" w:pos="1134"/>
          <w:tab w:val="left" w:pos="1559"/>
          <w:tab w:val="left" w:pos="1984"/>
          <w:tab w:val="left" w:leader="dot" w:pos="7654"/>
          <w:tab w:val="right" w:pos="8929"/>
          <w:tab w:val="right" w:pos="9638"/>
        </w:tabs>
        <w:spacing w:after="120"/>
      </w:pPr>
      <w:r w:rsidRPr="00A530E1">
        <w:tab/>
      </w:r>
      <w:r w:rsidRPr="00A530E1">
        <w:tab/>
      </w:r>
      <w:r w:rsidR="007C1D33" w:rsidRPr="00A530E1">
        <w:t>E.</w:t>
      </w:r>
      <w:r w:rsidR="007C1D33" w:rsidRPr="00A530E1">
        <w:tab/>
      </w:r>
      <w:r w:rsidRPr="00A530E1">
        <w:t>Specific obligations</w:t>
      </w:r>
      <w:r w:rsidRPr="00A530E1">
        <w:tab/>
      </w:r>
      <w:r w:rsidRPr="00A530E1">
        <w:tab/>
      </w:r>
      <w:r w:rsidR="00643C46">
        <w:t>85–87</w:t>
      </w:r>
      <w:r w:rsidR="00643C46">
        <w:tab/>
        <w:t>56</w:t>
      </w:r>
    </w:p>
    <w:p w:rsidR="00054C10" w:rsidRPr="00A530E1" w:rsidRDefault="00054C10" w:rsidP="00573935">
      <w:pPr>
        <w:pStyle w:val="HChG"/>
        <w:tabs>
          <w:tab w:val="clear" w:pos="851"/>
        </w:tabs>
        <w:ind w:hanging="567"/>
      </w:pPr>
      <w:r w:rsidRPr="00A530E1">
        <w:br w:type="page"/>
        <w:t>I.</w:t>
      </w:r>
      <w:r w:rsidR="00530B91" w:rsidRPr="00A530E1">
        <w:tab/>
      </w:r>
      <w:r w:rsidRPr="00A530E1">
        <w:t>Introduction</w:t>
      </w:r>
    </w:p>
    <w:p w:rsidR="00054C10" w:rsidRPr="00A530E1" w:rsidRDefault="005765AD" w:rsidP="00054C10">
      <w:pPr>
        <w:pStyle w:val="SingleTxtG"/>
      </w:pPr>
      <w:r w:rsidRPr="00A530E1">
        <w:t>1.</w:t>
      </w:r>
      <w:r w:rsidRPr="00A530E1">
        <w:tab/>
      </w:r>
      <w:r w:rsidR="00054C10" w:rsidRPr="00A530E1">
        <w:t>The process of ensuring compliance with the Convention on the Rights of Persons with Disabilities and taking stock of achievements and challenges faced since its entry into force two years ago has provided us with an understanding of the true scale of the gap between what is and what ought to be. That contrast has pointed up the fact that the State is indeed more than just the central government, the executive branch, or the sum of the three branches of government established in the Constitution. Moreover, as the recently adopted Act on Offences and Penalties for Non-Compliance with the Omnibus Act on Persons with Disabilities and its Implementing Regulations has revealed, it is not simply by issuing decrees or taking particularly drastic measures that we change social and cultural norms or reduce discrimination.</w:t>
      </w:r>
    </w:p>
    <w:p w:rsidR="00054C10" w:rsidRPr="00A530E1" w:rsidRDefault="00054C10" w:rsidP="00054C10">
      <w:pPr>
        <w:pStyle w:val="SingleTxtG"/>
      </w:pPr>
      <w:r w:rsidRPr="00A530E1">
        <w:t xml:space="preserve">2. </w:t>
      </w:r>
      <w:r w:rsidR="005765AD" w:rsidRPr="00A530E1">
        <w:tab/>
      </w:r>
      <w:r w:rsidRPr="00A530E1">
        <w:t>We know that modern States face the major challenge of abandoning a futile, aid-based approach and moving towards sustainable development. Under these new circumstances, an increased public budget and its effective management play a decisive role in heightening the impact of public policies. We must therefore turn our attention to determining when and how strategic planning should be incorporated into the country</w:t>
      </w:r>
      <w:r w:rsidR="00F12839" w:rsidRPr="00A530E1">
        <w:t>’</w:t>
      </w:r>
      <w:r w:rsidRPr="00A530E1">
        <w:t>s social and economic affairs. There is a direct relationship between a stable economic climate and the quantity and quality of equal opportunities for persons with disabilities seeking to share in the rewards of economic development. In an enabling environment of this sort, States will also be better placed to meet their obligations under international human rights treaties.</w:t>
      </w:r>
    </w:p>
    <w:p w:rsidR="00054C10" w:rsidRPr="00A530E1" w:rsidRDefault="00054C10" w:rsidP="00054C10">
      <w:pPr>
        <w:pStyle w:val="SingleTxtG"/>
      </w:pPr>
      <w:r w:rsidRPr="00A530E1">
        <w:t xml:space="preserve">3. </w:t>
      </w:r>
      <w:r w:rsidR="005765AD" w:rsidRPr="00A530E1">
        <w:tab/>
      </w:r>
      <w:r w:rsidRPr="00A530E1">
        <w:t xml:space="preserve">This could be described as a </w:t>
      </w:r>
      <w:r w:rsidR="00F12839" w:rsidRPr="00A530E1">
        <w:t>“</w:t>
      </w:r>
      <w:r w:rsidRPr="00A530E1">
        <w:t>structural approach</w:t>
      </w:r>
      <w:r w:rsidR="00F12839" w:rsidRPr="00A530E1">
        <w:t>”</w:t>
      </w:r>
      <w:r w:rsidRPr="00A530E1">
        <w:t xml:space="preserve"> to disability issues; in the latest working papers published by public institutions on the subject, it is defined as adherence to the principles of a form of governance which involves de-politicizing social policies or, to be more precise, social programmes, and using them to mitigate poverty and to overcome apparently insignificant factors that turn out to be crucial in assessing the impact of social investments. Two examples will be used to support this argument and expand upon the reasons why the State should focus its main efforts on capacity-building.</w:t>
      </w:r>
    </w:p>
    <w:p w:rsidR="00054C10" w:rsidRPr="00A530E1" w:rsidRDefault="00054C10" w:rsidP="00054C10">
      <w:pPr>
        <w:pStyle w:val="SingleTxtG"/>
      </w:pPr>
      <w:r w:rsidRPr="00A530E1">
        <w:t xml:space="preserve">4. </w:t>
      </w:r>
      <w:r w:rsidR="005765AD" w:rsidRPr="00A530E1">
        <w:tab/>
      </w:r>
      <w:r w:rsidRPr="00A530E1">
        <w:t>The first example involves employment programmes designed to alleviate poverty. We are aware that, in the Andean highlands, there are heads of household who do not allow children who have a mild or moderate disability to work. This is another way that disability issues are kept out of sight. There are also still some cases in which families hide disabled children or family members.</w:t>
      </w:r>
    </w:p>
    <w:p w:rsidR="00054C10" w:rsidRPr="00A530E1" w:rsidRDefault="00054C10" w:rsidP="00054C10">
      <w:pPr>
        <w:pStyle w:val="SingleTxtG"/>
      </w:pPr>
      <w:r w:rsidRPr="00A530E1">
        <w:t xml:space="preserve">5. </w:t>
      </w:r>
      <w:r w:rsidR="005765AD" w:rsidRPr="00A530E1">
        <w:tab/>
      </w:r>
      <w:r w:rsidRPr="00A530E1">
        <w:t>The second example concerns the failure to meet quotas for persons with disabilities in education or employment owing to a lack of candidates having the necessary technical or professional qualifications; for example, the 5 per cent quota of university places reserved by law for persons with disabilities is not being filled.</w:t>
      </w:r>
    </w:p>
    <w:p w:rsidR="00054C10" w:rsidRPr="00A530E1" w:rsidRDefault="00054C10" w:rsidP="00054C10">
      <w:pPr>
        <w:pStyle w:val="SingleTxtG"/>
      </w:pPr>
      <w:r w:rsidRPr="00A530E1">
        <w:t xml:space="preserve">6. </w:t>
      </w:r>
      <w:r w:rsidR="005765AD" w:rsidRPr="00A530E1">
        <w:tab/>
      </w:r>
      <w:r w:rsidRPr="00A530E1">
        <w:t>These examples provide an indication of the level of responsibility borne by the Government, which has the task of implementing public policies and monitoring their impact, and by civil society. The Convention plays a key role in this regard by setting down legally binding obligations in operational and conceptual terms and clearly establishing the objective of preventing any further impairment of the human rights of persons with disabilities.</w:t>
      </w:r>
    </w:p>
    <w:p w:rsidR="00054C10" w:rsidRPr="00A530E1" w:rsidRDefault="00054C10" w:rsidP="00054C10">
      <w:pPr>
        <w:pStyle w:val="SingleTxtG"/>
      </w:pPr>
      <w:r w:rsidRPr="00A530E1">
        <w:t xml:space="preserve">7. </w:t>
      </w:r>
      <w:r w:rsidR="005765AD" w:rsidRPr="00A530E1">
        <w:tab/>
      </w:r>
      <w:r w:rsidRPr="00A530E1">
        <w:t>We believe that taking a realistic approach to the use of budgetary and planning measures to address the problems faced by persons with disabilities and their families is a way of showing respect for the dignity of persons with disabilities. We already have some experience in working on the development of technical agendas in conjunction with civil society organizations formed by persons with disabilities. As part of those initiatives, an effort is made to characterize the dynamics of countries such as Peru and to explain why it is important for actions and changes in attitudes to be the result of a dual approach.</w:t>
      </w:r>
    </w:p>
    <w:p w:rsidR="00054C10" w:rsidRPr="00A530E1" w:rsidRDefault="005765AD" w:rsidP="00054C10">
      <w:pPr>
        <w:pStyle w:val="SingleTxtG"/>
      </w:pPr>
      <w:r w:rsidRPr="00A530E1">
        <w:t>8.</w:t>
      </w:r>
      <w:r w:rsidRPr="00A530E1">
        <w:tab/>
      </w:r>
      <w:r w:rsidR="00054C10" w:rsidRPr="00A530E1">
        <w:t xml:space="preserve">In that regard, the lead agency in the field of disability has published a disability </w:t>
      </w:r>
      <w:r w:rsidR="00F12839" w:rsidRPr="00A530E1">
        <w:t>“</w:t>
      </w:r>
      <w:r w:rsidR="00054C10" w:rsidRPr="00A530E1">
        <w:t>workbook</w:t>
      </w:r>
      <w:r w:rsidR="00F12839" w:rsidRPr="00A530E1">
        <w:t>”</w:t>
      </w:r>
      <w:r w:rsidRPr="00A530E1">
        <w:rPr>
          <w:rStyle w:val="FootnoteReference"/>
        </w:rPr>
        <w:footnoteReference w:id="3"/>
      </w:r>
      <w:r w:rsidR="00054C10" w:rsidRPr="00A530E1">
        <w:t xml:space="preserve"> which sets out technical guidelines for addressing disability issues and, more generally, issues of concern to highly vulnerable populations from a strategic planning perspective, given the need to consolidate (harmonize) the widely varying array of plans in existence, which, in their current uncoordinated state, prevent the Government from increasing the effectiveness of its fiscal and social policy measures.</w:t>
      </w:r>
      <w:r w:rsidR="00CF5F69">
        <w:t xml:space="preserve"> </w:t>
      </w:r>
      <w:r w:rsidR="00CD3AEF" w:rsidRPr="00A530E1">
        <w:t xml:space="preserve">The document entitled </w:t>
      </w:r>
      <w:r w:rsidR="00F12839" w:rsidRPr="00A530E1">
        <w:t>“</w:t>
      </w:r>
      <w:r w:rsidR="00CD3AEF" w:rsidRPr="00A530E1">
        <w:t>Lineamientos para incorporar el tema discapacidad dentro del proceso de planificación de las entidades públicas</w:t>
      </w:r>
      <w:r w:rsidR="00F12839" w:rsidRPr="00A530E1">
        <w:t>”</w:t>
      </w:r>
      <w:r w:rsidR="00CD3AEF" w:rsidRPr="00A530E1">
        <w:t xml:space="preserve"> (guidelines for incorporating disability issues into public planning) is another practical guide on budgetary allocations for action in the field of disability.</w:t>
      </w:r>
    </w:p>
    <w:p w:rsidR="00054C10" w:rsidRPr="00A530E1" w:rsidRDefault="005765AD" w:rsidP="005765AD">
      <w:pPr>
        <w:pStyle w:val="HChG"/>
      </w:pPr>
      <w:r w:rsidRPr="00A530E1">
        <w:tab/>
      </w:r>
      <w:r w:rsidR="00054C10" w:rsidRPr="00A530E1">
        <w:t xml:space="preserve">II. </w:t>
      </w:r>
      <w:r w:rsidRPr="00A530E1">
        <w:tab/>
      </w:r>
      <w:r w:rsidR="00054C10" w:rsidRPr="00A530E1">
        <w:t>Achievements</w:t>
      </w:r>
    </w:p>
    <w:p w:rsidR="00054C10" w:rsidRPr="00A530E1" w:rsidRDefault="00054C10" w:rsidP="00054C10">
      <w:pPr>
        <w:pStyle w:val="SingleTxtG"/>
      </w:pPr>
      <w:r w:rsidRPr="00A530E1">
        <w:t xml:space="preserve">9. </w:t>
      </w:r>
      <w:r w:rsidR="00530B91" w:rsidRPr="00A530E1">
        <w:tab/>
      </w:r>
      <w:r w:rsidRPr="00A530E1">
        <w:t>Particular progress has been made in the last two years in engendering a stronger commitment at the sectoral level to a more inclusive society which fosters equal opportunities. In addition to public-sector efforts, the private sector has been working in the field of corporate responsibility, and civil society has organized efforts to promote and disseminate capacity- and skill-building initiatives for persons with disabilities.</w:t>
      </w:r>
    </w:p>
    <w:p w:rsidR="00054C10" w:rsidRPr="00A530E1" w:rsidRDefault="00054C10" w:rsidP="00054C10">
      <w:pPr>
        <w:pStyle w:val="SingleTxtG"/>
      </w:pPr>
      <w:r w:rsidRPr="00A530E1">
        <w:t xml:space="preserve">10. </w:t>
      </w:r>
      <w:r w:rsidR="00530B91" w:rsidRPr="00A530E1">
        <w:tab/>
      </w:r>
      <w:r w:rsidRPr="00A530E1">
        <w:t>Without neglecting the programming of activities provided for in their operational plans, and in spite of budgetary constraints, public institutions have backstopped the process of State reform by promoting and consolidating basic regulatory frameworks for the coordinated efforts required to implement public policies to support the social and economic integration of persons with disabilities, and particularly those living in extreme poverty.</w:t>
      </w:r>
    </w:p>
    <w:p w:rsidR="00054C10" w:rsidRPr="00A530E1" w:rsidRDefault="00CD3AEF" w:rsidP="00054C10">
      <w:pPr>
        <w:pStyle w:val="SingleTxtG"/>
      </w:pPr>
      <w:r w:rsidRPr="00A530E1">
        <w:t xml:space="preserve">11. </w:t>
      </w:r>
      <w:r w:rsidRPr="00A530E1">
        <w:tab/>
        <w:t>Examples of achievements in this field include the establishment of multisectoral co</w:t>
      </w:r>
      <w:r w:rsidR="006C078B" w:rsidRPr="00A530E1">
        <w:t>mmissions to implement the 2009–</w:t>
      </w:r>
      <w:r w:rsidRPr="00A530E1">
        <w:t>2018 Equal Opportunities Plan for Persons with Disabilities and the Convention on the Rights of Persons with Disabilities by Supreme Decrees Nos. 007</w:t>
      </w:r>
      <w:r w:rsidRPr="00A530E1">
        <w:noBreakHyphen/>
        <w:t xml:space="preserve">2008-MIMDES and 080-2008-PCM, respectively. </w:t>
      </w:r>
      <w:r w:rsidR="00054C10" w:rsidRPr="00A530E1">
        <w:t>These two commissions have supported the mainstreaming of disability issues and an inter-sectoral initiative to incorporate disability issues into the strategic budget planning process of the Ministry of Economic Affairs and Finance.</w:t>
      </w:r>
      <w:r w:rsidR="00CF5F69">
        <w:t xml:space="preserve"> </w:t>
      </w:r>
      <w:r w:rsidR="00054C10" w:rsidRPr="00A530E1">
        <w:t>The aim of this effort is to improve the monitoring of benchmarks and indicators, such as those adopted in the 200</w:t>
      </w:r>
      <w:r w:rsidR="006C078B" w:rsidRPr="00A530E1">
        <w:t>9–</w:t>
      </w:r>
      <w:r w:rsidR="00054C10" w:rsidRPr="00A530E1">
        <w:t>2018 Equal Opportunities Plan for Persons with Disabilities, in terms of both quantitative measurements and the design of baselines.</w:t>
      </w:r>
    </w:p>
    <w:p w:rsidR="00054C10" w:rsidRPr="00A530E1" w:rsidRDefault="00054C10" w:rsidP="00054C10">
      <w:pPr>
        <w:pStyle w:val="SingleTxtG"/>
      </w:pPr>
      <w:r w:rsidRPr="00A530E1">
        <w:t xml:space="preserve">12. </w:t>
      </w:r>
      <w:r w:rsidR="00530B91" w:rsidRPr="00A530E1">
        <w:tab/>
      </w:r>
      <w:r w:rsidRPr="00A530E1">
        <w:t>Another strategic achievement was the adoption of Act No. 29392 on Offences and Penalties for Non-Compliance with the Omnibus Act on Persons with Disabilities and its Implementing Regulations, which authorizes the Ministry of Women and Social Development to impose penalties for violations of laws that protect the labour, education and accessibility rights of persons with disabilities. The National Council for the Integration of Persons with Disabilities (CONADIS) has the specific task of assessing the complaints and preparing the case files that serve as a basis for decisions to impose penalties or fines, depending on whether the offence is classed as minor, serious or very serious.</w:t>
      </w:r>
    </w:p>
    <w:p w:rsidR="00054C10" w:rsidRPr="00A530E1" w:rsidRDefault="00054C10" w:rsidP="00054C10">
      <w:pPr>
        <w:pStyle w:val="SingleTxtG"/>
      </w:pPr>
      <w:r w:rsidRPr="00A530E1">
        <w:t xml:space="preserve">13. </w:t>
      </w:r>
      <w:r w:rsidR="00530B91" w:rsidRPr="00A530E1">
        <w:tab/>
      </w:r>
      <w:r w:rsidRPr="00A530E1">
        <w:t xml:space="preserve">However, preventive action and interventions in public and private institutions continue to form part of the CONADIS awareness-raising policy. </w:t>
      </w:r>
    </w:p>
    <w:p w:rsidR="00054C10" w:rsidRPr="00A530E1" w:rsidRDefault="0083715E" w:rsidP="00054C10">
      <w:pPr>
        <w:pStyle w:val="SingleTxtG"/>
      </w:pPr>
      <w:r w:rsidRPr="00A530E1">
        <w:t>14.</w:t>
      </w:r>
      <w:r w:rsidR="00530B91" w:rsidRPr="00A530E1">
        <w:tab/>
      </w:r>
      <w:r w:rsidR="00054C10" w:rsidRPr="00A530E1">
        <w:t xml:space="preserve">Another achievement has been the approval of the 40 per cent increase proposed by CONADIS in the 2010 public budget in order to fund the opening of 12 new regional coordination offices. These new offices, together with the 11 existing ones, will provide full coverage at national level, thereby fostering better coordination with regional and local governments, private agencies and organizations formed by persons with disabilities. </w:t>
      </w:r>
    </w:p>
    <w:p w:rsidR="00054C10" w:rsidRPr="00A530E1" w:rsidRDefault="00CD3AEF" w:rsidP="00054C10">
      <w:pPr>
        <w:pStyle w:val="SingleTxtG"/>
      </w:pPr>
      <w:r w:rsidRPr="00A530E1">
        <w:t xml:space="preserve">15. </w:t>
      </w:r>
      <w:r w:rsidRPr="00A530E1">
        <w:tab/>
        <w:t xml:space="preserve">The approval of this larger budget allocation also means that CONADIS must comply with the results-based budget requirements of the Ministry of Economic Affairs and Finance. </w:t>
      </w:r>
      <w:r w:rsidR="00054C10" w:rsidRPr="00A530E1">
        <w:t>It must therefore meet targets in four areas: the provision of biomechanical aids, the recognition and accreditation of persons with disabilities, the provision of technical assistance to regional and local governments in opening disability services offices, and capacity-building for local and regional officials.</w:t>
      </w:r>
    </w:p>
    <w:p w:rsidR="00054C10" w:rsidRPr="00A530E1" w:rsidRDefault="00054C10" w:rsidP="00054C10">
      <w:pPr>
        <w:pStyle w:val="SingleTxtG"/>
      </w:pPr>
      <w:r w:rsidRPr="00A530E1">
        <w:t xml:space="preserve">16. </w:t>
      </w:r>
      <w:r w:rsidR="00530B91" w:rsidRPr="00A530E1">
        <w:tab/>
      </w:r>
      <w:r w:rsidRPr="00A530E1">
        <w:t xml:space="preserve">The work of regional and local governments deserves special mention, given the influential role that they play in the decentralization process and in the effort to achieve tangible results as swiftly as possible. Under the current legislation, they are responsible for establishing and running disability services offices within the framework of their organizational structures. To that end, the public budget acts for 2009 and 2010 authorized the implementation of specific budget items. A national network of offices set up by 25 regional and 1,834 local (district and provincial) governments will provide direct services to the disabled. By the end of 2009, 8 regions and 328 municipalities had opened specialized advisory offices for persons with disabilities. </w:t>
      </w:r>
      <w:r w:rsidR="00CD3AEF" w:rsidRPr="00A530E1">
        <w:t xml:space="preserve">The multisectoral commissions established to monitor compliance with the Equal Opportunities Plan and the Convention are developing a public impact plan in this regard; this plan is closely linked to the training provided by the CONADIS technical secretariat to public officials and civil society organizations. </w:t>
      </w:r>
    </w:p>
    <w:p w:rsidR="00054C10" w:rsidRPr="00A530E1" w:rsidRDefault="00054C10" w:rsidP="00054C10">
      <w:pPr>
        <w:pStyle w:val="SingleTxtG"/>
      </w:pPr>
      <w:r w:rsidRPr="00A530E1">
        <w:t xml:space="preserve">17. </w:t>
      </w:r>
      <w:r w:rsidR="00530B91" w:rsidRPr="00A530E1">
        <w:tab/>
      </w:r>
      <w:r w:rsidRPr="00A530E1">
        <w:t>As part of its 2009</w:t>
      </w:r>
      <w:r w:rsidR="004A49BA" w:rsidRPr="00A530E1">
        <w:t>–</w:t>
      </w:r>
      <w:r w:rsidRPr="00A530E1">
        <w:t>2013 Strategic Institutional Plan, CONADIS (a public agency that reports to the Ministry of Women and Social Development) and the Special Commission on Disability of Congress have also been directly involved in developing legislation relating to issues that are of vital importance to persons with disabilities. Legislation of this type includes</w:t>
      </w:r>
      <w:r w:rsidR="00CF5F69">
        <w:t xml:space="preserve"> </w:t>
      </w:r>
      <w:r w:rsidRPr="00A530E1">
        <w:t>Supreme Decree No. 013-2009-MIMDES of 2009, which provides for the adoption of the implementing regulations for Act No. 28530 on the Promotion of Internet Access for Persons with Disabilities and the Adaptation of Public Internet Booths; a bill to amend articles 43, 241 and 274 of the Civil Code, which deal with the unequivocal expression by persons with disabilities of their wishes; and a draft supreme decree to replace Supreme Decree No. 129-95-EF, which deals with waivers of customs duties and other taxes on imports of special vehicles and prostheses for the exclusive use of persons with disabilities.</w:t>
      </w:r>
    </w:p>
    <w:p w:rsidR="00054C10" w:rsidRPr="00A530E1" w:rsidRDefault="00054C10" w:rsidP="00054C10">
      <w:pPr>
        <w:pStyle w:val="SingleTxtG"/>
      </w:pPr>
      <w:r w:rsidRPr="00A530E1">
        <w:t xml:space="preserve">18. </w:t>
      </w:r>
      <w:r w:rsidR="00530B91" w:rsidRPr="00A530E1">
        <w:tab/>
      </w:r>
      <w:r w:rsidRPr="00A530E1">
        <w:t>Ministerial Decision No. 498-2009-MIMDES establishing the Order of Merit for the Social Inclusion of Persons with Disabilities has made a decisive contribution to placing disability rights on the public agenda in Peru and promoting good practice with respect to persons with disabilities. Thus, campaigns are being implemented not only to identify violations and impose the relevant sanctions, but also to acknowledge individual efforts and public-spirited actions to promote a more inclusive society.</w:t>
      </w:r>
    </w:p>
    <w:p w:rsidR="00054C10" w:rsidRPr="00A530E1" w:rsidRDefault="00054C10" w:rsidP="00054C10">
      <w:pPr>
        <w:pStyle w:val="SingleTxtG"/>
      </w:pPr>
      <w:r w:rsidRPr="00A530E1">
        <w:t xml:space="preserve">19. </w:t>
      </w:r>
      <w:r w:rsidR="00530B91" w:rsidRPr="00A530E1">
        <w:tab/>
      </w:r>
      <w:r w:rsidRPr="00A530E1">
        <w:t>Other achievements under the Convention have included the adoption of Act No. 29478, which deals with the provision of facilities to enable persons with disabilities to vote; Act No. 29524 on Deafblind Persons, which recognizes deafblindness as a single disability; Administrative Decision No. 0269-2009 of the National Identity and C</w:t>
      </w:r>
      <w:r w:rsidR="006C078B" w:rsidRPr="00A530E1">
        <w:t xml:space="preserve">ivil Status Registry (RENIEC), </w:t>
      </w:r>
      <w:r w:rsidRPr="00A530E1">
        <w:t>which establishes that national identity documents are to be issued free of charge to persons with disabilities and provides for expedited procedures for persons, especially children, who do not have a birth certificate; and legislation on health-care provisions for members of the armed forces and police.</w:t>
      </w:r>
    </w:p>
    <w:p w:rsidR="00054C10" w:rsidRPr="00A530E1" w:rsidRDefault="00054C10" w:rsidP="00054C10">
      <w:pPr>
        <w:pStyle w:val="SingleTxtG"/>
      </w:pPr>
      <w:r w:rsidRPr="00A530E1">
        <w:t xml:space="preserve">20. </w:t>
      </w:r>
      <w:r w:rsidR="00530B91" w:rsidRPr="00A530E1">
        <w:tab/>
      </w:r>
      <w:r w:rsidRPr="00A530E1">
        <w:t xml:space="preserve">The above provides an outline of some of the achievements to date. </w:t>
      </w:r>
      <w:r w:rsidR="00CD3AEF" w:rsidRPr="00A530E1">
        <w:t xml:space="preserve">More detailed information is provided in the tables which have been included at the suggestions of the United Nations. </w:t>
      </w:r>
      <w:r w:rsidRPr="00A530E1">
        <w:t xml:space="preserve">These tables conform to the guidelines which were provided for their preparation and which were discussed at a special meeting of the </w:t>
      </w:r>
      <w:r w:rsidR="00CD3AEF" w:rsidRPr="00A530E1">
        <w:t>multisectoral</w:t>
      </w:r>
      <w:r w:rsidRPr="00A530E1">
        <w:t xml:space="preserve"> commission set up in 2008 to monitor the implementation of the Convention. At that meeting, a decision was taken to require ministries, autonomous bodies, and regional and provincial governments to provide information on progress made in implementing the Convention. The </w:t>
      </w:r>
      <w:r w:rsidR="00CD3AEF" w:rsidRPr="00A530E1">
        <w:t>multisectoral</w:t>
      </w:r>
      <w:r w:rsidRPr="00A530E1">
        <w:t xml:space="preserve"> commission also called on civil society to designate representatives of each of the recognized disabilities in Peru, and steps have been taken to address their main demands. (The 2009</w:t>
      </w:r>
      <w:r w:rsidR="006C078B" w:rsidRPr="00A530E1">
        <w:t>–</w:t>
      </w:r>
      <w:r w:rsidRPr="00A530E1">
        <w:t xml:space="preserve">2018 Equal Opportunities Plan for Persons with Disabilities was the outcome of public hearings organized by the Peruvian Government.) Civil society also has access to the media through, for example, the radio programme </w:t>
      </w:r>
      <w:r w:rsidR="00F12839" w:rsidRPr="00A530E1">
        <w:t>“</w:t>
      </w:r>
      <w:r w:rsidRPr="00A530E1">
        <w:t>Sin Barreras</w:t>
      </w:r>
      <w:r w:rsidR="00F12839" w:rsidRPr="00A530E1">
        <w:t>”</w:t>
      </w:r>
      <w:r w:rsidRPr="00A530E1">
        <w:t xml:space="preserve"> (without barriers), which is broadcast by a State-owned radio station; the new programme </w:t>
      </w:r>
      <w:r w:rsidR="00F12839" w:rsidRPr="00A530E1">
        <w:t>“</w:t>
      </w:r>
      <w:r w:rsidRPr="00A530E1">
        <w:t>Fortaleciendo Capacidades</w:t>
      </w:r>
      <w:r w:rsidR="00F12839" w:rsidRPr="00A530E1">
        <w:t>”</w:t>
      </w:r>
      <w:r w:rsidRPr="00A530E1">
        <w:t xml:space="preserve"> (capacity-building) (www.radiobacan.com/bacan_tv.php); forums on the website of CONADIS, which is the lead agency in the field of disability; and the online survey on the website of the Special Commission on Disability of Congress.</w:t>
      </w:r>
    </w:p>
    <w:p w:rsidR="00054C10" w:rsidRPr="00A530E1" w:rsidRDefault="00054C10" w:rsidP="00054C10">
      <w:pPr>
        <w:pStyle w:val="SingleTxtG"/>
      </w:pPr>
      <w:r w:rsidRPr="00A530E1">
        <w:t xml:space="preserve">21. </w:t>
      </w:r>
      <w:r w:rsidR="00530B91" w:rsidRPr="00A530E1">
        <w:tab/>
      </w:r>
      <w:r w:rsidRPr="00A530E1">
        <w:t>This year, with the support of the United Nations Development Programme (UNDP), widely attended workshops and public hearings on issues relating to the human rights of persons with disabilities within the framework of the Convention were held in 14 regions of the country. These events were attended by experts from the Special Commission on Disability of Congress and CONADIS, who took note of the main contributions and concerns expressed by civil society. That information has been incorporated into this document.</w:t>
      </w:r>
    </w:p>
    <w:p w:rsidR="00054C10" w:rsidRPr="00A530E1" w:rsidRDefault="00530B91" w:rsidP="00530B91">
      <w:pPr>
        <w:pStyle w:val="H1G"/>
      </w:pPr>
      <w:r w:rsidRPr="00A530E1">
        <w:tab/>
      </w:r>
      <w:r w:rsidR="00054C10" w:rsidRPr="00A530E1">
        <w:t>A.</w:t>
      </w:r>
      <w:r w:rsidRPr="00A530E1">
        <w:tab/>
      </w:r>
      <w:r w:rsidR="00054C10" w:rsidRPr="00A530E1">
        <w:t>Guidelines for a new approach to disability issues based on the provisions of the Convention</w:t>
      </w:r>
    </w:p>
    <w:p w:rsidR="00054C10" w:rsidRPr="00A530E1" w:rsidRDefault="00054C10" w:rsidP="00054C10">
      <w:pPr>
        <w:pStyle w:val="SingleTxtG"/>
      </w:pPr>
      <w:r w:rsidRPr="00A530E1">
        <w:t xml:space="preserve">22. </w:t>
      </w:r>
      <w:r w:rsidR="00530B91" w:rsidRPr="00A530E1">
        <w:tab/>
      </w:r>
      <w:r w:rsidRPr="00A530E1">
        <w:t xml:space="preserve">During the last two years, in addition to its efforts to work effectively in order to reach its targets and achieve a high level of budget performance, the lead agency in the field of disability in Peru, CONADIS, has focused on assessing developments in the field of disability over the last decade and gauging the outlook for the future. The study is directly linked to new aspects of social policy, as well as to other elements which have been taking on greater significance in the development and implementation of public policies. </w:t>
      </w:r>
    </w:p>
    <w:p w:rsidR="00054C10" w:rsidRPr="00A530E1" w:rsidRDefault="00054C10" w:rsidP="00054C10">
      <w:pPr>
        <w:pStyle w:val="SingleTxtG"/>
      </w:pPr>
      <w:r w:rsidRPr="00A530E1">
        <w:t xml:space="preserve">23. </w:t>
      </w:r>
      <w:r w:rsidR="00530B91" w:rsidRPr="00A530E1">
        <w:tab/>
      </w:r>
      <w:r w:rsidRPr="00A530E1">
        <w:t>One example would be the increasing importance of statistics, a field in which there are currently no baselines for disability that would allow us to accurately measure the situation of persons with disabilities in Peru. As yet we also have not defined base years for use in monitoring essential legislation more closely (e.g., Supreme Decree No. 027-2007-PCM, which sets out binding domestic policies in the public sector). More accurate data are also needed in order to set sectoral priorities</w:t>
      </w:r>
      <w:r w:rsidR="006C078B" w:rsidRPr="00A530E1">
        <w:t xml:space="preserve"> for implementation of the 2009–</w:t>
      </w:r>
      <w:r w:rsidRPr="00A530E1">
        <w:t>2018 Equal Opportunities for Persons with Disabilities Plan and the Convention on the Rights of Persons with Disabilities. In addition, CONADIS is working with its Ecuadorian counterpart on a pilot project to create a baseline for the border region between Peru and Ecuador under the Peru-Ecuador Bilateral Good Neighbour Agreement.</w:t>
      </w:r>
    </w:p>
    <w:p w:rsidR="00054C10" w:rsidRPr="00A530E1" w:rsidRDefault="00054C10" w:rsidP="00054C10">
      <w:pPr>
        <w:pStyle w:val="SingleTxtG"/>
      </w:pPr>
      <w:r w:rsidRPr="00A530E1">
        <w:t xml:space="preserve">24. </w:t>
      </w:r>
      <w:r w:rsidR="00530B91" w:rsidRPr="00A530E1">
        <w:tab/>
      </w:r>
      <w:r w:rsidRPr="00A530E1">
        <w:t xml:space="preserve">National plans are being developed in line with economic policies under Plan Peru 2021, which was prepared by the National Centre for Strategic Planning (CEPLAN). Incorporating disability issues into that context will involve directly addressing the issue of sectoral mainstreaming and budgetary allocations. At the same time, it will also entail tying in the human rights problems faced by persons with disabilities with national strategies such as the </w:t>
      </w:r>
      <w:r w:rsidR="00F12839" w:rsidRPr="00A530E1">
        <w:t>“</w:t>
      </w:r>
      <w:r w:rsidRPr="00A530E1">
        <w:t>Crecer Juntos</w:t>
      </w:r>
      <w:r w:rsidR="00F12839" w:rsidRPr="00A530E1">
        <w:t>”</w:t>
      </w:r>
      <w:r w:rsidRPr="00A530E1">
        <w:t xml:space="preserve"> (let</w:t>
      </w:r>
      <w:r w:rsidR="00F12839" w:rsidRPr="00A530E1">
        <w:t>’</w:t>
      </w:r>
      <w:r w:rsidRPr="00A530E1">
        <w:t xml:space="preserve">s grow together) social programme and strategic budget programmes, such as the </w:t>
      </w:r>
      <w:r w:rsidR="00F12839" w:rsidRPr="00A530E1">
        <w:t>“</w:t>
      </w:r>
      <w:r w:rsidRPr="00A530E1">
        <w:t>Articulación Nutricional</w:t>
      </w:r>
      <w:r w:rsidR="00F12839" w:rsidRPr="00A530E1">
        <w:t>”</w:t>
      </w:r>
      <w:r w:rsidRPr="00A530E1">
        <w:t xml:space="preserve"> (food network) programme.</w:t>
      </w:r>
    </w:p>
    <w:p w:rsidR="00054C10" w:rsidRPr="00A530E1" w:rsidRDefault="00054C10" w:rsidP="00054C10">
      <w:pPr>
        <w:pStyle w:val="SingleTxtG"/>
      </w:pPr>
      <w:r w:rsidRPr="00A530E1">
        <w:t xml:space="preserve">25. </w:t>
      </w:r>
      <w:r w:rsidR="00530B91" w:rsidRPr="00A530E1">
        <w:tab/>
      </w:r>
      <w:r w:rsidRPr="00A530E1">
        <w:t>Platforms for dialogue have also been developed. One example is the National Anti-Poverty Round Table, whose 579 forums (26 at the regional level, 146 at the provincial level, 400 at the district level and 7 in various population centres) can complement the work being done with regional and local governments.</w:t>
      </w:r>
    </w:p>
    <w:p w:rsidR="00054C10" w:rsidRPr="00A530E1" w:rsidRDefault="00054C10" w:rsidP="00054C10">
      <w:pPr>
        <w:pStyle w:val="SingleTxtG"/>
      </w:pPr>
      <w:r w:rsidRPr="00A530E1">
        <w:t xml:space="preserve">26. </w:t>
      </w:r>
      <w:r w:rsidR="00530B91" w:rsidRPr="00A530E1">
        <w:tab/>
      </w:r>
      <w:r w:rsidRPr="00A530E1">
        <w:t>These inputs for the redesign of a baseline assessment of developments in the field of disability are part of the critical analysis of the available information, which includes the data contained in the draft CEPLAN Plan Peru 2021 in tables such as the following:</w:t>
      </w:r>
    </w:p>
    <w:p w:rsidR="00054C10" w:rsidRPr="00A530E1" w:rsidRDefault="00530B91" w:rsidP="00530B91">
      <w:pPr>
        <w:pStyle w:val="H23G"/>
      </w:pPr>
      <w:r w:rsidRPr="00A530E1">
        <w:tab/>
      </w:r>
      <w:r w:rsidRPr="00A530E1">
        <w:tab/>
      </w:r>
      <w:r w:rsidR="00054C10" w:rsidRPr="00A530E1">
        <w:t>Educational Coverage of the Disabled Population in Peru</w:t>
      </w:r>
      <w:r w:rsidRPr="00A530E1">
        <w:br/>
      </w:r>
      <w:r w:rsidR="00054C10" w:rsidRPr="00A530E1">
        <w:rPr>
          <w:b w:val="0"/>
          <w:sz w:val="16"/>
          <w:szCs w:val="16"/>
        </w:rPr>
        <w:t>(In percentages, by age group)</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66"/>
        <w:gridCol w:w="900"/>
        <w:gridCol w:w="900"/>
        <w:gridCol w:w="900"/>
        <w:gridCol w:w="800"/>
        <w:gridCol w:w="800"/>
        <w:gridCol w:w="804"/>
      </w:tblGrid>
      <w:tr w:rsidR="00054C10" w:rsidRPr="00A530E1" w:rsidTr="00602D83">
        <w:tblPrEx>
          <w:tblCellMar>
            <w:top w:w="0" w:type="dxa"/>
            <w:bottom w:w="0" w:type="dxa"/>
          </w:tblCellMar>
        </w:tblPrEx>
        <w:trPr>
          <w:trHeight w:val="240"/>
          <w:tblHeader/>
        </w:trPr>
        <w:tc>
          <w:tcPr>
            <w:tcW w:w="2266" w:type="dxa"/>
            <w:vMerge w:val="restart"/>
            <w:tcBorders>
              <w:top w:val="single" w:sz="4" w:space="0" w:color="auto"/>
              <w:bottom w:val="single" w:sz="12" w:space="0" w:color="auto"/>
            </w:tcBorders>
            <w:shd w:val="clear" w:color="auto" w:fill="auto"/>
            <w:vAlign w:val="bottom"/>
          </w:tcPr>
          <w:p w:rsidR="00054C10" w:rsidRPr="00A530E1" w:rsidRDefault="00054C10" w:rsidP="00222F37">
            <w:pPr>
              <w:pStyle w:val="SingleTxtG"/>
              <w:suppressAutoHyphens w:val="0"/>
              <w:spacing w:before="80" w:after="80" w:line="200" w:lineRule="exact"/>
              <w:ind w:left="0" w:right="113"/>
              <w:jc w:val="left"/>
              <w:rPr>
                <w:i/>
                <w:sz w:val="16"/>
              </w:rPr>
            </w:pPr>
          </w:p>
        </w:tc>
        <w:tc>
          <w:tcPr>
            <w:tcW w:w="1800" w:type="dxa"/>
            <w:gridSpan w:val="2"/>
            <w:tcBorders>
              <w:top w:val="single" w:sz="4" w:space="0" w:color="auto"/>
              <w:bottom w:val="single" w:sz="4" w:space="0" w:color="auto"/>
              <w:right w:val="single" w:sz="24" w:space="0" w:color="FFFFFF"/>
            </w:tcBorders>
            <w:shd w:val="clear" w:color="auto" w:fill="auto"/>
            <w:vAlign w:val="bottom"/>
          </w:tcPr>
          <w:p w:rsidR="00054C10" w:rsidRPr="00A530E1" w:rsidRDefault="00054C10" w:rsidP="00222F37">
            <w:pPr>
              <w:pStyle w:val="SingleTxtG"/>
              <w:suppressAutoHyphens w:val="0"/>
              <w:spacing w:before="80" w:after="80" w:line="200" w:lineRule="exact"/>
              <w:ind w:left="0" w:right="113"/>
              <w:jc w:val="center"/>
              <w:rPr>
                <w:i/>
                <w:sz w:val="16"/>
              </w:rPr>
            </w:pPr>
            <w:r w:rsidRPr="00A530E1">
              <w:rPr>
                <w:i/>
                <w:sz w:val="16"/>
              </w:rPr>
              <w:t>Ages 3-5</w:t>
            </w:r>
          </w:p>
        </w:tc>
        <w:tc>
          <w:tcPr>
            <w:tcW w:w="1700"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054C10" w:rsidRPr="00A530E1" w:rsidRDefault="00054C10" w:rsidP="00222F37">
            <w:pPr>
              <w:pStyle w:val="SingleTxtG"/>
              <w:suppressAutoHyphens w:val="0"/>
              <w:spacing w:before="80" w:after="80" w:line="200" w:lineRule="exact"/>
              <w:ind w:left="0" w:right="113"/>
              <w:jc w:val="center"/>
              <w:rPr>
                <w:i/>
                <w:sz w:val="16"/>
              </w:rPr>
            </w:pPr>
            <w:r w:rsidRPr="00A530E1">
              <w:rPr>
                <w:i/>
                <w:sz w:val="16"/>
              </w:rPr>
              <w:t>Ages 6-11</w:t>
            </w:r>
          </w:p>
        </w:tc>
        <w:tc>
          <w:tcPr>
            <w:tcW w:w="1604" w:type="dxa"/>
            <w:gridSpan w:val="2"/>
            <w:tcBorders>
              <w:top w:val="single" w:sz="4" w:space="0" w:color="auto"/>
              <w:left w:val="single" w:sz="24" w:space="0" w:color="FFFFFF"/>
              <w:bottom w:val="single" w:sz="4" w:space="0" w:color="auto"/>
            </w:tcBorders>
            <w:shd w:val="clear" w:color="auto" w:fill="auto"/>
            <w:vAlign w:val="bottom"/>
          </w:tcPr>
          <w:p w:rsidR="00054C10" w:rsidRPr="00A530E1" w:rsidRDefault="00054C10" w:rsidP="00222F37">
            <w:pPr>
              <w:pStyle w:val="SingleTxtG"/>
              <w:suppressAutoHyphens w:val="0"/>
              <w:spacing w:before="80" w:after="80" w:line="200" w:lineRule="exact"/>
              <w:ind w:left="0" w:right="113"/>
              <w:jc w:val="center"/>
              <w:rPr>
                <w:i/>
                <w:sz w:val="16"/>
              </w:rPr>
            </w:pPr>
            <w:r w:rsidRPr="00A530E1">
              <w:rPr>
                <w:i/>
                <w:sz w:val="16"/>
              </w:rPr>
              <w:t>Ages 12-16</w:t>
            </w:r>
          </w:p>
        </w:tc>
      </w:tr>
      <w:tr w:rsidR="00054C10" w:rsidRPr="00A530E1" w:rsidTr="00602D83">
        <w:tblPrEx>
          <w:tblCellMar>
            <w:top w:w="0" w:type="dxa"/>
            <w:bottom w:w="0" w:type="dxa"/>
          </w:tblCellMar>
        </w:tblPrEx>
        <w:trPr>
          <w:trHeight w:val="240"/>
        </w:trPr>
        <w:tc>
          <w:tcPr>
            <w:tcW w:w="2266" w:type="dxa"/>
            <w:vMerge/>
            <w:tcBorders>
              <w:top w:val="single" w:sz="12" w:space="0" w:color="auto"/>
              <w:bottom w:val="single" w:sz="12" w:space="0" w:color="auto"/>
            </w:tcBorders>
            <w:shd w:val="clear" w:color="auto" w:fill="auto"/>
            <w:vAlign w:val="bottom"/>
          </w:tcPr>
          <w:p w:rsidR="00054C10" w:rsidRPr="00A530E1" w:rsidRDefault="00054C10" w:rsidP="00222F37">
            <w:pPr>
              <w:pStyle w:val="SingleTxtG"/>
              <w:suppressAutoHyphens w:val="0"/>
              <w:spacing w:before="40" w:after="40" w:line="220" w:lineRule="exact"/>
              <w:ind w:left="0" w:right="113"/>
              <w:jc w:val="left"/>
              <w:rPr>
                <w:sz w:val="18"/>
              </w:rPr>
            </w:pPr>
          </w:p>
        </w:tc>
        <w:tc>
          <w:tcPr>
            <w:tcW w:w="900" w:type="dxa"/>
            <w:tcBorders>
              <w:top w:val="single" w:sz="4" w:space="0" w:color="auto"/>
              <w:bottom w:val="single" w:sz="12" w:space="0" w:color="auto"/>
            </w:tcBorders>
            <w:shd w:val="clear" w:color="auto" w:fill="auto"/>
            <w:vAlign w:val="bottom"/>
          </w:tcPr>
          <w:p w:rsidR="00054C10" w:rsidRPr="00A530E1" w:rsidRDefault="00054C10" w:rsidP="00222F37">
            <w:pPr>
              <w:pStyle w:val="SingleTxtG"/>
              <w:suppressAutoHyphens w:val="0"/>
              <w:spacing w:before="80" w:after="80" w:line="220" w:lineRule="exact"/>
              <w:ind w:left="0" w:right="113"/>
              <w:jc w:val="right"/>
              <w:rPr>
                <w:i/>
                <w:sz w:val="16"/>
                <w:szCs w:val="16"/>
              </w:rPr>
            </w:pPr>
            <w:r w:rsidRPr="00A530E1">
              <w:rPr>
                <w:i/>
                <w:sz w:val="16"/>
                <w:szCs w:val="16"/>
              </w:rPr>
              <w:t>1993</w:t>
            </w:r>
          </w:p>
        </w:tc>
        <w:tc>
          <w:tcPr>
            <w:tcW w:w="900" w:type="dxa"/>
            <w:tcBorders>
              <w:top w:val="single" w:sz="4" w:space="0" w:color="auto"/>
              <w:bottom w:val="single" w:sz="12" w:space="0" w:color="auto"/>
              <w:right w:val="single" w:sz="24" w:space="0" w:color="FFFFFF"/>
            </w:tcBorders>
            <w:shd w:val="clear" w:color="auto" w:fill="auto"/>
            <w:vAlign w:val="bottom"/>
          </w:tcPr>
          <w:p w:rsidR="00054C10" w:rsidRPr="00A530E1" w:rsidRDefault="00054C10" w:rsidP="00222F37">
            <w:pPr>
              <w:pStyle w:val="SingleTxtG"/>
              <w:suppressAutoHyphens w:val="0"/>
              <w:spacing w:before="80" w:after="80" w:line="220" w:lineRule="exact"/>
              <w:ind w:left="0" w:right="113"/>
              <w:jc w:val="right"/>
              <w:rPr>
                <w:i/>
                <w:sz w:val="16"/>
                <w:szCs w:val="16"/>
              </w:rPr>
            </w:pPr>
            <w:r w:rsidRPr="00A530E1">
              <w:rPr>
                <w:i/>
                <w:sz w:val="16"/>
                <w:szCs w:val="16"/>
              </w:rPr>
              <w:t>2006</w:t>
            </w:r>
          </w:p>
        </w:tc>
        <w:tc>
          <w:tcPr>
            <w:tcW w:w="900" w:type="dxa"/>
            <w:tcBorders>
              <w:top w:val="single" w:sz="4" w:space="0" w:color="auto"/>
              <w:left w:val="single" w:sz="24" w:space="0" w:color="FFFFFF"/>
              <w:bottom w:val="single" w:sz="12" w:space="0" w:color="auto"/>
            </w:tcBorders>
            <w:shd w:val="clear" w:color="auto" w:fill="auto"/>
            <w:vAlign w:val="bottom"/>
          </w:tcPr>
          <w:p w:rsidR="00054C10" w:rsidRPr="00A530E1" w:rsidRDefault="00054C10" w:rsidP="00222F37">
            <w:pPr>
              <w:pStyle w:val="SingleTxtG"/>
              <w:suppressAutoHyphens w:val="0"/>
              <w:spacing w:before="80" w:after="80" w:line="220" w:lineRule="exact"/>
              <w:ind w:left="0" w:right="113"/>
              <w:jc w:val="right"/>
              <w:rPr>
                <w:i/>
                <w:sz w:val="16"/>
                <w:szCs w:val="16"/>
              </w:rPr>
            </w:pPr>
            <w:r w:rsidRPr="00A530E1">
              <w:rPr>
                <w:i/>
                <w:sz w:val="16"/>
                <w:szCs w:val="16"/>
              </w:rPr>
              <w:t>1993</w:t>
            </w:r>
          </w:p>
        </w:tc>
        <w:tc>
          <w:tcPr>
            <w:tcW w:w="800" w:type="dxa"/>
            <w:tcBorders>
              <w:top w:val="single" w:sz="4" w:space="0" w:color="auto"/>
              <w:bottom w:val="single" w:sz="12" w:space="0" w:color="auto"/>
              <w:right w:val="single" w:sz="24" w:space="0" w:color="FFFFFF"/>
            </w:tcBorders>
            <w:shd w:val="clear" w:color="auto" w:fill="auto"/>
            <w:vAlign w:val="bottom"/>
          </w:tcPr>
          <w:p w:rsidR="00054C10" w:rsidRPr="00A530E1" w:rsidRDefault="00054C10" w:rsidP="00222F37">
            <w:pPr>
              <w:pStyle w:val="SingleTxtG"/>
              <w:suppressAutoHyphens w:val="0"/>
              <w:spacing w:before="80" w:after="80" w:line="220" w:lineRule="exact"/>
              <w:ind w:left="0" w:right="113"/>
              <w:jc w:val="right"/>
              <w:rPr>
                <w:i/>
                <w:sz w:val="16"/>
                <w:szCs w:val="16"/>
              </w:rPr>
            </w:pPr>
            <w:r w:rsidRPr="00A530E1">
              <w:rPr>
                <w:i/>
                <w:sz w:val="16"/>
                <w:szCs w:val="16"/>
              </w:rPr>
              <w:t>2006</w:t>
            </w:r>
          </w:p>
        </w:tc>
        <w:tc>
          <w:tcPr>
            <w:tcW w:w="800" w:type="dxa"/>
            <w:tcBorders>
              <w:top w:val="single" w:sz="4" w:space="0" w:color="auto"/>
              <w:left w:val="single" w:sz="24" w:space="0" w:color="FFFFFF"/>
              <w:bottom w:val="single" w:sz="12" w:space="0" w:color="auto"/>
            </w:tcBorders>
            <w:shd w:val="clear" w:color="auto" w:fill="auto"/>
            <w:vAlign w:val="bottom"/>
          </w:tcPr>
          <w:p w:rsidR="00054C10" w:rsidRPr="00A530E1" w:rsidRDefault="00054C10" w:rsidP="00222F37">
            <w:pPr>
              <w:pStyle w:val="SingleTxtG"/>
              <w:suppressAutoHyphens w:val="0"/>
              <w:spacing w:before="80" w:after="80" w:line="220" w:lineRule="exact"/>
              <w:ind w:left="0" w:right="113"/>
              <w:jc w:val="right"/>
              <w:rPr>
                <w:i/>
                <w:sz w:val="16"/>
                <w:szCs w:val="16"/>
              </w:rPr>
            </w:pPr>
            <w:r w:rsidRPr="00A530E1">
              <w:rPr>
                <w:i/>
                <w:sz w:val="16"/>
                <w:szCs w:val="16"/>
              </w:rPr>
              <w:t>1993</w:t>
            </w:r>
          </w:p>
        </w:tc>
        <w:tc>
          <w:tcPr>
            <w:tcW w:w="804" w:type="dxa"/>
            <w:tcBorders>
              <w:top w:val="single" w:sz="4" w:space="0" w:color="auto"/>
              <w:bottom w:val="single" w:sz="12" w:space="0" w:color="auto"/>
            </w:tcBorders>
            <w:shd w:val="clear" w:color="auto" w:fill="auto"/>
            <w:vAlign w:val="bottom"/>
          </w:tcPr>
          <w:p w:rsidR="00054C10" w:rsidRPr="00A530E1" w:rsidRDefault="00054C10" w:rsidP="00222F37">
            <w:pPr>
              <w:pStyle w:val="SingleTxtG"/>
              <w:suppressAutoHyphens w:val="0"/>
              <w:spacing w:before="80" w:after="80" w:line="220" w:lineRule="exact"/>
              <w:ind w:left="0" w:right="113"/>
              <w:jc w:val="right"/>
              <w:rPr>
                <w:i/>
                <w:sz w:val="16"/>
                <w:szCs w:val="16"/>
              </w:rPr>
            </w:pPr>
            <w:r w:rsidRPr="00A530E1">
              <w:rPr>
                <w:i/>
                <w:sz w:val="16"/>
                <w:szCs w:val="16"/>
              </w:rPr>
              <w:t>2006</w:t>
            </w:r>
          </w:p>
        </w:tc>
      </w:tr>
      <w:tr w:rsidR="00054C10" w:rsidRPr="00A530E1" w:rsidTr="007D0163">
        <w:tblPrEx>
          <w:tblCellMar>
            <w:top w:w="0" w:type="dxa"/>
            <w:bottom w:w="0" w:type="dxa"/>
          </w:tblCellMar>
        </w:tblPrEx>
        <w:trPr>
          <w:trHeight w:val="240"/>
        </w:trPr>
        <w:tc>
          <w:tcPr>
            <w:tcW w:w="2266" w:type="dxa"/>
            <w:tcBorders>
              <w:top w:val="single" w:sz="12" w:space="0" w:color="auto"/>
            </w:tcBorders>
            <w:shd w:val="clear" w:color="auto" w:fill="auto"/>
          </w:tcPr>
          <w:p w:rsidR="00054C10" w:rsidRPr="00A530E1" w:rsidRDefault="00054C10" w:rsidP="00222F37">
            <w:pPr>
              <w:pStyle w:val="SingleTxtG"/>
              <w:suppressAutoHyphens w:val="0"/>
              <w:spacing w:before="40" w:after="40" w:line="220" w:lineRule="exact"/>
              <w:ind w:left="0" w:right="113"/>
              <w:jc w:val="left"/>
              <w:rPr>
                <w:sz w:val="18"/>
              </w:rPr>
            </w:pPr>
            <w:r w:rsidRPr="00A530E1">
              <w:rPr>
                <w:sz w:val="18"/>
              </w:rPr>
              <w:t>Peru</w:t>
            </w:r>
          </w:p>
        </w:tc>
        <w:tc>
          <w:tcPr>
            <w:tcW w:w="900" w:type="dxa"/>
            <w:tcBorders>
              <w:top w:val="single" w:sz="12" w:space="0" w:color="auto"/>
            </w:tcBorders>
            <w:shd w:val="clear" w:color="auto" w:fill="auto"/>
            <w:vAlign w:val="bottom"/>
          </w:tcPr>
          <w:p w:rsidR="00054C10" w:rsidRPr="00A530E1" w:rsidRDefault="006C078B" w:rsidP="00222F37">
            <w:pPr>
              <w:pStyle w:val="SingleTxtG"/>
              <w:suppressAutoHyphens w:val="0"/>
              <w:spacing w:before="40" w:after="40" w:line="220" w:lineRule="exact"/>
              <w:ind w:left="0" w:right="113"/>
              <w:jc w:val="right"/>
              <w:rPr>
                <w:sz w:val="18"/>
              </w:rPr>
            </w:pPr>
            <w:r w:rsidRPr="00A530E1">
              <w:rPr>
                <w:sz w:val="18"/>
              </w:rPr>
              <w:t>13.</w:t>
            </w:r>
            <w:r w:rsidR="00054C10" w:rsidRPr="00A530E1">
              <w:rPr>
                <w:sz w:val="18"/>
              </w:rPr>
              <w:t>2</w:t>
            </w:r>
          </w:p>
        </w:tc>
        <w:tc>
          <w:tcPr>
            <w:tcW w:w="900" w:type="dxa"/>
            <w:tcBorders>
              <w:top w:val="single" w:sz="12" w:space="0" w:color="auto"/>
            </w:tcBorders>
            <w:shd w:val="clear" w:color="auto" w:fill="auto"/>
            <w:vAlign w:val="bottom"/>
          </w:tcPr>
          <w:p w:rsidR="00054C10" w:rsidRPr="00A530E1" w:rsidRDefault="006C078B" w:rsidP="00222F37">
            <w:pPr>
              <w:pStyle w:val="SingleTxtG"/>
              <w:suppressAutoHyphens w:val="0"/>
              <w:spacing w:before="40" w:after="40" w:line="220" w:lineRule="exact"/>
              <w:ind w:left="0" w:right="113"/>
              <w:jc w:val="right"/>
              <w:rPr>
                <w:sz w:val="18"/>
              </w:rPr>
            </w:pPr>
            <w:r w:rsidRPr="00A530E1">
              <w:rPr>
                <w:sz w:val="18"/>
              </w:rPr>
              <w:t>64.</w:t>
            </w:r>
            <w:r w:rsidR="00054C10" w:rsidRPr="00A530E1">
              <w:rPr>
                <w:sz w:val="18"/>
              </w:rPr>
              <w:t>3</w:t>
            </w:r>
          </w:p>
        </w:tc>
        <w:tc>
          <w:tcPr>
            <w:tcW w:w="900" w:type="dxa"/>
            <w:tcBorders>
              <w:top w:val="single" w:sz="12" w:space="0" w:color="auto"/>
            </w:tcBorders>
            <w:shd w:val="clear" w:color="auto" w:fill="auto"/>
            <w:vAlign w:val="bottom"/>
          </w:tcPr>
          <w:p w:rsidR="00054C10" w:rsidRPr="00A530E1" w:rsidRDefault="006C078B" w:rsidP="00222F37">
            <w:pPr>
              <w:pStyle w:val="SingleTxtG"/>
              <w:suppressAutoHyphens w:val="0"/>
              <w:spacing w:before="40" w:after="40" w:line="220" w:lineRule="exact"/>
              <w:ind w:left="0" w:right="113"/>
              <w:jc w:val="right"/>
              <w:rPr>
                <w:sz w:val="18"/>
              </w:rPr>
            </w:pPr>
            <w:r w:rsidRPr="00A530E1">
              <w:rPr>
                <w:sz w:val="18"/>
              </w:rPr>
              <w:t>64.</w:t>
            </w:r>
            <w:r w:rsidR="00054C10" w:rsidRPr="00A530E1">
              <w:rPr>
                <w:sz w:val="18"/>
              </w:rPr>
              <w:t>6</w:t>
            </w:r>
          </w:p>
        </w:tc>
        <w:tc>
          <w:tcPr>
            <w:tcW w:w="800" w:type="dxa"/>
            <w:tcBorders>
              <w:top w:val="single" w:sz="12" w:space="0" w:color="auto"/>
            </w:tcBorders>
            <w:shd w:val="clear" w:color="auto" w:fill="auto"/>
            <w:vAlign w:val="bottom"/>
          </w:tcPr>
          <w:p w:rsidR="00054C10" w:rsidRPr="00A530E1" w:rsidRDefault="006C078B" w:rsidP="00222F37">
            <w:pPr>
              <w:pStyle w:val="SingleTxtG"/>
              <w:suppressAutoHyphens w:val="0"/>
              <w:spacing w:before="40" w:after="40" w:line="220" w:lineRule="exact"/>
              <w:ind w:left="0" w:right="113"/>
              <w:jc w:val="right"/>
              <w:rPr>
                <w:sz w:val="18"/>
              </w:rPr>
            </w:pPr>
            <w:r w:rsidRPr="00A530E1">
              <w:rPr>
                <w:sz w:val="18"/>
              </w:rPr>
              <w:t>88.</w:t>
            </w:r>
            <w:r w:rsidR="00054C10" w:rsidRPr="00A530E1">
              <w:rPr>
                <w:sz w:val="18"/>
              </w:rPr>
              <w:t>3</w:t>
            </w:r>
          </w:p>
        </w:tc>
        <w:tc>
          <w:tcPr>
            <w:tcW w:w="800" w:type="dxa"/>
            <w:tcBorders>
              <w:top w:val="single" w:sz="12" w:space="0" w:color="auto"/>
            </w:tcBorders>
            <w:shd w:val="clear" w:color="auto" w:fill="auto"/>
            <w:vAlign w:val="bottom"/>
          </w:tcPr>
          <w:p w:rsidR="00054C10" w:rsidRPr="00A530E1" w:rsidRDefault="006C078B" w:rsidP="00222F37">
            <w:pPr>
              <w:pStyle w:val="SingleTxtG"/>
              <w:suppressAutoHyphens w:val="0"/>
              <w:spacing w:before="40" w:after="40" w:line="220" w:lineRule="exact"/>
              <w:ind w:left="0" w:right="113"/>
              <w:jc w:val="right"/>
              <w:rPr>
                <w:sz w:val="18"/>
              </w:rPr>
            </w:pPr>
            <w:r w:rsidRPr="00A530E1">
              <w:rPr>
                <w:sz w:val="18"/>
              </w:rPr>
              <w:t>54.</w:t>
            </w:r>
            <w:r w:rsidR="00054C10" w:rsidRPr="00A530E1">
              <w:rPr>
                <w:sz w:val="18"/>
              </w:rPr>
              <w:t>7</w:t>
            </w:r>
          </w:p>
        </w:tc>
        <w:tc>
          <w:tcPr>
            <w:tcW w:w="804" w:type="dxa"/>
            <w:tcBorders>
              <w:top w:val="single" w:sz="12" w:space="0" w:color="auto"/>
            </w:tcBorders>
            <w:shd w:val="clear" w:color="auto" w:fill="auto"/>
            <w:vAlign w:val="bottom"/>
          </w:tcPr>
          <w:p w:rsidR="00054C10" w:rsidRPr="00A530E1" w:rsidRDefault="006C078B" w:rsidP="00222F37">
            <w:pPr>
              <w:pStyle w:val="SingleTxtG"/>
              <w:suppressAutoHyphens w:val="0"/>
              <w:spacing w:before="40" w:after="40" w:line="220" w:lineRule="exact"/>
              <w:ind w:left="0" w:right="113"/>
              <w:jc w:val="right"/>
              <w:rPr>
                <w:sz w:val="18"/>
              </w:rPr>
            </w:pPr>
            <w:r w:rsidRPr="00A530E1">
              <w:rPr>
                <w:sz w:val="18"/>
              </w:rPr>
              <w:t>80.</w:t>
            </w:r>
            <w:r w:rsidR="00054C10" w:rsidRPr="00A530E1">
              <w:rPr>
                <w:sz w:val="18"/>
              </w:rPr>
              <w:t>4</w:t>
            </w:r>
          </w:p>
        </w:tc>
      </w:tr>
      <w:tr w:rsidR="00054C10" w:rsidRPr="00A530E1" w:rsidTr="007D0163">
        <w:tblPrEx>
          <w:tblCellMar>
            <w:top w:w="0" w:type="dxa"/>
            <w:bottom w:w="0" w:type="dxa"/>
          </w:tblCellMar>
        </w:tblPrEx>
        <w:trPr>
          <w:trHeight w:val="240"/>
        </w:trPr>
        <w:tc>
          <w:tcPr>
            <w:tcW w:w="2266" w:type="dxa"/>
            <w:shd w:val="clear" w:color="auto" w:fill="auto"/>
          </w:tcPr>
          <w:p w:rsidR="00054C10" w:rsidRPr="00A530E1" w:rsidRDefault="00054C10" w:rsidP="00222F37">
            <w:pPr>
              <w:pStyle w:val="SingleTxtG"/>
              <w:suppressAutoHyphens w:val="0"/>
              <w:spacing w:before="40" w:after="40" w:line="220" w:lineRule="exact"/>
              <w:ind w:left="0" w:right="113"/>
              <w:jc w:val="left"/>
              <w:rPr>
                <w:sz w:val="18"/>
              </w:rPr>
            </w:pPr>
            <w:r w:rsidRPr="00A530E1">
              <w:rPr>
                <w:sz w:val="18"/>
              </w:rPr>
              <w:t>Disability</w:t>
            </w:r>
          </w:p>
        </w:tc>
        <w:tc>
          <w:tcPr>
            <w:tcW w:w="900" w:type="dxa"/>
            <w:shd w:val="clear" w:color="auto" w:fill="auto"/>
            <w:vAlign w:val="bottom"/>
          </w:tcPr>
          <w:p w:rsidR="00054C10" w:rsidRPr="00A530E1" w:rsidRDefault="00054C10" w:rsidP="00222F37">
            <w:pPr>
              <w:pStyle w:val="SingleTxtG"/>
              <w:suppressAutoHyphens w:val="0"/>
              <w:spacing w:before="40" w:after="40" w:line="220" w:lineRule="exact"/>
              <w:ind w:left="0" w:right="113"/>
              <w:jc w:val="right"/>
              <w:rPr>
                <w:sz w:val="18"/>
              </w:rPr>
            </w:pPr>
          </w:p>
        </w:tc>
        <w:tc>
          <w:tcPr>
            <w:tcW w:w="900" w:type="dxa"/>
            <w:shd w:val="clear" w:color="auto" w:fill="auto"/>
            <w:vAlign w:val="bottom"/>
          </w:tcPr>
          <w:p w:rsidR="00054C10" w:rsidRPr="00A530E1" w:rsidRDefault="00054C10" w:rsidP="00222F37">
            <w:pPr>
              <w:pStyle w:val="SingleTxtG"/>
              <w:suppressAutoHyphens w:val="0"/>
              <w:spacing w:before="40" w:after="40" w:line="220" w:lineRule="exact"/>
              <w:ind w:left="0" w:right="113"/>
              <w:jc w:val="right"/>
              <w:rPr>
                <w:sz w:val="18"/>
              </w:rPr>
            </w:pPr>
          </w:p>
        </w:tc>
        <w:tc>
          <w:tcPr>
            <w:tcW w:w="900" w:type="dxa"/>
            <w:shd w:val="clear" w:color="auto" w:fill="auto"/>
            <w:vAlign w:val="bottom"/>
          </w:tcPr>
          <w:p w:rsidR="00054C10" w:rsidRPr="00A530E1" w:rsidRDefault="00054C10" w:rsidP="00222F37">
            <w:pPr>
              <w:pStyle w:val="SingleTxtG"/>
              <w:suppressAutoHyphens w:val="0"/>
              <w:spacing w:before="40" w:after="40" w:line="220" w:lineRule="exact"/>
              <w:ind w:left="0" w:right="113"/>
              <w:jc w:val="right"/>
              <w:rPr>
                <w:sz w:val="18"/>
              </w:rPr>
            </w:pPr>
          </w:p>
        </w:tc>
        <w:tc>
          <w:tcPr>
            <w:tcW w:w="800" w:type="dxa"/>
            <w:shd w:val="clear" w:color="auto" w:fill="auto"/>
            <w:vAlign w:val="bottom"/>
          </w:tcPr>
          <w:p w:rsidR="00054C10" w:rsidRPr="00A530E1" w:rsidRDefault="00054C10" w:rsidP="00222F37">
            <w:pPr>
              <w:pStyle w:val="SingleTxtG"/>
              <w:suppressAutoHyphens w:val="0"/>
              <w:spacing w:before="40" w:after="40" w:line="220" w:lineRule="exact"/>
              <w:ind w:left="0" w:right="113"/>
              <w:jc w:val="right"/>
              <w:rPr>
                <w:sz w:val="18"/>
              </w:rPr>
            </w:pPr>
          </w:p>
        </w:tc>
        <w:tc>
          <w:tcPr>
            <w:tcW w:w="800" w:type="dxa"/>
            <w:shd w:val="clear" w:color="auto" w:fill="auto"/>
            <w:vAlign w:val="bottom"/>
          </w:tcPr>
          <w:p w:rsidR="00054C10" w:rsidRPr="00A530E1" w:rsidRDefault="00054C10" w:rsidP="00222F37">
            <w:pPr>
              <w:pStyle w:val="SingleTxtG"/>
              <w:suppressAutoHyphens w:val="0"/>
              <w:spacing w:before="40" w:after="40" w:line="220" w:lineRule="exact"/>
              <w:ind w:left="0" w:right="113"/>
              <w:jc w:val="right"/>
              <w:rPr>
                <w:sz w:val="18"/>
              </w:rPr>
            </w:pPr>
          </w:p>
        </w:tc>
        <w:tc>
          <w:tcPr>
            <w:tcW w:w="804" w:type="dxa"/>
            <w:shd w:val="clear" w:color="auto" w:fill="auto"/>
            <w:vAlign w:val="bottom"/>
          </w:tcPr>
          <w:p w:rsidR="00054C10" w:rsidRPr="00A530E1" w:rsidRDefault="00054C10" w:rsidP="00222F37">
            <w:pPr>
              <w:pStyle w:val="SingleTxtG"/>
              <w:suppressAutoHyphens w:val="0"/>
              <w:spacing w:before="40" w:after="40" w:line="220" w:lineRule="exact"/>
              <w:ind w:left="0" w:right="113"/>
              <w:jc w:val="right"/>
              <w:rPr>
                <w:sz w:val="18"/>
              </w:rPr>
            </w:pPr>
          </w:p>
        </w:tc>
      </w:tr>
      <w:tr w:rsidR="00054C10" w:rsidRPr="00A530E1" w:rsidTr="007D0163">
        <w:tblPrEx>
          <w:tblCellMar>
            <w:top w:w="0" w:type="dxa"/>
            <w:bottom w:w="0" w:type="dxa"/>
          </w:tblCellMar>
        </w:tblPrEx>
        <w:trPr>
          <w:trHeight w:val="240"/>
        </w:trPr>
        <w:tc>
          <w:tcPr>
            <w:tcW w:w="2266" w:type="dxa"/>
            <w:shd w:val="clear" w:color="auto" w:fill="auto"/>
          </w:tcPr>
          <w:p w:rsidR="00054C10" w:rsidRPr="00A530E1" w:rsidRDefault="00054C10" w:rsidP="00222F37">
            <w:pPr>
              <w:pStyle w:val="SingleTxtG"/>
              <w:suppressAutoHyphens w:val="0"/>
              <w:spacing w:before="40" w:after="40" w:line="220" w:lineRule="exact"/>
              <w:ind w:left="170" w:right="113"/>
              <w:jc w:val="left"/>
              <w:rPr>
                <w:sz w:val="18"/>
              </w:rPr>
            </w:pPr>
            <w:r w:rsidRPr="00A530E1">
              <w:rPr>
                <w:sz w:val="18"/>
              </w:rPr>
              <w:t>Physical</w:t>
            </w:r>
          </w:p>
        </w:tc>
        <w:tc>
          <w:tcPr>
            <w:tcW w:w="900" w:type="dxa"/>
            <w:shd w:val="clear" w:color="auto" w:fill="auto"/>
            <w:vAlign w:val="bottom"/>
          </w:tcPr>
          <w:p w:rsidR="00054C10" w:rsidRPr="00A530E1" w:rsidRDefault="006C078B" w:rsidP="00222F37">
            <w:pPr>
              <w:pStyle w:val="SingleTxtG"/>
              <w:suppressAutoHyphens w:val="0"/>
              <w:spacing w:before="40" w:after="40" w:line="220" w:lineRule="exact"/>
              <w:ind w:left="0" w:right="113"/>
              <w:jc w:val="right"/>
              <w:rPr>
                <w:sz w:val="18"/>
              </w:rPr>
            </w:pPr>
            <w:r w:rsidRPr="00A530E1">
              <w:rPr>
                <w:sz w:val="18"/>
              </w:rPr>
              <w:t>28.</w:t>
            </w:r>
            <w:r w:rsidR="00054C10" w:rsidRPr="00A530E1">
              <w:rPr>
                <w:sz w:val="18"/>
              </w:rPr>
              <w:t>1</w:t>
            </w:r>
          </w:p>
        </w:tc>
        <w:tc>
          <w:tcPr>
            <w:tcW w:w="900" w:type="dxa"/>
            <w:shd w:val="clear" w:color="auto" w:fill="auto"/>
            <w:vAlign w:val="bottom"/>
          </w:tcPr>
          <w:p w:rsidR="00054C10" w:rsidRPr="00A530E1" w:rsidRDefault="006C078B" w:rsidP="00222F37">
            <w:pPr>
              <w:pStyle w:val="SingleTxtG"/>
              <w:suppressAutoHyphens w:val="0"/>
              <w:spacing w:before="40" w:after="40" w:line="220" w:lineRule="exact"/>
              <w:ind w:left="0" w:right="113"/>
              <w:jc w:val="right"/>
              <w:rPr>
                <w:sz w:val="18"/>
              </w:rPr>
            </w:pPr>
            <w:r w:rsidRPr="00A530E1">
              <w:rPr>
                <w:sz w:val="18"/>
              </w:rPr>
              <w:t>57.</w:t>
            </w:r>
            <w:r w:rsidR="00054C10" w:rsidRPr="00A530E1">
              <w:rPr>
                <w:sz w:val="18"/>
              </w:rPr>
              <w:t>7</w:t>
            </w:r>
          </w:p>
        </w:tc>
        <w:tc>
          <w:tcPr>
            <w:tcW w:w="900" w:type="dxa"/>
            <w:shd w:val="clear" w:color="auto" w:fill="auto"/>
            <w:vAlign w:val="bottom"/>
          </w:tcPr>
          <w:p w:rsidR="00054C10" w:rsidRPr="00A530E1" w:rsidRDefault="006C078B" w:rsidP="00222F37">
            <w:pPr>
              <w:pStyle w:val="SingleTxtG"/>
              <w:suppressAutoHyphens w:val="0"/>
              <w:spacing w:before="40" w:after="40" w:line="220" w:lineRule="exact"/>
              <w:ind w:left="0" w:right="113"/>
              <w:jc w:val="right"/>
              <w:rPr>
                <w:sz w:val="18"/>
              </w:rPr>
            </w:pPr>
            <w:r w:rsidRPr="00A530E1">
              <w:rPr>
                <w:sz w:val="18"/>
              </w:rPr>
              <w:t>65.</w:t>
            </w:r>
            <w:r w:rsidR="00054C10" w:rsidRPr="00A530E1">
              <w:rPr>
                <w:sz w:val="18"/>
              </w:rPr>
              <w:t>4</w:t>
            </w:r>
          </w:p>
        </w:tc>
        <w:tc>
          <w:tcPr>
            <w:tcW w:w="800" w:type="dxa"/>
            <w:shd w:val="clear" w:color="auto" w:fill="auto"/>
            <w:vAlign w:val="bottom"/>
          </w:tcPr>
          <w:p w:rsidR="00054C10" w:rsidRPr="00A530E1" w:rsidRDefault="006C078B" w:rsidP="00222F37">
            <w:pPr>
              <w:pStyle w:val="SingleTxtG"/>
              <w:suppressAutoHyphens w:val="0"/>
              <w:spacing w:before="40" w:after="40" w:line="220" w:lineRule="exact"/>
              <w:ind w:left="0" w:right="113"/>
              <w:jc w:val="right"/>
              <w:rPr>
                <w:sz w:val="18"/>
              </w:rPr>
            </w:pPr>
            <w:r w:rsidRPr="00A530E1">
              <w:rPr>
                <w:sz w:val="18"/>
              </w:rPr>
              <w:t>85.</w:t>
            </w:r>
            <w:r w:rsidR="00054C10" w:rsidRPr="00A530E1">
              <w:rPr>
                <w:sz w:val="18"/>
              </w:rPr>
              <w:t>9</w:t>
            </w:r>
          </w:p>
        </w:tc>
        <w:tc>
          <w:tcPr>
            <w:tcW w:w="800" w:type="dxa"/>
            <w:shd w:val="clear" w:color="auto" w:fill="auto"/>
            <w:vAlign w:val="bottom"/>
          </w:tcPr>
          <w:p w:rsidR="00054C10" w:rsidRPr="00A530E1" w:rsidRDefault="006C078B" w:rsidP="00222F37">
            <w:pPr>
              <w:pStyle w:val="SingleTxtG"/>
              <w:suppressAutoHyphens w:val="0"/>
              <w:spacing w:before="40" w:after="40" w:line="220" w:lineRule="exact"/>
              <w:ind w:left="0" w:right="113"/>
              <w:jc w:val="right"/>
              <w:rPr>
                <w:sz w:val="18"/>
              </w:rPr>
            </w:pPr>
            <w:r w:rsidRPr="00A530E1">
              <w:rPr>
                <w:sz w:val="18"/>
              </w:rPr>
              <w:t>61.</w:t>
            </w:r>
            <w:r w:rsidR="00054C10" w:rsidRPr="00A530E1">
              <w:rPr>
                <w:sz w:val="18"/>
              </w:rPr>
              <w:t>8</w:t>
            </w:r>
          </w:p>
        </w:tc>
        <w:tc>
          <w:tcPr>
            <w:tcW w:w="804" w:type="dxa"/>
            <w:shd w:val="clear" w:color="auto" w:fill="auto"/>
            <w:vAlign w:val="bottom"/>
          </w:tcPr>
          <w:p w:rsidR="00054C10" w:rsidRPr="00A530E1" w:rsidRDefault="006C078B" w:rsidP="00222F37">
            <w:pPr>
              <w:pStyle w:val="SingleTxtG"/>
              <w:suppressAutoHyphens w:val="0"/>
              <w:spacing w:before="40" w:after="40" w:line="220" w:lineRule="exact"/>
              <w:ind w:left="0" w:right="113"/>
              <w:jc w:val="right"/>
              <w:rPr>
                <w:sz w:val="18"/>
              </w:rPr>
            </w:pPr>
            <w:r w:rsidRPr="00A530E1">
              <w:rPr>
                <w:sz w:val="18"/>
              </w:rPr>
              <w:t>82.</w:t>
            </w:r>
            <w:r w:rsidR="00054C10" w:rsidRPr="00A530E1">
              <w:rPr>
                <w:sz w:val="18"/>
              </w:rPr>
              <w:t>1</w:t>
            </w:r>
          </w:p>
        </w:tc>
      </w:tr>
      <w:tr w:rsidR="00054C10" w:rsidRPr="00A530E1" w:rsidTr="007D0163">
        <w:tblPrEx>
          <w:tblCellMar>
            <w:top w:w="0" w:type="dxa"/>
            <w:bottom w:w="0" w:type="dxa"/>
          </w:tblCellMar>
        </w:tblPrEx>
        <w:trPr>
          <w:trHeight w:val="240"/>
        </w:trPr>
        <w:tc>
          <w:tcPr>
            <w:tcW w:w="2266" w:type="dxa"/>
            <w:shd w:val="clear" w:color="auto" w:fill="auto"/>
          </w:tcPr>
          <w:p w:rsidR="00054C10" w:rsidRPr="00A530E1" w:rsidRDefault="00054C10" w:rsidP="00222F37">
            <w:pPr>
              <w:pStyle w:val="SingleTxtG"/>
              <w:suppressAutoHyphens w:val="0"/>
              <w:spacing w:before="40" w:after="40" w:line="220" w:lineRule="exact"/>
              <w:ind w:left="170" w:right="113"/>
              <w:jc w:val="left"/>
              <w:rPr>
                <w:sz w:val="18"/>
              </w:rPr>
            </w:pPr>
            <w:r w:rsidRPr="00A530E1">
              <w:rPr>
                <w:sz w:val="18"/>
              </w:rPr>
              <w:t>Learning</w:t>
            </w:r>
          </w:p>
        </w:tc>
        <w:tc>
          <w:tcPr>
            <w:tcW w:w="900" w:type="dxa"/>
            <w:shd w:val="clear" w:color="auto" w:fill="auto"/>
            <w:vAlign w:val="bottom"/>
          </w:tcPr>
          <w:p w:rsidR="00054C10" w:rsidRPr="00A530E1" w:rsidRDefault="006C078B" w:rsidP="00222F37">
            <w:pPr>
              <w:pStyle w:val="SingleTxtG"/>
              <w:suppressAutoHyphens w:val="0"/>
              <w:spacing w:before="40" w:after="40" w:line="220" w:lineRule="exact"/>
              <w:ind w:left="0" w:right="113"/>
              <w:jc w:val="right"/>
              <w:rPr>
                <w:sz w:val="18"/>
              </w:rPr>
            </w:pPr>
            <w:r w:rsidRPr="00A530E1">
              <w:rPr>
                <w:sz w:val="18"/>
              </w:rPr>
              <w:t>33.</w:t>
            </w:r>
            <w:r w:rsidR="00054C10" w:rsidRPr="00A530E1">
              <w:rPr>
                <w:sz w:val="18"/>
              </w:rPr>
              <w:t>5</w:t>
            </w:r>
          </w:p>
        </w:tc>
        <w:tc>
          <w:tcPr>
            <w:tcW w:w="900" w:type="dxa"/>
            <w:shd w:val="clear" w:color="auto" w:fill="auto"/>
            <w:vAlign w:val="bottom"/>
          </w:tcPr>
          <w:p w:rsidR="00054C10" w:rsidRPr="00A530E1" w:rsidRDefault="006C078B" w:rsidP="00222F37">
            <w:pPr>
              <w:pStyle w:val="SingleTxtG"/>
              <w:suppressAutoHyphens w:val="0"/>
              <w:spacing w:before="40" w:after="40" w:line="220" w:lineRule="exact"/>
              <w:ind w:left="0" w:right="113"/>
              <w:jc w:val="right"/>
              <w:rPr>
                <w:sz w:val="18"/>
              </w:rPr>
            </w:pPr>
            <w:r w:rsidRPr="00A530E1">
              <w:rPr>
                <w:sz w:val="18"/>
              </w:rPr>
              <w:t>87.</w:t>
            </w:r>
            <w:r w:rsidR="00054C10" w:rsidRPr="00A530E1">
              <w:rPr>
                <w:sz w:val="18"/>
              </w:rPr>
              <w:t>3</w:t>
            </w:r>
          </w:p>
        </w:tc>
        <w:tc>
          <w:tcPr>
            <w:tcW w:w="900" w:type="dxa"/>
            <w:shd w:val="clear" w:color="auto" w:fill="auto"/>
            <w:vAlign w:val="bottom"/>
          </w:tcPr>
          <w:p w:rsidR="00054C10" w:rsidRPr="00A530E1" w:rsidRDefault="006C078B" w:rsidP="00222F37">
            <w:pPr>
              <w:pStyle w:val="SingleTxtG"/>
              <w:suppressAutoHyphens w:val="0"/>
              <w:spacing w:before="40" w:after="40" w:line="220" w:lineRule="exact"/>
              <w:ind w:left="0" w:right="113"/>
              <w:jc w:val="right"/>
              <w:rPr>
                <w:sz w:val="18"/>
              </w:rPr>
            </w:pPr>
            <w:r w:rsidRPr="00A530E1">
              <w:rPr>
                <w:sz w:val="18"/>
              </w:rPr>
              <w:t>59.</w:t>
            </w:r>
            <w:r w:rsidR="00054C10" w:rsidRPr="00A530E1">
              <w:rPr>
                <w:sz w:val="18"/>
              </w:rPr>
              <w:t>0</w:t>
            </w:r>
          </w:p>
        </w:tc>
        <w:tc>
          <w:tcPr>
            <w:tcW w:w="800" w:type="dxa"/>
            <w:shd w:val="clear" w:color="auto" w:fill="auto"/>
            <w:vAlign w:val="bottom"/>
          </w:tcPr>
          <w:p w:rsidR="00054C10" w:rsidRPr="00A530E1" w:rsidRDefault="006C078B" w:rsidP="00222F37">
            <w:pPr>
              <w:pStyle w:val="SingleTxtG"/>
              <w:suppressAutoHyphens w:val="0"/>
              <w:spacing w:before="40" w:after="40" w:line="220" w:lineRule="exact"/>
              <w:ind w:left="0" w:right="113"/>
              <w:jc w:val="right"/>
              <w:rPr>
                <w:sz w:val="18"/>
              </w:rPr>
            </w:pPr>
            <w:r w:rsidRPr="00A530E1">
              <w:rPr>
                <w:sz w:val="18"/>
              </w:rPr>
              <w:t>89.</w:t>
            </w:r>
            <w:r w:rsidR="00054C10" w:rsidRPr="00A530E1">
              <w:rPr>
                <w:sz w:val="18"/>
              </w:rPr>
              <w:t>2</w:t>
            </w:r>
          </w:p>
        </w:tc>
        <w:tc>
          <w:tcPr>
            <w:tcW w:w="800" w:type="dxa"/>
            <w:shd w:val="clear" w:color="auto" w:fill="auto"/>
            <w:vAlign w:val="bottom"/>
          </w:tcPr>
          <w:p w:rsidR="00054C10" w:rsidRPr="00A530E1" w:rsidRDefault="006C078B" w:rsidP="00222F37">
            <w:pPr>
              <w:pStyle w:val="SingleTxtG"/>
              <w:suppressAutoHyphens w:val="0"/>
              <w:spacing w:before="40" w:after="40" w:line="220" w:lineRule="exact"/>
              <w:ind w:left="0" w:right="113"/>
              <w:jc w:val="right"/>
              <w:rPr>
                <w:sz w:val="18"/>
              </w:rPr>
            </w:pPr>
            <w:r w:rsidRPr="00A530E1">
              <w:rPr>
                <w:sz w:val="18"/>
              </w:rPr>
              <w:t>46.</w:t>
            </w:r>
            <w:r w:rsidR="00054C10" w:rsidRPr="00A530E1">
              <w:rPr>
                <w:sz w:val="18"/>
              </w:rPr>
              <w:t>2</w:t>
            </w:r>
          </w:p>
        </w:tc>
        <w:tc>
          <w:tcPr>
            <w:tcW w:w="804" w:type="dxa"/>
            <w:shd w:val="clear" w:color="auto" w:fill="auto"/>
            <w:vAlign w:val="bottom"/>
          </w:tcPr>
          <w:p w:rsidR="00054C10" w:rsidRPr="00A530E1" w:rsidRDefault="006C078B" w:rsidP="00222F37">
            <w:pPr>
              <w:pStyle w:val="SingleTxtG"/>
              <w:suppressAutoHyphens w:val="0"/>
              <w:spacing w:before="40" w:after="40" w:line="220" w:lineRule="exact"/>
              <w:ind w:left="0" w:right="113"/>
              <w:jc w:val="right"/>
              <w:rPr>
                <w:sz w:val="18"/>
              </w:rPr>
            </w:pPr>
            <w:r w:rsidRPr="00A530E1">
              <w:rPr>
                <w:sz w:val="18"/>
              </w:rPr>
              <w:t>71.</w:t>
            </w:r>
            <w:r w:rsidR="00054C10" w:rsidRPr="00A530E1">
              <w:rPr>
                <w:sz w:val="18"/>
              </w:rPr>
              <w:t>0</w:t>
            </w:r>
          </w:p>
        </w:tc>
      </w:tr>
      <w:tr w:rsidR="00054C10" w:rsidRPr="00A530E1" w:rsidTr="007D0163">
        <w:tblPrEx>
          <w:tblCellMar>
            <w:top w:w="0" w:type="dxa"/>
            <w:bottom w:w="0" w:type="dxa"/>
          </w:tblCellMar>
        </w:tblPrEx>
        <w:trPr>
          <w:trHeight w:val="240"/>
        </w:trPr>
        <w:tc>
          <w:tcPr>
            <w:tcW w:w="2266" w:type="dxa"/>
            <w:shd w:val="clear" w:color="auto" w:fill="auto"/>
          </w:tcPr>
          <w:p w:rsidR="00054C10" w:rsidRPr="00A530E1" w:rsidRDefault="00054C10" w:rsidP="00222F37">
            <w:pPr>
              <w:pStyle w:val="SingleTxtG"/>
              <w:suppressAutoHyphens w:val="0"/>
              <w:spacing w:before="40" w:after="40" w:line="220" w:lineRule="exact"/>
              <w:ind w:left="170" w:right="113"/>
              <w:jc w:val="left"/>
              <w:rPr>
                <w:sz w:val="18"/>
              </w:rPr>
            </w:pPr>
            <w:r w:rsidRPr="00A530E1">
              <w:rPr>
                <w:sz w:val="18"/>
              </w:rPr>
              <w:t>Sight</w:t>
            </w:r>
          </w:p>
        </w:tc>
        <w:tc>
          <w:tcPr>
            <w:tcW w:w="900" w:type="dxa"/>
            <w:shd w:val="clear" w:color="auto" w:fill="auto"/>
            <w:vAlign w:val="bottom"/>
          </w:tcPr>
          <w:p w:rsidR="00054C10" w:rsidRPr="00A530E1" w:rsidRDefault="006C078B" w:rsidP="00222F37">
            <w:pPr>
              <w:pStyle w:val="SingleTxtG"/>
              <w:suppressAutoHyphens w:val="0"/>
              <w:spacing w:before="40" w:after="40" w:line="220" w:lineRule="exact"/>
              <w:ind w:left="0" w:right="113"/>
              <w:jc w:val="right"/>
              <w:rPr>
                <w:sz w:val="18"/>
              </w:rPr>
            </w:pPr>
            <w:r w:rsidRPr="00A530E1">
              <w:rPr>
                <w:sz w:val="18"/>
              </w:rPr>
              <w:t>41.</w:t>
            </w:r>
            <w:r w:rsidR="00054C10" w:rsidRPr="00A530E1">
              <w:rPr>
                <w:sz w:val="18"/>
              </w:rPr>
              <w:t>5</w:t>
            </w:r>
          </w:p>
        </w:tc>
        <w:tc>
          <w:tcPr>
            <w:tcW w:w="900" w:type="dxa"/>
            <w:shd w:val="clear" w:color="auto" w:fill="auto"/>
            <w:vAlign w:val="bottom"/>
          </w:tcPr>
          <w:p w:rsidR="00054C10" w:rsidRPr="00A530E1" w:rsidRDefault="006C078B" w:rsidP="00222F37">
            <w:pPr>
              <w:pStyle w:val="SingleTxtG"/>
              <w:suppressAutoHyphens w:val="0"/>
              <w:spacing w:before="40" w:after="40" w:line="220" w:lineRule="exact"/>
              <w:ind w:left="0" w:right="113"/>
              <w:jc w:val="right"/>
              <w:rPr>
                <w:sz w:val="18"/>
              </w:rPr>
            </w:pPr>
            <w:r w:rsidRPr="00A530E1">
              <w:rPr>
                <w:sz w:val="18"/>
              </w:rPr>
              <w:t>80.</w:t>
            </w:r>
            <w:r w:rsidR="00054C10" w:rsidRPr="00A530E1">
              <w:rPr>
                <w:sz w:val="18"/>
              </w:rPr>
              <w:t>7</w:t>
            </w:r>
          </w:p>
        </w:tc>
        <w:tc>
          <w:tcPr>
            <w:tcW w:w="900" w:type="dxa"/>
            <w:shd w:val="clear" w:color="auto" w:fill="auto"/>
            <w:vAlign w:val="bottom"/>
          </w:tcPr>
          <w:p w:rsidR="00054C10" w:rsidRPr="00A530E1" w:rsidRDefault="006C078B" w:rsidP="00222F37">
            <w:pPr>
              <w:pStyle w:val="SingleTxtG"/>
              <w:suppressAutoHyphens w:val="0"/>
              <w:spacing w:before="40" w:after="40" w:line="220" w:lineRule="exact"/>
              <w:ind w:left="0" w:right="113"/>
              <w:jc w:val="right"/>
              <w:rPr>
                <w:sz w:val="18"/>
              </w:rPr>
            </w:pPr>
            <w:r w:rsidRPr="00A530E1">
              <w:rPr>
                <w:sz w:val="18"/>
              </w:rPr>
              <w:t>76.</w:t>
            </w:r>
            <w:r w:rsidR="00054C10" w:rsidRPr="00A530E1">
              <w:rPr>
                <w:sz w:val="18"/>
              </w:rPr>
              <w:t>5</w:t>
            </w:r>
          </w:p>
        </w:tc>
        <w:tc>
          <w:tcPr>
            <w:tcW w:w="800" w:type="dxa"/>
            <w:shd w:val="clear" w:color="auto" w:fill="auto"/>
            <w:vAlign w:val="bottom"/>
          </w:tcPr>
          <w:p w:rsidR="00054C10" w:rsidRPr="00A530E1" w:rsidRDefault="006C078B" w:rsidP="00222F37">
            <w:pPr>
              <w:pStyle w:val="SingleTxtG"/>
              <w:suppressAutoHyphens w:val="0"/>
              <w:spacing w:before="40" w:after="40" w:line="220" w:lineRule="exact"/>
              <w:ind w:left="0" w:right="113"/>
              <w:jc w:val="right"/>
              <w:rPr>
                <w:sz w:val="18"/>
              </w:rPr>
            </w:pPr>
            <w:r w:rsidRPr="00A530E1">
              <w:rPr>
                <w:sz w:val="18"/>
              </w:rPr>
              <w:t>98.</w:t>
            </w:r>
            <w:r w:rsidR="00054C10" w:rsidRPr="00A530E1">
              <w:rPr>
                <w:sz w:val="18"/>
              </w:rPr>
              <w:t>4</w:t>
            </w:r>
          </w:p>
        </w:tc>
        <w:tc>
          <w:tcPr>
            <w:tcW w:w="800" w:type="dxa"/>
            <w:shd w:val="clear" w:color="auto" w:fill="auto"/>
            <w:vAlign w:val="bottom"/>
          </w:tcPr>
          <w:p w:rsidR="00054C10" w:rsidRPr="00A530E1" w:rsidRDefault="006C078B" w:rsidP="00222F37">
            <w:pPr>
              <w:pStyle w:val="SingleTxtG"/>
              <w:suppressAutoHyphens w:val="0"/>
              <w:spacing w:before="40" w:after="40" w:line="220" w:lineRule="exact"/>
              <w:ind w:left="0" w:right="113"/>
              <w:jc w:val="right"/>
              <w:rPr>
                <w:sz w:val="18"/>
              </w:rPr>
            </w:pPr>
            <w:r w:rsidRPr="00A530E1">
              <w:rPr>
                <w:sz w:val="18"/>
              </w:rPr>
              <w:t>64.</w:t>
            </w:r>
            <w:r w:rsidR="00054C10" w:rsidRPr="00A530E1">
              <w:rPr>
                <w:sz w:val="18"/>
              </w:rPr>
              <w:t>5</w:t>
            </w:r>
          </w:p>
        </w:tc>
        <w:tc>
          <w:tcPr>
            <w:tcW w:w="804" w:type="dxa"/>
            <w:shd w:val="clear" w:color="auto" w:fill="auto"/>
            <w:vAlign w:val="bottom"/>
          </w:tcPr>
          <w:p w:rsidR="00054C10" w:rsidRPr="00A530E1" w:rsidRDefault="006C078B" w:rsidP="00222F37">
            <w:pPr>
              <w:pStyle w:val="SingleTxtG"/>
              <w:suppressAutoHyphens w:val="0"/>
              <w:spacing w:before="40" w:after="40" w:line="220" w:lineRule="exact"/>
              <w:ind w:left="0" w:right="113"/>
              <w:jc w:val="right"/>
              <w:rPr>
                <w:sz w:val="18"/>
              </w:rPr>
            </w:pPr>
            <w:r w:rsidRPr="00A530E1">
              <w:rPr>
                <w:sz w:val="18"/>
              </w:rPr>
              <w:t>94.</w:t>
            </w:r>
            <w:r w:rsidR="00054C10" w:rsidRPr="00A530E1">
              <w:rPr>
                <w:sz w:val="18"/>
              </w:rPr>
              <w:t>7</w:t>
            </w:r>
          </w:p>
        </w:tc>
      </w:tr>
      <w:tr w:rsidR="00054C10" w:rsidRPr="00A530E1" w:rsidTr="007D0163">
        <w:tblPrEx>
          <w:tblCellMar>
            <w:top w:w="0" w:type="dxa"/>
            <w:bottom w:w="0" w:type="dxa"/>
          </w:tblCellMar>
        </w:tblPrEx>
        <w:trPr>
          <w:trHeight w:val="240"/>
        </w:trPr>
        <w:tc>
          <w:tcPr>
            <w:tcW w:w="2266" w:type="dxa"/>
            <w:shd w:val="clear" w:color="auto" w:fill="auto"/>
          </w:tcPr>
          <w:p w:rsidR="00054C10" w:rsidRPr="00A530E1" w:rsidRDefault="00054C10" w:rsidP="00222F37">
            <w:pPr>
              <w:pStyle w:val="SingleTxtG"/>
              <w:suppressAutoHyphens w:val="0"/>
              <w:spacing w:before="40" w:after="40" w:line="220" w:lineRule="exact"/>
              <w:ind w:left="170" w:right="113"/>
              <w:jc w:val="left"/>
              <w:rPr>
                <w:sz w:val="18"/>
              </w:rPr>
            </w:pPr>
            <w:r w:rsidRPr="00A530E1">
              <w:rPr>
                <w:sz w:val="18"/>
              </w:rPr>
              <w:t>Hearing</w:t>
            </w:r>
          </w:p>
        </w:tc>
        <w:tc>
          <w:tcPr>
            <w:tcW w:w="900" w:type="dxa"/>
            <w:shd w:val="clear" w:color="auto" w:fill="auto"/>
            <w:vAlign w:val="bottom"/>
          </w:tcPr>
          <w:p w:rsidR="00054C10" w:rsidRPr="00A530E1" w:rsidRDefault="006C078B" w:rsidP="00222F37">
            <w:pPr>
              <w:pStyle w:val="SingleTxtG"/>
              <w:suppressAutoHyphens w:val="0"/>
              <w:spacing w:before="40" w:after="40" w:line="220" w:lineRule="exact"/>
              <w:ind w:left="0" w:right="113"/>
              <w:jc w:val="right"/>
              <w:rPr>
                <w:sz w:val="18"/>
              </w:rPr>
            </w:pPr>
            <w:r w:rsidRPr="00A530E1">
              <w:rPr>
                <w:sz w:val="18"/>
              </w:rPr>
              <w:t>50.</w:t>
            </w:r>
            <w:r w:rsidR="00054C10" w:rsidRPr="00A530E1">
              <w:rPr>
                <w:sz w:val="18"/>
              </w:rPr>
              <w:t>2</w:t>
            </w:r>
          </w:p>
        </w:tc>
        <w:tc>
          <w:tcPr>
            <w:tcW w:w="900" w:type="dxa"/>
            <w:shd w:val="clear" w:color="auto" w:fill="auto"/>
            <w:vAlign w:val="bottom"/>
          </w:tcPr>
          <w:p w:rsidR="00054C10" w:rsidRPr="00A530E1" w:rsidRDefault="006C078B" w:rsidP="00222F37">
            <w:pPr>
              <w:pStyle w:val="SingleTxtG"/>
              <w:suppressAutoHyphens w:val="0"/>
              <w:spacing w:before="40" w:after="40" w:line="220" w:lineRule="exact"/>
              <w:ind w:left="0" w:right="113"/>
              <w:jc w:val="right"/>
              <w:rPr>
                <w:sz w:val="18"/>
              </w:rPr>
            </w:pPr>
            <w:r w:rsidRPr="00A530E1">
              <w:rPr>
                <w:sz w:val="18"/>
              </w:rPr>
              <w:t>86.</w:t>
            </w:r>
            <w:r w:rsidR="00054C10" w:rsidRPr="00A530E1">
              <w:rPr>
                <w:sz w:val="18"/>
              </w:rPr>
              <w:t>8</w:t>
            </w:r>
          </w:p>
        </w:tc>
        <w:tc>
          <w:tcPr>
            <w:tcW w:w="900" w:type="dxa"/>
            <w:shd w:val="clear" w:color="auto" w:fill="auto"/>
            <w:vAlign w:val="bottom"/>
          </w:tcPr>
          <w:p w:rsidR="00054C10" w:rsidRPr="00A530E1" w:rsidRDefault="006C078B" w:rsidP="00222F37">
            <w:pPr>
              <w:pStyle w:val="SingleTxtG"/>
              <w:suppressAutoHyphens w:val="0"/>
              <w:spacing w:before="40" w:after="40" w:line="220" w:lineRule="exact"/>
              <w:ind w:left="0" w:right="113"/>
              <w:jc w:val="right"/>
              <w:rPr>
                <w:sz w:val="18"/>
              </w:rPr>
            </w:pPr>
            <w:r w:rsidRPr="00A530E1">
              <w:rPr>
                <w:sz w:val="18"/>
              </w:rPr>
              <w:t>74.</w:t>
            </w:r>
            <w:r w:rsidR="00054C10" w:rsidRPr="00A530E1">
              <w:rPr>
                <w:sz w:val="18"/>
              </w:rPr>
              <w:t>3</w:t>
            </w:r>
          </w:p>
        </w:tc>
        <w:tc>
          <w:tcPr>
            <w:tcW w:w="800" w:type="dxa"/>
            <w:shd w:val="clear" w:color="auto" w:fill="auto"/>
            <w:vAlign w:val="bottom"/>
          </w:tcPr>
          <w:p w:rsidR="00054C10" w:rsidRPr="00A530E1" w:rsidRDefault="006C078B" w:rsidP="00222F37">
            <w:pPr>
              <w:pStyle w:val="SingleTxtG"/>
              <w:suppressAutoHyphens w:val="0"/>
              <w:spacing w:before="40" w:after="40" w:line="220" w:lineRule="exact"/>
              <w:ind w:left="0" w:right="113"/>
              <w:jc w:val="right"/>
              <w:rPr>
                <w:sz w:val="18"/>
              </w:rPr>
            </w:pPr>
            <w:r w:rsidRPr="00A530E1">
              <w:rPr>
                <w:sz w:val="18"/>
              </w:rPr>
              <w:t>96.</w:t>
            </w:r>
            <w:r w:rsidR="00054C10" w:rsidRPr="00A530E1">
              <w:rPr>
                <w:sz w:val="18"/>
              </w:rPr>
              <w:t>8</w:t>
            </w:r>
          </w:p>
        </w:tc>
        <w:tc>
          <w:tcPr>
            <w:tcW w:w="800" w:type="dxa"/>
            <w:shd w:val="clear" w:color="auto" w:fill="auto"/>
            <w:vAlign w:val="bottom"/>
          </w:tcPr>
          <w:p w:rsidR="00054C10" w:rsidRPr="00A530E1" w:rsidRDefault="006C078B" w:rsidP="00222F37">
            <w:pPr>
              <w:pStyle w:val="SingleTxtG"/>
              <w:suppressAutoHyphens w:val="0"/>
              <w:spacing w:before="40" w:after="40" w:line="220" w:lineRule="exact"/>
              <w:ind w:left="0" w:right="113"/>
              <w:jc w:val="right"/>
              <w:rPr>
                <w:sz w:val="18"/>
              </w:rPr>
            </w:pPr>
            <w:r w:rsidRPr="00A530E1">
              <w:rPr>
                <w:sz w:val="18"/>
              </w:rPr>
              <w:t>60.</w:t>
            </w:r>
            <w:r w:rsidR="00054C10" w:rsidRPr="00A530E1">
              <w:rPr>
                <w:sz w:val="18"/>
              </w:rPr>
              <w:t>0</w:t>
            </w:r>
          </w:p>
        </w:tc>
        <w:tc>
          <w:tcPr>
            <w:tcW w:w="804" w:type="dxa"/>
            <w:shd w:val="clear" w:color="auto" w:fill="auto"/>
            <w:vAlign w:val="bottom"/>
          </w:tcPr>
          <w:p w:rsidR="00054C10" w:rsidRPr="00A530E1" w:rsidRDefault="006C078B" w:rsidP="00222F37">
            <w:pPr>
              <w:pStyle w:val="SingleTxtG"/>
              <w:suppressAutoHyphens w:val="0"/>
              <w:spacing w:before="40" w:after="40" w:line="220" w:lineRule="exact"/>
              <w:ind w:left="0" w:right="113"/>
              <w:jc w:val="right"/>
              <w:rPr>
                <w:sz w:val="18"/>
              </w:rPr>
            </w:pPr>
            <w:r w:rsidRPr="00A530E1">
              <w:rPr>
                <w:sz w:val="18"/>
              </w:rPr>
              <w:t>80.</w:t>
            </w:r>
            <w:r w:rsidR="00054C10" w:rsidRPr="00A530E1">
              <w:rPr>
                <w:sz w:val="18"/>
              </w:rPr>
              <w:t>8</w:t>
            </w:r>
          </w:p>
        </w:tc>
      </w:tr>
      <w:tr w:rsidR="00054C10" w:rsidRPr="00A530E1" w:rsidTr="007D0163">
        <w:tblPrEx>
          <w:tblCellMar>
            <w:top w:w="0" w:type="dxa"/>
            <w:bottom w:w="0" w:type="dxa"/>
          </w:tblCellMar>
        </w:tblPrEx>
        <w:trPr>
          <w:trHeight w:val="240"/>
        </w:trPr>
        <w:tc>
          <w:tcPr>
            <w:tcW w:w="2266" w:type="dxa"/>
            <w:shd w:val="clear" w:color="auto" w:fill="auto"/>
          </w:tcPr>
          <w:p w:rsidR="00054C10" w:rsidRPr="00A530E1" w:rsidRDefault="00054C10" w:rsidP="00222F37">
            <w:pPr>
              <w:pStyle w:val="SingleTxtG"/>
              <w:suppressAutoHyphens w:val="0"/>
              <w:spacing w:before="40" w:after="40" w:line="220" w:lineRule="exact"/>
              <w:ind w:left="170" w:right="113"/>
              <w:jc w:val="left"/>
              <w:rPr>
                <w:sz w:val="18"/>
              </w:rPr>
            </w:pPr>
            <w:r w:rsidRPr="00A530E1">
              <w:rPr>
                <w:sz w:val="18"/>
              </w:rPr>
              <w:t>Speaking</w:t>
            </w:r>
          </w:p>
        </w:tc>
        <w:tc>
          <w:tcPr>
            <w:tcW w:w="900" w:type="dxa"/>
            <w:shd w:val="clear" w:color="auto" w:fill="auto"/>
            <w:vAlign w:val="bottom"/>
          </w:tcPr>
          <w:p w:rsidR="00054C10" w:rsidRPr="00A530E1" w:rsidRDefault="006C078B" w:rsidP="00222F37">
            <w:pPr>
              <w:pStyle w:val="SingleTxtG"/>
              <w:suppressAutoHyphens w:val="0"/>
              <w:spacing w:before="40" w:after="40" w:line="220" w:lineRule="exact"/>
              <w:ind w:left="0" w:right="113"/>
              <w:jc w:val="right"/>
              <w:rPr>
                <w:sz w:val="18"/>
              </w:rPr>
            </w:pPr>
            <w:r w:rsidRPr="00A530E1">
              <w:rPr>
                <w:sz w:val="18"/>
              </w:rPr>
              <w:t>33.</w:t>
            </w:r>
            <w:r w:rsidR="00054C10" w:rsidRPr="00A530E1">
              <w:rPr>
                <w:sz w:val="18"/>
              </w:rPr>
              <w:t>6</w:t>
            </w:r>
          </w:p>
        </w:tc>
        <w:tc>
          <w:tcPr>
            <w:tcW w:w="900" w:type="dxa"/>
            <w:shd w:val="clear" w:color="auto" w:fill="auto"/>
            <w:vAlign w:val="bottom"/>
          </w:tcPr>
          <w:p w:rsidR="00054C10" w:rsidRPr="00A530E1" w:rsidRDefault="006C078B" w:rsidP="00222F37">
            <w:pPr>
              <w:pStyle w:val="SingleTxtG"/>
              <w:suppressAutoHyphens w:val="0"/>
              <w:spacing w:before="40" w:after="40" w:line="220" w:lineRule="exact"/>
              <w:ind w:left="0" w:right="113"/>
              <w:jc w:val="right"/>
              <w:rPr>
                <w:sz w:val="18"/>
              </w:rPr>
            </w:pPr>
            <w:r w:rsidRPr="00A530E1">
              <w:rPr>
                <w:sz w:val="18"/>
              </w:rPr>
              <w:t>71.</w:t>
            </w:r>
            <w:r w:rsidR="00054C10" w:rsidRPr="00A530E1">
              <w:rPr>
                <w:sz w:val="18"/>
              </w:rPr>
              <w:t>2</w:t>
            </w:r>
          </w:p>
        </w:tc>
        <w:tc>
          <w:tcPr>
            <w:tcW w:w="900" w:type="dxa"/>
            <w:shd w:val="clear" w:color="auto" w:fill="auto"/>
            <w:vAlign w:val="bottom"/>
          </w:tcPr>
          <w:p w:rsidR="00054C10" w:rsidRPr="00A530E1" w:rsidRDefault="006C078B" w:rsidP="00222F37">
            <w:pPr>
              <w:pStyle w:val="SingleTxtG"/>
              <w:suppressAutoHyphens w:val="0"/>
              <w:spacing w:before="40" w:after="40" w:line="220" w:lineRule="exact"/>
              <w:ind w:left="0" w:right="113"/>
              <w:jc w:val="right"/>
              <w:rPr>
                <w:sz w:val="18"/>
              </w:rPr>
            </w:pPr>
            <w:r w:rsidRPr="00A530E1">
              <w:rPr>
                <w:sz w:val="18"/>
              </w:rPr>
              <w:t>52.</w:t>
            </w:r>
            <w:r w:rsidR="00054C10" w:rsidRPr="00A530E1">
              <w:rPr>
                <w:sz w:val="18"/>
              </w:rPr>
              <w:t>1</w:t>
            </w:r>
          </w:p>
        </w:tc>
        <w:tc>
          <w:tcPr>
            <w:tcW w:w="800" w:type="dxa"/>
            <w:shd w:val="clear" w:color="auto" w:fill="auto"/>
            <w:vAlign w:val="bottom"/>
          </w:tcPr>
          <w:p w:rsidR="00054C10" w:rsidRPr="00A530E1" w:rsidRDefault="006C078B" w:rsidP="00222F37">
            <w:pPr>
              <w:pStyle w:val="SingleTxtG"/>
              <w:suppressAutoHyphens w:val="0"/>
              <w:spacing w:before="40" w:after="40" w:line="220" w:lineRule="exact"/>
              <w:ind w:left="0" w:right="113"/>
              <w:jc w:val="right"/>
              <w:rPr>
                <w:sz w:val="18"/>
              </w:rPr>
            </w:pPr>
            <w:r w:rsidRPr="00A530E1">
              <w:rPr>
                <w:sz w:val="18"/>
              </w:rPr>
              <w:t>92.</w:t>
            </w:r>
            <w:r w:rsidR="00054C10" w:rsidRPr="00A530E1">
              <w:rPr>
                <w:sz w:val="18"/>
              </w:rPr>
              <w:t>0</w:t>
            </w:r>
          </w:p>
        </w:tc>
        <w:tc>
          <w:tcPr>
            <w:tcW w:w="800" w:type="dxa"/>
            <w:shd w:val="clear" w:color="auto" w:fill="auto"/>
            <w:vAlign w:val="bottom"/>
          </w:tcPr>
          <w:p w:rsidR="00054C10" w:rsidRPr="00A530E1" w:rsidRDefault="006C078B" w:rsidP="00222F37">
            <w:pPr>
              <w:pStyle w:val="SingleTxtG"/>
              <w:suppressAutoHyphens w:val="0"/>
              <w:spacing w:before="40" w:after="40" w:line="220" w:lineRule="exact"/>
              <w:ind w:left="0" w:right="113"/>
              <w:jc w:val="right"/>
              <w:rPr>
                <w:sz w:val="18"/>
              </w:rPr>
            </w:pPr>
            <w:r w:rsidRPr="00A530E1">
              <w:rPr>
                <w:sz w:val="18"/>
              </w:rPr>
              <w:t>44.</w:t>
            </w:r>
            <w:r w:rsidR="00054C10" w:rsidRPr="00A530E1">
              <w:rPr>
                <w:sz w:val="18"/>
              </w:rPr>
              <w:t>5</w:t>
            </w:r>
          </w:p>
        </w:tc>
        <w:tc>
          <w:tcPr>
            <w:tcW w:w="804" w:type="dxa"/>
            <w:shd w:val="clear" w:color="auto" w:fill="auto"/>
            <w:vAlign w:val="bottom"/>
          </w:tcPr>
          <w:p w:rsidR="00054C10" w:rsidRPr="00A530E1" w:rsidRDefault="006C078B" w:rsidP="00222F37">
            <w:pPr>
              <w:pStyle w:val="SingleTxtG"/>
              <w:suppressAutoHyphens w:val="0"/>
              <w:spacing w:before="40" w:after="40" w:line="220" w:lineRule="exact"/>
              <w:ind w:left="0" w:right="113"/>
              <w:jc w:val="right"/>
              <w:rPr>
                <w:sz w:val="18"/>
              </w:rPr>
            </w:pPr>
            <w:r w:rsidRPr="00A530E1">
              <w:rPr>
                <w:sz w:val="18"/>
              </w:rPr>
              <w:t>66.</w:t>
            </w:r>
            <w:r w:rsidR="00054C10" w:rsidRPr="00A530E1">
              <w:rPr>
                <w:sz w:val="18"/>
              </w:rPr>
              <w:t>7</w:t>
            </w:r>
          </w:p>
        </w:tc>
      </w:tr>
      <w:tr w:rsidR="00054C10" w:rsidRPr="00A530E1" w:rsidTr="007D0163">
        <w:tblPrEx>
          <w:tblCellMar>
            <w:top w:w="0" w:type="dxa"/>
            <w:bottom w:w="0" w:type="dxa"/>
          </w:tblCellMar>
        </w:tblPrEx>
        <w:trPr>
          <w:trHeight w:val="240"/>
        </w:trPr>
        <w:tc>
          <w:tcPr>
            <w:tcW w:w="2266" w:type="dxa"/>
            <w:shd w:val="clear" w:color="auto" w:fill="auto"/>
          </w:tcPr>
          <w:p w:rsidR="00054C10" w:rsidRPr="00A530E1" w:rsidRDefault="00054C10" w:rsidP="00222F37">
            <w:pPr>
              <w:pStyle w:val="SingleTxtG"/>
              <w:suppressAutoHyphens w:val="0"/>
              <w:spacing w:before="40" w:after="40" w:line="220" w:lineRule="exact"/>
              <w:ind w:left="170" w:right="113"/>
              <w:jc w:val="left"/>
              <w:rPr>
                <w:sz w:val="18"/>
              </w:rPr>
            </w:pPr>
            <w:r w:rsidRPr="00A530E1">
              <w:rPr>
                <w:sz w:val="18"/>
              </w:rPr>
              <w:t>Hearing and speaking</w:t>
            </w:r>
          </w:p>
        </w:tc>
        <w:tc>
          <w:tcPr>
            <w:tcW w:w="900" w:type="dxa"/>
            <w:shd w:val="clear" w:color="auto" w:fill="auto"/>
            <w:vAlign w:val="bottom"/>
          </w:tcPr>
          <w:p w:rsidR="00054C10" w:rsidRPr="00A530E1" w:rsidRDefault="006C078B" w:rsidP="00222F37">
            <w:pPr>
              <w:pStyle w:val="SingleTxtG"/>
              <w:suppressAutoHyphens w:val="0"/>
              <w:spacing w:before="40" w:after="40" w:line="220" w:lineRule="exact"/>
              <w:ind w:left="0" w:right="113"/>
              <w:jc w:val="right"/>
              <w:rPr>
                <w:sz w:val="18"/>
              </w:rPr>
            </w:pPr>
            <w:r w:rsidRPr="00A530E1">
              <w:rPr>
                <w:sz w:val="18"/>
              </w:rPr>
              <w:t>22.</w:t>
            </w:r>
            <w:r w:rsidR="00054C10" w:rsidRPr="00A530E1">
              <w:rPr>
                <w:sz w:val="18"/>
              </w:rPr>
              <w:t>7</w:t>
            </w:r>
          </w:p>
        </w:tc>
        <w:tc>
          <w:tcPr>
            <w:tcW w:w="900" w:type="dxa"/>
            <w:shd w:val="clear" w:color="auto" w:fill="auto"/>
            <w:vAlign w:val="bottom"/>
          </w:tcPr>
          <w:p w:rsidR="00054C10" w:rsidRPr="00A530E1" w:rsidRDefault="006C078B" w:rsidP="00222F37">
            <w:pPr>
              <w:pStyle w:val="SingleTxtG"/>
              <w:suppressAutoHyphens w:val="0"/>
              <w:spacing w:before="40" w:after="40" w:line="220" w:lineRule="exact"/>
              <w:ind w:left="0" w:right="113"/>
              <w:jc w:val="right"/>
              <w:rPr>
                <w:sz w:val="18"/>
              </w:rPr>
            </w:pPr>
            <w:r w:rsidRPr="00A530E1">
              <w:rPr>
                <w:sz w:val="18"/>
              </w:rPr>
              <w:t>60.</w:t>
            </w:r>
            <w:r w:rsidR="00054C10" w:rsidRPr="00A530E1">
              <w:rPr>
                <w:sz w:val="18"/>
              </w:rPr>
              <w:t>7</w:t>
            </w:r>
          </w:p>
        </w:tc>
        <w:tc>
          <w:tcPr>
            <w:tcW w:w="900" w:type="dxa"/>
            <w:shd w:val="clear" w:color="auto" w:fill="auto"/>
            <w:vAlign w:val="bottom"/>
          </w:tcPr>
          <w:p w:rsidR="00054C10" w:rsidRPr="00A530E1" w:rsidRDefault="006C078B" w:rsidP="00222F37">
            <w:pPr>
              <w:pStyle w:val="SingleTxtG"/>
              <w:suppressAutoHyphens w:val="0"/>
              <w:spacing w:before="40" w:after="40" w:line="220" w:lineRule="exact"/>
              <w:ind w:left="0" w:right="113"/>
              <w:jc w:val="right"/>
              <w:rPr>
                <w:sz w:val="18"/>
              </w:rPr>
            </w:pPr>
            <w:r w:rsidRPr="00A530E1">
              <w:rPr>
                <w:sz w:val="18"/>
              </w:rPr>
              <w:t>41.</w:t>
            </w:r>
            <w:r w:rsidR="00054C10" w:rsidRPr="00A530E1">
              <w:rPr>
                <w:sz w:val="18"/>
              </w:rPr>
              <w:t>9</w:t>
            </w:r>
          </w:p>
        </w:tc>
        <w:tc>
          <w:tcPr>
            <w:tcW w:w="800" w:type="dxa"/>
            <w:shd w:val="clear" w:color="auto" w:fill="auto"/>
            <w:vAlign w:val="bottom"/>
          </w:tcPr>
          <w:p w:rsidR="00054C10" w:rsidRPr="00A530E1" w:rsidRDefault="006C078B" w:rsidP="00222F37">
            <w:pPr>
              <w:pStyle w:val="SingleTxtG"/>
              <w:suppressAutoHyphens w:val="0"/>
              <w:spacing w:before="40" w:after="40" w:line="220" w:lineRule="exact"/>
              <w:ind w:left="0" w:right="113"/>
              <w:jc w:val="right"/>
              <w:rPr>
                <w:sz w:val="18"/>
              </w:rPr>
            </w:pPr>
            <w:r w:rsidRPr="00A530E1">
              <w:rPr>
                <w:sz w:val="18"/>
              </w:rPr>
              <w:t>65.</w:t>
            </w:r>
            <w:r w:rsidR="00054C10" w:rsidRPr="00A530E1">
              <w:rPr>
                <w:sz w:val="18"/>
              </w:rPr>
              <w:t>9</w:t>
            </w:r>
          </w:p>
        </w:tc>
        <w:tc>
          <w:tcPr>
            <w:tcW w:w="800" w:type="dxa"/>
            <w:shd w:val="clear" w:color="auto" w:fill="auto"/>
            <w:vAlign w:val="bottom"/>
          </w:tcPr>
          <w:p w:rsidR="00054C10" w:rsidRPr="00A530E1" w:rsidRDefault="006C078B" w:rsidP="00222F37">
            <w:pPr>
              <w:pStyle w:val="SingleTxtG"/>
              <w:suppressAutoHyphens w:val="0"/>
              <w:spacing w:before="40" w:after="40" w:line="220" w:lineRule="exact"/>
              <w:ind w:left="0" w:right="113"/>
              <w:jc w:val="right"/>
              <w:rPr>
                <w:sz w:val="18"/>
              </w:rPr>
            </w:pPr>
            <w:r w:rsidRPr="00A530E1">
              <w:rPr>
                <w:sz w:val="18"/>
              </w:rPr>
              <w:t>41.</w:t>
            </w:r>
            <w:r w:rsidR="00054C10" w:rsidRPr="00A530E1">
              <w:rPr>
                <w:sz w:val="18"/>
              </w:rPr>
              <w:t>5</w:t>
            </w:r>
          </w:p>
        </w:tc>
        <w:tc>
          <w:tcPr>
            <w:tcW w:w="804" w:type="dxa"/>
            <w:shd w:val="clear" w:color="auto" w:fill="auto"/>
            <w:vAlign w:val="bottom"/>
          </w:tcPr>
          <w:p w:rsidR="00054C10" w:rsidRPr="00A530E1" w:rsidRDefault="006C078B" w:rsidP="00222F37">
            <w:pPr>
              <w:pStyle w:val="SingleTxtG"/>
              <w:suppressAutoHyphens w:val="0"/>
              <w:spacing w:before="40" w:after="40" w:line="220" w:lineRule="exact"/>
              <w:ind w:left="0" w:right="113"/>
              <w:jc w:val="right"/>
              <w:rPr>
                <w:sz w:val="18"/>
              </w:rPr>
            </w:pPr>
            <w:r w:rsidRPr="00A530E1">
              <w:rPr>
                <w:sz w:val="18"/>
              </w:rPr>
              <w:t>38.</w:t>
            </w:r>
            <w:r w:rsidR="00054C10" w:rsidRPr="00A530E1">
              <w:rPr>
                <w:sz w:val="18"/>
              </w:rPr>
              <w:t>0</w:t>
            </w:r>
          </w:p>
        </w:tc>
      </w:tr>
      <w:tr w:rsidR="00054C10" w:rsidRPr="00A530E1" w:rsidTr="007D0163">
        <w:tblPrEx>
          <w:tblCellMar>
            <w:top w:w="0" w:type="dxa"/>
            <w:bottom w:w="0" w:type="dxa"/>
          </w:tblCellMar>
        </w:tblPrEx>
        <w:trPr>
          <w:trHeight w:val="240"/>
        </w:trPr>
        <w:tc>
          <w:tcPr>
            <w:tcW w:w="2266" w:type="dxa"/>
            <w:shd w:val="clear" w:color="auto" w:fill="auto"/>
          </w:tcPr>
          <w:p w:rsidR="00054C10" w:rsidRPr="00A530E1" w:rsidRDefault="00054C10" w:rsidP="00222F37">
            <w:pPr>
              <w:pStyle w:val="SingleTxtG"/>
              <w:suppressAutoHyphens w:val="0"/>
              <w:spacing w:before="40" w:after="40" w:line="220" w:lineRule="exact"/>
              <w:ind w:left="170" w:right="113"/>
              <w:jc w:val="left"/>
              <w:rPr>
                <w:sz w:val="18"/>
              </w:rPr>
            </w:pPr>
            <w:r w:rsidRPr="00A530E1">
              <w:rPr>
                <w:sz w:val="18"/>
              </w:rPr>
              <w:t>Other/multiple</w:t>
            </w:r>
          </w:p>
        </w:tc>
        <w:tc>
          <w:tcPr>
            <w:tcW w:w="900" w:type="dxa"/>
            <w:shd w:val="clear" w:color="auto" w:fill="auto"/>
            <w:vAlign w:val="bottom"/>
          </w:tcPr>
          <w:p w:rsidR="00054C10" w:rsidRPr="00A530E1" w:rsidRDefault="006C078B" w:rsidP="00222F37">
            <w:pPr>
              <w:pStyle w:val="SingleTxtG"/>
              <w:suppressAutoHyphens w:val="0"/>
              <w:spacing w:before="40" w:after="40" w:line="220" w:lineRule="exact"/>
              <w:ind w:left="0" w:right="113"/>
              <w:jc w:val="right"/>
              <w:rPr>
                <w:sz w:val="18"/>
              </w:rPr>
            </w:pPr>
            <w:r w:rsidRPr="00A530E1">
              <w:rPr>
                <w:sz w:val="18"/>
              </w:rPr>
              <w:t>23.</w:t>
            </w:r>
            <w:r w:rsidR="00054C10" w:rsidRPr="00A530E1">
              <w:rPr>
                <w:sz w:val="18"/>
              </w:rPr>
              <w:t>5</w:t>
            </w:r>
          </w:p>
        </w:tc>
        <w:tc>
          <w:tcPr>
            <w:tcW w:w="900" w:type="dxa"/>
            <w:shd w:val="clear" w:color="auto" w:fill="auto"/>
            <w:vAlign w:val="bottom"/>
          </w:tcPr>
          <w:p w:rsidR="00054C10" w:rsidRPr="00A530E1" w:rsidRDefault="006C078B" w:rsidP="00222F37">
            <w:pPr>
              <w:pStyle w:val="SingleTxtG"/>
              <w:suppressAutoHyphens w:val="0"/>
              <w:spacing w:before="40" w:after="40" w:line="220" w:lineRule="exact"/>
              <w:ind w:left="0" w:right="113"/>
              <w:jc w:val="right"/>
              <w:rPr>
                <w:sz w:val="18"/>
              </w:rPr>
            </w:pPr>
            <w:r w:rsidRPr="00A530E1">
              <w:rPr>
                <w:sz w:val="18"/>
              </w:rPr>
              <w:t>34.</w:t>
            </w:r>
            <w:r w:rsidR="00054C10" w:rsidRPr="00A530E1">
              <w:rPr>
                <w:sz w:val="18"/>
              </w:rPr>
              <w:t>6</w:t>
            </w:r>
          </w:p>
        </w:tc>
        <w:tc>
          <w:tcPr>
            <w:tcW w:w="900" w:type="dxa"/>
            <w:shd w:val="clear" w:color="auto" w:fill="auto"/>
            <w:vAlign w:val="bottom"/>
          </w:tcPr>
          <w:p w:rsidR="00054C10" w:rsidRPr="00A530E1" w:rsidRDefault="006C078B" w:rsidP="00222F37">
            <w:pPr>
              <w:pStyle w:val="SingleTxtG"/>
              <w:suppressAutoHyphens w:val="0"/>
              <w:spacing w:before="40" w:after="40" w:line="220" w:lineRule="exact"/>
              <w:ind w:left="0" w:right="113"/>
              <w:jc w:val="right"/>
              <w:rPr>
                <w:sz w:val="18"/>
              </w:rPr>
            </w:pPr>
            <w:r w:rsidRPr="00A530E1">
              <w:rPr>
                <w:sz w:val="18"/>
              </w:rPr>
              <w:t>42.</w:t>
            </w:r>
            <w:r w:rsidR="00054C10" w:rsidRPr="00A530E1">
              <w:rPr>
                <w:sz w:val="18"/>
              </w:rPr>
              <w:t>0</w:t>
            </w:r>
          </w:p>
        </w:tc>
        <w:tc>
          <w:tcPr>
            <w:tcW w:w="800" w:type="dxa"/>
            <w:shd w:val="clear" w:color="auto" w:fill="auto"/>
            <w:vAlign w:val="bottom"/>
          </w:tcPr>
          <w:p w:rsidR="00054C10" w:rsidRPr="00A530E1" w:rsidRDefault="006C078B" w:rsidP="00222F37">
            <w:pPr>
              <w:pStyle w:val="SingleTxtG"/>
              <w:suppressAutoHyphens w:val="0"/>
              <w:spacing w:before="40" w:after="40" w:line="220" w:lineRule="exact"/>
              <w:ind w:left="0" w:right="113"/>
              <w:jc w:val="right"/>
              <w:rPr>
                <w:sz w:val="18"/>
              </w:rPr>
            </w:pPr>
            <w:r w:rsidRPr="00A530E1">
              <w:rPr>
                <w:sz w:val="18"/>
              </w:rPr>
              <w:t>58.</w:t>
            </w:r>
            <w:r w:rsidR="00054C10" w:rsidRPr="00A530E1">
              <w:rPr>
                <w:sz w:val="18"/>
              </w:rPr>
              <w:t>1</w:t>
            </w:r>
          </w:p>
        </w:tc>
        <w:tc>
          <w:tcPr>
            <w:tcW w:w="800" w:type="dxa"/>
            <w:shd w:val="clear" w:color="auto" w:fill="auto"/>
            <w:vAlign w:val="bottom"/>
          </w:tcPr>
          <w:p w:rsidR="00054C10" w:rsidRPr="00A530E1" w:rsidRDefault="006C078B" w:rsidP="00222F37">
            <w:pPr>
              <w:pStyle w:val="SingleTxtG"/>
              <w:suppressAutoHyphens w:val="0"/>
              <w:spacing w:before="40" w:after="40" w:line="220" w:lineRule="exact"/>
              <w:ind w:left="0" w:right="113"/>
              <w:jc w:val="right"/>
              <w:rPr>
                <w:sz w:val="18"/>
              </w:rPr>
            </w:pPr>
            <w:r w:rsidRPr="00A530E1">
              <w:rPr>
                <w:sz w:val="18"/>
              </w:rPr>
              <w:t>36.</w:t>
            </w:r>
            <w:r w:rsidR="00054C10" w:rsidRPr="00A530E1">
              <w:rPr>
                <w:sz w:val="18"/>
              </w:rPr>
              <w:t>3</w:t>
            </w:r>
          </w:p>
        </w:tc>
        <w:tc>
          <w:tcPr>
            <w:tcW w:w="804" w:type="dxa"/>
            <w:shd w:val="clear" w:color="auto" w:fill="auto"/>
            <w:vAlign w:val="bottom"/>
          </w:tcPr>
          <w:p w:rsidR="00054C10" w:rsidRPr="00A530E1" w:rsidRDefault="006C078B" w:rsidP="00222F37">
            <w:pPr>
              <w:pStyle w:val="SingleTxtG"/>
              <w:suppressAutoHyphens w:val="0"/>
              <w:spacing w:before="40" w:after="40" w:line="220" w:lineRule="exact"/>
              <w:ind w:left="0" w:right="113"/>
              <w:jc w:val="right"/>
              <w:rPr>
                <w:sz w:val="18"/>
              </w:rPr>
            </w:pPr>
            <w:r w:rsidRPr="00A530E1">
              <w:rPr>
                <w:sz w:val="18"/>
              </w:rPr>
              <w:t>44.</w:t>
            </w:r>
            <w:r w:rsidR="00054C10" w:rsidRPr="00A530E1">
              <w:rPr>
                <w:sz w:val="18"/>
              </w:rPr>
              <w:t>6</w:t>
            </w:r>
          </w:p>
        </w:tc>
      </w:tr>
    </w:tbl>
    <w:p w:rsidR="00054C10" w:rsidRPr="00A530E1" w:rsidRDefault="00054C10" w:rsidP="00650099">
      <w:pPr>
        <w:spacing w:before="120" w:after="240"/>
        <w:ind w:left="1134" w:right="1134" w:firstLine="170"/>
      </w:pPr>
      <w:r w:rsidRPr="00A530E1">
        <w:rPr>
          <w:i/>
        </w:rPr>
        <w:t>Source:</w:t>
      </w:r>
      <w:r w:rsidRPr="00A530E1">
        <w:t xml:space="preserve">  Ministry of Education, ESCALE statistics on education, 2009.</w:t>
      </w:r>
    </w:p>
    <w:p w:rsidR="00054C10" w:rsidRPr="00A530E1" w:rsidRDefault="00054C10" w:rsidP="00054C10">
      <w:pPr>
        <w:pStyle w:val="SingleTxtG"/>
      </w:pPr>
      <w:r w:rsidRPr="00A530E1">
        <w:t xml:space="preserve">27. </w:t>
      </w:r>
      <w:r w:rsidR="00840D97" w:rsidRPr="00A530E1">
        <w:tab/>
      </w:r>
      <w:r w:rsidRPr="00A530E1">
        <w:t>According to the Ministry of Education, there has been an increase in the school enrolment rate for persons with some kind of disability in all age groups; the 3</w:t>
      </w:r>
      <w:r w:rsidR="006C078B" w:rsidRPr="00A530E1">
        <w:t>–</w:t>
      </w:r>
      <w:r w:rsidRPr="00A530E1">
        <w:t>5 age group lags the farthest behind in this respect. The question that the State should then ask is whether, once these pupils finish school, this greater educational coverage will translate into better and more numerous employment and learning opportunities. A particularly pertinent issue, within the framework of the Decade of Inclusive Education in Peru, is the situation faced by persons with learning difficulties after leaving school.</w:t>
      </w:r>
    </w:p>
    <w:p w:rsidR="00054C10" w:rsidRPr="00A530E1" w:rsidRDefault="00054C10" w:rsidP="00054C10">
      <w:pPr>
        <w:pStyle w:val="SingleTxtG"/>
      </w:pPr>
      <w:r w:rsidRPr="00A530E1">
        <w:t xml:space="preserve">28. </w:t>
      </w:r>
      <w:r w:rsidR="00840D97" w:rsidRPr="00A530E1">
        <w:tab/>
      </w:r>
      <w:r w:rsidRPr="00A530E1">
        <w:t>As provided for in existing international and domestic legislation on the rights of persons with disabilities, words need to be turned into action based on effective policies aimed at creating a genuinely inclusive, equal opportunity society. Although the public institutions involved with disability issues at an operational level may be meeting their budgetary and quantitative targets, they also need to identify the factors that are standing in the way of the full social and economic integration of persons with disabilities, as well as any new elements which can foster progress in this area.</w:t>
      </w:r>
    </w:p>
    <w:p w:rsidR="00054C10" w:rsidRPr="00A530E1" w:rsidRDefault="00054C10" w:rsidP="00054C10">
      <w:pPr>
        <w:pStyle w:val="SingleTxtG"/>
      </w:pPr>
      <w:r w:rsidRPr="00A530E1">
        <w:t xml:space="preserve">29. </w:t>
      </w:r>
      <w:r w:rsidR="00840D97" w:rsidRPr="00A530E1">
        <w:tab/>
      </w:r>
      <w:r w:rsidRPr="00A530E1">
        <w:t>Concerns such as these were the driving force behind a number of initiatives in 2009,</w:t>
      </w:r>
      <w:r w:rsidR="00CF5F69">
        <w:t xml:space="preserve"> </w:t>
      </w:r>
      <w:r w:rsidRPr="00A530E1">
        <w:t>existing budgetary constraints notwithstanding, such as the establishment of round tables and agreements aimed at helping people to become more knowledgeable about disabilities such as deafblindness and at improving related services. Efforts also continued to be directed towards prevention and mitigation of the growing impact of risk factors for disability, such as air pollution and traffic accidents.</w:t>
      </w:r>
    </w:p>
    <w:p w:rsidR="00054C10" w:rsidRPr="00A530E1" w:rsidRDefault="00054C10" w:rsidP="00054C10">
      <w:pPr>
        <w:pStyle w:val="SingleTxtG"/>
      </w:pPr>
      <w:r w:rsidRPr="00A530E1">
        <w:t xml:space="preserve">30. </w:t>
      </w:r>
      <w:r w:rsidR="00840D97" w:rsidRPr="00A530E1">
        <w:tab/>
      </w:r>
      <w:r w:rsidRPr="00A530E1">
        <w:t>Given these developments, it is the duty of the State, as part of its efforts to improve the quality of public services, to provide special training to civil servants who come into direct contact with persons with disabilities and their families. This effort is founded upon the belief that a stronger institutional framework is a basic building block for the creation of a modern government apparatus that works to serve the country</w:t>
      </w:r>
      <w:r w:rsidR="00F12839" w:rsidRPr="00A530E1">
        <w:t>’</w:t>
      </w:r>
      <w:r w:rsidRPr="00A530E1">
        <w:t>s citizens.</w:t>
      </w:r>
    </w:p>
    <w:p w:rsidR="00054C10" w:rsidRPr="00A530E1" w:rsidRDefault="00054C10" w:rsidP="00054C10">
      <w:pPr>
        <w:pStyle w:val="SingleTxtG"/>
      </w:pPr>
      <w:r w:rsidRPr="00A530E1">
        <w:t xml:space="preserve">31. </w:t>
      </w:r>
      <w:r w:rsidR="00840D97" w:rsidRPr="00A530E1">
        <w:tab/>
      </w:r>
      <w:r w:rsidRPr="00A530E1">
        <w:t xml:space="preserve">The steps taken by the Ministry of Economic Affairs and Finance to draw up a strategic programme on disability are also part of the effort to reassess the situation. </w:t>
      </w:r>
      <w:r w:rsidR="00CD3AEF" w:rsidRPr="00A530E1">
        <w:t xml:space="preserve">A formal request was submitted to the General Secretariat of the Ministry for confirmation that public bodies would have the operational programming infrastructure they would need to target and allocate budget resources for disability-related issues. </w:t>
      </w:r>
      <w:r w:rsidRPr="00A530E1">
        <w:t xml:space="preserve">Following receipt of this confirmation, CONADIS has taken on the task of notifying the various sectors of these new measures, which are intended to lead to a more structured approach to disability-related issues. Strategic budget planning is expected to help to overcome a structural shortcoming in the organization of sectoral functions which has prevented public bodies from identifying the needs of persons with disabilities or from earmarking budgetary resources to address them. This anomaly had also impeded more in-depth monitoring of State action on behalf of this segment of the population. The clarification provided by the Ministry should be a first step towards resolving the problem during the budget planning stage for relevant activities, projects and programmes. </w:t>
      </w:r>
    </w:p>
    <w:p w:rsidR="00054C10" w:rsidRPr="00A530E1" w:rsidRDefault="00054C10" w:rsidP="00054C10">
      <w:pPr>
        <w:pStyle w:val="SingleTxtG"/>
      </w:pPr>
      <w:r w:rsidRPr="00A530E1">
        <w:t xml:space="preserve">32. </w:t>
      </w:r>
      <w:r w:rsidR="00840D97" w:rsidRPr="00A530E1">
        <w:tab/>
      </w:r>
      <w:r w:rsidRPr="00A530E1">
        <w:t>With the incorporation of a strategic programme on disability into the 2011 Finance Act, the necessary framework will be in place for the creation of synergies among sectoral commitments, thus enabling CONADIS to fully perform its role as a specialized body responsible for providing technical assistance and promoting disability rights, oversight, legislative improvements and sectoral coordination.</w:t>
      </w:r>
    </w:p>
    <w:p w:rsidR="00054C10" w:rsidRPr="00A530E1" w:rsidRDefault="00054C10" w:rsidP="00054C10">
      <w:pPr>
        <w:pStyle w:val="SingleTxtG"/>
      </w:pPr>
      <w:r w:rsidRPr="00A530E1">
        <w:t xml:space="preserve">33. </w:t>
      </w:r>
      <w:r w:rsidR="00840D97" w:rsidRPr="00A530E1">
        <w:tab/>
      </w:r>
      <w:r w:rsidRPr="00A530E1">
        <w:t>Until this is accomplished, however, the current operating structure of CONADIS (and it should be noted here that we are preparing the ground for reversing this situation in 2010) restricts the scope of its work in effectively mainstreaming disability-related issues (including budget commitments). The State intends to consolidate a supra-regional position so that it can monitor compliance with legislative provisions and support the delivery of services to persons with disabilities in order to speed progress in bringing all spheres of the public sector into compliance with the Convention.</w:t>
      </w:r>
    </w:p>
    <w:p w:rsidR="00054C10" w:rsidRPr="00A530E1" w:rsidRDefault="00840D97" w:rsidP="00840D97">
      <w:pPr>
        <w:pStyle w:val="H1G"/>
      </w:pPr>
      <w:r w:rsidRPr="00A530E1">
        <w:tab/>
      </w:r>
      <w:r w:rsidR="00054C10" w:rsidRPr="00A530E1">
        <w:t>B.</w:t>
      </w:r>
      <w:r w:rsidRPr="00A530E1">
        <w:tab/>
      </w:r>
      <w:r w:rsidR="00054C10" w:rsidRPr="00A530E1">
        <w:t xml:space="preserve">Participation of civil society in the work of the </w:t>
      </w:r>
      <w:r w:rsidR="00CD3AEF" w:rsidRPr="00A530E1">
        <w:t>multisectoral</w:t>
      </w:r>
      <w:r w:rsidR="00054C10" w:rsidRPr="00A530E1">
        <w:t xml:space="preserve"> commission responsible for implementing the Convention</w:t>
      </w:r>
    </w:p>
    <w:p w:rsidR="00054C10" w:rsidRPr="00A530E1" w:rsidRDefault="00054C10" w:rsidP="00054C10">
      <w:pPr>
        <w:pStyle w:val="SingleTxtG"/>
      </w:pPr>
      <w:r w:rsidRPr="00A530E1">
        <w:t>34.</w:t>
      </w:r>
      <w:r w:rsidRPr="00A530E1">
        <w:tab/>
        <w:t>With a view to promoting the direct participation of civil society, hearing its members</w:t>
      </w:r>
      <w:r w:rsidR="00F12839" w:rsidRPr="00A530E1">
        <w:t>’</w:t>
      </w:r>
      <w:r w:rsidRPr="00A530E1">
        <w:t xml:space="preserve"> opinions and obtaining inputs for the improvement of public policies on disability, CONADIS, as the technical secretariat of the multisectoral commission responsible for following up on and developing measures to implement the Convention on the Rights of Persons with Disabilities, invited associations of persons with disabilities and their relatives to take part in the election of the five representatives of persons with disabilities and their families who are to sit on the commission.</w:t>
      </w:r>
    </w:p>
    <w:p w:rsidR="00180B44" w:rsidRPr="00A530E1" w:rsidRDefault="00180B44" w:rsidP="00180B44">
      <w:pPr>
        <w:pStyle w:val="SingleTxtG"/>
      </w:pPr>
      <w:r w:rsidRPr="00A530E1">
        <w:t>35.</w:t>
      </w:r>
      <w:r w:rsidRPr="00A530E1">
        <w:tab/>
        <w:t>This invitation to civil society representatives garnered little response from associations of persons with disabilities and their families. The only representatives to be named were from the Associations of Visually Impaired Persons, the Associations of Persons with Physical Disabilities and the Associations of Deaf-Blind Persons.</w:t>
      </w:r>
    </w:p>
    <w:p w:rsidR="00180B44" w:rsidRPr="00A530E1" w:rsidRDefault="00180B44" w:rsidP="00180B44">
      <w:pPr>
        <w:pStyle w:val="SingleTxtG"/>
      </w:pPr>
      <w:r w:rsidRPr="00A530E1">
        <w:t>36.</w:t>
      </w:r>
      <w:r w:rsidRPr="00A530E1">
        <w:tab/>
        <w:t>CONADIS and the Special Commission on Disability of Congress are working with the media to advocate the participation of associations of persons with disabilities, their families and individuals with disabilities. Examples of their efforts include the radio programme called “Sin Barreras” (without barriers), which is broadcast nationally and is now also being broadcast over the Internet; the creation of forums on institutional web portals; the organization of decentralized public hearings; and the development of a weekly television programme on disability to be broadcast in partnership with the State television channel. People are encouraged to provide contributions, suggestions and ideas that can help to improve the design of policies, plans and projects for persons with disabilities.</w:t>
      </w:r>
    </w:p>
    <w:p w:rsidR="00180B44" w:rsidRPr="00A530E1" w:rsidRDefault="00180B44" w:rsidP="00180B44">
      <w:pPr>
        <w:pStyle w:val="SingleTxtG"/>
      </w:pPr>
      <w:r w:rsidRPr="00A530E1">
        <w:t>37.</w:t>
      </w:r>
      <w:r w:rsidRPr="00A530E1">
        <w:tab/>
        <w:t>In order to encourage these good practices, the Ministry of Women and Social Development adopted Ministerial Decision No. 498-2009, which laid out the rules of procedure for the award of decorations in the women and social development sector and created the Order of Merit for the Social Inclusion of Persons with Disabilities. The main objective of this initiative is to place the issue of disability on the public agenda by recognizing, as a matter of policy, the work carried out by organized civil society and by individuals and thus raising awareness among public officials, the staff of public and private institutions and the public in general about the rights of persons with disabilities.</w:t>
      </w:r>
    </w:p>
    <w:p w:rsidR="00180B44" w:rsidRPr="00A530E1" w:rsidRDefault="00180B44" w:rsidP="00180B44">
      <w:pPr>
        <w:pStyle w:val="SingleTxtG"/>
      </w:pPr>
      <w:r w:rsidRPr="00A530E1">
        <w:t>38.</w:t>
      </w:r>
      <w:r w:rsidRPr="00A530E1">
        <w:tab/>
        <w:t>These and other achievements are described in the tables given later in this document; more needs to be done, however, in order to increase the participation of civil society and its organizations, particularly those that represent persons with disabilities and their relatives. The aim here is to ensure that the approach taken by the State in providing services and promoting integration will engage the beneficiaries of its policies and public investment in a two-way partnership, as discussed at the beginning of this document. A report recently produced by UNDP on the level of human development in Peru in 2009 explores this subject as well.</w:t>
      </w:r>
      <w:r w:rsidRPr="00A530E1">
        <w:rPr>
          <w:rStyle w:val="FootnoteReference"/>
        </w:rPr>
        <w:footnoteReference w:id="4"/>
      </w:r>
    </w:p>
    <w:p w:rsidR="00180B44" w:rsidRPr="00A530E1" w:rsidRDefault="00180B44" w:rsidP="00180B44">
      <w:pPr>
        <w:pStyle w:val="H1G"/>
      </w:pPr>
      <w:r w:rsidRPr="00A530E1">
        <w:tab/>
        <w:t>C.</w:t>
      </w:r>
      <w:r w:rsidRPr="00A530E1">
        <w:tab/>
        <w:t>Statistical review</w:t>
      </w:r>
    </w:p>
    <w:p w:rsidR="00180B44" w:rsidRPr="00A530E1" w:rsidRDefault="00180B44" w:rsidP="00180B44">
      <w:pPr>
        <w:pStyle w:val="SingleTxtG"/>
      </w:pPr>
      <w:r w:rsidRPr="00A530E1">
        <w:t>39.</w:t>
      </w:r>
      <w:r w:rsidRPr="00A530E1">
        <w:tab/>
        <w:t>According to the Continuous National Survey carried out by the National Institute of Statistics (INEI) in 2006,</w:t>
      </w:r>
      <w:r w:rsidRPr="00A530E1">
        <w:rPr>
          <w:rStyle w:val="FootnoteReference"/>
        </w:rPr>
        <w:footnoteReference w:id="5"/>
      </w:r>
      <w:r w:rsidRPr="00A530E1">
        <w:t xml:space="preserve"> 8.4 per cent of the population in Peru has some form of disability; this means that 8 out of 100 people who were canvassed at the national level stated that they have at least one disability. The percentage was higher in urban areas (8.9 per cent) than in rural areas (6.9 per cent), with women in both urban and rural areas reporting higher rates of disability.</w:t>
      </w:r>
    </w:p>
    <w:p w:rsidR="00180B44" w:rsidRPr="00A530E1" w:rsidRDefault="00180B44" w:rsidP="00180B44">
      <w:pPr>
        <w:pStyle w:val="SingleTxtG"/>
      </w:pPr>
      <w:r w:rsidRPr="00A530E1">
        <w:t>40.</w:t>
      </w:r>
      <w:r w:rsidRPr="00A530E1">
        <w:tab/>
        <w:t>The most prevalent form of disability is visual disability (4.5 per cent), followed by motor disability (2.7 per cent) and hearing disability (2.2 per cent). The least prevalent forms of disability are speech and communication disabilities (0.7 per cent and 0.6 per cent, respectively). The full results are shown in the following table:</w:t>
      </w:r>
    </w:p>
    <w:p w:rsidR="00180B44" w:rsidRPr="00A530E1" w:rsidRDefault="00180B44" w:rsidP="00180B44">
      <w:pPr>
        <w:pStyle w:val="H23G"/>
        <w:spacing w:after="0"/>
      </w:pPr>
      <w:r w:rsidRPr="00A530E1">
        <w:tab/>
      </w:r>
      <w:r w:rsidRPr="00A530E1">
        <w:tab/>
        <w:t>Percentage of the population who reported having a physical or mental difficulty or limitation, by area of residence, type of disability and sex, 2006</w:t>
      </w:r>
    </w:p>
    <w:p w:rsidR="00180B44" w:rsidRPr="00A530E1" w:rsidRDefault="00180B44" w:rsidP="00180B44">
      <w:pPr>
        <w:pStyle w:val="SingleTxtG"/>
        <w:rPr>
          <w:sz w:val="16"/>
          <w:szCs w:val="16"/>
        </w:rPr>
      </w:pPr>
      <w:r w:rsidRPr="00A530E1">
        <w:rPr>
          <w:sz w:val="16"/>
          <w:szCs w:val="16"/>
        </w:rPr>
        <w:t>(Prevalence rate)</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2657"/>
        <w:gridCol w:w="1546"/>
        <w:gridCol w:w="1652"/>
        <w:gridCol w:w="1515"/>
      </w:tblGrid>
      <w:tr w:rsidR="00180B44" w:rsidRPr="00A530E1" w:rsidTr="00180B44">
        <w:tblPrEx>
          <w:tblCellMar>
            <w:top w:w="0" w:type="dxa"/>
            <w:bottom w:w="0" w:type="dxa"/>
          </w:tblCellMar>
        </w:tblPrEx>
        <w:trPr>
          <w:trHeight w:val="240"/>
          <w:tblHeader/>
        </w:trPr>
        <w:tc>
          <w:tcPr>
            <w:tcW w:w="2657" w:type="dxa"/>
            <w:tcBorders>
              <w:top w:val="single" w:sz="4" w:space="0" w:color="auto"/>
              <w:bottom w:val="single" w:sz="12" w:space="0" w:color="auto"/>
            </w:tcBorders>
            <w:shd w:val="clear" w:color="auto" w:fill="auto"/>
            <w:vAlign w:val="bottom"/>
          </w:tcPr>
          <w:p w:rsidR="00180B44" w:rsidRPr="00A530E1" w:rsidRDefault="00180B44" w:rsidP="00222F37">
            <w:pPr>
              <w:shd w:val="clear" w:color="auto" w:fill="FFFFFF"/>
              <w:suppressAutoHyphens w:val="0"/>
              <w:spacing w:before="80" w:after="80" w:line="200" w:lineRule="exact"/>
              <w:ind w:right="113"/>
              <w:rPr>
                <w:i/>
                <w:sz w:val="16"/>
                <w:lang w:eastAsia="es-ES"/>
              </w:rPr>
            </w:pPr>
            <w:r w:rsidRPr="00A530E1">
              <w:rPr>
                <w:i/>
                <w:sz w:val="16"/>
                <w:szCs w:val="14"/>
                <w:lang w:eastAsia="es-ES"/>
              </w:rPr>
              <w:t>Type of disability/sex</w:t>
            </w:r>
          </w:p>
        </w:tc>
        <w:tc>
          <w:tcPr>
            <w:tcW w:w="1546" w:type="dxa"/>
            <w:tcBorders>
              <w:top w:val="single" w:sz="4" w:space="0" w:color="auto"/>
              <w:bottom w:val="single" w:sz="12" w:space="0" w:color="auto"/>
            </w:tcBorders>
            <w:shd w:val="clear" w:color="auto" w:fill="auto"/>
            <w:vAlign w:val="bottom"/>
          </w:tcPr>
          <w:p w:rsidR="00180B44" w:rsidRPr="00A530E1" w:rsidRDefault="00180B44" w:rsidP="00222F37">
            <w:pPr>
              <w:shd w:val="clear" w:color="auto" w:fill="FFFFFF"/>
              <w:suppressAutoHyphens w:val="0"/>
              <w:spacing w:before="80" w:after="80" w:line="200" w:lineRule="exact"/>
              <w:ind w:right="113"/>
              <w:jc w:val="right"/>
              <w:rPr>
                <w:b/>
                <w:i/>
                <w:sz w:val="16"/>
                <w:lang w:eastAsia="es-ES"/>
              </w:rPr>
            </w:pPr>
            <w:r w:rsidRPr="00A530E1">
              <w:rPr>
                <w:b/>
                <w:i/>
                <w:sz w:val="16"/>
                <w:szCs w:val="14"/>
                <w:lang w:eastAsia="es-ES"/>
              </w:rPr>
              <w:t>Total</w:t>
            </w:r>
          </w:p>
        </w:tc>
        <w:tc>
          <w:tcPr>
            <w:tcW w:w="1652" w:type="dxa"/>
            <w:tcBorders>
              <w:top w:val="single" w:sz="4" w:space="0" w:color="auto"/>
              <w:bottom w:val="single" w:sz="12" w:space="0" w:color="auto"/>
            </w:tcBorders>
            <w:shd w:val="clear" w:color="auto" w:fill="auto"/>
            <w:vAlign w:val="bottom"/>
          </w:tcPr>
          <w:p w:rsidR="00180B44" w:rsidRPr="00A530E1" w:rsidRDefault="00180B44" w:rsidP="00222F37">
            <w:pPr>
              <w:shd w:val="clear" w:color="auto" w:fill="FFFFFF"/>
              <w:suppressAutoHyphens w:val="0"/>
              <w:spacing w:before="80" w:after="80" w:line="200" w:lineRule="exact"/>
              <w:ind w:right="113"/>
              <w:jc w:val="right"/>
              <w:rPr>
                <w:i/>
                <w:sz w:val="16"/>
                <w:lang w:eastAsia="es-ES"/>
              </w:rPr>
            </w:pPr>
            <w:r w:rsidRPr="00A530E1">
              <w:rPr>
                <w:i/>
                <w:sz w:val="16"/>
                <w:szCs w:val="14"/>
                <w:lang w:eastAsia="es-ES"/>
              </w:rPr>
              <w:t>Urban</w:t>
            </w:r>
          </w:p>
        </w:tc>
        <w:tc>
          <w:tcPr>
            <w:tcW w:w="1515" w:type="dxa"/>
            <w:tcBorders>
              <w:top w:val="single" w:sz="4" w:space="0" w:color="auto"/>
              <w:bottom w:val="single" w:sz="12" w:space="0" w:color="auto"/>
            </w:tcBorders>
            <w:shd w:val="clear" w:color="auto" w:fill="auto"/>
            <w:vAlign w:val="bottom"/>
          </w:tcPr>
          <w:p w:rsidR="00180B44" w:rsidRPr="00A530E1" w:rsidRDefault="00180B44" w:rsidP="00222F37">
            <w:pPr>
              <w:shd w:val="clear" w:color="auto" w:fill="FFFFFF"/>
              <w:suppressAutoHyphens w:val="0"/>
              <w:spacing w:before="80" w:after="80" w:line="200" w:lineRule="exact"/>
              <w:ind w:right="113"/>
              <w:jc w:val="right"/>
              <w:rPr>
                <w:i/>
                <w:sz w:val="16"/>
                <w:lang w:eastAsia="es-ES"/>
              </w:rPr>
            </w:pPr>
            <w:r w:rsidRPr="00A530E1">
              <w:rPr>
                <w:i/>
                <w:sz w:val="16"/>
                <w:szCs w:val="14"/>
                <w:lang w:eastAsia="es-ES"/>
              </w:rPr>
              <w:t>Rural</w:t>
            </w:r>
          </w:p>
        </w:tc>
      </w:tr>
      <w:tr w:rsidR="00180B44" w:rsidRPr="00A530E1" w:rsidTr="00180B44">
        <w:tblPrEx>
          <w:tblCellMar>
            <w:top w:w="0" w:type="dxa"/>
            <w:bottom w:w="0" w:type="dxa"/>
          </w:tblCellMar>
        </w:tblPrEx>
        <w:trPr>
          <w:trHeight w:val="240"/>
        </w:trPr>
        <w:tc>
          <w:tcPr>
            <w:tcW w:w="2657" w:type="dxa"/>
            <w:shd w:val="clear" w:color="auto" w:fill="auto"/>
          </w:tcPr>
          <w:p w:rsidR="00180B44" w:rsidRPr="00A530E1" w:rsidRDefault="00180B44" w:rsidP="00222F37">
            <w:pPr>
              <w:shd w:val="clear" w:color="auto" w:fill="FFFFFF"/>
              <w:suppressAutoHyphens w:val="0"/>
              <w:spacing w:before="40" w:after="40" w:line="220" w:lineRule="exact"/>
              <w:ind w:right="113"/>
              <w:rPr>
                <w:sz w:val="18"/>
                <w:lang w:eastAsia="es-ES"/>
              </w:rPr>
            </w:pPr>
            <w:r w:rsidRPr="00A530E1">
              <w:rPr>
                <w:bCs/>
                <w:sz w:val="18"/>
                <w:szCs w:val="14"/>
                <w:lang w:eastAsia="es-ES"/>
              </w:rPr>
              <w:t>Sight</w:t>
            </w:r>
          </w:p>
        </w:tc>
        <w:tc>
          <w:tcPr>
            <w:tcW w:w="1546" w:type="dxa"/>
            <w:shd w:val="clear" w:color="auto" w:fill="auto"/>
            <w:vAlign w:val="bottom"/>
          </w:tcPr>
          <w:p w:rsidR="00180B44" w:rsidRPr="00A530E1" w:rsidRDefault="00180B44" w:rsidP="00222F37">
            <w:pPr>
              <w:shd w:val="clear" w:color="auto" w:fill="FFFFFF"/>
              <w:suppressAutoHyphens w:val="0"/>
              <w:spacing w:before="40" w:after="40" w:line="220" w:lineRule="exact"/>
              <w:ind w:left="113" w:right="113"/>
              <w:jc w:val="right"/>
              <w:rPr>
                <w:b/>
                <w:sz w:val="18"/>
                <w:lang w:eastAsia="es-ES"/>
              </w:rPr>
            </w:pPr>
            <w:r w:rsidRPr="00A530E1">
              <w:rPr>
                <w:b/>
                <w:sz w:val="18"/>
                <w:szCs w:val="14"/>
                <w:lang w:eastAsia="es-ES"/>
              </w:rPr>
              <w:t>4.5</w:t>
            </w:r>
          </w:p>
        </w:tc>
        <w:tc>
          <w:tcPr>
            <w:tcW w:w="1652" w:type="dxa"/>
            <w:shd w:val="clear" w:color="auto" w:fill="auto"/>
            <w:vAlign w:val="bottom"/>
          </w:tcPr>
          <w:p w:rsidR="00180B44" w:rsidRPr="00A530E1" w:rsidRDefault="00180B44" w:rsidP="00222F37">
            <w:pPr>
              <w:shd w:val="clear" w:color="auto" w:fill="FFFFFF"/>
              <w:suppressAutoHyphens w:val="0"/>
              <w:spacing w:before="40" w:after="40" w:line="220" w:lineRule="exact"/>
              <w:ind w:left="113" w:right="113"/>
              <w:jc w:val="right"/>
              <w:rPr>
                <w:sz w:val="18"/>
                <w:lang w:eastAsia="es-ES"/>
              </w:rPr>
            </w:pPr>
            <w:r w:rsidRPr="00A530E1">
              <w:rPr>
                <w:sz w:val="18"/>
                <w:szCs w:val="14"/>
                <w:lang w:eastAsia="es-ES"/>
              </w:rPr>
              <w:t>5.0</w:t>
            </w:r>
          </w:p>
        </w:tc>
        <w:tc>
          <w:tcPr>
            <w:tcW w:w="1515" w:type="dxa"/>
            <w:shd w:val="clear" w:color="auto" w:fill="auto"/>
            <w:vAlign w:val="bottom"/>
          </w:tcPr>
          <w:p w:rsidR="00180B44" w:rsidRPr="00A530E1" w:rsidRDefault="00180B44" w:rsidP="00222F37">
            <w:pPr>
              <w:shd w:val="clear" w:color="auto" w:fill="FFFFFF"/>
              <w:suppressAutoHyphens w:val="0"/>
              <w:spacing w:before="40" w:after="40" w:line="220" w:lineRule="exact"/>
              <w:ind w:left="113" w:right="113"/>
              <w:jc w:val="right"/>
              <w:rPr>
                <w:sz w:val="18"/>
                <w:lang w:eastAsia="es-ES"/>
              </w:rPr>
            </w:pPr>
            <w:r w:rsidRPr="00A530E1">
              <w:rPr>
                <w:sz w:val="18"/>
                <w:szCs w:val="14"/>
                <w:lang w:eastAsia="es-ES"/>
              </w:rPr>
              <w:t>3.2</w:t>
            </w:r>
          </w:p>
        </w:tc>
      </w:tr>
      <w:tr w:rsidR="00180B44" w:rsidRPr="00A530E1" w:rsidTr="00180B44">
        <w:tblPrEx>
          <w:tblCellMar>
            <w:top w:w="0" w:type="dxa"/>
            <w:bottom w:w="0" w:type="dxa"/>
          </w:tblCellMar>
        </w:tblPrEx>
        <w:trPr>
          <w:trHeight w:val="240"/>
        </w:trPr>
        <w:tc>
          <w:tcPr>
            <w:tcW w:w="2657" w:type="dxa"/>
            <w:shd w:val="clear" w:color="auto" w:fill="auto"/>
          </w:tcPr>
          <w:p w:rsidR="00180B44" w:rsidRPr="00A530E1" w:rsidRDefault="00180B44" w:rsidP="00222F37">
            <w:pPr>
              <w:shd w:val="clear" w:color="auto" w:fill="FFFFFF"/>
              <w:suppressAutoHyphens w:val="0"/>
              <w:spacing w:before="40" w:after="40" w:line="220" w:lineRule="exact"/>
              <w:ind w:left="170" w:right="113"/>
              <w:rPr>
                <w:sz w:val="18"/>
                <w:lang w:eastAsia="es-ES"/>
              </w:rPr>
            </w:pPr>
            <w:r w:rsidRPr="00A530E1">
              <w:rPr>
                <w:sz w:val="18"/>
                <w:szCs w:val="14"/>
                <w:lang w:eastAsia="es-ES"/>
              </w:rPr>
              <w:t>Men</w:t>
            </w:r>
          </w:p>
        </w:tc>
        <w:tc>
          <w:tcPr>
            <w:tcW w:w="1546" w:type="dxa"/>
            <w:shd w:val="clear" w:color="auto" w:fill="auto"/>
            <w:vAlign w:val="bottom"/>
          </w:tcPr>
          <w:p w:rsidR="00180B44" w:rsidRPr="00A530E1" w:rsidRDefault="00180B44" w:rsidP="00222F37">
            <w:pPr>
              <w:shd w:val="clear" w:color="auto" w:fill="FFFFFF"/>
              <w:suppressAutoHyphens w:val="0"/>
              <w:spacing w:before="40" w:after="40" w:line="220" w:lineRule="exact"/>
              <w:ind w:left="113" w:right="113"/>
              <w:jc w:val="right"/>
              <w:rPr>
                <w:b/>
                <w:sz w:val="18"/>
                <w:lang w:eastAsia="es-ES"/>
              </w:rPr>
            </w:pPr>
            <w:r w:rsidRPr="00A530E1">
              <w:rPr>
                <w:b/>
                <w:sz w:val="18"/>
                <w:szCs w:val="14"/>
                <w:lang w:eastAsia="es-ES"/>
              </w:rPr>
              <w:t>3.8</w:t>
            </w:r>
          </w:p>
        </w:tc>
        <w:tc>
          <w:tcPr>
            <w:tcW w:w="1652" w:type="dxa"/>
            <w:shd w:val="clear" w:color="auto" w:fill="auto"/>
            <w:vAlign w:val="bottom"/>
          </w:tcPr>
          <w:p w:rsidR="00180B44" w:rsidRPr="00A530E1" w:rsidRDefault="00180B44" w:rsidP="00222F37">
            <w:pPr>
              <w:shd w:val="clear" w:color="auto" w:fill="FFFFFF"/>
              <w:suppressAutoHyphens w:val="0"/>
              <w:spacing w:before="40" w:after="40" w:line="220" w:lineRule="exact"/>
              <w:ind w:left="113" w:right="113"/>
              <w:jc w:val="right"/>
              <w:rPr>
                <w:sz w:val="18"/>
                <w:lang w:eastAsia="es-ES"/>
              </w:rPr>
            </w:pPr>
            <w:r w:rsidRPr="00A530E1">
              <w:rPr>
                <w:sz w:val="18"/>
                <w:szCs w:val="14"/>
                <w:lang w:eastAsia="es-ES"/>
              </w:rPr>
              <w:t>4.1</w:t>
            </w:r>
          </w:p>
        </w:tc>
        <w:tc>
          <w:tcPr>
            <w:tcW w:w="1515" w:type="dxa"/>
            <w:shd w:val="clear" w:color="auto" w:fill="auto"/>
            <w:vAlign w:val="bottom"/>
          </w:tcPr>
          <w:p w:rsidR="00180B44" w:rsidRPr="00A530E1" w:rsidRDefault="00180B44" w:rsidP="00222F37">
            <w:pPr>
              <w:shd w:val="clear" w:color="auto" w:fill="FFFFFF"/>
              <w:suppressAutoHyphens w:val="0"/>
              <w:spacing w:before="40" w:after="40" w:line="220" w:lineRule="exact"/>
              <w:ind w:left="113" w:right="113"/>
              <w:jc w:val="right"/>
              <w:rPr>
                <w:sz w:val="18"/>
                <w:lang w:eastAsia="es-ES"/>
              </w:rPr>
            </w:pPr>
            <w:r w:rsidRPr="00A530E1">
              <w:rPr>
                <w:sz w:val="18"/>
                <w:szCs w:val="14"/>
                <w:lang w:eastAsia="es-ES"/>
              </w:rPr>
              <w:t>2.9</w:t>
            </w:r>
          </w:p>
        </w:tc>
      </w:tr>
      <w:tr w:rsidR="00180B44" w:rsidRPr="00A530E1" w:rsidTr="00180B44">
        <w:tblPrEx>
          <w:tblCellMar>
            <w:top w:w="0" w:type="dxa"/>
            <w:bottom w:w="0" w:type="dxa"/>
          </w:tblCellMar>
        </w:tblPrEx>
        <w:trPr>
          <w:trHeight w:val="240"/>
        </w:trPr>
        <w:tc>
          <w:tcPr>
            <w:tcW w:w="2657" w:type="dxa"/>
            <w:shd w:val="clear" w:color="auto" w:fill="auto"/>
          </w:tcPr>
          <w:p w:rsidR="00180B44" w:rsidRPr="00A530E1" w:rsidRDefault="00180B44" w:rsidP="00222F37">
            <w:pPr>
              <w:shd w:val="clear" w:color="auto" w:fill="FFFFFF"/>
              <w:suppressAutoHyphens w:val="0"/>
              <w:spacing w:before="40" w:after="40" w:line="220" w:lineRule="exact"/>
              <w:ind w:left="170" w:right="113"/>
              <w:rPr>
                <w:sz w:val="18"/>
                <w:lang w:eastAsia="es-ES"/>
              </w:rPr>
            </w:pPr>
            <w:r w:rsidRPr="00A530E1">
              <w:rPr>
                <w:sz w:val="18"/>
                <w:szCs w:val="14"/>
                <w:lang w:eastAsia="es-ES"/>
              </w:rPr>
              <w:t>Women</w:t>
            </w:r>
          </w:p>
        </w:tc>
        <w:tc>
          <w:tcPr>
            <w:tcW w:w="1546" w:type="dxa"/>
            <w:shd w:val="clear" w:color="auto" w:fill="auto"/>
            <w:vAlign w:val="bottom"/>
          </w:tcPr>
          <w:p w:rsidR="00180B44" w:rsidRPr="00A530E1" w:rsidRDefault="00180B44" w:rsidP="00222F37">
            <w:pPr>
              <w:shd w:val="clear" w:color="auto" w:fill="FFFFFF"/>
              <w:suppressAutoHyphens w:val="0"/>
              <w:spacing w:before="40" w:after="40" w:line="220" w:lineRule="exact"/>
              <w:ind w:left="113" w:right="113"/>
              <w:jc w:val="right"/>
              <w:rPr>
                <w:b/>
                <w:sz w:val="18"/>
                <w:lang w:eastAsia="es-ES"/>
              </w:rPr>
            </w:pPr>
            <w:r w:rsidRPr="00A530E1">
              <w:rPr>
                <w:b/>
                <w:sz w:val="18"/>
                <w:szCs w:val="14"/>
                <w:lang w:eastAsia="es-ES"/>
              </w:rPr>
              <w:t>5.2</w:t>
            </w:r>
          </w:p>
        </w:tc>
        <w:tc>
          <w:tcPr>
            <w:tcW w:w="1652" w:type="dxa"/>
            <w:shd w:val="clear" w:color="auto" w:fill="auto"/>
            <w:vAlign w:val="bottom"/>
          </w:tcPr>
          <w:p w:rsidR="00180B44" w:rsidRPr="00A530E1" w:rsidRDefault="00180B44" w:rsidP="00222F37">
            <w:pPr>
              <w:shd w:val="clear" w:color="auto" w:fill="FFFFFF"/>
              <w:suppressAutoHyphens w:val="0"/>
              <w:spacing w:before="40" w:after="40" w:line="220" w:lineRule="exact"/>
              <w:ind w:left="113" w:right="113"/>
              <w:jc w:val="right"/>
              <w:rPr>
                <w:sz w:val="18"/>
                <w:lang w:eastAsia="es-ES"/>
              </w:rPr>
            </w:pPr>
            <w:r w:rsidRPr="00A530E1">
              <w:rPr>
                <w:sz w:val="18"/>
                <w:szCs w:val="14"/>
                <w:lang w:eastAsia="es-ES"/>
              </w:rPr>
              <w:t>5.8</w:t>
            </w:r>
          </w:p>
        </w:tc>
        <w:tc>
          <w:tcPr>
            <w:tcW w:w="1515" w:type="dxa"/>
            <w:shd w:val="clear" w:color="auto" w:fill="auto"/>
            <w:vAlign w:val="bottom"/>
          </w:tcPr>
          <w:p w:rsidR="00180B44" w:rsidRPr="00A530E1" w:rsidRDefault="00180B44" w:rsidP="00222F37">
            <w:pPr>
              <w:shd w:val="clear" w:color="auto" w:fill="FFFFFF"/>
              <w:suppressAutoHyphens w:val="0"/>
              <w:spacing w:before="40" w:after="40" w:line="220" w:lineRule="exact"/>
              <w:ind w:left="113" w:right="113"/>
              <w:jc w:val="right"/>
              <w:rPr>
                <w:sz w:val="18"/>
                <w:lang w:eastAsia="es-ES"/>
              </w:rPr>
            </w:pPr>
            <w:r w:rsidRPr="00A530E1">
              <w:rPr>
                <w:sz w:val="18"/>
                <w:szCs w:val="14"/>
                <w:lang w:eastAsia="es-ES"/>
              </w:rPr>
              <w:t>3.5</w:t>
            </w:r>
          </w:p>
        </w:tc>
      </w:tr>
      <w:tr w:rsidR="00180B44" w:rsidRPr="00A530E1" w:rsidTr="00180B44">
        <w:tblPrEx>
          <w:tblCellMar>
            <w:top w:w="0" w:type="dxa"/>
            <w:bottom w:w="0" w:type="dxa"/>
          </w:tblCellMar>
        </w:tblPrEx>
        <w:trPr>
          <w:trHeight w:val="240"/>
        </w:trPr>
        <w:tc>
          <w:tcPr>
            <w:tcW w:w="2657" w:type="dxa"/>
            <w:shd w:val="clear" w:color="auto" w:fill="auto"/>
          </w:tcPr>
          <w:p w:rsidR="00180B44" w:rsidRPr="00A530E1" w:rsidRDefault="00180B44" w:rsidP="00222F37">
            <w:pPr>
              <w:shd w:val="clear" w:color="auto" w:fill="FFFFFF"/>
              <w:suppressAutoHyphens w:val="0"/>
              <w:spacing w:before="40" w:after="40" w:line="220" w:lineRule="exact"/>
              <w:ind w:right="113"/>
              <w:rPr>
                <w:sz w:val="18"/>
                <w:vertAlign w:val="superscript"/>
                <w:lang w:eastAsia="es-ES"/>
              </w:rPr>
            </w:pPr>
            <w:r w:rsidRPr="00A530E1">
              <w:rPr>
                <w:bCs/>
                <w:sz w:val="18"/>
                <w:szCs w:val="14"/>
                <w:lang w:eastAsia="es-ES"/>
              </w:rPr>
              <w:t>Motor</w:t>
            </w:r>
            <w:r w:rsidRPr="00A530E1">
              <w:rPr>
                <w:bCs/>
                <w:i/>
                <w:sz w:val="18"/>
                <w:szCs w:val="14"/>
                <w:vertAlign w:val="superscript"/>
                <w:lang w:eastAsia="es-ES"/>
              </w:rPr>
              <w:t>1</w:t>
            </w:r>
          </w:p>
        </w:tc>
        <w:tc>
          <w:tcPr>
            <w:tcW w:w="1546" w:type="dxa"/>
            <w:shd w:val="clear" w:color="auto" w:fill="auto"/>
            <w:vAlign w:val="bottom"/>
          </w:tcPr>
          <w:p w:rsidR="00180B44" w:rsidRPr="00A530E1" w:rsidRDefault="00180B44" w:rsidP="00222F37">
            <w:pPr>
              <w:shd w:val="clear" w:color="auto" w:fill="FFFFFF"/>
              <w:suppressAutoHyphens w:val="0"/>
              <w:spacing w:before="40" w:after="40" w:line="220" w:lineRule="exact"/>
              <w:ind w:left="113" w:right="113"/>
              <w:jc w:val="right"/>
              <w:rPr>
                <w:b/>
                <w:sz w:val="18"/>
                <w:lang w:eastAsia="es-ES"/>
              </w:rPr>
            </w:pPr>
            <w:r w:rsidRPr="00A530E1">
              <w:rPr>
                <w:b/>
                <w:sz w:val="18"/>
                <w:szCs w:val="14"/>
                <w:lang w:eastAsia="es-ES"/>
              </w:rPr>
              <w:t>2.7</w:t>
            </w:r>
          </w:p>
        </w:tc>
        <w:tc>
          <w:tcPr>
            <w:tcW w:w="1652" w:type="dxa"/>
            <w:shd w:val="clear" w:color="auto" w:fill="auto"/>
            <w:vAlign w:val="bottom"/>
          </w:tcPr>
          <w:p w:rsidR="00180B44" w:rsidRPr="00A530E1" w:rsidRDefault="00180B44" w:rsidP="00222F37">
            <w:pPr>
              <w:shd w:val="clear" w:color="auto" w:fill="FFFFFF"/>
              <w:suppressAutoHyphens w:val="0"/>
              <w:spacing w:before="40" w:after="40" w:line="220" w:lineRule="exact"/>
              <w:ind w:left="113" w:right="113"/>
              <w:jc w:val="right"/>
              <w:rPr>
                <w:sz w:val="18"/>
                <w:lang w:eastAsia="es-ES"/>
              </w:rPr>
            </w:pPr>
            <w:r w:rsidRPr="00A530E1">
              <w:rPr>
                <w:sz w:val="18"/>
                <w:szCs w:val="14"/>
                <w:lang w:eastAsia="es-ES"/>
              </w:rPr>
              <w:t>2.7</w:t>
            </w:r>
          </w:p>
        </w:tc>
        <w:tc>
          <w:tcPr>
            <w:tcW w:w="1515" w:type="dxa"/>
            <w:shd w:val="clear" w:color="auto" w:fill="auto"/>
            <w:vAlign w:val="bottom"/>
          </w:tcPr>
          <w:p w:rsidR="00180B44" w:rsidRPr="00A530E1" w:rsidRDefault="00180B44" w:rsidP="00222F37">
            <w:pPr>
              <w:shd w:val="clear" w:color="auto" w:fill="FFFFFF"/>
              <w:suppressAutoHyphens w:val="0"/>
              <w:spacing w:before="40" w:after="40" w:line="220" w:lineRule="exact"/>
              <w:ind w:left="113" w:right="113"/>
              <w:jc w:val="right"/>
              <w:rPr>
                <w:sz w:val="18"/>
                <w:lang w:eastAsia="es-ES"/>
              </w:rPr>
            </w:pPr>
            <w:r w:rsidRPr="00A530E1">
              <w:rPr>
                <w:sz w:val="18"/>
                <w:szCs w:val="14"/>
                <w:lang w:eastAsia="es-ES"/>
              </w:rPr>
              <w:t>2.5</w:t>
            </w:r>
          </w:p>
        </w:tc>
      </w:tr>
      <w:tr w:rsidR="00180B44" w:rsidRPr="00A530E1" w:rsidTr="00180B44">
        <w:tblPrEx>
          <w:tblCellMar>
            <w:top w:w="0" w:type="dxa"/>
            <w:bottom w:w="0" w:type="dxa"/>
          </w:tblCellMar>
        </w:tblPrEx>
        <w:trPr>
          <w:trHeight w:val="240"/>
        </w:trPr>
        <w:tc>
          <w:tcPr>
            <w:tcW w:w="2657" w:type="dxa"/>
            <w:shd w:val="clear" w:color="auto" w:fill="auto"/>
          </w:tcPr>
          <w:p w:rsidR="00180B44" w:rsidRPr="00A530E1" w:rsidRDefault="00180B44" w:rsidP="00222F37">
            <w:pPr>
              <w:shd w:val="clear" w:color="auto" w:fill="FFFFFF"/>
              <w:suppressAutoHyphens w:val="0"/>
              <w:spacing w:before="40" w:after="40" w:line="220" w:lineRule="exact"/>
              <w:ind w:left="170" w:right="113"/>
              <w:rPr>
                <w:sz w:val="18"/>
                <w:lang w:eastAsia="es-ES"/>
              </w:rPr>
            </w:pPr>
            <w:r w:rsidRPr="00A530E1">
              <w:rPr>
                <w:sz w:val="18"/>
                <w:szCs w:val="14"/>
                <w:lang w:eastAsia="es-ES"/>
              </w:rPr>
              <w:t>Men</w:t>
            </w:r>
          </w:p>
        </w:tc>
        <w:tc>
          <w:tcPr>
            <w:tcW w:w="1546" w:type="dxa"/>
            <w:shd w:val="clear" w:color="auto" w:fill="auto"/>
            <w:vAlign w:val="bottom"/>
          </w:tcPr>
          <w:p w:rsidR="00180B44" w:rsidRPr="00A530E1" w:rsidRDefault="00180B44" w:rsidP="00222F37">
            <w:pPr>
              <w:shd w:val="clear" w:color="auto" w:fill="FFFFFF"/>
              <w:suppressAutoHyphens w:val="0"/>
              <w:spacing w:before="40" w:after="40" w:line="220" w:lineRule="exact"/>
              <w:ind w:left="113" w:right="113"/>
              <w:jc w:val="right"/>
              <w:rPr>
                <w:b/>
                <w:sz w:val="18"/>
                <w:lang w:eastAsia="es-ES"/>
              </w:rPr>
            </w:pPr>
            <w:r w:rsidRPr="00A530E1">
              <w:rPr>
                <w:b/>
                <w:sz w:val="18"/>
                <w:szCs w:val="14"/>
                <w:lang w:eastAsia="es-ES"/>
              </w:rPr>
              <w:t>2.2</w:t>
            </w:r>
          </w:p>
        </w:tc>
        <w:tc>
          <w:tcPr>
            <w:tcW w:w="1652" w:type="dxa"/>
            <w:shd w:val="clear" w:color="auto" w:fill="auto"/>
            <w:vAlign w:val="bottom"/>
          </w:tcPr>
          <w:p w:rsidR="00180B44" w:rsidRPr="00A530E1" w:rsidRDefault="00180B44" w:rsidP="00222F37">
            <w:pPr>
              <w:shd w:val="clear" w:color="auto" w:fill="FFFFFF"/>
              <w:suppressAutoHyphens w:val="0"/>
              <w:spacing w:before="40" w:after="40" w:line="220" w:lineRule="exact"/>
              <w:ind w:left="113" w:right="113"/>
              <w:jc w:val="right"/>
              <w:rPr>
                <w:sz w:val="18"/>
                <w:lang w:eastAsia="es-ES"/>
              </w:rPr>
            </w:pPr>
            <w:r w:rsidRPr="00A530E1">
              <w:rPr>
                <w:sz w:val="18"/>
                <w:szCs w:val="14"/>
                <w:lang w:eastAsia="es-ES"/>
              </w:rPr>
              <w:t>2.2</w:t>
            </w:r>
          </w:p>
        </w:tc>
        <w:tc>
          <w:tcPr>
            <w:tcW w:w="1515" w:type="dxa"/>
            <w:shd w:val="clear" w:color="auto" w:fill="auto"/>
            <w:vAlign w:val="bottom"/>
          </w:tcPr>
          <w:p w:rsidR="00180B44" w:rsidRPr="00A530E1" w:rsidRDefault="00180B44" w:rsidP="00222F37">
            <w:pPr>
              <w:shd w:val="clear" w:color="auto" w:fill="FFFFFF"/>
              <w:suppressAutoHyphens w:val="0"/>
              <w:spacing w:before="40" w:after="40" w:line="220" w:lineRule="exact"/>
              <w:ind w:left="113" w:right="113"/>
              <w:jc w:val="right"/>
              <w:rPr>
                <w:sz w:val="18"/>
                <w:lang w:eastAsia="es-ES"/>
              </w:rPr>
            </w:pPr>
            <w:r w:rsidRPr="00A530E1">
              <w:rPr>
                <w:sz w:val="18"/>
                <w:szCs w:val="14"/>
                <w:lang w:eastAsia="es-ES"/>
              </w:rPr>
              <w:t>2.1</w:t>
            </w:r>
          </w:p>
        </w:tc>
      </w:tr>
      <w:tr w:rsidR="00180B44" w:rsidRPr="00A530E1" w:rsidTr="00180B44">
        <w:tblPrEx>
          <w:tblCellMar>
            <w:top w:w="0" w:type="dxa"/>
            <w:bottom w:w="0" w:type="dxa"/>
          </w:tblCellMar>
        </w:tblPrEx>
        <w:trPr>
          <w:trHeight w:val="240"/>
        </w:trPr>
        <w:tc>
          <w:tcPr>
            <w:tcW w:w="2657" w:type="dxa"/>
            <w:shd w:val="clear" w:color="auto" w:fill="auto"/>
          </w:tcPr>
          <w:p w:rsidR="00180B44" w:rsidRPr="00A530E1" w:rsidRDefault="00180B44" w:rsidP="00222F37">
            <w:pPr>
              <w:shd w:val="clear" w:color="auto" w:fill="FFFFFF"/>
              <w:suppressAutoHyphens w:val="0"/>
              <w:spacing w:before="40" w:after="40" w:line="220" w:lineRule="exact"/>
              <w:ind w:left="170" w:right="113"/>
              <w:rPr>
                <w:sz w:val="18"/>
                <w:lang w:eastAsia="es-ES"/>
              </w:rPr>
            </w:pPr>
            <w:r w:rsidRPr="00A530E1">
              <w:rPr>
                <w:sz w:val="18"/>
                <w:szCs w:val="14"/>
                <w:lang w:eastAsia="es-ES"/>
              </w:rPr>
              <w:t>Women</w:t>
            </w:r>
          </w:p>
        </w:tc>
        <w:tc>
          <w:tcPr>
            <w:tcW w:w="1546" w:type="dxa"/>
            <w:shd w:val="clear" w:color="auto" w:fill="auto"/>
            <w:vAlign w:val="bottom"/>
          </w:tcPr>
          <w:p w:rsidR="00180B44" w:rsidRPr="00A530E1" w:rsidRDefault="00180B44" w:rsidP="00222F37">
            <w:pPr>
              <w:shd w:val="clear" w:color="auto" w:fill="FFFFFF"/>
              <w:suppressAutoHyphens w:val="0"/>
              <w:spacing w:before="40" w:after="40" w:line="220" w:lineRule="exact"/>
              <w:ind w:left="113" w:right="113"/>
              <w:jc w:val="right"/>
              <w:rPr>
                <w:b/>
                <w:sz w:val="18"/>
                <w:lang w:eastAsia="es-ES"/>
              </w:rPr>
            </w:pPr>
            <w:r w:rsidRPr="00A530E1">
              <w:rPr>
                <w:b/>
                <w:sz w:val="18"/>
                <w:szCs w:val="14"/>
                <w:lang w:eastAsia="es-ES"/>
              </w:rPr>
              <w:t>3.1</w:t>
            </w:r>
          </w:p>
        </w:tc>
        <w:tc>
          <w:tcPr>
            <w:tcW w:w="1652" w:type="dxa"/>
            <w:shd w:val="clear" w:color="auto" w:fill="auto"/>
            <w:vAlign w:val="bottom"/>
          </w:tcPr>
          <w:p w:rsidR="00180B44" w:rsidRPr="00A530E1" w:rsidRDefault="00180B44" w:rsidP="00222F37">
            <w:pPr>
              <w:shd w:val="clear" w:color="auto" w:fill="FFFFFF"/>
              <w:suppressAutoHyphens w:val="0"/>
              <w:spacing w:before="40" w:after="40" w:line="220" w:lineRule="exact"/>
              <w:ind w:left="113" w:right="113"/>
              <w:jc w:val="right"/>
              <w:rPr>
                <w:sz w:val="18"/>
                <w:lang w:eastAsia="es-ES"/>
              </w:rPr>
            </w:pPr>
            <w:r w:rsidRPr="00A530E1">
              <w:rPr>
                <w:sz w:val="18"/>
                <w:szCs w:val="14"/>
                <w:lang w:eastAsia="es-ES"/>
              </w:rPr>
              <w:t>3.2</w:t>
            </w:r>
          </w:p>
        </w:tc>
        <w:tc>
          <w:tcPr>
            <w:tcW w:w="1515" w:type="dxa"/>
            <w:shd w:val="clear" w:color="auto" w:fill="auto"/>
            <w:vAlign w:val="bottom"/>
          </w:tcPr>
          <w:p w:rsidR="00180B44" w:rsidRPr="00A530E1" w:rsidRDefault="00180B44" w:rsidP="00222F37">
            <w:pPr>
              <w:shd w:val="clear" w:color="auto" w:fill="FFFFFF"/>
              <w:suppressAutoHyphens w:val="0"/>
              <w:spacing w:before="40" w:after="40" w:line="220" w:lineRule="exact"/>
              <w:ind w:left="113" w:right="113"/>
              <w:jc w:val="right"/>
              <w:rPr>
                <w:sz w:val="18"/>
                <w:lang w:eastAsia="es-ES"/>
              </w:rPr>
            </w:pPr>
            <w:r w:rsidRPr="00A530E1">
              <w:rPr>
                <w:sz w:val="18"/>
                <w:szCs w:val="14"/>
                <w:lang w:eastAsia="es-ES"/>
              </w:rPr>
              <w:t>2.8</w:t>
            </w:r>
          </w:p>
        </w:tc>
      </w:tr>
      <w:tr w:rsidR="00180B44" w:rsidRPr="00A530E1" w:rsidTr="00180B44">
        <w:tblPrEx>
          <w:tblCellMar>
            <w:top w:w="0" w:type="dxa"/>
            <w:bottom w:w="0" w:type="dxa"/>
          </w:tblCellMar>
        </w:tblPrEx>
        <w:trPr>
          <w:trHeight w:val="240"/>
        </w:trPr>
        <w:tc>
          <w:tcPr>
            <w:tcW w:w="2657" w:type="dxa"/>
            <w:shd w:val="clear" w:color="auto" w:fill="auto"/>
          </w:tcPr>
          <w:p w:rsidR="00180B44" w:rsidRPr="00A530E1" w:rsidRDefault="00180B44" w:rsidP="00222F37">
            <w:pPr>
              <w:shd w:val="clear" w:color="auto" w:fill="FFFFFF"/>
              <w:suppressAutoHyphens w:val="0"/>
              <w:spacing w:before="40" w:after="40" w:line="220" w:lineRule="exact"/>
              <w:ind w:right="113"/>
              <w:rPr>
                <w:sz w:val="18"/>
                <w:lang w:eastAsia="es-ES"/>
              </w:rPr>
            </w:pPr>
            <w:r w:rsidRPr="00A530E1">
              <w:rPr>
                <w:sz w:val="18"/>
                <w:lang w:eastAsia="es-ES"/>
              </w:rPr>
              <w:t>Hearing</w:t>
            </w:r>
          </w:p>
        </w:tc>
        <w:tc>
          <w:tcPr>
            <w:tcW w:w="1546" w:type="dxa"/>
            <w:shd w:val="clear" w:color="auto" w:fill="auto"/>
            <w:vAlign w:val="bottom"/>
          </w:tcPr>
          <w:p w:rsidR="00180B44" w:rsidRPr="00A530E1" w:rsidRDefault="00180B44" w:rsidP="00222F37">
            <w:pPr>
              <w:shd w:val="clear" w:color="auto" w:fill="FFFFFF"/>
              <w:suppressAutoHyphens w:val="0"/>
              <w:spacing w:before="40" w:after="40" w:line="220" w:lineRule="exact"/>
              <w:ind w:left="113" w:right="113"/>
              <w:jc w:val="right"/>
              <w:rPr>
                <w:b/>
                <w:sz w:val="18"/>
                <w:lang w:eastAsia="es-ES"/>
              </w:rPr>
            </w:pPr>
            <w:r w:rsidRPr="00A530E1">
              <w:rPr>
                <w:b/>
                <w:sz w:val="18"/>
                <w:szCs w:val="14"/>
                <w:lang w:eastAsia="es-ES"/>
              </w:rPr>
              <w:t>2.2</w:t>
            </w:r>
          </w:p>
        </w:tc>
        <w:tc>
          <w:tcPr>
            <w:tcW w:w="1652" w:type="dxa"/>
            <w:shd w:val="clear" w:color="auto" w:fill="auto"/>
            <w:vAlign w:val="bottom"/>
          </w:tcPr>
          <w:p w:rsidR="00180B44" w:rsidRPr="00A530E1" w:rsidRDefault="00180B44" w:rsidP="00222F37">
            <w:pPr>
              <w:shd w:val="clear" w:color="auto" w:fill="FFFFFF"/>
              <w:suppressAutoHyphens w:val="0"/>
              <w:spacing w:before="40" w:after="40" w:line="220" w:lineRule="exact"/>
              <w:ind w:left="113" w:right="113"/>
              <w:jc w:val="right"/>
              <w:rPr>
                <w:sz w:val="18"/>
                <w:lang w:eastAsia="es-ES"/>
              </w:rPr>
            </w:pPr>
            <w:r w:rsidRPr="00A530E1">
              <w:rPr>
                <w:sz w:val="18"/>
                <w:szCs w:val="14"/>
                <w:lang w:eastAsia="es-ES"/>
              </w:rPr>
              <w:t>2.2</w:t>
            </w:r>
          </w:p>
        </w:tc>
        <w:tc>
          <w:tcPr>
            <w:tcW w:w="1515" w:type="dxa"/>
            <w:shd w:val="clear" w:color="auto" w:fill="auto"/>
            <w:vAlign w:val="bottom"/>
          </w:tcPr>
          <w:p w:rsidR="00180B44" w:rsidRPr="00A530E1" w:rsidRDefault="00180B44" w:rsidP="00222F37">
            <w:pPr>
              <w:shd w:val="clear" w:color="auto" w:fill="FFFFFF"/>
              <w:suppressAutoHyphens w:val="0"/>
              <w:spacing w:before="40" w:after="40" w:line="220" w:lineRule="exact"/>
              <w:ind w:left="113" w:right="113"/>
              <w:jc w:val="right"/>
              <w:rPr>
                <w:sz w:val="18"/>
                <w:lang w:eastAsia="es-ES"/>
              </w:rPr>
            </w:pPr>
            <w:r w:rsidRPr="00A530E1">
              <w:rPr>
                <w:sz w:val="18"/>
                <w:szCs w:val="14"/>
                <w:lang w:eastAsia="es-ES"/>
              </w:rPr>
              <w:t>2.1</w:t>
            </w:r>
          </w:p>
        </w:tc>
      </w:tr>
      <w:tr w:rsidR="00180B44" w:rsidRPr="00A530E1" w:rsidTr="00180B44">
        <w:tblPrEx>
          <w:tblCellMar>
            <w:top w:w="0" w:type="dxa"/>
            <w:bottom w:w="0" w:type="dxa"/>
          </w:tblCellMar>
        </w:tblPrEx>
        <w:trPr>
          <w:trHeight w:val="240"/>
        </w:trPr>
        <w:tc>
          <w:tcPr>
            <w:tcW w:w="2657" w:type="dxa"/>
            <w:shd w:val="clear" w:color="auto" w:fill="auto"/>
          </w:tcPr>
          <w:p w:rsidR="00180B44" w:rsidRPr="00A530E1" w:rsidRDefault="00180B44" w:rsidP="00222F37">
            <w:pPr>
              <w:shd w:val="clear" w:color="auto" w:fill="FFFFFF"/>
              <w:suppressAutoHyphens w:val="0"/>
              <w:spacing w:before="40" w:after="40" w:line="220" w:lineRule="exact"/>
              <w:ind w:left="170" w:right="113"/>
              <w:rPr>
                <w:sz w:val="18"/>
                <w:lang w:eastAsia="es-ES"/>
              </w:rPr>
            </w:pPr>
            <w:r w:rsidRPr="00A530E1">
              <w:rPr>
                <w:sz w:val="18"/>
                <w:szCs w:val="14"/>
                <w:lang w:eastAsia="es-ES"/>
              </w:rPr>
              <w:t>Men</w:t>
            </w:r>
          </w:p>
        </w:tc>
        <w:tc>
          <w:tcPr>
            <w:tcW w:w="1546" w:type="dxa"/>
            <w:shd w:val="clear" w:color="auto" w:fill="auto"/>
            <w:vAlign w:val="bottom"/>
          </w:tcPr>
          <w:p w:rsidR="00180B44" w:rsidRPr="00A530E1" w:rsidRDefault="00180B44" w:rsidP="00222F37">
            <w:pPr>
              <w:shd w:val="clear" w:color="auto" w:fill="FFFFFF"/>
              <w:suppressAutoHyphens w:val="0"/>
              <w:spacing w:before="40" w:after="40" w:line="220" w:lineRule="exact"/>
              <w:ind w:left="113" w:right="113"/>
              <w:jc w:val="right"/>
              <w:rPr>
                <w:b/>
                <w:sz w:val="18"/>
                <w:lang w:eastAsia="es-ES"/>
              </w:rPr>
            </w:pPr>
            <w:r w:rsidRPr="00A530E1">
              <w:rPr>
                <w:b/>
                <w:sz w:val="18"/>
                <w:szCs w:val="14"/>
                <w:lang w:eastAsia="es-ES"/>
              </w:rPr>
              <w:t>2.2</w:t>
            </w:r>
          </w:p>
        </w:tc>
        <w:tc>
          <w:tcPr>
            <w:tcW w:w="1652" w:type="dxa"/>
            <w:shd w:val="clear" w:color="auto" w:fill="auto"/>
            <w:vAlign w:val="bottom"/>
          </w:tcPr>
          <w:p w:rsidR="00180B44" w:rsidRPr="00A530E1" w:rsidRDefault="00180B44" w:rsidP="00222F37">
            <w:pPr>
              <w:shd w:val="clear" w:color="auto" w:fill="FFFFFF"/>
              <w:suppressAutoHyphens w:val="0"/>
              <w:spacing w:before="40" w:after="40" w:line="220" w:lineRule="exact"/>
              <w:ind w:left="113" w:right="113"/>
              <w:jc w:val="right"/>
              <w:rPr>
                <w:sz w:val="18"/>
                <w:lang w:eastAsia="es-ES"/>
              </w:rPr>
            </w:pPr>
            <w:r w:rsidRPr="00A530E1">
              <w:rPr>
                <w:sz w:val="18"/>
                <w:szCs w:val="14"/>
                <w:lang w:eastAsia="es-ES"/>
              </w:rPr>
              <w:t>2.2</w:t>
            </w:r>
          </w:p>
        </w:tc>
        <w:tc>
          <w:tcPr>
            <w:tcW w:w="1515" w:type="dxa"/>
            <w:shd w:val="clear" w:color="auto" w:fill="auto"/>
            <w:vAlign w:val="bottom"/>
          </w:tcPr>
          <w:p w:rsidR="00180B44" w:rsidRPr="00A530E1" w:rsidRDefault="00180B44" w:rsidP="00222F37">
            <w:pPr>
              <w:shd w:val="clear" w:color="auto" w:fill="FFFFFF"/>
              <w:suppressAutoHyphens w:val="0"/>
              <w:spacing w:before="40" w:after="40" w:line="220" w:lineRule="exact"/>
              <w:ind w:left="113" w:right="113"/>
              <w:jc w:val="right"/>
              <w:rPr>
                <w:sz w:val="18"/>
                <w:lang w:eastAsia="es-ES"/>
              </w:rPr>
            </w:pPr>
            <w:r w:rsidRPr="00A530E1">
              <w:rPr>
                <w:sz w:val="18"/>
                <w:szCs w:val="14"/>
                <w:lang w:eastAsia="es-ES"/>
              </w:rPr>
              <w:t>2.1</w:t>
            </w:r>
          </w:p>
        </w:tc>
      </w:tr>
      <w:tr w:rsidR="00180B44" w:rsidRPr="00A530E1" w:rsidTr="00180B44">
        <w:tblPrEx>
          <w:tblCellMar>
            <w:top w:w="0" w:type="dxa"/>
            <w:bottom w:w="0" w:type="dxa"/>
          </w:tblCellMar>
        </w:tblPrEx>
        <w:trPr>
          <w:trHeight w:val="240"/>
        </w:trPr>
        <w:tc>
          <w:tcPr>
            <w:tcW w:w="2657" w:type="dxa"/>
            <w:shd w:val="clear" w:color="auto" w:fill="auto"/>
          </w:tcPr>
          <w:p w:rsidR="00180B44" w:rsidRPr="00A530E1" w:rsidRDefault="00180B44" w:rsidP="00222F37">
            <w:pPr>
              <w:shd w:val="clear" w:color="auto" w:fill="FFFFFF"/>
              <w:suppressAutoHyphens w:val="0"/>
              <w:spacing w:before="40" w:after="40" w:line="220" w:lineRule="exact"/>
              <w:ind w:left="170" w:right="113"/>
              <w:rPr>
                <w:sz w:val="18"/>
                <w:lang w:eastAsia="es-ES"/>
              </w:rPr>
            </w:pPr>
            <w:r w:rsidRPr="00A530E1">
              <w:rPr>
                <w:sz w:val="18"/>
                <w:szCs w:val="14"/>
                <w:lang w:eastAsia="es-ES"/>
              </w:rPr>
              <w:t>Women</w:t>
            </w:r>
          </w:p>
        </w:tc>
        <w:tc>
          <w:tcPr>
            <w:tcW w:w="1546" w:type="dxa"/>
            <w:shd w:val="clear" w:color="auto" w:fill="auto"/>
            <w:vAlign w:val="bottom"/>
          </w:tcPr>
          <w:p w:rsidR="00180B44" w:rsidRPr="00A530E1" w:rsidRDefault="00180B44" w:rsidP="00222F37">
            <w:pPr>
              <w:shd w:val="clear" w:color="auto" w:fill="FFFFFF"/>
              <w:suppressAutoHyphens w:val="0"/>
              <w:spacing w:before="40" w:after="40" w:line="220" w:lineRule="exact"/>
              <w:ind w:left="113" w:right="113"/>
              <w:jc w:val="right"/>
              <w:rPr>
                <w:b/>
                <w:sz w:val="18"/>
                <w:lang w:eastAsia="es-ES"/>
              </w:rPr>
            </w:pPr>
            <w:r w:rsidRPr="00A530E1">
              <w:rPr>
                <w:b/>
                <w:sz w:val="18"/>
                <w:szCs w:val="14"/>
                <w:lang w:eastAsia="es-ES"/>
              </w:rPr>
              <w:t>2.2</w:t>
            </w:r>
          </w:p>
        </w:tc>
        <w:tc>
          <w:tcPr>
            <w:tcW w:w="1652" w:type="dxa"/>
            <w:shd w:val="clear" w:color="auto" w:fill="auto"/>
            <w:vAlign w:val="bottom"/>
          </w:tcPr>
          <w:p w:rsidR="00180B44" w:rsidRPr="00A530E1" w:rsidRDefault="00180B44" w:rsidP="00222F37">
            <w:pPr>
              <w:shd w:val="clear" w:color="auto" w:fill="FFFFFF"/>
              <w:suppressAutoHyphens w:val="0"/>
              <w:spacing w:before="40" w:after="40" w:line="220" w:lineRule="exact"/>
              <w:ind w:left="113" w:right="113"/>
              <w:jc w:val="right"/>
              <w:rPr>
                <w:sz w:val="18"/>
                <w:lang w:eastAsia="es-ES"/>
              </w:rPr>
            </w:pPr>
            <w:r w:rsidRPr="00A530E1">
              <w:rPr>
                <w:sz w:val="18"/>
                <w:szCs w:val="14"/>
                <w:lang w:eastAsia="es-ES"/>
              </w:rPr>
              <w:t>2.2</w:t>
            </w:r>
          </w:p>
        </w:tc>
        <w:tc>
          <w:tcPr>
            <w:tcW w:w="1515" w:type="dxa"/>
            <w:shd w:val="clear" w:color="auto" w:fill="auto"/>
            <w:vAlign w:val="bottom"/>
          </w:tcPr>
          <w:p w:rsidR="00180B44" w:rsidRPr="00A530E1" w:rsidRDefault="00180B44" w:rsidP="00222F37">
            <w:pPr>
              <w:shd w:val="clear" w:color="auto" w:fill="FFFFFF"/>
              <w:suppressAutoHyphens w:val="0"/>
              <w:spacing w:before="40" w:after="40" w:line="220" w:lineRule="exact"/>
              <w:ind w:left="113" w:right="113"/>
              <w:jc w:val="right"/>
              <w:rPr>
                <w:sz w:val="18"/>
                <w:lang w:eastAsia="es-ES"/>
              </w:rPr>
            </w:pPr>
            <w:r w:rsidRPr="00A530E1">
              <w:rPr>
                <w:sz w:val="18"/>
                <w:szCs w:val="14"/>
                <w:lang w:eastAsia="es-ES"/>
              </w:rPr>
              <w:t>2.2</w:t>
            </w:r>
          </w:p>
        </w:tc>
      </w:tr>
      <w:tr w:rsidR="00180B44" w:rsidRPr="00A530E1" w:rsidTr="00180B44">
        <w:tblPrEx>
          <w:tblCellMar>
            <w:top w:w="0" w:type="dxa"/>
            <w:bottom w:w="0" w:type="dxa"/>
          </w:tblCellMar>
        </w:tblPrEx>
        <w:trPr>
          <w:trHeight w:val="240"/>
        </w:trPr>
        <w:tc>
          <w:tcPr>
            <w:tcW w:w="2657" w:type="dxa"/>
            <w:shd w:val="clear" w:color="auto" w:fill="auto"/>
          </w:tcPr>
          <w:p w:rsidR="00180B44" w:rsidRPr="00A530E1" w:rsidRDefault="00180B44" w:rsidP="00222F37">
            <w:pPr>
              <w:shd w:val="clear" w:color="auto" w:fill="FFFFFF"/>
              <w:suppressAutoHyphens w:val="0"/>
              <w:spacing w:before="40" w:after="40" w:line="220" w:lineRule="exact"/>
              <w:ind w:right="113"/>
              <w:rPr>
                <w:sz w:val="18"/>
                <w:vertAlign w:val="superscript"/>
                <w:lang w:eastAsia="es-ES"/>
              </w:rPr>
            </w:pPr>
            <w:r w:rsidRPr="00A530E1">
              <w:rPr>
                <w:bCs/>
                <w:sz w:val="18"/>
                <w:szCs w:val="14"/>
                <w:lang w:eastAsia="es-ES"/>
              </w:rPr>
              <w:t>Mental</w:t>
            </w:r>
            <w:r w:rsidRPr="00A530E1">
              <w:rPr>
                <w:bCs/>
                <w:i/>
                <w:sz w:val="18"/>
                <w:szCs w:val="14"/>
                <w:vertAlign w:val="superscript"/>
                <w:lang w:eastAsia="es-ES"/>
              </w:rPr>
              <w:t>2</w:t>
            </w:r>
          </w:p>
        </w:tc>
        <w:tc>
          <w:tcPr>
            <w:tcW w:w="1546" w:type="dxa"/>
            <w:shd w:val="clear" w:color="auto" w:fill="auto"/>
            <w:vAlign w:val="bottom"/>
          </w:tcPr>
          <w:p w:rsidR="00180B44" w:rsidRPr="00A530E1" w:rsidRDefault="00180B44" w:rsidP="00222F37">
            <w:pPr>
              <w:shd w:val="clear" w:color="auto" w:fill="FFFFFF"/>
              <w:suppressAutoHyphens w:val="0"/>
              <w:spacing w:before="40" w:after="40" w:line="220" w:lineRule="exact"/>
              <w:ind w:left="113" w:right="113"/>
              <w:jc w:val="right"/>
              <w:rPr>
                <w:b/>
                <w:sz w:val="18"/>
                <w:lang w:eastAsia="es-ES"/>
              </w:rPr>
            </w:pPr>
            <w:r w:rsidRPr="00A530E1">
              <w:rPr>
                <w:b/>
                <w:sz w:val="18"/>
                <w:szCs w:val="14"/>
                <w:lang w:eastAsia="es-ES"/>
              </w:rPr>
              <w:t>1.1</w:t>
            </w:r>
          </w:p>
        </w:tc>
        <w:tc>
          <w:tcPr>
            <w:tcW w:w="1652" w:type="dxa"/>
            <w:shd w:val="clear" w:color="auto" w:fill="auto"/>
            <w:vAlign w:val="bottom"/>
          </w:tcPr>
          <w:p w:rsidR="00180B44" w:rsidRPr="00A530E1" w:rsidRDefault="00180B44" w:rsidP="00222F37">
            <w:pPr>
              <w:shd w:val="clear" w:color="auto" w:fill="FFFFFF"/>
              <w:suppressAutoHyphens w:val="0"/>
              <w:spacing w:before="40" w:after="40" w:line="220" w:lineRule="exact"/>
              <w:ind w:left="113" w:right="113"/>
              <w:jc w:val="right"/>
              <w:rPr>
                <w:sz w:val="18"/>
                <w:lang w:eastAsia="es-ES"/>
              </w:rPr>
            </w:pPr>
            <w:r w:rsidRPr="00A530E1">
              <w:rPr>
                <w:sz w:val="18"/>
                <w:szCs w:val="14"/>
                <w:lang w:eastAsia="es-ES"/>
              </w:rPr>
              <w:t>1.2</w:t>
            </w:r>
          </w:p>
        </w:tc>
        <w:tc>
          <w:tcPr>
            <w:tcW w:w="1515" w:type="dxa"/>
            <w:shd w:val="clear" w:color="auto" w:fill="auto"/>
            <w:vAlign w:val="bottom"/>
          </w:tcPr>
          <w:p w:rsidR="00180B44" w:rsidRPr="00A530E1" w:rsidRDefault="00180B44" w:rsidP="00222F37">
            <w:pPr>
              <w:shd w:val="clear" w:color="auto" w:fill="FFFFFF"/>
              <w:suppressAutoHyphens w:val="0"/>
              <w:spacing w:before="40" w:after="40" w:line="220" w:lineRule="exact"/>
              <w:ind w:left="113" w:right="113"/>
              <w:jc w:val="right"/>
              <w:rPr>
                <w:sz w:val="18"/>
                <w:lang w:eastAsia="es-ES"/>
              </w:rPr>
            </w:pPr>
            <w:r w:rsidRPr="00A530E1">
              <w:rPr>
                <w:sz w:val="18"/>
                <w:szCs w:val="14"/>
                <w:lang w:eastAsia="es-ES"/>
              </w:rPr>
              <w:t>1.1</w:t>
            </w:r>
          </w:p>
        </w:tc>
      </w:tr>
      <w:tr w:rsidR="00180B44" w:rsidRPr="00A530E1" w:rsidTr="00180B44">
        <w:tblPrEx>
          <w:tblCellMar>
            <w:top w:w="0" w:type="dxa"/>
            <w:bottom w:w="0" w:type="dxa"/>
          </w:tblCellMar>
        </w:tblPrEx>
        <w:trPr>
          <w:trHeight w:val="240"/>
        </w:trPr>
        <w:tc>
          <w:tcPr>
            <w:tcW w:w="2657" w:type="dxa"/>
            <w:shd w:val="clear" w:color="auto" w:fill="auto"/>
          </w:tcPr>
          <w:p w:rsidR="00180B44" w:rsidRPr="00A530E1" w:rsidRDefault="00180B44" w:rsidP="00222F37">
            <w:pPr>
              <w:shd w:val="clear" w:color="auto" w:fill="FFFFFF"/>
              <w:suppressAutoHyphens w:val="0"/>
              <w:spacing w:before="40" w:after="40" w:line="220" w:lineRule="exact"/>
              <w:ind w:left="170" w:right="113"/>
              <w:rPr>
                <w:sz w:val="18"/>
                <w:lang w:eastAsia="es-ES"/>
              </w:rPr>
            </w:pPr>
            <w:r w:rsidRPr="00A530E1">
              <w:rPr>
                <w:sz w:val="18"/>
                <w:szCs w:val="14"/>
                <w:lang w:eastAsia="es-ES"/>
              </w:rPr>
              <w:t>Men</w:t>
            </w:r>
          </w:p>
        </w:tc>
        <w:tc>
          <w:tcPr>
            <w:tcW w:w="1546" w:type="dxa"/>
            <w:shd w:val="clear" w:color="auto" w:fill="auto"/>
            <w:vAlign w:val="bottom"/>
          </w:tcPr>
          <w:p w:rsidR="00180B44" w:rsidRPr="00A530E1" w:rsidRDefault="00180B44" w:rsidP="00222F37">
            <w:pPr>
              <w:shd w:val="clear" w:color="auto" w:fill="FFFFFF"/>
              <w:suppressAutoHyphens w:val="0"/>
              <w:spacing w:before="40" w:after="40" w:line="220" w:lineRule="exact"/>
              <w:ind w:left="113" w:right="113"/>
              <w:jc w:val="right"/>
              <w:rPr>
                <w:b/>
                <w:sz w:val="18"/>
                <w:lang w:eastAsia="es-ES"/>
              </w:rPr>
            </w:pPr>
            <w:r w:rsidRPr="00A530E1">
              <w:rPr>
                <w:b/>
                <w:sz w:val="18"/>
                <w:szCs w:val="14"/>
                <w:lang w:eastAsia="es-ES"/>
              </w:rPr>
              <w:t>1.0</w:t>
            </w:r>
          </w:p>
        </w:tc>
        <w:tc>
          <w:tcPr>
            <w:tcW w:w="1652" w:type="dxa"/>
            <w:shd w:val="clear" w:color="auto" w:fill="auto"/>
            <w:vAlign w:val="bottom"/>
          </w:tcPr>
          <w:p w:rsidR="00180B44" w:rsidRPr="00A530E1" w:rsidRDefault="00180B44" w:rsidP="00222F37">
            <w:pPr>
              <w:shd w:val="clear" w:color="auto" w:fill="FFFFFF"/>
              <w:suppressAutoHyphens w:val="0"/>
              <w:spacing w:before="40" w:after="40" w:line="220" w:lineRule="exact"/>
              <w:ind w:left="113" w:right="113"/>
              <w:jc w:val="right"/>
              <w:rPr>
                <w:sz w:val="18"/>
                <w:lang w:eastAsia="es-ES"/>
              </w:rPr>
            </w:pPr>
            <w:r w:rsidRPr="00A530E1">
              <w:rPr>
                <w:sz w:val="18"/>
                <w:szCs w:val="14"/>
                <w:lang w:eastAsia="es-ES"/>
              </w:rPr>
              <w:t>1.0</w:t>
            </w:r>
          </w:p>
        </w:tc>
        <w:tc>
          <w:tcPr>
            <w:tcW w:w="1515" w:type="dxa"/>
            <w:shd w:val="clear" w:color="auto" w:fill="auto"/>
            <w:vAlign w:val="bottom"/>
          </w:tcPr>
          <w:p w:rsidR="00180B44" w:rsidRPr="00A530E1" w:rsidRDefault="00180B44" w:rsidP="00222F37">
            <w:pPr>
              <w:shd w:val="clear" w:color="auto" w:fill="FFFFFF"/>
              <w:suppressAutoHyphens w:val="0"/>
              <w:spacing w:before="40" w:after="40" w:line="220" w:lineRule="exact"/>
              <w:ind w:left="113" w:right="113"/>
              <w:jc w:val="right"/>
              <w:rPr>
                <w:sz w:val="18"/>
                <w:lang w:eastAsia="es-ES"/>
              </w:rPr>
            </w:pPr>
            <w:r w:rsidRPr="00A530E1">
              <w:rPr>
                <w:sz w:val="18"/>
                <w:szCs w:val="14"/>
                <w:lang w:eastAsia="es-ES"/>
              </w:rPr>
              <w:t>0.9</w:t>
            </w:r>
          </w:p>
        </w:tc>
      </w:tr>
      <w:tr w:rsidR="00180B44" w:rsidRPr="00A530E1" w:rsidTr="00180B44">
        <w:tblPrEx>
          <w:tblCellMar>
            <w:top w:w="0" w:type="dxa"/>
            <w:bottom w:w="0" w:type="dxa"/>
          </w:tblCellMar>
        </w:tblPrEx>
        <w:trPr>
          <w:trHeight w:val="240"/>
        </w:trPr>
        <w:tc>
          <w:tcPr>
            <w:tcW w:w="2657" w:type="dxa"/>
            <w:shd w:val="clear" w:color="auto" w:fill="auto"/>
          </w:tcPr>
          <w:p w:rsidR="00180B44" w:rsidRPr="00A530E1" w:rsidRDefault="00180B44" w:rsidP="00222F37">
            <w:pPr>
              <w:shd w:val="clear" w:color="auto" w:fill="FFFFFF"/>
              <w:suppressAutoHyphens w:val="0"/>
              <w:spacing w:before="40" w:after="40" w:line="220" w:lineRule="exact"/>
              <w:ind w:left="170" w:right="113"/>
              <w:rPr>
                <w:sz w:val="18"/>
                <w:lang w:eastAsia="es-ES"/>
              </w:rPr>
            </w:pPr>
            <w:r w:rsidRPr="00A530E1">
              <w:rPr>
                <w:sz w:val="18"/>
                <w:szCs w:val="14"/>
                <w:lang w:eastAsia="es-ES"/>
              </w:rPr>
              <w:t>Women</w:t>
            </w:r>
          </w:p>
        </w:tc>
        <w:tc>
          <w:tcPr>
            <w:tcW w:w="1546" w:type="dxa"/>
            <w:shd w:val="clear" w:color="auto" w:fill="auto"/>
            <w:vAlign w:val="bottom"/>
          </w:tcPr>
          <w:p w:rsidR="00180B44" w:rsidRPr="00A530E1" w:rsidRDefault="00180B44" w:rsidP="00222F37">
            <w:pPr>
              <w:shd w:val="clear" w:color="auto" w:fill="FFFFFF"/>
              <w:suppressAutoHyphens w:val="0"/>
              <w:spacing w:before="40" w:after="40" w:line="220" w:lineRule="exact"/>
              <w:ind w:left="113" w:right="113"/>
              <w:jc w:val="right"/>
              <w:rPr>
                <w:b/>
                <w:sz w:val="18"/>
                <w:lang w:eastAsia="es-ES"/>
              </w:rPr>
            </w:pPr>
            <w:r w:rsidRPr="00A530E1">
              <w:rPr>
                <w:b/>
                <w:sz w:val="18"/>
                <w:szCs w:val="14"/>
                <w:lang w:eastAsia="es-ES"/>
              </w:rPr>
              <w:t>1.3</w:t>
            </w:r>
          </w:p>
        </w:tc>
        <w:tc>
          <w:tcPr>
            <w:tcW w:w="1652" w:type="dxa"/>
            <w:shd w:val="clear" w:color="auto" w:fill="auto"/>
            <w:vAlign w:val="bottom"/>
          </w:tcPr>
          <w:p w:rsidR="00180B44" w:rsidRPr="00A530E1" w:rsidRDefault="00180B44" w:rsidP="00222F37">
            <w:pPr>
              <w:shd w:val="clear" w:color="auto" w:fill="FFFFFF"/>
              <w:suppressAutoHyphens w:val="0"/>
              <w:spacing w:before="40" w:after="40" w:line="220" w:lineRule="exact"/>
              <w:ind w:left="113" w:right="113"/>
              <w:jc w:val="right"/>
              <w:rPr>
                <w:sz w:val="18"/>
                <w:lang w:eastAsia="es-ES"/>
              </w:rPr>
            </w:pPr>
            <w:r w:rsidRPr="00A530E1">
              <w:rPr>
                <w:sz w:val="18"/>
                <w:szCs w:val="14"/>
                <w:lang w:eastAsia="es-ES"/>
              </w:rPr>
              <w:t>1.3</w:t>
            </w:r>
          </w:p>
        </w:tc>
        <w:tc>
          <w:tcPr>
            <w:tcW w:w="1515" w:type="dxa"/>
            <w:shd w:val="clear" w:color="auto" w:fill="auto"/>
            <w:vAlign w:val="bottom"/>
          </w:tcPr>
          <w:p w:rsidR="00180B44" w:rsidRPr="00A530E1" w:rsidRDefault="00180B44" w:rsidP="00222F37">
            <w:pPr>
              <w:shd w:val="clear" w:color="auto" w:fill="FFFFFF"/>
              <w:suppressAutoHyphens w:val="0"/>
              <w:spacing w:before="40" w:after="40" w:line="220" w:lineRule="exact"/>
              <w:ind w:left="113" w:right="113"/>
              <w:jc w:val="right"/>
              <w:rPr>
                <w:sz w:val="18"/>
                <w:lang w:eastAsia="es-ES"/>
              </w:rPr>
            </w:pPr>
            <w:r w:rsidRPr="00A530E1">
              <w:rPr>
                <w:sz w:val="18"/>
                <w:szCs w:val="14"/>
                <w:lang w:eastAsia="es-ES"/>
              </w:rPr>
              <w:t>1.2</w:t>
            </w:r>
          </w:p>
        </w:tc>
      </w:tr>
      <w:tr w:rsidR="00180B44" w:rsidRPr="00A530E1" w:rsidTr="00180B44">
        <w:tblPrEx>
          <w:tblCellMar>
            <w:top w:w="0" w:type="dxa"/>
            <w:bottom w:w="0" w:type="dxa"/>
          </w:tblCellMar>
        </w:tblPrEx>
        <w:trPr>
          <w:trHeight w:val="240"/>
        </w:trPr>
        <w:tc>
          <w:tcPr>
            <w:tcW w:w="2657" w:type="dxa"/>
            <w:shd w:val="clear" w:color="auto" w:fill="auto"/>
          </w:tcPr>
          <w:p w:rsidR="00180B44" w:rsidRPr="00A530E1" w:rsidRDefault="00180B44" w:rsidP="00222F37">
            <w:pPr>
              <w:shd w:val="clear" w:color="auto" w:fill="FFFFFF"/>
              <w:suppressAutoHyphens w:val="0"/>
              <w:spacing w:before="40" w:after="40" w:line="220" w:lineRule="exact"/>
              <w:ind w:right="113"/>
              <w:rPr>
                <w:sz w:val="18"/>
                <w:lang w:eastAsia="es-ES"/>
              </w:rPr>
            </w:pPr>
            <w:r w:rsidRPr="00A530E1">
              <w:rPr>
                <w:bCs/>
                <w:sz w:val="18"/>
                <w:szCs w:val="14"/>
                <w:lang w:eastAsia="es-ES"/>
              </w:rPr>
              <w:t>Speech</w:t>
            </w:r>
          </w:p>
        </w:tc>
        <w:tc>
          <w:tcPr>
            <w:tcW w:w="1546" w:type="dxa"/>
            <w:shd w:val="clear" w:color="auto" w:fill="auto"/>
            <w:vAlign w:val="bottom"/>
          </w:tcPr>
          <w:p w:rsidR="00180B44" w:rsidRPr="00A530E1" w:rsidRDefault="00180B44" w:rsidP="00222F37">
            <w:pPr>
              <w:shd w:val="clear" w:color="auto" w:fill="FFFFFF"/>
              <w:suppressAutoHyphens w:val="0"/>
              <w:spacing w:before="40" w:after="40" w:line="220" w:lineRule="exact"/>
              <w:ind w:left="113" w:right="113"/>
              <w:jc w:val="right"/>
              <w:rPr>
                <w:b/>
                <w:sz w:val="18"/>
                <w:lang w:eastAsia="es-ES"/>
              </w:rPr>
            </w:pPr>
            <w:r w:rsidRPr="00A530E1">
              <w:rPr>
                <w:b/>
                <w:sz w:val="18"/>
                <w:szCs w:val="14"/>
                <w:lang w:eastAsia="es-ES"/>
              </w:rPr>
              <w:t>0.7</w:t>
            </w:r>
          </w:p>
        </w:tc>
        <w:tc>
          <w:tcPr>
            <w:tcW w:w="1652" w:type="dxa"/>
            <w:shd w:val="clear" w:color="auto" w:fill="auto"/>
            <w:vAlign w:val="bottom"/>
          </w:tcPr>
          <w:p w:rsidR="00180B44" w:rsidRPr="00A530E1" w:rsidRDefault="00180B44" w:rsidP="00222F37">
            <w:pPr>
              <w:shd w:val="clear" w:color="auto" w:fill="FFFFFF"/>
              <w:suppressAutoHyphens w:val="0"/>
              <w:spacing w:before="40" w:after="40" w:line="220" w:lineRule="exact"/>
              <w:ind w:left="113" w:right="113"/>
              <w:jc w:val="right"/>
              <w:rPr>
                <w:sz w:val="18"/>
                <w:lang w:eastAsia="es-ES"/>
              </w:rPr>
            </w:pPr>
            <w:r w:rsidRPr="00A530E1">
              <w:rPr>
                <w:sz w:val="18"/>
                <w:szCs w:val="14"/>
                <w:lang w:eastAsia="es-ES"/>
              </w:rPr>
              <w:t>0.7</w:t>
            </w:r>
          </w:p>
        </w:tc>
        <w:tc>
          <w:tcPr>
            <w:tcW w:w="1515" w:type="dxa"/>
            <w:shd w:val="clear" w:color="auto" w:fill="auto"/>
            <w:vAlign w:val="bottom"/>
          </w:tcPr>
          <w:p w:rsidR="00180B44" w:rsidRPr="00A530E1" w:rsidRDefault="00180B44" w:rsidP="00222F37">
            <w:pPr>
              <w:shd w:val="clear" w:color="auto" w:fill="FFFFFF"/>
              <w:suppressAutoHyphens w:val="0"/>
              <w:spacing w:before="40" w:after="40" w:line="220" w:lineRule="exact"/>
              <w:ind w:left="113" w:right="113"/>
              <w:jc w:val="right"/>
              <w:rPr>
                <w:sz w:val="18"/>
                <w:lang w:eastAsia="es-ES"/>
              </w:rPr>
            </w:pPr>
            <w:r w:rsidRPr="00A530E1">
              <w:rPr>
                <w:sz w:val="18"/>
                <w:szCs w:val="14"/>
                <w:lang w:eastAsia="es-ES"/>
              </w:rPr>
              <w:t>0.6</w:t>
            </w:r>
          </w:p>
        </w:tc>
      </w:tr>
      <w:tr w:rsidR="00180B44" w:rsidRPr="00A530E1" w:rsidTr="00180B44">
        <w:tblPrEx>
          <w:tblCellMar>
            <w:top w:w="0" w:type="dxa"/>
            <w:bottom w:w="0" w:type="dxa"/>
          </w:tblCellMar>
        </w:tblPrEx>
        <w:trPr>
          <w:trHeight w:val="240"/>
        </w:trPr>
        <w:tc>
          <w:tcPr>
            <w:tcW w:w="2657" w:type="dxa"/>
            <w:shd w:val="clear" w:color="auto" w:fill="auto"/>
          </w:tcPr>
          <w:p w:rsidR="00180B44" w:rsidRPr="00A530E1" w:rsidRDefault="00180B44" w:rsidP="00222F37">
            <w:pPr>
              <w:shd w:val="clear" w:color="auto" w:fill="FFFFFF"/>
              <w:suppressAutoHyphens w:val="0"/>
              <w:spacing w:before="40" w:after="40" w:line="220" w:lineRule="exact"/>
              <w:ind w:left="170" w:right="113"/>
              <w:rPr>
                <w:sz w:val="18"/>
                <w:lang w:eastAsia="es-ES"/>
              </w:rPr>
            </w:pPr>
            <w:r w:rsidRPr="00A530E1">
              <w:rPr>
                <w:sz w:val="18"/>
                <w:szCs w:val="14"/>
                <w:lang w:eastAsia="es-ES"/>
              </w:rPr>
              <w:t>Men</w:t>
            </w:r>
          </w:p>
        </w:tc>
        <w:tc>
          <w:tcPr>
            <w:tcW w:w="1546" w:type="dxa"/>
            <w:shd w:val="clear" w:color="auto" w:fill="auto"/>
            <w:vAlign w:val="bottom"/>
          </w:tcPr>
          <w:p w:rsidR="00180B44" w:rsidRPr="00A530E1" w:rsidRDefault="00180B44" w:rsidP="00222F37">
            <w:pPr>
              <w:shd w:val="clear" w:color="auto" w:fill="FFFFFF"/>
              <w:suppressAutoHyphens w:val="0"/>
              <w:spacing w:before="40" w:after="40" w:line="220" w:lineRule="exact"/>
              <w:ind w:left="113" w:right="113"/>
              <w:jc w:val="right"/>
              <w:rPr>
                <w:b/>
                <w:sz w:val="18"/>
                <w:lang w:eastAsia="es-ES"/>
              </w:rPr>
            </w:pPr>
            <w:r w:rsidRPr="00A530E1">
              <w:rPr>
                <w:b/>
                <w:sz w:val="18"/>
                <w:szCs w:val="14"/>
                <w:lang w:eastAsia="es-ES"/>
              </w:rPr>
              <w:t>0.8</w:t>
            </w:r>
          </w:p>
        </w:tc>
        <w:tc>
          <w:tcPr>
            <w:tcW w:w="1652" w:type="dxa"/>
            <w:shd w:val="clear" w:color="auto" w:fill="auto"/>
            <w:vAlign w:val="bottom"/>
          </w:tcPr>
          <w:p w:rsidR="00180B44" w:rsidRPr="00A530E1" w:rsidRDefault="00180B44" w:rsidP="00222F37">
            <w:pPr>
              <w:shd w:val="clear" w:color="auto" w:fill="FFFFFF"/>
              <w:suppressAutoHyphens w:val="0"/>
              <w:spacing w:before="40" w:after="40" w:line="220" w:lineRule="exact"/>
              <w:ind w:left="113" w:right="113"/>
              <w:jc w:val="right"/>
              <w:rPr>
                <w:sz w:val="18"/>
                <w:lang w:eastAsia="es-ES"/>
              </w:rPr>
            </w:pPr>
            <w:r w:rsidRPr="00A530E1">
              <w:rPr>
                <w:sz w:val="18"/>
                <w:szCs w:val="14"/>
                <w:lang w:eastAsia="es-ES"/>
              </w:rPr>
              <w:t>0.9</w:t>
            </w:r>
          </w:p>
        </w:tc>
        <w:tc>
          <w:tcPr>
            <w:tcW w:w="1515" w:type="dxa"/>
            <w:shd w:val="clear" w:color="auto" w:fill="auto"/>
            <w:vAlign w:val="bottom"/>
          </w:tcPr>
          <w:p w:rsidR="00180B44" w:rsidRPr="00A530E1" w:rsidRDefault="00180B44" w:rsidP="00222F37">
            <w:pPr>
              <w:shd w:val="clear" w:color="auto" w:fill="FFFFFF"/>
              <w:suppressAutoHyphens w:val="0"/>
              <w:spacing w:before="40" w:after="40" w:line="220" w:lineRule="exact"/>
              <w:ind w:left="113" w:right="113"/>
              <w:jc w:val="right"/>
              <w:rPr>
                <w:sz w:val="18"/>
                <w:lang w:eastAsia="es-ES"/>
              </w:rPr>
            </w:pPr>
            <w:r w:rsidRPr="00A530E1">
              <w:rPr>
                <w:sz w:val="18"/>
                <w:szCs w:val="14"/>
                <w:lang w:eastAsia="es-ES"/>
              </w:rPr>
              <w:t>0.7</w:t>
            </w:r>
          </w:p>
        </w:tc>
      </w:tr>
      <w:tr w:rsidR="00180B44" w:rsidRPr="00A530E1" w:rsidTr="00180B44">
        <w:tblPrEx>
          <w:tblCellMar>
            <w:top w:w="0" w:type="dxa"/>
            <w:bottom w:w="0" w:type="dxa"/>
          </w:tblCellMar>
        </w:tblPrEx>
        <w:trPr>
          <w:trHeight w:val="240"/>
        </w:trPr>
        <w:tc>
          <w:tcPr>
            <w:tcW w:w="2657" w:type="dxa"/>
            <w:shd w:val="clear" w:color="auto" w:fill="auto"/>
          </w:tcPr>
          <w:p w:rsidR="00180B44" w:rsidRPr="00A530E1" w:rsidRDefault="00180B44" w:rsidP="00222F37">
            <w:pPr>
              <w:shd w:val="clear" w:color="auto" w:fill="FFFFFF"/>
              <w:suppressAutoHyphens w:val="0"/>
              <w:spacing w:before="40" w:after="40" w:line="220" w:lineRule="exact"/>
              <w:ind w:left="170" w:right="113"/>
              <w:rPr>
                <w:sz w:val="18"/>
                <w:lang w:eastAsia="es-ES"/>
              </w:rPr>
            </w:pPr>
            <w:r w:rsidRPr="00A530E1">
              <w:rPr>
                <w:sz w:val="18"/>
                <w:szCs w:val="14"/>
                <w:lang w:eastAsia="es-ES"/>
              </w:rPr>
              <w:t>Women</w:t>
            </w:r>
          </w:p>
        </w:tc>
        <w:tc>
          <w:tcPr>
            <w:tcW w:w="1546" w:type="dxa"/>
            <w:shd w:val="clear" w:color="auto" w:fill="auto"/>
            <w:vAlign w:val="bottom"/>
          </w:tcPr>
          <w:p w:rsidR="00180B44" w:rsidRPr="00A530E1" w:rsidRDefault="00180B44" w:rsidP="00222F37">
            <w:pPr>
              <w:shd w:val="clear" w:color="auto" w:fill="FFFFFF"/>
              <w:suppressAutoHyphens w:val="0"/>
              <w:spacing w:before="40" w:after="40" w:line="220" w:lineRule="exact"/>
              <w:ind w:left="113" w:right="113"/>
              <w:jc w:val="right"/>
              <w:rPr>
                <w:b/>
                <w:sz w:val="18"/>
                <w:lang w:eastAsia="es-ES"/>
              </w:rPr>
            </w:pPr>
            <w:r w:rsidRPr="00A530E1">
              <w:rPr>
                <w:b/>
                <w:sz w:val="18"/>
                <w:szCs w:val="14"/>
                <w:lang w:eastAsia="es-ES"/>
              </w:rPr>
              <w:t>0.6</w:t>
            </w:r>
          </w:p>
        </w:tc>
        <w:tc>
          <w:tcPr>
            <w:tcW w:w="1652" w:type="dxa"/>
            <w:shd w:val="clear" w:color="auto" w:fill="auto"/>
            <w:vAlign w:val="bottom"/>
          </w:tcPr>
          <w:p w:rsidR="00180B44" w:rsidRPr="00A530E1" w:rsidRDefault="00180B44" w:rsidP="00222F37">
            <w:pPr>
              <w:shd w:val="clear" w:color="auto" w:fill="FFFFFF"/>
              <w:suppressAutoHyphens w:val="0"/>
              <w:spacing w:before="40" w:after="40" w:line="220" w:lineRule="exact"/>
              <w:ind w:left="113" w:right="113"/>
              <w:jc w:val="right"/>
              <w:rPr>
                <w:sz w:val="18"/>
                <w:lang w:eastAsia="es-ES"/>
              </w:rPr>
            </w:pPr>
            <w:r w:rsidRPr="00A530E1">
              <w:rPr>
                <w:sz w:val="18"/>
                <w:szCs w:val="14"/>
                <w:lang w:eastAsia="es-ES"/>
              </w:rPr>
              <w:t>0.6</w:t>
            </w:r>
          </w:p>
        </w:tc>
        <w:tc>
          <w:tcPr>
            <w:tcW w:w="1515" w:type="dxa"/>
            <w:shd w:val="clear" w:color="auto" w:fill="auto"/>
            <w:vAlign w:val="bottom"/>
          </w:tcPr>
          <w:p w:rsidR="00180B44" w:rsidRPr="00A530E1" w:rsidRDefault="00180B44" w:rsidP="00222F37">
            <w:pPr>
              <w:shd w:val="clear" w:color="auto" w:fill="FFFFFF"/>
              <w:suppressAutoHyphens w:val="0"/>
              <w:spacing w:before="40" w:after="40" w:line="220" w:lineRule="exact"/>
              <w:ind w:left="113" w:right="113"/>
              <w:jc w:val="right"/>
              <w:rPr>
                <w:sz w:val="18"/>
                <w:lang w:eastAsia="es-ES"/>
              </w:rPr>
            </w:pPr>
            <w:r w:rsidRPr="00A530E1">
              <w:rPr>
                <w:sz w:val="18"/>
                <w:szCs w:val="14"/>
                <w:lang w:eastAsia="es-ES"/>
              </w:rPr>
              <w:t>0.6</w:t>
            </w:r>
          </w:p>
        </w:tc>
      </w:tr>
      <w:tr w:rsidR="00180B44" w:rsidRPr="00A530E1" w:rsidTr="00180B44">
        <w:tblPrEx>
          <w:tblCellMar>
            <w:top w:w="0" w:type="dxa"/>
            <w:bottom w:w="0" w:type="dxa"/>
          </w:tblCellMar>
        </w:tblPrEx>
        <w:trPr>
          <w:trHeight w:val="240"/>
        </w:trPr>
        <w:tc>
          <w:tcPr>
            <w:tcW w:w="2657" w:type="dxa"/>
            <w:shd w:val="clear" w:color="auto" w:fill="auto"/>
          </w:tcPr>
          <w:p w:rsidR="00180B44" w:rsidRPr="00A530E1" w:rsidRDefault="00180B44" w:rsidP="00222F37">
            <w:pPr>
              <w:keepNext/>
              <w:keepLines/>
              <w:shd w:val="clear" w:color="auto" w:fill="FFFFFF"/>
              <w:suppressAutoHyphens w:val="0"/>
              <w:spacing w:before="40" w:after="40" w:line="220" w:lineRule="exact"/>
              <w:ind w:right="113"/>
              <w:rPr>
                <w:sz w:val="18"/>
                <w:lang w:eastAsia="es-ES"/>
              </w:rPr>
            </w:pPr>
            <w:r w:rsidRPr="00A530E1">
              <w:rPr>
                <w:bCs/>
                <w:sz w:val="18"/>
                <w:szCs w:val="14"/>
                <w:lang w:eastAsia="es-ES"/>
              </w:rPr>
              <w:t>Communication</w:t>
            </w:r>
          </w:p>
        </w:tc>
        <w:tc>
          <w:tcPr>
            <w:tcW w:w="1546" w:type="dxa"/>
            <w:shd w:val="clear" w:color="auto" w:fill="auto"/>
            <w:vAlign w:val="bottom"/>
          </w:tcPr>
          <w:p w:rsidR="00180B44" w:rsidRPr="00A530E1" w:rsidRDefault="00180B44" w:rsidP="00222F37">
            <w:pPr>
              <w:keepNext/>
              <w:keepLines/>
              <w:shd w:val="clear" w:color="auto" w:fill="FFFFFF"/>
              <w:suppressAutoHyphens w:val="0"/>
              <w:spacing w:before="40" w:after="40" w:line="220" w:lineRule="exact"/>
              <w:ind w:left="113" w:right="113"/>
              <w:jc w:val="right"/>
              <w:rPr>
                <w:b/>
                <w:sz w:val="18"/>
                <w:lang w:eastAsia="es-ES"/>
              </w:rPr>
            </w:pPr>
            <w:r w:rsidRPr="00A530E1">
              <w:rPr>
                <w:b/>
                <w:sz w:val="18"/>
                <w:szCs w:val="14"/>
                <w:lang w:eastAsia="es-ES"/>
              </w:rPr>
              <w:t>0.6</w:t>
            </w:r>
          </w:p>
        </w:tc>
        <w:tc>
          <w:tcPr>
            <w:tcW w:w="1652" w:type="dxa"/>
            <w:shd w:val="clear" w:color="auto" w:fill="auto"/>
            <w:vAlign w:val="bottom"/>
          </w:tcPr>
          <w:p w:rsidR="00180B44" w:rsidRPr="00A530E1" w:rsidRDefault="00180B44" w:rsidP="00222F37">
            <w:pPr>
              <w:keepNext/>
              <w:keepLines/>
              <w:shd w:val="clear" w:color="auto" w:fill="FFFFFF"/>
              <w:suppressAutoHyphens w:val="0"/>
              <w:spacing w:before="40" w:after="40" w:line="220" w:lineRule="exact"/>
              <w:ind w:left="113" w:right="113"/>
              <w:jc w:val="right"/>
              <w:rPr>
                <w:sz w:val="18"/>
                <w:lang w:eastAsia="es-ES"/>
              </w:rPr>
            </w:pPr>
            <w:r w:rsidRPr="00A530E1">
              <w:rPr>
                <w:sz w:val="18"/>
                <w:szCs w:val="14"/>
                <w:lang w:eastAsia="es-ES"/>
              </w:rPr>
              <w:t>0.7</w:t>
            </w:r>
          </w:p>
        </w:tc>
        <w:tc>
          <w:tcPr>
            <w:tcW w:w="1515" w:type="dxa"/>
            <w:shd w:val="clear" w:color="auto" w:fill="auto"/>
            <w:vAlign w:val="bottom"/>
          </w:tcPr>
          <w:p w:rsidR="00180B44" w:rsidRPr="00A530E1" w:rsidRDefault="00180B44" w:rsidP="00222F37">
            <w:pPr>
              <w:keepNext/>
              <w:keepLines/>
              <w:shd w:val="clear" w:color="auto" w:fill="FFFFFF"/>
              <w:suppressAutoHyphens w:val="0"/>
              <w:spacing w:before="40" w:after="40" w:line="220" w:lineRule="exact"/>
              <w:ind w:left="113" w:right="113"/>
              <w:jc w:val="right"/>
              <w:rPr>
                <w:sz w:val="18"/>
                <w:lang w:eastAsia="es-ES"/>
              </w:rPr>
            </w:pPr>
            <w:r w:rsidRPr="00A530E1">
              <w:rPr>
                <w:sz w:val="18"/>
                <w:szCs w:val="14"/>
                <w:lang w:eastAsia="es-ES"/>
              </w:rPr>
              <w:t>0.5</w:t>
            </w:r>
          </w:p>
        </w:tc>
      </w:tr>
      <w:tr w:rsidR="00180B44" w:rsidRPr="00A530E1" w:rsidTr="00180B44">
        <w:tblPrEx>
          <w:tblCellMar>
            <w:top w:w="0" w:type="dxa"/>
            <w:bottom w:w="0" w:type="dxa"/>
          </w:tblCellMar>
        </w:tblPrEx>
        <w:trPr>
          <w:trHeight w:val="240"/>
        </w:trPr>
        <w:tc>
          <w:tcPr>
            <w:tcW w:w="2657" w:type="dxa"/>
            <w:shd w:val="clear" w:color="auto" w:fill="auto"/>
          </w:tcPr>
          <w:p w:rsidR="00180B44" w:rsidRPr="00A530E1" w:rsidRDefault="00180B44" w:rsidP="00222F37">
            <w:pPr>
              <w:shd w:val="clear" w:color="auto" w:fill="FFFFFF"/>
              <w:suppressAutoHyphens w:val="0"/>
              <w:spacing w:before="40" w:after="40" w:line="220" w:lineRule="exact"/>
              <w:ind w:left="170" w:right="113"/>
              <w:rPr>
                <w:sz w:val="18"/>
                <w:lang w:eastAsia="es-ES"/>
              </w:rPr>
            </w:pPr>
            <w:r w:rsidRPr="00A530E1">
              <w:rPr>
                <w:sz w:val="18"/>
                <w:szCs w:val="14"/>
                <w:lang w:eastAsia="es-ES"/>
              </w:rPr>
              <w:t>Men</w:t>
            </w:r>
          </w:p>
        </w:tc>
        <w:tc>
          <w:tcPr>
            <w:tcW w:w="1546" w:type="dxa"/>
            <w:shd w:val="clear" w:color="auto" w:fill="auto"/>
            <w:vAlign w:val="bottom"/>
          </w:tcPr>
          <w:p w:rsidR="00180B44" w:rsidRPr="00A530E1" w:rsidRDefault="00180B44" w:rsidP="00222F37">
            <w:pPr>
              <w:keepNext/>
              <w:keepLines/>
              <w:shd w:val="clear" w:color="auto" w:fill="FFFFFF"/>
              <w:suppressAutoHyphens w:val="0"/>
              <w:spacing w:before="40" w:after="40" w:line="220" w:lineRule="exact"/>
              <w:ind w:left="113" w:right="113"/>
              <w:jc w:val="right"/>
              <w:rPr>
                <w:b/>
                <w:sz w:val="18"/>
                <w:lang w:eastAsia="es-ES"/>
              </w:rPr>
            </w:pPr>
            <w:r w:rsidRPr="00A530E1">
              <w:rPr>
                <w:b/>
                <w:sz w:val="18"/>
                <w:szCs w:val="14"/>
                <w:lang w:eastAsia="es-ES"/>
              </w:rPr>
              <w:t>0.7</w:t>
            </w:r>
          </w:p>
        </w:tc>
        <w:tc>
          <w:tcPr>
            <w:tcW w:w="1652" w:type="dxa"/>
            <w:shd w:val="clear" w:color="auto" w:fill="auto"/>
            <w:vAlign w:val="bottom"/>
          </w:tcPr>
          <w:p w:rsidR="00180B44" w:rsidRPr="00A530E1" w:rsidRDefault="00180B44" w:rsidP="00222F37">
            <w:pPr>
              <w:keepNext/>
              <w:keepLines/>
              <w:shd w:val="clear" w:color="auto" w:fill="FFFFFF"/>
              <w:suppressAutoHyphens w:val="0"/>
              <w:spacing w:before="40" w:after="40" w:line="220" w:lineRule="exact"/>
              <w:ind w:left="113" w:right="113"/>
              <w:jc w:val="right"/>
              <w:rPr>
                <w:sz w:val="18"/>
                <w:lang w:eastAsia="es-ES"/>
              </w:rPr>
            </w:pPr>
            <w:r w:rsidRPr="00A530E1">
              <w:rPr>
                <w:sz w:val="18"/>
                <w:szCs w:val="14"/>
                <w:lang w:eastAsia="es-ES"/>
              </w:rPr>
              <w:t>0.7</w:t>
            </w:r>
          </w:p>
        </w:tc>
        <w:tc>
          <w:tcPr>
            <w:tcW w:w="1515" w:type="dxa"/>
            <w:shd w:val="clear" w:color="auto" w:fill="auto"/>
            <w:vAlign w:val="bottom"/>
          </w:tcPr>
          <w:p w:rsidR="00180B44" w:rsidRPr="00A530E1" w:rsidRDefault="00180B44" w:rsidP="00222F37">
            <w:pPr>
              <w:keepNext/>
              <w:keepLines/>
              <w:shd w:val="clear" w:color="auto" w:fill="FFFFFF"/>
              <w:suppressAutoHyphens w:val="0"/>
              <w:spacing w:before="40" w:after="40" w:line="220" w:lineRule="exact"/>
              <w:ind w:left="113" w:right="113"/>
              <w:jc w:val="right"/>
              <w:rPr>
                <w:sz w:val="18"/>
                <w:lang w:eastAsia="es-ES"/>
              </w:rPr>
            </w:pPr>
            <w:r w:rsidRPr="00A530E1">
              <w:rPr>
                <w:sz w:val="18"/>
                <w:szCs w:val="14"/>
                <w:lang w:eastAsia="es-ES"/>
              </w:rPr>
              <w:t>0.5</w:t>
            </w:r>
          </w:p>
        </w:tc>
      </w:tr>
      <w:tr w:rsidR="00180B44" w:rsidRPr="00A530E1" w:rsidTr="00180B44">
        <w:tblPrEx>
          <w:tblCellMar>
            <w:top w:w="0" w:type="dxa"/>
            <w:bottom w:w="0" w:type="dxa"/>
          </w:tblCellMar>
        </w:tblPrEx>
        <w:trPr>
          <w:trHeight w:val="240"/>
        </w:trPr>
        <w:tc>
          <w:tcPr>
            <w:tcW w:w="2657" w:type="dxa"/>
            <w:shd w:val="clear" w:color="auto" w:fill="auto"/>
          </w:tcPr>
          <w:p w:rsidR="00180B44" w:rsidRPr="00A530E1" w:rsidRDefault="00180B44" w:rsidP="00222F37">
            <w:pPr>
              <w:shd w:val="clear" w:color="auto" w:fill="FFFFFF"/>
              <w:suppressAutoHyphens w:val="0"/>
              <w:spacing w:before="40" w:after="40" w:line="220" w:lineRule="exact"/>
              <w:ind w:left="170" w:right="113"/>
              <w:rPr>
                <w:sz w:val="18"/>
                <w:lang w:eastAsia="es-ES"/>
              </w:rPr>
            </w:pPr>
            <w:r w:rsidRPr="00A530E1">
              <w:rPr>
                <w:sz w:val="18"/>
                <w:szCs w:val="14"/>
                <w:lang w:eastAsia="es-ES"/>
              </w:rPr>
              <w:t>Women</w:t>
            </w:r>
          </w:p>
        </w:tc>
        <w:tc>
          <w:tcPr>
            <w:tcW w:w="1546" w:type="dxa"/>
            <w:shd w:val="clear" w:color="auto" w:fill="auto"/>
            <w:vAlign w:val="bottom"/>
          </w:tcPr>
          <w:p w:rsidR="00180B44" w:rsidRPr="00A530E1" w:rsidRDefault="00180B44" w:rsidP="00222F37">
            <w:pPr>
              <w:shd w:val="clear" w:color="auto" w:fill="FFFFFF"/>
              <w:suppressAutoHyphens w:val="0"/>
              <w:spacing w:before="40" w:after="40" w:line="220" w:lineRule="exact"/>
              <w:ind w:left="113" w:right="113"/>
              <w:jc w:val="right"/>
              <w:rPr>
                <w:b/>
                <w:sz w:val="18"/>
                <w:lang w:eastAsia="es-ES"/>
              </w:rPr>
            </w:pPr>
            <w:r w:rsidRPr="00A530E1">
              <w:rPr>
                <w:b/>
                <w:sz w:val="18"/>
                <w:szCs w:val="14"/>
                <w:lang w:eastAsia="es-ES"/>
              </w:rPr>
              <w:t>0.6</w:t>
            </w:r>
          </w:p>
        </w:tc>
        <w:tc>
          <w:tcPr>
            <w:tcW w:w="1652" w:type="dxa"/>
            <w:shd w:val="clear" w:color="auto" w:fill="auto"/>
            <w:vAlign w:val="bottom"/>
          </w:tcPr>
          <w:p w:rsidR="00180B44" w:rsidRPr="00A530E1" w:rsidRDefault="00180B44" w:rsidP="00222F37">
            <w:pPr>
              <w:shd w:val="clear" w:color="auto" w:fill="FFFFFF"/>
              <w:suppressAutoHyphens w:val="0"/>
              <w:spacing w:before="40" w:after="40" w:line="220" w:lineRule="exact"/>
              <w:ind w:left="113" w:right="113"/>
              <w:jc w:val="right"/>
              <w:rPr>
                <w:sz w:val="18"/>
                <w:lang w:eastAsia="es-ES"/>
              </w:rPr>
            </w:pPr>
            <w:r w:rsidRPr="00A530E1">
              <w:rPr>
                <w:sz w:val="18"/>
                <w:szCs w:val="14"/>
                <w:lang w:eastAsia="es-ES"/>
              </w:rPr>
              <w:t>0.7</w:t>
            </w:r>
          </w:p>
        </w:tc>
        <w:tc>
          <w:tcPr>
            <w:tcW w:w="1515" w:type="dxa"/>
            <w:shd w:val="clear" w:color="auto" w:fill="auto"/>
            <w:vAlign w:val="bottom"/>
          </w:tcPr>
          <w:p w:rsidR="00180B44" w:rsidRPr="00A530E1" w:rsidRDefault="00180B44" w:rsidP="00222F37">
            <w:pPr>
              <w:shd w:val="clear" w:color="auto" w:fill="FFFFFF"/>
              <w:suppressAutoHyphens w:val="0"/>
              <w:spacing w:before="40" w:after="40" w:line="220" w:lineRule="exact"/>
              <w:ind w:left="113" w:right="113"/>
              <w:jc w:val="right"/>
              <w:rPr>
                <w:sz w:val="18"/>
                <w:lang w:eastAsia="es-ES"/>
              </w:rPr>
            </w:pPr>
            <w:r w:rsidRPr="00A530E1">
              <w:rPr>
                <w:sz w:val="18"/>
                <w:szCs w:val="14"/>
                <w:lang w:eastAsia="es-ES"/>
              </w:rPr>
              <w:t>0.5</w:t>
            </w:r>
          </w:p>
        </w:tc>
      </w:tr>
      <w:tr w:rsidR="00180B44" w:rsidRPr="00A530E1" w:rsidTr="00180B44">
        <w:tblPrEx>
          <w:tblCellMar>
            <w:top w:w="0" w:type="dxa"/>
            <w:bottom w:w="0" w:type="dxa"/>
          </w:tblCellMar>
        </w:tblPrEx>
        <w:trPr>
          <w:trHeight w:val="240"/>
        </w:trPr>
        <w:tc>
          <w:tcPr>
            <w:tcW w:w="2657" w:type="dxa"/>
            <w:tcBorders>
              <w:bottom w:val="single" w:sz="4" w:space="0" w:color="auto"/>
            </w:tcBorders>
            <w:shd w:val="clear" w:color="auto" w:fill="auto"/>
          </w:tcPr>
          <w:p w:rsidR="00180B44" w:rsidRPr="00A530E1" w:rsidRDefault="00180B44" w:rsidP="00222F37">
            <w:pPr>
              <w:shd w:val="clear" w:color="auto" w:fill="FFFFFF"/>
              <w:suppressAutoHyphens w:val="0"/>
              <w:spacing w:before="40" w:after="40" w:line="220" w:lineRule="exact"/>
              <w:ind w:right="113"/>
              <w:rPr>
                <w:sz w:val="18"/>
                <w:lang w:eastAsia="es-ES"/>
              </w:rPr>
            </w:pPr>
            <w:r w:rsidRPr="00A530E1">
              <w:rPr>
                <w:bCs/>
                <w:sz w:val="18"/>
                <w:szCs w:val="14"/>
                <w:lang w:eastAsia="es-ES"/>
              </w:rPr>
              <w:t>Other</w:t>
            </w:r>
            <w:r w:rsidRPr="00A530E1">
              <w:rPr>
                <w:bCs/>
                <w:i/>
                <w:sz w:val="18"/>
                <w:szCs w:val="14"/>
                <w:vertAlign w:val="superscript"/>
                <w:lang w:eastAsia="es-ES"/>
              </w:rPr>
              <w:t>3</w:t>
            </w:r>
          </w:p>
        </w:tc>
        <w:tc>
          <w:tcPr>
            <w:tcW w:w="1546" w:type="dxa"/>
            <w:tcBorders>
              <w:bottom w:val="single" w:sz="4" w:space="0" w:color="auto"/>
            </w:tcBorders>
            <w:shd w:val="clear" w:color="auto" w:fill="auto"/>
            <w:vAlign w:val="bottom"/>
          </w:tcPr>
          <w:p w:rsidR="00180B44" w:rsidRPr="00A530E1" w:rsidRDefault="00180B44" w:rsidP="00222F37">
            <w:pPr>
              <w:shd w:val="clear" w:color="auto" w:fill="FFFFFF"/>
              <w:suppressAutoHyphens w:val="0"/>
              <w:spacing w:before="40" w:after="40" w:line="220" w:lineRule="exact"/>
              <w:ind w:left="113" w:right="113"/>
              <w:jc w:val="right"/>
              <w:rPr>
                <w:b/>
                <w:sz w:val="18"/>
                <w:lang w:eastAsia="es-ES"/>
              </w:rPr>
            </w:pPr>
            <w:r w:rsidRPr="00A530E1">
              <w:rPr>
                <w:b/>
                <w:sz w:val="18"/>
                <w:szCs w:val="14"/>
                <w:lang w:eastAsia="es-ES"/>
              </w:rPr>
              <w:t>0.1</w:t>
            </w:r>
          </w:p>
        </w:tc>
        <w:tc>
          <w:tcPr>
            <w:tcW w:w="1652" w:type="dxa"/>
            <w:tcBorders>
              <w:bottom w:val="single" w:sz="4" w:space="0" w:color="auto"/>
            </w:tcBorders>
            <w:shd w:val="clear" w:color="auto" w:fill="auto"/>
            <w:vAlign w:val="bottom"/>
          </w:tcPr>
          <w:p w:rsidR="00180B44" w:rsidRPr="00A530E1" w:rsidRDefault="00180B44" w:rsidP="00222F37">
            <w:pPr>
              <w:shd w:val="clear" w:color="auto" w:fill="FFFFFF"/>
              <w:suppressAutoHyphens w:val="0"/>
              <w:spacing w:before="40" w:after="40" w:line="220" w:lineRule="exact"/>
              <w:ind w:left="113" w:right="113"/>
              <w:jc w:val="right"/>
              <w:rPr>
                <w:sz w:val="18"/>
                <w:lang w:eastAsia="es-ES"/>
              </w:rPr>
            </w:pPr>
            <w:r w:rsidRPr="00A530E1">
              <w:rPr>
                <w:sz w:val="18"/>
                <w:szCs w:val="14"/>
                <w:lang w:eastAsia="es-ES"/>
              </w:rPr>
              <w:t>0.1</w:t>
            </w:r>
          </w:p>
        </w:tc>
        <w:tc>
          <w:tcPr>
            <w:tcW w:w="1515" w:type="dxa"/>
            <w:tcBorders>
              <w:bottom w:val="single" w:sz="4" w:space="0" w:color="auto"/>
            </w:tcBorders>
            <w:shd w:val="clear" w:color="auto" w:fill="auto"/>
            <w:vAlign w:val="bottom"/>
          </w:tcPr>
          <w:p w:rsidR="00180B44" w:rsidRPr="00A530E1" w:rsidRDefault="00180B44" w:rsidP="00222F37">
            <w:pPr>
              <w:shd w:val="clear" w:color="auto" w:fill="FFFFFF"/>
              <w:suppressAutoHyphens w:val="0"/>
              <w:spacing w:before="40" w:after="40" w:line="220" w:lineRule="exact"/>
              <w:ind w:left="113" w:right="113"/>
              <w:jc w:val="right"/>
              <w:rPr>
                <w:sz w:val="18"/>
                <w:lang w:eastAsia="es-ES"/>
              </w:rPr>
            </w:pPr>
            <w:r w:rsidRPr="00A530E1">
              <w:rPr>
                <w:sz w:val="18"/>
                <w:szCs w:val="14"/>
                <w:lang w:eastAsia="es-ES"/>
              </w:rPr>
              <w:t>0.1</w:t>
            </w:r>
          </w:p>
        </w:tc>
      </w:tr>
      <w:tr w:rsidR="00180B44" w:rsidRPr="00A530E1" w:rsidTr="00180B44">
        <w:tblPrEx>
          <w:tblCellMar>
            <w:top w:w="0" w:type="dxa"/>
            <w:bottom w:w="0" w:type="dxa"/>
          </w:tblCellMar>
        </w:tblPrEx>
        <w:trPr>
          <w:trHeight w:val="240"/>
        </w:trPr>
        <w:tc>
          <w:tcPr>
            <w:tcW w:w="2657" w:type="dxa"/>
            <w:tcBorders>
              <w:top w:val="single" w:sz="4" w:space="0" w:color="auto"/>
              <w:bottom w:val="single" w:sz="4" w:space="0" w:color="auto"/>
            </w:tcBorders>
            <w:shd w:val="clear" w:color="auto" w:fill="auto"/>
          </w:tcPr>
          <w:p w:rsidR="00180B44" w:rsidRPr="00A530E1" w:rsidRDefault="00180B44" w:rsidP="00222F37">
            <w:pPr>
              <w:keepNext/>
              <w:keepLines/>
              <w:shd w:val="clear" w:color="auto" w:fill="FFFFFF"/>
              <w:suppressAutoHyphens w:val="0"/>
              <w:spacing w:before="80" w:after="80" w:line="200" w:lineRule="exact"/>
              <w:ind w:left="284" w:right="113"/>
              <w:rPr>
                <w:b/>
                <w:sz w:val="18"/>
                <w:lang w:eastAsia="es-ES"/>
              </w:rPr>
            </w:pPr>
            <w:r w:rsidRPr="00A530E1">
              <w:rPr>
                <w:b/>
                <w:bCs/>
                <w:sz w:val="18"/>
                <w:szCs w:val="14"/>
                <w:lang w:eastAsia="es-ES"/>
              </w:rPr>
              <w:t>Total</w:t>
            </w:r>
          </w:p>
        </w:tc>
        <w:tc>
          <w:tcPr>
            <w:tcW w:w="1546" w:type="dxa"/>
            <w:tcBorders>
              <w:top w:val="single" w:sz="4" w:space="0" w:color="auto"/>
              <w:bottom w:val="single" w:sz="4" w:space="0" w:color="auto"/>
            </w:tcBorders>
            <w:shd w:val="clear" w:color="auto" w:fill="auto"/>
            <w:vAlign w:val="bottom"/>
          </w:tcPr>
          <w:p w:rsidR="00180B44" w:rsidRPr="00A530E1" w:rsidRDefault="00180B44" w:rsidP="00222F37">
            <w:pPr>
              <w:keepNext/>
              <w:keepLines/>
              <w:shd w:val="clear" w:color="auto" w:fill="FFFFFF"/>
              <w:suppressAutoHyphens w:val="0"/>
              <w:spacing w:before="80" w:after="80" w:line="200" w:lineRule="exact"/>
              <w:ind w:left="170" w:right="113"/>
              <w:jc w:val="right"/>
              <w:rPr>
                <w:b/>
                <w:sz w:val="18"/>
                <w:lang w:eastAsia="es-ES"/>
              </w:rPr>
            </w:pPr>
            <w:r w:rsidRPr="00A530E1">
              <w:rPr>
                <w:b/>
                <w:sz w:val="18"/>
                <w:szCs w:val="14"/>
                <w:lang w:eastAsia="es-ES"/>
              </w:rPr>
              <w:t>8.4</w:t>
            </w:r>
          </w:p>
        </w:tc>
        <w:tc>
          <w:tcPr>
            <w:tcW w:w="1652" w:type="dxa"/>
            <w:tcBorders>
              <w:top w:val="single" w:sz="4" w:space="0" w:color="auto"/>
              <w:bottom w:val="single" w:sz="4" w:space="0" w:color="auto"/>
            </w:tcBorders>
            <w:shd w:val="clear" w:color="auto" w:fill="auto"/>
            <w:vAlign w:val="bottom"/>
          </w:tcPr>
          <w:p w:rsidR="00180B44" w:rsidRPr="00A530E1" w:rsidRDefault="00180B44" w:rsidP="00222F37">
            <w:pPr>
              <w:keepNext/>
              <w:keepLines/>
              <w:shd w:val="clear" w:color="auto" w:fill="FFFFFF"/>
              <w:suppressAutoHyphens w:val="0"/>
              <w:spacing w:before="80" w:after="80" w:line="200" w:lineRule="exact"/>
              <w:ind w:left="170" w:right="113"/>
              <w:jc w:val="right"/>
              <w:rPr>
                <w:b/>
                <w:sz w:val="18"/>
                <w:lang w:eastAsia="es-ES"/>
              </w:rPr>
            </w:pPr>
            <w:r w:rsidRPr="00A530E1">
              <w:rPr>
                <w:b/>
                <w:sz w:val="18"/>
                <w:szCs w:val="14"/>
                <w:lang w:eastAsia="es-ES"/>
              </w:rPr>
              <w:t>8.9</w:t>
            </w:r>
          </w:p>
        </w:tc>
        <w:tc>
          <w:tcPr>
            <w:tcW w:w="1515" w:type="dxa"/>
            <w:tcBorders>
              <w:top w:val="single" w:sz="4" w:space="0" w:color="auto"/>
              <w:bottom w:val="single" w:sz="4" w:space="0" w:color="auto"/>
            </w:tcBorders>
            <w:shd w:val="clear" w:color="auto" w:fill="auto"/>
            <w:vAlign w:val="bottom"/>
          </w:tcPr>
          <w:p w:rsidR="00180B44" w:rsidRPr="00A530E1" w:rsidRDefault="00180B44" w:rsidP="00222F37">
            <w:pPr>
              <w:keepNext/>
              <w:keepLines/>
              <w:shd w:val="clear" w:color="auto" w:fill="FFFFFF"/>
              <w:suppressAutoHyphens w:val="0"/>
              <w:spacing w:before="80" w:after="80" w:line="200" w:lineRule="exact"/>
              <w:ind w:left="170" w:right="113"/>
              <w:jc w:val="right"/>
              <w:rPr>
                <w:b/>
                <w:sz w:val="18"/>
                <w:lang w:eastAsia="es-ES"/>
              </w:rPr>
            </w:pPr>
            <w:r w:rsidRPr="00A530E1">
              <w:rPr>
                <w:b/>
                <w:sz w:val="18"/>
                <w:szCs w:val="14"/>
                <w:lang w:eastAsia="es-ES"/>
              </w:rPr>
              <w:t>6.9</w:t>
            </w:r>
          </w:p>
        </w:tc>
      </w:tr>
      <w:tr w:rsidR="00180B44" w:rsidRPr="004F67AE" w:rsidTr="00180B44">
        <w:tblPrEx>
          <w:tblCellMar>
            <w:top w:w="0" w:type="dxa"/>
            <w:bottom w:w="0" w:type="dxa"/>
          </w:tblCellMar>
        </w:tblPrEx>
        <w:trPr>
          <w:trHeight w:val="240"/>
        </w:trPr>
        <w:tc>
          <w:tcPr>
            <w:tcW w:w="2657" w:type="dxa"/>
            <w:tcBorders>
              <w:top w:val="single" w:sz="4" w:space="0" w:color="auto"/>
              <w:bottom w:val="single" w:sz="4" w:space="0" w:color="auto"/>
            </w:tcBorders>
            <w:shd w:val="clear" w:color="auto" w:fill="auto"/>
          </w:tcPr>
          <w:p w:rsidR="00180B44" w:rsidRPr="004F67AE" w:rsidRDefault="00180B44" w:rsidP="00222F37">
            <w:pPr>
              <w:shd w:val="clear" w:color="auto" w:fill="FFFFFF"/>
              <w:tabs>
                <w:tab w:val="center" w:pos="1328"/>
              </w:tabs>
              <w:suppressAutoHyphens w:val="0"/>
              <w:spacing w:before="80" w:after="80" w:line="200" w:lineRule="exact"/>
              <w:ind w:left="284" w:right="113"/>
              <w:rPr>
                <w:b/>
                <w:sz w:val="18"/>
                <w:lang w:eastAsia="es-ES"/>
              </w:rPr>
            </w:pPr>
            <w:r w:rsidRPr="004F67AE">
              <w:rPr>
                <w:b/>
                <w:sz w:val="18"/>
                <w:szCs w:val="14"/>
                <w:lang w:eastAsia="es-ES"/>
              </w:rPr>
              <w:t>Men</w:t>
            </w:r>
          </w:p>
        </w:tc>
        <w:tc>
          <w:tcPr>
            <w:tcW w:w="1546" w:type="dxa"/>
            <w:tcBorders>
              <w:top w:val="single" w:sz="4" w:space="0" w:color="auto"/>
              <w:bottom w:val="single" w:sz="4" w:space="0" w:color="auto"/>
            </w:tcBorders>
            <w:shd w:val="clear" w:color="auto" w:fill="auto"/>
            <w:vAlign w:val="bottom"/>
          </w:tcPr>
          <w:p w:rsidR="00180B44" w:rsidRPr="004F67AE" w:rsidRDefault="00180B44" w:rsidP="00222F37">
            <w:pPr>
              <w:keepNext/>
              <w:keepLines/>
              <w:shd w:val="clear" w:color="auto" w:fill="FFFFFF"/>
              <w:suppressAutoHyphens w:val="0"/>
              <w:spacing w:before="80" w:after="80" w:line="200" w:lineRule="exact"/>
              <w:ind w:left="113" w:right="113"/>
              <w:jc w:val="right"/>
              <w:rPr>
                <w:b/>
                <w:sz w:val="18"/>
                <w:lang w:eastAsia="es-ES"/>
              </w:rPr>
            </w:pPr>
            <w:r w:rsidRPr="004F67AE">
              <w:rPr>
                <w:b/>
                <w:sz w:val="18"/>
                <w:szCs w:val="14"/>
                <w:lang w:eastAsia="es-ES"/>
              </w:rPr>
              <w:t>7.6</w:t>
            </w:r>
          </w:p>
        </w:tc>
        <w:tc>
          <w:tcPr>
            <w:tcW w:w="1652" w:type="dxa"/>
            <w:tcBorders>
              <w:top w:val="single" w:sz="4" w:space="0" w:color="auto"/>
              <w:bottom w:val="single" w:sz="4" w:space="0" w:color="auto"/>
            </w:tcBorders>
            <w:shd w:val="clear" w:color="auto" w:fill="auto"/>
            <w:vAlign w:val="bottom"/>
          </w:tcPr>
          <w:p w:rsidR="00180B44" w:rsidRPr="004F67AE" w:rsidRDefault="00180B44" w:rsidP="00222F37">
            <w:pPr>
              <w:keepNext/>
              <w:keepLines/>
              <w:shd w:val="clear" w:color="auto" w:fill="FFFFFF"/>
              <w:suppressAutoHyphens w:val="0"/>
              <w:spacing w:before="80" w:after="80" w:line="200" w:lineRule="exact"/>
              <w:ind w:left="113" w:right="113"/>
              <w:jc w:val="right"/>
              <w:rPr>
                <w:b/>
                <w:sz w:val="18"/>
                <w:lang w:eastAsia="es-ES"/>
              </w:rPr>
            </w:pPr>
            <w:r w:rsidRPr="004F67AE">
              <w:rPr>
                <w:b/>
                <w:sz w:val="18"/>
                <w:szCs w:val="14"/>
                <w:lang w:eastAsia="es-ES"/>
              </w:rPr>
              <w:t>8.0</w:t>
            </w:r>
          </w:p>
        </w:tc>
        <w:tc>
          <w:tcPr>
            <w:tcW w:w="1515" w:type="dxa"/>
            <w:tcBorders>
              <w:top w:val="single" w:sz="4" w:space="0" w:color="auto"/>
              <w:bottom w:val="single" w:sz="4" w:space="0" w:color="auto"/>
            </w:tcBorders>
            <w:shd w:val="clear" w:color="auto" w:fill="auto"/>
            <w:vAlign w:val="bottom"/>
          </w:tcPr>
          <w:p w:rsidR="00180B44" w:rsidRPr="004F67AE" w:rsidRDefault="00180B44" w:rsidP="00222F37">
            <w:pPr>
              <w:keepNext/>
              <w:keepLines/>
              <w:shd w:val="clear" w:color="auto" w:fill="FFFFFF"/>
              <w:suppressAutoHyphens w:val="0"/>
              <w:spacing w:before="80" w:after="80" w:line="200" w:lineRule="exact"/>
              <w:ind w:left="113" w:right="113"/>
              <w:jc w:val="right"/>
              <w:rPr>
                <w:b/>
                <w:sz w:val="18"/>
                <w:lang w:eastAsia="es-ES"/>
              </w:rPr>
            </w:pPr>
            <w:r w:rsidRPr="004F67AE">
              <w:rPr>
                <w:b/>
                <w:sz w:val="18"/>
                <w:szCs w:val="14"/>
                <w:lang w:eastAsia="es-ES"/>
              </w:rPr>
              <w:t>6.5</w:t>
            </w:r>
          </w:p>
        </w:tc>
      </w:tr>
      <w:tr w:rsidR="00180B44" w:rsidRPr="004F67AE" w:rsidTr="00180B44">
        <w:tblPrEx>
          <w:tblCellMar>
            <w:top w:w="0" w:type="dxa"/>
            <w:bottom w:w="0" w:type="dxa"/>
          </w:tblCellMar>
        </w:tblPrEx>
        <w:trPr>
          <w:trHeight w:val="240"/>
        </w:trPr>
        <w:tc>
          <w:tcPr>
            <w:tcW w:w="2657" w:type="dxa"/>
            <w:tcBorders>
              <w:top w:val="single" w:sz="4" w:space="0" w:color="auto"/>
              <w:bottom w:val="single" w:sz="12" w:space="0" w:color="auto"/>
            </w:tcBorders>
            <w:shd w:val="clear" w:color="auto" w:fill="auto"/>
          </w:tcPr>
          <w:p w:rsidR="00180B44" w:rsidRPr="004F67AE" w:rsidRDefault="00180B44" w:rsidP="00222F37">
            <w:pPr>
              <w:shd w:val="clear" w:color="auto" w:fill="FFFFFF"/>
              <w:suppressAutoHyphens w:val="0"/>
              <w:spacing w:before="80" w:after="80" w:line="200" w:lineRule="exact"/>
              <w:ind w:left="284" w:right="113"/>
              <w:rPr>
                <w:b/>
                <w:sz w:val="18"/>
                <w:lang w:eastAsia="es-ES"/>
              </w:rPr>
            </w:pPr>
            <w:r w:rsidRPr="004F67AE">
              <w:rPr>
                <w:b/>
                <w:sz w:val="18"/>
                <w:szCs w:val="14"/>
                <w:lang w:eastAsia="es-ES"/>
              </w:rPr>
              <w:t>Women</w:t>
            </w:r>
          </w:p>
        </w:tc>
        <w:tc>
          <w:tcPr>
            <w:tcW w:w="1546" w:type="dxa"/>
            <w:tcBorders>
              <w:top w:val="single" w:sz="4" w:space="0" w:color="auto"/>
              <w:bottom w:val="single" w:sz="12" w:space="0" w:color="auto"/>
            </w:tcBorders>
            <w:shd w:val="clear" w:color="auto" w:fill="auto"/>
            <w:vAlign w:val="bottom"/>
          </w:tcPr>
          <w:p w:rsidR="00180B44" w:rsidRPr="004F67AE" w:rsidRDefault="00180B44" w:rsidP="00222F37">
            <w:pPr>
              <w:keepNext/>
              <w:keepLines/>
              <w:shd w:val="clear" w:color="auto" w:fill="FFFFFF"/>
              <w:suppressAutoHyphens w:val="0"/>
              <w:spacing w:before="80" w:after="80" w:line="200" w:lineRule="exact"/>
              <w:ind w:left="113" w:right="113"/>
              <w:jc w:val="right"/>
              <w:rPr>
                <w:b/>
                <w:sz w:val="18"/>
                <w:lang w:eastAsia="es-ES"/>
              </w:rPr>
            </w:pPr>
            <w:r w:rsidRPr="004F67AE">
              <w:rPr>
                <w:b/>
                <w:sz w:val="18"/>
                <w:szCs w:val="14"/>
                <w:lang w:eastAsia="es-ES"/>
              </w:rPr>
              <w:t>9.2</w:t>
            </w:r>
          </w:p>
        </w:tc>
        <w:tc>
          <w:tcPr>
            <w:tcW w:w="1652" w:type="dxa"/>
            <w:tcBorders>
              <w:top w:val="single" w:sz="4" w:space="0" w:color="auto"/>
              <w:bottom w:val="single" w:sz="12" w:space="0" w:color="auto"/>
            </w:tcBorders>
            <w:shd w:val="clear" w:color="auto" w:fill="auto"/>
            <w:vAlign w:val="bottom"/>
          </w:tcPr>
          <w:p w:rsidR="00180B44" w:rsidRPr="004F67AE" w:rsidRDefault="00180B44" w:rsidP="00222F37">
            <w:pPr>
              <w:keepNext/>
              <w:keepLines/>
              <w:shd w:val="clear" w:color="auto" w:fill="FFFFFF"/>
              <w:suppressAutoHyphens w:val="0"/>
              <w:spacing w:before="80" w:after="80" w:line="200" w:lineRule="exact"/>
              <w:ind w:left="113" w:right="113"/>
              <w:jc w:val="right"/>
              <w:rPr>
                <w:b/>
                <w:sz w:val="18"/>
                <w:lang w:eastAsia="es-ES"/>
              </w:rPr>
            </w:pPr>
            <w:r w:rsidRPr="004F67AE">
              <w:rPr>
                <w:b/>
                <w:sz w:val="18"/>
                <w:szCs w:val="14"/>
                <w:lang w:eastAsia="es-ES"/>
              </w:rPr>
              <w:t>9.9</w:t>
            </w:r>
          </w:p>
        </w:tc>
        <w:tc>
          <w:tcPr>
            <w:tcW w:w="1515" w:type="dxa"/>
            <w:tcBorders>
              <w:top w:val="single" w:sz="4" w:space="0" w:color="auto"/>
              <w:bottom w:val="single" w:sz="12" w:space="0" w:color="auto"/>
            </w:tcBorders>
            <w:shd w:val="clear" w:color="auto" w:fill="auto"/>
            <w:vAlign w:val="bottom"/>
          </w:tcPr>
          <w:p w:rsidR="00180B44" w:rsidRPr="004F67AE" w:rsidRDefault="00180B44" w:rsidP="00222F37">
            <w:pPr>
              <w:keepNext/>
              <w:keepLines/>
              <w:shd w:val="clear" w:color="auto" w:fill="FFFFFF"/>
              <w:suppressAutoHyphens w:val="0"/>
              <w:spacing w:before="80" w:after="80" w:line="200" w:lineRule="exact"/>
              <w:ind w:left="113" w:right="113"/>
              <w:jc w:val="right"/>
              <w:rPr>
                <w:b/>
                <w:sz w:val="18"/>
                <w:lang w:eastAsia="es-ES"/>
              </w:rPr>
            </w:pPr>
            <w:r w:rsidRPr="004F67AE">
              <w:rPr>
                <w:b/>
                <w:sz w:val="18"/>
                <w:szCs w:val="14"/>
                <w:lang w:eastAsia="es-ES"/>
              </w:rPr>
              <w:t>7.4</w:t>
            </w:r>
          </w:p>
        </w:tc>
      </w:tr>
    </w:tbl>
    <w:p w:rsidR="00180B44" w:rsidRPr="00A530E1" w:rsidRDefault="00180B44" w:rsidP="00180B44">
      <w:pPr>
        <w:suppressAutoHyphens w:val="0"/>
        <w:spacing w:before="120" w:line="240" w:lineRule="auto"/>
        <w:ind w:left="1134" w:right="1134" w:firstLine="170"/>
        <w:rPr>
          <w:sz w:val="18"/>
          <w:szCs w:val="18"/>
        </w:rPr>
      </w:pPr>
      <w:r w:rsidRPr="00A530E1">
        <w:rPr>
          <w:i/>
          <w:sz w:val="18"/>
          <w:szCs w:val="18"/>
        </w:rPr>
        <w:t>Source:</w:t>
      </w:r>
      <w:r w:rsidRPr="00A530E1">
        <w:rPr>
          <w:sz w:val="18"/>
          <w:szCs w:val="18"/>
        </w:rPr>
        <w:t xml:space="preserve">  National Institute of Statistics (INEI) – Continuous National Survey, 2006.</w:t>
      </w:r>
    </w:p>
    <w:p w:rsidR="00180B44" w:rsidRPr="00A530E1" w:rsidRDefault="00180B44" w:rsidP="00180B44">
      <w:pPr>
        <w:suppressAutoHyphens w:val="0"/>
        <w:spacing w:line="240" w:lineRule="auto"/>
        <w:ind w:left="1134" w:right="1134" w:firstLine="170"/>
        <w:rPr>
          <w:sz w:val="18"/>
          <w:szCs w:val="18"/>
        </w:rPr>
      </w:pPr>
      <w:r w:rsidRPr="00A530E1">
        <w:rPr>
          <w:i/>
          <w:sz w:val="18"/>
          <w:szCs w:val="18"/>
          <w:vertAlign w:val="superscript"/>
        </w:rPr>
        <w:t>1</w:t>
      </w:r>
      <w:r w:rsidRPr="00A530E1">
        <w:rPr>
          <w:sz w:val="18"/>
          <w:szCs w:val="18"/>
        </w:rPr>
        <w:t xml:space="preserve"> </w:t>
      </w:r>
      <w:r w:rsidR="00AD221A" w:rsidRPr="00A530E1">
        <w:rPr>
          <w:sz w:val="18"/>
          <w:szCs w:val="18"/>
        </w:rPr>
        <w:t xml:space="preserve"> </w:t>
      </w:r>
      <w:r w:rsidRPr="00A530E1">
        <w:rPr>
          <w:sz w:val="18"/>
          <w:szCs w:val="18"/>
        </w:rPr>
        <w:t>Includes limited use of the upper or lower extremities.</w:t>
      </w:r>
    </w:p>
    <w:p w:rsidR="00180B44" w:rsidRPr="00A530E1" w:rsidRDefault="00180B44" w:rsidP="00180B44">
      <w:pPr>
        <w:suppressAutoHyphens w:val="0"/>
        <w:spacing w:line="240" w:lineRule="auto"/>
        <w:ind w:left="1134" w:right="1134" w:firstLine="170"/>
        <w:rPr>
          <w:sz w:val="18"/>
          <w:szCs w:val="18"/>
        </w:rPr>
      </w:pPr>
      <w:r w:rsidRPr="00A530E1">
        <w:rPr>
          <w:i/>
          <w:sz w:val="18"/>
          <w:szCs w:val="18"/>
          <w:vertAlign w:val="superscript"/>
        </w:rPr>
        <w:t>2</w:t>
      </w:r>
      <w:r w:rsidRPr="00A530E1">
        <w:rPr>
          <w:sz w:val="18"/>
          <w:szCs w:val="18"/>
        </w:rPr>
        <w:t xml:space="preserve"> </w:t>
      </w:r>
      <w:r w:rsidR="00AD221A" w:rsidRPr="00A530E1">
        <w:rPr>
          <w:sz w:val="18"/>
          <w:szCs w:val="18"/>
        </w:rPr>
        <w:t xml:space="preserve"> </w:t>
      </w:r>
      <w:r w:rsidRPr="00A530E1">
        <w:rPr>
          <w:sz w:val="18"/>
          <w:szCs w:val="18"/>
        </w:rPr>
        <w:t>Includes learning and comprehension difficulties.</w:t>
      </w:r>
    </w:p>
    <w:p w:rsidR="00180B44" w:rsidRPr="00A530E1" w:rsidRDefault="00180B44" w:rsidP="00180B44">
      <w:pPr>
        <w:suppressAutoHyphens w:val="0"/>
        <w:spacing w:after="240" w:line="240" w:lineRule="auto"/>
        <w:ind w:left="1134" w:right="1134" w:firstLine="170"/>
        <w:rPr>
          <w:sz w:val="18"/>
          <w:szCs w:val="18"/>
        </w:rPr>
      </w:pPr>
      <w:r w:rsidRPr="00A530E1">
        <w:rPr>
          <w:i/>
          <w:sz w:val="18"/>
          <w:szCs w:val="18"/>
          <w:vertAlign w:val="superscript"/>
        </w:rPr>
        <w:t>3</w:t>
      </w:r>
      <w:r w:rsidR="00AD221A" w:rsidRPr="00A530E1">
        <w:rPr>
          <w:i/>
          <w:sz w:val="18"/>
          <w:szCs w:val="18"/>
          <w:vertAlign w:val="superscript"/>
        </w:rPr>
        <w:t xml:space="preserve"> </w:t>
      </w:r>
      <w:r w:rsidRPr="00A530E1">
        <w:rPr>
          <w:sz w:val="18"/>
          <w:szCs w:val="18"/>
        </w:rPr>
        <w:t xml:space="preserve"> Includes other difficulties or limitations.</w:t>
      </w:r>
    </w:p>
    <w:p w:rsidR="00180B44" w:rsidRPr="00A530E1" w:rsidRDefault="00180B44" w:rsidP="00180B44">
      <w:pPr>
        <w:pStyle w:val="SingleTxtG"/>
      </w:pPr>
      <w:r w:rsidRPr="00A530E1">
        <w:t>41.</w:t>
      </w:r>
      <w:r w:rsidRPr="00A530E1">
        <w:tab/>
        <w:t>The correlation between type of disability and regional distribution was as follows:</w:t>
      </w:r>
    </w:p>
    <w:p w:rsidR="00180B44" w:rsidRPr="00A530E1" w:rsidRDefault="00180B44" w:rsidP="00180B44">
      <w:pPr>
        <w:pStyle w:val="H23G"/>
        <w:spacing w:after="0"/>
      </w:pPr>
      <w:r w:rsidRPr="00A530E1">
        <w:tab/>
      </w:r>
      <w:r w:rsidRPr="00A530E1">
        <w:tab/>
        <w:t>Percentage of the population with a disability, by type of disability and department, 2006</w:t>
      </w:r>
    </w:p>
    <w:p w:rsidR="00180B44" w:rsidRPr="00A530E1" w:rsidRDefault="00180B44" w:rsidP="00180B44">
      <w:pPr>
        <w:pStyle w:val="SingleTxtG"/>
        <w:rPr>
          <w:sz w:val="16"/>
          <w:szCs w:val="16"/>
        </w:rPr>
      </w:pPr>
      <w:r w:rsidRPr="00A530E1">
        <w:rPr>
          <w:sz w:val="16"/>
          <w:szCs w:val="16"/>
        </w:rPr>
        <w:t>(Prevalence rate)</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701"/>
        <w:gridCol w:w="732"/>
        <w:gridCol w:w="733"/>
        <w:gridCol w:w="732"/>
        <w:gridCol w:w="733"/>
        <w:gridCol w:w="732"/>
        <w:gridCol w:w="733"/>
        <w:gridCol w:w="1274"/>
      </w:tblGrid>
      <w:tr w:rsidR="00180B44" w:rsidRPr="00A530E1" w:rsidTr="00180B44">
        <w:trPr>
          <w:tblHeader/>
        </w:trPr>
        <w:tc>
          <w:tcPr>
            <w:tcW w:w="1701" w:type="dxa"/>
            <w:tcBorders>
              <w:top w:val="single" w:sz="4" w:space="0" w:color="auto"/>
              <w:bottom w:val="single" w:sz="12" w:space="0" w:color="auto"/>
            </w:tcBorders>
            <w:shd w:val="clear" w:color="auto" w:fill="auto"/>
            <w:vAlign w:val="bottom"/>
          </w:tcPr>
          <w:p w:rsidR="00180B44" w:rsidRPr="00A530E1" w:rsidRDefault="00180B44" w:rsidP="00180B44">
            <w:pPr>
              <w:spacing w:before="80" w:after="80" w:line="200" w:lineRule="exact"/>
              <w:ind w:right="113"/>
              <w:rPr>
                <w:i/>
                <w:sz w:val="16"/>
              </w:rPr>
            </w:pPr>
            <w:r w:rsidRPr="00A530E1">
              <w:rPr>
                <w:i/>
                <w:sz w:val="16"/>
              </w:rPr>
              <w:t>Department</w:t>
            </w:r>
          </w:p>
        </w:tc>
        <w:tc>
          <w:tcPr>
            <w:tcW w:w="732" w:type="dxa"/>
            <w:tcBorders>
              <w:top w:val="single" w:sz="4" w:space="0" w:color="auto"/>
              <w:bottom w:val="single" w:sz="12" w:space="0" w:color="auto"/>
            </w:tcBorders>
            <w:shd w:val="clear" w:color="auto" w:fill="auto"/>
            <w:vAlign w:val="bottom"/>
          </w:tcPr>
          <w:p w:rsidR="00180B44" w:rsidRPr="00A530E1" w:rsidRDefault="00180B44" w:rsidP="00180B44">
            <w:pPr>
              <w:spacing w:before="80" w:after="80" w:line="200" w:lineRule="exact"/>
              <w:ind w:right="113"/>
              <w:jc w:val="right"/>
              <w:rPr>
                <w:b/>
                <w:i/>
                <w:sz w:val="16"/>
              </w:rPr>
            </w:pPr>
            <w:r w:rsidRPr="00A530E1">
              <w:rPr>
                <w:b/>
                <w:i/>
                <w:sz w:val="16"/>
              </w:rPr>
              <w:t>Total</w:t>
            </w:r>
          </w:p>
        </w:tc>
        <w:tc>
          <w:tcPr>
            <w:tcW w:w="733" w:type="dxa"/>
            <w:tcBorders>
              <w:top w:val="single" w:sz="4" w:space="0" w:color="auto"/>
              <w:bottom w:val="single" w:sz="12" w:space="0" w:color="auto"/>
            </w:tcBorders>
            <w:shd w:val="clear" w:color="auto" w:fill="auto"/>
            <w:vAlign w:val="bottom"/>
          </w:tcPr>
          <w:p w:rsidR="00180B44" w:rsidRPr="00A530E1" w:rsidRDefault="00180B44" w:rsidP="00180B44">
            <w:pPr>
              <w:spacing w:before="80" w:after="80" w:line="200" w:lineRule="exact"/>
              <w:ind w:right="113"/>
              <w:jc w:val="right"/>
              <w:rPr>
                <w:i/>
                <w:sz w:val="16"/>
              </w:rPr>
            </w:pPr>
            <w:r w:rsidRPr="00A530E1">
              <w:rPr>
                <w:i/>
                <w:sz w:val="16"/>
              </w:rPr>
              <w:t>Sight</w:t>
            </w:r>
          </w:p>
        </w:tc>
        <w:tc>
          <w:tcPr>
            <w:tcW w:w="732" w:type="dxa"/>
            <w:tcBorders>
              <w:top w:val="single" w:sz="4" w:space="0" w:color="auto"/>
              <w:bottom w:val="single" w:sz="12" w:space="0" w:color="auto"/>
            </w:tcBorders>
            <w:shd w:val="clear" w:color="auto" w:fill="auto"/>
            <w:vAlign w:val="bottom"/>
          </w:tcPr>
          <w:p w:rsidR="00180B44" w:rsidRPr="00A530E1" w:rsidRDefault="00180B44" w:rsidP="00180B44">
            <w:pPr>
              <w:spacing w:before="80" w:after="80" w:line="200" w:lineRule="exact"/>
              <w:ind w:right="113"/>
              <w:jc w:val="right"/>
              <w:rPr>
                <w:i/>
                <w:sz w:val="16"/>
              </w:rPr>
            </w:pPr>
            <w:r w:rsidRPr="00A530E1">
              <w:rPr>
                <w:i/>
                <w:sz w:val="16"/>
              </w:rPr>
              <w:t>Motor</w:t>
            </w:r>
            <w:r w:rsidRPr="00A530E1">
              <w:rPr>
                <w:i/>
                <w:sz w:val="18"/>
                <w:szCs w:val="18"/>
                <w:vertAlign w:val="superscript"/>
              </w:rPr>
              <w:t>1</w:t>
            </w:r>
          </w:p>
        </w:tc>
        <w:tc>
          <w:tcPr>
            <w:tcW w:w="733" w:type="dxa"/>
            <w:tcBorders>
              <w:top w:val="single" w:sz="4" w:space="0" w:color="auto"/>
              <w:bottom w:val="single" w:sz="12" w:space="0" w:color="auto"/>
            </w:tcBorders>
            <w:shd w:val="clear" w:color="auto" w:fill="auto"/>
            <w:vAlign w:val="bottom"/>
          </w:tcPr>
          <w:p w:rsidR="00180B44" w:rsidRPr="00A530E1" w:rsidRDefault="00180B44" w:rsidP="00180B44">
            <w:pPr>
              <w:spacing w:before="80" w:after="80" w:line="200" w:lineRule="exact"/>
              <w:ind w:right="113"/>
              <w:jc w:val="right"/>
              <w:rPr>
                <w:i/>
                <w:sz w:val="16"/>
              </w:rPr>
            </w:pPr>
            <w:r w:rsidRPr="00A530E1">
              <w:rPr>
                <w:i/>
                <w:sz w:val="16"/>
              </w:rPr>
              <w:t>Hearing</w:t>
            </w:r>
          </w:p>
        </w:tc>
        <w:tc>
          <w:tcPr>
            <w:tcW w:w="732" w:type="dxa"/>
            <w:tcBorders>
              <w:top w:val="single" w:sz="4" w:space="0" w:color="auto"/>
              <w:bottom w:val="single" w:sz="12" w:space="0" w:color="auto"/>
            </w:tcBorders>
            <w:shd w:val="clear" w:color="auto" w:fill="auto"/>
            <w:vAlign w:val="bottom"/>
          </w:tcPr>
          <w:p w:rsidR="00180B44" w:rsidRPr="00A530E1" w:rsidRDefault="00180B44" w:rsidP="00180B44">
            <w:pPr>
              <w:spacing w:before="80" w:after="80" w:line="200" w:lineRule="exact"/>
              <w:ind w:right="113"/>
              <w:jc w:val="right"/>
              <w:rPr>
                <w:i/>
                <w:sz w:val="16"/>
              </w:rPr>
            </w:pPr>
            <w:r w:rsidRPr="00A530E1">
              <w:rPr>
                <w:i/>
                <w:sz w:val="16"/>
              </w:rPr>
              <w:t>Mental</w:t>
            </w:r>
            <w:r w:rsidRPr="00A530E1">
              <w:rPr>
                <w:i/>
                <w:sz w:val="18"/>
                <w:szCs w:val="18"/>
                <w:vertAlign w:val="superscript"/>
              </w:rPr>
              <w:t>2</w:t>
            </w:r>
          </w:p>
        </w:tc>
        <w:tc>
          <w:tcPr>
            <w:tcW w:w="733" w:type="dxa"/>
            <w:tcBorders>
              <w:top w:val="single" w:sz="4" w:space="0" w:color="auto"/>
              <w:bottom w:val="single" w:sz="12" w:space="0" w:color="auto"/>
            </w:tcBorders>
            <w:shd w:val="clear" w:color="auto" w:fill="auto"/>
            <w:vAlign w:val="bottom"/>
          </w:tcPr>
          <w:p w:rsidR="00180B44" w:rsidRPr="00A530E1" w:rsidRDefault="00180B44" w:rsidP="00180B44">
            <w:pPr>
              <w:spacing w:before="80" w:after="80" w:line="200" w:lineRule="exact"/>
              <w:ind w:right="113"/>
              <w:jc w:val="right"/>
              <w:rPr>
                <w:i/>
                <w:sz w:val="16"/>
              </w:rPr>
            </w:pPr>
            <w:r w:rsidRPr="00A530E1">
              <w:rPr>
                <w:i/>
                <w:sz w:val="16"/>
              </w:rPr>
              <w:t>Speech</w:t>
            </w:r>
          </w:p>
        </w:tc>
        <w:tc>
          <w:tcPr>
            <w:tcW w:w="1274" w:type="dxa"/>
            <w:tcBorders>
              <w:top w:val="single" w:sz="4" w:space="0" w:color="auto"/>
              <w:bottom w:val="single" w:sz="12" w:space="0" w:color="auto"/>
            </w:tcBorders>
            <w:shd w:val="clear" w:color="auto" w:fill="auto"/>
            <w:vAlign w:val="bottom"/>
          </w:tcPr>
          <w:p w:rsidR="00180B44" w:rsidRPr="00A530E1" w:rsidRDefault="00180B44" w:rsidP="00180B44">
            <w:pPr>
              <w:spacing w:before="80" w:after="80" w:line="200" w:lineRule="exact"/>
              <w:ind w:right="113"/>
              <w:jc w:val="right"/>
              <w:rPr>
                <w:i/>
                <w:sz w:val="16"/>
              </w:rPr>
            </w:pPr>
            <w:r w:rsidRPr="00A530E1">
              <w:rPr>
                <w:i/>
                <w:sz w:val="16"/>
              </w:rPr>
              <w:t>Communication</w:t>
            </w:r>
          </w:p>
        </w:tc>
      </w:tr>
      <w:tr w:rsidR="00180B44" w:rsidRPr="00A530E1" w:rsidTr="00180B44">
        <w:tc>
          <w:tcPr>
            <w:tcW w:w="1701" w:type="dxa"/>
            <w:tcBorders>
              <w:top w:val="single" w:sz="12" w:space="0" w:color="auto"/>
            </w:tcBorders>
            <w:shd w:val="clear" w:color="auto" w:fill="auto"/>
          </w:tcPr>
          <w:p w:rsidR="00180B44" w:rsidRPr="00A530E1" w:rsidRDefault="00180B44" w:rsidP="001F33A7">
            <w:pPr>
              <w:shd w:val="clear" w:color="auto" w:fill="FFFFFF"/>
              <w:spacing w:before="40" w:after="40" w:line="220" w:lineRule="exact"/>
              <w:ind w:right="113"/>
              <w:rPr>
                <w:sz w:val="18"/>
              </w:rPr>
            </w:pPr>
            <w:r w:rsidRPr="00A530E1">
              <w:rPr>
                <w:sz w:val="18"/>
                <w:szCs w:val="14"/>
              </w:rPr>
              <w:t>Amazonas</w:t>
            </w:r>
          </w:p>
        </w:tc>
        <w:tc>
          <w:tcPr>
            <w:tcW w:w="732" w:type="dxa"/>
            <w:tcBorders>
              <w:top w:val="single" w:sz="12" w:space="0" w:color="auto"/>
            </w:tcBorders>
            <w:shd w:val="clear" w:color="auto" w:fill="auto"/>
            <w:vAlign w:val="bottom"/>
          </w:tcPr>
          <w:p w:rsidR="00180B44" w:rsidRPr="00A530E1" w:rsidRDefault="00180B44" w:rsidP="001F33A7">
            <w:pPr>
              <w:shd w:val="clear" w:color="auto" w:fill="FFFFFF"/>
              <w:spacing w:before="40" w:after="40" w:line="220" w:lineRule="exact"/>
              <w:ind w:left="113" w:right="113"/>
              <w:jc w:val="right"/>
              <w:rPr>
                <w:b/>
                <w:sz w:val="18"/>
              </w:rPr>
            </w:pPr>
            <w:r w:rsidRPr="00A530E1">
              <w:rPr>
                <w:b/>
                <w:sz w:val="18"/>
                <w:szCs w:val="14"/>
              </w:rPr>
              <w:t>7.2</w:t>
            </w:r>
          </w:p>
        </w:tc>
        <w:tc>
          <w:tcPr>
            <w:tcW w:w="733" w:type="dxa"/>
            <w:tcBorders>
              <w:top w:val="single" w:sz="12" w:space="0" w:color="auto"/>
            </w:tcBorders>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4.7</w:t>
            </w:r>
          </w:p>
        </w:tc>
        <w:tc>
          <w:tcPr>
            <w:tcW w:w="732" w:type="dxa"/>
            <w:tcBorders>
              <w:top w:val="single" w:sz="12" w:space="0" w:color="auto"/>
            </w:tcBorders>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1.5</w:t>
            </w:r>
          </w:p>
        </w:tc>
        <w:tc>
          <w:tcPr>
            <w:tcW w:w="733" w:type="dxa"/>
            <w:tcBorders>
              <w:top w:val="single" w:sz="12" w:space="0" w:color="auto"/>
            </w:tcBorders>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1.8</w:t>
            </w:r>
          </w:p>
        </w:tc>
        <w:tc>
          <w:tcPr>
            <w:tcW w:w="732" w:type="dxa"/>
            <w:tcBorders>
              <w:top w:val="single" w:sz="12" w:space="0" w:color="auto"/>
            </w:tcBorders>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0.8</w:t>
            </w:r>
          </w:p>
        </w:tc>
        <w:tc>
          <w:tcPr>
            <w:tcW w:w="733" w:type="dxa"/>
            <w:tcBorders>
              <w:top w:val="single" w:sz="12" w:space="0" w:color="auto"/>
            </w:tcBorders>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0.8</w:t>
            </w:r>
          </w:p>
        </w:tc>
        <w:tc>
          <w:tcPr>
            <w:tcW w:w="1274" w:type="dxa"/>
            <w:tcBorders>
              <w:top w:val="single" w:sz="12" w:space="0" w:color="auto"/>
            </w:tcBorders>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0.6</w:t>
            </w:r>
          </w:p>
        </w:tc>
      </w:tr>
      <w:tr w:rsidR="00180B44" w:rsidRPr="00A530E1" w:rsidTr="00180B44">
        <w:tc>
          <w:tcPr>
            <w:tcW w:w="1701" w:type="dxa"/>
            <w:shd w:val="clear" w:color="auto" w:fill="auto"/>
          </w:tcPr>
          <w:p w:rsidR="00180B44" w:rsidRPr="00A530E1" w:rsidRDefault="00180B44" w:rsidP="001F33A7">
            <w:pPr>
              <w:shd w:val="clear" w:color="auto" w:fill="FFFFFF"/>
              <w:spacing w:before="40" w:after="40" w:line="220" w:lineRule="exact"/>
              <w:ind w:right="113"/>
              <w:rPr>
                <w:sz w:val="18"/>
              </w:rPr>
            </w:pPr>
            <w:r w:rsidRPr="00A530E1">
              <w:rPr>
                <w:sz w:val="18"/>
                <w:szCs w:val="14"/>
              </w:rPr>
              <w:t>Ancash</w:t>
            </w:r>
          </w:p>
        </w:tc>
        <w:tc>
          <w:tcPr>
            <w:tcW w:w="732"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b/>
                <w:sz w:val="18"/>
              </w:rPr>
            </w:pPr>
            <w:r w:rsidRPr="00A530E1">
              <w:rPr>
                <w:b/>
                <w:sz w:val="18"/>
                <w:szCs w:val="14"/>
              </w:rPr>
              <w:t>6.9</w:t>
            </w:r>
          </w:p>
        </w:tc>
        <w:tc>
          <w:tcPr>
            <w:tcW w:w="733"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2.9</w:t>
            </w:r>
          </w:p>
        </w:tc>
        <w:tc>
          <w:tcPr>
            <w:tcW w:w="732"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2.9</w:t>
            </w:r>
          </w:p>
        </w:tc>
        <w:tc>
          <w:tcPr>
            <w:tcW w:w="733"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1.7</w:t>
            </w:r>
          </w:p>
        </w:tc>
        <w:tc>
          <w:tcPr>
            <w:tcW w:w="732"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1.3</w:t>
            </w:r>
          </w:p>
        </w:tc>
        <w:tc>
          <w:tcPr>
            <w:tcW w:w="733"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0.6</w:t>
            </w:r>
          </w:p>
        </w:tc>
        <w:tc>
          <w:tcPr>
            <w:tcW w:w="1274"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0.7</w:t>
            </w:r>
          </w:p>
        </w:tc>
      </w:tr>
      <w:tr w:rsidR="00180B44" w:rsidRPr="00A530E1" w:rsidTr="00180B44">
        <w:tc>
          <w:tcPr>
            <w:tcW w:w="1701" w:type="dxa"/>
            <w:shd w:val="clear" w:color="auto" w:fill="auto"/>
          </w:tcPr>
          <w:p w:rsidR="00180B44" w:rsidRPr="00A530E1" w:rsidRDefault="00180B44" w:rsidP="001F33A7">
            <w:pPr>
              <w:shd w:val="clear" w:color="auto" w:fill="FFFFFF"/>
              <w:spacing w:before="40" w:after="40" w:line="220" w:lineRule="exact"/>
              <w:ind w:right="113"/>
              <w:rPr>
                <w:sz w:val="18"/>
              </w:rPr>
            </w:pPr>
            <w:r w:rsidRPr="00A530E1">
              <w:rPr>
                <w:sz w:val="18"/>
                <w:szCs w:val="14"/>
              </w:rPr>
              <w:t>Apurimac</w:t>
            </w:r>
          </w:p>
        </w:tc>
        <w:tc>
          <w:tcPr>
            <w:tcW w:w="732"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b/>
                <w:sz w:val="18"/>
              </w:rPr>
            </w:pPr>
            <w:r w:rsidRPr="00A530E1">
              <w:rPr>
                <w:b/>
                <w:sz w:val="18"/>
                <w:szCs w:val="14"/>
              </w:rPr>
              <w:t>5.6</w:t>
            </w:r>
          </w:p>
        </w:tc>
        <w:tc>
          <w:tcPr>
            <w:tcW w:w="733"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2.3</w:t>
            </w:r>
          </w:p>
        </w:tc>
        <w:tc>
          <w:tcPr>
            <w:tcW w:w="732"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2.2</w:t>
            </w:r>
          </w:p>
        </w:tc>
        <w:tc>
          <w:tcPr>
            <w:tcW w:w="733"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1.6</w:t>
            </w:r>
          </w:p>
        </w:tc>
        <w:tc>
          <w:tcPr>
            <w:tcW w:w="732"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0.6</w:t>
            </w:r>
          </w:p>
        </w:tc>
        <w:tc>
          <w:tcPr>
            <w:tcW w:w="733"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0.6</w:t>
            </w:r>
          </w:p>
        </w:tc>
        <w:tc>
          <w:tcPr>
            <w:tcW w:w="1274"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0.4</w:t>
            </w:r>
          </w:p>
        </w:tc>
      </w:tr>
      <w:tr w:rsidR="00180B44" w:rsidRPr="00A530E1" w:rsidTr="00180B44">
        <w:tc>
          <w:tcPr>
            <w:tcW w:w="1701" w:type="dxa"/>
            <w:shd w:val="clear" w:color="auto" w:fill="auto"/>
          </w:tcPr>
          <w:p w:rsidR="00180B44" w:rsidRPr="00A530E1" w:rsidRDefault="00180B44" w:rsidP="001F33A7">
            <w:pPr>
              <w:shd w:val="clear" w:color="auto" w:fill="FFFFFF"/>
              <w:spacing w:before="40" w:after="40" w:line="220" w:lineRule="exact"/>
              <w:ind w:right="113"/>
              <w:rPr>
                <w:sz w:val="18"/>
              </w:rPr>
            </w:pPr>
            <w:r w:rsidRPr="00A530E1">
              <w:rPr>
                <w:sz w:val="18"/>
                <w:szCs w:val="14"/>
              </w:rPr>
              <w:t>Arequipa</w:t>
            </w:r>
          </w:p>
        </w:tc>
        <w:tc>
          <w:tcPr>
            <w:tcW w:w="732"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b/>
                <w:sz w:val="18"/>
              </w:rPr>
            </w:pPr>
            <w:r w:rsidRPr="00A530E1">
              <w:rPr>
                <w:b/>
                <w:sz w:val="18"/>
                <w:szCs w:val="14"/>
              </w:rPr>
              <w:t>10.4</w:t>
            </w:r>
          </w:p>
        </w:tc>
        <w:tc>
          <w:tcPr>
            <w:tcW w:w="733"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5.0</w:t>
            </w:r>
          </w:p>
        </w:tc>
        <w:tc>
          <w:tcPr>
            <w:tcW w:w="732"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4.1</w:t>
            </w:r>
          </w:p>
        </w:tc>
        <w:tc>
          <w:tcPr>
            <w:tcW w:w="733"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4.0</w:t>
            </w:r>
          </w:p>
        </w:tc>
        <w:tc>
          <w:tcPr>
            <w:tcW w:w="732"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1.1</w:t>
            </w:r>
          </w:p>
        </w:tc>
        <w:tc>
          <w:tcPr>
            <w:tcW w:w="733"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0.6</w:t>
            </w:r>
          </w:p>
        </w:tc>
        <w:tc>
          <w:tcPr>
            <w:tcW w:w="1274"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0.7</w:t>
            </w:r>
          </w:p>
        </w:tc>
      </w:tr>
      <w:tr w:rsidR="00180B44" w:rsidRPr="00A530E1" w:rsidTr="00180B44">
        <w:tc>
          <w:tcPr>
            <w:tcW w:w="1701" w:type="dxa"/>
            <w:shd w:val="clear" w:color="auto" w:fill="auto"/>
          </w:tcPr>
          <w:p w:rsidR="00180B44" w:rsidRPr="00A530E1" w:rsidRDefault="00180B44" w:rsidP="001F33A7">
            <w:pPr>
              <w:shd w:val="clear" w:color="auto" w:fill="FFFFFF"/>
              <w:spacing w:before="40" w:after="40" w:line="220" w:lineRule="exact"/>
              <w:ind w:right="113"/>
              <w:rPr>
                <w:sz w:val="18"/>
              </w:rPr>
            </w:pPr>
            <w:r w:rsidRPr="00A530E1">
              <w:rPr>
                <w:sz w:val="18"/>
                <w:szCs w:val="14"/>
              </w:rPr>
              <w:t>Ayacucho</w:t>
            </w:r>
          </w:p>
        </w:tc>
        <w:tc>
          <w:tcPr>
            <w:tcW w:w="732"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b/>
                <w:sz w:val="18"/>
              </w:rPr>
            </w:pPr>
            <w:r w:rsidRPr="00A530E1">
              <w:rPr>
                <w:b/>
                <w:sz w:val="18"/>
                <w:szCs w:val="14"/>
              </w:rPr>
              <w:t>6.7</w:t>
            </w:r>
          </w:p>
        </w:tc>
        <w:tc>
          <w:tcPr>
            <w:tcW w:w="733"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2.7</w:t>
            </w:r>
          </w:p>
        </w:tc>
        <w:tc>
          <w:tcPr>
            <w:tcW w:w="732"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2.0</w:t>
            </w:r>
          </w:p>
        </w:tc>
        <w:tc>
          <w:tcPr>
            <w:tcW w:w="733"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1.7</w:t>
            </w:r>
          </w:p>
        </w:tc>
        <w:tc>
          <w:tcPr>
            <w:tcW w:w="732"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1.5</w:t>
            </w:r>
          </w:p>
        </w:tc>
        <w:tc>
          <w:tcPr>
            <w:tcW w:w="733"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0.5</w:t>
            </w:r>
          </w:p>
        </w:tc>
        <w:tc>
          <w:tcPr>
            <w:tcW w:w="1274"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0.5</w:t>
            </w:r>
          </w:p>
        </w:tc>
      </w:tr>
      <w:tr w:rsidR="00180B44" w:rsidRPr="00A530E1" w:rsidTr="00180B44">
        <w:tc>
          <w:tcPr>
            <w:tcW w:w="1701" w:type="dxa"/>
            <w:shd w:val="clear" w:color="auto" w:fill="auto"/>
          </w:tcPr>
          <w:p w:rsidR="00180B44" w:rsidRPr="00A530E1" w:rsidRDefault="00180B44" w:rsidP="001F33A7">
            <w:pPr>
              <w:shd w:val="clear" w:color="auto" w:fill="FFFFFF"/>
              <w:spacing w:before="40" w:after="40" w:line="220" w:lineRule="exact"/>
              <w:ind w:right="113"/>
              <w:rPr>
                <w:sz w:val="18"/>
              </w:rPr>
            </w:pPr>
            <w:r w:rsidRPr="00A530E1">
              <w:rPr>
                <w:sz w:val="18"/>
                <w:szCs w:val="14"/>
              </w:rPr>
              <w:t>Cajamarca</w:t>
            </w:r>
          </w:p>
        </w:tc>
        <w:tc>
          <w:tcPr>
            <w:tcW w:w="732"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b/>
                <w:sz w:val="18"/>
              </w:rPr>
            </w:pPr>
            <w:r w:rsidRPr="00A530E1">
              <w:rPr>
                <w:b/>
                <w:sz w:val="18"/>
                <w:szCs w:val="14"/>
              </w:rPr>
              <w:t>7.3</w:t>
            </w:r>
          </w:p>
        </w:tc>
        <w:tc>
          <w:tcPr>
            <w:tcW w:w="733"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4.0</w:t>
            </w:r>
          </w:p>
        </w:tc>
        <w:tc>
          <w:tcPr>
            <w:tcW w:w="732"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2.5</w:t>
            </w:r>
          </w:p>
        </w:tc>
        <w:tc>
          <w:tcPr>
            <w:tcW w:w="733"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2.2</w:t>
            </w:r>
          </w:p>
        </w:tc>
        <w:tc>
          <w:tcPr>
            <w:tcW w:w="732"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0.9</w:t>
            </w:r>
          </w:p>
        </w:tc>
        <w:tc>
          <w:tcPr>
            <w:tcW w:w="733"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0.7</w:t>
            </w:r>
          </w:p>
        </w:tc>
        <w:tc>
          <w:tcPr>
            <w:tcW w:w="1274"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0.6</w:t>
            </w:r>
          </w:p>
        </w:tc>
      </w:tr>
      <w:tr w:rsidR="00180B44" w:rsidRPr="00A530E1" w:rsidTr="00180B44">
        <w:tc>
          <w:tcPr>
            <w:tcW w:w="1701" w:type="dxa"/>
            <w:shd w:val="clear" w:color="auto" w:fill="auto"/>
          </w:tcPr>
          <w:p w:rsidR="00180B44" w:rsidRPr="00A530E1" w:rsidRDefault="00180B44" w:rsidP="001F33A7">
            <w:pPr>
              <w:shd w:val="clear" w:color="auto" w:fill="FFFFFF"/>
              <w:spacing w:before="40" w:after="40" w:line="220" w:lineRule="exact"/>
              <w:ind w:right="113"/>
              <w:rPr>
                <w:sz w:val="18"/>
              </w:rPr>
            </w:pPr>
            <w:r w:rsidRPr="00A530E1">
              <w:rPr>
                <w:sz w:val="18"/>
                <w:szCs w:val="14"/>
              </w:rPr>
              <w:t>Cusco</w:t>
            </w:r>
          </w:p>
        </w:tc>
        <w:tc>
          <w:tcPr>
            <w:tcW w:w="732"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b/>
                <w:sz w:val="18"/>
              </w:rPr>
            </w:pPr>
            <w:r w:rsidRPr="00A530E1">
              <w:rPr>
                <w:b/>
                <w:sz w:val="18"/>
                <w:szCs w:val="14"/>
              </w:rPr>
              <w:t>8.5</w:t>
            </w:r>
          </w:p>
        </w:tc>
        <w:tc>
          <w:tcPr>
            <w:tcW w:w="733"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2.8</w:t>
            </w:r>
          </w:p>
        </w:tc>
        <w:tc>
          <w:tcPr>
            <w:tcW w:w="732"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3.5</w:t>
            </w:r>
          </w:p>
        </w:tc>
        <w:tc>
          <w:tcPr>
            <w:tcW w:w="733"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3.7</w:t>
            </w:r>
          </w:p>
        </w:tc>
        <w:tc>
          <w:tcPr>
            <w:tcW w:w="732"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0.8</w:t>
            </w:r>
          </w:p>
        </w:tc>
        <w:tc>
          <w:tcPr>
            <w:tcW w:w="733"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0.6</w:t>
            </w:r>
          </w:p>
        </w:tc>
        <w:tc>
          <w:tcPr>
            <w:tcW w:w="1274"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0.4</w:t>
            </w:r>
          </w:p>
        </w:tc>
      </w:tr>
      <w:tr w:rsidR="00180B44" w:rsidRPr="00A530E1" w:rsidTr="00180B44">
        <w:tc>
          <w:tcPr>
            <w:tcW w:w="1701" w:type="dxa"/>
            <w:shd w:val="clear" w:color="auto" w:fill="auto"/>
          </w:tcPr>
          <w:p w:rsidR="00180B44" w:rsidRPr="00A530E1" w:rsidRDefault="00180B44" w:rsidP="001F33A7">
            <w:pPr>
              <w:shd w:val="clear" w:color="auto" w:fill="FFFFFF"/>
              <w:spacing w:before="40" w:after="40" w:line="220" w:lineRule="exact"/>
              <w:ind w:right="113"/>
              <w:rPr>
                <w:sz w:val="18"/>
              </w:rPr>
            </w:pPr>
            <w:r w:rsidRPr="00A530E1">
              <w:rPr>
                <w:sz w:val="18"/>
                <w:szCs w:val="14"/>
              </w:rPr>
              <w:t>Huancavelica</w:t>
            </w:r>
          </w:p>
        </w:tc>
        <w:tc>
          <w:tcPr>
            <w:tcW w:w="732"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b/>
                <w:sz w:val="18"/>
              </w:rPr>
            </w:pPr>
            <w:r w:rsidRPr="00A530E1">
              <w:rPr>
                <w:b/>
                <w:sz w:val="18"/>
                <w:szCs w:val="14"/>
              </w:rPr>
              <w:t>6.6</w:t>
            </w:r>
          </w:p>
        </w:tc>
        <w:tc>
          <w:tcPr>
            <w:tcW w:w="733"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4.2</w:t>
            </w:r>
          </w:p>
        </w:tc>
        <w:tc>
          <w:tcPr>
            <w:tcW w:w="732"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1.6</w:t>
            </w:r>
          </w:p>
        </w:tc>
        <w:tc>
          <w:tcPr>
            <w:tcW w:w="733"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2.0</w:t>
            </w:r>
          </w:p>
        </w:tc>
        <w:tc>
          <w:tcPr>
            <w:tcW w:w="732"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0.7</w:t>
            </w:r>
          </w:p>
        </w:tc>
        <w:tc>
          <w:tcPr>
            <w:tcW w:w="733"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0.5</w:t>
            </w:r>
          </w:p>
        </w:tc>
        <w:tc>
          <w:tcPr>
            <w:tcW w:w="1274"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0.3</w:t>
            </w:r>
          </w:p>
        </w:tc>
      </w:tr>
      <w:tr w:rsidR="00180B44" w:rsidRPr="00A530E1" w:rsidTr="00180B44">
        <w:tc>
          <w:tcPr>
            <w:tcW w:w="1701" w:type="dxa"/>
            <w:shd w:val="clear" w:color="auto" w:fill="auto"/>
          </w:tcPr>
          <w:p w:rsidR="00180B44" w:rsidRPr="00A530E1" w:rsidRDefault="00180B44" w:rsidP="001F33A7">
            <w:pPr>
              <w:shd w:val="clear" w:color="auto" w:fill="FFFFFF"/>
              <w:spacing w:before="40" w:after="40" w:line="220" w:lineRule="exact"/>
              <w:ind w:right="113"/>
              <w:rPr>
                <w:sz w:val="18"/>
              </w:rPr>
            </w:pPr>
            <w:r w:rsidRPr="00A530E1">
              <w:rPr>
                <w:sz w:val="18"/>
                <w:szCs w:val="14"/>
              </w:rPr>
              <w:t>Huánuco</w:t>
            </w:r>
          </w:p>
        </w:tc>
        <w:tc>
          <w:tcPr>
            <w:tcW w:w="732"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b/>
                <w:sz w:val="18"/>
              </w:rPr>
            </w:pPr>
            <w:r w:rsidRPr="00A530E1">
              <w:rPr>
                <w:b/>
                <w:sz w:val="18"/>
                <w:szCs w:val="14"/>
              </w:rPr>
              <w:t>4.5</w:t>
            </w:r>
          </w:p>
        </w:tc>
        <w:tc>
          <w:tcPr>
            <w:tcW w:w="733"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1.6</w:t>
            </w:r>
          </w:p>
        </w:tc>
        <w:tc>
          <w:tcPr>
            <w:tcW w:w="732"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1.6</w:t>
            </w:r>
          </w:p>
        </w:tc>
        <w:tc>
          <w:tcPr>
            <w:tcW w:w="733"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1.3</w:t>
            </w:r>
          </w:p>
        </w:tc>
        <w:tc>
          <w:tcPr>
            <w:tcW w:w="732"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0.8</w:t>
            </w:r>
          </w:p>
        </w:tc>
        <w:tc>
          <w:tcPr>
            <w:tcW w:w="733"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0.6</w:t>
            </w:r>
          </w:p>
        </w:tc>
        <w:tc>
          <w:tcPr>
            <w:tcW w:w="1274"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0.6</w:t>
            </w:r>
          </w:p>
        </w:tc>
      </w:tr>
      <w:tr w:rsidR="00180B44" w:rsidRPr="00A530E1" w:rsidTr="00180B44">
        <w:tc>
          <w:tcPr>
            <w:tcW w:w="1701" w:type="dxa"/>
            <w:shd w:val="clear" w:color="auto" w:fill="auto"/>
          </w:tcPr>
          <w:p w:rsidR="00180B44" w:rsidRPr="00A530E1" w:rsidRDefault="00180B44" w:rsidP="001F33A7">
            <w:pPr>
              <w:shd w:val="clear" w:color="auto" w:fill="FFFFFF"/>
              <w:spacing w:before="40" w:after="40" w:line="220" w:lineRule="exact"/>
              <w:ind w:right="113"/>
              <w:rPr>
                <w:sz w:val="18"/>
              </w:rPr>
            </w:pPr>
            <w:r w:rsidRPr="00A530E1">
              <w:rPr>
                <w:sz w:val="18"/>
                <w:szCs w:val="14"/>
              </w:rPr>
              <w:t>Ica</w:t>
            </w:r>
          </w:p>
        </w:tc>
        <w:tc>
          <w:tcPr>
            <w:tcW w:w="732"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b/>
                <w:sz w:val="18"/>
              </w:rPr>
            </w:pPr>
            <w:r w:rsidRPr="00A530E1">
              <w:rPr>
                <w:b/>
                <w:sz w:val="18"/>
                <w:szCs w:val="14"/>
              </w:rPr>
              <w:t>9.2</w:t>
            </w:r>
          </w:p>
        </w:tc>
        <w:tc>
          <w:tcPr>
            <w:tcW w:w="733"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5.3</w:t>
            </w:r>
          </w:p>
        </w:tc>
        <w:tc>
          <w:tcPr>
            <w:tcW w:w="732"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2.6</w:t>
            </w:r>
          </w:p>
        </w:tc>
        <w:tc>
          <w:tcPr>
            <w:tcW w:w="733"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1.9</w:t>
            </w:r>
          </w:p>
        </w:tc>
        <w:tc>
          <w:tcPr>
            <w:tcW w:w="732"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1.6</w:t>
            </w:r>
          </w:p>
        </w:tc>
        <w:tc>
          <w:tcPr>
            <w:tcW w:w="733"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0.9</w:t>
            </w:r>
          </w:p>
        </w:tc>
        <w:tc>
          <w:tcPr>
            <w:tcW w:w="1274"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0.8</w:t>
            </w:r>
          </w:p>
        </w:tc>
      </w:tr>
      <w:tr w:rsidR="00180B44" w:rsidRPr="00A530E1" w:rsidTr="00180B44">
        <w:tc>
          <w:tcPr>
            <w:tcW w:w="1701" w:type="dxa"/>
            <w:shd w:val="clear" w:color="auto" w:fill="auto"/>
          </w:tcPr>
          <w:p w:rsidR="00180B44" w:rsidRPr="00A530E1" w:rsidRDefault="00180B44" w:rsidP="001F33A7">
            <w:pPr>
              <w:shd w:val="clear" w:color="auto" w:fill="FFFFFF"/>
              <w:spacing w:before="40" w:after="40" w:line="220" w:lineRule="exact"/>
              <w:ind w:right="113"/>
              <w:rPr>
                <w:sz w:val="18"/>
              </w:rPr>
            </w:pPr>
            <w:r w:rsidRPr="00A530E1">
              <w:rPr>
                <w:sz w:val="18"/>
                <w:szCs w:val="14"/>
              </w:rPr>
              <w:t>Junín</w:t>
            </w:r>
          </w:p>
        </w:tc>
        <w:tc>
          <w:tcPr>
            <w:tcW w:w="732"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b/>
                <w:sz w:val="18"/>
              </w:rPr>
            </w:pPr>
            <w:r w:rsidRPr="00A530E1">
              <w:rPr>
                <w:b/>
                <w:sz w:val="18"/>
                <w:szCs w:val="14"/>
              </w:rPr>
              <w:t>5.0</w:t>
            </w:r>
          </w:p>
        </w:tc>
        <w:tc>
          <w:tcPr>
            <w:tcW w:w="733"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2.2</w:t>
            </w:r>
          </w:p>
        </w:tc>
        <w:tc>
          <w:tcPr>
            <w:tcW w:w="732"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1.4</w:t>
            </w:r>
          </w:p>
        </w:tc>
        <w:tc>
          <w:tcPr>
            <w:tcW w:w="733"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1.7</w:t>
            </w:r>
          </w:p>
        </w:tc>
        <w:tc>
          <w:tcPr>
            <w:tcW w:w="732"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0.5</w:t>
            </w:r>
          </w:p>
        </w:tc>
        <w:tc>
          <w:tcPr>
            <w:tcW w:w="733"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0.5</w:t>
            </w:r>
          </w:p>
        </w:tc>
        <w:tc>
          <w:tcPr>
            <w:tcW w:w="1274"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0.4</w:t>
            </w:r>
          </w:p>
        </w:tc>
      </w:tr>
      <w:tr w:rsidR="00180B44" w:rsidRPr="00A530E1" w:rsidTr="00180B44">
        <w:tc>
          <w:tcPr>
            <w:tcW w:w="1701" w:type="dxa"/>
            <w:shd w:val="clear" w:color="auto" w:fill="auto"/>
          </w:tcPr>
          <w:p w:rsidR="00180B44" w:rsidRPr="00A530E1" w:rsidRDefault="00180B44" w:rsidP="001F33A7">
            <w:pPr>
              <w:shd w:val="clear" w:color="auto" w:fill="FFFFFF"/>
              <w:spacing w:before="40" w:after="40" w:line="220" w:lineRule="exact"/>
              <w:ind w:right="113"/>
              <w:rPr>
                <w:sz w:val="18"/>
              </w:rPr>
            </w:pPr>
            <w:r w:rsidRPr="00A530E1">
              <w:rPr>
                <w:sz w:val="18"/>
                <w:szCs w:val="14"/>
              </w:rPr>
              <w:t>La Libertad</w:t>
            </w:r>
          </w:p>
        </w:tc>
        <w:tc>
          <w:tcPr>
            <w:tcW w:w="732"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b/>
                <w:sz w:val="18"/>
              </w:rPr>
            </w:pPr>
            <w:r w:rsidRPr="00A530E1">
              <w:rPr>
                <w:b/>
                <w:sz w:val="18"/>
                <w:szCs w:val="14"/>
              </w:rPr>
              <w:t>7.1</w:t>
            </w:r>
          </w:p>
        </w:tc>
        <w:tc>
          <w:tcPr>
            <w:tcW w:w="733"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4.8</w:t>
            </w:r>
          </w:p>
        </w:tc>
        <w:tc>
          <w:tcPr>
            <w:tcW w:w="732"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1.8</w:t>
            </w:r>
          </w:p>
        </w:tc>
        <w:tc>
          <w:tcPr>
            <w:tcW w:w="733"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1.5</w:t>
            </w:r>
          </w:p>
        </w:tc>
        <w:tc>
          <w:tcPr>
            <w:tcW w:w="732"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0.6</w:t>
            </w:r>
          </w:p>
        </w:tc>
        <w:tc>
          <w:tcPr>
            <w:tcW w:w="733"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0.6</w:t>
            </w:r>
          </w:p>
        </w:tc>
        <w:tc>
          <w:tcPr>
            <w:tcW w:w="1274"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0.5</w:t>
            </w:r>
          </w:p>
        </w:tc>
      </w:tr>
      <w:tr w:rsidR="00180B44" w:rsidRPr="00A530E1" w:rsidTr="00180B44">
        <w:tc>
          <w:tcPr>
            <w:tcW w:w="1701" w:type="dxa"/>
            <w:shd w:val="clear" w:color="auto" w:fill="auto"/>
          </w:tcPr>
          <w:p w:rsidR="00180B44" w:rsidRPr="00A530E1" w:rsidRDefault="00180B44" w:rsidP="001F33A7">
            <w:pPr>
              <w:shd w:val="clear" w:color="auto" w:fill="FFFFFF"/>
              <w:spacing w:before="40" w:after="40" w:line="220" w:lineRule="exact"/>
              <w:ind w:right="113"/>
              <w:rPr>
                <w:sz w:val="18"/>
              </w:rPr>
            </w:pPr>
            <w:r w:rsidRPr="00A530E1">
              <w:rPr>
                <w:sz w:val="18"/>
                <w:szCs w:val="14"/>
              </w:rPr>
              <w:t>Lambayeque</w:t>
            </w:r>
          </w:p>
        </w:tc>
        <w:tc>
          <w:tcPr>
            <w:tcW w:w="732"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b/>
                <w:sz w:val="18"/>
              </w:rPr>
            </w:pPr>
            <w:r w:rsidRPr="00A530E1">
              <w:rPr>
                <w:b/>
                <w:sz w:val="18"/>
                <w:szCs w:val="14"/>
              </w:rPr>
              <w:t>2.2</w:t>
            </w:r>
          </w:p>
        </w:tc>
        <w:tc>
          <w:tcPr>
            <w:tcW w:w="733"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0.5</w:t>
            </w:r>
          </w:p>
        </w:tc>
        <w:tc>
          <w:tcPr>
            <w:tcW w:w="732"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0.9</w:t>
            </w:r>
          </w:p>
        </w:tc>
        <w:tc>
          <w:tcPr>
            <w:tcW w:w="733"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0.4</w:t>
            </w:r>
          </w:p>
        </w:tc>
        <w:tc>
          <w:tcPr>
            <w:tcW w:w="732"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0.4</w:t>
            </w:r>
          </w:p>
        </w:tc>
        <w:tc>
          <w:tcPr>
            <w:tcW w:w="733"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0.4</w:t>
            </w:r>
          </w:p>
        </w:tc>
        <w:tc>
          <w:tcPr>
            <w:tcW w:w="1274"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0.4</w:t>
            </w:r>
          </w:p>
        </w:tc>
      </w:tr>
      <w:tr w:rsidR="00180B44" w:rsidRPr="00A530E1" w:rsidTr="00180B44">
        <w:tc>
          <w:tcPr>
            <w:tcW w:w="1701" w:type="dxa"/>
            <w:shd w:val="clear" w:color="auto" w:fill="auto"/>
          </w:tcPr>
          <w:p w:rsidR="00180B44" w:rsidRPr="00A530E1" w:rsidRDefault="00180B44" w:rsidP="001F33A7">
            <w:pPr>
              <w:shd w:val="clear" w:color="auto" w:fill="FFFFFF"/>
              <w:spacing w:before="40" w:after="40" w:line="220" w:lineRule="exact"/>
              <w:ind w:right="113"/>
              <w:rPr>
                <w:i/>
                <w:sz w:val="18"/>
              </w:rPr>
            </w:pPr>
            <w:r w:rsidRPr="00A530E1">
              <w:rPr>
                <w:sz w:val="18"/>
                <w:szCs w:val="14"/>
              </w:rPr>
              <w:t>Metropolitan Lima</w:t>
            </w:r>
            <w:r w:rsidRPr="00A530E1">
              <w:rPr>
                <w:i/>
                <w:sz w:val="18"/>
                <w:szCs w:val="14"/>
                <w:vertAlign w:val="superscript"/>
              </w:rPr>
              <w:t>3</w:t>
            </w:r>
          </w:p>
        </w:tc>
        <w:tc>
          <w:tcPr>
            <w:tcW w:w="732"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b/>
                <w:sz w:val="18"/>
              </w:rPr>
            </w:pPr>
            <w:r w:rsidRPr="00A530E1">
              <w:rPr>
                <w:b/>
                <w:sz w:val="18"/>
                <w:szCs w:val="14"/>
              </w:rPr>
              <w:t>11.7</w:t>
            </w:r>
          </w:p>
        </w:tc>
        <w:tc>
          <w:tcPr>
            <w:tcW w:w="733"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6.7</w:t>
            </w:r>
          </w:p>
        </w:tc>
        <w:tc>
          <w:tcPr>
            <w:tcW w:w="732"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3.5</w:t>
            </w:r>
          </w:p>
        </w:tc>
        <w:tc>
          <w:tcPr>
            <w:tcW w:w="733"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2.9</w:t>
            </w:r>
          </w:p>
        </w:tc>
        <w:tc>
          <w:tcPr>
            <w:tcW w:w="732"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1.6</w:t>
            </w:r>
          </w:p>
        </w:tc>
        <w:tc>
          <w:tcPr>
            <w:tcW w:w="733"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1.0</w:t>
            </w:r>
          </w:p>
        </w:tc>
        <w:tc>
          <w:tcPr>
            <w:tcW w:w="1274"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0.9</w:t>
            </w:r>
          </w:p>
        </w:tc>
      </w:tr>
      <w:tr w:rsidR="00180B44" w:rsidRPr="00A530E1" w:rsidTr="00180B44">
        <w:tc>
          <w:tcPr>
            <w:tcW w:w="1701" w:type="dxa"/>
            <w:shd w:val="clear" w:color="auto" w:fill="auto"/>
          </w:tcPr>
          <w:p w:rsidR="00180B44" w:rsidRPr="00A530E1" w:rsidRDefault="00180B44" w:rsidP="001F33A7">
            <w:pPr>
              <w:shd w:val="clear" w:color="auto" w:fill="FFFFFF"/>
              <w:spacing w:before="40" w:after="40" w:line="220" w:lineRule="exact"/>
              <w:ind w:right="113"/>
              <w:rPr>
                <w:sz w:val="18"/>
              </w:rPr>
            </w:pPr>
            <w:r w:rsidRPr="00A530E1">
              <w:rPr>
                <w:sz w:val="18"/>
                <w:szCs w:val="14"/>
              </w:rPr>
              <w:t>Lima-Provinces</w:t>
            </w:r>
            <w:r w:rsidRPr="00A530E1">
              <w:rPr>
                <w:i/>
                <w:sz w:val="18"/>
                <w:szCs w:val="14"/>
                <w:vertAlign w:val="superscript"/>
              </w:rPr>
              <w:t>4</w:t>
            </w:r>
          </w:p>
        </w:tc>
        <w:tc>
          <w:tcPr>
            <w:tcW w:w="732"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b/>
                <w:sz w:val="18"/>
              </w:rPr>
            </w:pPr>
            <w:r w:rsidRPr="00A530E1">
              <w:rPr>
                <w:b/>
                <w:sz w:val="18"/>
                <w:szCs w:val="14"/>
              </w:rPr>
              <w:t>11.7</w:t>
            </w:r>
          </w:p>
        </w:tc>
        <w:tc>
          <w:tcPr>
            <w:tcW w:w="733"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7.4</w:t>
            </w:r>
          </w:p>
        </w:tc>
        <w:tc>
          <w:tcPr>
            <w:tcW w:w="732"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3.4</w:t>
            </w:r>
          </w:p>
        </w:tc>
        <w:tc>
          <w:tcPr>
            <w:tcW w:w="733"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2.5</w:t>
            </w:r>
          </w:p>
        </w:tc>
        <w:tc>
          <w:tcPr>
            <w:tcW w:w="732"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1.7</w:t>
            </w:r>
          </w:p>
        </w:tc>
        <w:tc>
          <w:tcPr>
            <w:tcW w:w="733"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0.7</w:t>
            </w:r>
          </w:p>
        </w:tc>
        <w:tc>
          <w:tcPr>
            <w:tcW w:w="1274"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0.7</w:t>
            </w:r>
          </w:p>
        </w:tc>
      </w:tr>
      <w:tr w:rsidR="00180B44" w:rsidRPr="00A530E1" w:rsidTr="00180B44">
        <w:tc>
          <w:tcPr>
            <w:tcW w:w="1701" w:type="dxa"/>
            <w:shd w:val="clear" w:color="auto" w:fill="auto"/>
          </w:tcPr>
          <w:p w:rsidR="00180B44" w:rsidRPr="00A530E1" w:rsidRDefault="00180B44" w:rsidP="001F33A7">
            <w:pPr>
              <w:shd w:val="clear" w:color="auto" w:fill="FFFFFF"/>
              <w:spacing w:before="40" w:after="40" w:line="220" w:lineRule="exact"/>
              <w:ind w:right="113"/>
              <w:rPr>
                <w:sz w:val="18"/>
              </w:rPr>
            </w:pPr>
            <w:r w:rsidRPr="00A530E1">
              <w:rPr>
                <w:sz w:val="18"/>
                <w:szCs w:val="14"/>
              </w:rPr>
              <w:t>Loreto</w:t>
            </w:r>
          </w:p>
        </w:tc>
        <w:tc>
          <w:tcPr>
            <w:tcW w:w="732"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b/>
                <w:sz w:val="18"/>
              </w:rPr>
            </w:pPr>
            <w:r w:rsidRPr="00A530E1">
              <w:rPr>
                <w:b/>
                <w:sz w:val="18"/>
                <w:szCs w:val="14"/>
              </w:rPr>
              <w:t>4.1</w:t>
            </w:r>
          </w:p>
        </w:tc>
        <w:tc>
          <w:tcPr>
            <w:tcW w:w="733"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2.2</w:t>
            </w:r>
          </w:p>
        </w:tc>
        <w:tc>
          <w:tcPr>
            <w:tcW w:w="732"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1.3</w:t>
            </w:r>
          </w:p>
        </w:tc>
        <w:tc>
          <w:tcPr>
            <w:tcW w:w="733"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0.6</w:t>
            </w:r>
          </w:p>
        </w:tc>
        <w:tc>
          <w:tcPr>
            <w:tcW w:w="732"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0.4</w:t>
            </w:r>
          </w:p>
        </w:tc>
        <w:tc>
          <w:tcPr>
            <w:tcW w:w="733"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0.4</w:t>
            </w:r>
          </w:p>
        </w:tc>
        <w:tc>
          <w:tcPr>
            <w:tcW w:w="1274"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0.3</w:t>
            </w:r>
          </w:p>
        </w:tc>
      </w:tr>
      <w:tr w:rsidR="00180B44" w:rsidRPr="00A530E1" w:rsidTr="00180B44">
        <w:tc>
          <w:tcPr>
            <w:tcW w:w="1701" w:type="dxa"/>
            <w:shd w:val="clear" w:color="auto" w:fill="auto"/>
          </w:tcPr>
          <w:p w:rsidR="00180B44" w:rsidRPr="00A530E1" w:rsidRDefault="00180B44" w:rsidP="001F33A7">
            <w:pPr>
              <w:shd w:val="clear" w:color="auto" w:fill="FFFFFF"/>
              <w:spacing w:before="40" w:after="40" w:line="220" w:lineRule="exact"/>
              <w:ind w:right="113"/>
              <w:rPr>
                <w:sz w:val="18"/>
              </w:rPr>
            </w:pPr>
            <w:r w:rsidRPr="00A530E1">
              <w:rPr>
                <w:sz w:val="18"/>
                <w:szCs w:val="14"/>
              </w:rPr>
              <w:t>Madre de Dios</w:t>
            </w:r>
          </w:p>
        </w:tc>
        <w:tc>
          <w:tcPr>
            <w:tcW w:w="732"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b/>
                <w:sz w:val="18"/>
              </w:rPr>
            </w:pPr>
            <w:r w:rsidRPr="00A530E1">
              <w:rPr>
                <w:b/>
                <w:sz w:val="18"/>
                <w:szCs w:val="14"/>
              </w:rPr>
              <w:t>2.6</w:t>
            </w:r>
          </w:p>
        </w:tc>
        <w:tc>
          <w:tcPr>
            <w:tcW w:w="733"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0.8</w:t>
            </w:r>
          </w:p>
        </w:tc>
        <w:tc>
          <w:tcPr>
            <w:tcW w:w="732"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1.0</w:t>
            </w:r>
          </w:p>
        </w:tc>
        <w:tc>
          <w:tcPr>
            <w:tcW w:w="733"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0.5</w:t>
            </w:r>
          </w:p>
        </w:tc>
        <w:tc>
          <w:tcPr>
            <w:tcW w:w="732"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0.4</w:t>
            </w:r>
          </w:p>
        </w:tc>
        <w:tc>
          <w:tcPr>
            <w:tcW w:w="733"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0.5</w:t>
            </w:r>
          </w:p>
        </w:tc>
        <w:tc>
          <w:tcPr>
            <w:tcW w:w="1274"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0.3</w:t>
            </w:r>
            <w:r w:rsidRPr="00A530E1">
              <w:rPr>
                <w:i/>
                <w:sz w:val="18"/>
                <w:szCs w:val="14"/>
                <w:vertAlign w:val="superscript"/>
              </w:rPr>
              <w:t>a</w:t>
            </w:r>
          </w:p>
        </w:tc>
      </w:tr>
      <w:tr w:rsidR="00180B44" w:rsidRPr="00A530E1" w:rsidTr="00180B44">
        <w:tc>
          <w:tcPr>
            <w:tcW w:w="1701" w:type="dxa"/>
            <w:shd w:val="clear" w:color="auto" w:fill="auto"/>
          </w:tcPr>
          <w:p w:rsidR="00180B44" w:rsidRPr="00A530E1" w:rsidRDefault="00180B44" w:rsidP="001F33A7">
            <w:pPr>
              <w:shd w:val="clear" w:color="auto" w:fill="FFFFFF"/>
              <w:spacing w:before="40" w:after="40" w:line="220" w:lineRule="exact"/>
              <w:ind w:right="113"/>
              <w:rPr>
                <w:sz w:val="18"/>
              </w:rPr>
            </w:pPr>
            <w:r w:rsidRPr="00A530E1">
              <w:rPr>
                <w:sz w:val="18"/>
                <w:szCs w:val="14"/>
              </w:rPr>
              <w:t>Moquegua</w:t>
            </w:r>
          </w:p>
        </w:tc>
        <w:tc>
          <w:tcPr>
            <w:tcW w:w="732"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b/>
                <w:sz w:val="18"/>
              </w:rPr>
            </w:pPr>
            <w:r w:rsidRPr="00A530E1">
              <w:rPr>
                <w:b/>
                <w:sz w:val="18"/>
                <w:szCs w:val="14"/>
              </w:rPr>
              <w:t>9.9</w:t>
            </w:r>
          </w:p>
        </w:tc>
        <w:tc>
          <w:tcPr>
            <w:tcW w:w="733"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3.1</w:t>
            </w:r>
          </w:p>
        </w:tc>
        <w:tc>
          <w:tcPr>
            <w:tcW w:w="732"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4.9</w:t>
            </w:r>
          </w:p>
        </w:tc>
        <w:tc>
          <w:tcPr>
            <w:tcW w:w="733"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3.0</w:t>
            </w:r>
          </w:p>
        </w:tc>
        <w:tc>
          <w:tcPr>
            <w:tcW w:w="732"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1.9</w:t>
            </w:r>
          </w:p>
        </w:tc>
        <w:tc>
          <w:tcPr>
            <w:tcW w:w="733"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0.6</w:t>
            </w:r>
          </w:p>
        </w:tc>
        <w:tc>
          <w:tcPr>
            <w:tcW w:w="1274"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0.8</w:t>
            </w:r>
          </w:p>
        </w:tc>
      </w:tr>
      <w:tr w:rsidR="00180B44" w:rsidRPr="00A530E1" w:rsidTr="00180B44">
        <w:tc>
          <w:tcPr>
            <w:tcW w:w="1701" w:type="dxa"/>
            <w:shd w:val="clear" w:color="auto" w:fill="auto"/>
          </w:tcPr>
          <w:p w:rsidR="00180B44" w:rsidRPr="00A530E1" w:rsidRDefault="00180B44" w:rsidP="001F33A7">
            <w:pPr>
              <w:shd w:val="clear" w:color="auto" w:fill="FFFFFF"/>
              <w:spacing w:before="40" w:after="40" w:line="220" w:lineRule="exact"/>
              <w:ind w:right="113"/>
              <w:rPr>
                <w:sz w:val="18"/>
              </w:rPr>
            </w:pPr>
            <w:r w:rsidRPr="00A530E1">
              <w:rPr>
                <w:sz w:val="18"/>
                <w:szCs w:val="14"/>
              </w:rPr>
              <w:t>Pasco</w:t>
            </w:r>
          </w:p>
        </w:tc>
        <w:tc>
          <w:tcPr>
            <w:tcW w:w="732"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b/>
                <w:sz w:val="18"/>
              </w:rPr>
            </w:pPr>
            <w:r w:rsidRPr="00A530E1">
              <w:rPr>
                <w:b/>
                <w:sz w:val="18"/>
                <w:szCs w:val="14"/>
              </w:rPr>
              <w:t>10.3</w:t>
            </w:r>
          </w:p>
        </w:tc>
        <w:tc>
          <w:tcPr>
            <w:tcW w:w="733"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5.8</w:t>
            </w:r>
          </w:p>
        </w:tc>
        <w:tc>
          <w:tcPr>
            <w:tcW w:w="732"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2.5</w:t>
            </w:r>
          </w:p>
        </w:tc>
        <w:tc>
          <w:tcPr>
            <w:tcW w:w="733"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2.4</w:t>
            </w:r>
          </w:p>
        </w:tc>
        <w:tc>
          <w:tcPr>
            <w:tcW w:w="732"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2.3</w:t>
            </w:r>
          </w:p>
        </w:tc>
        <w:tc>
          <w:tcPr>
            <w:tcW w:w="733"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0.6</w:t>
            </w:r>
          </w:p>
        </w:tc>
        <w:tc>
          <w:tcPr>
            <w:tcW w:w="1274"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0.7</w:t>
            </w:r>
          </w:p>
        </w:tc>
      </w:tr>
      <w:tr w:rsidR="00180B44" w:rsidRPr="00A530E1" w:rsidTr="00180B44">
        <w:tc>
          <w:tcPr>
            <w:tcW w:w="1701" w:type="dxa"/>
            <w:shd w:val="clear" w:color="auto" w:fill="auto"/>
          </w:tcPr>
          <w:p w:rsidR="00180B44" w:rsidRPr="00A530E1" w:rsidRDefault="00180B44" w:rsidP="001F33A7">
            <w:pPr>
              <w:shd w:val="clear" w:color="auto" w:fill="FFFFFF"/>
              <w:spacing w:before="40" w:after="40" w:line="220" w:lineRule="exact"/>
              <w:ind w:right="113"/>
              <w:rPr>
                <w:sz w:val="18"/>
              </w:rPr>
            </w:pPr>
            <w:r w:rsidRPr="00A530E1">
              <w:rPr>
                <w:sz w:val="18"/>
                <w:szCs w:val="14"/>
              </w:rPr>
              <w:t>Piura</w:t>
            </w:r>
          </w:p>
        </w:tc>
        <w:tc>
          <w:tcPr>
            <w:tcW w:w="732"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b/>
                <w:sz w:val="18"/>
              </w:rPr>
            </w:pPr>
            <w:r w:rsidRPr="00A530E1">
              <w:rPr>
                <w:b/>
                <w:sz w:val="18"/>
                <w:szCs w:val="14"/>
              </w:rPr>
              <w:t>6.6</w:t>
            </w:r>
          </w:p>
        </w:tc>
        <w:tc>
          <w:tcPr>
            <w:tcW w:w="733"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3.3</w:t>
            </w:r>
          </w:p>
        </w:tc>
        <w:tc>
          <w:tcPr>
            <w:tcW w:w="732"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2.4</w:t>
            </w:r>
          </w:p>
        </w:tc>
        <w:tc>
          <w:tcPr>
            <w:tcW w:w="733"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1.3</w:t>
            </w:r>
          </w:p>
        </w:tc>
        <w:tc>
          <w:tcPr>
            <w:tcW w:w="732"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0.9</w:t>
            </w:r>
          </w:p>
        </w:tc>
        <w:tc>
          <w:tcPr>
            <w:tcW w:w="733"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0.6</w:t>
            </w:r>
          </w:p>
        </w:tc>
        <w:tc>
          <w:tcPr>
            <w:tcW w:w="1274"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0.5</w:t>
            </w:r>
          </w:p>
        </w:tc>
      </w:tr>
      <w:tr w:rsidR="00180B44" w:rsidRPr="00A530E1" w:rsidTr="00180B44">
        <w:tc>
          <w:tcPr>
            <w:tcW w:w="1701" w:type="dxa"/>
            <w:shd w:val="clear" w:color="auto" w:fill="auto"/>
          </w:tcPr>
          <w:p w:rsidR="00180B44" w:rsidRPr="00A530E1" w:rsidRDefault="00180B44" w:rsidP="001F33A7">
            <w:pPr>
              <w:shd w:val="clear" w:color="auto" w:fill="FFFFFF"/>
              <w:spacing w:before="40" w:after="40" w:line="220" w:lineRule="exact"/>
              <w:ind w:right="113"/>
              <w:rPr>
                <w:sz w:val="18"/>
              </w:rPr>
            </w:pPr>
            <w:r w:rsidRPr="00A530E1">
              <w:rPr>
                <w:sz w:val="18"/>
                <w:szCs w:val="14"/>
              </w:rPr>
              <w:t>Puno</w:t>
            </w:r>
          </w:p>
        </w:tc>
        <w:tc>
          <w:tcPr>
            <w:tcW w:w="732"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b/>
                <w:sz w:val="18"/>
              </w:rPr>
            </w:pPr>
            <w:r w:rsidRPr="00A530E1">
              <w:rPr>
                <w:b/>
                <w:sz w:val="18"/>
                <w:szCs w:val="14"/>
              </w:rPr>
              <w:t>9.0</w:t>
            </w:r>
          </w:p>
        </w:tc>
        <w:tc>
          <w:tcPr>
            <w:tcW w:w="733"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4.8</w:t>
            </w:r>
          </w:p>
        </w:tc>
        <w:tc>
          <w:tcPr>
            <w:tcW w:w="732"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2.9</w:t>
            </w:r>
          </w:p>
        </w:tc>
        <w:tc>
          <w:tcPr>
            <w:tcW w:w="733"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2.4</w:t>
            </w:r>
          </w:p>
        </w:tc>
        <w:tc>
          <w:tcPr>
            <w:tcW w:w="732"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1.5</w:t>
            </w:r>
          </w:p>
        </w:tc>
        <w:tc>
          <w:tcPr>
            <w:tcW w:w="733"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0.4</w:t>
            </w:r>
          </w:p>
        </w:tc>
        <w:tc>
          <w:tcPr>
            <w:tcW w:w="1274"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0.4</w:t>
            </w:r>
          </w:p>
        </w:tc>
      </w:tr>
      <w:tr w:rsidR="00180B44" w:rsidRPr="00A530E1" w:rsidTr="00180B44">
        <w:tc>
          <w:tcPr>
            <w:tcW w:w="1701" w:type="dxa"/>
            <w:shd w:val="clear" w:color="auto" w:fill="auto"/>
          </w:tcPr>
          <w:p w:rsidR="00180B44" w:rsidRPr="00A530E1" w:rsidRDefault="00180B44" w:rsidP="001F33A7">
            <w:pPr>
              <w:shd w:val="clear" w:color="auto" w:fill="FFFFFF"/>
              <w:spacing w:before="40" w:after="40" w:line="220" w:lineRule="exact"/>
              <w:ind w:right="113"/>
              <w:rPr>
                <w:sz w:val="18"/>
              </w:rPr>
            </w:pPr>
            <w:r w:rsidRPr="00A530E1">
              <w:rPr>
                <w:sz w:val="18"/>
                <w:szCs w:val="14"/>
              </w:rPr>
              <w:t>San Martín</w:t>
            </w:r>
          </w:p>
        </w:tc>
        <w:tc>
          <w:tcPr>
            <w:tcW w:w="732"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b/>
                <w:sz w:val="18"/>
              </w:rPr>
            </w:pPr>
            <w:r w:rsidRPr="00A530E1">
              <w:rPr>
                <w:b/>
                <w:sz w:val="18"/>
                <w:szCs w:val="14"/>
              </w:rPr>
              <w:t>6.6</w:t>
            </w:r>
          </w:p>
        </w:tc>
        <w:tc>
          <w:tcPr>
            <w:tcW w:w="733"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4.2</w:t>
            </w:r>
          </w:p>
        </w:tc>
        <w:tc>
          <w:tcPr>
            <w:tcW w:w="732"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1.6</w:t>
            </w:r>
          </w:p>
        </w:tc>
        <w:tc>
          <w:tcPr>
            <w:tcW w:w="733"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1.3</w:t>
            </w:r>
          </w:p>
        </w:tc>
        <w:tc>
          <w:tcPr>
            <w:tcW w:w="732"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0.8</w:t>
            </w:r>
          </w:p>
        </w:tc>
        <w:tc>
          <w:tcPr>
            <w:tcW w:w="733"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0.6</w:t>
            </w:r>
          </w:p>
        </w:tc>
        <w:tc>
          <w:tcPr>
            <w:tcW w:w="1274" w:type="dxa"/>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0.5</w:t>
            </w:r>
          </w:p>
        </w:tc>
      </w:tr>
      <w:tr w:rsidR="00180B44" w:rsidRPr="00A530E1" w:rsidTr="00180B44">
        <w:tc>
          <w:tcPr>
            <w:tcW w:w="1701" w:type="dxa"/>
            <w:shd w:val="clear" w:color="auto" w:fill="auto"/>
          </w:tcPr>
          <w:p w:rsidR="00180B44" w:rsidRPr="00A530E1" w:rsidRDefault="00180B44" w:rsidP="001F33A7">
            <w:pPr>
              <w:keepNext/>
              <w:keepLines/>
              <w:shd w:val="clear" w:color="auto" w:fill="FFFFFF"/>
              <w:spacing w:before="40" w:after="40" w:line="220" w:lineRule="exact"/>
              <w:ind w:right="113"/>
              <w:rPr>
                <w:sz w:val="18"/>
              </w:rPr>
            </w:pPr>
            <w:r w:rsidRPr="00A530E1">
              <w:rPr>
                <w:sz w:val="18"/>
                <w:szCs w:val="14"/>
              </w:rPr>
              <w:t>Tacna</w:t>
            </w:r>
          </w:p>
        </w:tc>
        <w:tc>
          <w:tcPr>
            <w:tcW w:w="732" w:type="dxa"/>
            <w:shd w:val="clear" w:color="auto" w:fill="auto"/>
            <w:vAlign w:val="bottom"/>
          </w:tcPr>
          <w:p w:rsidR="00180B44" w:rsidRPr="00A530E1" w:rsidRDefault="00180B44" w:rsidP="001F33A7">
            <w:pPr>
              <w:keepNext/>
              <w:keepLines/>
              <w:shd w:val="clear" w:color="auto" w:fill="FFFFFF"/>
              <w:spacing w:before="40" w:after="40" w:line="220" w:lineRule="exact"/>
              <w:ind w:left="113" w:right="113"/>
              <w:jc w:val="right"/>
              <w:rPr>
                <w:b/>
                <w:sz w:val="18"/>
              </w:rPr>
            </w:pPr>
            <w:r w:rsidRPr="00A530E1">
              <w:rPr>
                <w:b/>
                <w:sz w:val="18"/>
                <w:szCs w:val="14"/>
              </w:rPr>
              <w:t>6.2</w:t>
            </w:r>
          </w:p>
        </w:tc>
        <w:tc>
          <w:tcPr>
            <w:tcW w:w="733" w:type="dxa"/>
            <w:shd w:val="clear" w:color="auto" w:fill="auto"/>
            <w:vAlign w:val="bottom"/>
          </w:tcPr>
          <w:p w:rsidR="00180B44" w:rsidRPr="00A530E1" w:rsidRDefault="00180B44" w:rsidP="001F33A7">
            <w:pPr>
              <w:keepNext/>
              <w:keepLines/>
              <w:shd w:val="clear" w:color="auto" w:fill="FFFFFF"/>
              <w:spacing w:before="40" w:after="40" w:line="220" w:lineRule="exact"/>
              <w:ind w:left="113" w:right="113"/>
              <w:jc w:val="right"/>
              <w:rPr>
                <w:sz w:val="18"/>
              </w:rPr>
            </w:pPr>
            <w:r w:rsidRPr="00A530E1">
              <w:rPr>
                <w:sz w:val="18"/>
                <w:szCs w:val="14"/>
              </w:rPr>
              <w:t>2.9</w:t>
            </w:r>
          </w:p>
        </w:tc>
        <w:tc>
          <w:tcPr>
            <w:tcW w:w="732" w:type="dxa"/>
            <w:shd w:val="clear" w:color="auto" w:fill="auto"/>
            <w:vAlign w:val="bottom"/>
          </w:tcPr>
          <w:p w:rsidR="00180B44" w:rsidRPr="00A530E1" w:rsidRDefault="00180B44" w:rsidP="001F33A7">
            <w:pPr>
              <w:keepNext/>
              <w:keepLines/>
              <w:shd w:val="clear" w:color="auto" w:fill="FFFFFF"/>
              <w:spacing w:before="40" w:after="40" w:line="220" w:lineRule="exact"/>
              <w:ind w:left="113" w:right="113"/>
              <w:jc w:val="right"/>
              <w:rPr>
                <w:sz w:val="18"/>
              </w:rPr>
            </w:pPr>
            <w:r w:rsidRPr="00A530E1">
              <w:rPr>
                <w:sz w:val="18"/>
                <w:szCs w:val="14"/>
              </w:rPr>
              <w:t>2.7</w:t>
            </w:r>
          </w:p>
        </w:tc>
        <w:tc>
          <w:tcPr>
            <w:tcW w:w="733" w:type="dxa"/>
            <w:shd w:val="clear" w:color="auto" w:fill="auto"/>
            <w:vAlign w:val="bottom"/>
          </w:tcPr>
          <w:p w:rsidR="00180B44" w:rsidRPr="00A530E1" w:rsidRDefault="00180B44" w:rsidP="001F33A7">
            <w:pPr>
              <w:keepNext/>
              <w:keepLines/>
              <w:shd w:val="clear" w:color="auto" w:fill="FFFFFF"/>
              <w:spacing w:before="40" w:after="40" w:line="220" w:lineRule="exact"/>
              <w:ind w:left="113" w:right="113"/>
              <w:jc w:val="right"/>
              <w:rPr>
                <w:sz w:val="18"/>
              </w:rPr>
            </w:pPr>
            <w:r w:rsidRPr="00A530E1">
              <w:rPr>
                <w:sz w:val="18"/>
                <w:szCs w:val="14"/>
              </w:rPr>
              <w:t>1.4</w:t>
            </w:r>
          </w:p>
        </w:tc>
        <w:tc>
          <w:tcPr>
            <w:tcW w:w="732" w:type="dxa"/>
            <w:shd w:val="clear" w:color="auto" w:fill="auto"/>
            <w:vAlign w:val="bottom"/>
          </w:tcPr>
          <w:p w:rsidR="00180B44" w:rsidRPr="00A530E1" w:rsidRDefault="00180B44" w:rsidP="001F33A7">
            <w:pPr>
              <w:keepNext/>
              <w:keepLines/>
              <w:shd w:val="clear" w:color="auto" w:fill="FFFFFF"/>
              <w:spacing w:before="40" w:after="40" w:line="220" w:lineRule="exact"/>
              <w:ind w:left="113" w:right="113"/>
              <w:jc w:val="right"/>
              <w:rPr>
                <w:sz w:val="18"/>
              </w:rPr>
            </w:pPr>
            <w:r w:rsidRPr="00A530E1">
              <w:rPr>
                <w:sz w:val="18"/>
                <w:szCs w:val="14"/>
              </w:rPr>
              <w:t>1.0</w:t>
            </w:r>
            <w:r w:rsidRPr="00A530E1">
              <w:rPr>
                <w:i/>
                <w:sz w:val="18"/>
                <w:szCs w:val="14"/>
                <w:vertAlign w:val="superscript"/>
              </w:rPr>
              <w:t>a</w:t>
            </w:r>
          </w:p>
        </w:tc>
        <w:tc>
          <w:tcPr>
            <w:tcW w:w="733" w:type="dxa"/>
            <w:shd w:val="clear" w:color="auto" w:fill="auto"/>
            <w:vAlign w:val="bottom"/>
          </w:tcPr>
          <w:p w:rsidR="00180B44" w:rsidRPr="00A530E1" w:rsidRDefault="00180B44" w:rsidP="001F33A7">
            <w:pPr>
              <w:keepNext/>
              <w:keepLines/>
              <w:shd w:val="clear" w:color="auto" w:fill="FFFFFF"/>
              <w:spacing w:before="40" w:after="40" w:line="220" w:lineRule="exact"/>
              <w:ind w:left="113" w:right="113"/>
              <w:jc w:val="right"/>
              <w:rPr>
                <w:sz w:val="18"/>
              </w:rPr>
            </w:pPr>
            <w:r w:rsidRPr="00A530E1">
              <w:rPr>
                <w:sz w:val="18"/>
                <w:szCs w:val="14"/>
              </w:rPr>
              <w:t>0.4</w:t>
            </w:r>
            <w:r w:rsidRPr="00A530E1">
              <w:rPr>
                <w:i/>
                <w:sz w:val="18"/>
                <w:szCs w:val="14"/>
                <w:vertAlign w:val="superscript"/>
              </w:rPr>
              <w:t>a</w:t>
            </w:r>
          </w:p>
        </w:tc>
        <w:tc>
          <w:tcPr>
            <w:tcW w:w="1274" w:type="dxa"/>
            <w:shd w:val="clear" w:color="auto" w:fill="auto"/>
            <w:vAlign w:val="bottom"/>
          </w:tcPr>
          <w:p w:rsidR="00180B44" w:rsidRPr="00A530E1" w:rsidRDefault="00180B44" w:rsidP="001F33A7">
            <w:pPr>
              <w:keepNext/>
              <w:keepLines/>
              <w:shd w:val="clear" w:color="auto" w:fill="FFFFFF"/>
              <w:spacing w:before="40" w:after="40" w:line="220" w:lineRule="exact"/>
              <w:ind w:left="113" w:right="113"/>
              <w:jc w:val="right"/>
              <w:rPr>
                <w:sz w:val="18"/>
              </w:rPr>
            </w:pPr>
            <w:r w:rsidRPr="00A530E1">
              <w:rPr>
                <w:sz w:val="18"/>
                <w:szCs w:val="14"/>
              </w:rPr>
              <w:t>0.4</w:t>
            </w:r>
            <w:r w:rsidRPr="00A530E1">
              <w:rPr>
                <w:i/>
                <w:sz w:val="18"/>
                <w:szCs w:val="14"/>
                <w:vertAlign w:val="superscript"/>
              </w:rPr>
              <w:t>a</w:t>
            </w:r>
          </w:p>
        </w:tc>
      </w:tr>
      <w:tr w:rsidR="00180B44" w:rsidRPr="00A530E1" w:rsidTr="00180B44">
        <w:tc>
          <w:tcPr>
            <w:tcW w:w="1701" w:type="dxa"/>
            <w:shd w:val="clear" w:color="auto" w:fill="auto"/>
          </w:tcPr>
          <w:p w:rsidR="00180B44" w:rsidRPr="00A530E1" w:rsidRDefault="00180B44" w:rsidP="001F33A7">
            <w:pPr>
              <w:keepNext/>
              <w:keepLines/>
              <w:shd w:val="clear" w:color="auto" w:fill="FFFFFF"/>
              <w:spacing w:before="40" w:after="40" w:line="220" w:lineRule="exact"/>
              <w:ind w:right="113"/>
              <w:rPr>
                <w:sz w:val="18"/>
              </w:rPr>
            </w:pPr>
            <w:r w:rsidRPr="00A530E1">
              <w:rPr>
                <w:sz w:val="18"/>
                <w:szCs w:val="14"/>
              </w:rPr>
              <w:t>Tumbes</w:t>
            </w:r>
          </w:p>
        </w:tc>
        <w:tc>
          <w:tcPr>
            <w:tcW w:w="732" w:type="dxa"/>
            <w:shd w:val="clear" w:color="auto" w:fill="auto"/>
            <w:vAlign w:val="bottom"/>
          </w:tcPr>
          <w:p w:rsidR="00180B44" w:rsidRPr="00A530E1" w:rsidRDefault="00180B44" w:rsidP="001F33A7">
            <w:pPr>
              <w:keepNext/>
              <w:keepLines/>
              <w:shd w:val="clear" w:color="auto" w:fill="FFFFFF"/>
              <w:spacing w:before="40" w:after="40" w:line="220" w:lineRule="exact"/>
              <w:ind w:left="113" w:right="113"/>
              <w:jc w:val="right"/>
              <w:rPr>
                <w:b/>
                <w:sz w:val="18"/>
              </w:rPr>
            </w:pPr>
            <w:r w:rsidRPr="00A530E1">
              <w:rPr>
                <w:b/>
                <w:sz w:val="18"/>
                <w:szCs w:val="14"/>
              </w:rPr>
              <w:t>3.4</w:t>
            </w:r>
          </w:p>
        </w:tc>
        <w:tc>
          <w:tcPr>
            <w:tcW w:w="733" w:type="dxa"/>
            <w:shd w:val="clear" w:color="auto" w:fill="auto"/>
            <w:vAlign w:val="bottom"/>
          </w:tcPr>
          <w:p w:rsidR="00180B44" w:rsidRPr="00A530E1" w:rsidRDefault="00180B44" w:rsidP="001F33A7">
            <w:pPr>
              <w:keepNext/>
              <w:keepLines/>
              <w:shd w:val="clear" w:color="auto" w:fill="FFFFFF"/>
              <w:spacing w:before="40" w:after="40" w:line="220" w:lineRule="exact"/>
              <w:ind w:left="113" w:right="113"/>
              <w:jc w:val="right"/>
              <w:rPr>
                <w:sz w:val="18"/>
              </w:rPr>
            </w:pPr>
            <w:r w:rsidRPr="00A530E1">
              <w:rPr>
                <w:sz w:val="18"/>
                <w:szCs w:val="14"/>
              </w:rPr>
              <w:t>1.1</w:t>
            </w:r>
          </w:p>
        </w:tc>
        <w:tc>
          <w:tcPr>
            <w:tcW w:w="732" w:type="dxa"/>
            <w:shd w:val="clear" w:color="auto" w:fill="auto"/>
            <w:vAlign w:val="bottom"/>
          </w:tcPr>
          <w:p w:rsidR="00180B44" w:rsidRPr="00A530E1" w:rsidRDefault="00180B44" w:rsidP="001F33A7">
            <w:pPr>
              <w:keepNext/>
              <w:keepLines/>
              <w:shd w:val="clear" w:color="auto" w:fill="FFFFFF"/>
              <w:spacing w:before="40" w:after="40" w:line="220" w:lineRule="exact"/>
              <w:ind w:left="113" w:right="113"/>
              <w:jc w:val="right"/>
              <w:rPr>
                <w:sz w:val="18"/>
              </w:rPr>
            </w:pPr>
            <w:r w:rsidRPr="00A530E1">
              <w:rPr>
                <w:sz w:val="18"/>
                <w:szCs w:val="14"/>
              </w:rPr>
              <w:t>1.3</w:t>
            </w:r>
          </w:p>
        </w:tc>
        <w:tc>
          <w:tcPr>
            <w:tcW w:w="733" w:type="dxa"/>
            <w:shd w:val="clear" w:color="auto" w:fill="auto"/>
            <w:vAlign w:val="bottom"/>
          </w:tcPr>
          <w:p w:rsidR="00180B44" w:rsidRPr="00A530E1" w:rsidRDefault="00180B44" w:rsidP="001F33A7">
            <w:pPr>
              <w:keepNext/>
              <w:keepLines/>
              <w:shd w:val="clear" w:color="auto" w:fill="FFFFFF"/>
              <w:spacing w:before="40" w:after="40" w:line="220" w:lineRule="exact"/>
              <w:ind w:left="113" w:right="113"/>
              <w:jc w:val="right"/>
              <w:rPr>
                <w:sz w:val="18"/>
              </w:rPr>
            </w:pPr>
            <w:r w:rsidRPr="00A530E1">
              <w:rPr>
                <w:sz w:val="18"/>
                <w:szCs w:val="14"/>
              </w:rPr>
              <w:t>0.8</w:t>
            </w:r>
          </w:p>
        </w:tc>
        <w:tc>
          <w:tcPr>
            <w:tcW w:w="732" w:type="dxa"/>
            <w:shd w:val="clear" w:color="auto" w:fill="auto"/>
            <w:vAlign w:val="bottom"/>
          </w:tcPr>
          <w:p w:rsidR="00180B44" w:rsidRPr="00A530E1" w:rsidRDefault="00180B44" w:rsidP="001F33A7">
            <w:pPr>
              <w:keepNext/>
              <w:keepLines/>
              <w:shd w:val="clear" w:color="auto" w:fill="FFFFFF"/>
              <w:spacing w:before="40" w:after="40" w:line="220" w:lineRule="exact"/>
              <w:ind w:left="113" w:right="113"/>
              <w:jc w:val="right"/>
              <w:rPr>
                <w:sz w:val="18"/>
              </w:rPr>
            </w:pPr>
            <w:r w:rsidRPr="00A530E1">
              <w:rPr>
                <w:sz w:val="18"/>
                <w:szCs w:val="14"/>
              </w:rPr>
              <w:t>0.8</w:t>
            </w:r>
          </w:p>
        </w:tc>
        <w:tc>
          <w:tcPr>
            <w:tcW w:w="733" w:type="dxa"/>
            <w:shd w:val="clear" w:color="auto" w:fill="auto"/>
            <w:vAlign w:val="bottom"/>
          </w:tcPr>
          <w:p w:rsidR="00180B44" w:rsidRPr="00A530E1" w:rsidRDefault="00180B44" w:rsidP="001F33A7">
            <w:pPr>
              <w:keepNext/>
              <w:keepLines/>
              <w:shd w:val="clear" w:color="auto" w:fill="FFFFFF"/>
              <w:spacing w:before="40" w:after="40" w:line="220" w:lineRule="exact"/>
              <w:ind w:left="113" w:right="113"/>
              <w:jc w:val="right"/>
              <w:rPr>
                <w:sz w:val="18"/>
              </w:rPr>
            </w:pPr>
            <w:r w:rsidRPr="00A530E1">
              <w:rPr>
                <w:sz w:val="18"/>
                <w:szCs w:val="14"/>
              </w:rPr>
              <w:t>0.8</w:t>
            </w:r>
          </w:p>
        </w:tc>
        <w:tc>
          <w:tcPr>
            <w:tcW w:w="1274" w:type="dxa"/>
            <w:shd w:val="clear" w:color="auto" w:fill="auto"/>
            <w:vAlign w:val="bottom"/>
          </w:tcPr>
          <w:p w:rsidR="00180B44" w:rsidRPr="00A530E1" w:rsidRDefault="00180B44" w:rsidP="001F33A7">
            <w:pPr>
              <w:keepNext/>
              <w:keepLines/>
              <w:shd w:val="clear" w:color="auto" w:fill="FFFFFF"/>
              <w:spacing w:before="40" w:after="40" w:line="220" w:lineRule="exact"/>
              <w:ind w:left="113" w:right="113"/>
              <w:jc w:val="right"/>
              <w:rPr>
                <w:sz w:val="18"/>
              </w:rPr>
            </w:pPr>
            <w:r w:rsidRPr="00A530E1">
              <w:rPr>
                <w:sz w:val="18"/>
                <w:szCs w:val="14"/>
              </w:rPr>
              <w:t>0.7</w:t>
            </w:r>
          </w:p>
        </w:tc>
      </w:tr>
      <w:tr w:rsidR="00180B44" w:rsidRPr="00A530E1" w:rsidTr="00180B44">
        <w:tc>
          <w:tcPr>
            <w:tcW w:w="1701" w:type="dxa"/>
            <w:tcBorders>
              <w:bottom w:val="single" w:sz="4" w:space="0" w:color="auto"/>
            </w:tcBorders>
            <w:shd w:val="clear" w:color="auto" w:fill="auto"/>
          </w:tcPr>
          <w:p w:rsidR="00180B44" w:rsidRPr="00A530E1" w:rsidRDefault="00180B44" w:rsidP="001F33A7">
            <w:pPr>
              <w:shd w:val="clear" w:color="auto" w:fill="FFFFFF"/>
              <w:spacing w:before="40" w:after="40" w:line="220" w:lineRule="exact"/>
              <w:ind w:right="113"/>
              <w:rPr>
                <w:sz w:val="18"/>
              </w:rPr>
            </w:pPr>
            <w:r w:rsidRPr="00A530E1">
              <w:rPr>
                <w:sz w:val="18"/>
                <w:szCs w:val="14"/>
              </w:rPr>
              <w:t>Ucayali</w:t>
            </w:r>
          </w:p>
        </w:tc>
        <w:tc>
          <w:tcPr>
            <w:tcW w:w="732" w:type="dxa"/>
            <w:tcBorders>
              <w:bottom w:val="single" w:sz="4" w:space="0" w:color="auto"/>
            </w:tcBorders>
            <w:shd w:val="clear" w:color="auto" w:fill="auto"/>
            <w:vAlign w:val="bottom"/>
          </w:tcPr>
          <w:p w:rsidR="00180B44" w:rsidRPr="00A530E1" w:rsidRDefault="00180B44" w:rsidP="001F33A7">
            <w:pPr>
              <w:shd w:val="clear" w:color="auto" w:fill="FFFFFF"/>
              <w:spacing w:before="40" w:after="40" w:line="220" w:lineRule="exact"/>
              <w:ind w:left="113" w:right="113"/>
              <w:jc w:val="right"/>
              <w:rPr>
                <w:b/>
                <w:sz w:val="18"/>
              </w:rPr>
            </w:pPr>
            <w:r w:rsidRPr="00A530E1">
              <w:rPr>
                <w:b/>
                <w:sz w:val="18"/>
                <w:szCs w:val="14"/>
              </w:rPr>
              <w:t>8.5</w:t>
            </w:r>
          </w:p>
        </w:tc>
        <w:tc>
          <w:tcPr>
            <w:tcW w:w="733" w:type="dxa"/>
            <w:tcBorders>
              <w:bottom w:val="single" w:sz="4" w:space="0" w:color="auto"/>
            </w:tcBorders>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5.7</w:t>
            </w:r>
          </w:p>
        </w:tc>
        <w:tc>
          <w:tcPr>
            <w:tcW w:w="732" w:type="dxa"/>
            <w:tcBorders>
              <w:bottom w:val="single" w:sz="4" w:space="0" w:color="auto"/>
            </w:tcBorders>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2.4</w:t>
            </w:r>
          </w:p>
        </w:tc>
        <w:tc>
          <w:tcPr>
            <w:tcW w:w="733" w:type="dxa"/>
            <w:tcBorders>
              <w:bottom w:val="single" w:sz="4" w:space="0" w:color="auto"/>
            </w:tcBorders>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1.2</w:t>
            </w:r>
          </w:p>
        </w:tc>
        <w:tc>
          <w:tcPr>
            <w:tcW w:w="732" w:type="dxa"/>
            <w:tcBorders>
              <w:bottom w:val="single" w:sz="4" w:space="0" w:color="auto"/>
            </w:tcBorders>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0.6</w:t>
            </w:r>
          </w:p>
        </w:tc>
        <w:tc>
          <w:tcPr>
            <w:tcW w:w="733" w:type="dxa"/>
            <w:tcBorders>
              <w:bottom w:val="single" w:sz="4" w:space="0" w:color="auto"/>
            </w:tcBorders>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0.7</w:t>
            </w:r>
          </w:p>
        </w:tc>
        <w:tc>
          <w:tcPr>
            <w:tcW w:w="1274" w:type="dxa"/>
            <w:tcBorders>
              <w:bottom w:val="single" w:sz="4" w:space="0" w:color="auto"/>
            </w:tcBorders>
            <w:shd w:val="clear" w:color="auto" w:fill="auto"/>
            <w:vAlign w:val="bottom"/>
          </w:tcPr>
          <w:p w:rsidR="00180B44" w:rsidRPr="00A530E1" w:rsidRDefault="00180B44" w:rsidP="001F33A7">
            <w:pPr>
              <w:shd w:val="clear" w:color="auto" w:fill="FFFFFF"/>
              <w:spacing w:before="40" w:after="40" w:line="220" w:lineRule="exact"/>
              <w:ind w:left="113" w:right="113"/>
              <w:jc w:val="right"/>
              <w:rPr>
                <w:sz w:val="18"/>
              </w:rPr>
            </w:pPr>
            <w:r w:rsidRPr="00A530E1">
              <w:rPr>
                <w:sz w:val="18"/>
                <w:szCs w:val="14"/>
              </w:rPr>
              <w:t>0.3</w:t>
            </w:r>
            <w:r w:rsidRPr="00A530E1">
              <w:rPr>
                <w:i/>
                <w:sz w:val="18"/>
                <w:szCs w:val="14"/>
                <w:vertAlign w:val="superscript"/>
              </w:rPr>
              <w:t>a</w:t>
            </w:r>
          </w:p>
        </w:tc>
      </w:tr>
      <w:tr w:rsidR="00180B44" w:rsidRPr="00A530E1" w:rsidTr="00180B44">
        <w:tc>
          <w:tcPr>
            <w:tcW w:w="1701" w:type="dxa"/>
            <w:tcBorders>
              <w:top w:val="single" w:sz="4" w:space="0" w:color="auto"/>
              <w:bottom w:val="single" w:sz="12" w:space="0" w:color="auto"/>
            </w:tcBorders>
            <w:shd w:val="clear" w:color="auto" w:fill="auto"/>
          </w:tcPr>
          <w:p w:rsidR="00180B44" w:rsidRPr="00A530E1" w:rsidRDefault="00180B44" w:rsidP="001F33A7">
            <w:pPr>
              <w:shd w:val="clear" w:color="auto" w:fill="FFFFFF"/>
              <w:spacing w:before="80" w:after="80" w:line="220" w:lineRule="exact"/>
              <w:ind w:left="284" w:right="113"/>
              <w:rPr>
                <w:b/>
                <w:sz w:val="18"/>
              </w:rPr>
            </w:pPr>
            <w:r w:rsidRPr="00A530E1">
              <w:rPr>
                <w:b/>
                <w:bCs/>
                <w:sz w:val="18"/>
                <w:szCs w:val="14"/>
              </w:rPr>
              <w:t>Total</w:t>
            </w:r>
          </w:p>
        </w:tc>
        <w:tc>
          <w:tcPr>
            <w:tcW w:w="732" w:type="dxa"/>
            <w:tcBorders>
              <w:top w:val="single" w:sz="4" w:space="0" w:color="auto"/>
              <w:bottom w:val="single" w:sz="12" w:space="0" w:color="auto"/>
            </w:tcBorders>
            <w:shd w:val="clear" w:color="auto" w:fill="auto"/>
            <w:vAlign w:val="bottom"/>
          </w:tcPr>
          <w:p w:rsidR="00180B44" w:rsidRPr="00A530E1" w:rsidRDefault="00180B44" w:rsidP="001F33A7">
            <w:pPr>
              <w:shd w:val="clear" w:color="auto" w:fill="FFFFFF"/>
              <w:spacing w:before="80" w:after="80" w:line="220" w:lineRule="exact"/>
              <w:ind w:left="170" w:right="113"/>
              <w:jc w:val="right"/>
              <w:rPr>
                <w:b/>
                <w:sz w:val="18"/>
              </w:rPr>
            </w:pPr>
            <w:r w:rsidRPr="00A530E1">
              <w:rPr>
                <w:b/>
                <w:sz w:val="18"/>
                <w:szCs w:val="14"/>
              </w:rPr>
              <w:t>8.4</w:t>
            </w:r>
          </w:p>
        </w:tc>
        <w:tc>
          <w:tcPr>
            <w:tcW w:w="733" w:type="dxa"/>
            <w:tcBorders>
              <w:top w:val="single" w:sz="4" w:space="0" w:color="auto"/>
              <w:bottom w:val="single" w:sz="12" w:space="0" w:color="auto"/>
            </w:tcBorders>
            <w:shd w:val="clear" w:color="auto" w:fill="auto"/>
            <w:vAlign w:val="bottom"/>
          </w:tcPr>
          <w:p w:rsidR="00180B44" w:rsidRPr="00A530E1" w:rsidRDefault="00180B44" w:rsidP="001F33A7">
            <w:pPr>
              <w:shd w:val="clear" w:color="auto" w:fill="FFFFFF"/>
              <w:spacing w:before="80" w:after="80" w:line="220" w:lineRule="exact"/>
              <w:ind w:left="170" w:right="113"/>
              <w:jc w:val="right"/>
              <w:rPr>
                <w:b/>
                <w:sz w:val="18"/>
              </w:rPr>
            </w:pPr>
            <w:r w:rsidRPr="00A530E1">
              <w:rPr>
                <w:b/>
                <w:sz w:val="18"/>
                <w:szCs w:val="14"/>
              </w:rPr>
              <w:t>4.5</w:t>
            </w:r>
          </w:p>
        </w:tc>
        <w:tc>
          <w:tcPr>
            <w:tcW w:w="732" w:type="dxa"/>
            <w:tcBorders>
              <w:top w:val="single" w:sz="4" w:space="0" w:color="auto"/>
              <w:bottom w:val="single" w:sz="12" w:space="0" w:color="auto"/>
            </w:tcBorders>
            <w:shd w:val="clear" w:color="auto" w:fill="auto"/>
            <w:vAlign w:val="bottom"/>
          </w:tcPr>
          <w:p w:rsidR="00180B44" w:rsidRPr="00A530E1" w:rsidRDefault="00180B44" w:rsidP="001F33A7">
            <w:pPr>
              <w:shd w:val="clear" w:color="auto" w:fill="FFFFFF"/>
              <w:spacing w:before="80" w:after="80" w:line="220" w:lineRule="exact"/>
              <w:ind w:left="170" w:right="113"/>
              <w:jc w:val="right"/>
              <w:rPr>
                <w:b/>
                <w:sz w:val="18"/>
              </w:rPr>
            </w:pPr>
            <w:r w:rsidRPr="00A530E1">
              <w:rPr>
                <w:b/>
                <w:sz w:val="18"/>
                <w:szCs w:val="14"/>
              </w:rPr>
              <w:t>2.7</w:t>
            </w:r>
          </w:p>
        </w:tc>
        <w:tc>
          <w:tcPr>
            <w:tcW w:w="733" w:type="dxa"/>
            <w:tcBorders>
              <w:top w:val="single" w:sz="4" w:space="0" w:color="auto"/>
              <w:bottom w:val="single" w:sz="12" w:space="0" w:color="auto"/>
            </w:tcBorders>
            <w:shd w:val="clear" w:color="auto" w:fill="auto"/>
            <w:vAlign w:val="bottom"/>
          </w:tcPr>
          <w:p w:rsidR="00180B44" w:rsidRPr="00A530E1" w:rsidRDefault="00180B44" w:rsidP="001F33A7">
            <w:pPr>
              <w:shd w:val="clear" w:color="auto" w:fill="FFFFFF"/>
              <w:spacing w:before="80" w:after="80" w:line="220" w:lineRule="exact"/>
              <w:ind w:left="170" w:right="113"/>
              <w:jc w:val="right"/>
              <w:rPr>
                <w:b/>
                <w:sz w:val="18"/>
              </w:rPr>
            </w:pPr>
            <w:r w:rsidRPr="00A530E1">
              <w:rPr>
                <w:b/>
                <w:sz w:val="18"/>
                <w:szCs w:val="14"/>
              </w:rPr>
              <w:t>2.2</w:t>
            </w:r>
          </w:p>
        </w:tc>
        <w:tc>
          <w:tcPr>
            <w:tcW w:w="732" w:type="dxa"/>
            <w:tcBorders>
              <w:top w:val="single" w:sz="4" w:space="0" w:color="auto"/>
              <w:bottom w:val="single" w:sz="12" w:space="0" w:color="auto"/>
            </w:tcBorders>
            <w:shd w:val="clear" w:color="auto" w:fill="auto"/>
            <w:vAlign w:val="bottom"/>
          </w:tcPr>
          <w:p w:rsidR="00180B44" w:rsidRPr="00A530E1" w:rsidRDefault="00180B44" w:rsidP="001F33A7">
            <w:pPr>
              <w:shd w:val="clear" w:color="auto" w:fill="FFFFFF"/>
              <w:spacing w:before="80" w:after="80" w:line="220" w:lineRule="exact"/>
              <w:ind w:left="170" w:right="113"/>
              <w:jc w:val="right"/>
              <w:rPr>
                <w:b/>
                <w:sz w:val="18"/>
              </w:rPr>
            </w:pPr>
            <w:r w:rsidRPr="00A530E1">
              <w:rPr>
                <w:b/>
                <w:sz w:val="18"/>
                <w:szCs w:val="14"/>
              </w:rPr>
              <w:t>1.1</w:t>
            </w:r>
          </w:p>
        </w:tc>
        <w:tc>
          <w:tcPr>
            <w:tcW w:w="733" w:type="dxa"/>
            <w:tcBorders>
              <w:top w:val="single" w:sz="4" w:space="0" w:color="auto"/>
              <w:bottom w:val="single" w:sz="12" w:space="0" w:color="auto"/>
            </w:tcBorders>
            <w:shd w:val="clear" w:color="auto" w:fill="auto"/>
            <w:vAlign w:val="bottom"/>
          </w:tcPr>
          <w:p w:rsidR="00180B44" w:rsidRPr="00A530E1" w:rsidRDefault="00180B44" w:rsidP="001F33A7">
            <w:pPr>
              <w:shd w:val="clear" w:color="auto" w:fill="FFFFFF"/>
              <w:spacing w:before="80" w:after="80" w:line="220" w:lineRule="exact"/>
              <w:ind w:left="170" w:right="113"/>
              <w:jc w:val="right"/>
              <w:rPr>
                <w:b/>
                <w:sz w:val="18"/>
              </w:rPr>
            </w:pPr>
            <w:r w:rsidRPr="00A530E1">
              <w:rPr>
                <w:b/>
                <w:sz w:val="18"/>
                <w:szCs w:val="14"/>
              </w:rPr>
              <w:t>0.7</w:t>
            </w:r>
          </w:p>
        </w:tc>
        <w:tc>
          <w:tcPr>
            <w:tcW w:w="1274" w:type="dxa"/>
            <w:tcBorders>
              <w:top w:val="single" w:sz="4" w:space="0" w:color="auto"/>
              <w:bottom w:val="single" w:sz="12" w:space="0" w:color="auto"/>
            </w:tcBorders>
            <w:shd w:val="clear" w:color="auto" w:fill="auto"/>
            <w:vAlign w:val="bottom"/>
          </w:tcPr>
          <w:p w:rsidR="00180B44" w:rsidRPr="00A530E1" w:rsidRDefault="00180B44" w:rsidP="001F33A7">
            <w:pPr>
              <w:shd w:val="clear" w:color="auto" w:fill="FFFFFF"/>
              <w:spacing w:before="80" w:after="80" w:line="220" w:lineRule="exact"/>
              <w:ind w:left="170" w:right="113"/>
              <w:jc w:val="right"/>
              <w:rPr>
                <w:b/>
                <w:sz w:val="18"/>
              </w:rPr>
            </w:pPr>
            <w:r w:rsidRPr="00A530E1">
              <w:rPr>
                <w:b/>
                <w:sz w:val="18"/>
                <w:szCs w:val="14"/>
              </w:rPr>
              <w:t>0.6</w:t>
            </w:r>
          </w:p>
        </w:tc>
      </w:tr>
    </w:tbl>
    <w:p w:rsidR="00180B44" w:rsidRPr="00A530E1" w:rsidRDefault="00180B44" w:rsidP="00180B44">
      <w:pPr>
        <w:suppressAutoHyphens w:val="0"/>
        <w:spacing w:before="120" w:line="240" w:lineRule="auto"/>
        <w:ind w:left="1134" w:right="1134" w:firstLine="170"/>
        <w:rPr>
          <w:sz w:val="18"/>
          <w:szCs w:val="18"/>
        </w:rPr>
      </w:pPr>
      <w:r w:rsidRPr="00A530E1">
        <w:rPr>
          <w:i/>
          <w:sz w:val="18"/>
          <w:szCs w:val="18"/>
        </w:rPr>
        <w:t>Source</w:t>
      </w:r>
      <w:r w:rsidRPr="00A530E1">
        <w:rPr>
          <w:sz w:val="18"/>
          <w:szCs w:val="18"/>
        </w:rPr>
        <w:t>:  National Institute of Statistics (INEI) – Continuous National Survey, 2006.</w:t>
      </w:r>
    </w:p>
    <w:p w:rsidR="00180B44" w:rsidRPr="00A530E1" w:rsidRDefault="00180B44" w:rsidP="00180B44">
      <w:pPr>
        <w:suppressAutoHyphens w:val="0"/>
        <w:spacing w:line="240" w:lineRule="auto"/>
        <w:ind w:left="1134" w:right="1134" w:firstLine="170"/>
        <w:rPr>
          <w:sz w:val="18"/>
          <w:szCs w:val="18"/>
        </w:rPr>
      </w:pPr>
      <w:r w:rsidRPr="00A530E1">
        <w:rPr>
          <w:i/>
          <w:sz w:val="18"/>
          <w:szCs w:val="18"/>
          <w:vertAlign w:val="superscript"/>
        </w:rPr>
        <w:t>a</w:t>
      </w:r>
      <w:r w:rsidRPr="00A530E1">
        <w:rPr>
          <w:sz w:val="18"/>
          <w:szCs w:val="18"/>
        </w:rPr>
        <w:t xml:space="preserve">  This is an indicative value only, as the variation coefficient is over 15 per cent.</w:t>
      </w:r>
    </w:p>
    <w:p w:rsidR="00180B44" w:rsidRPr="00A530E1" w:rsidRDefault="00180B44" w:rsidP="00180B44">
      <w:pPr>
        <w:suppressAutoHyphens w:val="0"/>
        <w:spacing w:before="40" w:after="40" w:line="240" w:lineRule="auto"/>
        <w:ind w:left="1134" w:right="1134" w:firstLine="170"/>
        <w:rPr>
          <w:sz w:val="18"/>
          <w:szCs w:val="18"/>
        </w:rPr>
      </w:pPr>
      <w:r w:rsidRPr="00A530E1">
        <w:rPr>
          <w:i/>
          <w:sz w:val="18"/>
          <w:szCs w:val="18"/>
          <w:vertAlign w:val="superscript"/>
        </w:rPr>
        <w:t>1</w:t>
      </w:r>
      <w:r w:rsidRPr="00A530E1">
        <w:rPr>
          <w:sz w:val="18"/>
          <w:szCs w:val="18"/>
        </w:rPr>
        <w:t xml:space="preserve">  Includes limited use of the upper or lower extremities.</w:t>
      </w:r>
    </w:p>
    <w:p w:rsidR="00180B44" w:rsidRPr="00A530E1" w:rsidRDefault="00180B44" w:rsidP="00180B44">
      <w:pPr>
        <w:suppressAutoHyphens w:val="0"/>
        <w:spacing w:line="240" w:lineRule="auto"/>
        <w:ind w:left="1134" w:right="1134" w:firstLine="170"/>
        <w:rPr>
          <w:sz w:val="18"/>
          <w:szCs w:val="18"/>
        </w:rPr>
      </w:pPr>
      <w:r w:rsidRPr="00A530E1">
        <w:rPr>
          <w:i/>
          <w:sz w:val="18"/>
          <w:szCs w:val="18"/>
          <w:vertAlign w:val="superscript"/>
        </w:rPr>
        <w:t>2</w:t>
      </w:r>
      <w:r w:rsidRPr="00A530E1">
        <w:rPr>
          <w:sz w:val="18"/>
          <w:szCs w:val="18"/>
        </w:rPr>
        <w:t xml:space="preserve">  Includes learning and comprehension difficulties.</w:t>
      </w:r>
    </w:p>
    <w:p w:rsidR="00180B44" w:rsidRPr="00A530E1" w:rsidRDefault="00180B44" w:rsidP="00180B44">
      <w:pPr>
        <w:suppressAutoHyphens w:val="0"/>
        <w:spacing w:line="240" w:lineRule="auto"/>
        <w:ind w:left="1134" w:right="1134" w:firstLine="170"/>
        <w:rPr>
          <w:sz w:val="18"/>
          <w:szCs w:val="18"/>
        </w:rPr>
      </w:pPr>
      <w:r w:rsidRPr="00A530E1">
        <w:rPr>
          <w:i/>
          <w:sz w:val="18"/>
          <w:szCs w:val="18"/>
          <w:vertAlign w:val="superscript"/>
        </w:rPr>
        <w:t>3</w:t>
      </w:r>
      <w:r w:rsidRPr="00A530E1">
        <w:rPr>
          <w:sz w:val="18"/>
          <w:szCs w:val="18"/>
        </w:rPr>
        <w:t xml:space="preserve">  Includes Lima Province and the Constitutional Province of Callao.</w:t>
      </w:r>
    </w:p>
    <w:p w:rsidR="00180B44" w:rsidRPr="00A530E1" w:rsidRDefault="00180B44" w:rsidP="00180B44">
      <w:pPr>
        <w:suppressAutoHyphens w:val="0"/>
        <w:spacing w:after="240" w:line="240" w:lineRule="auto"/>
        <w:ind w:left="1134" w:right="1134" w:firstLine="170"/>
        <w:rPr>
          <w:sz w:val="18"/>
          <w:szCs w:val="18"/>
        </w:rPr>
      </w:pPr>
      <w:r w:rsidRPr="00A530E1">
        <w:rPr>
          <w:i/>
          <w:sz w:val="18"/>
          <w:szCs w:val="18"/>
          <w:vertAlign w:val="superscript"/>
        </w:rPr>
        <w:t>4</w:t>
      </w:r>
      <w:r w:rsidRPr="00A530E1">
        <w:rPr>
          <w:sz w:val="18"/>
          <w:szCs w:val="18"/>
        </w:rPr>
        <w:t xml:space="preserve">  Does not include Lima Province.</w:t>
      </w:r>
    </w:p>
    <w:p w:rsidR="00180B44" w:rsidRPr="00A530E1" w:rsidRDefault="00180B44" w:rsidP="00180B44">
      <w:pPr>
        <w:pStyle w:val="SingleTxtG"/>
      </w:pPr>
      <w:r w:rsidRPr="00A530E1">
        <w:t>42.</w:t>
      </w:r>
      <w:r w:rsidRPr="00A530E1">
        <w:tab/>
        <w:t>Consolidated statistics published in 2009</w:t>
      </w:r>
      <w:r w:rsidRPr="00A530E1">
        <w:rPr>
          <w:rStyle w:val="FootnoteReference"/>
        </w:rPr>
        <w:footnoteReference w:id="6"/>
      </w:r>
      <w:r w:rsidRPr="00A530E1">
        <w:t xml:space="preserve"> show the distribution of persons with disabilities by region:</w:t>
      </w:r>
    </w:p>
    <w:p w:rsidR="00180B44" w:rsidRPr="00A530E1" w:rsidRDefault="00180B44" w:rsidP="00180B44">
      <w:pPr>
        <w:pStyle w:val="H23G"/>
        <w:spacing w:after="0"/>
      </w:pPr>
      <w:r w:rsidRPr="00A530E1">
        <w:tab/>
      </w:r>
      <w:r w:rsidRPr="00A530E1">
        <w:tab/>
        <w:t>Percentage of the population with disabilities, by department</w:t>
      </w:r>
    </w:p>
    <w:p w:rsidR="00180B44" w:rsidRPr="00A530E1" w:rsidRDefault="00180B44" w:rsidP="00180B44">
      <w:pPr>
        <w:pStyle w:val="SingleTxtG"/>
        <w:spacing w:after="0"/>
        <w:jc w:val="left"/>
        <w:rPr>
          <w:sz w:val="16"/>
          <w:szCs w:val="16"/>
        </w:rPr>
      </w:pPr>
      <w:r w:rsidRPr="00A530E1">
        <w:rPr>
          <w:sz w:val="16"/>
          <w:szCs w:val="16"/>
        </w:rPr>
        <w:t>INEI census values, adjusted on the basis of a prevalence study conducted by the</w:t>
      </w:r>
      <w:r w:rsidR="001441EB" w:rsidRPr="00A530E1">
        <w:rPr>
          <w:sz w:val="16"/>
          <w:szCs w:val="16"/>
        </w:rPr>
        <w:t xml:space="preserve"> </w:t>
      </w:r>
      <w:r w:rsidRPr="00A530E1">
        <w:rPr>
          <w:sz w:val="16"/>
          <w:szCs w:val="16"/>
        </w:rPr>
        <w:br/>
        <w:t>National Rehabilitation Institute (INR)</w:t>
      </w:r>
    </w:p>
    <w:p w:rsidR="00180B44" w:rsidRPr="00A530E1" w:rsidRDefault="00180B44" w:rsidP="00180B44">
      <w:pPr>
        <w:pStyle w:val="SingleTxtG"/>
        <w:rPr>
          <w:sz w:val="16"/>
          <w:szCs w:val="16"/>
        </w:rPr>
      </w:pPr>
      <w:r w:rsidRPr="00A530E1">
        <w:rPr>
          <w:sz w:val="16"/>
          <w:szCs w:val="16"/>
        </w:rPr>
        <w:t>Updated to 2006 based on the INEI 2005 census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18"/>
        <w:gridCol w:w="992"/>
        <w:gridCol w:w="992"/>
        <w:gridCol w:w="992"/>
        <w:gridCol w:w="992"/>
        <w:gridCol w:w="992"/>
        <w:gridCol w:w="992"/>
      </w:tblGrid>
      <w:tr w:rsidR="00180B44" w:rsidRPr="00A530E1" w:rsidTr="00180B44">
        <w:trPr>
          <w:tblHeader/>
        </w:trPr>
        <w:tc>
          <w:tcPr>
            <w:tcW w:w="1418" w:type="dxa"/>
            <w:tcBorders>
              <w:top w:val="single" w:sz="4" w:space="0" w:color="auto"/>
            </w:tcBorders>
            <w:shd w:val="clear" w:color="auto" w:fill="auto"/>
            <w:vAlign w:val="bottom"/>
          </w:tcPr>
          <w:p w:rsidR="00180B44" w:rsidRPr="00A530E1" w:rsidRDefault="00180B44" w:rsidP="00180B44">
            <w:pPr>
              <w:spacing w:before="80" w:after="80" w:line="200" w:lineRule="exact"/>
              <w:ind w:right="113"/>
              <w:rPr>
                <w:i/>
                <w:sz w:val="16"/>
              </w:rPr>
            </w:pPr>
          </w:p>
        </w:tc>
        <w:tc>
          <w:tcPr>
            <w:tcW w:w="5952" w:type="dxa"/>
            <w:gridSpan w:val="6"/>
            <w:tcBorders>
              <w:top w:val="single" w:sz="4" w:space="0" w:color="auto"/>
              <w:bottom w:val="single" w:sz="4" w:space="0" w:color="auto"/>
            </w:tcBorders>
            <w:shd w:val="clear" w:color="auto" w:fill="auto"/>
            <w:vAlign w:val="bottom"/>
          </w:tcPr>
          <w:p w:rsidR="00180B44" w:rsidRPr="00A530E1" w:rsidRDefault="00180B44" w:rsidP="00180B44">
            <w:pPr>
              <w:spacing w:before="80" w:after="80" w:line="200" w:lineRule="exact"/>
              <w:ind w:right="113"/>
              <w:jc w:val="center"/>
              <w:rPr>
                <w:i/>
                <w:sz w:val="16"/>
              </w:rPr>
            </w:pPr>
            <w:r w:rsidRPr="00A530E1">
              <w:rPr>
                <w:i/>
                <w:sz w:val="16"/>
              </w:rPr>
              <w:t>Urban and rural populations with disabilities</w:t>
            </w:r>
          </w:p>
        </w:tc>
      </w:tr>
      <w:tr w:rsidR="00180B44" w:rsidRPr="00A530E1" w:rsidTr="00180B44">
        <w:trPr>
          <w:tblHeader/>
        </w:trPr>
        <w:tc>
          <w:tcPr>
            <w:tcW w:w="1418" w:type="dxa"/>
            <w:shd w:val="clear" w:color="auto" w:fill="auto"/>
            <w:vAlign w:val="bottom"/>
          </w:tcPr>
          <w:p w:rsidR="00180B44" w:rsidRPr="00A530E1" w:rsidRDefault="00180B44" w:rsidP="00180B44">
            <w:pPr>
              <w:spacing w:before="80" w:after="80" w:line="200" w:lineRule="exact"/>
              <w:ind w:right="113"/>
              <w:rPr>
                <w:i/>
                <w:sz w:val="16"/>
              </w:rPr>
            </w:pPr>
          </w:p>
        </w:tc>
        <w:tc>
          <w:tcPr>
            <w:tcW w:w="1984" w:type="dxa"/>
            <w:gridSpan w:val="2"/>
            <w:tcBorders>
              <w:top w:val="single" w:sz="4" w:space="0" w:color="auto"/>
              <w:bottom w:val="single" w:sz="4" w:space="0" w:color="auto"/>
              <w:right w:val="single" w:sz="24" w:space="0" w:color="FFFFFF"/>
            </w:tcBorders>
            <w:shd w:val="clear" w:color="auto" w:fill="auto"/>
            <w:vAlign w:val="bottom"/>
          </w:tcPr>
          <w:p w:rsidR="00180B44" w:rsidRPr="00A530E1" w:rsidRDefault="00180B44" w:rsidP="00180B44">
            <w:pPr>
              <w:spacing w:before="80" w:after="80" w:line="200" w:lineRule="exact"/>
              <w:ind w:right="113"/>
              <w:jc w:val="center"/>
              <w:rPr>
                <w:i/>
                <w:sz w:val="16"/>
              </w:rPr>
            </w:pPr>
            <w:r w:rsidRPr="00A530E1">
              <w:rPr>
                <w:i/>
                <w:sz w:val="16"/>
              </w:rPr>
              <w:t>Urban</w:t>
            </w:r>
          </w:p>
        </w:tc>
        <w:tc>
          <w:tcPr>
            <w:tcW w:w="1984"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180B44" w:rsidRPr="00A530E1" w:rsidRDefault="00180B44" w:rsidP="00180B44">
            <w:pPr>
              <w:spacing w:before="80" w:after="80" w:line="200" w:lineRule="exact"/>
              <w:ind w:right="113"/>
              <w:jc w:val="center"/>
              <w:rPr>
                <w:i/>
                <w:sz w:val="16"/>
              </w:rPr>
            </w:pPr>
            <w:r w:rsidRPr="00A530E1">
              <w:rPr>
                <w:i/>
                <w:sz w:val="16"/>
              </w:rPr>
              <w:t>Rural</w:t>
            </w:r>
          </w:p>
        </w:tc>
        <w:tc>
          <w:tcPr>
            <w:tcW w:w="1984" w:type="dxa"/>
            <w:gridSpan w:val="2"/>
            <w:tcBorders>
              <w:top w:val="single" w:sz="4" w:space="0" w:color="auto"/>
              <w:left w:val="single" w:sz="24" w:space="0" w:color="FFFFFF"/>
              <w:bottom w:val="single" w:sz="4" w:space="0" w:color="auto"/>
            </w:tcBorders>
            <w:shd w:val="clear" w:color="auto" w:fill="auto"/>
            <w:vAlign w:val="bottom"/>
          </w:tcPr>
          <w:p w:rsidR="00180B44" w:rsidRPr="00A530E1" w:rsidRDefault="00180B44" w:rsidP="00180B44">
            <w:pPr>
              <w:spacing w:before="80" w:after="80" w:line="200" w:lineRule="exact"/>
              <w:ind w:right="113"/>
              <w:jc w:val="center"/>
              <w:rPr>
                <w:b/>
                <w:i/>
                <w:sz w:val="16"/>
              </w:rPr>
            </w:pPr>
            <w:r w:rsidRPr="00A530E1">
              <w:rPr>
                <w:b/>
                <w:i/>
                <w:sz w:val="16"/>
              </w:rPr>
              <w:t>Total</w:t>
            </w:r>
          </w:p>
        </w:tc>
      </w:tr>
      <w:tr w:rsidR="00180B44" w:rsidRPr="00A530E1" w:rsidTr="00180B44">
        <w:trPr>
          <w:tblHeader/>
        </w:trPr>
        <w:tc>
          <w:tcPr>
            <w:tcW w:w="1418" w:type="dxa"/>
            <w:tcBorders>
              <w:bottom w:val="single" w:sz="12" w:space="0" w:color="auto"/>
            </w:tcBorders>
            <w:shd w:val="clear" w:color="auto" w:fill="auto"/>
            <w:vAlign w:val="bottom"/>
          </w:tcPr>
          <w:p w:rsidR="00180B44" w:rsidRPr="00A530E1" w:rsidRDefault="00180B44" w:rsidP="00180B44">
            <w:pPr>
              <w:spacing w:before="80" w:after="80" w:line="200" w:lineRule="exact"/>
              <w:ind w:right="113"/>
              <w:rPr>
                <w:i/>
                <w:sz w:val="16"/>
              </w:rPr>
            </w:pPr>
            <w:r w:rsidRPr="00A530E1">
              <w:rPr>
                <w:i/>
                <w:sz w:val="16"/>
              </w:rPr>
              <w:t>Department</w:t>
            </w:r>
          </w:p>
        </w:tc>
        <w:tc>
          <w:tcPr>
            <w:tcW w:w="992" w:type="dxa"/>
            <w:tcBorders>
              <w:top w:val="single" w:sz="4" w:space="0" w:color="auto"/>
              <w:bottom w:val="single" w:sz="12" w:space="0" w:color="auto"/>
            </w:tcBorders>
            <w:shd w:val="clear" w:color="auto" w:fill="auto"/>
            <w:vAlign w:val="bottom"/>
          </w:tcPr>
          <w:p w:rsidR="00180B44" w:rsidRPr="00A530E1" w:rsidRDefault="00180B44" w:rsidP="00180B44">
            <w:pPr>
              <w:spacing w:before="80" w:after="80" w:line="200" w:lineRule="exact"/>
              <w:ind w:right="113"/>
              <w:jc w:val="right"/>
              <w:rPr>
                <w:i/>
                <w:sz w:val="16"/>
              </w:rPr>
            </w:pPr>
          </w:p>
        </w:tc>
        <w:tc>
          <w:tcPr>
            <w:tcW w:w="992" w:type="dxa"/>
            <w:tcBorders>
              <w:top w:val="single" w:sz="4" w:space="0" w:color="auto"/>
              <w:bottom w:val="single" w:sz="12" w:space="0" w:color="auto"/>
              <w:right w:val="single" w:sz="24" w:space="0" w:color="FFFFFF"/>
            </w:tcBorders>
            <w:shd w:val="clear" w:color="auto" w:fill="auto"/>
            <w:vAlign w:val="bottom"/>
          </w:tcPr>
          <w:p w:rsidR="00180B44" w:rsidRPr="00A530E1" w:rsidRDefault="00180B44" w:rsidP="00180B44">
            <w:pPr>
              <w:spacing w:before="80" w:after="80" w:line="200" w:lineRule="exact"/>
              <w:ind w:right="113"/>
              <w:jc w:val="right"/>
              <w:rPr>
                <w:i/>
                <w:sz w:val="16"/>
              </w:rPr>
            </w:pPr>
            <w:r w:rsidRPr="00A530E1">
              <w:rPr>
                <w:i/>
                <w:sz w:val="16"/>
              </w:rPr>
              <w:t>Percentage</w:t>
            </w:r>
          </w:p>
        </w:tc>
        <w:tc>
          <w:tcPr>
            <w:tcW w:w="992" w:type="dxa"/>
            <w:tcBorders>
              <w:top w:val="single" w:sz="4" w:space="0" w:color="auto"/>
              <w:left w:val="single" w:sz="24" w:space="0" w:color="FFFFFF"/>
              <w:bottom w:val="single" w:sz="12" w:space="0" w:color="auto"/>
            </w:tcBorders>
            <w:shd w:val="clear" w:color="auto" w:fill="auto"/>
            <w:vAlign w:val="bottom"/>
          </w:tcPr>
          <w:p w:rsidR="00180B44" w:rsidRPr="00A530E1" w:rsidRDefault="00180B44" w:rsidP="00180B44">
            <w:pPr>
              <w:spacing w:before="80" w:after="80" w:line="200" w:lineRule="exact"/>
              <w:ind w:right="113"/>
              <w:jc w:val="right"/>
              <w:rPr>
                <w:i/>
                <w:sz w:val="16"/>
              </w:rPr>
            </w:pPr>
          </w:p>
        </w:tc>
        <w:tc>
          <w:tcPr>
            <w:tcW w:w="992" w:type="dxa"/>
            <w:tcBorders>
              <w:top w:val="single" w:sz="4" w:space="0" w:color="auto"/>
              <w:bottom w:val="single" w:sz="12" w:space="0" w:color="auto"/>
              <w:right w:val="single" w:sz="24" w:space="0" w:color="FFFFFF"/>
            </w:tcBorders>
            <w:shd w:val="clear" w:color="auto" w:fill="auto"/>
            <w:vAlign w:val="bottom"/>
          </w:tcPr>
          <w:p w:rsidR="00180B44" w:rsidRPr="00A530E1" w:rsidRDefault="00180B44" w:rsidP="00180B44">
            <w:pPr>
              <w:spacing w:before="80" w:after="80" w:line="200" w:lineRule="exact"/>
              <w:ind w:right="113"/>
              <w:jc w:val="right"/>
              <w:rPr>
                <w:i/>
                <w:sz w:val="16"/>
              </w:rPr>
            </w:pPr>
            <w:r w:rsidRPr="00A530E1">
              <w:rPr>
                <w:i/>
                <w:sz w:val="16"/>
              </w:rPr>
              <w:t>Percentage</w:t>
            </w:r>
          </w:p>
        </w:tc>
        <w:tc>
          <w:tcPr>
            <w:tcW w:w="992" w:type="dxa"/>
            <w:tcBorders>
              <w:top w:val="single" w:sz="4" w:space="0" w:color="auto"/>
              <w:left w:val="single" w:sz="24" w:space="0" w:color="FFFFFF"/>
              <w:bottom w:val="single" w:sz="12" w:space="0" w:color="auto"/>
            </w:tcBorders>
            <w:shd w:val="clear" w:color="auto" w:fill="auto"/>
            <w:vAlign w:val="bottom"/>
          </w:tcPr>
          <w:p w:rsidR="00180B44" w:rsidRPr="00A530E1" w:rsidRDefault="00180B44" w:rsidP="00180B44">
            <w:pPr>
              <w:spacing w:before="80" w:after="80" w:line="200" w:lineRule="exact"/>
              <w:ind w:right="113"/>
              <w:jc w:val="right"/>
              <w:rPr>
                <w:b/>
                <w:i/>
                <w:sz w:val="16"/>
              </w:rPr>
            </w:pPr>
          </w:p>
        </w:tc>
        <w:tc>
          <w:tcPr>
            <w:tcW w:w="992" w:type="dxa"/>
            <w:tcBorders>
              <w:top w:val="single" w:sz="4" w:space="0" w:color="auto"/>
              <w:bottom w:val="single" w:sz="12" w:space="0" w:color="auto"/>
            </w:tcBorders>
            <w:shd w:val="clear" w:color="auto" w:fill="auto"/>
            <w:vAlign w:val="bottom"/>
          </w:tcPr>
          <w:p w:rsidR="00180B44" w:rsidRPr="00A530E1" w:rsidRDefault="00180B44" w:rsidP="00180B44">
            <w:pPr>
              <w:spacing w:before="80" w:after="80" w:line="200" w:lineRule="exact"/>
              <w:ind w:right="113"/>
              <w:jc w:val="right"/>
              <w:rPr>
                <w:b/>
                <w:i/>
                <w:sz w:val="16"/>
              </w:rPr>
            </w:pPr>
            <w:r w:rsidRPr="00A530E1">
              <w:rPr>
                <w:b/>
                <w:i/>
                <w:sz w:val="16"/>
              </w:rPr>
              <w:t>Percentage</w:t>
            </w:r>
          </w:p>
        </w:tc>
      </w:tr>
      <w:tr w:rsidR="00180B44" w:rsidRPr="00A530E1" w:rsidTr="00180B44">
        <w:tc>
          <w:tcPr>
            <w:tcW w:w="1418" w:type="dxa"/>
            <w:tcBorders>
              <w:top w:val="single" w:sz="12" w:space="0" w:color="auto"/>
            </w:tcBorders>
            <w:shd w:val="clear" w:color="auto" w:fill="auto"/>
          </w:tcPr>
          <w:p w:rsidR="00180B44" w:rsidRPr="00A530E1" w:rsidRDefault="00180B44" w:rsidP="001441EB">
            <w:pPr>
              <w:spacing w:before="40" w:after="40" w:line="220" w:lineRule="exact"/>
              <w:ind w:right="113"/>
              <w:rPr>
                <w:sz w:val="18"/>
                <w:szCs w:val="16"/>
              </w:rPr>
            </w:pPr>
            <w:r w:rsidRPr="00A530E1">
              <w:rPr>
                <w:sz w:val="18"/>
                <w:szCs w:val="16"/>
              </w:rPr>
              <w:t>Lima</w:t>
            </w:r>
          </w:p>
        </w:tc>
        <w:tc>
          <w:tcPr>
            <w:tcW w:w="992" w:type="dxa"/>
            <w:tcBorders>
              <w:top w:val="single" w:sz="12" w:space="0" w:color="auto"/>
            </w:tcBorders>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852 834</w:t>
            </w:r>
          </w:p>
        </w:tc>
        <w:tc>
          <w:tcPr>
            <w:tcW w:w="992" w:type="dxa"/>
            <w:tcBorders>
              <w:top w:val="single" w:sz="12" w:space="0" w:color="auto"/>
            </w:tcBorders>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37.86</w:t>
            </w:r>
          </w:p>
        </w:tc>
        <w:tc>
          <w:tcPr>
            <w:tcW w:w="992" w:type="dxa"/>
            <w:tcBorders>
              <w:top w:val="single" w:sz="12" w:space="0" w:color="auto"/>
            </w:tcBorders>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34 054</w:t>
            </w:r>
          </w:p>
        </w:tc>
        <w:tc>
          <w:tcPr>
            <w:tcW w:w="992" w:type="dxa"/>
            <w:tcBorders>
              <w:top w:val="single" w:sz="12" w:space="0" w:color="auto"/>
            </w:tcBorders>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2.73</w:t>
            </w:r>
          </w:p>
        </w:tc>
        <w:tc>
          <w:tcPr>
            <w:tcW w:w="992" w:type="dxa"/>
            <w:tcBorders>
              <w:top w:val="single" w:sz="12" w:space="0" w:color="auto"/>
            </w:tcBorders>
            <w:shd w:val="clear" w:color="auto" w:fill="auto"/>
            <w:vAlign w:val="bottom"/>
          </w:tcPr>
          <w:p w:rsidR="00180B44" w:rsidRPr="00A530E1" w:rsidRDefault="00180B44" w:rsidP="001441EB">
            <w:pPr>
              <w:spacing w:before="40" w:after="40" w:line="220" w:lineRule="exact"/>
              <w:ind w:right="113"/>
              <w:jc w:val="right"/>
              <w:rPr>
                <w:b/>
                <w:sz w:val="18"/>
                <w:szCs w:val="16"/>
              </w:rPr>
            </w:pPr>
            <w:r w:rsidRPr="00A530E1">
              <w:rPr>
                <w:b/>
                <w:sz w:val="18"/>
                <w:szCs w:val="16"/>
              </w:rPr>
              <w:t>886 888</w:t>
            </w:r>
          </w:p>
        </w:tc>
        <w:tc>
          <w:tcPr>
            <w:tcW w:w="992" w:type="dxa"/>
            <w:tcBorders>
              <w:top w:val="single" w:sz="12" w:space="0" w:color="auto"/>
            </w:tcBorders>
            <w:shd w:val="clear" w:color="auto" w:fill="auto"/>
            <w:vAlign w:val="bottom"/>
          </w:tcPr>
          <w:p w:rsidR="00180B44" w:rsidRPr="00A530E1" w:rsidRDefault="00180B44" w:rsidP="001441EB">
            <w:pPr>
              <w:spacing w:before="40" w:after="40" w:line="220" w:lineRule="exact"/>
              <w:ind w:right="113"/>
              <w:jc w:val="right"/>
              <w:rPr>
                <w:b/>
                <w:sz w:val="18"/>
                <w:szCs w:val="16"/>
              </w:rPr>
            </w:pPr>
            <w:r w:rsidRPr="00A530E1">
              <w:rPr>
                <w:b/>
                <w:sz w:val="18"/>
                <w:szCs w:val="16"/>
              </w:rPr>
              <w:t>25.34</w:t>
            </w:r>
          </w:p>
        </w:tc>
      </w:tr>
      <w:tr w:rsidR="00180B44" w:rsidRPr="00A530E1" w:rsidTr="00180B44">
        <w:tc>
          <w:tcPr>
            <w:tcW w:w="1418" w:type="dxa"/>
            <w:shd w:val="clear" w:color="auto" w:fill="auto"/>
          </w:tcPr>
          <w:p w:rsidR="00180B44" w:rsidRPr="00A530E1" w:rsidRDefault="00180B44" w:rsidP="001441EB">
            <w:pPr>
              <w:spacing w:before="40" w:after="40" w:line="220" w:lineRule="exact"/>
              <w:ind w:right="113"/>
              <w:rPr>
                <w:sz w:val="18"/>
                <w:szCs w:val="16"/>
              </w:rPr>
            </w:pPr>
            <w:r w:rsidRPr="00A530E1">
              <w:rPr>
                <w:sz w:val="18"/>
                <w:szCs w:val="16"/>
              </w:rPr>
              <w:t>Puno</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72 759</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3.23</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207 318</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16.62</w:t>
            </w:r>
          </w:p>
        </w:tc>
        <w:tc>
          <w:tcPr>
            <w:tcW w:w="992" w:type="dxa"/>
            <w:shd w:val="clear" w:color="auto" w:fill="auto"/>
            <w:vAlign w:val="bottom"/>
          </w:tcPr>
          <w:p w:rsidR="00180B44" w:rsidRPr="00A530E1" w:rsidRDefault="00180B44" w:rsidP="001441EB">
            <w:pPr>
              <w:spacing w:before="40" w:after="40" w:line="220" w:lineRule="exact"/>
              <w:ind w:right="113"/>
              <w:jc w:val="right"/>
              <w:rPr>
                <w:b/>
                <w:sz w:val="18"/>
                <w:szCs w:val="16"/>
              </w:rPr>
            </w:pPr>
            <w:r w:rsidRPr="00A530E1">
              <w:rPr>
                <w:b/>
                <w:sz w:val="18"/>
                <w:szCs w:val="16"/>
              </w:rPr>
              <w:t>280 077</w:t>
            </w:r>
          </w:p>
        </w:tc>
        <w:tc>
          <w:tcPr>
            <w:tcW w:w="992" w:type="dxa"/>
            <w:shd w:val="clear" w:color="auto" w:fill="auto"/>
            <w:vAlign w:val="bottom"/>
          </w:tcPr>
          <w:p w:rsidR="00180B44" w:rsidRPr="00A530E1" w:rsidRDefault="00180B44" w:rsidP="001441EB">
            <w:pPr>
              <w:spacing w:before="40" w:after="40" w:line="220" w:lineRule="exact"/>
              <w:ind w:right="113"/>
              <w:jc w:val="right"/>
              <w:rPr>
                <w:b/>
                <w:sz w:val="18"/>
                <w:szCs w:val="16"/>
              </w:rPr>
            </w:pPr>
            <w:r w:rsidRPr="00A530E1">
              <w:rPr>
                <w:b/>
                <w:sz w:val="18"/>
                <w:szCs w:val="16"/>
              </w:rPr>
              <w:t>8.00</w:t>
            </w:r>
          </w:p>
        </w:tc>
      </w:tr>
      <w:tr w:rsidR="00180B44" w:rsidRPr="00A530E1" w:rsidTr="00180B44">
        <w:tc>
          <w:tcPr>
            <w:tcW w:w="1418" w:type="dxa"/>
            <w:shd w:val="clear" w:color="auto" w:fill="auto"/>
          </w:tcPr>
          <w:p w:rsidR="00180B44" w:rsidRPr="00A530E1" w:rsidRDefault="00180B44" w:rsidP="001441EB">
            <w:pPr>
              <w:spacing w:before="40" w:after="40" w:line="220" w:lineRule="exact"/>
              <w:ind w:right="113"/>
              <w:rPr>
                <w:sz w:val="18"/>
                <w:szCs w:val="16"/>
              </w:rPr>
            </w:pPr>
            <w:r w:rsidRPr="00A530E1">
              <w:rPr>
                <w:sz w:val="18"/>
                <w:szCs w:val="16"/>
              </w:rPr>
              <w:t>Cusco</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80 868</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3.59</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141 954</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11.38</w:t>
            </w:r>
          </w:p>
        </w:tc>
        <w:tc>
          <w:tcPr>
            <w:tcW w:w="992" w:type="dxa"/>
            <w:shd w:val="clear" w:color="auto" w:fill="auto"/>
            <w:vAlign w:val="bottom"/>
          </w:tcPr>
          <w:p w:rsidR="00180B44" w:rsidRPr="00A530E1" w:rsidRDefault="00180B44" w:rsidP="001441EB">
            <w:pPr>
              <w:spacing w:before="40" w:after="40" w:line="220" w:lineRule="exact"/>
              <w:ind w:right="113"/>
              <w:jc w:val="right"/>
              <w:rPr>
                <w:b/>
                <w:sz w:val="18"/>
                <w:szCs w:val="16"/>
              </w:rPr>
            </w:pPr>
            <w:r w:rsidRPr="00A530E1">
              <w:rPr>
                <w:b/>
                <w:sz w:val="18"/>
                <w:szCs w:val="16"/>
              </w:rPr>
              <w:t>222 822</w:t>
            </w:r>
          </w:p>
        </w:tc>
        <w:tc>
          <w:tcPr>
            <w:tcW w:w="992" w:type="dxa"/>
            <w:shd w:val="clear" w:color="auto" w:fill="auto"/>
            <w:vAlign w:val="bottom"/>
          </w:tcPr>
          <w:p w:rsidR="00180B44" w:rsidRPr="00A530E1" w:rsidRDefault="00180B44" w:rsidP="001441EB">
            <w:pPr>
              <w:spacing w:before="40" w:after="40" w:line="220" w:lineRule="exact"/>
              <w:ind w:right="113"/>
              <w:jc w:val="right"/>
              <w:rPr>
                <w:b/>
                <w:sz w:val="18"/>
                <w:szCs w:val="16"/>
              </w:rPr>
            </w:pPr>
            <w:r w:rsidRPr="00A530E1">
              <w:rPr>
                <w:b/>
                <w:sz w:val="18"/>
                <w:szCs w:val="16"/>
              </w:rPr>
              <w:t>6.37</w:t>
            </w:r>
          </w:p>
        </w:tc>
      </w:tr>
      <w:tr w:rsidR="00180B44" w:rsidRPr="00A530E1" w:rsidTr="00180B44">
        <w:tc>
          <w:tcPr>
            <w:tcW w:w="1418" w:type="dxa"/>
            <w:shd w:val="clear" w:color="auto" w:fill="auto"/>
          </w:tcPr>
          <w:p w:rsidR="00180B44" w:rsidRPr="00A530E1" w:rsidRDefault="00180B44" w:rsidP="001441EB">
            <w:pPr>
              <w:spacing w:before="40" w:after="40" w:line="220" w:lineRule="exact"/>
              <w:ind w:right="113"/>
              <w:rPr>
                <w:sz w:val="18"/>
                <w:szCs w:val="16"/>
              </w:rPr>
            </w:pPr>
            <w:r w:rsidRPr="00A530E1">
              <w:rPr>
                <w:sz w:val="18"/>
                <w:szCs w:val="16"/>
              </w:rPr>
              <w:t>Piura</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141 914</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6.30</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70 977</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5.69</w:t>
            </w:r>
          </w:p>
        </w:tc>
        <w:tc>
          <w:tcPr>
            <w:tcW w:w="992" w:type="dxa"/>
            <w:shd w:val="clear" w:color="auto" w:fill="auto"/>
            <w:vAlign w:val="bottom"/>
          </w:tcPr>
          <w:p w:rsidR="00180B44" w:rsidRPr="00A530E1" w:rsidRDefault="00180B44" w:rsidP="001441EB">
            <w:pPr>
              <w:spacing w:before="40" w:after="40" w:line="220" w:lineRule="exact"/>
              <w:ind w:right="113"/>
              <w:jc w:val="right"/>
              <w:rPr>
                <w:b/>
                <w:sz w:val="18"/>
                <w:szCs w:val="16"/>
              </w:rPr>
            </w:pPr>
            <w:r w:rsidRPr="00A530E1">
              <w:rPr>
                <w:b/>
                <w:sz w:val="18"/>
                <w:szCs w:val="16"/>
              </w:rPr>
              <w:t>212 891</w:t>
            </w:r>
          </w:p>
        </w:tc>
        <w:tc>
          <w:tcPr>
            <w:tcW w:w="992" w:type="dxa"/>
            <w:shd w:val="clear" w:color="auto" w:fill="auto"/>
            <w:vAlign w:val="bottom"/>
          </w:tcPr>
          <w:p w:rsidR="00180B44" w:rsidRPr="00A530E1" w:rsidRDefault="00180B44" w:rsidP="001441EB">
            <w:pPr>
              <w:spacing w:before="40" w:after="40" w:line="220" w:lineRule="exact"/>
              <w:ind w:right="113"/>
              <w:jc w:val="right"/>
              <w:rPr>
                <w:b/>
                <w:sz w:val="18"/>
                <w:szCs w:val="16"/>
              </w:rPr>
            </w:pPr>
            <w:r w:rsidRPr="00A530E1">
              <w:rPr>
                <w:b/>
                <w:sz w:val="18"/>
                <w:szCs w:val="16"/>
              </w:rPr>
              <w:t>6.08</w:t>
            </w:r>
          </w:p>
        </w:tc>
      </w:tr>
      <w:tr w:rsidR="00180B44" w:rsidRPr="00A530E1" w:rsidTr="00180B44">
        <w:tc>
          <w:tcPr>
            <w:tcW w:w="1418" w:type="dxa"/>
            <w:shd w:val="clear" w:color="auto" w:fill="auto"/>
          </w:tcPr>
          <w:p w:rsidR="00180B44" w:rsidRPr="00A530E1" w:rsidRDefault="00180B44" w:rsidP="001441EB">
            <w:pPr>
              <w:spacing w:before="40" w:after="40" w:line="220" w:lineRule="exact"/>
              <w:ind w:right="113"/>
              <w:rPr>
                <w:sz w:val="18"/>
                <w:szCs w:val="16"/>
              </w:rPr>
            </w:pPr>
            <w:r w:rsidRPr="00A530E1">
              <w:rPr>
                <w:sz w:val="18"/>
                <w:szCs w:val="16"/>
              </w:rPr>
              <w:t>La Libertad</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134 030</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5.95</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71 476</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5.73</w:t>
            </w:r>
          </w:p>
        </w:tc>
        <w:tc>
          <w:tcPr>
            <w:tcW w:w="992" w:type="dxa"/>
            <w:shd w:val="clear" w:color="auto" w:fill="auto"/>
            <w:vAlign w:val="bottom"/>
          </w:tcPr>
          <w:p w:rsidR="00180B44" w:rsidRPr="00A530E1" w:rsidRDefault="00180B44" w:rsidP="001441EB">
            <w:pPr>
              <w:spacing w:before="40" w:after="40" w:line="220" w:lineRule="exact"/>
              <w:ind w:right="113"/>
              <w:jc w:val="right"/>
              <w:rPr>
                <w:b/>
                <w:sz w:val="18"/>
                <w:szCs w:val="16"/>
              </w:rPr>
            </w:pPr>
            <w:r w:rsidRPr="00A530E1">
              <w:rPr>
                <w:b/>
                <w:sz w:val="18"/>
                <w:szCs w:val="16"/>
              </w:rPr>
              <w:t>205 506</w:t>
            </w:r>
          </w:p>
        </w:tc>
        <w:tc>
          <w:tcPr>
            <w:tcW w:w="992" w:type="dxa"/>
            <w:shd w:val="clear" w:color="auto" w:fill="auto"/>
            <w:vAlign w:val="bottom"/>
          </w:tcPr>
          <w:p w:rsidR="00180B44" w:rsidRPr="00A530E1" w:rsidRDefault="00180B44" w:rsidP="001441EB">
            <w:pPr>
              <w:spacing w:before="40" w:after="40" w:line="220" w:lineRule="exact"/>
              <w:ind w:right="113"/>
              <w:jc w:val="right"/>
              <w:rPr>
                <w:b/>
                <w:sz w:val="18"/>
                <w:szCs w:val="16"/>
              </w:rPr>
            </w:pPr>
            <w:r w:rsidRPr="00A530E1">
              <w:rPr>
                <w:b/>
                <w:sz w:val="18"/>
                <w:szCs w:val="16"/>
              </w:rPr>
              <w:t>5.88</w:t>
            </w:r>
          </w:p>
        </w:tc>
      </w:tr>
      <w:tr w:rsidR="00180B44" w:rsidRPr="00A530E1" w:rsidTr="00180B44">
        <w:tc>
          <w:tcPr>
            <w:tcW w:w="1418" w:type="dxa"/>
            <w:shd w:val="clear" w:color="auto" w:fill="auto"/>
          </w:tcPr>
          <w:p w:rsidR="00180B44" w:rsidRPr="00A530E1" w:rsidRDefault="00180B44" w:rsidP="001441EB">
            <w:pPr>
              <w:spacing w:before="40" w:after="40" w:line="220" w:lineRule="exact"/>
              <w:ind w:right="113"/>
              <w:rPr>
                <w:sz w:val="18"/>
                <w:szCs w:val="16"/>
              </w:rPr>
            </w:pPr>
            <w:r w:rsidRPr="00A530E1">
              <w:rPr>
                <w:sz w:val="18"/>
                <w:szCs w:val="16"/>
              </w:rPr>
              <w:t>Cajamarca</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41 448</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1.84</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135 717</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10.88</w:t>
            </w:r>
          </w:p>
        </w:tc>
        <w:tc>
          <w:tcPr>
            <w:tcW w:w="992" w:type="dxa"/>
            <w:shd w:val="clear" w:color="auto" w:fill="auto"/>
            <w:vAlign w:val="bottom"/>
          </w:tcPr>
          <w:p w:rsidR="00180B44" w:rsidRPr="00A530E1" w:rsidRDefault="00180B44" w:rsidP="001441EB">
            <w:pPr>
              <w:spacing w:before="40" w:after="40" w:line="220" w:lineRule="exact"/>
              <w:ind w:right="113"/>
              <w:jc w:val="right"/>
              <w:rPr>
                <w:b/>
                <w:sz w:val="18"/>
                <w:szCs w:val="16"/>
              </w:rPr>
            </w:pPr>
            <w:r w:rsidRPr="00A530E1">
              <w:rPr>
                <w:b/>
                <w:sz w:val="18"/>
                <w:szCs w:val="16"/>
              </w:rPr>
              <w:t>177 165</w:t>
            </w:r>
          </w:p>
        </w:tc>
        <w:tc>
          <w:tcPr>
            <w:tcW w:w="992" w:type="dxa"/>
            <w:shd w:val="clear" w:color="auto" w:fill="auto"/>
            <w:vAlign w:val="bottom"/>
          </w:tcPr>
          <w:p w:rsidR="00180B44" w:rsidRPr="00A530E1" w:rsidRDefault="00180B44" w:rsidP="001441EB">
            <w:pPr>
              <w:spacing w:before="40" w:after="40" w:line="220" w:lineRule="exact"/>
              <w:ind w:right="113"/>
              <w:jc w:val="right"/>
              <w:rPr>
                <w:b/>
                <w:sz w:val="18"/>
                <w:szCs w:val="16"/>
              </w:rPr>
            </w:pPr>
            <w:r w:rsidRPr="00A530E1">
              <w:rPr>
                <w:b/>
                <w:sz w:val="18"/>
                <w:szCs w:val="16"/>
              </w:rPr>
              <w:t>5.06</w:t>
            </w:r>
          </w:p>
        </w:tc>
      </w:tr>
      <w:tr w:rsidR="00180B44" w:rsidRPr="00A530E1" w:rsidTr="00180B44">
        <w:tc>
          <w:tcPr>
            <w:tcW w:w="1418" w:type="dxa"/>
            <w:shd w:val="clear" w:color="auto" w:fill="auto"/>
          </w:tcPr>
          <w:p w:rsidR="00180B44" w:rsidRPr="00A530E1" w:rsidRDefault="00180B44" w:rsidP="001441EB">
            <w:pPr>
              <w:spacing w:before="40" w:after="40" w:line="220" w:lineRule="exact"/>
              <w:ind w:right="113"/>
              <w:rPr>
                <w:sz w:val="18"/>
                <w:szCs w:val="16"/>
              </w:rPr>
            </w:pPr>
            <w:r w:rsidRPr="00A530E1">
              <w:rPr>
                <w:sz w:val="18"/>
                <w:szCs w:val="16"/>
              </w:rPr>
              <w:t>Junín</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107 900</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4.79</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59 626</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4.78</w:t>
            </w:r>
          </w:p>
        </w:tc>
        <w:tc>
          <w:tcPr>
            <w:tcW w:w="992" w:type="dxa"/>
            <w:shd w:val="clear" w:color="auto" w:fill="auto"/>
            <w:vAlign w:val="bottom"/>
          </w:tcPr>
          <w:p w:rsidR="00180B44" w:rsidRPr="00A530E1" w:rsidRDefault="00180B44" w:rsidP="001441EB">
            <w:pPr>
              <w:spacing w:before="40" w:after="40" w:line="220" w:lineRule="exact"/>
              <w:ind w:right="113"/>
              <w:jc w:val="right"/>
              <w:rPr>
                <w:b/>
                <w:sz w:val="18"/>
                <w:szCs w:val="16"/>
              </w:rPr>
            </w:pPr>
            <w:r w:rsidRPr="00A530E1">
              <w:rPr>
                <w:b/>
                <w:sz w:val="18"/>
                <w:szCs w:val="16"/>
              </w:rPr>
              <w:t>167 525</w:t>
            </w:r>
          </w:p>
        </w:tc>
        <w:tc>
          <w:tcPr>
            <w:tcW w:w="992" w:type="dxa"/>
            <w:shd w:val="clear" w:color="auto" w:fill="auto"/>
            <w:vAlign w:val="bottom"/>
          </w:tcPr>
          <w:p w:rsidR="00180B44" w:rsidRPr="00A530E1" w:rsidRDefault="00180B44" w:rsidP="001441EB">
            <w:pPr>
              <w:spacing w:before="40" w:after="40" w:line="220" w:lineRule="exact"/>
              <w:ind w:right="113"/>
              <w:jc w:val="right"/>
              <w:rPr>
                <w:b/>
                <w:sz w:val="18"/>
                <w:szCs w:val="16"/>
              </w:rPr>
            </w:pPr>
            <w:r w:rsidRPr="00A530E1">
              <w:rPr>
                <w:b/>
                <w:sz w:val="18"/>
                <w:szCs w:val="16"/>
              </w:rPr>
              <w:t>4.78</w:t>
            </w:r>
          </w:p>
        </w:tc>
      </w:tr>
      <w:tr w:rsidR="00180B44" w:rsidRPr="00A530E1" w:rsidTr="00180B44">
        <w:tc>
          <w:tcPr>
            <w:tcW w:w="1418" w:type="dxa"/>
            <w:shd w:val="clear" w:color="auto" w:fill="auto"/>
          </w:tcPr>
          <w:p w:rsidR="00180B44" w:rsidRPr="00A530E1" w:rsidRDefault="00180B44" w:rsidP="001441EB">
            <w:pPr>
              <w:spacing w:before="40" w:after="40" w:line="220" w:lineRule="exact"/>
              <w:ind w:right="113"/>
              <w:rPr>
                <w:sz w:val="18"/>
                <w:szCs w:val="16"/>
              </w:rPr>
            </w:pPr>
            <w:r w:rsidRPr="00A530E1">
              <w:rPr>
                <w:sz w:val="18"/>
                <w:szCs w:val="16"/>
              </w:rPr>
              <w:t>Ancash</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85 824</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3.81</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80 582</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6.46</w:t>
            </w:r>
          </w:p>
        </w:tc>
        <w:tc>
          <w:tcPr>
            <w:tcW w:w="992" w:type="dxa"/>
            <w:shd w:val="clear" w:color="auto" w:fill="auto"/>
            <w:vAlign w:val="bottom"/>
          </w:tcPr>
          <w:p w:rsidR="00180B44" w:rsidRPr="00A530E1" w:rsidRDefault="00180B44" w:rsidP="001441EB">
            <w:pPr>
              <w:spacing w:before="40" w:after="40" w:line="220" w:lineRule="exact"/>
              <w:ind w:right="113"/>
              <w:jc w:val="right"/>
              <w:rPr>
                <w:b/>
                <w:sz w:val="18"/>
                <w:szCs w:val="16"/>
              </w:rPr>
            </w:pPr>
            <w:r w:rsidRPr="00A530E1">
              <w:rPr>
                <w:b/>
                <w:sz w:val="18"/>
                <w:szCs w:val="16"/>
              </w:rPr>
              <w:t>166 406</w:t>
            </w:r>
          </w:p>
        </w:tc>
        <w:tc>
          <w:tcPr>
            <w:tcW w:w="992" w:type="dxa"/>
            <w:shd w:val="clear" w:color="auto" w:fill="auto"/>
            <w:vAlign w:val="bottom"/>
          </w:tcPr>
          <w:p w:rsidR="00180B44" w:rsidRPr="00A530E1" w:rsidRDefault="00180B44" w:rsidP="001441EB">
            <w:pPr>
              <w:spacing w:before="40" w:after="40" w:line="220" w:lineRule="exact"/>
              <w:ind w:right="113"/>
              <w:jc w:val="right"/>
              <w:rPr>
                <w:b/>
                <w:sz w:val="18"/>
                <w:szCs w:val="16"/>
              </w:rPr>
            </w:pPr>
            <w:r w:rsidRPr="00A530E1">
              <w:rPr>
                <w:b/>
                <w:sz w:val="18"/>
                <w:szCs w:val="16"/>
              </w:rPr>
              <w:t>4.75</w:t>
            </w:r>
          </w:p>
        </w:tc>
      </w:tr>
      <w:tr w:rsidR="00180B44" w:rsidRPr="00A530E1" w:rsidTr="00180B44">
        <w:tc>
          <w:tcPr>
            <w:tcW w:w="1418" w:type="dxa"/>
            <w:shd w:val="clear" w:color="auto" w:fill="auto"/>
          </w:tcPr>
          <w:p w:rsidR="00180B44" w:rsidRPr="00A530E1" w:rsidRDefault="00180B44" w:rsidP="001441EB">
            <w:pPr>
              <w:spacing w:before="40" w:after="40" w:line="220" w:lineRule="exact"/>
              <w:ind w:right="113"/>
              <w:rPr>
                <w:sz w:val="18"/>
                <w:szCs w:val="16"/>
              </w:rPr>
            </w:pPr>
            <w:r w:rsidRPr="00A530E1">
              <w:rPr>
                <w:sz w:val="18"/>
                <w:szCs w:val="16"/>
              </w:rPr>
              <w:t>Arequipa</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111 278</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4.94</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22 079</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1.77</w:t>
            </w:r>
          </w:p>
        </w:tc>
        <w:tc>
          <w:tcPr>
            <w:tcW w:w="992" w:type="dxa"/>
            <w:shd w:val="clear" w:color="auto" w:fill="auto"/>
            <w:vAlign w:val="bottom"/>
          </w:tcPr>
          <w:p w:rsidR="00180B44" w:rsidRPr="00A530E1" w:rsidRDefault="00180B44" w:rsidP="001441EB">
            <w:pPr>
              <w:spacing w:before="40" w:after="40" w:line="220" w:lineRule="exact"/>
              <w:ind w:right="113"/>
              <w:jc w:val="right"/>
              <w:rPr>
                <w:b/>
                <w:sz w:val="18"/>
                <w:szCs w:val="16"/>
              </w:rPr>
            </w:pPr>
            <w:r w:rsidRPr="00A530E1">
              <w:rPr>
                <w:b/>
                <w:sz w:val="18"/>
                <w:szCs w:val="16"/>
              </w:rPr>
              <w:t>133 357</w:t>
            </w:r>
          </w:p>
        </w:tc>
        <w:tc>
          <w:tcPr>
            <w:tcW w:w="992" w:type="dxa"/>
            <w:shd w:val="clear" w:color="auto" w:fill="auto"/>
            <w:vAlign w:val="bottom"/>
          </w:tcPr>
          <w:p w:rsidR="00180B44" w:rsidRPr="00A530E1" w:rsidRDefault="00180B44" w:rsidP="001441EB">
            <w:pPr>
              <w:spacing w:before="40" w:after="40" w:line="220" w:lineRule="exact"/>
              <w:ind w:right="113"/>
              <w:jc w:val="right"/>
              <w:rPr>
                <w:b/>
                <w:sz w:val="18"/>
                <w:szCs w:val="16"/>
              </w:rPr>
            </w:pPr>
            <w:r w:rsidRPr="00A530E1">
              <w:rPr>
                <w:b/>
                <w:sz w:val="18"/>
                <w:szCs w:val="16"/>
              </w:rPr>
              <w:t>3.81</w:t>
            </w:r>
          </w:p>
        </w:tc>
      </w:tr>
      <w:tr w:rsidR="00180B44" w:rsidRPr="00A530E1" w:rsidTr="00180B44">
        <w:tc>
          <w:tcPr>
            <w:tcW w:w="1418" w:type="dxa"/>
            <w:shd w:val="clear" w:color="auto" w:fill="auto"/>
          </w:tcPr>
          <w:p w:rsidR="00180B44" w:rsidRPr="00A530E1" w:rsidRDefault="00180B44" w:rsidP="001441EB">
            <w:pPr>
              <w:spacing w:before="40" w:after="40" w:line="220" w:lineRule="exact"/>
              <w:ind w:right="113"/>
              <w:rPr>
                <w:sz w:val="18"/>
                <w:szCs w:val="16"/>
              </w:rPr>
            </w:pPr>
            <w:r w:rsidRPr="00A530E1">
              <w:rPr>
                <w:sz w:val="18"/>
                <w:szCs w:val="16"/>
              </w:rPr>
              <w:t>Huánuco</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41 898</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1.86</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73 347</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5.88</w:t>
            </w:r>
          </w:p>
        </w:tc>
        <w:tc>
          <w:tcPr>
            <w:tcW w:w="992" w:type="dxa"/>
            <w:shd w:val="clear" w:color="auto" w:fill="auto"/>
            <w:vAlign w:val="bottom"/>
          </w:tcPr>
          <w:p w:rsidR="00180B44" w:rsidRPr="00A530E1" w:rsidRDefault="00180B44" w:rsidP="001441EB">
            <w:pPr>
              <w:spacing w:before="40" w:after="40" w:line="220" w:lineRule="exact"/>
              <w:ind w:right="113"/>
              <w:jc w:val="right"/>
              <w:rPr>
                <w:b/>
                <w:sz w:val="18"/>
                <w:szCs w:val="16"/>
              </w:rPr>
            </w:pPr>
            <w:r w:rsidRPr="00A530E1">
              <w:rPr>
                <w:b/>
                <w:sz w:val="18"/>
                <w:szCs w:val="16"/>
              </w:rPr>
              <w:t>115 245</w:t>
            </w:r>
          </w:p>
        </w:tc>
        <w:tc>
          <w:tcPr>
            <w:tcW w:w="992" w:type="dxa"/>
            <w:shd w:val="clear" w:color="auto" w:fill="auto"/>
            <w:vAlign w:val="bottom"/>
          </w:tcPr>
          <w:p w:rsidR="00180B44" w:rsidRPr="00A530E1" w:rsidRDefault="00180B44" w:rsidP="001441EB">
            <w:pPr>
              <w:spacing w:before="40" w:after="40" w:line="220" w:lineRule="exact"/>
              <w:ind w:right="113"/>
              <w:jc w:val="right"/>
              <w:rPr>
                <w:b/>
                <w:sz w:val="18"/>
                <w:szCs w:val="16"/>
              </w:rPr>
            </w:pPr>
            <w:r w:rsidRPr="00A530E1">
              <w:rPr>
                <w:b/>
                <w:sz w:val="18"/>
                <w:szCs w:val="16"/>
              </w:rPr>
              <w:t>3.29</w:t>
            </w:r>
          </w:p>
        </w:tc>
      </w:tr>
      <w:tr w:rsidR="00180B44" w:rsidRPr="00A530E1" w:rsidTr="00180B44">
        <w:tc>
          <w:tcPr>
            <w:tcW w:w="1418" w:type="dxa"/>
            <w:shd w:val="clear" w:color="auto" w:fill="auto"/>
          </w:tcPr>
          <w:p w:rsidR="00180B44" w:rsidRPr="00A530E1" w:rsidRDefault="00180B44" w:rsidP="001441EB">
            <w:pPr>
              <w:spacing w:before="40" w:after="40" w:line="220" w:lineRule="exact"/>
              <w:ind w:right="113"/>
              <w:rPr>
                <w:sz w:val="18"/>
                <w:szCs w:val="16"/>
              </w:rPr>
            </w:pPr>
            <w:r w:rsidRPr="00A530E1">
              <w:rPr>
                <w:sz w:val="18"/>
                <w:szCs w:val="16"/>
              </w:rPr>
              <w:t>Lambayeque</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85 599</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3.80</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22 827</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1.83</w:t>
            </w:r>
          </w:p>
        </w:tc>
        <w:tc>
          <w:tcPr>
            <w:tcW w:w="992" w:type="dxa"/>
            <w:shd w:val="clear" w:color="auto" w:fill="auto"/>
            <w:vAlign w:val="bottom"/>
          </w:tcPr>
          <w:p w:rsidR="00180B44" w:rsidRPr="00A530E1" w:rsidRDefault="00180B44" w:rsidP="001441EB">
            <w:pPr>
              <w:spacing w:before="40" w:after="40" w:line="220" w:lineRule="exact"/>
              <w:ind w:right="113"/>
              <w:jc w:val="right"/>
              <w:rPr>
                <w:b/>
                <w:sz w:val="18"/>
                <w:szCs w:val="16"/>
              </w:rPr>
            </w:pPr>
            <w:r w:rsidRPr="00A530E1">
              <w:rPr>
                <w:b/>
                <w:sz w:val="18"/>
                <w:szCs w:val="16"/>
              </w:rPr>
              <w:t>108 426</w:t>
            </w:r>
          </w:p>
        </w:tc>
        <w:tc>
          <w:tcPr>
            <w:tcW w:w="992" w:type="dxa"/>
            <w:shd w:val="clear" w:color="auto" w:fill="auto"/>
            <w:vAlign w:val="bottom"/>
          </w:tcPr>
          <w:p w:rsidR="00180B44" w:rsidRPr="00A530E1" w:rsidRDefault="00180B44" w:rsidP="001441EB">
            <w:pPr>
              <w:spacing w:before="40" w:after="40" w:line="220" w:lineRule="exact"/>
              <w:ind w:right="113"/>
              <w:jc w:val="right"/>
              <w:rPr>
                <w:b/>
                <w:sz w:val="18"/>
                <w:szCs w:val="16"/>
              </w:rPr>
            </w:pPr>
            <w:r w:rsidRPr="00A530E1">
              <w:rPr>
                <w:b/>
                <w:sz w:val="18"/>
                <w:szCs w:val="16"/>
              </w:rPr>
              <w:t>3.10</w:t>
            </w:r>
          </w:p>
        </w:tc>
      </w:tr>
      <w:tr w:rsidR="00180B44" w:rsidRPr="00A530E1" w:rsidTr="00180B44">
        <w:tc>
          <w:tcPr>
            <w:tcW w:w="1418" w:type="dxa"/>
            <w:shd w:val="clear" w:color="auto" w:fill="auto"/>
          </w:tcPr>
          <w:p w:rsidR="00180B44" w:rsidRPr="00A530E1" w:rsidRDefault="00180B44" w:rsidP="001441EB">
            <w:pPr>
              <w:spacing w:before="40" w:after="40" w:line="220" w:lineRule="exact"/>
              <w:ind w:right="113"/>
              <w:rPr>
                <w:sz w:val="18"/>
                <w:szCs w:val="16"/>
              </w:rPr>
            </w:pPr>
            <w:r w:rsidRPr="00A530E1">
              <w:rPr>
                <w:sz w:val="18"/>
                <w:szCs w:val="16"/>
              </w:rPr>
              <w:t>Ayacucho</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47 755</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2.12</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59 750</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4.79</w:t>
            </w:r>
          </w:p>
        </w:tc>
        <w:tc>
          <w:tcPr>
            <w:tcW w:w="992" w:type="dxa"/>
            <w:shd w:val="clear" w:color="auto" w:fill="auto"/>
            <w:vAlign w:val="bottom"/>
          </w:tcPr>
          <w:p w:rsidR="00180B44" w:rsidRPr="00A530E1" w:rsidRDefault="00180B44" w:rsidP="001441EB">
            <w:pPr>
              <w:spacing w:before="40" w:after="40" w:line="220" w:lineRule="exact"/>
              <w:ind w:right="113"/>
              <w:jc w:val="right"/>
              <w:rPr>
                <w:b/>
                <w:sz w:val="18"/>
                <w:szCs w:val="16"/>
              </w:rPr>
            </w:pPr>
            <w:r w:rsidRPr="00A530E1">
              <w:rPr>
                <w:b/>
                <w:sz w:val="18"/>
                <w:szCs w:val="16"/>
              </w:rPr>
              <w:t>107 506</w:t>
            </w:r>
          </w:p>
        </w:tc>
        <w:tc>
          <w:tcPr>
            <w:tcW w:w="992" w:type="dxa"/>
            <w:shd w:val="clear" w:color="auto" w:fill="auto"/>
            <w:vAlign w:val="bottom"/>
          </w:tcPr>
          <w:p w:rsidR="00180B44" w:rsidRPr="00A530E1" w:rsidRDefault="00180B44" w:rsidP="001441EB">
            <w:pPr>
              <w:spacing w:before="40" w:after="40" w:line="220" w:lineRule="exact"/>
              <w:ind w:right="113"/>
              <w:jc w:val="right"/>
              <w:rPr>
                <w:b/>
                <w:sz w:val="18"/>
                <w:szCs w:val="16"/>
              </w:rPr>
            </w:pPr>
            <w:r w:rsidRPr="00A530E1">
              <w:rPr>
                <w:b/>
                <w:sz w:val="18"/>
                <w:szCs w:val="16"/>
              </w:rPr>
              <w:t>3.07</w:t>
            </w:r>
          </w:p>
        </w:tc>
      </w:tr>
      <w:tr w:rsidR="00180B44" w:rsidRPr="00A530E1" w:rsidTr="00180B44">
        <w:tc>
          <w:tcPr>
            <w:tcW w:w="1418" w:type="dxa"/>
            <w:shd w:val="clear" w:color="auto" w:fill="auto"/>
          </w:tcPr>
          <w:p w:rsidR="00180B44" w:rsidRPr="00A530E1" w:rsidRDefault="00180B44" w:rsidP="001441EB">
            <w:pPr>
              <w:spacing w:before="40" w:after="40" w:line="220" w:lineRule="exact"/>
              <w:ind w:right="113"/>
              <w:rPr>
                <w:sz w:val="18"/>
                <w:szCs w:val="16"/>
              </w:rPr>
            </w:pPr>
            <w:r w:rsidRPr="00A530E1">
              <w:rPr>
                <w:sz w:val="18"/>
                <w:szCs w:val="16"/>
              </w:rPr>
              <w:t>Loreto</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60 595</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2.69</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39 667</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3.18</w:t>
            </w:r>
          </w:p>
        </w:tc>
        <w:tc>
          <w:tcPr>
            <w:tcW w:w="992" w:type="dxa"/>
            <w:shd w:val="clear" w:color="auto" w:fill="auto"/>
            <w:vAlign w:val="bottom"/>
          </w:tcPr>
          <w:p w:rsidR="00180B44" w:rsidRPr="00A530E1" w:rsidRDefault="00180B44" w:rsidP="001441EB">
            <w:pPr>
              <w:spacing w:before="40" w:after="40" w:line="220" w:lineRule="exact"/>
              <w:ind w:right="113"/>
              <w:jc w:val="right"/>
              <w:rPr>
                <w:b/>
                <w:sz w:val="18"/>
                <w:szCs w:val="16"/>
              </w:rPr>
            </w:pPr>
            <w:r w:rsidRPr="00A530E1">
              <w:rPr>
                <w:b/>
                <w:sz w:val="18"/>
                <w:szCs w:val="16"/>
              </w:rPr>
              <w:t>100 262</w:t>
            </w:r>
          </w:p>
        </w:tc>
        <w:tc>
          <w:tcPr>
            <w:tcW w:w="992" w:type="dxa"/>
            <w:shd w:val="clear" w:color="auto" w:fill="auto"/>
            <w:vAlign w:val="bottom"/>
          </w:tcPr>
          <w:p w:rsidR="00180B44" w:rsidRPr="00A530E1" w:rsidRDefault="00180B44" w:rsidP="001441EB">
            <w:pPr>
              <w:spacing w:before="40" w:after="40" w:line="220" w:lineRule="exact"/>
              <w:ind w:right="113"/>
              <w:jc w:val="right"/>
              <w:rPr>
                <w:b/>
                <w:sz w:val="18"/>
                <w:szCs w:val="16"/>
              </w:rPr>
            </w:pPr>
            <w:r w:rsidRPr="00A530E1">
              <w:rPr>
                <w:b/>
                <w:sz w:val="18"/>
                <w:szCs w:val="16"/>
              </w:rPr>
              <w:t>2.87</w:t>
            </w:r>
          </w:p>
        </w:tc>
      </w:tr>
      <w:tr w:rsidR="00180B44" w:rsidRPr="00A530E1" w:rsidTr="00180B44">
        <w:tc>
          <w:tcPr>
            <w:tcW w:w="1418" w:type="dxa"/>
            <w:shd w:val="clear" w:color="auto" w:fill="auto"/>
          </w:tcPr>
          <w:p w:rsidR="00180B44" w:rsidRPr="00A530E1" w:rsidRDefault="00180B44" w:rsidP="001441EB">
            <w:pPr>
              <w:spacing w:before="40" w:after="40" w:line="220" w:lineRule="exact"/>
              <w:ind w:right="113"/>
              <w:rPr>
                <w:sz w:val="18"/>
                <w:szCs w:val="16"/>
              </w:rPr>
            </w:pPr>
            <w:r w:rsidRPr="00A530E1">
              <w:rPr>
                <w:sz w:val="18"/>
                <w:szCs w:val="16"/>
              </w:rPr>
              <w:t>Callao</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97 763</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4.34</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125</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0.01</w:t>
            </w:r>
          </w:p>
        </w:tc>
        <w:tc>
          <w:tcPr>
            <w:tcW w:w="992" w:type="dxa"/>
            <w:shd w:val="clear" w:color="auto" w:fill="auto"/>
            <w:vAlign w:val="bottom"/>
          </w:tcPr>
          <w:p w:rsidR="00180B44" w:rsidRPr="00A530E1" w:rsidRDefault="00180B44" w:rsidP="001441EB">
            <w:pPr>
              <w:spacing w:before="40" w:after="40" w:line="220" w:lineRule="exact"/>
              <w:ind w:right="113"/>
              <w:jc w:val="right"/>
              <w:rPr>
                <w:b/>
                <w:sz w:val="18"/>
                <w:szCs w:val="16"/>
              </w:rPr>
            </w:pPr>
            <w:r w:rsidRPr="00A530E1">
              <w:rPr>
                <w:b/>
                <w:sz w:val="18"/>
                <w:szCs w:val="16"/>
              </w:rPr>
              <w:t>97 888</w:t>
            </w:r>
          </w:p>
        </w:tc>
        <w:tc>
          <w:tcPr>
            <w:tcW w:w="992" w:type="dxa"/>
            <w:shd w:val="clear" w:color="auto" w:fill="auto"/>
            <w:vAlign w:val="bottom"/>
          </w:tcPr>
          <w:p w:rsidR="00180B44" w:rsidRPr="00A530E1" w:rsidRDefault="00180B44" w:rsidP="001441EB">
            <w:pPr>
              <w:spacing w:before="40" w:after="40" w:line="220" w:lineRule="exact"/>
              <w:ind w:right="113"/>
              <w:jc w:val="right"/>
              <w:rPr>
                <w:b/>
                <w:sz w:val="18"/>
                <w:szCs w:val="16"/>
              </w:rPr>
            </w:pPr>
            <w:r w:rsidRPr="00A530E1">
              <w:rPr>
                <w:b/>
                <w:sz w:val="18"/>
                <w:szCs w:val="16"/>
              </w:rPr>
              <w:t>2.79</w:t>
            </w:r>
          </w:p>
        </w:tc>
      </w:tr>
      <w:tr w:rsidR="00180B44" w:rsidRPr="00A530E1" w:rsidTr="00180B44">
        <w:tc>
          <w:tcPr>
            <w:tcW w:w="1418" w:type="dxa"/>
            <w:shd w:val="clear" w:color="auto" w:fill="auto"/>
          </w:tcPr>
          <w:p w:rsidR="00180B44" w:rsidRPr="00A530E1" w:rsidRDefault="00180B44" w:rsidP="001441EB">
            <w:pPr>
              <w:spacing w:before="40" w:after="40" w:line="220" w:lineRule="exact"/>
              <w:ind w:right="113"/>
              <w:rPr>
                <w:sz w:val="18"/>
                <w:szCs w:val="16"/>
              </w:rPr>
            </w:pPr>
            <w:r w:rsidRPr="00A530E1">
              <w:rPr>
                <w:sz w:val="18"/>
                <w:szCs w:val="16"/>
              </w:rPr>
              <w:t>San Martín</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54 288</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2.41</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31 434</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2.52</w:t>
            </w:r>
          </w:p>
        </w:tc>
        <w:tc>
          <w:tcPr>
            <w:tcW w:w="992" w:type="dxa"/>
            <w:shd w:val="clear" w:color="auto" w:fill="auto"/>
            <w:vAlign w:val="bottom"/>
          </w:tcPr>
          <w:p w:rsidR="00180B44" w:rsidRPr="00A530E1" w:rsidRDefault="00180B44" w:rsidP="001441EB">
            <w:pPr>
              <w:spacing w:before="40" w:after="40" w:line="220" w:lineRule="exact"/>
              <w:ind w:right="113"/>
              <w:jc w:val="right"/>
              <w:rPr>
                <w:b/>
                <w:sz w:val="18"/>
                <w:szCs w:val="16"/>
              </w:rPr>
            </w:pPr>
            <w:r w:rsidRPr="00A530E1">
              <w:rPr>
                <w:b/>
                <w:sz w:val="18"/>
                <w:szCs w:val="16"/>
              </w:rPr>
              <w:t>85 722</w:t>
            </w:r>
          </w:p>
        </w:tc>
        <w:tc>
          <w:tcPr>
            <w:tcW w:w="992" w:type="dxa"/>
            <w:shd w:val="clear" w:color="auto" w:fill="auto"/>
            <w:vAlign w:val="bottom"/>
          </w:tcPr>
          <w:p w:rsidR="00180B44" w:rsidRPr="00A530E1" w:rsidRDefault="00180B44" w:rsidP="001441EB">
            <w:pPr>
              <w:spacing w:before="40" w:after="40" w:line="220" w:lineRule="exact"/>
              <w:ind w:right="113"/>
              <w:jc w:val="right"/>
              <w:rPr>
                <w:b/>
                <w:sz w:val="18"/>
                <w:szCs w:val="16"/>
              </w:rPr>
            </w:pPr>
            <w:r w:rsidRPr="00A530E1">
              <w:rPr>
                <w:b/>
                <w:sz w:val="18"/>
                <w:szCs w:val="16"/>
              </w:rPr>
              <w:t>2.45</w:t>
            </w:r>
          </w:p>
        </w:tc>
      </w:tr>
      <w:tr w:rsidR="00180B44" w:rsidRPr="00A530E1" w:rsidTr="00180B44">
        <w:tc>
          <w:tcPr>
            <w:tcW w:w="1418" w:type="dxa"/>
            <w:shd w:val="clear" w:color="auto" w:fill="auto"/>
          </w:tcPr>
          <w:p w:rsidR="00180B44" w:rsidRPr="00A530E1" w:rsidRDefault="00180B44" w:rsidP="001441EB">
            <w:pPr>
              <w:spacing w:before="40" w:after="40" w:line="220" w:lineRule="exact"/>
              <w:ind w:right="113"/>
              <w:rPr>
                <w:sz w:val="18"/>
                <w:szCs w:val="16"/>
              </w:rPr>
            </w:pPr>
            <w:r w:rsidRPr="00A530E1">
              <w:rPr>
                <w:sz w:val="18"/>
                <w:szCs w:val="16"/>
              </w:rPr>
              <w:t>Apurimac</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26 355</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1.17</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58 628</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4.70</w:t>
            </w:r>
          </w:p>
        </w:tc>
        <w:tc>
          <w:tcPr>
            <w:tcW w:w="992" w:type="dxa"/>
            <w:shd w:val="clear" w:color="auto" w:fill="auto"/>
            <w:vAlign w:val="bottom"/>
          </w:tcPr>
          <w:p w:rsidR="00180B44" w:rsidRPr="00A530E1" w:rsidRDefault="00180B44" w:rsidP="001441EB">
            <w:pPr>
              <w:spacing w:before="40" w:after="40" w:line="220" w:lineRule="exact"/>
              <w:ind w:right="113"/>
              <w:jc w:val="right"/>
              <w:rPr>
                <w:b/>
                <w:sz w:val="18"/>
                <w:szCs w:val="16"/>
              </w:rPr>
            </w:pPr>
            <w:r w:rsidRPr="00A530E1">
              <w:rPr>
                <w:b/>
                <w:sz w:val="18"/>
                <w:szCs w:val="16"/>
              </w:rPr>
              <w:t>84 983</w:t>
            </w:r>
          </w:p>
        </w:tc>
        <w:tc>
          <w:tcPr>
            <w:tcW w:w="992" w:type="dxa"/>
            <w:shd w:val="clear" w:color="auto" w:fill="auto"/>
            <w:vAlign w:val="bottom"/>
          </w:tcPr>
          <w:p w:rsidR="00180B44" w:rsidRPr="00A530E1" w:rsidRDefault="00180B44" w:rsidP="001441EB">
            <w:pPr>
              <w:spacing w:before="40" w:after="40" w:line="220" w:lineRule="exact"/>
              <w:ind w:right="113"/>
              <w:jc w:val="right"/>
              <w:rPr>
                <w:b/>
                <w:sz w:val="18"/>
                <w:szCs w:val="16"/>
              </w:rPr>
            </w:pPr>
            <w:r w:rsidRPr="00A530E1">
              <w:rPr>
                <w:b/>
                <w:sz w:val="18"/>
                <w:szCs w:val="16"/>
              </w:rPr>
              <w:t>2.43</w:t>
            </w:r>
          </w:p>
        </w:tc>
      </w:tr>
      <w:tr w:rsidR="00180B44" w:rsidRPr="00A530E1" w:rsidTr="00180B44">
        <w:tc>
          <w:tcPr>
            <w:tcW w:w="1418" w:type="dxa"/>
            <w:shd w:val="clear" w:color="auto" w:fill="auto"/>
          </w:tcPr>
          <w:p w:rsidR="00180B44" w:rsidRPr="00A530E1" w:rsidRDefault="00180B44" w:rsidP="001441EB">
            <w:pPr>
              <w:spacing w:before="40" w:after="40" w:line="220" w:lineRule="exact"/>
              <w:ind w:right="113"/>
              <w:rPr>
                <w:sz w:val="18"/>
                <w:szCs w:val="16"/>
              </w:rPr>
            </w:pPr>
            <w:r w:rsidRPr="00A530E1">
              <w:rPr>
                <w:sz w:val="18"/>
                <w:szCs w:val="16"/>
              </w:rPr>
              <w:t>Huancavelica</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20 724</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0.92</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47 900</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3.84</w:t>
            </w:r>
          </w:p>
        </w:tc>
        <w:tc>
          <w:tcPr>
            <w:tcW w:w="992" w:type="dxa"/>
            <w:shd w:val="clear" w:color="auto" w:fill="auto"/>
            <w:vAlign w:val="bottom"/>
          </w:tcPr>
          <w:p w:rsidR="00180B44" w:rsidRPr="00A530E1" w:rsidRDefault="00180B44" w:rsidP="001441EB">
            <w:pPr>
              <w:spacing w:before="40" w:after="40" w:line="220" w:lineRule="exact"/>
              <w:ind w:right="113"/>
              <w:jc w:val="right"/>
              <w:rPr>
                <w:b/>
                <w:sz w:val="18"/>
                <w:szCs w:val="16"/>
              </w:rPr>
            </w:pPr>
            <w:r w:rsidRPr="00A530E1">
              <w:rPr>
                <w:b/>
                <w:sz w:val="18"/>
                <w:szCs w:val="16"/>
              </w:rPr>
              <w:t>68 624</w:t>
            </w:r>
          </w:p>
        </w:tc>
        <w:tc>
          <w:tcPr>
            <w:tcW w:w="992" w:type="dxa"/>
            <w:shd w:val="clear" w:color="auto" w:fill="auto"/>
            <w:vAlign w:val="bottom"/>
          </w:tcPr>
          <w:p w:rsidR="00180B44" w:rsidRPr="00A530E1" w:rsidRDefault="00180B44" w:rsidP="001441EB">
            <w:pPr>
              <w:spacing w:before="40" w:after="40" w:line="220" w:lineRule="exact"/>
              <w:ind w:right="113"/>
              <w:jc w:val="right"/>
              <w:rPr>
                <w:b/>
                <w:sz w:val="18"/>
                <w:szCs w:val="16"/>
              </w:rPr>
            </w:pPr>
            <w:r w:rsidRPr="00A530E1">
              <w:rPr>
                <w:b/>
                <w:sz w:val="18"/>
                <w:szCs w:val="16"/>
              </w:rPr>
              <w:t>1.96</w:t>
            </w:r>
          </w:p>
        </w:tc>
      </w:tr>
      <w:tr w:rsidR="00180B44" w:rsidRPr="00A530E1" w:rsidTr="00180B44">
        <w:tc>
          <w:tcPr>
            <w:tcW w:w="1418" w:type="dxa"/>
            <w:shd w:val="clear" w:color="auto" w:fill="auto"/>
          </w:tcPr>
          <w:p w:rsidR="00180B44" w:rsidRPr="00A530E1" w:rsidRDefault="00180B44" w:rsidP="001441EB">
            <w:pPr>
              <w:spacing w:before="40" w:after="40" w:line="220" w:lineRule="exact"/>
              <w:ind w:right="113"/>
              <w:rPr>
                <w:sz w:val="18"/>
                <w:szCs w:val="16"/>
              </w:rPr>
            </w:pPr>
            <w:r w:rsidRPr="00A530E1">
              <w:rPr>
                <w:sz w:val="18"/>
                <w:szCs w:val="16"/>
              </w:rPr>
              <w:t>Ica</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55 189</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2.45</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10 728</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0.86</w:t>
            </w:r>
          </w:p>
        </w:tc>
        <w:tc>
          <w:tcPr>
            <w:tcW w:w="992" w:type="dxa"/>
            <w:shd w:val="clear" w:color="auto" w:fill="auto"/>
            <w:vAlign w:val="bottom"/>
          </w:tcPr>
          <w:p w:rsidR="00180B44" w:rsidRPr="00A530E1" w:rsidRDefault="00180B44" w:rsidP="001441EB">
            <w:pPr>
              <w:spacing w:before="40" w:after="40" w:line="220" w:lineRule="exact"/>
              <w:ind w:right="113"/>
              <w:jc w:val="right"/>
              <w:rPr>
                <w:b/>
                <w:sz w:val="18"/>
                <w:szCs w:val="16"/>
              </w:rPr>
            </w:pPr>
            <w:r w:rsidRPr="00A530E1">
              <w:rPr>
                <w:b/>
                <w:sz w:val="18"/>
                <w:szCs w:val="16"/>
              </w:rPr>
              <w:t>65 916</w:t>
            </w:r>
          </w:p>
        </w:tc>
        <w:tc>
          <w:tcPr>
            <w:tcW w:w="992" w:type="dxa"/>
            <w:shd w:val="clear" w:color="auto" w:fill="auto"/>
            <w:vAlign w:val="bottom"/>
          </w:tcPr>
          <w:p w:rsidR="00180B44" w:rsidRPr="00A530E1" w:rsidRDefault="00180B44" w:rsidP="001441EB">
            <w:pPr>
              <w:spacing w:before="40" w:after="40" w:line="220" w:lineRule="exact"/>
              <w:ind w:right="113"/>
              <w:jc w:val="right"/>
              <w:rPr>
                <w:b/>
                <w:sz w:val="18"/>
                <w:szCs w:val="16"/>
              </w:rPr>
            </w:pPr>
            <w:r w:rsidRPr="00A530E1">
              <w:rPr>
                <w:b/>
                <w:sz w:val="18"/>
                <w:szCs w:val="16"/>
              </w:rPr>
              <w:t>1.88</w:t>
            </w:r>
          </w:p>
        </w:tc>
      </w:tr>
      <w:tr w:rsidR="00180B44" w:rsidRPr="00A530E1" w:rsidTr="00180B44">
        <w:tc>
          <w:tcPr>
            <w:tcW w:w="1418" w:type="dxa"/>
            <w:shd w:val="clear" w:color="auto" w:fill="auto"/>
          </w:tcPr>
          <w:p w:rsidR="00180B44" w:rsidRPr="00A530E1" w:rsidRDefault="00180B44" w:rsidP="001441EB">
            <w:pPr>
              <w:spacing w:before="40" w:after="40" w:line="220" w:lineRule="exact"/>
              <w:ind w:right="113"/>
              <w:rPr>
                <w:sz w:val="18"/>
                <w:szCs w:val="16"/>
              </w:rPr>
            </w:pPr>
            <w:r w:rsidRPr="00A530E1">
              <w:rPr>
                <w:sz w:val="18"/>
                <w:szCs w:val="16"/>
              </w:rPr>
              <w:t>Amazonas</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19 598</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0.87</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34 179</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2.74</w:t>
            </w:r>
          </w:p>
        </w:tc>
        <w:tc>
          <w:tcPr>
            <w:tcW w:w="992" w:type="dxa"/>
            <w:shd w:val="clear" w:color="auto" w:fill="auto"/>
            <w:vAlign w:val="bottom"/>
          </w:tcPr>
          <w:p w:rsidR="00180B44" w:rsidRPr="00A530E1" w:rsidRDefault="00180B44" w:rsidP="001441EB">
            <w:pPr>
              <w:spacing w:before="40" w:after="40" w:line="220" w:lineRule="exact"/>
              <w:ind w:right="113"/>
              <w:jc w:val="right"/>
              <w:rPr>
                <w:b/>
                <w:sz w:val="18"/>
                <w:szCs w:val="16"/>
              </w:rPr>
            </w:pPr>
            <w:r w:rsidRPr="00A530E1">
              <w:rPr>
                <w:b/>
                <w:sz w:val="18"/>
                <w:szCs w:val="16"/>
              </w:rPr>
              <w:t>53 776</w:t>
            </w:r>
          </w:p>
        </w:tc>
        <w:tc>
          <w:tcPr>
            <w:tcW w:w="992" w:type="dxa"/>
            <w:shd w:val="clear" w:color="auto" w:fill="auto"/>
            <w:vAlign w:val="bottom"/>
          </w:tcPr>
          <w:p w:rsidR="00180B44" w:rsidRPr="00A530E1" w:rsidRDefault="00180B44" w:rsidP="001441EB">
            <w:pPr>
              <w:spacing w:before="40" w:after="40" w:line="220" w:lineRule="exact"/>
              <w:ind w:right="113"/>
              <w:jc w:val="right"/>
              <w:rPr>
                <w:b/>
                <w:sz w:val="18"/>
                <w:szCs w:val="16"/>
              </w:rPr>
            </w:pPr>
            <w:r w:rsidRPr="00A530E1">
              <w:rPr>
                <w:b/>
                <w:sz w:val="18"/>
                <w:szCs w:val="16"/>
              </w:rPr>
              <w:t>1.54</w:t>
            </w:r>
          </w:p>
        </w:tc>
      </w:tr>
      <w:tr w:rsidR="00180B44" w:rsidRPr="00A530E1" w:rsidTr="00180B44">
        <w:tc>
          <w:tcPr>
            <w:tcW w:w="1418" w:type="dxa"/>
            <w:shd w:val="clear" w:color="auto" w:fill="auto"/>
          </w:tcPr>
          <w:p w:rsidR="00180B44" w:rsidRPr="00A530E1" w:rsidRDefault="00180B44" w:rsidP="001441EB">
            <w:pPr>
              <w:spacing w:before="40" w:after="40" w:line="220" w:lineRule="exact"/>
              <w:ind w:right="113"/>
              <w:rPr>
                <w:sz w:val="18"/>
                <w:szCs w:val="16"/>
              </w:rPr>
            </w:pPr>
            <w:r w:rsidRPr="00A530E1">
              <w:rPr>
                <w:sz w:val="18"/>
                <w:szCs w:val="16"/>
              </w:rPr>
              <w:t>Ucayali</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28 608</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1.27</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14 470</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1.16</w:t>
            </w:r>
          </w:p>
        </w:tc>
        <w:tc>
          <w:tcPr>
            <w:tcW w:w="992" w:type="dxa"/>
            <w:shd w:val="clear" w:color="auto" w:fill="auto"/>
            <w:vAlign w:val="bottom"/>
          </w:tcPr>
          <w:p w:rsidR="00180B44" w:rsidRPr="00A530E1" w:rsidRDefault="00180B44" w:rsidP="001441EB">
            <w:pPr>
              <w:spacing w:before="40" w:after="40" w:line="220" w:lineRule="exact"/>
              <w:ind w:right="113"/>
              <w:jc w:val="right"/>
              <w:rPr>
                <w:b/>
                <w:sz w:val="18"/>
                <w:szCs w:val="16"/>
              </w:rPr>
            </w:pPr>
            <w:r w:rsidRPr="00A530E1">
              <w:rPr>
                <w:b/>
                <w:sz w:val="18"/>
                <w:szCs w:val="16"/>
              </w:rPr>
              <w:t>43 078</w:t>
            </w:r>
          </w:p>
        </w:tc>
        <w:tc>
          <w:tcPr>
            <w:tcW w:w="992" w:type="dxa"/>
            <w:shd w:val="clear" w:color="auto" w:fill="auto"/>
            <w:vAlign w:val="bottom"/>
          </w:tcPr>
          <w:p w:rsidR="00180B44" w:rsidRPr="00A530E1" w:rsidRDefault="00180B44" w:rsidP="001441EB">
            <w:pPr>
              <w:spacing w:before="40" w:after="40" w:line="220" w:lineRule="exact"/>
              <w:ind w:right="113"/>
              <w:jc w:val="right"/>
              <w:rPr>
                <w:b/>
                <w:sz w:val="18"/>
                <w:szCs w:val="16"/>
              </w:rPr>
            </w:pPr>
            <w:r w:rsidRPr="00A530E1">
              <w:rPr>
                <w:b/>
                <w:sz w:val="18"/>
                <w:szCs w:val="16"/>
              </w:rPr>
              <w:t>1.23</w:t>
            </w:r>
          </w:p>
        </w:tc>
      </w:tr>
      <w:tr w:rsidR="00180B44" w:rsidRPr="00A530E1" w:rsidTr="00180B44">
        <w:tc>
          <w:tcPr>
            <w:tcW w:w="1418" w:type="dxa"/>
            <w:shd w:val="clear" w:color="auto" w:fill="auto"/>
          </w:tcPr>
          <w:p w:rsidR="00180B44" w:rsidRPr="00A530E1" w:rsidRDefault="00180B44" w:rsidP="001441EB">
            <w:pPr>
              <w:spacing w:before="40" w:after="40" w:line="220" w:lineRule="exact"/>
              <w:ind w:right="113"/>
              <w:rPr>
                <w:sz w:val="18"/>
                <w:szCs w:val="16"/>
              </w:rPr>
            </w:pPr>
            <w:r w:rsidRPr="00A530E1">
              <w:rPr>
                <w:sz w:val="18"/>
                <w:szCs w:val="16"/>
              </w:rPr>
              <w:t>Pasco</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23 652</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1.05</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16 715</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1.34</w:t>
            </w:r>
          </w:p>
        </w:tc>
        <w:tc>
          <w:tcPr>
            <w:tcW w:w="992" w:type="dxa"/>
            <w:shd w:val="clear" w:color="auto" w:fill="auto"/>
            <w:vAlign w:val="bottom"/>
          </w:tcPr>
          <w:p w:rsidR="00180B44" w:rsidRPr="00A530E1" w:rsidRDefault="00180B44" w:rsidP="001441EB">
            <w:pPr>
              <w:spacing w:before="40" w:after="40" w:line="220" w:lineRule="exact"/>
              <w:ind w:right="113"/>
              <w:jc w:val="right"/>
              <w:rPr>
                <w:b/>
                <w:sz w:val="18"/>
                <w:szCs w:val="16"/>
              </w:rPr>
            </w:pPr>
            <w:r w:rsidRPr="00A530E1">
              <w:rPr>
                <w:b/>
                <w:sz w:val="18"/>
                <w:szCs w:val="16"/>
              </w:rPr>
              <w:t>40 367</w:t>
            </w:r>
          </w:p>
        </w:tc>
        <w:tc>
          <w:tcPr>
            <w:tcW w:w="992" w:type="dxa"/>
            <w:shd w:val="clear" w:color="auto" w:fill="auto"/>
            <w:vAlign w:val="bottom"/>
          </w:tcPr>
          <w:p w:rsidR="00180B44" w:rsidRPr="00A530E1" w:rsidRDefault="00180B44" w:rsidP="001441EB">
            <w:pPr>
              <w:spacing w:before="40" w:after="40" w:line="220" w:lineRule="exact"/>
              <w:ind w:right="113"/>
              <w:jc w:val="right"/>
              <w:rPr>
                <w:b/>
                <w:sz w:val="18"/>
                <w:szCs w:val="16"/>
              </w:rPr>
            </w:pPr>
            <w:r w:rsidRPr="00A530E1">
              <w:rPr>
                <w:b/>
                <w:sz w:val="18"/>
                <w:szCs w:val="16"/>
              </w:rPr>
              <w:t>1.15</w:t>
            </w:r>
          </w:p>
        </w:tc>
      </w:tr>
      <w:tr w:rsidR="00180B44" w:rsidRPr="00A530E1" w:rsidTr="00180B44">
        <w:tc>
          <w:tcPr>
            <w:tcW w:w="1418" w:type="dxa"/>
            <w:shd w:val="clear" w:color="auto" w:fill="auto"/>
          </w:tcPr>
          <w:p w:rsidR="00180B44" w:rsidRPr="00A530E1" w:rsidRDefault="00180B44" w:rsidP="001441EB">
            <w:pPr>
              <w:spacing w:before="40" w:after="40" w:line="220" w:lineRule="exact"/>
              <w:ind w:right="113"/>
              <w:rPr>
                <w:sz w:val="18"/>
                <w:szCs w:val="16"/>
              </w:rPr>
            </w:pPr>
            <w:r w:rsidRPr="00A530E1">
              <w:rPr>
                <w:sz w:val="18"/>
                <w:szCs w:val="16"/>
              </w:rPr>
              <w:t xml:space="preserve">Tacna </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24 328</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1.08</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3 867</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0.31</w:t>
            </w:r>
          </w:p>
        </w:tc>
        <w:tc>
          <w:tcPr>
            <w:tcW w:w="992" w:type="dxa"/>
            <w:shd w:val="clear" w:color="auto" w:fill="auto"/>
            <w:vAlign w:val="bottom"/>
          </w:tcPr>
          <w:p w:rsidR="00180B44" w:rsidRPr="00A530E1" w:rsidRDefault="00180B44" w:rsidP="001441EB">
            <w:pPr>
              <w:spacing w:before="40" w:after="40" w:line="220" w:lineRule="exact"/>
              <w:ind w:right="113"/>
              <w:jc w:val="right"/>
              <w:rPr>
                <w:b/>
                <w:sz w:val="18"/>
                <w:szCs w:val="16"/>
              </w:rPr>
            </w:pPr>
            <w:r w:rsidRPr="00A530E1">
              <w:rPr>
                <w:b/>
                <w:sz w:val="18"/>
                <w:szCs w:val="16"/>
              </w:rPr>
              <w:t>28 195</w:t>
            </w:r>
          </w:p>
        </w:tc>
        <w:tc>
          <w:tcPr>
            <w:tcW w:w="992" w:type="dxa"/>
            <w:shd w:val="clear" w:color="auto" w:fill="auto"/>
            <w:vAlign w:val="bottom"/>
          </w:tcPr>
          <w:p w:rsidR="00180B44" w:rsidRPr="00A530E1" w:rsidRDefault="00180B44" w:rsidP="001441EB">
            <w:pPr>
              <w:spacing w:before="40" w:after="40" w:line="220" w:lineRule="exact"/>
              <w:ind w:right="113"/>
              <w:jc w:val="right"/>
              <w:rPr>
                <w:b/>
                <w:sz w:val="18"/>
                <w:szCs w:val="16"/>
              </w:rPr>
            </w:pPr>
            <w:r w:rsidRPr="00A530E1">
              <w:rPr>
                <w:b/>
                <w:sz w:val="18"/>
                <w:szCs w:val="16"/>
              </w:rPr>
              <w:t>0.81</w:t>
            </w:r>
          </w:p>
        </w:tc>
      </w:tr>
      <w:tr w:rsidR="00180B44" w:rsidRPr="00A530E1" w:rsidTr="00180B44">
        <w:tc>
          <w:tcPr>
            <w:tcW w:w="1418" w:type="dxa"/>
            <w:shd w:val="clear" w:color="auto" w:fill="auto"/>
          </w:tcPr>
          <w:p w:rsidR="00180B44" w:rsidRPr="00A530E1" w:rsidRDefault="00180B44" w:rsidP="001441EB">
            <w:pPr>
              <w:spacing w:before="40" w:after="40" w:line="220" w:lineRule="exact"/>
              <w:ind w:right="113"/>
              <w:rPr>
                <w:sz w:val="18"/>
                <w:szCs w:val="16"/>
              </w:rPr>
            </w:pPr>
            <w:r w:rsidRPr="00A530E1">
              <w:rPr>
                <w:sz w:val="18"/>
                <w:szCs w:val="16"/>
              </w:rPr>
              <w:t>Tumbes</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19 147</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0.85</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2 370</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0.19</w:t>
            </w:r>
          </w:p>
        </w:tc>
        <w:tc>
          <w:tcPr>
            <w:tcW w:w="992" w:type="dxa"/>
            <w:shd w:val="clear" w:color="auto" w:fill="auto"/>
            <w:vAlign w:val="bottom"/>
          </w:tcPr>
          <w:p w:rsidR="00180B44" w:rsidRPr="00A530E1" w:rsidRDefault="00180B44" w:rsidP="001441EB">
            <w:pPr>
              <w:spacing w:before="40" w:after="40" w:line="220" w:lineRule="exact"/>
              <w:ind w:right="113"/>
              <w:jc w:val="right"/>
              <w:rPr>
                <w:b/>
                <w:sz w:val="18"/>
                <w:szCs w:val="16"/>
              </w:rPr>
            </w:pPr>
            <w:r w:rsidRPr="00A530E1">
              <w:rPr>
                <w:b/>
                <w:sz w:val="18"/>
                <w:szCs w:val="16"/>
              </w:rPr>
              <w:t>21 517</w:t>
            </w:r>
          </w:p>
        </w:tc>
        <w:tc>
          <w:tcPr>
            <w:tcW w:w="992" w:type="dxa"/>
            <w:shd w:val="clear" w:color="auto" w:fill="auto"/>
            <w:vAlign w:val="bottom"/>
          </w:tcPr>
          <w:p w:rsidR="00180B44" w:rsidRPr="00A530E1" w:rsidRDefault="00180B44" w:rsidP="001441EB">
            <w:pPr>
              <w:spacing w:before="40" w:after="40" w:line="220" w:lineRule="exact"/>
              <w:ind w:right="113"/>
              <w:jc w:val="right"/>
              <w:rPr>
                <w:b/>
                <w:sz w:val="18"/>
                <w:szCs w:val="16"/>
              </w:rPr>
            </w:pPr>
            <w:r w:rsidRPr="00A530E1">
              <w:rPr>
                <w:b/>
                <w:sz w:val="18"/>
                <w:szCs w:val="16"/>
              </w:rPr>
              <w:t>0.62</w:t>
            </w:r>
          </w:p>
        </w:tc>
      </w:tr>
      <w:tr w:rsidR="00180B44" w:rsidRPr="00A530E1" w:rsidTr="00180B44">
        <w:tc>
          <w:tcPr>
            <w:tcW w:w="1418" w:type="dxa"/>
            <w:shd w:val="clear" w:color="auto" w:fill="auto"/>
          </w:tcPr>
          <w:p w:rsidR="00180B44" w:rsidRPr="00A530E1" w:rsidRDefault="00180B44" w:rsidP="001441EB">
            <w:pPr>
              <w:spacing w:before="40" w:after="40" w:line="220" w:lineRule="exact"/>
              <w:ind w:right="113"/>
              <w:rPr>
                <w:sz w:val="18"/>
                <w:szCs w:val="16"/>
              </w:rPr>
            </w:pPr>
            <w:r w:rsidRPr="00A530E1">
              <w:rPr>
                <w:sz w:val="18"/>
                <w:szCs w:val="16"/>
              </w:rPr>
              <w:t>Moquegua</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12 389</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0.55</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4 615</w:t>
            </w:r>
          </w:p>
        </w:tc>
        <w:tc>
          <w:tcPr>
            <w:tcW w:w="992" w:type="dxa"/>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0.37</w:t>
            </w:r>
          </w:p>
        </w:tc>
        <w:tc>
          <w:tcPr>
            <w:tcW w:w="992" w:type="dxa"/>
            <w:shd w:val="clear" w:color="auto" w:fill="auto"/>
            <w:vAlign w:val="bottom"/>
          </w:tcPr>
          <w:p w:rsidR="00180B44" w:rsidRPr="00A530E1" w:rsidRDefault="00180B44" w:rsidP="001441EB">
            <w:pPr>
              <w:spacing w:before="40" w:after="40" w:line="220" w:lineRule="exact"/>
              <w:ind w:right="113"/>
              <w:jc w:val="right"/>
              <w:rPr>
                <w:b/>
                <w:sz w:val="18"/>
                <w:szCs w:val="16"/>
              </w:rPr>
            </w:pPr>
            <w:r w:rsidRPr="00A530E1">
              <w:rPr>
                <w:b/>
                <w:sz w:val="18"/>
                <w:szCs w:val="16"/>
              </w:rPr>
              <w:t>17 005</w:t>
            </w:r>
          </w:p>
        </w:tc>
        <w:tc>
          <w:tcPr>
            <w:tcW w:w="992" w:type="dxa"/>
            <w:shd w:val="clear" w:color="auto" w:fill="auto"/>
            <w:vAlign w:val="bottom"/>
          </w:tcPr>
          <w:p w:rsidR="00180B44" w:rsidRPr="00A530E1" w:rsidRDefault="00180B44" w:rsidP="001441EB">
            <w:pPr>
              <w:spacing w:before="40" w:after="40" w:line="220" w:lineRule="exact"/>
              <w:ind w:right="113"/>
              <w:jc w:val="right"/>
              <w:rPr>
                <w:b/>
                <w:sz w:val="18"/>
                <w:szCs w:val="16"/>
              </w:rPr>
            </w:pPr>
            <w:r w:rsidRPr="00A530E1">
              <w:rPr>
                <w:b/>
                <w:sz w:val="18"/>
                <w:szCs w:val="16"/>
              </w:rPr>
              <w:t>0.49</w:t>
            </w:r>
          </w:p>
        </w:tc>
      </w:tr>
      <w:tr w:rsidR="00180B44" w:rsidRPr="00A530E1" w:rsidTr="00180B44">
        <w:tc>
          <w:tcPr>
            <w:tcW w:w="1418" w:type="dxa"/>
            <w:tcBorders>
              <w:bottom w:val="single" w:sz="4" w:space="0" w:color="auto"/>
            </w:tcBorders>
            <w:shd w:val="clear" w:color="auto" w:fill="auto"/>
          </w:tcPr>
          <w:p w:rsidR="00180B44" w:rsidRPr="00A530E1" w:rsidRDefault="00180B44" w:rsidP="001441EB">
            <w:pPr>
              <w:spacing w:before="40" w:after="40" w:line="220" w:lineRule="exact"/>
              <w:ind w:right="113"/>
              <w:rPr>
                <w:sz w:val="18"/>
                <w:szCs w:val="16"/>
              </w:rPr>
            </w:pPr>
            <w:r w:rsidRPr="00A530E1">
              <w:rPr>
                <w:sz w:val="18"/>
                <w:szCs w:val="16"/>
              </w:rPr>
              <w:t>Madre de Dios</w:t>
            </w:r>
          </w:p>
        </w:tc>
        <w:tc>
          <w:tcPr>
            <w:tcW w:w="992" w:type="dxa"/>
            <w:tcBorders>
              <w:bottom w:val="single" w:sz="4" w:space="0" w:color="auto"/>
            </w:tcBorders>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5 632</w:t>
            </w:r>
          </w:p>
        </w:tc>
        <w:tc>
          <w:tcPr>
            <w:tcW w:w="992" w:type="dxa"/>
            <w:tcBorders>
              <w:bottom w:val="single" w:sz="4" w:space="0" w:color="auto"/>
            </w:tcBorders>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0.25</w:t>
            </w:r>
          </w:p>
        </w:tc>
        <w:tc>
          <w:tcPr>
            <w:tcW w:w="992" w:type="dxa"/>
            <w:tcBorders>
              <w:bottom w:val="single" w:sz="4" w:space="0" w:color="auto"/>
            </w:tcBorders>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3 119</w:t>
            </w:r>
          </w:p>
        </w:tc>
        <w:tc>
          <w:tcPr>
            <w:tcW w:w="992" w:type="dxa"/>
            <w:tcBorders>
              <w:bottom w:val="single" w:sz="4" w:space="0" w:color="auto"/>
            </w:tcBorders>
            <w:shd w:val="clear" w:color="auto" w:fill="auto"/>
            <w:vAlign w:val="bottom"/>
          </w:tcPr>
          <w:p w:rsidR="00180B44" w:rsidRPr="00A530E1" w:rsidRDefault="00180B44" w:rsidP="001441EB">
            <w:pPr>
              <w:spacing w:before="40" w:after="40" w:line="220" w:lineRule="exact"/>
              <w:ind w:right="113"/>
              <w:jc w:val="right"/>
              <w:rPr>
                <w:sz w:val="18"/>
                <w:szCs w:val="16"/>
              </w:rPr>
            </w:pPr>
            <w:r w:rsidRPr="00A530E1">
              <w:rPr>
                <w:sz w:val="18"/>
                <w:szCs w:val="16"/>
              </w:rPr>
              <w:t>0.25</w:t>
            </w:r>
          </w:p>
        </w:tc>
        <w:tc>
          <w:tcPr>
            <w:tcW w:w="992" w:type="dxa"/>
            <w:tcBorders>
              <w:bottom w:val="single" w:sz="4" w:space="0" w:color="auto"/>
            </w:tcBorders>
            <w:shd w:val="clear" w:color="auto" w:fill="auto"/>
            <w:vAlign w:val="bottom"/>
          </w:tcPr>
          <w:p w:rsidR="00180B44" w:rsidRPr="00A530E1" w:rsidRDefault="00180B44" w:rsidP="001441EB">
            <w:pPr>
              <w:spacing w:before="40" w:after="40" w:line="220" w:lineRule="exact"/>
              <w:ind w:right="113"/>
              <w:jc w:val="right"/>
              <w:rPr>
                <w:b/>
                <w:sz w:val="18"/>
                <w:szCs w:val="16"/>
              </w:rPr>
            </w:pPr>
            <w:r w:rsidRPr="00A530E1">
              <w:rPr>
                <w:b/>
                <w:sz w:val="18"/>
                <w:szCs w:val="16"/>
              </w:rPr>
              <w:t>8 750</w:t>
            </w:r>
          </w:p>
        </w:tc>
        <w:tc>
          <w:tcPr>
            <w:tcW w:w="992" w:type="dxa"/>
            <w:tcBorders>
              <w:bottom w:val="single" w:sz="4" w:space="0" w:color="auto"/>
            </w:tcBorders>
            <w:shd w:val="clear" w:color="auto" w:fill="auto"/>
            <w:vAlign w:val="bottom"/>
          </w:tcPr>
          <w:p w:rsidR="00180B44" w:rsidRPr="00A530E1" w:rsidRDefault="00180B44" w:rsidP="001441EB">
            <w:pPr>
              <w:spacing w:before="40" w:after="40" w:line="220" w:lineRule="exact"/>
              <w:ind w:right="113"/>
              <w:jc w:val="right"/>
              <w:rPr>
                <w:b/>
                <w:sz w:val="18"/>
                <w:szCs w:val="16"/>
              </w:rPr>
            </w:pPr>
            <w:r w:rsidRPr="00A530E1">
              <w:rPr>
                <w:b/>
                <w:sz w:val="18"/>
                <w:szCs w:val="16"/>
              </w:rPr>
              <w:t>0.25</w:t>
            </w:r>
          </w:p>
        </w:tc>
      </w:tr>
      <w:tr w:rsidR="00180B44" w:rsidRPr="00A530E1" w:rsidTr="00180B44">
        <w:tc>
          <w:tcPr>
            <w:tcW w:w="1418" w:type="dxa"/>
            <w:tcBorders>
              <w:top w:val="single" w:sz="4" w:space="0" w:color="auto"/>
              <w:bottom w:val="single" w:sz="12" w:space="0" w:color="auto"/>
            </w:tcBorders>
            <w:shd w:val="clear" w:color="auto" w:fill="auto"/>
          </w:tcPr>
          <w:p w:rsidR="00180B44" w:rsidRPr="00A530E1" w:rsidRDefault="00180B44" w:rsidP="003E4016">
            <w:pPr>
              <w:spacing w:before="80" w:after="80" w:line="220" w:lineRule="exact"/>
              <w:ind w:left="284" w:right="113"/>
              <w:rPr>
                <w:b/>
                <w:bCs/>
                <w:sz w:val="18"/>
                <w:szCs w:val="16"/>
              </w:rPr>
            </w:pPr>
            <w:r w:rsidRPr="00A530E1">
              <w:rPr>
                <w:b/>
                <w:bCs/>
                <w:sz w:val="18"/>
                <w:szCs w:val="16"/>
              </w:rPr>
              <w:t>Total</w:t>
            </w:r>
          </w:p>
        </w:tc>
        <w:tc>
          <w:tcPr>
            <w:tcW w:w="992" w:type="dxa"/>
            <w:tcBorders>
              <w:top w:val="single" w:sz="4" w:space="0" w:color="auto"/>
              <w:bottom w:val="single" w:sz="12" w:space="0" w:color="auto"/>
            </w:tcBorders>
            <w:shd w:val="clear" w:color="auto" w:fill="auto"/>
            <w:vAlign w:val="bottom"/>
          </w:tcPr>
          <w:p w:rsidR="00180B44" w:rsidRPr="00A530E1" w:rsidRDefault="00180B44" w:rsidP="001441EB">
            <w:pPr>
              <w:spacing w:before="80" w:after="80" w:line="220" w:lineRule="exact"/>
              <w:ind w:right="113"/>
              <w:jc w:val="right"/>
              <w:rPr>
                <w:b/>
                <w:sz w:val="18"/>
                <w:szCs w:val="16"/>
              </w:rPr>
            </w:pPr>
            <w:r w:rsidRPr="00A530E1">
              <w:rPr>
                <w:b/>
                <w:sz w:val="18"/>
                <w:szCs w:val="16"/>
              </w:rPr>
              <w:t>2 252 375</w:t>
            </w:r>
          </w:p>
        </w:tc>
        <w:tc>
          <w:tcPr>
            <w:tcW w:w="992" w:type="dxa"/>
            <w:tcBorders>
              <w:top w:val="single" w:sz="4" w:space="0" w:color="auto"/>
              <w:bottom w:val="single" w:sz="12" w:space="0" w:color="auto"/>
            </w:tcBorders>
            <w:shd w:val="clear" w:color="auto" w:fill="auto"/>
            <w:vAlign w:val="bottom"/>
          </w:tcPr>
          <w:p w:rsidR="00180B44" w:rsidRPr="00A530E1" w:rsidRDefault="00180B44" w:rsidP="001441EB">
            <w:pPr>
              <w:spacing w:before="80" w:after="80" w:line="220" w:lineRule="exact"/>
              <w:ind w:right="113"/>
              <w:jc w:val="right"/>
              <w:rPr>
                <w:b/>
                <w:sz w:val="18"/>
                <w:szCs w:val="16"/>
              </w:rPr>
            </w:pPr>
            <w:r w:rsidRPr="00A530E1">
              <w:rPr>
                <w:b/>
                <w:sz w:val="18"/>
                <w:szCs w:val="16"/>
              </w:rPr>
              <w:t>99.99</w:t>
            </w:r>
          </w:p>
        </w:tc>
        <w:tc>
          <w:tcPr>
            <w:tcW w:w="992" w:type="dxa"/>
            <w:tcBorders>
              <w:top w:val="single" w:sz="4" w:space="0" w:color="auto"/>
              <w:bottom w:val="single" w:sz="12" w:space="0" w:color="auto"/>
            </w:tcBorders>
            <w:shd w:val="clear" w:color="auto" w:fill="auto"/>
            <w:vAlign w:val="bottom"/>
          </w:tcPr>
          <w:p w:rsidR="00180B44" w:rsidRPr="00A530E1" w:rsidRDefault="00180B44" w:rsidP="001441EB">
            <w:pPr>
              <w:spacing w:before="80" w:after="80" w:line="220" w:lineRule="exact"/>
              <w:ind w:right="113"/>
              <w:jc w:val="right"/>
              <w:rPr>
                <w:b/>
                <w:sz w:val="18"/>
                <w:szCs w:val="16"/>
              </w:rPr>
            </w:pPr>
            <w:r w:rsidRPr="00A530E1">
              <w:rPr>
                <w:b/>
                <w:sz w:val="18"/>
                <w:szCs w:val="16"/>
              </w:rPr>
              <w:t>1 247 525</w:t>
            </w:r>
          </w:p>
        </w:tc>
        <w:tc>
          <w:tcPr>
            <w:tcW w:w="992" w:type="dxa"/>
            <w:tcBorders>
              <w:top w:val="single" w:sz="4" w:space="0" w:color="auto"/>
              <w:bottom w:val="single" w:sz="12" w:space="0" w:color="auto"/>
            </w:tcBorders>
            <w:shd w:val="clear" w:color="auto" w:fill="auto"/>
            <w:vAlign w:val="bottom"/>
          </w:tcPr>
          <w:p w:rsidR="00180B44" w:rsidRPr="00A530E1" w:rsidRDefault="00180B44" w:rsidP="001441EB">
            <w:pPr>
              <w:spacing w:before="80" w:after="80" w:line="220" w:lineRule="exact"/>
              <w:ind w:right="113"/>
              <w:jc w:val="right"/>
              <w:rPr>
                <w:b/>
                <w:sz w:val="18"/>
                <w:szCs w:val="16"/>
              </w:rPr>
            </w:pPr>
            <w:r w:rsidRPr="00A530E1">
              <w:rPr>
                <w:b/>
                <w:sz w:val="18"/>
                <w:szCs w:val="16"/>
              </w:rPr>
              <w:t>100.01</w:t>
            </w:r>
          </w:p>
        </w:tc>
        <w:tc>
          <w:tcPr>
            <w:tcW w:w="992" w:type="dxa"/>
            <w:tcBorders>
              <w:top w:val="single" w:sz="4" w:space="0" w:color="auto"/>
              <w:bottom w:val="single" w:sz="12" w:space="0" w:color="auto"/>
            </w:tcBorders>
            <w:shd w:val="clear" w:color="auto" w:fill="auto"/>
            <w:vAlign w:val="bottom"/>
          </w:tcPr>
          <w:p w:rsidR="00180B44" w:rsidRPr="00A530E1" w:rsidRDefault="00180B44" w:rsidP="001441EB">
            <w:pPr>
              <w:spacing w:before="80" w:after="80" w:line="220" w:lineRule="exact"/>
              <w:ind w:right="113"/>
              <w:jc w:val="right"/>
              <w:rPr>
                <w:b/>
                <w:sz w:val="18"/>
                <w:szCs w:val="16"/>
              </w:rPr>
            </w:pPr>
            <w:r w:rsidRPr="00A530E1">
              <w:rPr>
                <w:b/>
                <w:sz w:val="18"/>
                <w:szCs w:val="16"/>
              </w:rPr>
              <w:t>3 499 899</w:t>
            </w:r>
          </w:p>
        </w:tc>
        <w:tc>
          <w:tcPr>
            <w:tcW w:w="992" w:type="dxa"/>
            <w:tcBorders>
              <w:top w:val="single" w:sz="4" w:space="0" w:color="auto"/>
              <w:bottom w:val="single" w:sz="12" w:space="0" w:color="auto"/>
            </w:tcBorders>
            <w:shd w:val="clear" w:color="auto" w:fill="auto"/>
            <w:vAlign w:val="bottom"/>
          </w:tcPr>
          <w:p w:rsidR="00180B44" w:rsidRPr="00A530E1" w:rsidRDefault="00180B44" w:rsidP="001441EB">
            <w:pPr>
              <w:spacing w:before="80" w:after="80" w:line="220" w:lineRule="exact"/>
              <w:ind w:right="113"/>
              <w:jc w:val="right"/>
              <w:rPr>
                <w:b/>
                <w:sz w:val="18"/>
                <w:szCs w:val="16"/>
              </w:rPr>
            </w:pPr>
            <w:r w:rsidRPr="00A530E1">
              <w:rPr>
                <w:b/>
                <w:sz w:val="18"/>
                <w:szCs w:val="16"/>
              </w:rPr>
              <w:t>100.00</w:t>
            </w:r>
          </w:p>
        </w:tc>
      </w:tr>
    </w:tbl>
    <w:p w:rsidR="00180B44" w:rsidRPr="00A530E1" w:rsidRDefault="00180B44" w:rsidP="001441EB">
      <w:pPr>
        <w:pStyle w:val="SingleTxtG"/>
        <w:spacing w:before="240"/>
        <w:ind w:left="0" w:right="113"/>
      </w:pPr>
      <w:r w:rsidRPr="00A530E1">
        <w:t>43.</w:t>
      </w:r>
      <w:r w:rsidRPr="00A530E1">
        <w:tab/>
      </w:r>
      <w:r w:rsidRPr="00A530E1">
        <w:rPr>
          <w:b/>
        </w:rPr>
        <w:t>Disability, by age group and sex</w:t>
      </w:r>
      <w:r w:rsidRPr="00A530E1">
        <w:t>: The population group containing the largest proportion of persons with disabilities is the 60-and-over age group, with 39.9 per cent of the total, followed by the 40–59 age group (27.5 per cent). When breaking down the results by sex, there is a similar trend, with 39.7 per cent of men and 40.0 per cent of women aged 60 or over reporting some form of disability.</w:t>
      </w:r>
    </w:p>
    <w:p w:rsidR="00180B44" w:rsidRPr="00A530E1" w:rsidRDefault="00180B44" w:rsidP="00180B44">
      <w:pPr>
        <w:pStyle w:val="H23G"/>
        <w:spacing w:after="0"/>
      </w:pPr>
      <w:r w:rsidRPr="00A530E1">
        <w:tab/>
      </w:r>
      <w:r w:rsidRPr="00A530E1">
        <w:tab/>
        <w:t>Percentage of the population with a disability, by age group and sex, 2006</w:t>
      </w:r>
    </w:p>
    <w:p w:rsidR="00180B44" w:rsidRPr="00A530E1" w:rsidRDefault="00180B44" w:rsidP="00180B44">
      <w:pPr>
        <w:pStyle w:val="SingleTxtG"/>
        <w:rPr>
          <w:sz w:val="16"/>
          <w:szCs w:val="16"/>
        </w:rPr>
      </w:pPr>
      <w:r w:rsidRPr="00A530E1">
        <w:rPr>
          <w:sz w:val="16"/>
          <w:szCs w:val="16"/>
        </w:rPr>
        <w:t>(Percentage distribution)</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66"/>
        <w:gridCol w:w="700"/>
        <w:gridCol w:w="1100"/>
        <w:gridCol w:w="1100"/>
        <w:gridCol w:w="1100"/>
        <w:gridCol w:w="1100"/>
        <w:gridCol w:w="1200"/>
        <w:gridCol w:w="1239"/>
      </w:tblGrid>
      <w:tr w:rsidR="00010A8A" w:rsidRPr="00A530E1" w:rsidTr="00F16087">
        <w:trPr>
          <w:tblHeader/>
        </w:trPr>
        <w:tc>
          <w:tcPr>
            <w:tcW w:w="966" w:type="dxa"/>
            <w:tcBorders>
              <w:top w:val="single" w:sz="4" w:space="0" w:color="auto"/>
              <w:bottom w:val="single" w:sz="12" w:space="0" w:color="auto"/>
            </w:tcBorders>
            <w:shd w:val="clear" w:color="auto" w:fill="auto"/>
            <w:vAlign w:val="bottom"/>
          </w:tcPr>
          <w:p w:rsidR="00180B44" w:rsidRPr="00A530E1" w:rsidRDefault="00180B44" w:rsidP="00180B44">
            <w:pPr>
              <w:spacing w:before="80" w:after="80" w:line="200" w:lineRule="exact"/>
              <w:ind w:right="113"/>
              <w:rPr>
                <w:i/>
                <w:sz w:val="16"/>
              </w:rPr>
            </w:pPr>
            <w:r w:rsidRPr="00A530E1">
              <w:rPr>
                <w:i/>
                <w:sz w:val="16"/>
              </w:rPr>
              <w:t>Sex</w:t>
            </w:r>
          </w:p>
        </w:tc>
        <w:tc>
          <w:tcPr>
            <w:tcW w:w="700" w:type="dxa"/>
            <w:tcBorders>
              <w:top w:val="single" w:sz="4" w:space="0" w:color="auto"/>
              <w:bottom w:val="single" w:sz="12" w:space="0" w:color="auto"/>
            </w:tcBorders>
            <w:shd w:val="clear" w:color="auto" w:fill="auto"/>
            <w:vAlign w:val="bottom"/>
          </w:tcPr>
          <w:p w:rsidR="00180B44" w:rsidRPr="00A530E1" w:rsidRDefault="00180B44" w:rsidP="00180B44">
            <w:pPr>
              <w:spacing w:before="80" w:after="80" w:line="200" w:lineRule="exact"/>
              <w:ind w:right="113"/>
              <w:jc w:val="right"/>
              <w:rPr>
                <w:b/>
                <w:i/>
                <w:sz w:val="16"/>
              </w:rPr>
            </w:pPr>
            <w:r w:rsidRPr="00A530E1">
              <w:rPr>
                <w:b/>
                <w:i/>
                <w:sz w:val="16"/>
              </w:rPr>
              <w:t>Total</w:t>
            </w:r>
          </w:p>
        </w:tc>
        <w:tc>
          <w:tcPr>
            <w:tcW w:w="1100" w:type="dxa"/>
            <w:tcBorders>
              <w:top w:val="single" w:sz="4" w:space="0" w:color="auto"/>
              <w:bottom w:val="single" w:sz="12" w:space="0" w:color="auto"/>
            </w:tcBorders>
            <w:shd w:val="clear" w:color="auto" w:fill="auto"/>
            <w:vAlign w:val="bottom"/>
          </w:tcPr>
          <w:p w:rsidR="00180B44" w:rsidRPr="00A530E1" w:rsidRDefault="00180B44" w:rsidP="00180B44">
            <w:pPr>
              <w:spacing w:before="80" w:after="80" w:line="200" w:lineRule="exact"/>
              <w:ind w:right="113"/>
              <w:jc w:val="right"/>
              <w:rPr>
                <w:i/>
                <w:sz w:val="16"/>
              </w:rPr>
            </w:pPr>
            <w:r w:rsidRPr="00A530E1">
              <w:rPr>
                <w:i/>
                <w:sz w:val="16"/>
              </w:rPr>
              <w:t>Up to 11 years</w:t>
            </w:r>
          </w:p>
        </w:tc>
        <w:tc>
          <w:tcPr>
            <w:tcW w:w="1100" w:type="dxa"/>
            <w:tcBorders>
              <w:top w:val="single" w:sz="4" w:space="0" w:color="auto"/>
              <w:bottom w:val="single" w:sz="12" w:space="0" w:color="auto"/>
            </w:tcBorders>
            <w:shd w:val="clear" w:color="auto" w:fill="auto"/>
            <w:vAlign w:val="bottom"/>
          </w:tcPr>
          <w:p w:rsidR="00180B44" w:rsidRPr="00A530E1" w:rsidRDefault="00180B44" w:rsidP="00180B44">
            <w:pPr>
              <w:spacing w:before="80" w:after="80" w:line="200" w:lineRule="exact"/>
              <w:ind w:right="113"/>
              <w:jc w:val="right"/>
              <w:rPr>
                <w:i/>
                <w:sz w:val="16"/>
              </w:rPr>
            </w:pPr>
            <w:r w:rsidRPr="00A530E1">
              <w:rPr>
                <w:i/>
                <w:sz w:val="16"/>
              </w:rPr>
              <w:t>12 to 17 years</w:t>
            </w:r>
          </w:p>
        </w:tc>
        <w:tc>
          <w:tcPr>
            <w:tcW w:w="1100" w:type="dxa"/>
            <w:tcBorders>
              <w:top w:val="single" w:sz="4" w:space="0" w:color="auto"/>
              <w:bottom w:val="single" w:sz="12" w:space="0" w:color="auto"/>
            </w:tcBorders>
            <w:shd w:val="clear" w:color="auto" w:fill="auto"/>
            <w:vAlign w:val="bottom"/>
          </w:tcPr>
          <w:p w:rsidR="00180B44" w:rsidRPr="00A530E1" w:rsidRDefault="00180B44" w:rsidP="00180B44">
            <w:pPr>
              <w:spacing w:before="80" w:after="80" w:line="200" w:lineRule="exact"/>
              <w:ind w:right="113"/>
              <w:jc w:val="right"/>
              <w:rPr>
                <w:i/>
                <w:sz w:val="16"/>
              </w:rPr>
            </w:pPr>
            <w:r w:rsidRPr="00A530E1">
              <w:rPr>
                <w:i/>
                <w:sz w:val="16"/>
              </w:rPr>
              <w:t>18 to 24 years</w:t>
            </w:r>
          </w:p>
        </w:tc>
        <w:tc>
          <w:tcPr>
            <w:tcW w:w="1100" w:type="dxa"/>
            <w:tcBorders>
              <w:top w:val="single" w:sz="4" w:space="0" w:color="auto"/>
              <w:bottom w:val="single" w:sz="12" w:space="0" w:color="auto"/>
            </w:tcBorders>
            <w:shd w:val="clear" w:color="auto" w:fill="auto"/>
            <w:vAlign w:val="bottom"/>
          </w:tcPr>
          <w:p w:rsidR="00180B44" w:rsidRPr="00A530E1" w:rsidRDefault="00180B44" w:rsidP="00180B44">
            <w:pPr>
              <w:spacing w:before="80" w:after="80" w:line="200" w:lineRule="exact"/>
              <w:ind w:right="113"/>
              <w:jc w:val="right"/>
              <w:rPr>
                <w:i/>
                <w:sz w:val="16"/>
              </w:rPr>
            </w:pPr>
            <w:r w:rsidRPr="00A530E1">
              <w:rPr>
                <w:i/>
                <w:sz w:val="16"/>
              </w:rPr>
              <w:t>25 to 39 years</w:t>
            </w:r>
          </w:p>
        </w:tc>
        <w:tc>
          <w:tcPr>
            <w:tcW w:w="1200" w:type="dxa"/>
            <w:tcBorders>
              <w:top w:val="single" w:sz="4" w:space="0" w:color="auto"/>
              <w:bottom w:val="single" w:sz="12" w:space="0" w:color="auto"/>
            </w:tcBorders>
            <w:shd w:val="clear" w:color="auto" w:fill="auto"/>
            <w:vAlign w:val="bottom"/>
          </w:tcPr>
          <w:p w:rsidR="00180B44" w:rsidRPr="00A530E1" w:rsidRDefault="00180B44" w:rsidP="00180B44">
            <w:pPr>
              <w:spacing w:before="80" w:after="80" w:line="200" w:lineRule="exact"/>
              <w:ind w:right="113"/>
              <w:jc w:val="right"/>
              <w:rPr>
                <w:i/>
                <w:sz w:val="16"/>
              </w:rPr>
            </w:pPr>
            <w:r w:rsidRPr="00A530E1">
              <w:rPr>
                <w:i/>
                <w:sz w:val="16"/>
              </w:rPr>
              <w:t>40 to 59 years</w:t>
            </w:r>
          </w:p>
        </w:tc>
        <w:tc>
          <w:tcPr>
            <w:tcW w:w="1239" w:type="dxa"/>
            <w:tcBorders>
              <w:top w:val="single" w:sz="4" w:space="0" w:color="auto"/>
              <w:bottom w:val="single" w:sz="12" w:space="0" w:color="auto"/>
            </w:tcBorders>
            <w:shd w:val="clear" w:color="auto" w:fill="auto"/>
            <w:vAlign w:val="bottom"/>
          </w:tcPr>
          <w:p w:rsidR="00180B44" w:rsidRPr="00A530E1" w:rsidRDefault="00180B44" w:rsidP="00180B44">
            <w:pPr>
              <w:spacing w:before="80" w:after="80" w:line="200" w:lineRule="exact"/>
              <w:ind w:right="113"/>
              <w:jc w:val="right"/>
              <w:rPr>
                <w:i/>
                <w:sz w:val="16"/>
              </w:rPr>
            </w:pPr>
            <w:r w:rsidRPr="00A530E1">
              <w:rPr>
                <w:i/>
                <w:sz w:val="16"/>
              </w:rPr>
              <w:t>60 years and over</w:t>
            </w:r>
          </w:p>
        </w:tc>
      </w:tr>
      <w:tr w:rsidR="00010A8A" w:rsidRPr="00A530E1" w:rsidTr="00F16087">
        <w:tc>
          <w:tcPr>
            <w:tcW w:w="966" w:type="dxa"/>
            <w:tcBorders>
              <w:top w:val="single" w:sz="12" w:space="0" w:color="auto"/>
            </w:tcBorders>
            <w:shd w:val="clear" w:color="auto" w:fill="auto"/>
            <w:vAlign w:val="bottom"/>
          </w:tcPr>
          <w:p w:rsidR="00180B44" w:rsidRPr="00A530E1" w:rsidRDefault="00180B44" w:rsidP="00010A8A">
            <w:pPr>
              <w:suppressAutoHyphens w:val="0"/>
              <w:spacing w:before="40" w:after="40" w:line="220" w:lineRule="exact"/>
              <w:ind w:right="113"/>
              <w:rPr>
                <w:sz w:val="18"/>
              </w:rPr>
            </w:pPr>
            <w:r w:rsidRPr="00A530E1">
              <w:rPr>
                <w:sz w:val="18"/>
              </w:rPr>
              <w:t>Men</w:t>
            </w:r>
          </w:p>
        </w:tc>
        <w:tc>
          <w:tcPr>
            <w:tcW w:w="700" w:type="dxa"/>
            <w:tcBorders>
              <w:top w:val="single" w:sz="12" w:space="0" w:color="auto"/>
            </w:tcBorders>
            <w:shd w:val="clear" w:color="auto" w:fill="auto"/>
            <w:vAlign w:val="bottom"/>
          </w:tcPr>
          <w:p w:rsidR="00180B44" w:rsidRPr="00A530E1" w:rsidRDefault="00180B44" w:rsidP="00010A8A">
            <w:pPr>
              <w:keepNext/>
              <w:keepLines/>
              <w:shd w:val="clear" w:color="auto" w:fill="FFFFFF"/>
              <w:spacing w:before="40" w:after="40" w:line="220" w:lineRule="exact"/>
              <w:ind w:right="113"/>
              <w:jc w:val="right"/>
              <w:rPr>
                <w:b/>
                <w:sz w:val="18"/>
              </w:rPr>
            </w:pPr>
            <w:r w:rsidRPr="00A530E1">
              <w:rPr>
                <w:b/>
                <w:sz w:val="18"/>
                <w:szCs w:val="14"/>
              </w:rPr>
              <w:t>100.0</w:t>
            </w:r>
          </w:p>
        </w:tc>
        <w:tc>
          <w:tcPr>
            <w:tcW w:w="1100" w:type="dxa"/>
            <w:tcBorders>
              <w:top w:val="single" w:sz="12" w:space="0" w:color="auto"/>
            </w:tcBorders>
            <w:shd w:val="clear" w:color="auto" w:fill="auto"/>
            <w:vAlign w:val="bottom"/>
          </w:tcPr>
          <w:p w:rsidR="00180B44" w:rsidRPr="00A530E1" w:rsidRDefault="00180B44" w:rsidP="00010A8A">
            <w:pPr>
              <w:keepNext/>
              <w:keepLines/>
              <w:shd w:val="clear" w:color="auto" w:fill="FFFFFF"/>
              <w:spacing w:before="40" w:after="40" w:line="220" w:lineRule="exact"/>
              <w:ind w:right="113"/>
              <w:jc w:val="right"/>
              <w:rPr>
                <w:sz w:val="18"/>
              </w:rPr>
            </w:pPr>
            <w:r w:rsidRPr="00A530E1">
              <w:rPr>
                <w:sz w:val="18"/>
                <w:szCs w:val="14"/>
              </w:rPr>
              <w:t>8.8</w:t>
            </w:r>
          </w:p>
        </w:tc>
        <w:tc>
          <w:tcPr>
            <w:tcW w:w="1100" w:type="dxa"/>
            <w:tcBorders>
              <w:top w:val="single" w:sz="12" w:space="0" w:color="auto"/>
            </w:tcBorders>
            <w:shd w:val="clear" w:color="auto" w:fill="auto"/>
            <w:vAlign w:val="bottom"/>
          </w:tcPr>
          <w:p w:rsidR="00180B44" w:rsidRPr="00A530E1" w:rsidRDefault="00180B44" w:rsidP="00010A8A">
            <w:pPr>
              <w:keepNext/>
              <w:keepLines/>
              <w:shd w:val="clear" w:color="auto" w:fill="FFFFFF"/>
              <w:spacing w:before="40" w:after="40" w:line="220" w:lineRule="exact"/>
              <w:ind w:right="113"/>
              <w:jc w:val="right"/>
              <w:rPr>
                <w:sz w:val="18"/>
              </w:rPr>
            </w:pPr>
            <w:r w:rsidRPr="00A530E1">
              <w:rPr>
                <w:sz w:val="18"/>
                <w:szCs w:val="14"/>
              </w:rPr>
              <w:t>7.0</w:t>
            </w:r>
          </w:p>
        </w:tc>
        <w:tc>
          <w:tcPr>
            <w:tcW w:w="1100" w:type="dxa"/>
            <w:tcBorders>
              <w:top w:val="single" w:sz="12" w:space="0" w:color="auto"/>
            </w:tcBorders>
            <w:shd w:val="clear" w:color="auto" w:fill="auto"/>
            <w:vAlign w:val="bottom"/>
          </w:tcPr>
          <w:p w:rsidR="00180B44" w:rsidRPr="00A530E1" w:rsidRDefault="00180B44" w:rsidP="00010A8A">
            <w:pPr>
              <w:keepNext/>
              <w:keepLines/>
              <w:shd w:val="clear" w:color="auto" w:fill="FFFFFF"/>
              <w:spacing w:before="40" w:after="40" w:line="220" w:lineRule="exact"/>
              <w:ind w:right="113"/>
              <w:jc w:val="right"/>
              <w:rPr>
                <w:sz w:val="18"/>
              </w:rPr>
            </w:pPr>
            <w:r w:rsidRPr="00A530E1">
              <w:rPr>
                <w:sz w:val="18"/>
                <w:szCs w:val="14"/>
              </w:rPr>
              <w:t>7.0</w:t>
            </w:r>
          </w:p>
        </w:tc>
        <w:tc>
          <w:tcPr>
            <w:tcW w:w="1100" w:type="dxa"/>
            <w:tcBorders>
              <w:top w:val="single" w:sz="12" w:space="0" w:color="auto"/>
            </w:tcBorders>
            <w:shd w:val="clear" w:color="auto" w:fill="auto"/>
            <w:vAlign w:val="bottom"/>
          </w:tcPr>
          <w:p w:rsidR="00180B44" w:rsidRPr="00A530E1" w:rsidRDefault="00180B44" w:rsidP="00010A8A">
            <w:pPr>
              <w:keepNext/>
              <w:keepLines/>
              <w:shd w:val="clear" w:color="auto" w:fill="FFFFFF"/>
              <w:spacing w:before="40" w:after="40" w:line="220" w:lineRule="exact"/>
              <w:ind w:right="113"/>
              <w:jc w:val="right"/>
              <w:rPr>
                <w:sz w:val="18"/>
              </w:rPr>
            </w:pPr>
            <w:r w:rsidRPr="00A530E1">
              <w:rPr>
                <w:sz w:val="18"/>
                <w:szCs w:val="14"/>
              </w:rPr>
              <w:t>12.8</w:t>
            </w:r>
          </w:p>
        </w:tc>
        <w:tc>
          <w:tcPr>
            <w:tcW w:w="1200" w:type="dxa"/>
            <w:tcBorders>
              <w:top w:val="single" w:sz="12" w:space="0" w:color="auto"/>
            </w:tcBorders>
            <w:shd w:val="clear" w:color="auto" w:fill="auto"/>
            <w:vAlign w:val="bottom"/>
          </w:tcPr>
          <w:p w:rsidR="00180B44" w:rsidRPr="00A530E1" w:rsidRDefault="00180B44" w:rsidP="00010A8A">
            <w:pPr>
              <w:keepNext/>
              <w:keepLines/>
              <w:shd w:val="clear" w:color="auto" w:fill="FFFFFF"/>
              <w:spacing w:before="40" w:after="40" w:line="220" w:lineRule="exact"/>
              <w:ind w:right="113"/>
              <w:jc w:val="right"/>
              <w:rPr>
                <w:sz w:val="18"/>
              </w:rPr>
            </w:pPr>
            <w:r w:rsidRPr="00A530E1">
              <w:rPr>
                <w:sz w:val="18"/>
                <w:szCs w:val="14"/>
              </w:rPr>
              <w:t>24.8</w:t>
            </w:r>
          </w:p>
        </w:tc>
        <w:tc>
          <w:tcPr>
            <w:tcW w:w="1239" w:type="dxa"/>
            <w:tcBorders>
              <w:top w:val="single" w:sz="12" w:space="0" w:color="auto"/>
            </w:tcBorders>
            <w:shd w:val="clear" w:color="auto" w:fill="auto"/>
            <w:vAlign w:val="bottom"/>
          </w:tcPr>
          <w:p w:rsidR="00180B44" w:rsidRPr="00A530E1" w:rsidRDefault="00180B44" w:rsidP="00010A8A">
            <w:pPr>
              <w:keepNext/>
              <w:keepLines/>
              <w:shd w:val="clear" w:color="auto" w:fill="FFFFFF"/>
              <w:spacing w:before="40" w:after="40" w:line="220" w:lineRule="exact"/>
              <w:ind w:right="113"/>
              <w:jc w:val="right"/>
              <w:rPr>
                <w:sz w:val="18"/>
              </w:rPr>
            </w:pPr>
            <w:r w:rsidRPr="00A530E1">
              <w:rPr>
                <w:sz w:val="18"/>
                <w:szCs w:val="14"/>
              </w:rPr>
              <w:t>39.7</w:t>
            </w:r>
          </w:p>
        </w:tc>
      </w:tr>
      <w:tr w:rsidR="00010A8A" w:rsidRPr="00A530E1" w:rsidTr="00F16087">
        <w:tc>
          <w:tcPr>
            <w:tcW w:w="966" w:type="dxa"/>
            <w:tcBorders>
              <w:bottom w:val="single" w:sz="4" w:space="0" w:color="auto"/>
            </w:tcBorders>
            <w:shd w:val="clear" w:color="auto" w:fill="auto"/>
            <w:vAlign w:val="bottom"/>
          </w:tcPr>
          <w:p w:rsidR="00180B44" w:rsidRPr="00A530E1" w:rsidRDefault="00180B44" w:rsidP="00010A8A">
            <w:pPr>
              <w:suppressAutoHyphens w:val="0"/>
              <w:spacing w:before="40" w:after="40" w:line="220" w:lineRule="exact"/>
              <w:ind w:right="113"/>
              <w:rPr>
                <w:sz w:val="18"/>
              </w:rPr>
            </w:pPr>
            <w:r w:rsidRPr="00A530E1">
              <w:rPr>
                <w:sz w:val="18"/>
              </w:rPr>
              <w:t>Women</w:t>
            </w:r>
          </w:p>
        </w:tc>
        <w:tc>
          <w:tcPr>
            <w:tcW w:w="700" w:type="dxa"/>
            <w:tcBorders>
              <w:bottom w:val="single" w:sz="4" w:space="0" w:color="auto"/>
            </w:tcBorders>
            <w:shd w:val="clear" w:color="auto" w:fill="auto"/>
            <w:vAlign w:val="bottom"/>
          </w:tcPr>
          <w:p w:rsidR="00180B44" w:rsidRPr="00A530E1" w:rsidRDefault="00180B44" w:rsidP="00010A8A">
            <w:pPr>
              <w:shd w:val="clear" w:color="auto" w:fill="FFFFFF"/>
              <w:spacing w:before="40" w:after="40" w:line="220" w:lineRule="exact"/>
              <w:ind w:right="113"/>
              <w:jc w:val="right"/>
              <w:rPr>
                <w:b/>
                <w:sz w:val="18"/>
              </w:rPr>
            </w:pPr>
            <w:r w:rsidRPr="00A530E1">
              <w:rPr>
                <w:b/>
                <w:sz w:val="18"/>
                <w:szCs w:val="14"/>
              </w:rPr>
              <w:t>100.0</w:t>
            </w:r>
          </w:p>
        </w:tc>
        <w:tc>
          <w:tcPr>
            <w:tcW w:w="1100" w:type="dxa"/>
            <w:tcBorders>
              <w:bottom w:val="single" w:sz="4" w:space="0" w:color="auto"/>
            </w:tcBorders>
            <w:shd w:val="clear" w:color="auto" w:fill="auto"/>
            <w:vAlign w:val="bottom"/>
          </w:tcPr>
          <w:p w:rsidR="00180B44" w:rsidRPr="00A530E1" w:rsidRDefault="00180B44" w:rsidP="00010A8A">
            <w:pPr>
              <w:shd w:val="clear" w:color="auto" w:fill="FFFFFF"/>
              <w:spacing w:before="40" w:after="40" w:line="220" w:lineRule="exact"/>
              <w:ind w:right="113"/>
              <w:jc w:val="right"/>
              <w:rPr>
                <w:sz w:val="18"/>
              </w:rPr>
            </w:pPr>
            <w:r w:rsidRPr="00A530E1">
              <w:rPr>
                <w:sz w:val="18"/>
                <w:szCs w:val="14"/>
              </w:rPr>
              <w:t>5.7</w:t>
            </w:r>
          </w:p>
        </w:tc>
        <w:tc>
          <w:tcPr>
            <w:tcW w:w="1100" w:type="dxa"/>
            <w:tcBorders>
              <w:bottom w:val="single" w:sz="4" w:space="0" w:color="auto"/>
            </w:tcBorders>
            <w:shd w:val="clear" w:color="auto" w:fill="auto"/>
            <w:vAlign w:val="bottom"/>
          </w:tcPr>
          <w:p w:rsidR="00180B44" w:rsidRPr="00A530E1" w:rsidRDefault="00180B44" w:rsidP="00010A8A">
            <w:pPr>
              <w:shd w:val="clear" w:color="auto" w:fill="FFFFFF"/>
              <w:spacing w:before="40" w:after="40" w:line="220" w:lineRule="exact"/>
              <w:ind w:right="113"/>
              <w:jc w:val="right"/>
              <w:rPr>
                <w:sz w:val="18"/>
              </w:rPr>
            </w:pPr>
            <w:r w:rsidRPr="00A530E1">
              <w:rPr>
                <w:sz w:val="18"/>
                <w:szCs w:val="14"/>
              </w:rPr>
              <w:t>6.2</w:t>
            </w:r>
          </w:p>
        </w:tc>
        <w:tc>
          <w:tcPr>
            <w:tcW w:w="1100" w:type="dxa"/>
            <w:tcBorders>
              <w:bottom w:val="single" w:sz="4" w:space="0" w:color="auto"/>
            </w:tcBorders>
            <w:shd w:val="clear" w:color="auto" w:fill="auto"/>
            <w:vAlign w:val="bottom"/>
          </w:tcPr>
          <w:p w:rsidR="00180B44" w:rsidRPr="00A530E1" w:rsidRDefault="00180B44" w:rsidP="00010A8A">
            <w:pPr>
              <w:shd w:val="clear" w:color="auto" w:fill="FFFFFF"/>
              <w:spacing w:before="40" w:after="40" w:line="220" w:lineRule="exact"/>
              <w:ind w:right="113"/>
              <w:jc w:val="right"/>
              <w:rPr>
                <w:sz w:val="18"/>
              </w:rPr>
            </w:pPr>
            <w:r w:rsidRPr="00A530E1">
              <w:rPr>
                <w:sz w:val="18"/>
                <w:szCs w:val="14"/>
              </w:rPr>
              <w:t>5.6</w:t>
            </w:r>
          </w:p>
        </w:tc>
        <w:tc>
          <w:tcPr>
            <w:tcW w:w="1100" w:type="dxa"/>
            <w:tcBorders>
              <w:bottom w:val="single" w:sz="4" w:space="0" w:color="auto"/>
            </w:tcBorders>
            <w:shd w:val="clear" w:color="auto" w:fill="auto"/>
            <w:vAlign w:val="bottom"/>
          </w:tcPr>
          <w:p w:rsidR="00180B44" w:rsidRPr="00A530E1" w:rsidRDefault="00180B44" w:rsidP="00010A8A">
            <w:pPr>
              <w:shd w:val="clear" w:color="auto" w:fill="FFFFFF"/>
              <w:spacing w:before="40" w:after="40" w:line="220" w:lineRule="exact"/>
              <w:ind w:right="113"/>
              <w:jc w:val="right"/>
              <w:rPr>
                <w:sz w:val="18"/>
              </w:rPr>
            </w:pPr>
            <w:r w:rsidRPr="00A530E1">
              <w:rPr>
                <w:sz w:val="18"/>
                <w:szCs w:val="14"/>
              </w:rPr>
              <w:t>12.9</w:t>
            </w:r>
          </w:p>
        </w:tc>
        <w:tc>
          <w:tcPr>
            <w:tcW w:w="1200" w:type="dxa"/>
            <w:tcBorders>
              <w:bottom w:val="single" w:sz="4" w:space="0" w:color="auto"/>
            </w:tcBorders>
            <w:shd w:val="clear" w:color="auto" w:fill="auto"/>
            <w:vAlign w:val="bottom"/>
          </w:tcPr>
          <w:p w:rsidR="00180B44" w:rsidRPr="00A530E1" w:rsidRDefault="00180B44" w:rsidP="00010A8A">
            <w:pPr>
              <w:shd w:val="clear" w:color="auto" w:fill="FFFFFF"/>
              <w:spacing w:before="40" w:after="40" w:line="220" w:lineRule="exact"/>
              <w:ind w:right="113"/>
              <w:jc w:val="right"/>
              <w:rPr>
                <w:sz w:val="18"/>
              </w:rPr>
            </w:pPr>
            <w:r w:rsidRPr="00A530E1">
              <w:rPr>
                <w:sz w:val="18"/>
                <w:szCs w:val="14"/>
              </w:rPr>
              <w:t>29.6</w:t>
            </w:r>
          </w:p>
        </w:tc>
        <w:tc>
          <w:tcPr>
            <w:tcW w:w="1239" w:type="dxa"/>
            <w:tcBorders>
              <w:bottom w:val="single" w:sz="4" w:space="0" w:color="auto"/>
            </w:tcBorders>
            <w:shd w:val="clear" w:color="auto" w:fill="auto"/>
            <w:vAlign w:val="bottom"/>
          </w:tcPr>
          <w:p w:rsidR="00180B44" w:rsidRPr="00A530E1" w:rsidRDefault="00180B44" w:rsidP="00010A8A">
            <w:pPr>
              <w:shd w:val="clear" w:color="auto" w:fill="FFFFFF"/>
              <w:spacing w:before="40" w:after="40" w:line="220" w:lineRule="exact"/>
              <w:ind w:right="113"/>
              <w:jc w:val="right"/>
              <w:rPr>
                <w:sz w:val="18"/>
              </w:rPr>
            </w:pPr>
            <w:r w:rsidRPr="00A530E1">
              <w:rPr>
                <w:sz w:val="18"/>
                <w:szCs w:val="14"/>
              </w:rPr>
              <w:t>40.0</w:t>
            </w:r>
          </w:p>
        </w:tc>
      </w:tr>
      <w:tr w:rsidR="00010A8A" w:rsidRPr="00A530E1" w:rsidTr="00F16087">
        <w:tc>
          <w:tcPr>
            <w:tcW w:w="966" w:type="dxa"/>
            <w:tcBorders>
              <w:top w:val="single" w:sz="4" w:space="0" w:color="auto"/>
              <w:bottom w:val="single" w:sz="12" w:space="0" w:color="auto"/>
            </w:tcBorders>
            <w:shd w:val="clear" w:color="auto" w:fill="auto"/>
            <w:vAlign w:val="bottom"/>
          </w:tcPr>
          <w:p w:rsidR="00180B44" w:rsidRPr="00A530E1" w:rsidRDefault="00180B44" w:rsidP="00F16087">
            <w:pPr>
              <w:suppressAutoHyphens w:val="0"/>
              <w:spacing w:before="80" w:after="80" w:line="220" w:lineRule="exact"/>
              <w:ind w:left="284" w:right="113"/>
              <w:rPr>
                <w:b/>
                <w:sz w:val="18"/>
              </w:rPr>
            </w:pPr>
            <w:r w:rsidRPr="00A530E1">
              <w:rPr>
                <w:b/>
                <w:sz w:val="18"/>
              </w:rPr>
              <w:t>Total</w:t>
            </w:r>
          </w:p>
        </w:tc>
        <w:tc>
          <w:tcPr>
            <w:tcW w:w="700" w:type="dxa"/>
            <w:tcBorders>
              <w:top w:val="single" w:sz="4" w:space="0" w:color="auto"/>
              <w:bottom w:val="single" w:sz="12" w:space="0" w:color="auto"/>
            </w:tcBorders>
            <w:shd w:val="clear" w:color="auto" w:fill="auto"/>
            <w:vAlign w:val="bottom"/>
          </w:tcPr>
          <w:p w:rsidR="00180B44" w:rsidRPr="00A530E1" w:rsidRDefault="00180B44" w:rsidP="00180B44">
            <w:pPr>
              <w:shd w:val="clear" w:color="auto" w:fill="FFFFFF"/>
              <w:spacing w:before="80" w:after="80" w:line="220" w:lineRule="exact"/>
              <w:ind w:left="113" w:right="113"/>
              <w:jc w:val="right"/>
              <w:rPr>
                <w:b/>
                <w:sz w:val="18"/>
              </w:rPr>
            </w:pPr>
            <w:r w:rsidRPr="00A530E1">
              <w:rPr>
                <w:b/>
                <w:bCs/>
                <w:sz w:val="18"/>
                <w:szCs w:val="14"/>
              </w:rPr>
              <w:t>100.0</w:t>
            </w:r>
          </w:p>
        </w:tc>
        <w:tc>
          <w:tcPr>
            <w:tcW w:w="1100" w:type="dxa"/>
            <w:tcBorders>
              <w:top w:val="single" w:sz="4" w:space="0" w:color="auto"/>
              <w:bottom w:val="single" w:sz="12" w:space="0" w:color="auto"/>
            </w:tcBorders>
            <w:shd w:val="clear" w:color="auto" w:fill="auto"/>
            <w:vAlign w:val="bottom"/>
          </w:tcPr>
          <w:p w:rsidR="00180B44" w:rsidRPr="00A530E1" w:rsidRDefault="00180B44" w:rsidP="00180B44">
            <w:pPr>
              <w:shd w:val="clear" w:color="auto" w:fill="FFFFFF"/>
              <w:spacing w:before="80" w:after="80" w:line="220" w:lineRule="exact"/>
              <w:ind w:left="113" w:right="113"/>
              <w:jc w:val="right"/>
              <w:rPr>
                <w:b/>
                <w:sz w:val="18"/>
              </w:rPr>
            </w:pPr>
            <w:r w:rsidRPr="00A530E1">
              <w:rPr>
                <w:b/>
                <w:bCs/>
                <w:sz w:val="18"/>
                <w:szCs w:val="14"/>
              </w:rPr>
              <w:t>7.1</w:t>
            </w:r>
          </w:p>
        </w:tc>
        <w:tc>
          <w:tcPr>
            <w:tcW w:w="1100" w:type="dxa"/>
            <w:tcBorders>
              <w:top w:val="single" w:sz="4" w:space="0" w:color="auto"/>
              <w:bottom w:val="single" w:sz="12" w:space="0" w:color="auto"/>
            </w:tcBorders>
            <w:shd w:val="clear" w:color="auto" w:fill="auto"/>
            <w:vAlign w:val="bottom"/>
          </w:tcPr>
          <w:p w:rsidR="00180B44" w:rsidRPr="00A530E1" w:rsidRDefault="00180B44" w:rsidP="00180B44">
            <w:pPr>
              <w:shd w:val="clear" w:color="auto" w:fill="FFFFFF"/>
              <w:spacing w:before="80" w:after="80" w:line="220" w:lineRule="exact"/>
              <w:ind w:left="113" w:right="113"/>
              <w:jc w:val="right"/>
              <w:rPr>
                <w:b/>
                <w:sz w:val="18"/>
              </w:rPr>
            </w:pPr>
            <w:r w:rsidRPr="00A530E1">
              <w:rPr>
                <w:b/>
                <w:sz w:val="18"/>
                <w:szCs w:val="14"/>
              </w:rPr>
              <w:t>6.5</w:t>
            </w:r>
          </w:p>
        </w:tc>
        <w:tc>
          <w:tcPr>
            <w:tcW w:w="1100" w:type="dxa"/>
            <w:tcBorders>
              <w:top w:val="single" w:sz="4" w:space="0" w:color="auto"/>
              <w:bottom w:val="single" w:sz="12" w:space="0" w:color="auto"/>
            </w:tcBorders>
            <w:shd w:val="clear" w:color="auto" w:fill="auto"/>
            <w:vAlign w:val="bottom"/>
          </w:tcPr>
          <w:p w:rsidR="00180B44" w:rsidRPr="00A530E1" w:rsidRDefault="00180B44" w:rsidP="00180B44">
            <w:pPr>
              <w:shd w:val="clear" w:color="auto" w:fill="FFFFFF"/>
              <w:spacing w:before="80" w:after="80" w:line="220" w:lineRule="exact"/>
              <w:ind w:left="113" w:right="113"/>
              <w:jc w:val="right"/>
              <w:rPr>
                <w:b/>
                <w:sz w:val="18"/>
              </w:rPr>
            </w:pPr>
            <w:r w:rsidRPr="00A530E1">
              <w:rPr>
                <w:b/>
                <w:sz w:val="18"/>
                <w:szCs w:val="14"/>
              </w:rPr>
              <w:t>6.2</w:t>
            </w:r>
          </w:p>
        </w:tc>
        <w:tc>
          <w:tcPr>
            <w:tcW w:w="1100" w:type="dxa"/>
            <w:tcBorders>
              <w:top w:val="single" w:sz="4" w:space="0" w:color="auto"/>
              <w:bottom w:val="single" w:sz="12" w:space="0" w:color="auto"/>
            </w:tcBorders>
            <w:shd w:val="clear" w:color="auto" w:fill="auto"/>
            <w:vAlign w:val="bottom"/>
          </w:tcPr>
          <w:p w:rsidR="00180B44" w:rsidRPr="00A530E1" w:rsidRDefault="00180B44" w:rsidP="00180B44">
            <w:pPr>
              <w:shd w:val="clear" w:color="auto" w:fill="FFFFFF"/>
              <w:spacing w:before="80" w:after="80" w:line="220" w:lineRule="exact"/>
              <w:ind w:left="113" w:right="113"/>
              <w:jc w:val="right"/>
              <w:rPr>
                <w:b/>
                <w:sz w:val="18"/>
              </w:rPr>
            </w:pPr>
            <w:r w:rsidRPr="00A530E1">
              <w:rPr>
                <w:b/>
                <w:bCs/>
                <w:sz w:val="18"/>
                <w:szCs w:val="14"/>
              </w:rPr>
              <w:t>12.8</w:t>
            </w:r>
          </w:p>
        </w:tc>
        <w:tc>
          <w:tcPr>
            <w:tcW w:w="1200" w:type="dxa"/>
            <w:tcBorders>
              <w:top w:val="single" w:sz="4" w:space="0" w:color="auto"/>
              <w:bottom w:val="single" w:sz="12" w:space="0" w:color="auto"/>
            </w:tcBorders>
            <w:shd w:val="clear" w:color="auto" w:fill="auto"/>
            <w:vAlign w:val="bottom"/>
          </w:tcPr>
          <w:p w:rsidR="00180B44" w:rsidRPr="00A530E1" w:rsidRDefault="00180B44" w:rsidP="00180B44">
            <w:pPr>
              <w:shd w:val="clear" w:color="auto" w:fill="FFFFFF"/>
              <w:spacing w:before="80" w:after="80" w:line="220" w:lineRule="exact"/>
              <w:ind w:left="113" w:right="113"/>
              <w:jc w:val="right"/>
              <w:rPr>
                <w:b/>
                <w:sz w:val="18"/>
              </w:rPr>
            </w:pPr>
            <w:r w:rsidRPr="00A530E1">
              <w:rPr>
                <w:b/>
                <w:bCs/>
                <w:sz w:val="18"/>
                <w:szCs w:val="14"/>
              </w:rPr>
              <w:t>27.5</w:t>
            </w:r>
          </w:p>
        </w:tc>
        <w:tc>
          <w:tcPr>
            <w:tcW w:w="1239" w:type="dxa"/>
            <w:tcBorders>
              <w:top w:val="single" w:sz="4" w:space="0" w:color="auto"/>
              <w:bottom w:val="single" w:sz="12" w:space="0" w:color="auto"/>
            </w:tcBorders>
            <w:shd w:val="clear" w:color="auto" w:fill="auto"/>
            <w:vAlign w:val="bottom"/>
          </w:tcPr>
          <w:p w:rsidR="00180B44" w:rsidRPr="00A530E1" w:rsidRDefault="00180B44" w:rsidP="00180B44">
            <w:pPr>
              <w:shd w:val="clear" w:color="auto" w:fill="FFFFFF"/>
              <w:spacing w:before="80" w:after="80" w:line="220" w:lineRule="exact"/>
              <w:ind w:left="113" w:right="113"/>
              <w:jc w:val="right"/>
              <w:rPr>
                <w:b/>
                <w:sz w:val="18"/>
              </w:rPr>
            </w:pPr>
            <w:r w:rsidRPr="00A530E1">
              <w:rPr>
                <w:b/>
                <w:bCs/>
                <w:sz w:val="18"/>
                <w:szCs w:val="14"/>
              </w:rPr>
              <w:t>39.9</w:t>
            </w:r>
          </w:p>
        </w:tc>
      </w:tr>
    </w:tbl>
    <w:p w:rsidR="00180B44" w:rsidRPr="00A530E1" w:rsidRDefault="00180B44" w:rsidP="00180B44">
      <w:pPr>
        <w:suppressAutoHyphens w:val="0"/>
        <w:spacing w:before="120" w:after="240" w:line="240" w:lineRule="auto"/>
        <w:ind w:left="1134" w:right="1134" w:firstLine="170"/>
        <w:rPr>
          <w:sz w:val="18"/>
          <w:szCs w:val="18"/>
        </w:rPr>
      </w:pPr>
      <w:r w:rsidRPr="00A530E1">
        <w:rPr>
          <w:i/>
          <w:sz w:val="18"/>
          <w:szCs w:val="18"/>
        </w:rPr>
        <w:t>Source</w:t>
      </w:r>
      <w:r w:rsidRPr="00A530E1">
        <w:rPr>
          <w:sz w:val="18"/>
          <w:szCs w:val="18"/>
        </w:rPr>
        <w:t>:  National Institute of Statistics (INEI) – Continuous National Survey, 2006.</w:t>
      </w:r>
    </w:p>
    <w:p w:rsidR="00180B44" w:rsidRPr="00A530E1" w:rsidRDefault="00180B44" w:rsidP="00180B44">
      <w:pPr>
        <w:pStyle w:val="H23G"/>
        <w:spacing w:after="0"/>
      </w:pPr>
      <w:r w:rsidRPr="00A530E1">
        <w:tab/>
      </w:r>
      <w:r w:rsidRPr="00A530E1">
        <w:tab/>
        <w:t>Percentage of the population with a disability, by age group and department, 2006</w:t>
      </w:r>
    </w:p>
    <w:p w:rsidR="00180B44" w:rsidRPr="00A530E1" w:rsidRDefault="00180B44" w:rsidP="00180B44">
      <w:pPr>
        <w:pStyle w:val="SingleTxtG"/>
        <w:keepNext/>
        <w:rPr>
          <w:sz w:val="16"/>
          <w:szCs w:val="16"/>
        </w:rPr>
      </w:pPr>
      <w:r w:rsidRPr="00A530E1">
        <w:rPr>
          <w:sz w:val="16"/>
          <w:szCs w:val="16"/>
        </w:rPr>
        <w:t>(Percentage distribution)</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624"/>
        <w:gridCol w:w="770"/>
        <w:gridCol w:w="1175"/>
        <w:gridCol w:w="1176"/>
        <w:gridCol w:w="1176"/>
        <w:gridCol w:w="1176"/>
        <w:gridCol w:w="1176"/>
        <w:gridCol w:w="1366"/>
      </w:tblGrid>
      <w:tr w:rsidR="00942860" w:rsidRPr="00A530E1" w:rsidTr="005E4497">
        <w:trPr>
          <w:tblHeader/>
        </w:trPr>
        <w:tc>
          <w:tcPr>
            <w:tcW w:w="1624" w:type="dxa"/>
            <w:tcBorders>
              <w:top w:val="single" w:sz="4" w:space="0" w:color="auto"/>
              <w:bottom w:val="single" w:sz="12" w:space="0" w:color="auto"/>
            </w:tcBorders>
            <w:shd w:val="clear" w:color="auto" w:fill="auto"/>
            <w:vAlign w:val="bottom"/>
          </w:tcPr>
          <w:p w:rsidR="00180B44" w:rsidRPr="00A530E1" w:rsidRDefault="00180B44" w:rsidP="00180B44">
            <w:pPr>
              <w:keepNext/>
              <w:spacing w:before="80" w:after="80" w:line="200" w:lineRule="exact"/>
              <w:ind w:right="113"/>
              <w:rPr>
                <w:i/>
                <w:sz w:val="16"/>
              </w:rPr>
            </w:pPr>
            <w:r w:rsidRPr="00A530E1">
              <w:rPr>
                <w:i/>
                <w:sz w:val="16"/>
              </w:rPr>
              <w:t>Department</w:t>
            </w:r>
          </w:p>
        </w:tc>
        <w:tc>
          <w:tcPr>
            <w:tcW w:w="770" w:type="dxa"/>
            <w:tcBorders>
              <w:top w:val="single" w:sz="4" w:space="0" w:color="auto"/>
              <w:bottom w:val="single" w:sz="12" w:space="0" w:color="auto"/>
            </w:tcBorders>
            <w:shd w:val="clear" w:color="auto" w:fill="auto"/>
            <w:vAlign w:val="bottom"/>
          </w:tcPr>
          <w:p w:rsidR="00180B44" w:rsidRPr="00A530E1" w:rsidRDefault="00180B44" w:rsidP="00180B44">
            <w:pPr>
              <w:keepNext/>
              <w:spacing w:before="80" w:after="80" w:line="200" w:lineRule="exact"/>
              <w:ind w:right="113"/>
              <w:jc w:val="right"/>
              <w:rPr>
                <w:b/>
                <w:i/>
                <w:sz w:val="16"/>
              </w:rPr>
            </w:pPr>
            <w:r w:rsidRPr="00A530E1">
              <w:rPr>
                <w:b/>
                <w:i/>
                <w:sz w:val="16"/>
              </w:rPr>
              <w:t>Total</w:t>
            </w:r>
          </w:p>
        </w:tc>
        <w:tc>
          <w:tcPr>
            <w:tcW w:w="1175" w:type="dxa"/>
            <w:tcBorders>
              <w:top w:val="single" w:sz="4" w:space="0" w:color="auto"/>
              <w:bottom w:val="single" w:sz="12" w:space="0" w:color="auto"/>
            </w:tcBorders>
            <w:shd w:val="clear" w:color="auto" w:fill="auto"/>
            <w:vAlign w:val="bottom"/>
          </w:tcPr>
          <w:p w:rsidR="00180B44" w:rsidRPr="00A530E1" w:rsidRDefault="00180B44" w:rsidP="00180B44">
            <w:pPr>
              <w:keepNext/>
              <w:spacing w:before="80" w:after="80" w:line="200" w:lineRule="exact"/>
              <w:ind w:right="113"/>
              <w:jc w:val="right"/>
              <w:rPr>
                <w:i/>
                <w:sz w:val="16"/>
              </w:rPr>
            </w:pPr>
            <w:r w:rsidRPr="00A530E1">
              <w:rPr>
                <w:i/>
                <w:sz w:val="16"/>
              </w:rPr>
              <w:t>Up to 11 years</w:t>
            </w:r>
          </w:p>
        </w:tc>
        <w:tc>
          <w:tcPr>
            <w:tcW w:w="1176" w:type="dxa"/>
            <w:tcBorders>
              <w:top w:val="single" w:sz="4" w:space="0" w:color="auto"/>
              <w:bottom w:val="single" w:sz="12" w:space="0" w:color="auto"/>
            </w:tcBorders>
            <w:shd w:val="clear" w:color="auto" w:fill="auto"/>
            <w:vAlign w:val="bottom"/>
          </w:tcPr>
          <w:p w:rsidR="00180B44" w:rsidRPr="00A530E1" w:rsidRDefault="00180B44" w:rsidP="00180B44">
            <w:pPr>
              <w:keepNext/>
              <w:spacing w:before="80" w:after="80" w:line="200" w:lineRule="exact"/>
              <w:ind w:right="113"/>
              <w:jc w:val="right"/>
              <w:rPr>
                <w:i/>
                <w:sz w:val="16"/>
              </w:rPr>
            </w:pPr>
            <w:r w:rsidRPr="00A530E1">
              <w:rPr>
                <w:i/>
                <w:sz w:val="16"/>
              </w:rPr>
              <w:t>12 to 17 years</w:t>
            </w:r>
          </w:p>
        </w:tc>
        <w:tc>
          <w:tcPr>
            <w:tcW w:w="1176" w:type="dxa"/>
            <w:tcBorders>
              <w:top w:val="single" w:sz="4" w:space="0" w:color="auto"/>
              <w:bottom w:val="single" w:sz="12" w:space="0" w:color="auto"/>
            </w:tcBorders>
            <w:shd w:val="clear" w:color="auto" w:fill="auto"/>
            <w:vAlign w:val="bottom"/>
          </w:tcPr>
          <w:p w:rsidR="00180B44" w:rsidRPr="00A530E1" w:rsidRDefault="00180B44" w:rsidP="00180B44">
            <w:pPr>
              <w:keepNext/>
              <w:spacing w:before="80" w:after="80" w:line="200" w:lineRule="exact"/>
              <w:ind w:right="113"/>
              <w:jc w:val="right"/>
              <w:rPr>
                <w:i/>
                <w:sz w:val="16"/>
              </w:rPr>
            </w:pPr>
            <w:r w:rsidRPr="00A530E1">
              <w:rPr>
                <w:i/>
                <w:sz w:val="16"/>
              </w:rPr>
              <w:t>18 to 24 years</w:t>
            </w:r>
          </w:p>
        </w:tc>
        <w:tc>
          <w:tcPr>
            <w:tcW w:w="1176" w:type="dxa"/>
            <w:tcBorders>
              <w:top w:val="single" w:sz="4" w:space="0" w:color="auto"/>
              <w:bottom w:val="single" w:sz="12" w:space="0" w:color="auto"/>
            </w:tcBorders>
            <w:shd w:val="clear" w:color="auto" w:fill="auto"/>
            <w:vAlign w:val="bottom"/>
          </w:tcPr>
          <w:p w:rsidR="00180B44" w:rsidRPr="00A530E1" w:rsidRDefault="00180B44" w:rsidP="00180B44">
            <w:pPr>
              <w:keepNext/>
              <w:spacing w:before="80" w:after="80" w:line="200" w:lineRule="exact"/>
              <w:ind w:right="113"/>
              <w:jc w:val="right"/>
              <w:rPr>
                <w:i/>
                <w:sz w:val="16"/>
              </w:rPr>
            </w:pPr>
            <w:r w:rsidRPr="00A530E1">
              <w:rPr>
                <w:i/>
                <w:sz w:val="16"/>
              </w:rPr>
              <w:t>25 to 39 years</w:t>
            </w:r>
          </w:p>
        </w:tc>
        <w:tc>
          <w:tcPr>
            <w:tcW w:w="1176" w:type="dxa"/>
            <w:tcBorders>
              <w:top w:val="single" w:sz="4" w:space="0" w:color="auto"/>
              <w:bottom w:val="single" w:sz="12" w:space="0" w:color="auto"/>
            </w:tcBorders>
            <w:shd w:val="clear" w:color="auto" w:fill="auto"/>
            <w:vAlign w:val="bottom"/>
          </w:tcPr>
          <w:p w:rsidR="00180B44" w:rsidRPr="00A530E1" w:rsidRDefault="00180B44" w:rsidP="00180B44">
            <w:pPr>
              <w:keepNext/>
              <w:spacing w:before="80" w:after="80" w:line="200" w:lineRule="exact"/>
              <w:ind w:right="113"/>
              <w:jc w:val="right"/>
              <w:rPr>
                <w:i/>
                <w:sz w:val="16"/>
              </w:rPr>
            </w:pPr>
            <w:r w:rsidRPr="00A530E1">
              <w:rPr>
                <w:i/>
                <w:sz w:val="16"/>
              </w:rPr>
              <w:t>40 to 59 years</w:t>
            </w:r>
          </w:p>
        </w:tc>
        <w:tc>
          <w:tcPr>
            <w:tcW w:w="1366" w:type="dxa"/>
            <w:tcBorders>
              <w:top w:val="single" w:sz="4" w:space="0" w:color="auto"/>
              <w:bottom w:val="single" w:sz="12" w:space="0" w:color="auto"/>
            </w:tcBorders>
            <w:shd w:val="clear" w:color="auto" w:fill="auto"/>
            <w:vAlign w:val="bottom"/>
          </w:tcPr>
          <w:p w:rsidR="00180B44" w:rsidRPr="00A530E1" w:rsidRDefault="00180B44" w:rsidP="00180B44">
            <w:pPr>
              <w:keepNext/>
              <w:spacing w:before="80" w:after="80" w:line="200" w:lineRule="exact"/>
              <w:ind w:right="113"/>
              <w:jc w:val="right"/>
              <w:rPr>
                <w:i/>
                <w:sz w:val="16"/>
              </w:rPr>
            </w:pPr>
            <w:r w:rsidRPr="00A530E1">
              <w:rPr>
                <w:i/>
                <w:sz w:val="16"/>
              </w:rPr>
              <w:t>60 years and over</w:t>
            </w:r>
          </w:p>
        </w:tc>
      </w:tr>
      <w:tr w:rsidR="00942860" w:rsidRPr="00A530E1" w:rsidTr="005E4497">
        <w:tc>
          <w:tcPr>
            <w:tcW w:w="1624" w:type="dxa"/>
            <w:tcBorders>
              <w:top w:val="single" w:sz="12" w:space="0" w:color="auto"/>
            </w:tcBorders>
            <w:shd w:val="clear" w:color="auto" w:fill="auto"/>
          </w:tcPr>
          <w:p w:rsidR="00180B44" w:rsidRPr="00A530E1" w:rsidRDefault="00180B44" w:rsidP="00813149">
            <w:pPr>
              <w:shd w:val="clear" w:color="auto" w:fill="FFFFFF"/>
              <w:spacing w:before="40" w:after="40" w:line="220" w:lineRule="exact"/>
              <w:ind w:right="113"/>
              <w:rPr>
                <w:sz w:val="18"/>
              </w:rPr>
            </w:pPr>
            <w:r w:rsidRPr="00A530E1">
              <w:rPr>
                <w:sz w:val="18"/>
                <w:szCs w:val="14"/>
              </w:rPr>
              <w:t>Amazonas</w:t>
            </w:r>
          </w:p>
        </w:tc>
        <w:tc>
          <w:tcPr>
            <w:tcW w:w="770" w:type="dxa"/>
            <w:tcBorders>
              <w:top w:val="single" w:sz="12" w:space="0" w:color="auto"/>
            </w:tcBorders>
            <w:shd w:val="clear" w:color="auto" w:fill="auto"/>
            <w:vAlign w:val="bottom"/>
          </w:tcPr>
          <w:p w:rsidR="00180B44" w:rsidRPr="00A530E1" w:rsidRDefault="00180B44" w:rsidP="00813149">
            <w:pPr>
              <w:shd w:val="clear" w:color="auto" w:fill="FFFFFF"/>
              <w:spacing w:before="40" w:after="40" w:line="220" w:lineRule="exact"/>
              <w:ind w:right="113"/>
              <w:jc w:val="right"/>
              <w:rPr>
                <w:b/>
                <w:sz w:val="18"/>
              </w:rPr>
            </w:pPr>
            <w:r w:rsidRPr="00A530E1">
              <w:rPr>
                <w:b/>
                <w:sz w:val="18"/>
                <w:szCs w:val="14"/>
              </w:rPr>
              <w:t>100.0</w:t>
            </w:r>
          </w:p>
        </w:tc>
        <w:tc>
          <w:tcPr>
            <w:tcW w:w="1175" w:type="dxa"/>
            <w:tcBorders>
              <w:top w:val="single" w:sz="12" w:space="0" w:color="auto"/>
            </w:tcBorders>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6.7</w:t>
            </w:r>
          </w:p>
        </w:tc>
        <w:tc>
          <w:tcPr>
            <w:tcW w:w="1176" w:type="dxa"/>
            <w:tcBorders>
              <w:top w:val="single" w:sz="12" w:space="0" w:color="auto"/>
            </w:tcBorders>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6.7</w:t>
            </w:r>
          </w:p>
        </w:tc>
        <w:tc>
          <w:tcPr>
            <w:tcW w:w="1176" w:type="dxa"/>
            <w:tcBorders>
              <w:top w:val="single" w:sz="12" w:space="0" w:color="auto"/>
            </w:tcBorders>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5.1</w:t>
            </w:r>
          </w:p>
        </w:tc>
        <w:tc>
          <w:tcPr>
            <w:tcW w:w="1176" w:type="dxa"/>
            <w:tcBorders>
              <w:top w:val="single" w:sz="12" w:space="0" w:color="auto"/>
            </w:tcBorders>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11.8</w:t>
            </w:r>
          </w:p>
        </w:tc>
        <w:tc>
          <w:tcPr>
            <w:tcW w:w="1176" w:type="dxa"/>
            <w:tcBorders>
              <w:top w:val="single" w:sz="12" w:space="0" w:color="auto"/>
            </w:tcBorders>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32.7</w:t>
            </w:r>
          </w:p>
        </w:tc>
        <w:tc>
          <w:tcPr>
            <w:tcW w:w="1366" w:type="dxa"/>
            <w:tcBorders>
              <w:top w:val="single" w:sz="12" w:space="0" w:color="auto"/>
            </w:tcBorders>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36.9</w:t>
            </w:r>
          </w:p>
        </w:tc>
      </w:tr>
      <w:tr w:rsidR="00942860" w:rsidRPr="00A530E1" w:rsidTr="005E4497">
        <w:tc>
          <w:tcPr>
            <w:tcW w:w="1624" w:type="dxa"/>
            <w:shd w:val="clear" w:color="auto" w:fill="auto"/>
          </w:tcPr>
          <w:p w:rsidR="00180B44" w:rsidRPr="00A530E1" w:rsidRDefault="00180B44" w:rsidP="00813149">
            <w:pPr>
              <w:shd w:val="clear" w:color="auto" w:fill="FFFFFF"/>
              <w:spacing w:before="40" w:after="40" w:line="220" w:lineRule="exact"/>
              <w:ind w:right="113"/>
              <w:rPr>
                <w:sz w:val="18"/>
              </w:rPr>
            </w:pPr>
            <w:r w:rsidRPr="00A530E1">
              <w:rPr>
                <w:sz w:val="18"/>
                <w:szCs w:val="14"/>
              </w:rPr>
              <w:t>Ancash</w:t>
            </w:r>
          </w:p>
        </w:tc>
        <w:tc>
          <w:tcPr>
            <w:tcW w:w="770" w:type="dxa"/>
            <w:shd w:val="clear" w:color="auto" w:fill="auto"/>
            <w:vAlign w:val="bottom"/>
          </w:tcPr>
          <w:p w:rsidR="00180B44" w:rsidRPr="00A530E1" w:rsidRDefault="00180B44" w:rsidP="00813149">
            <w:pPr>
              <w:spacing w:before="40" w:after="40" w:line="220" w:lineRule="exact"/>
              <w:ind w:right="113"/>
              <w:jc w:val="right"/>
            </w:pPr>
            <w:r w:rsidRPr="00A530E1">
              <w:rPr>
                <w:b/>
                <w:sz w:val="18"/>
                <w:szCs w:val="14"/>
              </w:rPr>
              <w:t>100.0</w:t>
            </w:r>
          </w:p>
        </w:tc>
        <w:tc>
          <w:tcPr>
            <w:tcW w:w="1175"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5.6</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4.9</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4.7</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10.7</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25.7</w:t>
            </w:r>
          </w:p>
        </w:tc>
        <w:tc>
          <w:tcPr>
            <w:tcW w:w="136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48.4</w:t>
            </w:r>
          </w:p>
        </w:tc>
      </w:tr>
      <w:tr w:rsidR="00942860" w:rsidRPr="00A530E1" w:rsidTr="005E4497">
        <w:tc>
          <w:tcPr>
            <w:tcW w:w="1624" w:type="dxa"/>
            <w:shd w:val="clear" w:color="auto" w:fill="auto"/>
          </w:tcPr>
          <w:p w:rsidR="00180B44" w:rsidRPr="00A530E1" w:rsidRDefault="00180B44" w:rsidP="00813149">
            <w:pPr>
              <w:shd w:val="clear" w:color="auto" w:fill="FFFFFF"/>
              <w:spacing w:before="40" w:after="40" w:line="220" w:lineRule="exact"/>
              <w:ind w:right="113"/>
              <w:rPr>
                <w:sz w:val="18"/>
              </w:rPr>
            </w:pPr>
            <w:r w:rsidRPr="00A530E1">
              <w:rPr>
                <w:sz w:val="18"/>
                <w:szCs w:val="14"/>
              </w:rPr>
              <w:t>Apurimac</w:t>
            </w:r>
          </w:p>
        </w:tc>
        <w:tc>
          <w:tcPr>
            <w:tcW w:w="770" w:type="dxa"/>
            <w:shd w:val="clear" w:color="auto" w:fill="auto"/>
          </w:tcPr>
          <w:p w:rsidR="00180B44" w:rsidRPr="00A530E1" w:rsidRDefault="00180B44" w:rsidP="00813149">
            <w:pPr>
              <w:spacing w:before="40" w:after="40" w:line="220" w:lineRule="exact"/>
              <w:ind w:right="113"/>
              <w:jc w:val="right"/>
            </w:pPr>
            <w:r w:rsidRPr="00A530E1">
              <w:rPr>
                <w:b/>
                <w:sz w:val="18"/>
                <w:szCs w:val="14"/>
              </w:rPr>
              <w:t>100.0</w:t>
            </w:r>
          </w:p>
        </w:tc>
        <w:tc>
          <w:tcPr>
            <w:tcW w:w="1175"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7.1</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7.5</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4.9</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8.6</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19.5</w:t>
            </w:r>
          </w:p>
        </w:tc>
        <w:tc>
          <w:tcPr>
            <w:tcW w:w="136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52.5</w:t>
            </w:r>
          </w:p>
        </w:tc>
      </w:tr>
      <w:tr w:rsidR="00942860" w:rsidRPr="00A530E1" w:rsidTr="005E4497">
        <w:tc>
          <w:tcPr>
            <w:tcW w:w="1624" w:type="dxa"/>
            <w:shd w:val="clear" w:color="auto" w:fill="auto"/>
          </w:tcPr>
          <w:p w:rsidR="00180B44" w:rsidRPr="00A530E1" w:rsidRDefault="00180B44" w:rsidP="00813149">
            <w:pPr>
              <w:shd w:val="clear" w:color="auto" w:fill="FFFFFF"/>
              <w:spacing w:before="40" w:after="40" w:line="220" w:lineRule="exact"/>
              <w:ind w:right="113"/>
              <w:rPr>
                <w:sz w:val="18"/>
              </w:rPr>
            </w:pPr>
            <w:r w:rsidRPr="00A530E1">
              <w:rPr>
                <w:sz w:val="18"/>
                <w:szCs w:val="14"/>
              </w:rPr>
              <w:t>Arequipa</w:t>
            </w:r>
          </w:p>
        </w:tc>
        <w:tc>
          <w:tcPr>
            <w:tcW w:w="770" w:type="dxa"/>
            <w:shd w:val="clear" w:color="auto" w:fill="auto"/>
          </w:tcPr>
          <w:p w:rsidR="00180B44" w:rsidRPr="00A530E1" w:rsidRDefault="00180B44" w:rsidP="00813149">
            <w:pPr>
              <w:spacing w:before="40" w:after="40" w:line="220" w:lineRule="exact"/>
              <w:ind w:right="113"/>
              <w:jc w:val="right"/>
            </w:pPr>
            <w:r w:rsidRPr="00A530E1">
              <w:rPr>
                <w:b/>
                <w:sz w:val="18"/>
                <w:szCs w:val="14"/>
              </w:rPr>
              <w:t>100.0</w:t>
            </w:r>
          </w:p>
        </w:tc>
        <w:tc>
          <w:tcPr>
            <w:tcW w:w="1175"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4.2</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3.3</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4.8</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12.9</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26.1</w:t>
            </w:r>
          </w:p>
        </w:tc>
        <w:tc>
          <w:tcPr>
            <w:tcW w:w="136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48.8</w:t>
            </w:r>
          </w:p>
        </w:tc>
      </w:tr>
      <w:tr w:rsidR="00942860" w:rsidRPr="00A530E1" w:rsidTr="005E4497">
        <w:tc>
          <w:tcPr>
            <w:tcW w:w="1624" w:type="dxa"/>
            <w:shd w:val="clear" w:color="auto" w:fill="auto"/>
          </w:tcPr>
          <w:p w:rsidR="00180B44" w:rsidRPr="00A530E1" w:rsidRDefault="00180B44" w:rsidP="00813149">
            <w:pPr>
              <w:shd w:val="clear" w:color="auto" w:fill="FFFFFF"/>
              <w:spacing w:before="40" w:after="40" w:line="220" w:lineRule="exact"/>
              <w:ind w:right="113"/>
              <w:rPr>
                <w:sz w:val="18"/>
              </w:rPr>
            </w:pPr>
            <w:r w:rsidRPr="00A530E1">
              <w:rPr>
                <w:sz w:val="18"/>
                <w:szCs w:val="14"/>
              </w:rPr>
              <w:t>Ayacucho</w:t>
            </w:r>
          </w:p>
        </w:tc>
        <w:tc>
          <w:tcPr>
            <w:tcW w:w="770" w:type="dxa"/>
            <w:shd w:val="clear" w:color="auto" w:fill="auto"/>
          </w:tcPr>
          <w:p w:rsidR="00180B44" w:rsidRPr="00A530E1" w:rsidRDefault="00180B44" w:rsidP="00813149">
            <w:pPr>
              <w:spacing w:before="40" w:after="40" w:line="220" w:lineRule="exact"/>
              <w:ind w:right="113"/>
              <w:jc w:val="right"/>
            </w:pPr>
            <w:r w:rsidRPr="00A530E1">
              <w:rPr>
                <w:b/>
                <w:sz w:val="18"/>
                <w:szCs w:val="14"/>
              </w:rPr>
              <w:t>100.0</w:t>
            </w:r>
          </w:p>
        </w:tc>
        <w:tc>
          <w:tcPr>
            <w:tcW w:w="1175"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10.9</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8.0</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5.8</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10.9</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22.5</w:t>
            </w:r>
          </w:p>
        </w:tc>
        <w:tc>
          <w:tcPr>
            <w:tcW w:w="136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41.9</w:t>
            </w:r>
          </w:p>
        </w:tc>
      </w:tr>
      <w:tr w:rsidR="00942860" w:rsidRPr="00A530E1" w:rsidTr="005E4497">
        <w:tc>
          <w:tcPr>
            <w:tcW w:w="1624" w:type="dxa"/>
            <w:shd w:val="clear" w:color="auto" w:fill="auto"/>
          </w:tcPr>
          <w:p w:rsidR="00180B44" w:rsidRPr="00A530E1" w:rsidRDefault="00180B44" w:rsidP="00813149">
            <w:pPr>
              <w:shd w:val="clear" w:color="auto" w:fill="FFFFFF"/>
              <w:spacing w:before="40" w:after="40" w:line="220" w:lineRule="exact"/>
              <w:ind w:right="113"/>
              <w:rPr>
                <w:sz w:val="18"/>
              </w:rPr>
            </w:pPr>
            <w:r w:rsidRPr="00A530E1">
              <w:rPr>
                <w:sz w:val="18"/>
                <w:szCs w:val="14"/>
              </w:rPr>
              <w:t>Cajamarca</w:t>
            </w:r>
          </w:p>
        </w:tc>
        <w:tc>
          <w:tcPr>
            <w:tcW w:w="770" w:type="dxa"/>
            <w:shd w:val="clear" w:color="auto" w:fill="auto"/>
          </w:tcPr>
          <w:p w:rsidR="00180B44" w:rsidRPr="00A530E1" w:rsidRDefault="00180B44" w:rsidP="00813149">
            <w:pPr>
              <w:spacing w:before="40" w:after="40" w:line="220" w:lineRule="exact"/>
              <w:ind w:right="113"/>
              <w:jc w:val="right"/>
            </w:pPr>
            <w:r w:rsidRPr="00A530E1">
              <w:rPr>
                <w:b/>
                <w:sz w:val="18"/>
                <w:szCs w:val="14"/>
              </w:rPr>
              <w:t>100.0</w:t>
            </w:r>
          </w:p>
        </w:tc>
        <w:tc>
          <w:tcPr>
            <w:tcW w:w="1175"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6.6</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5.8</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4.6</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11.4</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25.0</w:t>
            </w:r>
          </w:p>
        </w:tc>
        <w:tc>
          <w:tcPr>
            <w:tcW w:w="136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46.5</w:t>
            </w:r>
          </w:p>
        </w:tc>
      </w:tr>
      <w:tr w:rsidR="00942860" w:rsidRPr="00A530E1" w:rsidTr="005E4497">
        <w:tc>
          <w:tcPr>
            <w:tcW w:w="1624" w:type="dxa"/>
            <w:shd w:val="clear" w:color="auto" w:fill="auto"/>
          </w:tcPr>
          <w:p w:rsidR="00180B44" w:rsidRPr="00A530E1" w:rsidRDefault="00180B44" w:rsidP="00813149">
            <w:pPr>
              <w:shd w:val="clear" w:color="auto" w:fill="FFFFFF"/>
              <w:spacing w:before="40" w:after="40" w:line="220" w:lineRule="exact"/>
              <w:ind w:right="113"/>
              <w:rPr>
                <w:sz w:val="18"/>
              </w:rPr>
            </w:pPr>
            <w:r w:rsidRPr="00A530E1">
              <w:rPr>
                <w:sz w:val="18"/>
                <w:szCs w:val="14"/>
              </w:rPr>
              <w:t>Cusco</w:t>
            </w:r>
          </w:p>
        </w:tc>
        <w:tc>
          <w:tcPr>
            <w:tcW w:w="770" w:type="dxa"/>
            <w:shd w:val="clear" w:color="auto" w:fill="auto"/>
          </w:tcPr>
          <w:p w:rsidR="00180B44" w:rsidRPr="00A530E1" w:rsidRDefault="00180B44" w:rsidP="00813149">
            <w:pPr>
              <w:spacing w:before="40" w:after="40" w:line="220" w:lineRule="exact"/>
              <w:ind w:right="113"/>
              <w:jc w:val="right"/>
            </w:pPr>
            <w:r w:rsidRPr="00A530E1">
              <w:rPr>
                <w:b/>
                <w:sz w:val="18"/>
                <w:szCs w:val="14"/>
              </w:rPr>
              <w:t>100.0</w:t>
            </w:r>
          </w:p>
        </w:tc>
        <w:tc>
          <w:tcPr>
            <w:tcW w:w="1175"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5.3</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4.1</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4.8</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13.1</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28.6</w:t>
            </w:r>
          </w:p>
        </w:tc>
        <w:tc>
          <w:tcPr>
            <w:tcW w:w="136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44.1</w:t>
            </w:r>
          </w:p>
        </w:tc>
      </w:tr>
      <w:tr w:rsidR="00942860" w:rsidRPr="00A530E1" w:rsidTr="005E4497">
        <w:tc>
          <w:tcPr>
            <w:tcW w:w="1624" w:type="dxa"/>
            <w:shd w:val="clear" w:color="auto" w:fill="auto"/>
          </w:tcPr>
          <w:p w:rsidR="00180B44" w:rsidRPr="00A530E1" w:rsidRDefault="00180B44" w:rsidP="00813149">
            <w:pPr>
              <w:shd w:val="clear" w:color="auto" w:fill="FFFFFF"/>
              <w:spacing w:before="40" w:after="40" w:line="220" w:lineRule="exact"/>
              <w:ind w:right="113"/>
              <w:rPr>
                <w:sz w:val="18"/>
              </w:rPr>
            </w:pPr>
            <w:r w:rsidRPr="00A530E1">
              <w:rPr>
                <w:sz w:val="18"/>
                <w:szCs w:val="14"/>
              </w:rPr>
              <w:t>Huancavelica</w:t>
            </w:r>
          </w:p>
        </w:tc>
        <w:tc>
          <w:tcPr>
            <w:tcW w:w="770" w:type="dxa"/>
            <w:shd w:val="clear" w:color="auto" w:fill="auto"/>
          </w:tcPr>
          <w:p w:rsidR="00180B44" w:rsidRPr="00A530E1" w:rsidRDefault="00180B44" w:rsidP="00813149">
            <w:pPr>
              <w:spacing w:before="40" w:after="40" w:line="220" w:lineRule="exact"/>
              <w:ind w:right="113"/>
              <w:jc w:val="right"/>
            </w:pPr>
            <w:r w:rsidRPr="00A530E1">
              <w:rPr>
                <w:b/>
                <w:sz w:val="18"/>
                <w:szCs w:val="14"/>
              </w:rPr>
              <w:t>100.0</w:t>
            </w:r>
          </w:p>
        </w:tc>
        <w:tc>
          <w:tcPr>
            <w:tcW w:w="1175"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5.4</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5.3</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4.8</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10.7</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28.2</w:t>
            </w:r>
          </w:p>
        </w:tc>
        <w:tc>
          <w:tcPr>
            <w:tcW w:w="136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45.6</w:t>
            </w:r>
          </w:p>
        </w:tc>
      </w:tr>
      <w:tr w:rsidR="00942860" w:rsidRPr="00A530E1" w:rsidTr="005E4497">
        <w:tc>
          <w:tcPr>
            <w:tcW w:w="1624" w:type="dxa"/>
            <w:shd w:val="clear" w:color="auto" w:fill="auto"/>
          </w:tcPr>
          <w:p w:rsidR="00180B44" w:rsidRPr="00A530E1" w:rsidRDefault="00180B44" w:rsidP="00813149">
            <w:pPr>
              <w:shd w:val="clear" w:color="auto" w:fill="FFFFFF"/>
              <w:spacing w:before="40" w:after="40" w:line="220" w:lineRule="exact"/>
              <w:ind w:right="113"/>
              <w:rPr>
                <w:sz w:val="18"/>
              </w:rPr>
            </w:pPr>
            <w:r w:rsidRPr="00A530E1">
              <w:rPr>
                <w:sz w:val="18"/>
                <w:szCs w:val="14"/>
              </w:rPr>
              <w:t>Huánuco</w:t>
            </w:r>
          </w:p>
        </w:tc>
        <w:tc>
          <w:tcPr>
            <w:tcW w:w="770" w:type="dxa"/>
            <w:shd w:val="clear" w:color="auto" w:fill="auto"/>
          </w:tcPr>
          <w:p w:rsidR="00180B44" w:rsidRPr="00A530E1" w:rsidRDefault="00180B44" w:rsidP="00813149">
            <w:pPr>
              <w:spacing w:before="40" w:after="40" w:line="220" w:lineRule="exact"/>
              <w:ind w:right="113"/>
              <w:jc w:val="right"/>
            </w:pPr>
            <w:r w:rsidRPr="00A530E1">
              <w:rPr>
                <w:b/>
                <w:sz w:val="18"/>
                <w:szCs w:val="14"/>
              </w:rPr>
              <w:t>100.0</w:t>
            </w:r>
          </w:p>
        </w:tc>
        <w:tc>
          <w:tcPr>
            <w:tcW w:w="1175"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9.6</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7.7</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5.9</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12.2</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24.1</w:t>
            </w:r>
          </w:p>
        </w:tc>
        <w:tc>
          <w:tcPr>
            <w:tcW w:w="136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40.6</w:t>
            </w:r>
          </w:p>
        </w:tc>
      </w:tr>
      <w:tr w:rsidR="00942860" w:rsidRPr="00A530E1" w:rsidTr="005E4497">
        <w:tc>
          <w:tcPr>
            <w:tcW w:w="1624" w:type="dxa"/>
            <w:shd w:val="clear" w:color="auto" w:fill="auto"/>
          </w:tcPr>
          <w:p w:rsidR="00180B44" w:rsidRPr="00A530E1" w:rsidRDefault="00180B44" w:rsidP="00813149">
            <w:pPr>
              <w:shd w:val="clear" w:color="auto" w:fill="FFFFFF"/>
              <w:spacing w:before="40" w:after="40" w:line="220" w:lineRule="exact"/>
              <w:ind w:right="113"/>
              <w:rPr>
                <w:sz w:val="18"/>
              </w:rPr>
            </w:pPr>
            <w:r w:rsidRPr="00A530E1">
              <w:rPr>
                <w:sz w:val="18"/>
                <w:szCs w:val="14"/>
              </w:rPr>
              <w:t>Ica</w:t>
            </w:r>
          </w:p>
        </w:tc>
        <w:tc>
          <w:tcPr>
            <w:tcW w:w="770" w:type="dxa"/>
            <w:shd w:val="clear" w:color="auto" w:fill="auto"/>
          </w:tcPr>
          <w:p w:rsidR="00180B44" w:rsidRPr="00A530E1" w:rsidRDefault="00180B44" w:rsidP="00813149">
            <w:pPr>
              <w:spacing w:before="40" w:after="40" w:line="220" w:lineRule="exact"/>
              <w:ind w:right="113"/>
              <w:jc w:val="right"/>
            </w:pPr>
            <w:r w:rsidRPr="00A530E1">
              <w:rPr>
                <w:b/>
                <w:sz w:val="18"/>
                <w:szCs w:val="14"/>
              </w:rPr>
              <w:t>100.0</w:t>
            </w:r>
          </w:p>
        </w:tc>
        <w:tc>
          <w:tcPr>
            <w:tcW w:w="1175"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6.1</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7.2</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6.9</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14.4</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28.0</w:t>
            </w:r>
          </w:p>
        </w:tc>
        <w:tc>
          <w:tcPr>
            <w:tcW w:w="136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37.5</w:t>
            </w:r>
          </w:p>
        </w:tc>
      </w:tr>
      <w:tr w:rsidR="00942860" w:rsidRPr="00A530E1" w:rsidTr="005E4497">
        <w:tc>
          <w:tcPr>
            <w:tcW w:w="1624" w:type="dxa"/>
            <w:shd w:val="clear" w:color="auto" w:fill="auto"/>
          </w:tcPr>
          <w:p w:rsidR="00180B44" w:rsidRPr="00A530E1" w:rsidRDefault="00180B44" w:rsidP="00813149">
            <w:pPr>
              <w:shd w:val="clear" w:color="auto" w:fill="FFFFFF"/>
              <w:spacing w:before="40" w:after="40" w:line="220" w:lineRule="exact"/>
              <w:ind w:right="113"/>
              <w:rPr>
                <w:sz w:val="18"/>
              </w:rPr>
            </w:pPr>
            <w:r w:rsidRPr="00A530E1">
              <w:rPr>
                <w:sz w:val="18"/>
                <w:szCs w:val="14"/>
              </w:rPr>
              <w:t>Junín</w:t>
            </w:r>
          </w:p>
        </w:tc>
        <w:tc>
          <w:tcPr>
            <w:tcW w:w="770" w:type="dxa"/>
            <w:shd w:val="clear" w:color="auto" w:fill="auto"/>
          </w:tcPr>
          <w:p w:rsidR="00180B44" w:rsidRPr="00A530E1" w:rsidRDefault="00180B44" w:rsidP="00813149">
            <w:pPr>
              <w:spacing w:before="40" w:after="40" w:line="220" w:lineRule="exact"/>
              <w:ind w:right="113"/>
              <w:jc w:val="right"/>
            </w:pPr>
            <w:r w:rsidRPr="00A530E1">
              <w:rPr>
                <w:b/>
                <w:sz w:val="18"/>
                <w:szCs w:val="14"/>
              </w:rPr>
              <w:t>100.0</w:t>
            </w:r>
          </w:p>
        </w:tc>
        <w:tc>
          <w:tcPr>
            <w:tcW w:w="1175"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6.8</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5.6</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6.2</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12.3</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23.8</w:t>
            </w:r>
          </w:p>
        </w:tc>
        <w:tc>
          <w:tcPr>
            <w:tcW w:w="136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45.3</w:t>
            </w:r>
          </w:p>
        </w:tc>
      </w:tr>
      <w:tr w:rsidR="00942860" w:rsidRPr="00A530E1" w:rsidTr="005E4497">
        <w:tc>
          <w:tcPr>
            <w:tcW w:w="1624" w:type="dxa"/>
            <w:shd w:val="clear" w:color="auto" w:fill="auto"/>
          </w:tcPr>
          <w:p w:rsidR="00180B44" w:rsidRPr="00A530E1" w:rsidRDefault="00180B44" w:rsidP="00813149">
            <w:pPr>
              <w:shd w:val="clear" w:color="auto" w:fill="FFFFFF"/>
              <w:spacing w:before="40" w:after="40" w:line="220" w:lineRule="exact"/>
              <w:ind w:right="113"/>
              <w:rPr>
                <w:sz w:val="18"/>
              </w:rPr>
            </w:pPr>
            <w:r w:rsidRPr="00A530E1">
              <w:rPr>
                <w:sz w:val="18"/>
                <w:szCs w:val="14"/>
              </w:rPr>
              <w:t>La Libertad</w:t>
            </w:r>
          </w:p>
        </w:tc>
        <w:tc>
          <w:tcPr>
            <w:tcW w:w="770" w:type="dxa"/>
            <w:shd w:val="clear" w:color="auto" w:fill="auto"/>
          </w:tcPr>
          <w:p w:rsidR="00180B44" w:rsidRPr="00A530E1" w:rsidRDefault="00180B44" w:rsidP="00813149">
            <w:pPr>
              <w:spacing w:before="40" w:after="40" w:line="220" w:lineRule="exact"/>
              <w:ind w:right="113"/>
              <w:jc w:val="right"/>
            </w:pPr>
            <w:r w:rsidRPr="00A530E1">
              <w:rPr>
                <w:b/>
                <w:sz w:val="18"/>
                <w:szCs w:val="14"/>
              </w:rPr>
              <w:t>100.0</w:t>
            </w:r>
          </w:p>
        </w:tc>
        <w:tc>
          <w:tcPr>
            <w:tcW w:w="1175"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6.0</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6.9</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5.9</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10.9</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28.9</w:t>
            </w:r>
          </w:p>
        </w:tc>
        <w:tc>
          <w:tcPr>
            <w:tcW w:w="136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41.4</w:t>
            </w:r>
          </w:p>
        </w:tc>
      </w:tr>
      <w:tr w:rsidR="00942860" w:rsidRPr="00A530E1" w:rsidTr="005E4497">
        <w:tc>
          <w:tcPr>
            <w:tcW w:w="1624" w:type="dxa"/>
            <w:shd w:val="clear" w:color="auto" w:fill="auto"/>
          </w:tcPr>
          <w:p w:rsidR="00180B44" w:rsidRPr="00A530E1" w:rsidRDefault="00180B44" w:rsidP="00813149">
            <w:pPr>
              <w:shd w:val="clear" w:color="auto" w:fill="FFFFFF"/>
              <w:spacing w:before="40" w:after="40" w:line="220" w:lineRule="exact"/>
              <w:ind w:right="113"/>
              <w:rPr>
                <w:sz w:val="18"/>
              </w:rPr>
            </w:pPr>
            <w:r w:rsidRPr="00A530E1">
              <w:rPr>
                <w:sz w:val="18"/>
                <w:szCs w:val="14"/>
              </w:rPr>
              <w:t>Lambayeque</w:t>
            </w:r>
          </w:p>
        </w:tc>
        <w:tc>
          <w:tcPr>
            <w:tcW w:w="770" w:type="dxa"/>
            <w:shd w:val="clear" w:color="auto" w:fill="auto"/>
          </w:tcPr>
          <w:p w:rsidR="00180B44" w:rsidRPr="00A530E1" w:rsidRDefault="00180B44" w:rsidP="00813149">
            <w:pPr>
              <w:spacing w:before="40" w:after="40" w:line="220" w:lineRule="exact"/>
              <w:ind w:right="113"/>
              <w:jc w:val="right"/>
            </w:pPr>
            <w:r w:rsidRPr="00A530E1">
              <w:rPr>
                <w:b/>
                <w:sz w:val="18"/>
                <w:szCs w:val="14"/>
              </w:rPr>
              <w:t>100.0</w:t>
            </w:r>
          </w:p>
        </w:tc>
        <w:tc>
          <w:tcPr>
            <w:tcW w:w="1175"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10.1</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5.9</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6.6</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12.5</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20.0</w:t>
            </w:r>
          </w:p>
        </w:tc>
        <w:tc>
          <w:tcPr>
            <w:tcW w:w="136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44.9</w:t>
            </w:r>
          </w:p>
        </w:tc>
      </w:tr>
      <w:tr w:rsidR="00942860" w:rsidRPr="00A530E1" w:rsidTr="005E4497">
        <w:tc>
          <w:tcPr>
            <w:tcW w:w="1624" w:type="dxa"/>
            <w:shd w:val="clear" w:color="auto" w:fill="auto"/>
          </w:tcPr>
          <w:p w:rsidR="00180B44" w:rsidRPr="00A530E1" w:rsidRDefault="00180B44" w:rsidP="00813149">
            <w:pPr>
              <w:shd w:val="clear" w:color="auto" w:fill="FFFFFF"/>
              <w:spacing w:before="40" w:after="40" w:line="220" w:lineRule="exact"/>
              <w:ind w:right="113"/>
              <w:rPr>
                <w:sz w:val="18"/>
              </w:rPr>
            </w:pPr>
            <w:r w:rsidRPr="00A530E1">
              <w:rPr>
                <w:sz w:val="18"/>
                <w:szCs w:val="14"/>
              </w:rPr>
              <w:t>Metropolitan Lima</w:t>
            </w:r>
            <w:r w:rsidRPr="00A530E1">
              <w:rPr>
                <w:i/>
                <w:sz w:val="18"/>
                <w:szCs w:val="14"/>
                <w:vertAlign w:val="superscript"/>
              </w:rPr>
              <w:t>1</w:t>
            </w:r>
          </w:p>
        </w:tc>
        <w:tc>
          <w:tcPr>
            <w:tcW w:w="770" w:type="dxa"/>
            <w:shd w:val="clear" w:color="auto" w:fill="auto"/>
          </w:tcPr>
          <w:p w:rsidR="00180B44" w:rsidRPr="00A530E1" w:rsidRDefault="00180B44" w:rsidP="00813149">
            <w:pPr>
              <w:spacing w:before="40" w:after="40" w:line="220" w:lineRule="exact"/>
              <w:ind w:right="113"/>
              <w:jc w:val="right"/>
            </w:pPr>
            <w:r w:rsidRPr="00A530E1">
              <w:rPr>
                <w:b/>
                <w:sz w:val="18"/>
                <w:szCs w:val="14"/>
              </w:rPr>
              <w:t>100.0</w:t>
            </w:r>
          </w:p>
        </w:tc>
        <w:tc>
          <w:tcPr>
            <w:tcW w:w="1175"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7.7</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7.2</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7.2</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14.2</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27.8</w:t>
            </w:r>
          </w:p>
        </w:tc>
        <w:tc>
          <w:tcPr>
            <w:tcW w:w="136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35.9</w:t>
            </w:r>
          </w:p>
        </w:tc>
      </w:tr>
      <w:tr w:rsidR="00942860" w:rsidRPr="00A530E1" w:rsidTr="005E4497">
        <w:tc>
          <w:tcPr>
            <w:tcW w:w="1624" w:type="dxa"/>
            <w:shd w:val="clear" w:color="auto" w:fill="auto"/>
          </w:tcPr>
          <w:p w:rsidR="00180B44" w:rsidRPr="00A530E1" w:rsidRDefault="00180B44" w:rsidP="00813149">
            <w:pPr>
              <w:shd w:val="clear" w:color="auto" w:fill="FFFFFF"/>
              <w:spacing w:before="40" w:after="40" w:line="220" w:lineRule="exact"/>
              <w:ind w:right="113"/>
              <w:rPr>
                <w:sz w:val="18"/>
              </w:rPr>
            </w:pPr>
            <w:r w:rsidRPr="00A530E1">
              <w:rPr>
                <w:sz w:val="18"/>
                <w:szCs w:val="14"/>
              </w:rPr>
              <w:t>Lima-Provinces</w:t>
            </w:r>
            <w:r w:rsidRPr="00A530E1">
              <w:rPr>
                <w:i/>
                <w:sz w:val="18"/>
                <w:szCs w:val="14"/>
                <w:vertAlign w:val="superscript"/>
              </w:rPr>
              <w:t>2</w:t>
            </w:r>
          </w:p>
        </w:tc>
        <w:tc>
          <w:tcPr>
            <w:tcW w:w="770" w:type="dxa"/>
            <w:shd w:val="clear" w:color="auto" w:fill="auto"/>
          </w:tcPr>
          <w:p w:rsidR="00180B44" w:rsidRPr="00A530E1" w:rsidRDefault="00180B44" w:rsidP="00813149">
            <w:pPr>
              <w:spacing w:before="40" w:after="40" w:line="220" w:lineRule="exact"/>
              <w:ind w:right="113"/>
              <w:jc w:val="right"/>
            </w:pPr>
            <w:r w:rsidRPr="00A530E1">
              <w:rPr>
                <w:b/>
                <w:sz w:val="18"/>
                <w:szCs w:val="14"/>
              </w:rPr>
              <w:t>100.0</w:t>
            </w:r>
          </w:p>
        </w:tc>
        <w:tc>
          <w:tcPr>
            <w:tcW w:w="1175"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5.8</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7.6</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7.0</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10.7</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27.0</w:t>
            </w:r>
          </w:p>
        </w:tc>
        <w:tc>
          <w:tcPr>
            <w:tcW w:w="136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42.0</w:t>
            </w:r>
          </w:p>
        </w:tc>
      </w:tr>
      <w:tr w:rsidR="00942860" w:rsidRPr="00A530E1" w:rsidTr="005E4497">
        <w:tc>
          <w:tcPr>
            <w:tcW w:w="1624" w:type="dxa"/>
            <w:shd w:val="clear" w:color="auto" w:fill="auto"/>
          </w:tcPr>
          <w:p w:rsidR="00180B44" w:rsidRPr="00A530E1" w:rsidRDefault="00180B44" w:rsidP="00813149">
            <w:pPr>
              <w:shd w:val="clear" w:color="auto" w:fill="FFFFFF"/>
              <w:spacing w:before="40" w:after="40" w:line="220" w:lineRule="exact"/>
              <w:ind w:right="113"/>
              <w:rPr>
                <w:sz w:val="18"/>
              </w:rPr>
            </w:pPr>
            <w:r w:rsidRPr="00A530E1">
              <w:rPr>
                <w:sz w:val="18"/>
                <w:szCs w:val="14"/>
              </w:rPr>
              <w:t>Loreto</w:t>
            </w:r>
          </w:p>
        </w:tc>
        <w:tc>
          <w:tcPr>
            <w:tcW w:w="770" w:type="dxa"/>
            <w:shd w:val="clear" w:color="auto" w:fill="auto"/>
          </w:tcPr>
          <w:p w:rsidR="00180B44" w:rsidRPr="00A530E1" w:rsidRDefault="00180B44" w:rsidP="00813149">
            <w:pPr>
              <w:spacing w:before="40" w:after="40" w:line="220" w:lineRule="exact"/>
              <w:ind w:right="113"/>
              <w:jc w:val="right"/>
            </w:pPr>
            <w:r w:rsidRPr="00A530E1">
              <w:rPr>
                <w:b/>
                <w:sz w:val="18"/>
                <w:szCs w:val="14"/>
              </w:rPr>
              <w:t>100.0</w:t>
            </w:r>
          </w:p>
        </w:tc>
        <w:tc>
          <w:tcPr>
            <w:tcW w:w="1175"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11.3</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8.6</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7.2</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12.8</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28.0</w:t>
            </w:r>
          </w:p>
        </w:tc>
        <w:tc>
          <w:tcPr>
            <w:tcW w:w="136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32.1</w:t>
            </w:r>
          </w:p>
        </w:tc>
      </w:tr>
      <w:tr w:rsidR="00942860" w:rsidRPr="00A530E1" w:rsidTr="005E4497">
        <w:tc>
          <w:tcPr>
            <w:tcW w:w="1624" w:type="dxa"/>
            <w:shd w:val="clear" w:color="auto" w:fill="auto"/>
          </w:tcPr>
          <w:p w:rsidR="00180B44" w:rsidRPr="00A530E1" w:rsidRDefault="00180B44" w:rsidP="00813149">
            <w:pPr>
              <w:shd w:val="clear" w:color="auto" w:fill="FFFFFF"/>
              <w:spacing w:before="40" w:after="40" w:line="220" w:lineRule="exact"/>
              <w:ind w:right="113"/>
              <w:rPr>
                <w:sz w:val="18"/>
              </w:rPr>
            </w:pPr>
            <w:r w:rsidRPr="00A530E1">
              <w:rPr>
                <w:sz w:val="18"/>
                <w:szCs w:val="14"/>
              </w:rPr>
              <w:t>Madre de Dios</w:t>
            </w:r>
          </w:p>
        </w:tc>
        <w:tc>
          <w:tcPr>
            <w:tcW w:w="770" w:type="dxa"/>
            <w:shd w:val="clear" w:color="auto" w:fill="auto"/>
          </w:tcPr>
          <w:p w:rsidR="00180B44" w:rsidRPr="00A530E1" w:rsidRDefault="00180B44" w:rsidP="00813149">
            <w:pPr>
              <w:spacing w:before="40" w:after="40" w:line="220" w:lineRule="exact"/>
              <w:ind w:right="113"/>
              <w:jc w:val="right"/>
            </w:pPr>
            <w:r w:rsidRPr="00A530E1">
              <w:rPr>
                <w:b/>
                <w:sz w:val="18"/>
                <w:szCs w:val="14"/>
              </w:rPr>
              <w:t>100.0</w:t>
            </w:r>
          </w:p>
        </w:tc>
        <w:tc>
          <w:tcPr>
            <w:tcW w:w="1175"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17.9</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8.6</w:t>
            </w:r>
            <w:r w:rsidRPr="00A530E1">
              <w:rPr>
                <w:i/>
                <w:sz w:val="18"/>
                <w:szCs w:val="14"/>
                <w:vertAlign w:val="superscript"/>
              </w:rPr>
              <w:t>a</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5.9</w:t>
            </w:r>
            <w:r w:rsidRPr="00A530E1">
              <w:rPr>
                <w:i/>
                <w:sz w:val="18"/>
                <w:szCs w:val="14"/>
                <w:vertAlign w:val="superscript"/>
              </w:rPr>
              <w:t>a</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11.6</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24.1</w:t>
            </w:r>
          </w:p>
        </w:tc>
        <w:tc>
          <w:tcPr>
            <w:tcW w:w="136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31.8</w:t>
            </w:r>
          </w:p>
        </w:tc>
      </w:tr>
      <w:tr w:rsidR="00942860" w:rsidRPr="00A530E1" w:rsidTr="005E4497">
        <w:tc>
          <w:tcPr>
            <w:tcW w:w="1624" w:type="dxa"/>
            <w:shd w:val="clear" w:color="auto" w:fill="auto"/>
          </w:tcPr>
          <w:p w:rsidR="00180B44" w:rsidRPr="00A530E1" w:rsidRDefault="00180B44" w:rsidP="00813149">
            <w:pPr>
              <w:shd w:val="clear" w:color="auto" w:fill="FFFFFF"/>
              <w:spacing w:before="40" w:after="40" w:line="220" w:lineRule="exact"/>
              <w:ind w:right="113"/>
              <w:rPr>
                <w:sz w:val="18"/>
              </w:rPr>
            </w:pPr>
            <w:r w:rsidRPr="00A530E1">
              <w:rPr>
                <w:sz w:val="18"/>
                <w:szCs w:val="14"/>
              </w:rPr>
              <w:t>Moquegua</w:t>
            </w:r>
          </w:p>
        </w:tc>
        <w:tc>
          <w:tcPr>
            <w:tcW w:w="770" w:type="dxa"/>
            <w:shd w:val="clear" w:color="auto" w:fill="auto"/>
          </w:tcPr>
          <w:p w:rsidR="00180B44" w:rsidRPr="00A530E1" w:rsidRDefault="00180B44" w:rsidP="00813149">
            <w:pPr>
              <w:spacing w:before="40" w:after="40" w:line="220" w:lineRule="exact"/>
              <w:ind w:right="113"/>
              <w:jc w:val="right"/>
            </w:pPr>
            <w:r w:rsidRPr="00A530E1">
              <w:rPr>
                <w:b/>
                <w:sz w:val="18"/>
                <w:szCs w:val="14"/>
              </w:rPr>
              <w:t>100.0</w:t>
            </w:r>
          </w:p>
        </w:tc>
        <w:tc>
          <w:tcPr>
            <w:tcW w:w="1175"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3.8</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4.1</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5.3</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12.5</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28.8</w:t>
            </w:r>
          </w:p>
        </w:tc>
        <w:tc>
          <w:tcPr>
            <w:tcW w:w="136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45.4</w:t>
            </w:r>
          </w:p>
        </w:tc>
      </w:tr>
      <w:tr w:rsidR="00942860" w:rsidRPr="00A530E1" w:rsidTr="005E4497">
        <w:tc>
          <w:tcPr>
            <w:tcW w:w="1624" w:type="dxa"/>
            <w:shd w:val="clear" w:color="auto" w:fill="auto"/>
          </w:tcPr>
          <w:p w:rsidR="00180B44" w:rsidRPr="00A530E1" w:rsidRDefault="00180B44" w:rsidP="00813149">
            <w:pPr>
              <w:shd w:val="clear" w:color="auto" w:fill="FFFFFF"/>
              <w:spacing w:before="40" w:after="40" w:line="220" w:lineRule="exact"/>
              <w:ind w:right="113"/>
              <w:rPr>
                <w:sz w:val="18"/>
              </w:rPr>
            </w:pPr>
            <w:r w:rsidRPr="00A530E1">
              <w:rPr>
                <w:sz w:val="18"/>
                <w:szCs w:val="14"/>
              </w:rPr>
              <w:t>Pasco</w:t>
            </w:r>
          </w:p>
        </w:tc>
        <w:tc>
          <w:tcPr>
            <w:tcW w:w="770" w:type="dxa"/>
            <w:shd w:val="clear" w:color="auto" w:fill="auto"/>
          </w:tcPr>
          <w:p w:rsidR="00180B44" w:rsidRPr="00A530E1" w:rsidRDefault="00180B44" w:rsidP="00813149">
            <w:pPr>
              <w:spacing w:before="40" w:after="40" w:line="220" w:lineRule="exact"/>
              <w:ind w:right="113"/>
              <w:jc w:val="right"/>
            </w:pPr>
            <w:r w:rsidRPr="00A530E1">
              <w:rPr>
                <w:b/>
                <w:sz w:val="18"/>
                <w:szCs w:val="14"/>
              </w:rPr>
              <w:t>100.0</w:t>
            </w:r>
          </w:p>
        </w:tc>
        <w:tc>
          <w:tcPr>
            <w:tcW w:w="1175"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6.8</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6.9</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6.4</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11.0</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29.2</w:t>
            </w:r>
          </w:p>
        </w:tc>
        <w:tc>
          <w:tcPr>
            <w:tcW w:w="136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39.6</w:t>
            </w:r>
          </w:p>
        </w:tc>
      </w:tr>
      <w:tr w:rsidR="00942860" w:rsidRPr="00A530E1" w:rsidTr="005E4497">
        <w:tc>
          <w:tcPr>
            <w:tcW w:w="1624" w:type="dxa"/>
            <w:shd w:val="clear" w:color="auto" w:fill="auto"/>
          </w:tcPr>
          <w:p w:rsidR="00180B44" w:rsidRPr="00A530E1" w:rsidRDefault="00180B44" w:rsidP="00813149">
            <w:pPr>
              <w:shd w:val="clear" w:color="auto" w:fill="FFFFFF"/>
              <w:spacing w:before="40" w:after="40" w:line="220" w:lineRule="exact"/>
              <w:ind w:right="113"/>
              <w:rPr>
                <w:sz w:val="18"/>
              </w:rPr>
            </w:pPr>
            <w:r w:rsidRPr="00A530E1">
              <w:rPr>
                <w:sz w:val="18"/>
                <w:szCs w:val="14"/>
              </w:rPr>
              <w:t>Piura</w:t>
            </w:r>
          </w:p>
        </w:tc>
        <w:tc>
          <w:tcPr>
            <w:tcW w:w="770" w:type="dxa"/>
            <w:shd w:val="clear" w:color="auto" w:fill="auto"/>
          </w:tcPr>
          <w:p w:rsidR="00180B44" w:rsidRPr="00A530E1" w:rsidRDefault="00180B44" w:rsidP="00813149">
            <w:pPr>
              <w:spacing w:before="40" w:after="40" w:line="220" w:lineRule="exact"/>
              <w:ind w:right="113"/>
              <w:jc w:val="right"/>
            </w:pPr>
            <w:r w:rsidRPr="00A530E1">
              <w:rPr>
                <w:b/>
                <w:sz w:val="18"/>
                <w:szCs w:val="14"/>
              </w:rPr>
              <w:t>100.0</w:t>
            </w:r>
          </w:p>
        </w:tc>
        <w:tc>
          <w:tcPr>
            <w:tcW w:w="1175"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7.6</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7.9</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6.7</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11.0</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27.2</w:t>
            </w:r>
          </w:p>
        </w:tc>
        <w:tc>
          <w:tcPr>
            <w:tcW w:w="136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39.7</w:t>
            </w:r>
          </w:p>
        </w:tc>
      </w:tr>
      <w:tr w:rsidR="00942860" w:rsidRPr="00A530E1" w:rsidTr="005E4497">
        <w:tc>
          <w:tcPr>
            <w:tcW w:w="1624" w:type="dxa"/>
            <w:shd w:val="clear" w:color="auto" w:fill="auto"/>
          </w:tcPr>
          <w:p w:rsidR="00180B44" w:rsidRPr="00A530E1" w:rsidRDefault="00180B44" w:rsidP="00813149">
            <w:pPr>
              <w:shd w:val="clear" w:color="auto" w:fill="FFFFFF"/>
              <w:spacing w:before="40" w:after="40" w:line="220" w:lineRule="exact"/>
              <w:ind w:right="113"/>
              <w:rPr>
                <w:sz w:val="18"/>
              </w:rPr>
            </w:pPr>
            <w:r w:rsidRPr="00A530E1">
              <w:rPr>
                <w:sz w:val="18"/>
                <w:szCs w:val="14"/>
              </w:rPr>
              <w:t>Puno</w:t>
            </w:r>
          </w:p>
        </w:tc>
        <w:tc>
          <w:tcPr>
            <w:tcW w:w="770" w:type="dxa"/>
            <w:shd w:val="clear" w:color="auto" w:fill="auto"/>
          </w:tcPr>
          <w:p w:rsidR="00180B44" w:rsidRPr="00A530E1" w:rsidRDefault="00180B44" w:rsidP="00813149">
            <w:pPr>
              <w:spacing w:before="40" w:after="40" w:line="220" w:lineRule="exact"/>
              <w:ind w:right="113"/>
              <w:jc w:val="right"/>
            </w:pPr>
            <w:r w:rsidRPr="00A530E1">
              <w:rPr>
                <w:b/>
                <w:sz w:val="18"/>
                <w:szCs w:val="14"/>
              </w:rPr>
              <w:t>100.0</w:t>
            </w:r>
          </w:p>
        </w:tc>
        <w:tc>
          <w:tcPr>
            <w:tcW w:w="1175"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6.4</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4.9</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4.2</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10.3</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27.5</w:t>
            </w:r>
          </w:p>
        </w:tc>
        <w:tc>
          <w:tcPr>
            <w:tcW w:w="136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46.8</w:t>
            </w:r>
          </w:p>
        </w:tc>
      </w:tr>
      <w:tr w:rsidR="00942860" w:rsidRPr="00A530E1" w:rsidTr="005E4497">
        <w:tc>
          <w:tcPr>
            <w:tcW w:w="1624" w:type="dxa"/>
            <w:shd w:val="clear" w:color="auto" w:fill="auto"/>
          </w:tcPr>
          <w:p w:rsidR="00180B44" w:rsidRPr="00A530E1" w:rsidRDefault="00180B44" w:rsidP="00813149">
            <w:pPr>
              <w:shd w:val="clear" w:color="auto" w:fill="FFFFFF"/>
              <w:spacing w:before="40" w:after="40" w:line="220" w:lineRule="exact"/>
              <w:ind w:right="113"/>
              <w:rPr>
                <w:sz w:val="18"/>
              </w:rPr>
            </w:pPr>
            <w:r w:rsidRPr="00A530E1">
              <w:rPr>
                <w:sz w:val="18"/>
                <w:szCs w:val="14"/>
              </w:rPr>
              <w:t>San Martín</w:t>
            </w:r>
          </w:p>
        </w:tc>
        <w:tc>
          <w:tcPr>
            <w:tcW w:w="770" w:type="dxa"/>
            <w:shd w:val="clear" w:color="auto" w:fill="auto"/>
          </w:tcPr>
          <w:p w:rsidR="00180B44" w:rsidRPr="00A530E1" w:rsidRDefault="00180B44" w:rsidP="00813149">
            <w:pPr>
              <w:spacing w:before="40" w:after="40" w:line="220" w:lineRule="exact"/>
              <w:ind w:right="113"/>
              <w:jc w:val="right"/>
            </w:pPr>
            <w:r w:rsidRPr="00A530E1">
              <w:rPr>
                <w:b/>
                <w:sz w:val="18"/>
                <w:szCs w:val="14"/>
              </w:rPr>
              <w:t>100.0</w:t>
            </w:r>
          </w:p>
        </w:tc>
        <w:tc>
          <w:tcPr>
            <w:tcW w:w="1175"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7.1</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7.0</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6.2</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15.9</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36.3</w:t>
            </w:r>
          </w:p>
        </w:tc>
        <w:tc>
          <w:tcPr>
            <w:tcW w:w="136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27.4</w:t>
            </w:r>
          </w:p>
        </w:tc>
      </w:tr>
      <w:tr w:rsidR="00942860" w:rsidRPr="00A530E1" w:rsidTr="005E4497">
        <w:tc>
          <w:tcPr>
            <w:tcW w:w="1624" w:type="dxa"/>
            <w:shd w:val="clear" w:color="auto" w:fill="auto"/>
          </w:tcPr>
          <w:p w:rsidR="00180B44" w:rsidRPr="00A530E1" w:rsidRDefault="00180B44" w:rsidP="00813149">
            <w:pPr>
              <w:shd w:val="clear" w:color="auto" w:fill="FFFFFF"/>
              <w:spacing w:before="40" w:after="40" w:line="220" w:lineRule="exact"/>
              <w:ind w:right="113"/>
              <w:rPr>
                <w:sz w:val="18"/>
              </w:rPr>
            </w:pPr>
            <w:r w:rsidRPr="00A530E1">
              <w:rPr>
                <w:sz w:val="18"/>
                <w:szCs w:val="14"/>
              </w:rPr>
              <w:t>Tacna</w:t>
            </w:r>
          </w:p>
        </w:tc>
        <w:tc>
          <w:tcPr>
            <w:tcW w:w="770" w:type="dxa"/>
            <w:shd w:val="clear" w:color="auto" w:fill="auto"/>
          </w:tcPr>
          <w:p w:rsidR="00180B44" w:rsidRPr="00A530E1" w:rsidRDefault="00180B44" w:rsidP="00813149">
            <w:pPr>
              <w:spacing w:before="40" w:after="40" w:line="220" w:lineRule="exact"/>
              <w:ind w:right="113"/>
              <w:jc w:val="right"/>
            </w:pPr>
            <w:r w:rsidRPr="00A530E1">
              <w:rPr>
                <w:b/>
                <w:sz w:val="18"/>
                <w:szCs w:val="14"/>
              </w:rPr>
              <w:t>100.0</w:t>
            </w:r>
          </w:p>
        </w:tc>
        <w:tc>
          <w:tcPr>
            <w:tcW w:w="1175"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3.6</w:t>
            </w:r>
            <w:r w:rsidRPr="00A530E1">
              <w:rPr>
                <w:i/>
                <w:sz w:val="18"/>
                <w:szCs w:val="14"/>
                <w:vertAlign w:val="superscript"/>
              </w:rPr>
              <w:t>a</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4.0</w:t>
            </w:r>
            <w:r w:rsidRPr="00A530E1">
              <w:rPr>
                <w:i/>
                <w:sz w:val="18"/>
                <w:szCs w:val="14"/>
                <w:vertAlign w:val="superscript"/>
              </w:rPr>
              <w:t>a</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3.4</w:t>
            </w:r>
            <w:r w:rsidRPr="00A530E1">
              <w:rPr>
                <w:i/>
                <w:sz w:val="18"/>
                <w:szCs w:val="14"/>
                <w:vertAlign w:val="superscript"/>
              </w:rPr>
              <w:t>a</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11.8</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30.1</w:t>
            </w:r>
          </w:p>
        </w:tc>
        <w:tc>
          <w:tcPr>
            <w:tcW w:w="136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47.1</w:t>
            </w:r>
          </w:p>
        </w:tc>
      </w:tr>
      <w:tr w:rsidR="00942860" w:rsidRPr="00A530E1" w:rsidTr="005E4497">
        <w:tc>
          <w:tcPr>
            <w:tcW w:w="1624" w:type="dxa"/>
            <w:shd w:val="clear" w:color="auto" w:fill="auto"/>
          </w:tcPr>
          <w:p w:rsidR="00180B44" w:rsidRPr="00A530E1" w:rsidRDefault="00180B44" w:rsidP="00813149">
            <w:pPr>
              <w:shd w:val="clear" w:color="auto" w:fill="FFFFFF"/>
              <w:spacing w:before="40" w:after="40" w:line="220" w:lineRule="exact"/>
              <w:ind w:right="113"/>
              <w:rPr>
                <w:sz w:val="18"/>
              </w:rPr>
            </w:pPr>
            <w:r w:rsidRPr="00A530E1">
              <w:rPr>
                <w:sz w:val="18"/>
                <w:szCs w:val="14"/>
              </w:rPr>
              <w:t>Tumbes</w:t>
            </w:r>
          </w:p>
        </w:tc>
        <w:tc>
          <w:tcPr>
            <w:tcW w:w="770" w:type="dxa"/>
            <w:shd w:val="clear" w:color="auto" w:fill="auto"/>
          </w:tcPr>
          <w:p w:rsidR="00180B44" w:rsidRPr="00A530E1" w:rsidRDefault="00180B44" w:rsidP="00813149">
            <w:pPr>
              <w:spacing w:before="40" w:after="40" w:line="220" w:lineRule="exact"/>
              <w:ind w:right="113"/>
              <w:jc w:val="right"/>
            </w:pPr>
            <w:r w:rsidRPr="00A530E1">
              <w:rPr>
                <w:b/>
                <w:sz w:val="18"/>
                <w:szCs w:val="14"/>
              </w:rPr>
              <w:t>100.0</w:t>
            </w:r>
          </w:p>
        </w:tc>
        <w:tc>
          <w:tcPr>
            <w:tcW w:w="1175"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13.4</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8.7</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7.6</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12.0</w:t>
            </w:r>
          </w:p>
        </w:tc>
        <w:tc>
          <w:tcPr>
            <w:tcW w:w="117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17.3</w:t>
            </w:r>
          </w:p>
        </w:tc>
        <w:tc>
          <w:tcPr>
            <w:tcW w:w="1366" w:type="dxa"/>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41.0</w:t>
            </w:r>
          </w:p>
        </w:tc>
      </w:tr>
      <w:tr w:rsidR="00942860" w:rsidRPr="00A530E1" w:rsidTr="005E4497">
        <w:tc>
          <w:tcPr>
            <w:tcW w:w="1624" w:type="dxa"/>
            <w:tcBorders>
              <w:bottom w:val="single" w:sz="4" w:space="0" w:color="auto"/>
            </w:tcBorders>
            <w:shd w:val="clear" w:color="auto" w:fill="auto"/>
          </w:tcPr>
          <w:p w:rsidR="00180B44" w:rsidRPr="00A530E1" w:rsidRDefault="00180B44" w:rsidP="00813149">
            <w:pPr>
              <w:shd w:val="clear" w:color="auto" w:fill="FFFFFF"/>
              <w:spacing w:before="40" w:after="40" w:line="220" w:lineRule="exact"/>
              <w:ind w:right="113"/>
              <w:rPr>
                <w:sz w:val="18"/>
              </w:rPr>
            </w:pPr>
            <w:r w:rsidRPr="00A530E1">
              <w:rPr>
                <w:sz w:val="18"/>
                <w:szCs w:val="14"/>
              </w:rPr>
              <w:t>Ucayali</w:t>
            </w:r>
          </w:p>
        </w:tc>
        <w:tc>
          <w:tcPr>
            <w:tcW w:w="770" w:type="dxa"/>
            <w:tcBorders>
              <w:bottom w:val="single" w:sz="4" w:space="0" w:color="auto"/>
            </w:tcBorders>
            <w:shd w:val="clear" w:color="auto" w:fill="auto"/>
          </w:tcPr>
          <w:p w:rsidR="00180B44" w:rsidRPr="00A530E1" w:rsidRDefault="00180B44" w:rsidP="00813149">
            <w:pPr>
              <w:spacing w:before="40" w:after="40" w:line="220" w:lineRule="exact"/>
              <w:ind w:right="113"/>
              <w:jc w:val="right"/>
            </w:pPr>
            <w:r w:rsidRPr="00A530E1">
              <w:rPr>
                <w:b/>
                <w:sz w:val="18"/>
                <w:szCs w:val="14"/>
              </w:rPr>
              <w:t>100.0</w:t>
            </w:r>
          </w:p>
        </w:tc>
        <w:tc>
          <w:tcPr>
            <w:tcW w:w="1175" w:type="dxa"/>
            <w:tcBorders>
              <w:bottom w:val="single" w:sz="4" w:space="0" w:color="auto"/>
            </w:tcBorders>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6.6</w:t>
            </w:r>
          </w:p>
        </w:tc>
        <w:tc>
          <w:tcPr>
            <w:tcW w:w="1176" w:type="dxa"/>
            <w:tcBorders>
              <w:bottom w:val="single" w:sz="4" w:space="0" w:color="auto"/>
            </w:tcBorders>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6.8</w:t>
            </w:r>
          </w:p>
        </w:tc>
        <w:tc>
          <w:tcPr>
            <w:tcW w:w="1176" w:type="dxa"/>
            <w:tcBorders>
              <w:bottom w:val="single" w:sz="4" w:space="0" w:color="auto"/>
            </w:tcBorders>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6.3</w:t>
            </w:r>
          </w:p>
        </w:tc>
        <w:tc>
          <w:tcPr>
            <w:tcW w:w="1176" w:type="dxa"/>
            <w:tcBorders>
              <w:bottom w:val="single" w:sz="4" w:space="0" w:color="auto"/>
            </w:tcBorders>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14.7</w:t>
            </w:r>
          </w:p>
        </w:tc>
        <w:tc>
          <w:tcPr>
            <w:tcW w:w="1176" w:type="dxa"/>
            <w:tcBorders>
              <w:bottom w:val="single" w:sz="4" w:space="0" w:color="auto"/>
            </w:tcBorders>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36.7</w:t>
            </w:r>
          </w:p>
        </w:tc>
        <w:tc>
          <w:tcPr>
            <w:tcW w:w="1366" w:type="dxa"/>
            <w:tcBorders>
              <w:bottom w:val="single" w:sz="4" w:space="0" w:color="auto"/>
            </w:tcBorders>
            <w:shd w:val="clear" w:color="auto" w:fill="auto"/>
            <w:vAlign w:val="bottom"/>
          </w:tcPr>
          <w:p w:rsidR="00180B44" w:rsidRPr="00A530E1" w:rsidRDefault="00180B44" w:rsidP="00813149">
            <w:pPr>
              <w:shd w:val="clear" w:color="auto" w:fill="FFFFFF"/>
              <w:spacing w:before="40" w:after="40" w:line="220" w:lineRule="exact"/>
              <w:ind w:right="113"/>
              <w:jc w:val="right"/>
              <w:rPr>
                <w:sz w:val="18"/>
              </w:rPr>
            </w:pPr>
            <w:r w:rsidRPr="00A530E1">
              <w:rPr>
                <w:sz w:val="18"/>
                <w:szCs w:val="14"/>
              </w:rPr>
              <w:t>28.9</w:t>
            </w:r>
          </w:p>
        </w:tc>
      </w:tr>
      <w:tr w:rsidR="00942860" w:rsidRPr="00A530E1" w:rsidTr="005E4497">
        <w:tc>
          <w:tcPr>
            <w:tcW w:w="1624" w:type="dxa"/>
            <w:tcBorders>
              <w:top w:val="single" w:sz="4" w:space="0" w:color="auto"/>
              <w:bottom w:val="single" w:sz="12" w:space="0" w:color="auto"/>
            </w:tcBorders>
            <w:shd w:val="clear" w:color="auto" w:fill="auto"/>
          </w:tcPr>
          <w:p w:rsidR="00180B44" w:rsidRPr="00A530E1" w:rsidRDefault="00180B44" w:rsidP="00D538EC">
            <w:pPr>
              <w:shd w:val="clear" w:color="auto" w:fill="FFFFFF"/>
              <w:spacing w:before="80" w:after="80" w:line="220" w:lineRule="exact"/>
              <w:ind w:left="284" w:right="113"/>
              <w:rPr>
                <w:b/>
                <w:sz w:val="18"/>
              </w:rPr>
            </w:pPr>
            <w:r w:rsidRPr="00A530E1">
              <w:rPr>
                <w:b/>
                <w:sz w:val="18"/>
                <w:szCs w:val="14"/>
              </w:rPr>
              <w:t>Total</w:t>
            </w:r>
          </w:p>
        </w:tc>
        <w:tc>
          <w:tcPr>
            <w:tcW w:w="770" w:type="dxa"/>
            <w:tcBorders>
              <w:top w:val="single" w:sz="4" w:space="0" w:color="auto"/>
              <w:bottom w:val="single" w:sz="12" w:space="0" w:color="auto"/>
            </w:tcBorders>
            <w:shd w:val="clear" w:color="auto" w:fill="auto"/>
            <w:vAlign w:val="bottom"/>
          </w:tcPr>
          <w:p w:rsidR="00180B44" w:rsidRPr="00A530E1" w:rsidRDefault="00180B44" w:rsidP="00813149">
            <w:pPr>
              <w:spacing w:before="80" w:after="80"/>
              <w:ind w:right="113"/>
              <w:jc w:val="right"/>
            </w:pPr>
            <w:r w:rsidRPr="00A530E1">
              <w:rPr>
                <w:b/>
                <w:sz w:val="18"/>
                <w:szCs w:val="14"/>
              </w:rPr>
              <w:t>100.0</w:t>
            </w:r>
          </w:p>
        </w:tc>
        <w:tc>
          <w:tcPr>
            <w:tcW w:w="1175" w:type="dxa"/>
            <w:tcBorders>
              <w:top w:val="single" w:sz="4" w:space="0" w:color="auto"/>
              <w:bottom w:val="single" w:sz="12" w:space="0" w:color="auto"/>
            </w:tcBorders>
            <w:shd w:val="clear" w:color="auto" w:fill="auto"/>
            <w:vAlign w:val="bottom"/>
          </w:tcPr>
          <w:p w:rsidR="00180B44" w:rsidRPr="00A530E1" w:rsidRDefault="00180B44" w:rsidP="00813149">
            <w:pPr>
              <w:shd w:val="clear" w:color="auto" w:fill="FFFFFF"/>
              <w:spacing w:before="80" w:after="80" w:line="220" w:lineRule="exact"/>
              <w:ind w:right="113"/>
              <w:jc w:val="right"/>
              <w:rPr>
                <w:b/>
                <w:sz w:val="18"/>
              </w:rPr>
            </w:pPr>
            <w:r w:rsidRPr="00A530E1">
              <w:rPr>
                <w:b/>
                <w:sz w:val="18"/>
                <w:szCs w:val="14"/>
              </w:rPr>
              <w:t>7.1</w:t>
            </w:r>
          </w:p>
        </w:tc>
        <w:tc>
          <w:tcPr>
            <w:tcW w:w="1176" w:type="dxa"/>
            <w:tcBorders>
              <w:top w:val="single" w:sz="4" w:space="0" w:color="auto"/>
              <w:bottom w:val="single" w:sz="12" w:space="0" w:color="auto"/>
            </w:tcBorders>
            <w:shd w:val="clear" w:color="auto" w:fill="auto"/>
            <w:vAlign w:val="bottom"/>
          </w:tcPr>
          <w:p w:rsidR="00180B44" w:rsidRPr="00A530E1" w:rsidRDefault="00180B44" w:rsidP="00813149">
            <w:pPr>
              <w:shd w:val="clear" w:color="auto" w:fill="FFFFFF"/>
              <w:spacing w:before="80" w:after="80" w:line="220" w:lineRule="exact"/>
              <w:ind w:right="113"/>
              <w:jc w:val="right"/>
              <w:rPr>
                <w:b/>
                <w:sz w:val="18"/>
              </w:rPr>
            </w:pPr>
            <w:r w:rsidRPr="00A530E1">
              <w:rPr>
                <w:b/>
                <w:sz w:val="18"/>
                <w:szCs w:val="14"/>
              </w:rPr>
              <w:t>6.5</w:t>
            </w:r>
          </w:p>
        </w:tc>
        <w:tc>
          <w:tcPr>
            <w:tcW w:w="1176" w:type="dxa"/>
            <w:tcBorders>
              <w:top w:val="single" w:sz="4" w:space="0" w:color="auto"/>
              <w:bottom w:val="single" w:sz="12" w:space="0" w:color="auto"/>
            </w:tcBorders>
            <w:shd w:val="clear" w:color="auto" w:fill="auto"/>
            <w:vAlign w:val="bottom"/>
          </w:tcPr>
          <w:p w:rsidR="00180B44" w:rsidRPr="00A530E1" w:rsidRDefault="00180B44" w:rsidP="00813149">
            <w:pPr>
              <w:shd w:val="clear" w:color="auto" w:fill="FFFFFF"/>
              <w:spacing w:before="80" w:after="80" w:line="220" w:lineRule="exact"/>
              <w:ind w:right="113"/>
              <w:jc w:val="right"/>
              <w:rPr>
                <w:b/>
                <w:sz w:val="18"/>
              </w:rPr>
            </w:pPr>
            <w:r w:rsidRPr="00A530E1">
              <w:rPr>
                <w:b/>
                <w:sz w:val="18"/>
                <w:szCs w:val="14"/>
              </w:rPr>
              <w:t>6.2</w:t>
            </w:r>
          </w:p>
        </w:tc>
        <w:tc>
          <w:tcPr>
            <w:tcW w:w="1176" w:type="dxa"/>
            <w:tcBorders>
              <w:top w:val="single" w:sz="4" w:space="0" w:color="auto"/>
              <w:bottom w:val="single" w:sz="12" w:space="0" w:color="auto"/>
            </w:tcBorders>
            <w:shd w:val="clear" w:color="auto" w:fill="auto"/>
            <w:vAlign w:val="bottom"/>
          </w:tcPr>
          <w:p w:rsidR="00180B44" w:rsidRPr="00A530E1" w:rsidRDefault="00180B44" w:rsidP="00813149">
            <w:pPr>
              <w:shd w:val="clear" w:color="auto" w:fill="FFFFFF"/>
              <w:spacing w:before="80" w:after="80" w:line="220" w:lineRule="exact"/>
              <w:ind w:right="113"/>
              <w:jc w:val="right"/>
              <w:rPr>
                <w:b/>
                <w:sz w:val="18"/>
              </w:rPr>
            </w:pPr>
            <w:r w:rsidRPr="00A530E1">
              <w:rPr>
                <w:b/>
                <w:sz w:val="18"/>
                <w:szCs w:val="14"/>
              </w:rPr>
              <w:t>12.8</w:t>
            </w:r>
          </w:p>
        </w:tc>
        <w:tc>
          <w:tcPr>
            <w:tcW w:w="1176" w:type="dxa"/>
            <w:tcBorders>
              <w:top w:val="single" w:sz="4" w:space="0" w:color="auto"/>
              <w:bottom w:val="single" w:sz="12" w:space="0" w:color="auto"/>
            </w:tcBorders>
            <w:shd w:val="clear" w:color="auto" w:fill="auto"/>
            <w:vAlign w:val="bottom"/>
          </w:tcPr>
          <w:p w:rsidR="00180B44" w:rsidRPr="00A530E1" w:rsidRDefault="00180B44" w:rsidP="00813149">
            <w:pPr>
              <w:shd w:val="clear" w:color="auto" w:fill="FFFFFF"/>
              <w:spacing w:before="80" w:after="80" w:line="220" w:lineRule="exact"/>
              <w:ind w:right="113"/>
              <w:jc w:val="right"/>
              <w:rPr>
                <w:b/>
                <w:sz w:val="18"/>
              </w:rPr>
            </w:pPr>
            <w:r w:rsidRPr="00A530E1">
              <w:rPr>
                <w:b/>
                <w:sz w:val="18"/>
                <w:szCs w:val="14"/>
              </w:rPr>
              <w:t>27.5</w:t>
            </w:r>
          </w:p>
        </w:tc>
        <w:tc>
          <w:tcPr>
            <w:tcW w:w="1366" w:type="dxa"/>
            <w:tcBorders>
              <w:top w:val="single" w:sz="4" w:space="0" w:color="auto"/>
              <w:bottom w:val="single" w:sz="12" w:space="0" w:color="auto"/>
            </w:tcBorders>
            <w:shd w:val="clear" w:color="auto" w:fill="auto"/>
            <w:vAlign w:val="bottom"/>
          </w:tcPr>
          <w:p w:rsidR="00180B44" w:rsidRPr="00A530E1" w:rsidRDefault="00180B44" w:rsidP="00813149">
            <w:pPr>
              <w:shd w:val="clear" w:color="auto" w:fill="FFFFFF"/>
              <w:spacing w:before="80" w:after="80" w:line="220" w:lineRule="exact"/>
              <w:ind w:right="113"/>
              <w:jc w:val="right"/>
              <w:rPr>
                <w:b/>
                <w:sz w:val="18"/>
              </w:rPr>
            </w:pPr>
            <w:r w:rsidRPr="00A530E1">
              <w:rPr>
                <w:b/>
                <w:bCs/>
                <w:sz w:val="18"/>
                <w:szCs w:val="14"/>
              </w:rPr>
              <w:t>39.9</w:t>
            </w:r>
          </w:p>
        </w:tc>
      </w:tr>
    </w:tbl>
    <w:p w:rsidR="00180B44" w:rsidRPr="00A530E1" w:rsidRDefault="00180B44" w:rsidP="00CA68A4">
      <w:pPr>
        <w:suppressAutoHyphens w:val="0"/>
        <w:spacing w:before="120" w:line="240" w:lineRule="auto"/>
        <w:ind w:right="1134" w:firstLine="170"/>
        <w:rPr>
          <w:sz w:val="18"/>
          <w:szCs w:val="18"/>
        </w:rPr>
      </w:pPr>
      <w:r w:rsidRPr="00A530E1">
        <w:rPr>
          <w:i/>
          <w:sz w:val="18"/>
          <w:szCs w:val="18"/>
        </w:rPr>
        <w:t>Source:</w:t>
      </w:r>
      <w:r w:rsidRPr="00A530E1">
        <w:rPr>
          <w:sz w:val="18"/>
          <w:szCs w:val="18"/>
        </w:rPr>
        <w:t xml:space="preserve">  National Institute of Statistics (INEI) – Continuous National Survey, 2006.</w:t>
      </w:r>
    </w:p>
    <w:p w:rsidR="00180B44" w:rsidRPr="00A530E1" w:rsidRDefault="00180B44" w:rsidP="00CA68A4">
      <w:pPr>
        <w:suppressAutoHyphens w:val="0"/>
        <w:spacing w:line="240" w:lineRule="auto"/>
        <w:ind w:right="1134" w:firstLine="170"/>
        <w:rPr>
          <w:sz w:val="18"/>
          <w:szCs w:val="18"/>
        </w:rPr>
      </w:pPr>
      <w:r w:rsidRPr="00A530E1">
        <w:rPr>
          <w:i/>
          <w:sz w:val="18"/>
          <w:szCs w:val="18"/>
          <w:vertAlign w:val="superscript"/>
        </w:rPr>
        <w:t>a</w:t>
      </w:r>
      <w:r w:rsidRPr="00A530E1">
        <w:rPr>
          <w:sz w:val="18"/>
          <w:szCs w:val="18"/>
        </w:rPr>
        <w:t xml:space="preserve">  This is an indicative value only, as the variation coefficient is over 15 per cent.</w:t>
      </w:r>
    </w:p>
    <w:p w:rsidR="00180B44" w:rsidRPr="00A530E1" w:rsidRDefault="00180B44" w:rsidP="00CA68A4">
      <w:pPr>
        <w:suppressAutoHyphens w:val="0"/>
        <w:spacing w:line="240" w:lineRule="auto"/>
        <w:ind w:right="1134" w:firstLine="170"/>
        <w:rPr>
          <w:sz w:val="18"/>
          <w:szCs w:val="18"/>
        </w:rPr>
      </w:pPr>
      <w:r w:rsidRPr="00A530E1">
        <w:rPr>
          <w:i/>
          <w:sz w:val="18"/>
          <w:szCs w:val="18"/>
          <w:vertAlign w:val="superscript"/>
        </w:rPr>
        <w:t>1</w:t>
      </w:r>
      <w:r w:rsidRPr="00A530E1">
        <w:rPr>
          <w:sz w:val="18"/>
          <w:szCs w:val="18"/>
        </w:rPr>
        <w:t xml:space="preserve">  Includes Lima Province and the Constitutional Province of Callao.</w:t>
      </w:r>
    </w:p>
    <w:p w:rsidR="00180B44" w:rsidRPr="00A530E1" w:rsidRDefault="00180B44" w:rsidP="00CA68A4">
      <w:pPr>
        <w:suppressAutoHyphens w:val="0"/>
        <w:spacing w:after="240" w:line="240" w:lineRule="auto"/>
        <w:ind w:right="1134" w:firstLine="170"/>
        <w:rPr>
          <w:sz w:val="18"/>
          <w:szCs w:val="18"/>
        </w:rPr>
      </w:pPr>
      <w:r w:rsidRPr="00A530E1">
        <w:rPr>
          <w:i/>
          <w:sz w:val="18"/>
          <w:szCs w:val="18"/>
          <w:vertAlign w:val="superscript"/>
        </w:rPr>
        <w:t>2</w:t>
      </w:r>
      <w:r w:rsidRPr="00A530E1">
        <w:rPr>
          <w:sz w:val="18"/>
          <w:szCs w:val="18"/>
        </w:rPr>
        <w:t xml:space="preserve">  Does not include Lima Province.</w:t>
      </w:r>
    </w:p>
    <w:p w:rsidR="00180B44" w:rsidRPr="00A530E1" w:rsidRDefault="00180B44" w:rsidP="00180B44">
      <w:pPr>
        <w:pStyle w:val="SingleTxtG"/>
      </w:pPr>
      <w:r w:rsidRPr="00A530E1">
        <w:t>44.</w:t>
      </w:r>
      <w:r w:rsidRPr="00A530E1">
        <w:tab/>
      </w:r>
      <w:r w:rsidRPr="00A530E1">
        <w:rPr>
          <w:b/>
        </w:rPr>
        <w:t>Disability by level of education</w:t>
      </w:r>
      <w:r w:rsidRPr="00A530E1">
        <w:t>: State-provided special education uses an inclusive approach to help integrate persons with special educational needs into community life and ensure that they participate in society. The law establishes the right to attend a regular school and make use of special testing systems in Braille for the blind and in sign language for the deaf, as well as containing provisions regarding the adaptation of the infrastructure of educational facilities and the curriculum. Despite these efforts, the exclusion of children with disabilities still occurs: one out of every five persons with disabilities has no schooling and only 11.3 per cent reach higher education.</w:t>
      </w:r>
    </w:p>
    <w:p w:rsidR="00180B44" w:rsidRPr="00A530E1" w:rsidRDefault="00180B44" w:rsidP="00180B44">
      <w:pPr>
        <w:pStyle w:val="H23G"/>
        <w:spacing w:after="0"/>
      </w:pPr>
      <w:r w:rsidRPr="00A530E1">
        <w:tab/>
      </w:r>
      <w:r w:rsidRPr="00A530E1">
        <w:tab/>
        <w:t>Percentage of the population with a disability, by level of education, area of residence and sex, 2006</w:t>
      </w:r>
    </w:p>
    <w:p w:rsidR="00180B44" w:rsidRPr="00A530E1" w:rsidRDefault="00180B44" w:rsidP="00180B44">
      <w:pPr>
        <w:pStyle w:val="SingleTxtG"/>
        <w:rPr>
          <w:sz w:val="16"/>
          <w:szCs w:val="16"/>
        </w:rPr>
      </w:pPr>
      <w:r w:rsidRPr="00A530E1">
        <w:rPr>
          <w:sz w:val="16"/>
          <w:szCs w:val="16"/>
        </w:rPr>
        <w:t>(Percentage distribution)</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1757"/>
        <w:gridCol w:w="1046"/>
        <w:gridCol w:w="1245"/>
        <w:gridCol w:w="1015"/>
        <w:gridCol w:w="1219"/>
        <w:gridCol w:w="1088"/>
      </w:tblGrid>
      <w:tr w:rsidR="00180B44" w:rsidRPr="00A530E1" w:rsidTr="008B6199">
        <w:tblPrEx>
          <w:tblCellMar>
            <w:top w:w="0" w:type="dxa"/>
            <w:bottom w:w="0" w:type="dxa"/>
          </w:tblCellMar>
        </w:tblPrEx>
        <w:trPr>
          <w:trHeight w:val="240"/>
          <w:tblHeader/>
        </w:trPr>
        <w:tc>
          <w:tcPr>
            <w:tcW w:w="1757" w:type="dxa"/>
            <w:tcBorders>
              <w:top w:val="single" w:sz="4" w:space="0" w:color="auto"/>
              <w:bottom w:val="single" w:sz="12" w:space="0" w:color="auto"/>
            </w:tcBorders>
            <w:shd w:val="clear" w:color="auto" w:fill="auto"/>
            <w:vAlign w:val="bottom"/>
          </w:tcPr>
          <w:p w:rsidR="00180B44" w:rsidRPr="00A530E1" w:rsidRDefault="00180B44" w:rsidP="00180B44">
            <w:pPr>
              <w:shd w:val="clear" w:color="auto" w:fill="FFFFFF"/>
              <w:suppressAutoHyphens w:val="0"/>
              <w:spacing w:before="80" w:after="80" w:line="200" w:lineRule="exact"/>
              <w:rPr>
                <w:i/>
                <w:sz w:val="16"/>
                <w:lang w:eastAsia="es-ES"/>
              </w:rPr>
            </w:pPr>
            <w:r w:rsidRPr="00A530E1">
              <w:rPr>
                <w:i/>
                <w:sz w:val="16"/>
                <w:szCs w:val="14"/>
                <w:lang w:eastAsia="es-ES"/>
              </w:rPr>
              <w:t>Area of residence/sex</w:t>
            </w:r>
          </w:p>
        </w:tc>
        <w:tc>
          <w:tcPr>
            <w:tcW w:w="1046" w:type="dxa"/>
            <w:tcBorders>
              <w:top w:val="single" w:sz="4" w:space="0" w:color="auto"/>
              <w:bottom w:val="single" w:sz="12" w:space="0" w:color="auto"/>
            </w:tcBorders>
            <w:shd w:val="clear" w:color="auto" w:fill="auto"/>
            <w:vAlign w:val="bottom"/>
          </w:tcPr>
          <w:p w:rsidR="00180B44" w:rsidRPr="00A530E1" w:rsidRDefault="00180B44" w:rsidP="00180B44">
            <w:pPr>
              <w:shd w:val="clear" w:color="auto" w:fill="FFFFFF"/>
              <w:suppressAutoHyphens w:val="0"/>
              <w:spacing w:before="80" w:after="80" w:line="200" w:lineRule="exact"/>
              <w:ind w:left="113" w:right="113"/>
              <w:jc w:val="right"/>
              <w:rPr>
                <w:b/>
                <w:i/>
                <w:sz w:val="16"/>
                <w:lang w:eastAsia="es-ES"/>
              </w:rPr>
            </w:pPr>
            <w:r w:rsidRPr="00A530E1">
              <w:rPr>
                <w:b/>
                <w:i/>
                <w:sz w:val="16"/>
                <w:szCs w:val="14"/>
                <w:lang w:eastAsia="es-ES"/>
              </w:rPr>
              <w:t>Total</w:t>
            </w:r>
          </w:p>
        </w:tc>
        <w:tc>
          <w:tcPr>
            <w:tcW w:w="1245" w:type="dxa"/>
            <w:tcBorders>
              <w:top w:val="single" w:sz="4" w:space="0" w:color="auto"/>
              <w:bottom w:val="single" w:sz="12" w:space="0" w:color="auto"/>
            </w:tcBorders>
            <w:shd w:val="clear" w:color="auto" w:fill="auto"/>
            <w:vAlign w:val="bottom"/>
          </w:tcPr>
          <w:p w:rsidR="00180B44" w:rsidRPr="00A530E1" w:rsidRDefault="00180B44" w:rsidP="00180B44">
            <w:pPr>
              <w:shd w:val="clear" w:color="auto" w:fill="FFFFFF"/>
              <w:suppressAutoHyphens w:val="0"/>
              <w:spacing w:before="80" w:after="80" w:line="200" w:lineRule="exact"/>
              <w:ind w:left="113" w:right="113"/>
              <w:jc w:val="right"/>
              <w:rPr>
                <w:i/>
                <w:sz w:val="16"/>
                <w:vertAlign w:val="superscript"/>
                <w:lang w:eastAsia="es-ES"/>
              </w:rPr>
            </w:pPr>
            <w:r w:rsidRPr="00A530E1">
              <w:rPr>
                <w:i/>
                <w:sz w:val="16"/>
                <w:szCs w:val="14"/>
                <w:lang w:eastAsia="es-ES"/>
              </w:rPr>
              <w:t>No schooling</w:t>
            </w:r>
            <w:r w:rsidRPr="00A530E1">
              <w:rPr>
                <w:i/>
                <w:sz w:val="18"/>
                <w:szCs w:val="18"/>
                <w:vertAlign w:val="superscript"/>
                <w:lang w:eastAsia="es-ES"/>
              </w:rPr>
              <w:t>1</w:t>
            </w:r>
          </w:p>
        </w:tc>
        <w:tc>
          <w:tcPr>
            <w:tcW w:w="1015" w:type="dxa"/>
            <w:tcBorders>
              <w:top w:val="single" w:sz="4" w:space="0" w:color="auto"/>
              <w:bottom w:val="single" w:sz="12" w:space="0" w:color="auto"/>
            </w:tcBorders>
            <w:shd w:val="clear" w:color="auto" w:fill="auto"/>
            <w:vAlign w:val="bottom"/>
          </w:tcPr>
          <w:p w:rsidR="00180B44" w:rsidRPr="00A530E1" w:rsidRDefault="00180B44" w:rsidP="00180B44">
            <w:pPr>
              <w:shd w:val="clear" w:color="auto" w:fill="FFFFFF"/>
              <w:suppressAutoHyphens w:val="0"/>
              <w:spacing w:before="80" w:after="80" w:line="200" w:lineRule="exact"/>
              <w:ind w:left="113" w:right="113"/>
              <w:jc w:val="right"/>
              <w:rPr>
                <w:i/>
                <w:sz w:val="16"/>
                <w:lang w:eastAsia="es-ES"/>
              </w:rPr>
            </w:pPr>
            <w:r w:rsidRPr="00A530E1">
              <w:rPr>
                <w:i/>
                <w:sz w:val="16"/>
                <w:szCs w:val="14"/>
                <w:lang w:eastAsia="es-ES"/>
              </w:rPr>
              <w:t>Primary</w:t>
            </w:r>
          </w:p>
        </w:tc>
        <w:tc>
          <w:tcPr>
            <w:tcW w:w="1219" w:type="dxa"/>
            <w:tcBorders>
              <w:top w:val="single" w:sz="4" w:space="0" w:color="auto"/>
              <w:bottom w:val="single" w:sz="12" w:space="0" w:color="auto"/>
            </w:tcBorders>
            <w:shd w:val="clear" w:color="auto" w:fill="auto"/>
            <w:vAlign w:val="bottom"/>
          </w:tcPr>
          <w:p w:rsidR="00180B44" w:rsidRPr="00A530E1" w:rsidRDefault="00180B44" w:rsidP="00180B44">
            <w:pPr>
              <w:shd w:val="clear" w:color="auto" w:fill="FFFFFF"/>
              <w:suppressAutoHyphens w:val="0"/>
              <w:spacing w:before="80" w:after="80" w:line="200" w:lineRule="exact"/>
              <w:ind w:left="113" w:right="113"/>
              <w:jc w:val="right"/>
              <w:rPr>
                <w:i/>
                <w:sz w:val="16"/>
                <w:lang w:eastAsia="es-ES"/>
              </w:rPr>
            </w:pPr>
            <w:r w:rsidRPr="00A530E1">
              <w:rPr>
                <w:i/>
                <w:sz w:val="16"/>
                <w:szCs w:val="14"/>
                <w:lang w:eastAsia="es-ES"/>
              </w:rPr>
              <w:t>Secondary</w:t>
            </w:r>
          </w:p>
        </w:tc>
        <w:tc>
          <w:tcPr>
            <w:tcW w:w="1088" w:type="dxa"/>
            <w:tcBorders>
              <w:top w:val="single" w:sz="4" w:space="0" w:color="auto"/>
              <w:bottom w:val="single" w:sz="12" w:space="0" w:color="auto"/>
            </w:tcBorders>
            <w:shd w:val="clear" w:color="auto" w:fill="auto"/>
            <w:vAlign w:val="bottom"/>
          </w:tcPr>
          <w:p w:rsidR="00180B44" w:rsidRPr="00A530E1" w:rsidRDefault="00180B44" w:rsidP="00180B44">
            <w:pPr>
              <w:shd w:val="clear" w:color="auto" w:fill="FFFFFF"/>
              <w:suppressAutoHyphens w:val="0"/>
              <w:spacing w:before="80" w:after="80" w:line="200" w:lineRule="exact"/>
              <w:ind w:left="113" w:right="113"/>
              <w:jc w:val="right"/>
              <w:rPr>
                <w:i/>
                <w:sz w:val="16"/>
                <w:lang w:eastAsia="es-ES"/>
              </w:rPr>
            </w:pPr>
            <w:r w:rsidRPr="00A530E1">
              <w:rPr>
                <w:i/>
                <w:sz w:val="16"/>
                <w:szCs w:val="14"/>
                <w:lang w:eastAsia="es-ES"/>
              </w:rPr>
              <w:t>Higher</w:t>
            </w:r>
          </w:p>
        </w:tc>
      </w:tr>
      <w:tr w:rsidR="00180B44" w:rsidRPr="00A530E1" w:rsidTr="008B6199">
        <w:tblPrEx>
          <w:tblCellMar>
            <w:top w:w="0" w:type="dxa"/>
            <w:bottom w:w="0" w:type="dxa"/>
          </w:tblCellMar>
        </w:tblPrEx>
        <w:trPr>
          <w:trHeight w:val="240"/>
        </w:trPr>
        <w:tc>
          <w:tcPr>
            <w:tcW w:w="1757" w:type="dxa"/>
            <w:shd w:val="clear" w:color="auto" w:fill="auto"/>
            <w:vAlign w:val="bottom"/>
          </w:tcPr>
          <w:p w:rsidR="00180B44" w:rsidRPr="00A530E1" w:rsidRDefault="00180B44" w:rsidP="006F7B79">
            <w:pPr>
              <w:shd w:val="clear" w:color="auto" w:fill="FFFFFF"/>
              <w:suppressAutoHyphens w:val="0"/>
              <w:spacing w:before="40" w:after="40" w:line="220" w:lineRule="exact"/>
              <w:ind w:right="113"/>
              <w:rPr>
                <w:sz w:val="18"/>
                <w:lang w:eastAsia="es-ES"/>
              </w:rPr>
            </w:pPr>
            <w:r w:rsidRPr="00A530E1">
              <w:rPr>
                <w:sz w:val="18"/>
                <w:szCs w:val="14"/>
                <w:lang w:eastAsia="es-ES"/>
              </w:rPr>
              <w:t>Urban</w:t>
            </w:r>
          </w:p>
        </w:tc>
        <w:tc>
          <w:tcPr>
            <w:tcW w:w="1046" w:type="dxa"/>
            <w:shd w:val="clear" w:color="auto" w:fill="auto"/>
            <w:vAlign w:val="bottom"/>
          </w:tcPr>
          <w:p w:rsidR="00180B44" w:rsidRPr="00A530E1" w:rsidRDefault="00180B44" w:rsidP="006F7B79">
            <w:pPr>
              <w:shd w:val="clear" w:color="auto" w:fill="FFFFFF"/>
              <w:suppressAutoHyphens w:val="0"/>
              <w:spacing w:before="40" w:after="40" w:line="220" w:lineRule="exact"/>
              <w:ind w:right="113"/>
              <w:jc w:val="right"/>
              <w:rPr>
                <w:b/>
                <w:sz w:val="18"/>
                <w:lang w:eastAsia="es-ES"/>
              </w:rPr>
            </w:pPr>
            <w:r w:rsidRPr="00A530E1">
              <w:rPr>
                <w:b/>
                <w:bCs/>
                <w:sz w:val="18"/>
                <w:szCs w:val="14"/>
                <w:lang w:eastAsia="es-ES"/>
              </w:rPr>
              <w:t>100.0</w:t>
            </w:r>
          </w:p>
        </w:tc>
        <w:tc>
          <w:tcPr>
            <w:tcW w:w="1245" w:type="dxa"/>
            <w:shd w:val="clear" w:color="auto" w:fill="auto"/>
            <w:vAlign w:val="bottom"/>
          </w:tcPr>
          <w:p w:rsidR="00180B44" w:rsidRPr="00A530E1" w:rsidRDefault="00180B44" w:rsidP="006F7B79">
            <w:pPr>
              <w:shd w:val="clear" w:color="auto" w:fill="FFFFFF"/>
              <w:suppressAutoHyphens w:val="0"/>
              <w:spacing w:before="40" w:after="40" w:line="220" w:lineRule="exact"/>
              <w:ind w:right="113"/>
              <w:jc w:val="right"/>
              <w:rPr>
                <w:sz w:val="18"/>
                <w:lang w:eastAsia="es-ES"/>
              </w:rPr>
            </w:pPr>
            <w:r w:rsidRPr="00A530E1">
              <w:rPr>
                <w:bCs/>
                <w:sz w:val="18"/>
                <w:szCs w:val="14"/>
                <w:lang w:eastAsia="es-ES"/>
              </w:rPr>
              <w:t>100.0</w:t>
            </w:r>
          </w:p>
        </w:tc>
        <w:tc>
          <w:tcPr>
            <w:tcW w:w="1015" w:type="dxa"/>
            <w:shd w:val="clear" w:color="auto" w:fill="auto"/>
            <w:vAlign w:val="bottom"/>
          </w:tcPr>
          <w:p w:rsidR="00180B44" w:rsidRPr="00A530E1" w:rsidRDefault="00180B44" w:rsidP="006F7B79">
            <w:pPr>
              <w:shd w:val="clear" w:color="auto" w:fill="FFFFFF"/>
              <w:suppressAutoHyphens w:val="0"/>
              <w:spacing w:before="40" w:after="40" w:line="220" w:lineRule="exact"/>
              <w:ind w:right="113"/>
              <w:jc w:val="right"/>
              <w:rPr>
                <w:sz w:val="18"/>
                <w:lang w:eastAsia="es-ES"/>
              </w:rPr>
            </w:pPr>
            <w:r w:rsidRPr="00A530E1">
              <w:rPr>
                <w:bCs/>
                <w:sz w:val="18"/>
                <w:szCs w:val="14"/>
                <w:lang w:eastAsia="es-ES"/>
              </w:rPr>
              <w:t>100.0</w:t>
            </w:r>
          </w:p>
        </w:tc>
        <w:tc>
          <w:tcPr>
            <w:tcW w:w="1219" w:type="dxa"/>
            <w:shd w:val="clear" w:color="auto" w:fill="auto"/>
            <w:vAlign w:val="bottom"/>
          </w:tcPr>
          <w:p w:rsidR="00180B44" w:rsidRPr="00A530E1" w:rsidRDefault="00180B44" w:rsidP="006F7B79">
            <w:pPr>
              <w:shd w:val="clear" w:color="auto" w:fill="FFFFFF"/>
              <w:suppressAutoHyphens w:val="0"/>
              <w:spacing w:before="40" w:after="40" w:line="220" w:lineRule="exact"/>
              <w:ind w:right="113"/>
              <w:jc w:val="right"/>
              <w:rPr>
                <w:sz w:val="18"/>
                <w:lang w:eastAsia="es-ES"/>
              </w:rPr>
            </w:pPr>
            <w:r w:rsidRPr="00A530E1">
              <w:rPr>
                <w:bCs/>
                <w:sz w:val="18"/>
                <w:szCs w:val="14"/>
                <w:lang w:eastAsia="es-ES"/>
              </w:rPr>
              <w:t>100.0</w:t>
            </w:r>
          </w:p>
        </w:tc>
        <w:tc>
          <w:tcPr>
            <w:tcW w:w="1088" w:type="dxa"/>
            <w:shd w:val="clear" w:color="auto" w:fill="auto"/>
            <w:vAlign w:val="bottom"/>
          </w:tcPr>
          <w:p w:rsidR="00180B44" w:rsidRPr="00A530E1" w:rsidRDefault="00180B44" w:rsidP="006F7B79">
            <w:pPr>
              <w:shd w:val="clear" w:color="auto" w:fill="FFFFFF"/>
              <w:suppressAutoHyphens w:val="0"/>
              <w:spacing w:before="40" w:after="40" w:line="220" w:lineRule="exact"/>
              <w:ind w:right="113"/>
              <w:jc w:val="right"/>
              <w:rPr>
                <w:sz w:val="18"/>
                <w:lang w:eastAsia="es-ES"/>
              </w:rPr>
            </w:pPr>
            <w:r w:rsidRPr="00A530E1">
              <w:rPr>
                <w:bCs/>
                <w:sz w:val="18"/>
                <w:szCs w:val="14"/>
                <w:lang w:eastAsia="es-ES"/>
              </w:rPr>
              <w:t>100.0</w:t>
            </w:r>
          </w:p>
        </w:tc>
      </w:tr>
      <w:tr w:rsidR="00180B44" w:rsidRPr="00A530E1" w:rsidTr="008B6199">
        <w:tblPrEx>
          <w:tblCellMar>
            <w:top w:w="0" w:type="dxa"/>
            <w:bottom w:w="0" w:type="dxa"/>
          </w:tblCellMar>
        </w:tblPrEx>
        <w:trPr>
          <w:trHeight w:val="240"/>
        </w:trPr>
        <w:tc>
          <w:tcPr>
            <w:tcW w:w="1757" w:type="dxa"/>
            <w:shd w:val="clear" w:color="auto" w:fill="auto"/>
            <w:vAlign w:val="bottom"/>
          </w:tcPr>
          <w:p w:rsidR="00180B44" w:rsidRPr="00A530E1" w:rsidRDefault="00180B44" w:rsidP="006F7B79">
            <w:pPr>
              <w:shd w:val="clear" w:color="auto" w:fill="FFFFFF"/>
              <w:suppressAutoHyphens w:val="0"/>
              <w:spacing w:before="40" w:after="40" w:line="220" w:lineRule="exact"/>
              <w:ind w:left="170" w:right="113"/>
              <w:rPr>
                <w:sz w:val="18"/>
                <w:lang w:eastAsia="es-ES"/>
              </w:rPr>
            </w:pPr>
            <w:r w:rsidRPr="00A530E1">
              <w:rPr>
                <w:sz w:val="18"/>
                <w:szCs w:val="14"/>
                <w:lang w:eastAsia="es-ES"/>
              </w:rPr>
              <w:t>Men</w:t>
            </w:r>
          </w:p>
        </w:tc>
        <w:tc>
          <w:tcPr>
            <w:tcW w:w="1046" w:type="dxa"/>
            <w:shd w:val="clear" w:color="auto" w:fill="auto"/>
            <w:vAlign w:val="bottom"/>
          </w:tcPr>
          <w:p w:rsidR="00180B44" w:rsidRPr="00A530E1" w:rsidRDefault="00180B44" w:rsidP="006F7B79">
            <w:pPr>
              <w:shd w:val="clear" w:color="auto" w:fill="FFFFFF"/>
              <w:suppressAutoHyphens w:val="0"/>
              <w:spacing w:before="40" w:after="40" w:line="220" w:lineRule="exact"/>
              <w:ind w:right="113"/>
              <w:jc w:val="right"/>
              <w:rPr>
                <w:b/>
                <w:sz w:val="18"/>
                <w:lang w:eastAsia="es-ES"/>
              </w:rPr>
            </w:pPr>
            <w:r w:rsidRPr="00A530E1">
              <w:rPr>
                <w:b/>
                <w:bCs/>
                <w:sz w:val="18"/>
                <w:szCs w:val="14"/>
                <w:lang w:eastAsia="es-ES"/>
              </w:rPr>
              <w:t>43.6</w:t>
            </w:r>
          </w:p>
        </w:tc>
        <w:tc>
          <w:tcPr>
            <w:tcW w:w="1245" w:type="dxa"/>
            <w:shd w:val="clear" w:color="auto" w:fill="auto"/>
            <w:vAlign w:val="bottom"/>
          </w:tcPr>
          <w:p w:rsidR="00180B44" w:rsidRPr="00A530E1" w:rsidRDefault="00180B44" w:rsidP="006F7B79">
            <w:pPr>
              <w:shd w:val="clear" w:color="auto" w:fill="FFFFFF"/>
              <w:suppressAutoHyphens w:val="0"/>
              <w:spacing w:before="40" w:after="40" w:line="220" w:lineRule="exact"/>
              <w:ind w:right="113"/>
              <w:jc w:val="right"/>
              <w:rPr>
                <w:sz w:val="18"/>
                <w:lang w:eastAsia="es-ES"/>
              </w:rPr>
            </w:pPr>
            <w:r w:rsidRPr="00A530E1">
              <w:rPr>
                <w:bCs/>
                <w:sz w:val="18"/>
                <w:szCs w:val="14"/>
                <w:lang w:eastAsia="es-ES"/>
              </w:rPr>
              <w:t>29.6</w:t>
            </w:r>
          </w:p>
        </w:tc>
        <w:tc>
          <w:tcPr>
            <w:tcW w:w="1015" w:type="dxa"/>
            <w:shd w:val="clear" w:color="auto" w:fill="auto"/>
            <w:vAlign w:val="bottom"/>
          </w:tcPr>
          <w:p w:rsidR="00180B44" w:rsidRPr="00A530E1" w:rsidRDefault="00180B44" w:rsidP="006F7B79">
            <w:pPr>
              <w:shd w:val="clear" w:color="auto" w:fill="FFFFFF"/>
              <w:suppressAutoHyphens w:val="0"/>
              <w:spacing w:before="40" w:after="40" w:line="220" w:lineRule="exact"/>
              <w:ind w:right="113"/>
              <w:jc w:val="right"/>
              <w:rPr>
                <w:sz w:val="18"/>
                <w:lang w:eastAsia="es-ES"/>
              </w:rPr>
            </w:pPr>
            <w:r w:rsidRPr="00A530E1">
              <w:rPr>
                <w:bCs/>
                <w:sz w:val="18"/>
                <w:szCs w:val="14"/>
                <w:lang w:eastAsia="es-ES"/>
              </w:rPr>
              <w:t>44.3</w:t>
            </w:r>
          </w:p>
        </w:tc>
        <w:tc>
          <w:tcPr>
            <w:tcW w:w="1219" w:type="dxa"/>
            <w:shd w:val="clear" w:color="auto" w:fill="auto"/>
            <w:vAlign w:val="bottom"/>
          </w:tcPr>
          <w:p w:rsidR="00180B44" w:rsidRPr="00A530E1" w:rsidRDefault="00180B44" w:rsidP="006F7B79">
            <w:pPr>
              <w:shd w:val="clear" w:color="auto" w:fill="FFFFFF"/>
              <w:suppressAutoHyphens w:val="0"/>
              <w:spacing w:before="40" w:after="40" w:line="220" w:lineRule="exact"/>
              <w:ind w:right="113"/>
              <w:jc w:val="right"/>
              <w:rPr>
                <w:sz w:val="18"/>
                <w:lang w:eastAsia="es-ES"/>
              </w:rPr>
            </w:pPr>
            <w:r w:rsidRPr="00A530E1">
              <w:rPr>
                <w:bCs/>
                <w:sz w:val="18"/>
                <w:szCs w:val="14"/>
                <w:lang w:eastAsia="es-ES"/>
              </w:rPr>
              <w:t>46.6</w:t>
            </w:r>
          </w:p>
        </w:tc>
        <w:tc>
          <w:tcPr>
            <w:tcW w:w="1088" w:type="dxa"/>
            <w:shd w:val="clear" w:color="auto" w:fill="auto"/>
            <w:vAlign w:val="bottom"/>
          </w:tcPr>
          <w:p w:rsidR="00180B44" w:rsidRPr="00A530E1" w:rsidRDefault="00180B44" w:rsidP="006F7B79">
            <w:pPr>
              <w:shd w:val="clear" w:color="auto" w:fill="FFFFFF"/>
              <w:suppressAutoHyphens w:val="0"/>
              <w:spacing w:before="40" w:after="40" w:line="220" w:lineRule="exact"/>
              <w:ind w:right="113"/>
              <w:jc w:val="right"/>
              <w:rPr>
                <w:sz w:val="18"/>
                <w:lang w:eastAsia="es-ES"/>
              </w:rPr>
            </w:pPr>
            <w:r w:rsidRPr="00A530E1">
              <w:rPr>
                <w:bCs/>
                <w:sz w:val="18"/>
                <w:szCs w:val="14"/>
                <w:lang w:eastAsia="es-ES"/>
              </w:rPr>
              <w:t>49.1</w:t>
            </w:r>
          </w:p>
        </w:tc>
      </w:tr>
      <w:tr w:rsidR="00180B44" w:rsidRPr="00A530E1" w:rsidTr="008B6199">
        <w:tblPrEx>
          <w:tblCellMar>
            <w:top w:w="0" w:type="dxa"/>
            <w:bottom w:w="0" w:type="dxa"/>
          </w:tblCellMar>
        </w:tblPrEx>
        <w:trPr>
          <w:trHeight w:val="240"/>
        </w:trPr>
        <w:tc>
          <w:tcPr>
            <w:tcW w:w="1757" w:type="dxa"/>
            <w:shd w:val="clear" w:color="auto" w:fill="auto"/>
            <w:vAlign w:val="bottom"/>
          </w:tcPr>
          <w:p w:rsidR="00180B44" w:rsidRPr="00A530E1" w:rsidRDefault="00180B44" w:rsidP="006F7B79">
            <w:pPr>
              <w:shd w:val="clear" w:color="auto" w:fill="FFFFFF"/>
              <w:suppressAutoHyphens w:val="0"/>
              <w:spacing w:before="40" w:after="40" w:line="220" w:lineRule="exact"/>
              <w:ind w:left="170" w:right="113"/>
              <w:rPr>
                <w:sz w:val="18"/>
                <w:lang w:eastAsia="es-ES"/>
              </w:rPr>
            </w:pPr>
            <w:r w:rsidRPr="00A530E1">
              <w:rPr>
                <w:sz w:val="18"/>
                <w:lang w:eastAsia="es-ES"/>
              </w:rPr>
              <w:t>Women</w:t>
            </w:r>
          </w:p>
        </w:tc>
        <w:tc>
          <w:tcPr>
            <w:tcW w:w="1046" w:type="dxa"/>
            <w:shd w:val="clear" w:color="auto" w:fill="auto"/>
            <w:vAlign w:val="bottom"/>
          </w:tcPr>
          <w:p w:rsidR="00180B44" w:rsidRPr="00A530E1" w:rsidRDefault="00180B44" w:rsidP="006F7B79">
            <w:pPr>
              <w:shd w:val="clear" w:color="auto" w:fill="FFFFFF"/>
              <w:suppressAutoHyphens w:val="0"/>
              <w:spacing w:before="40" w:after="40" w:line="220" w:lineRule="exact"/>
              <w:ind w:right="113"/>
              <w:jc w:val="right"/>
              <w:rPr>
                <w:b/>
                <w:sz w:val="18"/>
                <w:lang w:eastAsia="es-ES"/>
              </w:rPr>
            </w:pPr>
            <w:r w:rsidRPr="00A530E1">
              <w:rPr>
                <w:b/>
                <w:bCs/>
                <w:sz w:val="18"/>
                <w:szCs w:val="14"/>
                <w:lang w:eastAsia="es-ES"/>
              </w:rPr>
              <w:t>56.4</w:t>
            </w:r>
          </w:p>
        </w:tc>
        <w:tc>
          <w:tcPr>
            <w:tcW w:w="1245" w:type="dxa"/>
            <w:shd w:val="clear" w:color="auto" w:fill="auto"/>
            <w:vAlign w:val="bottom"/>
          </w:tcPr>
          <w:p w:rsidR="00180B44" w:rsidRPr="00A530E1" w:rsidRDefault="00180B44" w:rsidP="006F7B79">
            <w:pPr>
              <w:shd w:val="clear" w:color="auto" w:fill="FFFFFF"/>
              <w:suppressAutoHyphens w:val="0"/>
              <w:spacing w:before="40" w:after="40" w:line="220" w:lineRule="exact"/>
              <w:ind w:right="113"/>
              <w:jc w:val="right"/>
              <w:rPr>
                <w:sz w:val="18"/>
                <w:lang w:eastAsia="es-ES"/>
              </w:rPr>
            </w:pPr>
            <w:r w:rsidRPr="00A530E1">
              <w:rPr>
                <w:bCs/>
                <w:sz w:val="18"/>
                <w:szCs w:val="14"/>
                <w:lang w:eastAsia="es-ES"/>
              </w:rPr>
              <w:t>70.4</w:t>
            </w:r>
          </w:p>
        </w:tc>
        <w:tc>
          <w:tcPr>
            <w:tcW w:w="1015" w:type="dxa"/>
            <w:shd w:val="clear" w:color="auto" w:fill="auto"/>
            <w:vAlign w:val="bottom"/>
          </w:tcPr>
          <w:p w:rsidR="00180B44" w:rsidRPr="00A530E1" w:rsidRDefault="00180B44" w:rsidP="006F7B79">
            <w:pPr>
              <w:shd w:val="clear" w:color="auto" w:fill="FFFFFF"/>
              <w:suppressAutoHyphens w:val="0"/>
              <w:spacing w:before="40" w:after="40" w:line="220" w:lineRule="exact"/>
              <w:ind w:right="113"/>
              <w:jc w:val="right"/>
              <w:rPr>
                <w:sz w:val="18"/>
                <w:lang w:eastAsia="es-ES"/>
              </w:rPr>
            </w:pPr>
            <w:r w:rsidRPr="00A530E1">
              <w:rPr>
                <w:bCs/>
                <w:sz w:val="18"/>
                <w:szCs w:val="14"/>
                <w:lang w:eastAsia="es-ES"/>
              </w:rPr>
              <w:t>55.7</w:t>
            </w:r>
          </w:p>
        </w:tc>
        <w:tc>
          <w:tcPr>
            <w:tcW w:w="1219" w:type="dxa"/>
            <w:shd w:val="clear" w:color="auto" w:fill="auto"/>
            <w:vAlign w:val="bottom"/>
          </w:tcPr>
          <w:p w:rsidR="00180B44" w:rsidRPr="00A530E1" w:rsidRDefault="00180B44" w:rsidP="006F7B79">
            <w:pPr>
              <w:shd w:val="clear" w:color="auto" w:fill="FFFFFF"/>
              <w:suppressAutoHyphens w:val="0"/>
              <w:spacing w:before="40" w:after="40" w:line="220" w:lineRule="exact"/>
              <w:ind w:right="113"/>
              <w:jc w:val="right"/>
              <w:rPr>
                <w:sz w:val="18"/>
                <w:lang w:eastAsia="es-ES"/>
              </w:rPr>
            </w:pPr>
            <w:r w:rsidRPr="00A530E1">
              <w:rPr>
                <w:bCs/>
                <w:sz w:val="18"/>
                <w:szCs w:val="14"/>
                <w:lang w:eastAsia="es-ES"/>
              </w:rPr>
              <w:t>53.4</w:t>
            </w:r>
          </w:p>
        </w:tc>
        <w:tc>
          <w:tcPr>
            <w:tcW w:w="1088" w:type="dxa"/>
            <w:shd w:val="clear" w:color="auto" w:fill="auto"/>
            <w:vAlign w:val="bottom"/>
          </w:tcPr>
          <w:p w:rsidR="00180B44" w:rsidRPr="00A530E1" w:rsidRDefault="00180B44" w:rsidP="006F7B79">
            <w:pPr>
              <w:shd w:val="clear" w:color="auto" w:fill="FFFFFF"/>
              <w:suppressAutoHyphens w:val="0"/>
              <w:spacing w:before="40" w:after="40" w:line="220" w:lineRule="exact"/>
              <w:ind w:right="113"/>
              <w:jc w:val="right"/>
              <w:rPr>
                <w:sz w:val="18"/>
                <w:lang w:eastAsia="es-ES"/>
              </w:rPr>
            </w:pPr>
            <w:r w:rsidRPr="00A530E1">
              <w:rPr>
                <w:bCs/>
                <w:sz w:val="18"/>
                <w:szCs w:val="14"/>
                <w:lang w:eastAsia="es-ES"/>
              </w:rPr>
              <w:t>50.9</w:t>
            </w:r>
          </w:p>
        </w:tc>
      </w:tr>
      <w:tr w:rsidR="00EB0F53" w:rsidRPr="00A530E1" w:rsidTr="008B6199">
        <w:tblPrEx>
          <w:tblCellMar>
            <w:top w:w="0" w:type="dxa"/>
            <w:bottom w:w="0" w:type="dxa"/>
          </w:tblCellMar>
        </w:tblPrEx>
        <w:trPr>
          <w:trHeight w:val="240"/>
        </w:trPr>
        <w:tc>
          <w:tcPr>
            <w:tcW w:w="1757" w:type="dxa"/>
            <w:shd w:val="clear" w:color="auto" w:fill="auto"/>
            <w:vAlign w:val="bottom"/>
          </w:tcPr>
          <w:p w:rsidR="00EB0F53" w:rsidRPr="00A530E1" w:rsidRDefault="00EB0F53" w:rsidP="006F7B79">
            <w:pPr>
              <w:shd w:val="clear" w:color="auto" w:fill="FFFFFF"/>
              <w:suppressAutoHyphens w:val="0"/>
              <w:spacing w:before="40" w:after="40" w:line="220" w:lineRule="exact"/>
              <w:ind w:left="170" w:right="113"/>
              <w:rPr>
                <w:sz w:val="18"/>
                <w:lang w:eastAsia="es-ES"/>
              </w:rPr>
            </w:pPr>
          </w:p>
        </w:tc>
        <w:tc>
          <w:tcPr>
            <w:tcW w:w="1046" w:type="dxa"/>
            <w:shd w:val="clear" w:color="auto" w:fill="auto"/>
            <w:vAlign w:val="bottom"/>
          </w:tcPr>
          <w:p w:rsidR="00EB0F53" w:rsidRPr="00A530E1" w:rsidRDefault="00EB0F53" w:rsidP="006F7B79">
            <w:pPr>
              <w:shd w:val="clear" w:color="auto" w:fill="FFFFFF"/>
              <w:suppressAutoHyphens w:val="0"/>
              <w:spacing w:before="40" w:after="40" w:line="220" w:lineRule="exact"/>
              <w:ind w:right="113"/>
              <w:jc w:val="right"/>
              <w:rPr>
                <w:b/>
                <w:bCs/>
                <w:sz w:val="18"/>
                <w:szCs w:val="14"/>
                <w:lang w:eastAsia="es-ES"/>
              </w:rPr>
            </w:pPr>
          </w:p>
        </w:tc>
        <w:tc>
          <w:tcPr>
            <w:tcW w:w="1245" w:type="dxa"/>
            <w:shd w:val="clear" w:color="auto" w:fill="auto"/>
            <w:vAlign w:val="bottom"/>
          </w:tcPr>
          <w:p w:rsidR="00EB0F53" w:rsidRPr="00A530E1" w:rsidRDefault="00EB0F53" w:rsidP="006F7B79">
            <w:pPr>
              <w:shd w:val="clear" w:color="auto" w:fill="FFFFFF"/>
              <w:suppressAutoHyphens w:val="0"/>
              <w:spacing w:before="40" w:after="40" w:line="220" w:lineRule="exact"/>
              <w:ind w:right="113"/>
              <w:jc w:val="right"/>
              <w:rPr>
                <w:bCs/>
                <w:sz w:val="18"/>
                <w:szCs w:val="14"/>
                <w:lang w:eastAsia="es-ES"/>
              </w:rPr>
            </w:pPr>
          </w:p>
        </w:tc>
        <w:tc>
          <w:tcPr>
            <w:tcW w:w="1015" w:type="dxa"/>
            <w:shd w:val="clear" w:color="auto" w:fill="auto"/>
            <w:vAlign w:val="bottom"/>
          </w:tcPr>
          <w:p w:rsidR="00EB0F53" w:rsidRPr="00A530E1" w:rsidRDefault="00EB0F53" w:rsidP="006F7B79">
            <w:pPr>
              <w:shd w:val="clear" w:color="auto" w:fill="FFFFFF"/>
              <w:suppressAutoHyphens w:val="0"/>
              <w:spacing w:before="40" w:after="40" w:line="220" w:lineRule="exact"/>
              <w:ind w:right="113"/>
              <w:jc w:val="right"/>
              <w:rPr>
                <w:bCs/>
                <w:sz w:val="18"/>
                <w:szCs w:val="14"/>
                <w:lang w:eastAsia="es-ES"/>
              </w:rPr>
            </w:pPr>
          </w:p>
        </w:tc>
        <w:tc>
          <w:tcPr>
            <w:tcW w:w="1219" w:type="dxa"/>
            <w:shd w:val="clear" w:color="auto" w:fill="auto"/>
            <w:vAlign w:val="bottom"/>
          </w:tcPr>
          <w:p w:rsidR="00EB0F53" w:rsidRPr="00A530E1" w:rsidRDefault="00EB0F53" w:rsidP="006F7B79">
            <w:pPr>
              <w:shd w:val="clear" w:color="auto" w:fill="FFFFFF"/>
              <w:suppressAutoHyphens w:val="0"/>
              <w:spacing w:before="40" w:after="40" w:line="220" w:lineRule="exact"/>
              <w:ind w:right="113"/>
              <w:jc w:val="right"/>
              <w:rPr>
                <w:bCs/>
                <w:sz w:val="18"/>
                <w:szCs w:val="14"/>
                <w:lang w:eastAsia="es-ES"/>
              </w:rPr>
            </w:pPr>
          </w:p>
        </w:tc>
        <w:tc>
          <w:tcPr>
            <w:tcW w:w="1088" w:type="dxa"/>
            <w:shd w:val="clear" w:color="auto" w:fill="auto"/>
            <w:vAlign w:val="bottom"/>
          </w:tcPr>
          <w:p w:rsidR="00EB0F53" w:rsidRPr="00A530E1" w:rsidRDefault="00EB0F53" w:rsidP="006F7B79">
            <w:pPr>
              <w:shd w:val="clear" w:color="auto" w:fill="FFFFFF"/>
              <w:suppressAutoHyphens w:val="0"/>
              <w:spacing w:before="40" w:after="40" w:line="220" w:lineRule="exact"/>
              <w:ind w:right="113"/>
              <w:jc w:val="right"/>
              <w:rPr>
                <w:bCs/>
                <w:sz w:val="18"/>
                <w:szCs w:val="14"/>
                <w:lang w:eastAsia="es-ES"/>
              </w:rPr>
            </w:pPr>
          </w:p>
        </w:tc>
      </w:tr>
      <w:tr w:rsidR="00180B44" w:rsidRPr="00A530E1" w:rsidTr="008B6199">
        <w:tblPrEx>
          <w:tblCellMar>
            <w:top w:w="0" w:type="dxa"/>
            <w:bottom w:w="0" w:type="dxa"/>
          </w:tblCellMar>
        </w:tblPrEx>
        <w:trPr>
          <w:trHeight w:val="240"/>
        </w:trPr>
        <w:tc>
          <w:tcPr>
            <w:tcW w:w="1757" w:type="dxa"/>
            <w:shd w:val="clear" w:color="auto" w:fill="auto"/>
            <w:vAlign w:val="bottom"/>
          </w:tcPr>
          <w:p w:rsidR="00180B44" w:rsidRPr="00A530E1" w:rsidRDefault="00180B44" w:rsidP="006F7B79">
            <w:pPr>
              <w:shd w:val="clear" w:color="auto" w:fill="FFFFFF"/>
              <w:suppressAutoHyphens w:val="0"/>
              <w:spacing w:before="40" w:after="40" w:line="220" w:lineRule="exact"/>
              <w:ind w:right="113"/>
              <w:rPr>
                <w:sz w:val="18"/>
                <w:lang w:eastAsia="es-ES"/>
              </w:rPr>
            </w:pPr>
            <w:r w:rsidRPr="00A530E1">
              <w:rPr>
                <w:sz w:val="18"/>
                <w:szCs w:val="14"/>
                <w:lang w:eastAsia="es-ES"/>
              </w:rPr>
              <w:t>Rural</w:t>
            </w:r>
          </w:p>
        </w:tc>
        <w:tc>
          <w:tcPr>
            <w:tcW w:w="1046" w:type="dxa"/>
            <w:shd w:val="clear" w:color="auto" w:fill="auto"/>
            <w:vAlign w:val="bottom"/>
          </w:tcPr>
          <w:p w:rsidR="00180B44" w:rsidRPr="00A530E1" w:rsidRDefault="00180B44" w:rsidP="006F7B79">
            <w:pPr>
              <w:shd w:val="clear" w:color="auto" w:fill="FFFFFF"/>
              <w:suppressAutoHyphens w:val="0"/>
              <w:spacing w:before="40" w:after="40" w:line="220" w:lineRule="exact"/>
              <w:ind w:right="113"/>
              <w:jc w:val="right"/>
              <w:rPr>
                <w:b/>
                <w:sz w:val="18"/>
                <w:lang w:eastAsia="es-ES"/>
              </w:rPr>
            </w:pPr>
            <w:r w:rsidRPr="00A530E1">
              <w:rPr>
                <w:b/>
                <w:bCs/>
                <w:sz w:val="18"/>
                <w:szCs w:val="14"/>
                <w:lang w:eastAsia="es-ES"/>
              </w:rPr>
              <w:t>100.0</w:t>
            </w:r>
          </w:p>
        </w:tc>
        <w:tc>
          <w:tcPr>
            <w:tcW w:w="1245" w:type="dxa"/>
            <w:shd w:val="clear" w:color="auto" w:fill="auto"/>
            <w:vAlign w:val="bottom"/>
          </w:tcPr>
          <w:p w:rsidR="00180B44" w:rsidRPr="00A530E1" w:rsidRDefault="00180B44" w:rsidP="006F7B79">
            <w:pPr>
              <w:shd w:val="clear" w:color="auto" w:fill="FFFFFF"/>
              <w:suppressAutoHyphens w:val="0"/>
              <w:spacing w:before="40" w:after="40" w:line="220" w:lineRule="exact"/>
              <w:ind w:right="113"/>
              <w:jc w:val="right"/>
              <w:rPr>
                <w:sz w:val="18"/>
                <w:lang w:eastAsia="es-ES"/>
              </w:rPr>
            </w:pPr>
            <w:r w:rsidRPr="00A530E1">
              <w:rPr>
                <w:bCs/>
                <w:sz w:val="18"/>
                <w:szCs w:val="14"/>
                <w:lang w:eastAsia="es-ES"/>
              </w:rPr>
              <w:t>100.0</w:t>
            </w:r>
          </w:p>
        </w:tc>
        <w:tc>
          <w:tcPr>
            <w:tcW w:w="1015" w:type="dxa"/>
            <w:shd w:val="clear" w:color="auto" w:fill="auto"/>
            <w:vAlign w:val="bottom"/>
          </w:tcPr>
          <w:p w:rsidR="00180B44" w:rsidRPr="00A530E1" w:rsidRDefault="00180B44" w:rsidP="006F7B79">
            <w:pPr>
              <w:shd w:val="clear" w:color="auto" w:fill="FFFFFF"/>
              <w:suppressAutoHyphens w:val="0"/>
              <w:spacing w:before="40" w:after="40" w:line="220" w:lineRule="exact"/>
              <w:ind w:right="113"/>
              <w:jc w:val="right"/>
              <w:rPr>
                <w:sz w:val="18"/>
                <w:lang w:eastAsia="es-ES"/>
              </w:rPr>
            </w:pPr>
            <w:r w:rsidRPr="00A530E1">
              <w:rPr>
                <w:bCs/>
                <w:sz w:val="18"/>
                <w:szCs w:val="14"/>
                <w:lang w:eastAsia="es-ES"/>
              </w:rPr>
              <w:t>100.0</w:t>
            </w:r>
          </w:p>
        </w:tc>
        <w:tc>
          <w:tcPr>
            <w:tcW w:w="1219" w:type="dxa"/>
            <w:shd w:val="clear" w:color="auto" w:fill="auto"/>
            <w:vAlign w:val="bottom"/>
          </w:tcPr>
          <w:p w:rsidR="00180B44" w:rsidRPr="00A530E1" w:rsidRDefault="00180B44" w:rsidP="006F7B79">
            <w:pPr>
              <w:shd w:val="clear" w:color="auto" w:fill="FFFFFF"/>
              <w:suppressAutoHyphens w:val="0"/>
              <w:spacing w:before="40" w:after="40" w:line="220" w:lineRule="exact"/>
              <w:ind w:right="113"/>
              <w:jc w:val="right"/>
              <w:rPr>
                <w:sz w:val="18"/>
                <w:lang w:eastAsia="es-ES"/>
              </w:rPr>
            </w:pPr>
            <w:r w:rsidRPr="00A530E1">
              <w:rPr>
                <w:bCs/>
                <w:sz w:val="18"/>
                <w:szCs w:val="14"/>
                <w:lang w:eastAsia="es-ES"/>
              </w:rPr>
              <w:t>100.0</w:t>
            </w:r>
          </w:p>
        </w:tc>
        <w:tc>
          <w:tcPr>
            <w:tcW w:w="1088" w:type="dxa"/>
            <w:shd w:val="clear" w:color="auto" w:fill="auto"/>
            <w:vAlign w:val="bottom"/>
          </w:tcPr>
          <w:p w:rsidR="00180B44" w:rsidRPr="00A530E1" w:rsidRDefault="00180B44" w:rsidP="006F7B79">
            <w:pPr>
              <w:shd w:val="clear" w:color="auto" w:fill="FFFFFF"/>
              <w:suppressAutoHyphens w:val="0"/>
              <w:spacing w:before="40" w:after="40" w:line="220" w:lineRule="exact"/>
              <w:ind w:right="113"/>
              <w:jc w:val="right"/>
              <w:rPr>
                <w:sz w:val="18"/>
                <w:lang w:eastAsia="es-ES"/>
              </w:rPr>
            </w:pPr>
            <w:r w:rsidRPr="00A530E1">
              <w:rPr>
                <w:bCs/>
                <w:sz w:val="18"/>
                <w:szCs w:val="14"/>
                <w:lang w:eastAsia="es-ES"/>
              </w:rPr>
              <w:t>100.0</w:t>
            </w:r>
          </w:p>
        </w:tc>
      </w:tr>
      <w:tr w:rsidR="00180B44" w:rsidRPr="00A530E1" w:rsidTr="008B6199">
        <w:tblPrEx>
          <w:tblCellMar>
            <w:top w:w="0" w:type="dxa"/>
            <w:bottom w:w="0" w:type="dxa"/>
          </w:tblCellMar>
        </w:tblPrEx>
        <w:trPr>
          <w:trHeight w:val="240"/>
        </w:trPr>
        <w:tc>
          <w:tcPr>
            <w:tcW w:w="1757" w:type="dxa"/>
            <w:shd w:val="clear" w:color="auto" w:fill="auto"/>
            <w:vAlign w:val="bottom"/>
          </w:tcPr>
          <w:p w:rsidR="00180B44" w:rsidRPr="00A530E1" w:rsidRDefault="00180B44" w:rsidP="006F7B79">
            <w:pPr>
              <w:shd w:val="clear" w:color="auto" w:fill="FFFFFF"/>
              <w:suppressAutoHyphens w:val="0"/>
              <w:spacing w:before="40" w:after="40" w:line="220" w:lineRule="exact"/>
              <w:ind w:left="170" w:right="113"/>
              <w:rPr>
                <w:sz w:val="18"/>
                <w:szCs w:val="14"/>
                <w:lang w:eastAsia="es-ES"/>
              </w:rPr>
            </w:pPr>
            <w:r w:rsidRPr="00A530E1">
              <w:rPr>
                <w:sz w:val="18"/>
                <w:szCs w:val="14"/>
                <w:lang w:eastAsia="es-ES"/>
              </w:rPr>
              <w:t>Men</w:t>
            </w:r>
          </w:p>
        </w:tc>
        <w:tc>
          <w:tcPr>
            <w:tcW w:w="1046" w:type="dxa"/>
            <w:shd w:val="clear" w:color="auto" w:fill="auto"/>
            <w:vAlign w:val="bottom"/>
          </w:tcPr>
          <w:p w:rsidR="00180B44" w:rsidRPr="00A530E1" w:rsidRDefault="00180B44" w:rsidP="006F7B79">
            <w:pPr>
              <w:shd w:val="clear" w:color="auto" w:fill="FFFFFF"/>
              <w:suppressAutoHyphens w:val="0"/>
              <w:spacing w:before="40" w:after="40" w:line="220" w:lineRule="exact"/>
              <w:ind w:right="113"/>
              <w:jc w:val="right"/>
              <w:rPr>
                <w:b/>
                <w:sz w:val="18"/>
                <w:lang w:eastAsia="es-ES"/>
              </w:rPr>
            </w:pPr>
            <w:r w:rsidRPr="00A530E1">
              <w:rPr>
                <w:b/>
                <w:sz w:val="18"/>
                <w:szCs w:val="14"/>
                <w:lang w:eastAsia="es-ES"/>
              </w:rPr>
              <w:t>47.7</w:t>
            </w:r>
          </w:p>
        </w:tc>
        <w:tc>
          <w:tcPr>
            <w:tcW w:w="1245" w:type="dxa"/>
            <w:shd w:val="clear" w:color="auto" w:fill="auto"/>
            <w:vAlign w:val="bottom"/>
          </w:tcPr>
          <w:p w:rsidR="00180B44" w:rsidRPr="00A530E1" w:rsidRDefault="00180B44" w:rsidP="006F7B79">
            <w:pPr>
              <w:shd w:val="clear" w:color="auto" w:fill="FFFFFF"/>
              <w:suppressAutoHyphens w:val="0"/>
              <w:spacing w:before="40" w:after="40" w:line="220" w:lineRule="exact"/>
              <w:ind w:right="113"/>
              <w:jc w:val="right"/>
              <w:rPr>
                <w:sz w:val="18"/>
                <w:lang w:eastAsia="es-ES"/>
              </w:rPr>
            </w:pPr>
            <w:r w:rsidRPr="00A530E1">
              <w:rPr>
                <w:sz w:val="18"/>
                <w:szCs w:val="14"/>
                <w:lang w:eastAsia="es-ES"/>
              </w:rPr>
              <w:t>29.6</w:t>
            </w:r>
          </w:p>
        </w:tc>
        <w:tc>
          <w:tcPr>
            <w:tcW w:w="1015" w:type="dxa"/>
            <w:shd w:val="clear" w:color="auto" w:fill="auto"/>
            <w:vAlign w:val="bottom"/>
          </w:tcPr>
          <w:p w:rsidR="00180B44" w:rsidRPr="00A530E1" w:rsidRDefault="00180B44" w:rsidP="006F7B79">
            <w:pPr>
              <w:shd w:val="clear" w:color="auto" w:fill="FFFFFF"/>
              <w:suppressAutoHyphens w:val="0"/>
              <w:spacing w:before="40" w:after="40" w:line="220" w:lineRule="exact"/>
              <w:ind w:right="113"/>
              <w:jc w:val="right"/>
              <w:rPr>
                <w:sz w:val="18"/>
                <w:lang w:eastAsia="es-ES"/>
              </w:rPr>
            </w:pPr>
            <w:r w:rsidRPr="00A530E1">
              <w:rPr>
                <w:sz w:val="18"/>
                <w:szCs w:val="14"/>
                <w:lang w:eastAsia="es-ES"/>
              </w:rPr>
              <w:t>61.6</w:t>
            </w:r>
          </w:p>
        </w:tc>
        <w:tc>
          <w:tcPr>
            <w:tcW w:w="1219" w:type="dxa"/>
            <w:shd w:val="clear" w:color="auto" w:fill="auto"/>
            <w:vAlign w:val="bottom"/>
          </w:tcPr>
          <w:p w:rsidR="00180B44" w:rsidRPr="00A530E1" w:rsidRDefault="00180B44" w:rsidP="006F7B79">
            <w:pPr>
              <w:shd w:val="clear" w:color="auto" w:fill="FFFFFF"/>
              <w:suppressAutoHyphens w:val="0"/>
              <w:spacing w:before="40" w:after="40" w:line="220" w:lineRule="exact"/>
              <w:ind w:right="113"/>
              <w:jc w:val="right"/>
              <w:rPr>
                <w:sz w:val="18"/>
                <w:lang w:eastAsia="es-ES"/>
              </w:rPr>
            </w:pPr>
            <w:r w:rsidRPr="00A530E1">
              <w:rPr>
                <w:sz w:val="18"/>
                <w:szCs w:val="14"/>
                <w:lang w:eastAsia="es-ES"/>
              </w:rPr>
              <w:t>64.7</w:t>
            </w:r>
          </w:p>
        </w:tc>
        <w:tc>
          <w:tcPr>
            <w:tcW w:w="1088" w:type="dxa"/>
            <w:shd w:val="clear" w:color="auto" w:fill="auto"/>
            <w:vAlign w:val="bottom"/>
          </w:tcPr>
          <w:p w:rsidR="00180B44" w:rsidRPr="00A530E1" w:rsidRDefault="00180B44" w:rsidP="006F7B79">
            <w:pPr>
              <w:shd w:val="clear" w:color="auto" w:fill="FFFFFF"/>
              <w:suppressAutoHyphens w:val="0"/>
              <w:spacing w:before="40" w:after="40" w:line="220" w:lineRule="exact"/>
              <w:ind w:right="113"/>
              <w:jc w:val="right"/>
              <w:rPr>
                <w:sz w:val="18"/>
                <w:lang w:eastAsia="es-ES"/>
              </w:rPr>
            </w:pPr>
            <w:r w:rsidRPr="00A530E1">
              <w:rPr>
                <w:bCs/>
                <w:sz w:val="18"/>
                <w:szCs w:val="14"/>
                <w:lang w:eastAsia="es-ES"/>
              </w:rPr>
              <w:t>65.6</w:t>
            </w:r>
          </w:p>
        </w:tc>
      </w:tr>
      <w:tr w:rsidR="00180B44" w:rsidRPr="00A530E1" w:rsidTr="008B6199">
        <w:tblPrEx>
          <w:tblCellMar>
            <w:top w:w="0" w:type="dxa"/>
            <w:bottom w:w="0" w:type="dxa"/>
          </w:tblCellMar>
        </w:tblPrEx>
        <w:trPr>
          <w:trHeight w:val="240"/>
        </w:trPr>
        <w:tc>
          <w:tcPr>
            <w:tcW w:w="1757" w:type="dxa"/>
            <w:tcBorders>
              <w:bottom w:val="single" w:sz="4" w:space="0" w:color="auto"/>
            </w:tcBorders>
            <w:shd w:val="clear" w:color="auto" w:fill="auto"/>
            <w:vAlign w:val="bottom"/>
          </w:tcPr>
          <w:p w:rsidR="00180B44" w:rsidRPr="00A530E1" w:rsidRDefault="00180B44" w:rsidP="006F7B79">
            <w:pPr>
              <w:shd w:val="clear" w:color="auto" w:fill="FFFFFF"/>
              <w:suppressAutoHyphens w:val="0"/>
              <w:spacing w:before="40" w:after="40" w:line="220" w:lineRule="exact"/>
              <w:ind w:left="170" w:right="113"/>
              <w:rPr>
                <w:sz w:val="18"/>
                <w:szCs w:val="14"/>
                <w:lang w:eastAsia="es-ES"/>
              </w:rPr>
            </w:pPr>
            <w:r w:rsidRPr="00A530E1">
              <w:rPr>
                <w:sz w:val="18"/>
                <w:szCs w:val="14"/>
                <w:lang w:eastAsia="es-ES"/>
              </w:rPr>
              <w:t>Women</w:t>
            </w:r>
          </w:p>
        </w:tc>
        <w:tc>
          <w:tcPr>
            <w:tcW w:w="1046" w:type="dxa"/>
            <w:tcBorders>
              <w:bottom w:val="single" w:sz="4" w:space="0" w:color="auto"/>
            </w:tcBorders>
            <w:shd w:val="clear" w:color="auto" w:fill="auto"/>
            <w:vAlign w:val="bottom"/>
          </w:tcPr>
          <w:p w:rsidR="00180B44" w:rsidRPr="00A530E1" w:rsidRDefault="00180B44" w:rsidP="006F7B79">
            <w:pPr>
              <w:shd w:val="clear" w:color="auto" w:fill="FFFFFF"/>
              <w:suppressAutoHyphens w:val="0"/>
              <w:spacing w:before="40" w:after="40" w:line="220" w:lineRule="exact"/>
              <w:ind w:right="113"/>
              <w:jc w:val="right"/>
              <w:rPr>
                <w:b/>
                <w:sz w:val="18"/>
                <w:lang w:eastAsia="es-ES"/>
              </w:rPr>
            </w:pPr>
            <w:r w:rsidRPr="00A530E1">
              <w:rPr>
                <w:b/>
                <w:sz w:val="18"/>
                <w:szCs w:val="14"/>
                <w:lang w:eastAsia="es-ES"/>
              </w:rPr>
              <w:t>52.3</w:t>
            </w:r>
          </w:p>
        </w:tc>
        <w:tc>
          <w:tcPr>
            <w:tcW w:w="1245" w:type="dxa"/>
            <w:tcBorders>
              <w:bottom w:val="single" w:sz="4" w:space="0" w:color="auto"/>
            </w:tcBorders>
            <w:shd w:val="clear" w:color="auto" w:fill="auto"/>
            <w:vAlign w:val="bottom"/>
          </w:tcPr>
          <w:p w:rsidR="00180B44" w:rsidRPr="00A530E1" w:rsidRDefault="00180B44" w:rsidP="006F7B79">
            <w:pPr>
              <w:shd w:val="clear" w:color="auto" w:fill="FFFFFF"/>
              <w:suppressAutoHyphens w:val="0"/>
              <w:spacing w:before="40" w:after="40" w:line="220" w:lineRule="exact"/>
              <w:ind w:right="113"/>
              <w:jc w:val="right"/>
              <w:rPr>
                <w:sz w:val="18"/>
                <w:lang w:eastAsia="es-ES"/>
              </w:rPr>
            </w:pPr>
            <w:r w:rsidRPr="00A530E1">
              <w:rPr>
                <w:sz w:val="18"/>
                <w:szCs w:val="14"/>
                <w:lang w:eastAsia="es-ES"/>
              </w:rPr>
              <w:t>70.4</w:t>
            </w:r>
          </w:p>
        </w:tc>
        <w:tc>
          <w:tcPr>
            <w:tcW w:w="1015" w:type="dxa"/>
            <w:tcBorders>
              <w:bottom w:val="single" w:sz="4" w:space="0" w:color="auto"/>
            </w:tcBorders>
            <w:shd w:val="clear" w:color="auto" w:fill="auto"/>
            <w:vAlign w:val="bottom"/>
          </w:tcPr>
          <w:p w:rsidR="00180B44" w:rsidRPr="00A530E1" w:rsidRDefault="00180B44" w:rsidP="006F7B79">
            <w:pPr>
              <w:shd w:val="clear" w:color="auto" w:fill="FFFFFF"/>
              <w:suppressAutoHyphens w:val="0"/>
              <w:spacing w:before="40" w:after="40" w:line="220" w:lineRule="exact"/>
              <w:ind w:right="113"/>
              <w:jc w:val="right"/>
              <w:rPr>
                <w:sz w:val="18"/>
                <w:lang w:eastAsia="es-ES"/>
              </w:rPr>
            </w:pPr>
            <w:r w:rsidRPr="00A530E1">
              <w:rPr>
                <w:sz w:val="18"/>
                <w:szCs w:val="14"/>
                <w:lang w:eastAsia="es-ES"/>
              </w:rPr>
              <w:t>38.4</w:t>
            </w:r>
          </w:p>
        </w:tc>
        <w:tc>
          <w:tcPr>
            <w:tcW w:w="1219" w:type="dxa"/>
            <w:tcBorders>
              <w:bottom w:val="single" w:sz="4" w:space="0" w:color="auto"/>
            </w:tcBorders>
            <w:shd w:val="clear" w:color="auto" w:fill="auto"/>
            <w:vAlign w:val="bottom"/>
          </w:tcPr>
          <w:p w:rsidR="00180B44" w:rsidRPr="00A530E1" w:rsidRDefault="00180B44" w:rsidP="006F7B79">
            <w:pPr>
              <w:shd w:val="clear" w:color="auto" w:fill="FFFFFF"/>
              <w:suppressAutoHyphens w:val="0"/>
              <w:spacing w:before="40" w:after="40" w:line="220" w:lineRule="exact"/>
              <w:ind w:right="113"/>
              <w:jc w:val="right"/>
              <w:rPr>
                <w:sz w:val="18"/>
                <w:lang w:eastAsia="es-ES"/>
              </w:rPr>
            </w:pPr>
            <w:r w:rsidRPr="00A530E1">
              <w:rPr>
                <w:sz w:val="18"/>
                <w:szCs w:val="14"/>
                <w:lang w:eastAsia="es-ES"/>
              </w:rPr>
              <w:t>35.3</w:t>
            </w:r>
          </w:p>
        </w:tc>
        <w:tc>
          <w:tcPr>
            <w:tcW w:w="1088" w:type="dxa"/>
            <w:tcBorders>
              <w:bottom w:val="single" w:sz="4" w:space="0" w:color="auto"/>
            </w:tcBorders>
            <w:shd w:val="clear" w:color="auto" w:fill="auto"/>
            <w:vAlign w:val="bottom"/>
          </w:tcPr>
          <w:p w:rsidR="00180B44" w:rsidRPr="00A530E1" w:rsidRDefault="00180B44" w:rsidP="006F7B79">
            <w:pPr>
              <w:shd w:val="clear" w:color="auto" w:fill="FFFFFF"/>
              <w:suppressAutoHyphens w:val="0"/>
              <w:spacing w:before="40" w:after="40" w:line="220" w:lineRule="exact"/>
              <w:ind w:right="113"/>
              <w:jc w:val="right"/>
              <w:rPr>
                <w:sz w:val="18"/>
                <w:lang w:eastAsia="es-ES"/>
              </w:rPr>
            </w:pPr>
            <w:r w:rsidRPr="00A530E1">
              <w:rPr>
                <w:bCs/>
                <w:sz w:val="18"/>
                <w:szCs w:val="14"/>
                <w:lang w:eastAsia="es-ES"/>
              </w:rPr>
              <w:t>34.4</w:t>
            </w:r>
          </w:p>
        </w:tc>
      </w:tr>
      <w:tr w:rsidR="00180B44" w:rsidRPr="00A530E1" w:rsidTr="008B6199">
        <w:tblPrEx>
          <w:tblCellMar>
            <w:top w:w="0" w:type="dxa"/>
            <w:bottom w:w="0" w:type="dxa"/>
          </w:tblCellMar>
        </w:tblPrEx>
        <w:trPr>
          <w:trHeight w:val="240"/>
        </w:trPr>
        <w:tc>
          <w:tcPr>
            <w:tcW w:w="1757" w:type="dxa"/>
            <w:tcBorders>
              <w:top w:val="single" w:sz="4" w:space="0" w:color="auto"/>
              <w:bottom w:val="single" w:sz="4" w:space="0" w:color="auto"/>
            </w:tcBorders>
            <w:shd w:val="clear" w:color="auto" w:fill="auto"/>
            <w:vAlign w:val="bottom"/>
          </w:tcPr>
          <w:p w:rsidR="00180B44" w:rsidRPr="00A530E1" w:rsidRDefault="00180B44" w:rsidP="00ED2451">
            <w:pPr>
              <w:shd w:val="clear" w:color="auto" w:fill="FFFFFF"/>
              <w:suppressAutoHyphens w:val="0"/>
              <w:spacing w:before="80" w:after="80" w:line="220" w:lineRule="exact"/>
              <w:ind w:left="284" w:right="113"/>
              <w:rPr>
                <w:b/>
                <w:sz w:val="18"/>
                <w:lang w:eastAsia="es-ES"/>
              </w:rPr>
            </w:pPr>
            <w:r w:rsidRPr="00A530E1">
              <w:rPr>
                <w:b/>
                <w:sz w:val="18"/>
                <w:szCs w:val="14"/>
                <w:lang w:eastAsia="es-ES"/>
              </w:rPr>
              <w:t>Total</w:t>
            </w:r>
          </w:p>
        </w:tc>
        <w:tc>
          <w:tcPr>
            <w:tcW w:w="1046" w:type="dxa"/>
            <w:tcBorders>
              <w:top w:val="single" w:sz="4" w:space="0" w:color="auto"/>
              <w:bottom w:val="single" w:sz="4" w:space="0" w:color="auto"/>
            </w:tcBorders>
            <w:shd w:val="clear" w:color="auto" w:fill="auto"/>
            <w:vAlign w:val="bottom"/>
          </w:tcPr>
          <w:p w:rsidR="00180B44" w:rsidRPr="00A530E1" w:rsidRDefault="00180B44" w:rsidP="006F7B79">
            <w:pPr>
              <w:shd w:val="clear" w:color="auto" w:fill="FFFFFF"/>
              <w:suppressAutoHyphens w:val="0"/>
              <w:spacing w:before="80" w:after="80" w:line="220" w:lineRule="exact"/>
              <w:ind w:right="113"/>
              <w:jc w:val="right"/>
              <w:rPr>
                <w:b/>
                <w:sz w:val="18"/>
                <w:lang w:eastAsia="es-ES"/>
              </w:rPr>
            </w:pPr>
            <w:r w:rsidRPr="00A530E1">
              <w:rPr>
                <w:b/>
                <w:bCs/>
                <w:sz w:val="18"/>
                <w:szCs w:val="14"/>
                <w:lang w:eastAsia="es-ES"/>
              </w:rPr>
              <w:t>100.0</w:t>
            </w:r>
          </w:p>
        </w:tc>
        <w:tc>
          <w:tcPr>
            <w:tcW w:w="1245" w:type="dxa"/>
            <w:tcBorders>
              <w:top w:val="single" w:sz="4" w:space="0" w:color="auto"/>
              <w:bottom w:val="single" w:sz="4" w:space="0" w:color="auto"/>
            </w:tcBorders>
            <w:shd w:val="clear" w:color="auto" w:fill="auto"/>
            <w:vAlign w:val="bottom"/>
          </w:tcPr>
          <w:p w:rsidR="00180B44" w:rsidRPr="00A530E1" w:rsidRDefault="00180B44" w:rsidP="006F7B79">
            <w:pPr>
              <w:shd w:val="clear" w:color="auto" w:fill="FFFFFF"/>
              <w:suppressAutoHyphens w:val="0"/>
              <w:spacing w:before="80" w:after="80" w:line="220" w:lineRule="exact"/>
              <w:ind w:right="113"/>
              <w:jc w:val="right"/>
              <w:rPr>
                <w:b/>
                <w:sz w:val="18"/>
                <w:lang w:eastAsia="es-ES"/>
              </w:rPr>
            </w:pPr>
            <w:r w:rsidRPr="00A530E1">
              <w:rPr>
                <w:b/>
                <w:bCs/>
                <w:sz w:val="18"/>
                <w:szCs w:val="14"/>
                <w:lang w:eastAsia="es-ES"/>
              </w:rPr>
              <w:t>100.0</w:t>
            </w:r>
          </w:p>
        </w:tc>
        <w:tc>
          <w:tcPr>
            <w:tcW w:w="1015" w:type="dxa"/>
            <w:tcBorders>
              <w:top w:val="single" w:sz="4" w:space="0" w:color="auto"/>
              <w:bottom w:val="single" w:sz="4" w:space="0" w:color="auto"/>
            </w:tcBorders>
            <w:shd w:val="clear" w:color="auto" w:fill="auto"/>
            <w:vAlign w:val="bottom"/>
          </w:tcPr>
          <w:p w:rsidR="00180B44" w:rsidRPr="00A530E1" w:rsidRDefault="00180B44" w:rsidP="006F7B79">
            <w:pPr>
              <w:shd w:val="clear" w:color="auto" w:fill="FFFFFF"/>
              <w:suppressAutoHyphens w:val="0"/>
              <w:spacing w:before="80" w:after="80" w:line="220" w:lineRule="exact"/>
              <w:ind w:right="113"/>
              <w:jc w:val="right"/>
              <w:rPr>
                <w:b/>
                <w:sz w:val="18"/>
                <w:lang w:eastAsia="es-ES"/>
              </w:rPr>
            </w:pPr>
            <w:r w:rsidRPr="00A530E1">
              <w:rPr>
                <w:b/>
                <w:bCs/>
                <w:sz w:val="18"/>
                <w:szCs w:val="14"/>
                <w:lang w:eastAsia="es-ES"/>
              </w:rPr>
              <w:t>100.0</w:t>
            </w:r>
          </w:p>
        </w:tc>
        <w:tc>
          <w:tcPr>
            <w:tcW w:w="1219" w:type="dxa"/>
            <w:tcBorders>
              <w:top w:val="single" w:sz="4" w:space="0" w:color="auto"/>
              <w:bottom w:val="single" w:sz="4" w:space="0" w:color="auto"/>
            </w:tcBorders>
            <w:shd w:val="clear" w:color="auto" w:fill="auto"/>
            <w:vAlign w:val="bottom"/>
          </w:tcPr>
          <w:p w:rsidR="00180B44" w:rsidRPr="00A530E1" w:rsidRDefault="00180B44" w:rsidP="006F7B79">
            <w:pPr>
              <w:shd w:val="clear" w:color="auto" w:fill="FFFFFF"/>
              <w:suppressAutoHyphens w:val="0"/>
              <w:spacing w:before="80" w:after="80" w:line="220" w:lineRule="exact"/>
              <w:ind w:right="113"/>
              <w:jc w:val="right"/>
              <w:rPr>
                <w:b/>
                <w:sz w:val="18"/>
                <w:lang w:eastAsia="es-ES"/>
              </w:rPr>
            </w:pPr>
            <w:r w:rsidRPr="00A530E1">
              <w:rPr>
                <w:b/>
                <w:bCs/>
                <w:sz w:val="18"/>
                <w:szCs w:val="14"/>
                <w:lang w:eastAsia="es-ES"/>
              </w:rPr>
              <w:t>100.0</w:t>
            </w:r>
          </w:p>
        </w:tc>
        <w:tc>
          <w:tcPr>
            <w:tcW w:w="1088" w:type="dxa"/>
            <w:tcBorders>
              <w:top w:val="single" w:sz="4" w:space="0" w:color="auto"/>
              <w:bottom w:val="single" w:sz="4" w:space="0" w:color="auto"/>
            </w:tcBorders>
            <w:shd w:val="clear" w:color="auto" w:fill="auto"/>
            <w:vAlign w:val="bottom"/>
          </w:tcPr>
          <w:p w:rsidR="00180B44" w:rsidRPr="00A530E1" w:rsidRDefault="00180B44" w:rsidP="006F7B79">
            <w:pPr>
              <w:shd w:val="clear" w:color="auto" w:fill="FFFFFF"/>
              <w:suppressAutoHyphens w:val="0"/>
              <w:spacing w:before="80" w:after="80" w:line="220" w:lineRule="exact"/>
              <w:ind w:right="113"/>
              <w:jc w:val="right"/>
              <w:rPr>
                <w:b/>
                <w:sz w:val="18"/>
                <w:lang w:eastAsia="es-ES"/>
              </w:rPr>
            </w:pPr>
            <w:r w:rsidRPr="00A530E1">
              <w:rPr>
                <w:b/>
                <w:bCs/>
                <w:sz w:val="18"/>
                <w:szCs w:val="14"/>
                <w:lang w:eastAsia="es-ES"/>
              </w:rPr>
              <w:t>100.0</w:t>
            </w:r>
          </w:p>
        </w:tc>
      </w:tr>
      <w:tr w:rsidR="00180B44" w:rsidRPr="00A530E1" w:rsidTr="008B6199">
        <w:tblPrEx>
          <w:tblCellMar>
            <w:top w:w="0" w:type="dxa"/>
            <w:bottom w:w="0" w:type="dxa"/>
          </w:tblCellMar>
        </w:tblPrEx>
        <w:trPr>
          <w:trHeight w:val="240"/>
        </w:trPr>
        <w:tc>
          <w:tcPr>
            <w:tcW w:w="1757" w:type="dxa"/>
            <w:tcBorders>
              <w:top w:val="single" w:sz="4" w:space="0" w:color="auto"/>
              <w:bottom w:val="single" w:sz="4" w:space="0" w:color="auto"/>
            </w:tcBorders>
            <w:shd w:val="clear" w:color="auto" w:fill="auto"/>
            <w:vAlign w:val="bottom"/>
          </w:tcPr>
          <w:p w:rsidR="00180B44" w:rsidRPr="00A530E1" w:rsidRDefault="00180B44" w:rsidP="00ED2451">
            <w:pPr>
              <w:shd w:val="clear" w:color="auto" w:fill="FFFFFF"/>
              <w:suppressAutoHyphens w:val="0"/>
              <w:spacing w:before="80" w:after="80" w:line="220" w:lineRule="exact"/>
              <w:ind w:left="284" w:right="113"/>
              <w:rPr>
                <w:b/>
                <w:sz w:val="18"/>
                <w:lang w:eastAsia="es-ES"/>
              </w:rPr>
            </w:pPr>
            <w:r w:rsidRPr="00A530E1">
              <w:rPr>
                <w:b/>
                <w:sz w:val="18"/>
                <w:szCs w:val="14"/>
                <w:lang w:eastAsia="es-ES"/>
              </w:rPr>
              <w:t>Men</w:t>
            </w:r>
          </w:p>
        </w:tc>
        <w:tc>
          <w:tcPr>
            <w:tcW w:w="1046" w:type="dxa"/>
            <w:tcBorders>
              <w:top w:val="single" w:sz="4" w:space="0" w:color="auto"/>
              <w:bottom w:val="single" w:sz="4" w:space="0" w:color="auto"/>
            </w:tcBorders>
            <w:shd w:val="clear" w:color="auto" w:fill="auto"/>
            <w:vAlign w:val="bottom"/>
          </w:tcPr>
          <w:p w:rsidR="00180B44" w:rsidRPr="00A530E1" w:rsidRDefault="00180B44" w:rsidP="006F7B79">
            <w:pPr>
              <w:shd w:val="clear" w:color="auto" w:fill="FFFFFF"/>
              <w:suppressAutoHyphens w:val="0"/>
              <w:spacing w:before="80" w:after="80" w:line="220" w:lineRule="exact"/>
              <w:ind w:right="113"/>
              <w:jc w:val="right"/>
              <w:rPr>
                <w:b/>
                <w:sz w:val="18"/>
                <w:lang w:eastAsia="es-ES"/>
              </w:rPr>
            </w:pPr>
            <w:r w:rsidRPr="00A530E1">
              <w:rPr>
                <w:b/>
                <w:bCs/>
                <w:sz w:val="18"/>
                <w:szCs w:val="14"/>
                <w:lang w:eastAsia="es-ES"/>
              </w:rPr>
              <w:t>44.4</w:t>
            </w:r>
          </w:p>
        </w:tc>
        <w:tc>
          <w:tcPr>
            <w:tcW w:w="1245" w:type="dxa"/>
            <w:tcBorders>
              <w:top w:val="single" w:sz="4" w:space="0" w:color="auto"/>
              <w:bottom w:val="single" w:sz="4" w:space="0" w:color="auto"/>
            </w:tcBorders>
            <w:shd w:val="clear" w:color="auto" w:fill="auto"/>
            <w:vAlign w:val="bottom"/>
          </w:tcPr>
          <w:p w:rsidR="00180B44" w:rsidRPr="00A530E1" w:rsidRDefault="00180B44" w:rsidP="006F7B79">
            <w:pPr>
              <w:shd w:val="clear" w:color="auto" w:fill="FFFFFF"/>
              <w:suppressAutoHyphens w:val="0"/>
              <w:spacing w:before="80" w:after="80" w:line="220" w:lineRule="exact"/>
              <w:ind w:right="113"/>
              <w:jc w:val="right"/>
              <w:rPr>
                <w:b/>
                <w:sz w:val="18"/>
                <w:lang w:eastAsia="es-ES"/>
              </w:rPr>
            </w:pPr>
            <w:r w:rsidRPr="00A530E1">
              <w:rPr>
                <w:b/>
                <w:bCs/>
                <w:sz w:val="18"/>
                <w:szCs w:val="14"/>
                <w:lang w:eastAsia="es-ES"/>
              </w:rPr>
              <w:t>29.6</w:t>
            </w:r>
          </w:p>
        </w:tc>
        <w:tc>
          <w:tcPr>
            <w:tcW w:w="1015" w:type="dxa"/>
            <w:tcBorders>
              <w:top w:val="single" w:sz="4" w:space="0" w:color="auto"/>
              <w:bottom w:val="single" w:sz="4" w:space="0" w:color="auto"/>
            </w:tcBorders>
            <w:shd w:val="clear" w:color="auto" w:fill="auto"/>
            <w:vAlign w:val="bottom"/>
          </w:tcPr>
          <w:p w:rsidR="00180B44" w:rsidRPr="00A530E1" w:rsidRDefault="00180B44" w:rsidP="006F7B79">
            <w:pPr>
              <w:shd w:val="clear" w:color="auto" w:fill="FFFFFF"/>
              <w:suppressAutoHyphens w:val="0"/>
              <w:spacing w:before="80" w:after="80" w:line="220" w:lineRule="exact"/>
              <w:ind w:right="113"/>
              <w:jc w:val="right"/>
              <w:rPr>
                <w:b/>
                <w:sz w:val="18"/>
                <w:lang w:eastAsia="es-ES"/>
              </w:rPr>
            </w:pPr>
            <w:r w:rsidRPr="00A530E1">
              <w:rPr>
                <w:b/>
                <w:bCs/>
                <w:sz w:val="18"/>
                <w:szCs w:val="14"/>
                <w:lang w:eastAsia="es-ES"/>
              </w:rPr>
              <w:t>48.6</w:t>
            </w:r>
          </w:p>
        </w:tc>
        <w:tc>
          <w:tcPr>
            <w:tcW w:w="1219" w:type="dxa"/>
            <w:tcBorders>
              <w:top w:val="single" w:sz="4" w:space="0" w:color="auto"/>
              <w:bottom w:val="single" w:sz="4" w:space="0" w:color="auto"/>
            </w:tcBorders>
            <w:shd w:val="clear" w:color="auto" w:fill="auto"/>
            <w:vAlign w:val="bottom"/>
          </w:tcPr>
          <w:p w:rsidR="00180B44" w:rsidRPr="00A530E1" w:rsidRDefault="00180B44" w:rsidP="006F7B79">
            <w:pPr>
              <w:shd w:val="clear" w:color="auto" w:fill="FFFFFF"/>
              <w:suppressAutoHyphens w:val="0"/>
              <w:spacing w:before="80" w:after="80" w:line="220" w:lineRule="exact"/>
              <w:ind w:right="113"/>
              <w:jc w:val="right"/>
              <w:rPr>
                <w:b/>
                <w:sz w:val="18"/>
                <w:lang w:eastAsia="es-ES"/>
              </w:rPr>
            </w:pPr>
            <w:r w:rsidRPr="00A530E1">
              <w:rPr>
                <w:b/>
                <w:bCs/>
                <w:sz w:val="18"/>
                <w:szCs w:val="14"/>
                <w:lang w:eastAsia="es-ES"/>
              </w:rPr>
              <w:t>47.8</w:t>
            </w:r>
          </w:p>
        </w:tc>
        <w:tc>
          <w:tcPr>
            <w:tcW w:w="1088" w:type="dxa"/>
            <w:tcBorders>
              <w:top w:val="single" w:sz="4" w:space="0" w:color="auto"/>
              <w:bottom w:val="single" w:sz="4" w:space="0" w:color="auto"/>
            </w:tcBorders>
            <w:shd w:val="clear" w:color="auto" w:fill="auto"/>
            <w:vAlign w:val="bottom"/>
          </w:tcPr>
          <w:p w:rsidR="00180B44" w:rsidRPr="00A530E1" w:rsidRDefault="00180B44" w:rsidP="006F7B79">
            <w:pPr>
              <w:shd w:val="clear" w:color="auto" w:fill="FFFFFF"/>
              <w:suppressAutoHyphens w:val="0"/>
              <w:spacing w:before="80" w:after="80" w:line="220" w:lineRule="exact"/>
              <w:ind w:right="113"/>
              <w:jc w:val="right"/>
              <w:rPr>
                <w:b/>
                <w:sz w:val="18"/>
                <w:lang w:eastAsia="es-ES"/>
              </w:rPr>
            </w:pPr>
            <w:r w:rsidRPr="00A530E1">
              <w:rPr>
                <w:b/>
                <w:bCs/>
                <w:sz w:val="18"/>
                <w:szCs w:val="14"/>
                <w:lang w:eastAsia="es-ES"/>
              </w:rPr>
              <w:t>49.5</w:t>
            </w:r>
          </w:p>
        </w:tc>
      </w:tr>
      <w:tr w:rsidR="00180B44" w:rsidRPr="00A530E1" w:rsidTr="008B6199">
        <w:tblPrEx>
          <w:tblCellMar>
            <w:top w:w="0" w:type="dxa"/>
            <w:bottom w:w="0" w:type="dxa"/>
          </w:tblCellMar>
        </w:tblPrEx>
        <w:trPr>
          <w:trHeight w:val="240"/>
        </w:trPr>
        <w:tc>
          <w:tcPr>
            <w:tcW w:w="1757" w:type="dxa"/>
            <w:tcBorders>
              <w:top w:val="single" w:sz="4" w:space="0" w:color="auto"/>
              <w:bottom w:val="single" w:sz="12" w:space="0" w:color="auto"/>
            </w:tcBorders>
            <w:shd w:val="clear" w:color="auto" w:fill="auto"/>
            <w:vAlign w:val="bottom"/>
          </w:tcPr>
          <w:p w:rsidR="00180B44" w:rsidRPr="00A530E1" w:rsidRDefault="00180B44" w:rsidP="00ED2451">
            <w:pPr>
              <w:shd w:val="clear" w:color="auto" w:fill="FFFFFF"/>
              <w:suppressAutoHyphens w:val="0"/>
              <w:spacing w:before="80" w:after="80" w:line="220" w:lineRule="exact"/>
              <w:ind w:left="284" w:right="113"/>
              <w:rPr>
                <w:b/>
                <w:sz w:val="18"/>
                <w:lang w:eastAsia="es-ES"/>
              </w:rPr>
            </w:pPr>
            <w:r w:rsidRPr="00A530E1">
              <w:rPr>
                <w:b/>
                <w:sz w:val="18"/>
                <w:lang w:eastAsia="es-ES"/>
              </w:rPr>
              <w:t>Women</w:t>
            </w:r>
          </w:p>
        </w:tc>
        <w:tc>
          <w:tcPr>
            <w:tcW w:w="1046" w:type="dxa"/>
            <w:tcBorders>
              <w:top w:val="single" w:sz="4" w:space="0" w:color="auto"/>
              <w:bottom w:val="single" w:sz="12" w:space="0" w:color="auto"/>
            </w:tcBorders>
            <w:shd w:val="clear" w:color="auto" w:fill="auto"/>
            <w:vAlign w:val="bottom"/>
          </w:tcPr>
          <w:p w:rsidR="00180B44" w:rsidRPr="00A530E1" w:rsidRDefault="00180B44" w:rsidP="006F7B79">
            <w:pPr>
              <w:shd w:val="clear" w:color="auto" w:fill="FFFFFF"/>
              <w:suppressAutoHyphens w:val="0"/>
              <w:spacing w:before="80" w:after="80" w:line="220" w:lineRule="exact"/>
              <w:ind w:right="113"/>
              <w:jc w:val="right"/>
              <w:rPr>
                <w:b/>
                <w:sz w:val="18"/>
                <w:lang w:eastAsia="es-ES"/>
              </w:rPr>
            </w:pPr>
            <w:r w:rsidRPr="00A530E1">
              <w:rPr>
                <w:b/>
                <w:bCs/>
                <w:sz w:val="18"/>
                <w:szCs w:val="14"/>
                <w:lang w:eastAsia="es-ES"/>
              </w:rPr>
              <w:t>55.6</w:t>
            </w:r>
          </w:p>
        </w:tc>
        <w:tc>
          <w:tcPr>
            <w:tcW w:w="1245" w:type="dxa"/>
            <w:tcBorders>
              <w:top w:val="single" w:sz="4" w:space="0" w:color="auto"/>
              <w:bottom w:val="single" w:sz="12" w:space="0" w:color="auto"/>
            </w:tcBorders>
            <w:shd w:val="clear" w:color="auto" w:fill="auto"/>
            <w:vAlign w:val="bottom"/>
          </w:tcPr>
          <w:p w:rsidR="00180B44" w:rsidRPr="00A530E1" w:rsidRDefault="00180B44" w:rsidP="006F7B79">
            <w:pPr>
              <w:shd w:val="clear" w:color="auto" w:fill="FFFFFF"/>
              <w:suppressAutoHyphens w:val="0"/>
              <w:spacing w:before="80" w:after="80" w:line="220" w:lineRule="exact"/>
              <w:ind w:right="113"/>
              <w:jc w:val="right"/>
              <w:rPr>
                <w:b/>
                <w:sz w:val="18"/>
                <w:lang w:eastAsia="es-ES"/>
              </w:rPr>
            </w:pPr>
            <w:r w:rsidRPr="00A530E1">
              <w:rPr>
                <w:b/>
                <w:bCs/>
                <w:sz w:val="18"/>
                <w:szCs w:val="14"/>
                <w:lang w:eastAsia="es-ES"/>
              </w:rPr>
              <w:t>70.4</w:t>
            </w:r>
          </w:p>
        </w:tc>
        <w:tc>
          <w:tcPr>
            <w:tcW w:w="1015" w:type="dxa"/>
            <w:tcBorders>
              <w:top w:val="single" w:sz="4" w:space="0" w:color="auto"/>
              <w:bottom w:val="single" w:sz="12" w:space="0" w:color="auto"/>
            </w:tcBorders>
            <w:shd w:val="clear" w:color="auto" w:fill="auto"/>
            <w:vAlign w:val="bottom"/>
          </w:tcPr>
          <w:p w:rsidR="00180B44" w:rsidRPr="00A530E1" w:rsidRDefault="00180B44" w:rsidP="006F7B79">
            <w:pPr>
              <w:shd w:val="clear" w:color="auto" w:fill="FFFFFF"/>
              <w:suppressAutoHyphens w:val="0"/>
              <w:spacing w:before="80" w:after="80" w:line="220" w:lineRule="exact"/>
              <w:ind w:right="113"/>
              <w:jc w:val="right"/>
              <w:rPr>
                <w:b/>
                <w:sz w:val="18"/>
                <w:lang w:eastAsia="es-ES"/>
              </w:rPr>
            </w:pPr>
            <w:r w:rsidRPr="00A530E1">
              <w:rPr>
                <w:b/>
                <w:bCs/>
                <w:sz w:val="18"/>
                <w:szCs w:val="14"/>
                <w:lang w:eastAsia="es-ES"/>
              </w:rPr>
              <w:t>51.4</w:t>
            </w:r>
          </w:p>
        </w:tc>
        <w:tc>
          <w:tcPr>
            <w:tcW w:w="1219" w:type="dxa"/>
            <w:tcBorders>
              <w:top w:val="single" w:sz="4" w:space="0" w:color="auto"/>
              <w:bottom w:val="single" w:sz="12" w:space="0" w:color="auto"/>
            </w:tcBorders>
            <w:shd w:val="clear" w:color="auto" w:fill="auto"/>
            <w:vAlign w:val="bottom"/>
          </w:tcPr>
          <w:p w:rsidR="00180B44" w:rsidRPr="00A530E1" w:rsidRDefault="00180B44" w:rsidP="006F7B79">
            <w:pPr>
              <w:shd w:val="clear" w:color="auto" w:fill="FFFFFF"/>
              <w:suppressAutoHyphens w:val="0"/>
              <w:spacing w:before="80" w:after="80" w:line="220" w:lineRule="exact"/>
              <w:ind w:right="113"/>
              <w:jc w:val="right"/>
              <w:rPr>
                <w:b/>
                <w:sz w:val="18"/>
                <w:lang w:eastAsia="es-ES"/>
              </w:rPr>
            </w:pPr>
            <w:r w:rsidRPr="00A530E1">
              <w:rPr>
                <w:b/>
                <w:sz w:val="18"/>
                <w:szCs w:val="14"/>
                <w:lang w:eastAsia="es-ES"/>
              </w:rPr>
              <w:t>52.2</w:t>
            </w:r>
          </w:p>
        </w:tc>
        <w:tc>
          <w:tcPr>
            <w:tcW w:w="1088" w:type="dxa"/>
            <w:tcBorders>
              <w:top w:val="single" w:sz="4" w:space="0" w:color="auto"/>
              <w:bottom w:val="single" w:sz="12" w:space="0" w:color="auto"/>
            </w:tcBorders>
            <w:shd w:val="clear" w:color="auto" w:fill="auto"/>
            <w:vAlign w:val="bottom"/>
          </w:tcPr>
          <w:p w:rsidR="00180B44" w:rsidRPr="00A530E1" w:rsidRDefault="00180B44" w:rsidP="006F7B79">
            <w:pPr>
              <w:shd w:val="clear" w:color="auto" w:fill="FFFFFF"/>
              <w:suppressAutoHyphens w:val="0"/>
              <w:spacing w:before="80" w:after="80" w:line="220" w:lineRule="exact"/>
              <w:ind w:right="113"/>
              <w:jc w:val="right"/>
              <w:rPr>
                <w:b/>
                <w:sz w:val="18"/>
                <w:lang w:eastAsia="es-ES"/>
              </w:rPr>
            </w:pPr>
            <w:r w:rsidRPr="00A530E1">
              <w:rPr>
                <w:b/>
                <w:bCs/>
                <w:sz w:val="18"/>
                <w:szCs w:val="14"/>
                <w:lang w:eastAsia="es-ES"/>
              </w:rPr>
              <w:t>50.5</w:t>
            </w:r>
          </w:p>
        </w:tc>
      </w:tr>
    </w:tbl>
    <w:p w:rsidR="00180B44" w:rsidRPr="00A530E1" w:rsidRDefault="00180B44" w:rsidP="00180B44">
      <w:pPr>
        <w:suppressAutoHyphens w:val="0"/>
        <w:spacing w:before="120" w:line="240" w:lineRule="auto"/>
        <w:ind w:left="1134" w:right="1134" w:firstLine="170"/>
        <w:rPr>
          <w:sz w:val="18"/>
          <w:szCs w:val="18"/>
        </w:rPr>
      </w:pPr>
      <w:r w:rsidRPr="00A530E1">
        <w:rPr>
          <w:i/>
          <w:sz w:val="18"/>
          <w:szCs w:val="18"/>
        </w:rPr>
        <w:t>Source:</w:t>
      </w:r>
      <w:r w:rsidRPr="00A530E1">
        <w:rPr>
          <w:sz w:val="18"/>
          <w:szCs w:val="18"/>
        </w:rPr>
        <w:t xml:space="preserve">  National Institute of Statistics (INEI) – Continuous National Survey, 2006.</w:t>
      </w:r>
    </w:p>
    <w:p w:rsidR="00180B44" w:rsidRPr="00A530E1" w:rsidRDefault="00180B44" w:rsidP="00180B44">
      <w:pPr>
        <w:suppressAutoHyphens w:val="0"/>
        <w:spacing w:after="240" w:line="240" w:lineRule="auto"/>
        <w:ind w:left="1134" w:right="1134" w:firstLine="170"/>
        <w:rPr>
          <w:sz w:val="18"/>
          <w:szCs w:val="18"/>
        </w:rPr>
      </w:pPr>
      <w:r w:rsidRPr="00A530E1">
        <w:rPr>
          <w:i/>
          <w:sz w:val="18"/>
          <w:szCs w:val="18"/>
          <w:vertAlign w:val="superscript"/>
        </w:rPr>
        <w:t>1</w:t>
      </w:r>
      <w:r w:rsidRPr="00A530E1">
        <w:rPr>
          <w:sz w:val="18"/>
          <w:szCs w:val="18"/>
        </w:rPr>
        <w:t xml:space="preserve">  Includes nursery school.</w:t>
      </w:r>
    </w:p>
    <w:p w:rsidR="00180B44" w:rsidRPr="00A530E1" w:rsidRDefault="00180B44" w:rsidP="00180B44">
      <w:pPr>
        <w:pStyle w:val="H23G"/>
        <w:spacing w:after="0"/>
      </w:pPr>
      <w:r w:rsidRPr="00A530E1">
        <w:tab/>
      </w:r>
      <w:r w:rsidRPr="00A530E1">
        <w:tab/>
        <w:t>Percentage of the population with a disability, by level of education and department, 2006</w:t>
      </w:r>
    </w:p>
    <w:p w:rsidR="00180B44" w:rsidRPr="00A530E1" w:rsidRDefault="00180B44" w:rsidP="00180B44">
      <w:pPr>
        <w:pStyle w:val="SingleTxtG"/>
        <w:rPr>
          <w:sz w:val="16"/>
          <w:szCs w:val="16"/>
        </w:rPr>
      </w:pPr>
      <w:r w:rsidRPr="00A530E1">
        <w:rPr>
          <w:sz w:val="16"/>
          <w:szCs w:val="16"/>
        </w:rPr>
        <w:t>(Percentage distribution)</w:t>
      </w:r>
    </w:p>
    <w:tbl>
      <w:tblPr>
        <w:tblW w:w="7370" w:type="dxa"/>
        <w:tblInd w:w="1094" w:type="dxa"/>
        <w:tblBorders>
          <w:top w:val="single" w:sz="4" w:space="0" w:color="auto"/>
        </w:tblBorders>
        <w:tblCellMar>
          <w:left w:w="0" w:type="dxa"/>
          <w:right w:w="0" w:type="dxa"/>
        </w:tblCellMar>
        <w:tblLook w:val="0000" w:firstRow="0" w:lastRow="0" w:firstColumn="0" w:lastColumn="0" w:noHBand="0" w:noVBand="0"/>
      </w:tblPr>
      <w:tblGrid>
        <w:gridCol w:w="1741"/>
        <w:gridCol w:w="1125"/>
        <w:gridCol w:w="1285"/>
        <w:gridCol w:w="967"/>
        <w:gridCol w:w="1126"/>
        <w:gridCol w:w="1126"/>
      </w:tblGrid>
      <w:tr w:rsidR="00180B44" w:rsidRPr="00A530E1" w:rsidTr="00180B44">
        <w:tblPrEx>
          <w:tblCellMar>
            <w:top w:w="0" w:type="dxa"/>
            <w:bottom w:w="0" w:type="dxa"/>
          </w:tblCellMar>
        </w:tblPrEx>
        <w:trPr>
          <w:trHeight w:val="240"/>
          <w:tblHeader/>
        </w:trPr>
        <w:tc>
          <w:tcPr>
            <w:tcW w:w="1741" w:type="dxa"/>
            <w:tcBorders>
              <w:top w:val="single" w:sz="4" w:space="0" w:color="auto"/>
              <w:bottom w:val="single" w:sz="12" w:space="0" w:color="auto"/>
            </w:tcBorders>
            <w:shd w:val="clear" w:color="auto" w:fill="auto"/>
            <w:vAlign w:val="bottom"/>
          </w:tcPr>
          <w:p w:rsidR="00180B44" w:rsidRPr="00A530E1" w:rsidRDefault="00180B44" w:rsidP="003F63EE">
            <w:pPr>
              <w:shd w:val="clear" w:color="auto" w:fill="FFFFFF"/>
              <w:suppressAutoHyphens w:val="0"/>
              <w:spacing w:before="80" w:after="80" w:line="200" w:lineRule="exact"/>
              <w:ind w:right="113"/>
              <w:rPr>
                <w:i/>
                <w:sz w:val="16"/>
                <w:lang w:eastAsia="es-ES"/>
              </w:rPr>
            </w:pPr>
            <w:r w:rsidRPr="00A530E1">
              <w:rPr>
                <w:i/>
                <w:sz w:val="16"/>
                <w:szCs w:val="14"/>
                <w:lang w:eastAsia="es-ES"/>
              </w:rPr>
              <w:t>Department</w:t>
            </w:r>
          </w:p>
        </w:tc>
        <w:tc>
          <w:tcPr>
            <w:tcW w:w="1125" w:type="dxa"/>
            <w:tcBorders>
              <w:top w:val="single" w:sz="4" w:space="0" w:color="auto"/>
              <w:bottom w:val="single" w:sz="12" w:space="0" w:color="auto"/>
            </w:tcBorders>
            <w:shd w:val="clear" w:color="auto" w:fill="auto"/>
            <w:vAlign w:val="bottom"/>
          </w:tcPr>
          <w:p w:rsidR="00180B44" w:rsidRPr="00A530E1" w:rsidRDefault="00180B44" w:rsidP="003F63EE">
            <w:pPr>
              <w:shd w:val="clear" w:color="auto" w:fill="FFFFFF"/>
              <w:suppressAutoHyphens w:val="0"/>
              <w:spacing w:before="80" w:after="80" w:line="200" w:lineRule="exact"/>
              <w:ind w:right="113"/>
              <w:jc w:val="right"/>
              <w:rPr>
                <w:b/>
                <w:i/>
                <w:sz w:val="16"/>
                <w:lang w:eastAsia="es-ES"/>
              </w:rPr>
            </w:pPr>
            <w:r w:rsidRPr="00A530E1">
              <w:rPr>
                <w:b/>
                <w:i/>
                <w:sz w:val="16"/>
                <w:szCs w:val="14"/>
                <w:lang w:eastAsia="es-ES"/>
              </w:rPr>
              <w:t>Total</w:t>
            </w:r>
          </w:p>
        </w:tc>
        <w:tc>
          <w:tcPr>
            <w:tcW w:w="1285" w:type="dxa"/>
            <w:tcBorders>
              <w:top w:val="single" w:sz="4" w:space="0" w:color="auto"/>
              <w:bottom w:val="single" w:sz="12" w:space="0" w:color="auto"/>
            </w:tcBorders>
            <w:shd w:val="clear" w:color="auto" w:fill="auto"/>
            <w:vAlign w:val="bottom"/>
          </w:tcPr>
          <w:p w:rsidR="00180B44" w:rsidRPr="00A530E1" w:rsidRDefault="00180B44" w:rsidP="003F63EE">
            <w:pPr>
              <w:shd w:val="clear" w:color="auto" w:fill="FFFFFF"/>
              <w:suppressAutoHyphens w:val="0"/>
              <w:spacing w:before="80" w:after="80" w:line="200" w:lineRule="exact"/>
              <w:ind w:right="113"/>
              <w:jc w:val="right"/>
              <w:rPr>
                <w:i/>
                <w:sz w:val="16"/>
                <w:vertAlign w:val="superscript"/>
                <w:lang w:eastAsia="es-ES"/>
              </w:rPr>
            </w:pPr>
            <w:r w:rsidRPr="00A530E1">
              <w:rPr>
                <w:i/>
                <w:sz w:val="16"/>
                <w:szCs w:val="14"/>
                <w:lang w:eastAsia="es-ES"/>
              </w:rPr>
              <w:t>No schooling</w:t>
            </w:r>
            <w:r w:rsidRPr="00A530E1">
              <w:rPr>
                <w:i/>
                <w:sz w:val="18"/>
                <w:szCs w:val="18"/>
                <w:vertAlign w:val="superscript"/>
                <w:lang w:eastAsia="es-ES"/>
              </w:rPr>
              <w:t>1</w:t>
            </w:r>
          </w:p>
        </w:tc>
        <w:tc>
          <w:tcPr>
            <w:tcW w:w="967" w:type="dxa"/>
            <w:tcBorders>
              <w:top w:val="single" w:sz="4" w:space="0" w:color="auto"/>
              <w:bottom w:val="single" w:sz="12" w:space="0" w:color="auto"/>
            </w:tcBorders>
            <w:shd w:val="clear" w:color="auto" w:fill="auto"/>
            <w:vAlign w:val="bottom"/>
          </w:tcPr>
          <w:p w:rsidR="00180B44" w:rsidRPr="00A530E1" w:rsidRDefault="00180B44" w:rsidP="003F63EE">
            <w:pPr>
              <w:shd w:val="clear" w:color="auto" w:fill="FFFFFF"/>
              <w:suppressAutoHyphens w:val="0"/>
              <w:spacing w:before="80" w:after="80" w:line="200" w:lineRule="exact"/>
              <w:ind w:right="113"/>
              <w:jc w:val="right"/>
              <w:rPr>
                <w:i/>
                <w:sz w:val="16"/>
                <w:lang w:eastAsia="es-ES"/>
              </w:rPr>
            </w:pPr>
            <w:r w:rsidRPr="00A530E1">
              <w:rPr>
                <w:i/>
                <w:sz w:val="16"/>
                <w:szCs w:val="14"/>
                <w:lang w:eastAsia="es-ES"/>
              </w:rPr>
              <w:t>Primary</w:t>
            </w:r>
          </w:p>
        </w:tc>
        <w:tc>
          <w:tcPr>
            <w:tcW w:w="1126" w:type="dxa"/>
            <w:tcBorders>
              <w:top w:val="single" w:sz="4" w:space="0" w:color="auto"/>
              <w:bottom w:val="single" w:sz="12" w:space="0" w:color="auto"/>
            </w:tcBorders>
            <w:shd w:val="clear" w:color="auto" w:fill="auto"/>
            <w:vAlign w:val="bottom"/>
          </w:tcPr>
          <w:p w:rsidR="00180B44" w:rsidRPr="00A530E1" w:rsidRDefault="00180B44" w:rsidP="003F63EE">
            <w:pPr>
              <w:shd w:val="clear" w:color="auto" w:fill="FFFFFF"/>
              <w:suppressAutoHyphens w:val="0"/>
              <w:spacing w:before="80" w:after="80" w:line="200" w:lineRule="exact"/>
              <w:ind w:right="113"/>
              <w:jc w:val="right"/>
              <w:rPr>
                <w:i/>
                <w:sz w:val="16"/>
                <w:lang w:eastAsia="es-ES"/>
              </w:rPr>
            </w:pPr>
            <w:r w:rsidRPr="00A530E1">
              <w:rPr>
                <w:i/>
                <w:sz w:val="16"/>
                <w:szCs w:val="14"/>
                <w:lang w:eastAsia="es-ES"/>
              </w:rPr>
              <w:t>Secondary</w:t>
            </w:r>
          </w:p>
        </w:tc>
        <w:tc>
          <w:tcPr>
            <w:tcW w:w="1126" w:type="dxa"/>
            <w:tcBorders>
              <w:top w:val="single" w:sz="4" w:space="0" w:color="auto"/>
              <w:bottom w:val="single" w:sz="12" w:space="0" w:color="auto"/>
            </w:tcBorders>
            <w:shd w:val="clear" w:color="auto" w:fill="auto"/>
            <w:vAlign w:val="bottom"/>
          </w:tcPr>
          <w:p w:rsidR="00180B44" w:rsidRPr="00A530E1" w:rsidRDefault="00180B44" w:rsidP="003F63EE">
            <w:pPr>
              <w:shd w:val="clear" w:color="auto" w:fill="FFFFFF"/>
              <w:suppressAutoHyphens w:val="0"/>
              <w:spacing w:before="80" w:after="80" w:line="200" w:lineRule="exact"/>
              <w:ind w:right="113"/>
              <w:jc w:val="right"/>
              <w:rPr>
                <w:i/>
                <w:sz w:val="16"/>
                <w:lang w:eastAsia="es-ES"/>
              </w:rPr>
            </w:pPr>
            <w:r w:rsidRPr="00A530E1">
              <w:rPr>
                <w:i/>
                <w:sz w:val="16"/>
                <w:szCs w:val="14"/>
                <w:lang w:eastAsia="es-ES"/>
              </w:rPr>
              <w:t>Higher</w:t>
            </w:r>
          </w:p>
        </w:tc>
      </w:tr>
      <w:tr w:rsidR="00180B44" w:rsidRPr="00A530E1" w:rsidTr="002F43EC">
        <w:tblPrEx>
          <w:tblCellMar>
            <w:top w:w="0" w:type="dxa"/>
            <w:bottom w:w="0" w:type="dxa"/>
          </w:tblCellMar>
        </w:tblPrEx>
        <w:trPr>
          <w:trHeight w:val="240"/>
        </w:trPr>
        <w:tc>
          <w:tcPr>
            <w:tcW w:w="1741" w:type="dxa"/>
            <w:tcBorders>
              <w:top w:val="single" w:sz="4" w:space="0" w:color="auto"/>
            </w:tcBorders>
            <w:shd w:val="clear" w:color="auto" w:fill="auto"/>
            <w:vAlign w:val="bottom"/>
          </w:tcPr>
          <w:p w:rsidR="00180B44" w:rsidRPr="00A530E1" w:rsidRDefault="00180B44" w:rsidP="002F43EC">
            <w:pPr>
              <w:shd w:val="clear" w:color="auto" w:fill="FFFFFF"/>
              <w:suppressAutoHyphens w:val="0"/>
              <w:spacing w:before="40" w:after="40" w:line="220" w:lineRule="exact"/>
              <w:ind w:right="113"/>
              <w:rPr>
                <w:sz w:val="18"/>
                <w:lang w:eastAsia="es-ES"/>
              </w:rPr>
            </w:pPr>
            <w:r w:rsidRPr="00A530E1">
              <w:rPr>
                <w:sz w:val="18"/>
                <w:szCs w:val="14"/>
                <w:lang w:eastAsia="es-ES"/>
              </w:rPr>
              <w:t>Amazonas</w:t>
            </w:r>
          </w:p>
        </w:tc>
        <w:tc>
          <w:tcPr>
            <w:tcW w:w="1125" w:type="dxa"/>
            <w:tcBorders>
              <w:top w:val="single" w:sz="4" w:space="0" w:color="auto"/>
            </w:tcBorders>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b/>
                <w:sz w:val="18"/>
                <w:lang w:eastAsia="es-ES"/>
              </w:rPr>
            </w:pPr>
            <w:r w:rsidRPr="00A530E1">
              <w:rPr>
                <w:b/>
                <w:sz w:val="18"/>
                <w:szCs w:val="14"/>
                <w:lang w:eastAsia="es-ES"/>
              </w:rPr>
              <w:t>100.0</w:t>
            </w:r>
          </w:p>
        </w:tc>
        <w:tc>
          <w:tcPr>
            <w:tcW w:w="1285" w:type="dxa"/>
            <w:tcBorders>
              <w:top w:val="single" w:sz="4" w:space="0" w:color="auto"/>
            </w:tcBorders>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28.2</w:t>
            </w:r>
          </w:p>
        </w:tc>
        <w:tc>
          <w:tcPr>
            <w:tcW w:w="967" w:type="dxa"/>
            <w:tcBorders>
              <w:top w:val="single" w:sz="4" w:space="0" w:color="auto"/>
            </w:tcBorders>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52.2</w:t>
            </w:r>
          </w:p>
        </w:tc>
        <w:tc>
          <w:tcPr>
            <w:tcW w:w="1126" w:type="dxa"/>
            <w:tcBorders>
              <w:top w:val="single" w:sz="4" w:space="0" w:color="auto"/>
            </w:tcBorders>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13.8</w:t>
            </w:r>
          </w:p>
        </w:tc>
        <w:tc>
          <w:tcPr>
            <w:tcW w:w="1126" w:type="dxa"/>
            <w:tcBorders>
              <w:top w:val="single" w:sz="4" w:space="0" w:color="auto"/>
            </w:tcBorders>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5.8</w:t>
            </w:r>
          </w:p>
        </w:tc>
      </w:tr>
      <w:tr w:rsidR="00180B44" w:rsidRPr="00A530E1" w:rsidTr="002F43EC">
        <w:tblPrEx>
          <w:tblCellMar>
            <w:top w:w="0" w:type="dxa"/>
            <w:bottom w:w="0" w:type="dxa"/>
          </w:tblCellMar>
        </w:tblPrEx>
        <w:trPr>
          <w:trHeight w:val="240"/>
        </w:trPr>
        <w:tc>
          <w:tcPr>
            <w:tcW w:w="1741" w:type="dxa"/>
            <w:shd w:val="clear" w:color="auto" w:fill="auto"/>
            <w:vAlign w:val="bottom"/>
          </w:tcPr>
          <w:p w:rsidR="00180B44" w:rsidRPr="00A530E1" w:rsidRDefault="00180B44" w:rsidP="002F43EC">
            <w:pPr>
              <w:shd w:val="clear" w:color="auto" w:fill="FFFFFF"/>
              <w:suppressAutoHyphens w:val="0"/>
              <w:spacing w:before="40" w:after="40" w:line="220" w:lineRule="exact"/>
              <w:ind w:right="113"/>
              <w:rPr>
                <w:sz w:val="18"/>
                <w:lang w:eastAsia="es-ES"/>
              </w:rPr>
            </w:pPr>
            <w:r w:rsidRPr="00A530E1">
              <w:rPr>
                <w:sz w:val="18"/>
                <w:szCs w:val="14"/>
                <w:lang w:eastAsia="es-ES"/>
              </w:rPr>
              <w:t>Ancash</w:t>
            </w:r>
          </w:p>
        </w:tc>
        <w:tc>
          <w:tcPr>
            <w:tcW w:w="1125"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b/>
                <w:sz w:val="18"/>
                <w:lang w:eastAsia="es-ES"/>
              </w:rPr>
            </w:pPr>
            <w:r w:rsidRPr="00A530E1">
              <w:rPr>
                <w:b/>
                <w:sz w:val="18"/>
                <w:szCs w:val="14"/>
                <w:lang w:eastAsia="es-ES"/>
              </w:rPr>
              <w:t>100.0</w:t>
            </w:r>
          </w:p>
        </w:tc>
        <w:tc>
          <w:tcPr>
            <w:tcW w:w="1285"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38.0</w:t>
            </w:r>
          </w:p>
        </w:tc>
        <w:tc>
          <w:tcPr>
            <w:tcW w:w="967"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41.3</w:t>
            </w:r>
          </w:p>
        </w:tc>
        <w:tc>
          <w:tcPr>
            <w:tcW w:w="1126"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13.7</w:t>
            </w:r>
          </w:p>
        </w:tc>
        <w:tc>
          <w:tcPr>
            <w:tcW w:w="1126"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7.1</w:t>
            </w:r>
          </w:p>
        </w:tc>
      </w:tr>
      <w:tr w:rsidR="00180B44" w:rsidRPr="00A530E1" w:rsidTr="002F43EC">
        <w:tblPrEx>
          <w:tblCellMar>
            <w:top w:w="0" w:type="dxa"/>
            <w:bottom w:w="0" w:type="dxa"/>
          </w:tblCellMar>
        </w:tblPrEx>
        <w:trPr>
          <w:trHeight w:val="240"/>
        </w:trPr>
        <w:tc>
          <w:tcPr>
            <w:tcW w:w="1741" w:type="dxa"/>
            <w:shd w:val="clear" w:color="auto" w:fill="auto"/>
            <w:vAlign w:val="bottom"/>
          </w:tcPr>
          <w:p w:rsidR="00180B44" w:rsidRPr="00A530E1" w:rsidRDefault="00180B44" w:rsidP="002F43EC">
            <w:pPr>
              <w:shd w:val="clear" w:color="auto" w:fill="FFFFFF"/>
              <w:suppressAutoHyphens w:val="0"/>
              <w:spacing w:before="40" w:after="40" w:line="220" w:lineRule="exact"/>
              <w:ind w:right="113"/>
              <w:rPr>
                <w:sz w:val="18"/>
                <w:lang w:eastAsia="es-ES"/>
              </w:rPr>
            </w:pPr>
            <w:r w:rsidRPr="00A530E1">
              <w:rPr>
                <w:sz w:val="18"/>
                <w:szCs w:val="14"/>
                <w:lang w:eastAsia="es-ES"/>
              </w:rPr>
              <w:t>Apurimac</w:t>
            </w:r>
          </w:p>
        </w:tc>
        <w:tc>
          <w:tcPr>
            <w:tcW w:w="1125"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b/>
                <w:sz w:val="18"/>
                <w:lang w:eastAsia="es-ES"/>
              </w:rPr>
            </w:pPr>
            <w:r w:rsidRPr="00A530E1">
              <w:rPr>
                <w:b/>
                <w:sz w:val="18"/>
                <w:szCs w:val="14"/>
                <w:lang w:eastAsia="es-ES"/>
              </w:rPr>
              <w:t>100.0</w:t>
            </w:r>
          </w:p>
        </w:tc>
        <w:tc>
          <w:tcPr>
            <w:tcW w:w="1285"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48.7</w:t>
            </w:r>
          </w:p>
        </w:tc>
        <w:tc>
          <w:tcPr>
            <w:tcW w:w="967"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33.8</w:t>
            </w:r>
          </w:p>
        </w:tc>
        <w:tc>
          <w:tcPr>
            <w:tcW w:w="1126"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13.3</w:t>
            </w:r>
          </w:p>
        </w:tc>
        <w:tc>
          <w:tcPr>
            <w:tcW w:w="1126"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4.2</w:t>
            </w:r>
          </w:p>
        </w:tc>
      </w:tr>
      <w:tr w:rsidR="00180B44" w:rsidRPr="00A530E1" w:rsidTr="002F43EC">
        <w:tblPrEx>
          <w:tblCellMar>
            <w:top w:w="0" w:type="dxa"/>
            <w:bottom w:w="0" w:type="dxa"/>
          </w:tblCellMar>
        </w:tblPrEx>
        <w:trPr>
          <w:trHeight w:val="240"/>
        </w:trPr>
        <w:tc>
          <w:tcPr>
            <w:tcW w:w="1741" w:type="dxa"/>
            <w:shd w:val="clear" w:color="auto" w:fill="auto"/>
            <w:vAlign w:val="bottom"/>
          </w:tcPr>
          <w:p w:rsidR="00180B44" w:rsidRPr="00A530E1" w:rsidRDefault="00180B44" w:rsidP="002F43EC">
            <w:pPr>
              <w:shd w:val="clear" w:color="auto" w:fill="FFFFFF"/>
              <w:suppressAutoHyphens w:val="0"/>
              <w:spacing w:before="40" w:after="40" w:line="220" w:lineRule="exact"/>
              <w:ind w:right="113"/>
              <w:rPr>
                <w:sz w:val="18"/>
                <w:lang w:eastAsia="es-ES"/>
              </w:rPr>
            </w:pPr>
            <w:r w:rsidRPr="00A530E1">
              <w:rPr>
                <w:sz w:val="18"/>
                <w:szCs w:val="14"/>
                <w:lang w:eastAsia="es-ES"/>
              </w:rPr>
              <w:t>Arequipa</w:t>
            </w:r>
          </w:p>
        </w:tc>
        <w:tc>
          <w:tcPr>
            <w:tcW w:w="1125"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b/>
                <w:sz w:val="18"/>
                <w:lang w:eastAsia="es-ES"/>
              </w:rPr>
            </w:pPr>
            <w:r w:rsidRPr="00A530E1">
              <w:rPr>
                <w:b/>
                <w:sz w:val="18"/>
                <w:szCs w:val="14"/>
                <w:lang w:eastAsia="es-ES"/>
              </w:rPr>
              <w:t>100.0</w:t>
            </w:r>
          </w:p>
        </w:tc>
        <w:tc>
          <w:tcPr>
            <w:tcW w:w="1285"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17.0</w:t>
            </w:r>
          </w:p>
        </w:tc>
        <w:tc>
          <w:tcPr>
            <w:tcW w:w="967"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39.2</w:t>
            </w:r>
          </w:p>
        </w:tc>
        <w:tc>
          <w:tcPr>
            <w:tcW w:w="1126"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28.4</w:t>
            </w:r>
          </w:p>
        </w:tc>
        <w:tc>
          <w:tcPr>
            <w:tcW w:w="1126"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15.5</w:t>
            </w:r>
          </w:p>
        </w:tc>
      </w:tr>
      <w:tr w:rsidR="00180B44" w:rsidRPr="00A530E1" w:rsidTr="002F43EC">
        <w:tblPrEx>
          <w:tblCellMar>
            <w:top w:w="0" w:type="dxa"/>
            <w:bottom w:w="0" w:type="dxa"/>
          </w:tblCellMar>
        </w:tblPrEx>
        <w:trPr>
          <w:trHeight w:val="240"/>
        </w:trPr>
        <w:tc>
          <w:tcPr>
            <w:tcW w:w="1741" w:type="dxa"/>
            <w:shd w:val="clear" w:color="auto" w:fill="auto"/>
            <w:vAlign w:val="bottom"/>
          </w:tcPr>
          <w:p w:rsidR="00180B44" w:rsidRPr="00A530E1" w:rsidRDefault="00180B44" w:rsidP="002F43EC">
            <w:pPr>
              <w:shd w:val="clear" w:color="auto" w:fill="FFFFFF"/>
              <w:suppressAutoHyphens w:val="0"/>
              <w:spacing w:before="40" w:after="40" w:line="220" w:lineRule="exact"/>
              <w:ind w:right="113"/>
              <w:rPr>
                <w:sz w:val="18"/>
                <w:lang w:eastAsia="es-ES"/>
              </w:rPr>
            </w:pPr>
            <w:r w:rsidRPr="00A530E1">
              <w:rPr>
                <w:sz w:val="18"/>
                <w:szCs w:val="14"/>
                <w:lang w:eastAsia="es-ES"/>
              </w:rPr>
              <w:t>Ayacucho</w:t>
            </w:r>
          </w:p>
        </w:tc>
        <w:tc>
          <w:tcPr>
            <w:tcW w:w="1125"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b/>
                <w:sz w:val="18"/>
                <w:lang w:eastAsia="es-ES"/>
              </w:rPr>
            </w:pPr>
            <w:r w:rsidRPr="00A530E1">
              <w:rPr>
                <w:b/>
                <w:sz w:val="18"/>
                <w:szCs w:val="14"/>
                <w:lang w:eastAsia="es-ES"/>
              </w:rPr>
              <w:t>100.0</w:t>
            </w:r>
          </w:p>
        </w:tc>
        <w:tc>
          <w:tcPr>
            <w:tcW w:w="1285"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41.7</w:t>
            </w:r>
          </w:p>
        </w:tc>
        <w:tc>
          <w:tcPr>
            <w:tcW w:w="967"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39.8</w:t>
            </w:r>
          </w:p>
        </w:tc>
        <w:tc>
          <w:tcPr>
            <w:tcW w:w="1126"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13.5</w:t>
            </w:r>
          </w:p>
        </w:tc>
        <w:tc>
          <w:tcPr>
            <w:tcW w:w="1126"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5.0</w:t>
            </w:r>
          </w:p>
        </w:tc>
      </w:tr>
      <w:tr w:rsidR="00180B44" w:rsidRPr="00A530E1" w:rsidTr="002F43EC">
        <w:tblPrEx>
          <w:tblCellMar>
            <w:top w:w="0" w:type="dxa"/>
            <w:bottom w:w="0" w:type="dxa"/>
          </w:tblCellMar>
        </w:tblPrEx>
        <w:trPr>
          <w:trHeight w:val="240"/>
        </w:trPr>
        <w:tc>
          <w:tcPr>
            <w:tcW w:w="1741" w:type="dxa"/>
            <w:shd w:val="clear" w:color="auto" w:fill="auto"/>
            <w:vAlign w:val="bottom"/>
          </w:tcPr>
          <w:p w:rsidR="00180B44" w:rsidRPr="00A530E1" w:rsidRDefault="00180B44" w:rsidP="002F43EC">
            <w:pPr>
              <w:shd w:val="clear" w:color="auto" w:fill="FFFFFF"/>
              <w:suppressAutoHyphens w:val="0"/>
              <w:spacing w:before="40" w:after="40" w:line="220" w:lineRule="exact"/>
              <w:ind w:right="113"/>
              <w:rPr>
                <w:sz w:val="18"/>
                <w:lang w:eastAsia="es-ES"/>
              </w:rPr>
            </w:pPr>
            <w:r w:rsidRPr="00A530E1">
              <w:rPr>
                <w:sz w:val="18"/>
                <w:szCs w:val="14"/>
                <w:lang w:eastAsia="es-ES"/>
              </w:rPr>
              <w:t>Cajamarca</w:t>
            </w:r>
          </w:p>
        </w:tc>
        <w:tc>
          <w:tcPr>
            <w:tcW w:w="1125"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b/>
                <w:sz w:val="18"/>
                <w:lang w:eastAsia="es-ES"/>
              </w:rPr>
            </w:pPr>
            <w:r w:rsidRPr="00A530E1">
              <w:rPr>
                <w:b/>
                <w:sz w:val="18"/>
                <w:szCs w:val="14"/>
                <w:lang w:eastAsia="es-ES"/>
              </w:rPr>
              <w:t>100.0</w:t>
            </w:r>
          </w:p>
        </w:tc>
        <w:tc>
          <w:tcPr>
            <w:tcW w:w="1285"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44.7</w:t>
            </w:r>
          </w:p>
        </w:tc>
        <w:tc>
          <w:tcPr>
            <w:tcW w:w="967"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41.9</w:t>
            </w:r>
          </w:p>
        </w:tc>
        <w:tc>
          <w:tcPr>
            <w:tcW w:w="1126"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9.7</w:t>
            </w:r>
          </w:p>
        </w:tc>
        <w:tc>
          <w:tcPr>
            <w:tcW w:w="1126"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3.6</w:t>
            </w:r>
          </w:p>
        </w:tc>
      </w:tr>
      <w:tr w:rsidR="00180B44" w:rsidRPr="00A530E1" w:rsidTr="002F43EC">
        <w:tblPrEx>
          <w:tblCellMar>
            <w:top w:w="0" w:type="dxa"/>
            <w:bottom w:w="0" w:type="dxa"/>
          </w:tblCellMar>
        </w:tblPrEx>
        <w:trPr>
          <w:trHeight w:val="240"/>
        </w:trPr>
        <w:tc>
          <w:tcPr>
            <w:tcW w:w="1741" w:type="dxa"/>
            <w:shd w:val="clear" w:color="auto" w:fill="auto"/>
            <w:vAlign w:val="bottom"/>
          </w:tcPr>
          <w:p w:rsidR="00180B44" w:rsidRPr="00A530E1" w:rsidRDefault="00180B44" w:rsidP="002F43EC">
            <w:pPr>
              <w:shd w:val="clear" w:color="auto" w:fill="FFFFFF"/>
              <w:suppressAutoHyphens w:val="0"/>
              <w:spacing w:before="40" w:after="40" w:line="220" w:lineRule="exact"/>
              <w:ind w:right="113"/>
              <w:rPr>
                <w:sz w:val="18"/>
                <w:lang w:eastAsia="es-ES"/>
              </w:rPr>
            </w:pPr>
            <w:r w:rsidRPr="00A530E1">
              <w:rPr>
                <w:sz w:val="18"/>
                <w:szCs w:val="14"/>
                <w:lang w:eastAsia="es-ES"/>
              </w:rPr>
              <w:t>Cusco</w:t>
            </w:r>
          </w:p>
        </w:tc>
        <w:tc>
          <w:tcPr>
            <w:tcW w:w="1125"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b/>
                <w:sz w:val="18"/>
                <w:lang w:eastAsia="es-ES"/>
              </w:rPr>
            </w:pPr>
            <w:r w:rsidRPr="00A530E1">
              <w:rPr>
                <w:b/>
                <w:sz w:val="18"/>
                <w:szCs w:val="14"/>
                <w:lang w:eastAsia="es-ES"/>
              </w:rPr>
              <w:t>100.0</w:t>
            </w:r>
          </w:p>
        </w:tc>
        <w:tc>
          <w:tcPr>
            <w:tcW w:w="1285"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37.0</w:t>
            </w:r>
          </w:p>
        </w:tc>
        <w:tc>
          <w:tcPr>
            <w:tcW w:w="967"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35.6</w:t>
            </w:r>
          </w:p>
        </w:tc>
        <w:tc>
          <w:tcPr>
            <w:tcW w:w="1126"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18.8</w:t>
            </w:r>
          </w:p>
        </w:tc>
        <w:tc>
          <w:tcPr>
            <w:tcW w:w="1126"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8.6</w:t>
            </w:r>
          </w:p>
        </w:tc>
      </w:tr>
      <w:tr w:rsidR="00180B44" w:rsidRPr="00A530E1" w:rsidTr="002F43EC">
        <w:tblPrEx>
          <w:tblCellMar>
            <w:top w:w="0" w:type="dxa"/>
            <w:bottom w:w="0" w:type="dxa"/>
          </w:tblCellMar>
        </w:tblPrEx>
        <w:trPr>
          <w:trHeight w:val="240"/>
        </w:trPr>
        <w:tc>
          <w:tcPr>
            <w:tcW w:w="1741" w:type="dxa"/>
            <w:shd w:val="clear" w:color="auto" w:fill="auto"/>
            <w:vAlign w:val="bottom"/>
          </w:tcPr>
          <w:p w:rsidR="00180B44" w:rsidRPr="00A530E1" w:rsidRDefault="00180B44" w:rsidP="002F43EC">
            <w:pPr>
              <w:shd w:val="clear" w:color="auto" w:fill="FFFFFF"/>
              <w:suppressAutoHyphens w:val="0"/>
              <w:spacing w:before="40" w:after="40" w:line="220" w:lineRule="exact"/>
              <w:ind w:right="113"/>
              <w:rPr>
                <w:sz w:val="18"/>
                <w:lang w:eastAsia="es-ES"/>
              </w:rPr>
            </w:pPr>
            <w:r w:rsidRPr="00A530E1">
              <w:rPr>
                <w:sz w:val="18"/>
                <w:szCs w:val="14"/>
                <w:lang w:eastAsia="es-ES"/>
              </w:rPr>
              <w:t>Huancavelica</w:t>
            </w:r>
          </w:p>
        </w:tc>
        <w:tc>
          <w:tcPr>
            <w:tcW w:w="1125"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b/>
                <w:sz w:val="18"/>
                <w:lang w:eastAsia="es-ES"/>
              </w:rPr>
            </w:pPr>
            <w:r w:rsidRPr="00A530E1">
              <w:rPr>
                <w:b/>
                <w:sz w:val="18"/>
                <w:szCs w:val="14"/>
                <w:lang w:eastAsia="es-ES"/>
              </w:rPr>
              <w:t>100.0</w:t>
            </w:r>
          </w:p>
        </w:tc>
        <w:tc>
          <w:tcPr>
            <w:tcW w:w="1285"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41.6</w:t>
            </w:r>
          </w:p>
        </w:tc>
        <w:tc>
          <w:tcPr>
            <w:tcW w:w="967"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40.8</w:t>
            </w:r>
          </w:p>
        </w:tc>
        <w:tc>
          <w:tcPr>
            <w:tcW w:w="1126"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13.6</w:t>
            </w:r>
          </w:p>
        </w:tc>
        <w:tc>
          <w:tcPr>
            <w:tcW w:w="1126"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4.0</w:t>
            </w:r>
          </w:p>
        </w:tc>
      </w:tr>
      <w:tr w:rsidR="00180B44" w:rsidRPr="00A530E1" w:rsidTr="002F43EC">
        <w:tblPrEx>
          <w:tblCellMar>
            <w:top w:w="0" w:type="dxa"/>
            <w:bottom w:w="0" w:type="dxa"/>
          </w:tblCellMar>
        </w:tblPrEx>
        <w:trPr>
          <w:trHeight w:val="240"/>
        </w:trPr>
        <w:tc>
          <w:tcPr>
            <w:tcW w:w="1741" w:type="dxa"/>
            <w:shd w:val="clear" w:color="auto" w:fill="auto"/>
            <w:vAlign w:val="bottom"/>
          </w:tcPr>
          <w:p w:rsidR="00180B44" w:rsidRPr="00A530E1" w:rsidRDefault="00180B44" w:rsidP="002F43EC">
            <w:pPr>
              <w:shd w:val="clear" w:color="auto" w:fill="FFFFFF"/>
              <w:suppressAutoHyphens w:val="0"/>
              <w:spacing w:before="40" w:after="40" w:line="220" w:lineRule="exact"/>
              <w:ind w:right="113"/>
              <w:rPr>
                <w:sz w:val="18"/>
                <w:lang w:eastAsia="es-ES"/>
              </w:rPr>
            </w:pPr>
            <w:r w:rsidRPr="00A530E1">
              <w:rPr>
                <w:sz w:val="18"/>
                <w:szCs w:val="14"/>
                <w:lang w:eastAsia="es-ES"/>
              </w:rPr>
              <w:t>Huánuco</w:t>
            </w:r>
          </w:p>
        </w:tc>
        <w:tc>
          <w:tcPr>
            <w:tcW w:w="1125"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b/>
                <w:sz w:val="18"/>
                <w:lang w:eastAsia="es-ES"/>
              </w:rPr>
            </w:pPr>
            <w:r w:rsidRPr="00A530E1">
              <w:rPr>
                <w:b/>
                <w:sz w:val="18"/>
                <w:szCs w:val="14"/>
                <w:lang w:eastAsia="es-ES"/>
              </w:rPr>
              <w:t>100.0</w:t>
            </w:r>
          </w:p>
        </w:tc>
        <w:tc>
          <w:tcPr>
            <w:tcW w:w="1285"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42.2</w:t>
            </w:r>
          </w:p>
        </w:tc>
        <w:tc>
          <w:tcPr>
            <w:tcW w:w="967"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41.4</w:t>
            </w:r>
          </w:p>
        </w:tc>
        <w:tc>
          <w:tcPr>
            <w:tcW w:w="1126"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12.2</w:t>
            </w:r>
          </w:p>
        </w:tc>
        <w:tc>
          <w:tcPr>
            <w:tcW w:w="1126"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4.3</w:t>
            </w:r>
          </w:p>
        </w:tc>
      </w:tr>
      <w:tr w:rsidR="00180B44" w:rsidRPr="00A530E1" w:rsidTr="002F43EC">
        <w:tblPrEx>
          <w:tblCellMar>
            <w:top w:w="0" w:type="dxa"/>
            <w:bottom w:w="0" w:type="dxa"/>
          </w:tblCellMar>
        </w:tblPrEx>
        <w:trPr>
          <w:trHeight w:val="240"/>
        </w:trPr>
        <w:tc>
          <w:tcPr>
            <w:tcW w:w="1741" w:type="dxa"/>
            <w:shd w:val="clear" w:color="auto" w:fill="auto"/>
            <w:vAlign w:val="bottom"/>
          </w:tcPr>
          <w:p w:rsidR="00180B44" w:rsidRPr="00A530E1" w:rsidRDefault="00180B44" w:rsidP="002F43EC">
            <w:pPr>
              <w:shd w:val="clear" w:color="auto" w:fill="FFFFFF"/>
              <w:suppressAutoHyphens w:val="0"/>
              <w:spacing w:before="40" w:after="40" w:line="220" w:lineRule="exact"/>
              <w:ind w:right="113"/>
              <w:rPr>
                <w:sz w:val="18"/>
                <w:lang w:eastAsia="es-ES"/>
              </w:rPr>
            </w:pPr>
            <w:r w:rsidRPr="00A530E1">
              <w:rPr>
                <w:sz w:val="18"/>
                <w:szCs w:val="14"/>
                <w:lang w:eastAsia="es-ES"/>
              </w:rPr>
              <w:t>Ica</w:t>
            </w:r>
          </w:p>
        </w:tc>
        <w:tc>
          <w:tcPr>
            <w:tcW w:w="1125"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b/>
                <w:sz w:val="18"/>
                <w:lang w:eastAsia="es-ES"/>
              </w:rPr>
            </w:pPr>
            <w:r w:rsidRPr="00A530E1">
              <w:rPr>
                <w:b/>
                <w:sz w:val="18"/>
                <w:szCs w:val="14"/>
                <w:lang w:eastAsia="es-ES"/>
              </w:rPr>
              <w:t>100.0</w:t>
            </w:r>
          </w:p>
        </w:tc>
        <w:tc>
          <w:tcPr>
            <w:tcW w:w="1285"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13.4</w:t>
            </w:r>
          </w:p>
        </w:tc>
        <w:tc>
          <w:tcPr>
            <w:tcW w:w="967"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39.1</w:t>
            </w:r>
          </w:p>
        </w:tc>
        <w:tc>
          <w:tcPr>
            <w:tcW w:w="1126"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31.6</w:t>
            </w:r>
          </w:p>
        </w:tc>
        <w:tc>
          <w:tcPr>
            <w:tcW w:w="1126"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15.9</w:t>
            </w:r>
          </w:p>
        </w:tc>
      </w:tr>
      <w:tr w:rsidR="00180B44" w:rsidRPr="00A530E1" w:rsidTr="002F43EC">
        <w:tblPrEx>
          <w:tblCellMar>
            <w:top w:w="0" w:type="dxa"/>
            <w:bottom w:w="0" w:type="dxa"/>
          </w:tblCellMar>
        </w:tblPrEx>
        <w:trPr>
          <w:trHeight w:val="240"/>
        </w:trPr>
        <w:tc>
          <w:tcPr>
            <w:tcW w:w="1741" w:type="dxa"/>
            <w:shd w:val="clear" w:color="auto" w:fill="auto"/>
            <w:vAlign w:val="bottom"/>
          </w:tcPr>
          <w:p w:rsidR="00180B44" w:rsidRPr="00A530E1" w:rsidRDefault="00180B44" w:rsidP="002F43EC">
            <w:pPr>
              <w:shd w:val="clear" w:color="auto" w:fill="FFFFFF"/>
              <w:suppressAutoHyphens w:val="0"/>
              <w:spacing w:before="40" w:after="40" w:line="220" w:lineRule="exact"/>
              <w:ind w:right="113"/>
              <w:rPr>
                <w:sz w:val="18"/>
                <w:lang w:eastAsia="es-ES"/>
              </w:rPr>
            </w:pPr>
            <w:r w:rsidRPr="00A530E1">
              <w:rPr>
                <w:sz w:val="18"/>
                <w:szCs w:val="14"/>
                <w:lang w:eastAsia="es-ES"/>
              </w:rPr>
              <w:t>Junín</w:t>
            </w:r>
          </w:p>
        </w:tc>
        <w:tc>
          <w:tcPr>
            <w:tcW w:w="1125"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b/>
                <w:sz w:val="18"/>
                <w:lang w:eastAsia="es-ES"/>
              </w:rPr>
            </w:pPr>
            <w:r w:rsidRPr="00A530E1">
              <w:rPr>
                <w:b/>
                <w:sz w:val="18"/>
                <w:szCs w:val="14"/>
                <w:lang w:eastAsia="es-ES"/>
              </w:rPr>
              <w:t>100.0</w:t>
            </w:r>
          </w:p>
        </w:tc>
        <w:tc>
          <w:tcPr>
            <w:tcW w:w="1285"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24.8</w:t>
            </w:r>
          </w:p>
        </w:tc>
        <w:tc>
          <w:tcPr>
            <w:tcW w:w="967"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41.8</w:t>
            </w:r>
          </w:p>
        </w:tc>
        <w:tc>
          <w:tcPr>
            <w:tcW w:w="1126"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23.1</w:t>
            </w:r>
          </w:p>
        </w:tc>
        <w:tc>
          <w:tcPr>
            <w:tcW w:w="1126"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10.3</w:t>
            </w:r>
          </w:p>
        </w:tc>
      </w:tr>
      <w:tr w:rsidR="00180B44" w:rsidRPr="00A530E1" w:rsidTr="002F43EC">
        <w:tblPrEx>
          <w:tblCellMar>
            <w:top w:w="0" w:type="dxa"/>
            <w:bottom w:w="0" w:type="dxa"/>
          </w:tblCellMar>
        </w:tblPrEx>
        <w:trPr>
          <w:trHeight w:val="240"/>
        </w:trPr>
        <w:tc>
          <w:tcPr>
            <w:tcW w:w="1741" w:type="dxa"/>
            <w:shd w:val="clear" w:color="auto" w:fill="auto"/>
            <w:vAlign w:val="bottom"/>
          </w:tcPr>
          <w:p w:rsidR="00180B44" w:rsidRPr="00A530E1" w:rsidRDefault="00180B44" w:rsidP="002F43EC">
            <w:pPr>
              <w:shd w:val="clear" w:color="auto" w:fill="FFFFFF"/>
              <w:suppressAutoHyphens w:val="0"/>
              <w:spacing w:before="40" w:after="40" w:line="220" w:lineRule="exact"/>
              <w:ind w:right="113"/>
              <w:rPr>
                <w:sz w:val="18"/>
                <w:lang w:eastAsia="es-ES"/>
              </w:rPr>
            </w:pPr>
            <w:r w:rsidRPr="00A530E1">
              <w:rPr>
                <w:sz w:val="18"/>
                <w:szCs w:val="14"/>
                <w:lang w:eastAsia="es-ES"/>
              </w:rPr>
              <w:t>La Libertad</w:t>
            </w:r>
          </w:p>
        </w:tc>
        <w:tc>
          <w:tcPr>
            <w:tcW w:w="1125"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b/>
                <w:sz w:val="18"/>
                <w:lang w:eastAsia="es-ES"/>
              </w:rPr>
            </w:pPr>
            <w:r w:rsidRPr="00A530E1">
              <w:rPr>
                <w:b/>
                <w:sz w:val="18"/>
                <w:szCs w:val="14"/>
                <w:lang w:eastAsia="es-ES"/>
              </w:rPr>
              <w:t>100.0</w:t>
            </w:r>
          </w:p>
        </w:tc>
        <w:tc>
          <w:tcPr>
            <w:tcW w:w="1285"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22.2</w:t>
            </w:r>
          </w:p>
        </w:tc>
        <w:tc>
          <w:tcPr>
            <w:tcW w:w="967"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43.4</w:t>
            </w:r>
          </w:p>
        </w:tc>
        <w:tc>
          <w:tcPr>
            <w:tcW w:w="1126"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23.4</w:t>
            </w:r>
          </w:p>
        </w:tc>
        <w:tc>
          <w:tcPr>
            <w:tcW w:w="1126"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10.9</w:t>
            </w:r>
          </w:p>
        </w:tc>
      </w:tr>
      <w:tr w:rsidR="00180B44" w:rsidRPr="00A530E1" w:rsidTr="002F43EC">
        <w:tblPrEx>
          <w:tblCellMar>
            <w:top w:w="0" w:type="dxa"/>
            <w:bottom w:w="0" w:type="dxa"/>
          </w:tblCellMar>
        </w:tblPrEx>
        <w:trPr>
          <w:trHeight w:val="240"/>
        </w:trPr>
        <w:tc>
          <w:tcPr>
            <w:tcW w:w="1741" w:type="dxa"/>
            <w:shd w:val="clear" w:color="auto" w:fill="auto"/>
            <w:vAlign w:val="bottom"/>
          </w:tcPr>
          <w:p w:rsidR="00180B44" w:rsidRPr="00A530E1" w:rsidRDefault="00180B44" w:rsidP="002F43EC">
            <w:pPr>
              <w:shd w:val="clear" w:color="auto" w:fill="FFFFFF"/>
              <w:suppressAutoHyphens w:val="0"/>
              <w:spacing w:before="40" w:after="40" w:line="220" w:lineRule="exact"/>
              <w:ind w:right="113"/>
              <w:rPr>
                <w:sz w:val="18"/>
                <w:lang w:eastAsia="es-ES"/>
              </w:rPr>
            </w:pPr>
            <w:r w:rsidRPr="00A530E1">
              <w:rPr>
                <w:sz w:val="18"/>
                <w:szCs w:val="14"/>
                <w:lang w:eastAsia="es-ES"/>
              </w:rPr>
              <w:t>Lambayeque</w:t>
            </w:r>
          </w:p>
        </w:tc>
        <w:tc>
          <w:tcPr>
            <w:tcW w:w="1125"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b/>
                <w:sz w:val="18"/>
                <w:lang w:eastAsia="es-ES"/>
              </w:rPr>
            </w:pPr>
            <w:r w:rsidRPr="00A530E1">
              <w:rPr>
                <w:b/>
                <w:sz w:val="18"/>
                <w:szCs w:val="14"/>
                <w:lang w:eastAsia="es-ES"/>
              </w:rPr>
              <w:t>100.0</w:t>
            </w:r>
          </w:p>
        </w:tc>
        <w:tc>
          <w:tcPr>
            <w:tcW w:w="1285"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38.1</w:t>
            </w:r>
          </w:p>
        </w:tc>
        <w:tc>
          <w:tcPr>
            <w:tcW w:w="967"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40.6</w:t>
            </w:r>
          </w:p>
        </w:tc>
        <w:tc>
          <w:tcPr>
            <w:tcW w:w="1126"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16.4</w:t>
            </w:r>
          </w:p>
        </w:tc>
        <w:tc>
          <w:tcPr>
            <w:tcW w:w="1126"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4.9</w:t>
            </w:r>
            <w:r w:rsidRPr="00A530E1">
              <w:rPr>
                <w:i/>
                <w:sz w:val="18"/>
                <w:szCs w:val="14"/>
                <w:vertAlign w:val="superscript"/>
                <w:lang w:eastAsia="es-ES"/>
              </w:rPr>
              <w:t>a</w:t>
            </w:r>
          </w:p>
        </w:tc>
      </w:tr>
      <w:tr w:rsidR="00180B44" w:rsidRPr="00A530E1" w:rsidTr="002F43EC">
        <w:tblPrEx>
          <w:tblCellMar>
            <w:top w:w="0" w:type="dxa"/>
            <w:bottom w:w="0" w:type="dxa"/>
          </w:tblCellMar>
        </w:tblPrEx>
        <w:trPr>
          <w:trHeight w:val="240"/>
        </w:trPr>
        <w:tc>
          <w:tcPr>
            <w:tcW w:w="1741" w:type="dxa"/>
            <w:shd w:val="clear" w:color="auto" w:fill="auto"/>
            <w:vAlign w:val="bottom"/>
          </w:tcPr>
          <w:p w:rsidR="00180B44" w:rsidRPr="00A530E1" w:rsidRDefault="00180B44" w:rsidP="002F43EC">
            <w:pPr>
              <w:shd w:val="clear" w:color="auto" w:fill="FFFFFF"/>
              <w:spacing w:before="40" w:after="40" w:line="220" w:lineRule="exact"/>
              <w:ind w:right="113"/>
              <w:rPr>
                <w:sz w:val="18"/>
              </w:rPr>
            </w:pPr>
            <w:r w:rsidRPr="00A530E1">
              <w:rPr>
                <w:sz w:val="18"/>
                <w:szCs w:val="14"/>
              </w:rPr>
              <w:t>Metropolitan Lima</w:t>
            </w:r>
            <w:r w:rsidR="00EE62BC">
              <w:rPr>
                <w:i/>
                <w:sz w:val="18"/>
                <w:szCs w:val="14"/>
                <w:vertAlign w:val="superscript"/>
              </w:rPr>
              <w:t>2</w:t>
            </w:r>
          </w:p>
        </w:tc>
        <w:tc>
          <w:tcPr>
            <w:tcW w:w="1125"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b/>
                <w:sz w:val="18"/>
                <w:lang w:eastAsia="es-ES"/>
              </w:rPr>
            </w:pPr>
            <w:r w:rsidRPr="00A530E1">
              <w:rPr>
                <w:b/>
                <w:sz w:val="18"/>
                <w:szCs w:val="14"/>
                <w:lang w:eastAsia="es-ES"/>
              </w:rPr>
              <w:t>100.0</w:t>
            </w:r>
          </w:p>
        </w:tc>
        <w:tc>
          <w:tcPr>
            <w:tcW w:w="1285"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10.6</w:t>
            </w:r>
          </w:p>
        </w:tc>
        <w:tc>
          <w:tcPr>
            <w:tcW w:w="967"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34.4</w:t>
            </w:r>
          </w:p>
        </w:tc>
        <w:tc>
          <w:tcPr>
            <w:tcW w:w="1126"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39.5</w:t>
            </w:r>
          </w:p>
        </w:tc>
        <w:tc>
          <w:tcPr>
            <w:tcW w:w="1126"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15.4</w:t>
            </w:r>
          </w:p>
        </w:tc>
      </w:tr>
      <w:tr w:rsidR="00180B44" w:rsidRPr="00A530E1" w:rsidTr="002F43EC">
        <w:tblPrEx>
          <w:tblCellMar>
            <w:top w:w="0" w:type="dxa"/>
            <w:bottom w:w="0" w:type="dxa"/>
          </w:tblCellMar>
        </w:tblPrEx>
        <w:trPr>
          <w:trHeight w:val="240"/>
        </w:trPr>
        <w:tc>
          <w:tcPr>
            <w:tcW w:w="1741" w:type="dxa"/>
            <w:shd w:val="clear" w:color="auto" w:fill="auto"/>
            <w:vAlign w:val="bottom"/>
          </w:tcPr>
          <w:p w:rsidR="00180B44" w:rsidRPr="00A530E1" w:rsidRDefault="00180B44" w:rsidP="002F43EC">
            <w:pPr>
              <w:shd w:val="clear" w:color="auto" w:fill="FFFFFF"/>
              <w:spacing w:before="40" w:after="40" w:line="220" w:lineRule="exact"/>
              <w:ind w:right="113"/>
              <w:rPr>
                <w:sz w:val="18"/>
              </w:rPr>
            </w:pPr>
            <w:r w:rsidRPr="00A530E1">
              <w:rPr>
                <w:sz w:val="18"/>
                <w:szCs w:val="14"/>
              </w:rPr>
              <w:t>Lima-Provinces</w:t>
            </w:r>
            <w:r w:rsidR="00EE62BC">
              <w:rPr>
                <w:i/>
                <w:sz w:val="18"/>
                <w:szCs w:val="14"/>
                <w:vertAlign w:val="superscript"/>
              </w:rPr>
              <w:t>3</w:t>
            </w:r>
          </w:p>
        </w:tc>
        <w:tc>
          <w:tcPr>
            <w:tcW w:w="1125"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b/>
                <w:sz w:val="18"/>
                <w:lang w:eastAsia="es-ES"/>
              </w:rPr>
            </w:pPr>
            <w:r w:rsidRPr="00A530E1">
              <w:rPr>
                <w:b/>
                <w:sz w:val="18"/>
                <w:szCs w:val="14"/>
                <w:lang w:eastAsia="es-ES"/>
              </w:rPr>
              <w:t>100.0</w:t>
            </w:r>
          </w:p>
        </w:tc>
        <w:tc>
          <w:tcPr>
            <w:tcW w:w="1285"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16.5</w:t>
            </w:r>
          </w:p>
        </w:tc>
        <w:tc>
          <w:tcPr>
            <w:tcW w:w="967"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45.5</w:t>
            </w:r>
          </w:p>
        </w:tc>
        <w:tc>
          <w:tcPr>
            <w:tcW w:w="1126"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29.5</w:t>
            </w:r>
          </w:p>
        </w:tc>
        <w:tc>
          <w:tcPr>
            <w:tcW w:w="1126"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8.5</w:t>
            </w:r>
          </w:p>
        </w:tc>
      </w:tr>
      <w:tr w:rsidR="00180B44" w:rsidRPr="00A530E1" w:rsidTr="002F43EC">
        <w:tblPrEx>
          <w:tblCellMar>
            <w:top w:w="0" w:type="dxa"/>
            <w:bottom w:w="0" w:type="dxa"/>
          </w:tblCellMar>
        </w:tblPrEx>
        <w:trPr>
          <w:trHeight w:val="240"/>
        </w:trPr>
        <w:tc>
          <w:tcPr>
            <w:tcW w:w="1741" w:type="dxa"/>
            <w:shd w:val="clear" w:color="auto" w:fill="auto"/>
            <w:vAlign w:val="bottom"/>
          </w:tcPr>
          <w:p w:rsidR="00180B44" w:rsidRPr="00A530E1" w:rsidRDefault="00180B44" w:rsidP="002F43EC">
            <w:pPr>
              <w:shd w:val="clear" w:color="auto" w:fill="FFFFFF"/>
              <w:suppressAutoHyphens w:val="0"/>
              <w:spacing w:before="40" w:after="40" w:line="220" w:lineRule="exact"/>
              <w:ind w:right="113"/>
              <w:rPr>
                <w:sz w:val="18"/>
                <w:lang w:eastAsia="es-ES"/>
              </w:rPr>
            </w:pPr>
            <w:r w:rsidRPr="00A530E1">
              <w:rPr>
                <w:sz w:val="18"/>
                <w:szCs w:val="14"/>
                <w:lang w:eastAsia="es-ES"/>
              </w:rPr>
              <w:t>Loreto</w:t>
            </w:r>
          </w:p>
        </w:tc>
        <w:tc>
          <w:tcPr>
            <w:tcW w:w="1125"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b/>
                <w:sz w:val="18"/>
                <w:lang w:eastAsia="es-ES"/>
              </w:rPr>
            </w:pPr>
            <w:r w:rsidRPr="00A530E1">
              <w:rPr>
                <w:b/>
                <w:sz w:val="18"/>
                <w:szCs w:val="14"/>
                <w:lang w:eastAsia="es-ES"/>
              </w:rPr>
              <w:t>100.0</w:t>
            </w:r>
          </w:p>
        </w:tc>
        <w:tc>
          <w:tcPr>
            <w:tcW w:w="1285"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21.0</w:t>
            </w:r>
          </w:p>
        </w:tc>
        <w:tc>
          <w:tcPr>
            <w:tcW w:w="967"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49.3</w:t>
            </w:r>
          </w:p>
        </w:tc>
        <w:tc>
          <w:tcPr>
            <w:tcW w:w="1126"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23.1</w:t>
            </w:r>
          </w:p>
        </w:tc>
        <w:tc>
          <w:tcPr>
            <w:tcW w:w="1126"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6.5</w:t>
            </w:r>
          </w:p>
        </w:tc>
      </w:tr>
      <w:tr w:rsidR="00180B44" w:rsidRPr="00A530E1" w:rsidTr="002F43EC">
        <w:tblPrEx>
          <w:tblCellMar>
            <w:top w:w="0" w:type="dxa"/>
            <w:bottom w:w="0" w:type="dxa"/>
          </w:tblCellMar>
        </w:tblPrEx>
        <w:trPr>
          <w:trHeight w:val="240"/>
        </w:trPr>
        <w:tc>
          <w:tcPr>
            <w:tcW w:w="1741" w:type="dxa"/>
            <w:shd w:val="clear" w:color="auto" w:fill="auto"/>
            <w:vAlign w:val="bottom"/>
          </w:tcPr>
          <w:p w:rsidR="00180B44" w:rsidRPr="00A530E1" w:rsidRDefault="00180B44" w:rsidP="002F43EC">
            <w:pPr>
              <w:shd w:val="clear" w:color="auto" w:fill="FFFFFF"/>
              <w:suppressAutoHyphens w:val="0"/>
              <w:spacing w:before="40" w:after="40" w:line="220" w:lineRule="exact"/>
              <w:ind w:right="113"/>
              <w:rPr>
                <w:sz w:val="18"/>
                <w:lang w:eastAsia="es-ES"/>
              </w:rPr>
            </w:pPr>
            <w:r w:rsidRPr="00A530E1">
              <w:rPr>
                <w:sz w:val="18"/>
                <w:szCs w:val="14"/>
                <w:lang w:eastAsia="es-ES"/>
              </w:rPr>
              <w:t>Madre de Dios</w:t>
            </w:r>
          </w:p>
        </w:tc>
        <w:tc>
          <w:tcPr>
            <w:tcW w:w="1125"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b/>
                <w:sz w:val="18"/>
                <w:lang w:eastAsia="es-ES"/>
              </w:rPr>
            </w:pPr>
            <w:r w:rsidRPr="00A530E1">
              <w:rPr>
                <w:b/>
                <w:sz w:val="18"/>
                <w:szCs w:val="14"/>
                <w:lang w:eastAsia="es-ES"/>
              </w:rPr>
              <w:t>100.0</w:t>
            </w:r>
          </w:p>
        </w:tc>
        <w:tc>
          <w:tcPr>
            <w:tcW w:w="1285"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22.8</w:t>
            </w:r>
          </w:p>
        </w:tc>
        <w:tc>
          <w:tcPr>
            <w:tcW w:w="967"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50.4</w:t>
            </w:r>
          </w:p>
        </w:tc>
        <w:tc>
          <w:tcPr>
            <w:tcW w:w="1126"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20.8</w:t>
            </w:r>
          </w:p>
        </w:tc>
        <w:tc>
          <w:tcPr>
            <w:tcW w:w="1126"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6.0</w:t>
            </w:r>
            <w:r w:rsidRPr="00A530E1">
              <w:rPr>
                <w:i/>
                <w:sz w:val="18"/>
                <w:szCs w:val="14"/>
                <w:vertAlign w:val="superscript"/>
                <w:lang w:eastAsia="es-ES"/>
              </w:rPr>
              <w:t>a</w:t>
            </w:r>
          </w:p>
        </w:tc>
      </w:tr>
      <w:tr w:rsidR="00180B44" w:rsidRPr="00A530E1" w:rsidTr="002F43EC">
        <w:tblPrEx>
          <w:tblCellMar>
            <w:top w:w="0" w:type="dxa"/>
            <w:bottom w:w="0" w:type="dxa"/>
          </w:tblCellMar>
        </w:tblPrEx>
        <w:trPr>
          <w:trHeight w:val="240"/>
        </w:trPr>
        <w:tc>
          <w:tcPr>
            <w:tcW w:w="1741" w:type="dxa"/>
            <w:shd w:val="clear" w:color="auto" w:fill="auto"/>
            <w:vAlign w:val="bottom"/>
          </w:tcPr>
          <w:p w:rsidR="00180B44" w:rsidRPr="00A530E1" w:rsidRDefault="00180B44" w:rsidP="002F43EC">
            <w:pPr>
              <w:shd w:val="clear" w:color="auto" w:fill="FFFFFF"/>
              <w:suppressAutoHyphens w:val="0"/>
              <w:spacing w:before="40" w:after="40" w:line="220" w:lineRule="exact"/>
              <w:ind w:right="113"/>
              <w:rPr>
                <w:sz w:val="18"/>
                <w:lang w:eastAsia="es-ES"/>
              </w:rPr>
            </w:pPr>
            <w:r w:rsidRPr="00A530E1">
              <w:rPr>
                <w:sz w:val="18"/>
                <w:szCs w:val="14"/>
                <w:lang w:eastAsia="es-ES"/>
              </w:rPr>
              <w:t>Moquegua</w:t>
            </w:r>
          </w:p>
        </w:tc>
        <w:tc>
          <w:tcPr>
            <w:tcW w:w="1125"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b/>
                <w:sz w:val="18"/>
                <w:lang w:eastAsia="es-ES"/>
              </w:rPr>
            </w:pPr>
            <w:r w:rsidRPr="00A530E1">
              <w:rPr>
                <w:b/>
                <w:sz w:val="18"/>
                <w:szCs w:val="14"/>
                <w:lang w:eastAsia="es-ES"/>
              </w:rPr>
              <w:t>100.0</w:t>
            </w:r>
          </w:p>
        </w:tc>
        <w:tc>
          <w:tcPr>
            <w:tcW w:w="1285"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19.7</w:t>
            </w:r>
          </w:p>
        </w:tc>
        <w:tc>
          <w:tcPr>
            <w:tcW w:w="967"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43.2</w:t>
            </w:r>
          </w:p>
        </w:tc>
        <w:tc>
          <w:tcPr>
            <w:tcW w:w="1126"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24.7</w:t>
            </w:r>
          </w:p>
        </w:tc>
        <w:tc>
          <w:tcPr>
            <w:tcW w:w="1126"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12.4</w:t>
            </w:r>
          </w:p>
        </w:tc>
      </w:tr>
      <w:tr w:rsidR="00180B44" w:rsidRPr="00A530E1" w:rsidTr="002F43EC">
        <w:tblPrEx>
          <w:tblCellMar>
            <w:top w:w="0" w:type="dxa"/>
            <w:bottom w:w="0" w:type="dxa"/>
          </w:tblCellMar>
        </w:tblPrEx>
        <w:trPr>
          <w:trHeight w:val="240"/>
        </w:trPr>
        <w:tc>
          <w:tcPr>
            <w:tcW w:w="1741" w:type="dxa"/>
            <w:shd w:val="clear" w:color="auto" w:fill="auto"/>
            <w:vAlign w:val="bottom"/>
          </w:tcPr>
          <w:p w:rsidR="00180B44" w:rsidRPr="00A530E1" w:rsidRDefault="00180B44" w:rsidP="002F43EC">
            <w:pPr>
              <w:shd w:val="clear" w:color="auto" w:fill="FFFFFF"/>
              <w:suppressAutoHyphens w:val="0"/>
              <w:spacing w:before="40" w:after="40" w:line="220" w:lineRule="exact"/>
              <w:ind w:right="113"/>
              <w:rPr>
                <w:sz w:val="18"/>
                <w:lang w:eastAsia="es-ES"/>
              </w:rPr>
            </w:pPr>
            <w:r w:rsidRPr="00A530E1">
              <w:rPr>
                <w:sz w:val="18"/>
                <w:szCs w:val="14"/>
                <w:lang w:eastAsia="es-ES"/>
              </w:rPr>
              <w:t>Pasco</w:t>
            </w:r>
          </w:p>
        </w:tc>
        <w:tc>
          <w:tcPr>
            <w:tcW w:w="1125"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b/>
                <w:sz w:val="18"/>
                <w:lang w:eastAsia="es-ES"/>
              </w:rPr>
            </w:pPr>
            <w:r w:rsidRPr="00A530E1">
              <w:rPr>
                <w:b/>
                <w:sz w:val="18"/>
                <w:szCs w:val="14"/>
                <w:lang w:eastAsia="es-ES"/>
              </w:rPr>
              <w:t>100.0</w:t>
            </w:r>
          </w:p>
        </w:tc>
        <w:tc>
          <w:tcPr>
            <w:tcW w:w="1285"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29.0</w:t>
            </w:r>
          </w:p>
        </w:tc>
        <w:tc>
          <w:tcPr>
            <w:tcW w:w="967"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43.8</w:t>
            </w:r>
          </w:p>
        </w:tc>
        <w:tc>
          <w:tcPr>
            <w:tcW w:w="1126"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19.1</w:t>
            </w:r>
          </w:p>
        </w:tc>
        <w:tc>
          <w:tcPr>
            <w:tcW w:w="1126"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8.1</w:t>
            </w:r>
          </w:p>
        </w:tc>
      </w:tr>
      <w:tr w:rsidR="00180B44" w:rsidRPr="00A530E1" w:rsidTr="002F43EC">
        <w:tblPrEx>
          <w:tblCellMar>
            <w:top w:w="0" w:type="dxa"/>
            <w:bottom w:w="0" w:type="dxa"/>
          </w:tblCellMar>
        </w:tblPrEx>
        <w:trPr>
          <w:trHeight w:val="240"/>
        </w:trPr>
        <w:tc>
          <w:tcPr>
            <w:tcW w:w="1741" w:type="dxa"/>
            <w:shd w:val="clear" w:color="auto" w:fill="auto"/>
            <w:vAlign w:val="bottom"/>
          </w:tcPr>
          <w:p w:rsidR="00180B44" w:rsidRPr="00A530E1" w:rsidRDefault="00180B44" w:rsidP="002F43EC">
            <w:pPr>
              <w:shd w:val="clear" w:color="auto" w:fill="FFFFFF"/>
              <w:suppressAutoHyphens w:val="0"/>
              <w:spacing w:before="40" w:after="40" w:line="220" w:lineRule="exact"/>
              <w:ind w:right="113"/>
              <w:rPr>
                <w:sz w:val="18"/>
                <w:lang w:eastAsia="es-ES"/>
              </w:rPr>
            </w:pPr>
            <w:r w:rsidRPr="00A530E1">
              <w:rPr>
                <w:sz w:val="18"/>
                <w:szCs w:val="14"/>
                <w:lang w:eastAsia="es-ES"/>
              </w:rPr>
              <w:t>Piura</w:t>
            </w:r>
          </w:p>
        </w:tc>
        <w:tc>
          <w:tcPr>
            <w:tcW w:w="1125"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b/>
                <w:sz w:val="18"/>
                <w:lang w:eastAsia="es-ES"/>
              </w:rPr>
            </w:pPr>
            <w:r w:rsidRPr="00A530E1">
              <w:rPr>
                <w:b/>
                <w:sz w:val="18"/>
                <w:szCs w:val="14"/>
                <w:lang w:eastAsia="es-ES"/>
              </w:rPr>
              <w:t>100.0</w:t>
            </w:r>
          </w:p>
        </w:tc>
        <w:tc>
          <w:tcPr>
            <w:tcW w:w="1285"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28.9</w:t>
            </w:r>
          </w:p>
        </w:tc>
        <w:tc>
          <w:tcPr>
            <w:tcW w:w="967"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45.5</w:t>
            </w:r>
          </w:p>
        </w:tc>
        <w:tc>
          <w:tcPr>
            <w:tcW w:w="1126"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19.4</w:t>
            </w:r>
          </w:p>
        </w:tc>
        <w:tc>
          <w:tcPr>
            <w:tcW w:w="1126"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6.1</w:t>
            </w:r>
          </w:p>
        </w:tc>
      </w:tr>
      <w:tr w:rsidR="00180B44" w:rsidRPr="00A530E1" w:rsidTr="002F43EC">
        <w:tblPrEx>
          <w:tblCellMar>
            <w:top w:w="0" w:type="dxa"/>
            <w:bottom w:w="0" w:type="dxa"/>
          </w:tblCellMar>
        </w:tblPrEx>
        <w:trPr>
          <w:trHeight w:val="240"/>
        </w:trPr>
        <w:tc>
          <w:tcPr>
            <w:tcW w:w="1741" w:type="dxa"/>
            <w:shd w:val="clear" w:color="auto" w:fill="auto"/>
            <w:vAlign w:val="bottom"/>
          </w:tcPr>
          <w:p w:rsidR="00180B44" w:rsidRPr="00A530E1" w:rsidRDefault="00180B44" w:rsidP="002F43EC">
            <w:pPr>
              <w:shd w:val="clear" w:color="auto" w:fill="FFFFFF"/>
              <w:suppressAutoHyphens w:val="0"/>
              <w:spacing w:before="40" w:after="40" w:line="220" w:lineRule="exact"/>
              <w:ind w:right="113"/>
              <w:rPr>
                <w:sz w:val="18"/>
                <w:lang w:eastAsia="es-ES"/>
              </w:rPr>
            </w:pPr>
            <w:r w:rsidRPr="00A530E1">
              <w:rPr>
                <w:sz w:val="18"/>
                <w:szCs w:val="14"/>
                <w:lang w:eastAsia="es-ES"/>
              </w:rPr>
              <w:t>Puno</w:t>
            </w:r>
          </w:p>
        </w:tc>
        <w:tc>
          <w:tcPr>
            <w:tcW w:w="1125"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b/>
                <w:sz w:val="18"/>
                <w:lang w:eastAsia="es-ES"/>
              </w:rPr>
            </w:pPr>
            <w:r w:rsidRPr="00A530E1">
              <w:rPr>
                <w:b/>
                <w:sz w:val="18"/>
                <w:szCs w:val="14"/>
                <w:lang w:eastAsia="es-ES"/>
              </w:rPr>
              <w:t>100.0</w:t>
            </w:r>
          </w:p>
        </w:tc>
        <w:tc>
          <w:tcPr>
            <w:tcW w:w="1285"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34.1</w:t>
            </w:r>
          </w:p>
        </w:tc>
        <w:tc>
          <w:tcPr>
            <w:tcW w:w="967"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43.4</w:t>
            </w:r>
          </w:p>
        </w:tc>
        <w:tc>
          <w:tcPr>
            <w:tcW w:w="1126"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14.8</w:t>
            </w:r>
          </w:p>
        </w:tc>
        <w:tc>
          <w:tcPr>
            <w:tcW w:w="1126"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7.7</w:t>
            </w:r>
          </w:p>
        </w:tc>
      </w:tr>
      <w:tr w:rsidR="00180B44" w:rsidRPr="00A530E1" w:rsidTr="002F43EC">
        <w:tblPrEx>
          <w:tblCellMar>
            <w:top w:w="0" w:type="dxa"/>
            <w:bottom w:w="0" w:type="dxa"/>
          </w:tblCellMar>
        </w:tblPrEx>
        <w:trPr>
          <w:trHeight w:val="240"/>
        </w:trPr>
        <w:tc>
          <w:tcPr>
            <w:tcW w:w="1741" w:type="dxa"/>
            <w:shd w:val="clear" w:color="auto" w:fill="auto"/>
            <w:vAlign w:val="bottom"/>
          </w:tcPr>
          <w:p w:rsidR="00180B44" w:rsidRPr="00A530E1" w:rsidRDefault="00180B44" w:rsidP="002F43EC">
            <w:pPr>
              <w:shd w:val="clear" w:color="auto" w:fill="FFFFFF"/>
              <w:suppressAutoHyphens w:val="0"/>
              <w:spacing w:before="40" w:after="40" w:line="220" w:lineRule="exact"/>
              <w:ind w:right="113"/>
              <w:rPr>
                <w:sz w:val="18"/>
                <w:lang w:eastAsia="es-ES"/>
              </w:rPr>
            </w:pPr>
            <w:r w:rsidRPr="00A530E1">
              <w:rPr>
                <w:sz w:val="18"/>
                <w:szCs w:val="14"/>
                <w:lang w:eastAsia="es-ES"/>
              </w:rPr>
              <w:t>San Martín</w:t>
            </w:r>
          </w:p>
        </w:tc>
        <w:tc>
          <w:tcPr>
            <w:tcW w:w="1125"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b/>
                <w:sz w:val="18"/>
                <w:lang w:eastAsia="es-ES"/>
              </w:rPr>
            </w:pPr>
            <w:r w:rsidRPr="00A530E1">
              <w:rPr>
                <w:b/>
                <w:sz w:val="18"/>
                <w:szCs w:val="14"/>
                <w:lang w:eastAsia="es-ES"/>
              </w:rPr>
              <w:t>100.0</w:t>
            </w:r>
          </w:p>
        </w:tc>
        <w:tc>
          <w:tcPr>
            <w:tcW w:w="1285"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22.0</w:t>
            </w:r>
          </w:p>
        </w:tc>
        <w:tc>
          <w:tcPr>
            <w:tcW w:w="967"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55.4</w:t>
            </w:r>
          </w:p>
        </w:tc>
        <w:tc>
          <w:tcPr>
            <w:tcW w:w="1126"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17.1</w:t>
            </w:r>
          </w:p>
        </w:tc>
        <w:tc>
          <w:tcPr>
            <w:tcW w:w="1126"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5.6</w:t>
            </w:r>
          </w:p>
        </w:tc>
      </w:tr>
      <w:tr w:rsidR="00180B44" w:rsidRPr="00A530E1" w:rsidTr="002F43EC">
        <w:tblPrEx>
          <w:tblCellMar>
            <w:top w:w="0" w:type="dxa"/>
            <w:bottom w:w="0" w:type="dxa"/>
          </w:tblCellMar>
        </w:tblPrEx>
        <w:trPr>
          <w:trHeight w:val="240"/>
        </w:trPr>
        <w:tc>
          <w:tcPr>
            <w:tcW w:w="1741" w:type="dxa"/>
            <w:shd w:val="clear" w:color="auto" w:fill="auto"/>
            <w:vAlign w:val="bottom"/>
          </w:tcPr>
          <w:p w:rsidR="00180B44" w:rsidRPr="00A530E1" w:rsidRDefault="00180B44" w:rsidP="002F43EC">
            <w:pPr>
              <w:shd w:val="clear" w:color="auto" w:fill="FFFFFF"/>
              <w:suppressAutoHyphens w:val="0"/>
              <w:spacing w:before="40" w:after="40" w:line="220" w:lineRule="exact"/>
              <w:ind w:right="113"/>
              <w:rPr>
                <w:sz w:val="18"/>
                <w:lang w:eastAsia="es-ES"/>
              </w:rPr>
            </w:pPr>
            <w:r w:rsidRPr="00A530E1">
              <w:rPr>
                <w:sz w:val="18"/>
                <w:szCs w:val="14"/>
                <w:lang w:eastAsia="es-ES"/>
              </w:rPr>
              <w:t>Tacna</w:t>
            </w:r>
          </w:p>
        </w:tc>
        <w:tc>
          <w:tcPr>
            <w:tcW w:w="1125"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b/>
                <w:sz w:val="18"/>
                <w:lang w:eastAsia="es-ES"/>
              </w:rPr>
            </w:pPr>
            <w:r w:rsidRPr="00A530E1">
              <w:rPr>
                <w:b/>
                <w:sz w:val="18"/>
                <w:szCs w:val="14"/>
                <w:lang w:eastAsia="es-ES"/>
              </w:rPr>
              <w:t>100.0</w:t>
            </w:r>
          </w:p>
        </w:tc>
        <w:tc>
          <w:tcPr>
            <w:tcW w:w="1285"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18.8</w:t>
            </w:r>
          </w:p>
        </w:tc>
        <w:tc>
          <w:tcPr>
            <w:tcW w:w="967"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46.8</w:t>
            </w:r>
          </w:p>
        </w:tc>
        <w:tc>
          <w:tcPr>
            <w:tcW w:w="1126"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25.6</w:t>
            </w:r>
          </w:p>
        </w:tc>
        <w:tc>
          <w:tcPr>
            <w:tcW w:w="1126"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8.7</w:t>
            </w:r>
            <w:r w:rsidRPr="00A530E1">
              <w:rPr>
                <w:i/>
                <w:sz w:val="18"/>
                <w:szCs w:val="14"/>
                <w:vertAlign w:val="superscript"/>
                <w:lang w:eastAsia="es-ES"/>
              </w:rPr>
              <w:t>a</w:t>
            </w:r>
          </w:p>
        </w:tc>
      </w:tr>
      <w:tr w:rsidR="00180B44" w:rsidRPr="00A530E1" w:rsidTr="002F43EC">
        <w:tblPrEx>
          <w:tblCellMar>
            <w:top w:w="0" w:type="dxa"/>
            <w:bottom w:w="0" w:type="dxa"/>
          </w:tblCellMar>
        </w:tblPrEx>
        <w:trPr>
          <w:trHeight w:val="240"/>
        </w:trPr>
        <w:tc>
          <w:tcPr>
            <w:tcW w:w="1741" w:type="dxa"/>
            <w:shd w:val="clear" w:color="auto" w:fill="auto"/>
            <w:vAlign w:val="bottom"/>
          </w:tcPr>
          <w:p w:rsidR="00180B44" w:rsidRPr="00A530E1" w:rsidRDefault="00180B44" w:rsidP="002F43EC">
            <w:pPr>
              <w:shd w:val="clear" w:color="auto" w:fill="FFFFFF"/>
              <w:suppressAutoHyphens w:val="0"/>
              <w:spacing w:before="40" w:after="40" w:line="220" w:lineRule="exact"/>
              <w:ind w:right="113"/>
              <w:rPr>
                <w:sz w:val="18"/>
                <w:lang w:eastAsia="es-ES"/>
              </w:rPr>
            </w:pPr>
            <w:r w:rsidRPr="00A530E1">
              <w:rPr>
                <w:sz w:val="18"/>
                <w:szCs w:val="14"/>
                <w:lang w:eastAsia="es-ES"/>
              </w:rPr>
              <w:t>Tumbes</w:t>
            </w:r>
          </w:p>
        </w:tc>
        <w:tc>
          <w:tcPr>
            <w:tcW w:w="1125"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b/>
                <w:sz w:val="18"/>
                <w:lang w:eastAsia="es-ES"/>
              </w:rPr>
            </w:pPr>
            <w:r w:rsidRPr="00A530E1">
              <w:rPr>
                <w:b/>
                <w:sz w:val="18"/>
                <w:szCs w:val="14"/>
                <w:lang w:eastAsia="es-ES"/>
              </w:rPr>
              <w:t>100.0</w:t>
            </w:r>
          </w:p>
        </w:tc>
        <w:tc>
          <w:tcPr>
            <w:tcW w:w="1285"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25.4</w:t>
            </w:r>
          </w:p>
        </w:tc>
        <w:tc>
          <w:tcPr>
            <w:tcW w:w="967"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51.9</w:t>
            </w:r>
          </w:p>
        </w:tc>
        <w:tc>
          <w:tcPr>
            <w:tcW w:w="1126"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16.4</w:t>
            </w:r>
          </w:p>
        </w:tc>
        <w:tc>
          <w:tcPr>
            <w:tcW w:w="1126" w:type="dxa"/>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6.3</w:t>
            </w:r>
            <w:r w:rsidRPr="00A530E1">
              <w:rPr>
                <w:i/>
                <w:sz w:val="18"/>
                <w:szCs w:val="14"/>
                <w:vertAlign w:val="superscript"/>
                <w:lang w:eastAsia="es-ES"/>
              </w:rPr>
              <w:t>a</w:t>
            </w:r>
          </w:p>
        </w:tc>
      </w:tr>
      <w:tr w:rsidR="00180B44" w:rsidRPr="00A530E1" w:rsidTr="002F43EC">
        <w:tblPrEx>
          <w:tblCellMar>
            <w:top w:w="0" w:type="dxa"/>
            <w:bottom w:w="0" w:type="dxa"/>
          </w:tblCellMar>
        </w:tblPrEx>
        <w:trPr>
          <w:trHeight w:val="240"/>
        </w:trPr>
        <w:tc>
          <w:tcPr>
            <w:tcW w:w="1741" w:type="dxa"/>
            <w:tcBorders>
              <w:bottom w:val="single" w:sz="4" w:space="0" w:color="auto"/>
            </w:tcBorders>
            <w:shd w:val="clear" w:color="auto" w:fill="auto"/>
            <w:vAlign w:val="bottom"/>
          </w:tcPr>
          <w:p w:rsidR="00180B44" w:rsidRPr="00A530E1" w:rsidRDefault="00180B44" w:rsidP="002F43EC">
            <w:pPr>
              <w:shd w:val="clear" w:color="auto" w:fill="FFFFFF"/>
              <w:suppressAutoHyphens w:val="0"/>
              <w:spacing w:before="40" w:after="40" w:line="220" w:lineRule="exact"/>
              <w:ind w:right="113"/>
              <w:rPr>
                <w:sz w:val="18"/>
                <w:lang w:eastAsia="es-ES"/>
              </w:rPr>
            </w:pPr>
            <w:r w:rsidRPr="00A530E1">
              <w:rPr>
                <w:sz w:val="18"/>
                <w:szCs w:val="14"/>
                <w:lang w:eastAsia="es-ES"/>
              </w:rPr>
              <w:t>Ucayali</w:t>
            </w:r>
          </w:p>
        </w:tc>
        <w:tc>
          <w:tcPr>
            <w:tcW w:w="1125" w:type="dxa"/>
            <w:tcBorders>
              <w:bottom w:val="single" w:sz="4" w:space="0" w:color="auto"/>
            </w:tcBorders>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b/>
                <w:sz w:val="18"/>
                <w:lang w:eastAsia="es-ES"/>
              </w:rPr>
            </w:pPr>
            <w:r w:rsidRPr="00A530E1">
              <w:rPr>
                <w:b/>
                <w:sz w:val="18"/>
                <w:szCs w:val="14"/>
                <w:lang w:eastAsia="es-ES"/>
              </w:rPr>
              <w:t>100.0</w:t>
            </w:r>
          </w:p>
        </w:tc>
        <w:tc>
          <w:tcPr>
            <w:tcW w:w="1285" w:type="dxa"/>
            <w:tcBorders>
              <w:bottom w:val="single" w:sz="4" w:space="0" w:color="auto"/>
            </w:tcBorders>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12.6</w:t>
            </w:r>
          </w:p>
        </w:tc>
        <w:tc>
          <w:tcPr>
            <w:tcW w:w="967" w:type="dxa"/>
            <w:tcBorders>
              <w:bottom w:val="single" w:sz="4" w:space="0" w:color="auto"/>
            </w:tcBorders>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49.7</w:t>
            </w:r>
          </w:p>
        </w:tc>
        <w:tc>
          <w:tcPr>
            <w:tcW w:w="1126" w:type="dxa"/>
            <w:tcBorders>
              <w:bottom w:val="single" w:sz="4" w:space="0" w:color="auto"/>
            </w:tcBorders>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27.9</w:t>
            </w:r>
          </w:p>
        </w:tc>
        <w:tc>
          <w:tcPr>
            <w:tcW w:w="1126" w:type="dxa"/>
            <w:tcBorders>
              <w:bottom w:val="single" w:sz="4" w:space="0" w:color="auto"/>
            </w:tcBorders>
            <w:shd w:val="clear" w:color="auto" w:fill="auto"/>
            <w:vAlign w:val="bottom"/>
          </w:tcPr>
          <w:p w:rsidR="00180B44" w:rsidRPr="00A530E1" w:rsidRDefault="00180B44" w:rsidP="003F63EE">
            <w:pPr>
              <w:shd w:val="clear" w:color="auto" w:fill="FFFFFF"/>
              <w:suppressAutoHyphens w:val="0"/>
              <w:spacing w:before="40" w:after="40" w:line="220" w:lineRule="exact"/>
              <w:ind w:right="113"/>
              <w:jc w:val="right"/>
              <w:rPr>
                <w:sz w:val="18"/>
                <w:lang w:eastAsia="es-ES"/>
              </w:rPr>
            </w:pPr>
            <w:r w:rsidRPr="00A530E1">
              <w:rPr>
                <w:sz w:val="18"/>
                <w:szCs w:val="14"/>
                <w:lang w:eastAsia="es-ES"/>
              </w:rPr>
              <w:t>9.7</w:t>
            </w:r>
          </w:p>
        </w:tc>
      </w:tr>
      <w:tr w:rsidR="00180B44" w:rsidRPr="00A530E1" w:rsidTr="002F43EC">
        <w:tblPrEx>
          <w:tblCellMar>
            <w:top w:w="0" w:type="dxa"/>
            <w:bottom w:w="0" w:type="dxa"/>
          </w:tblCellMar>
        </w:tblPrEx>
        <w:trPr>
          <w:trHeight w:val="240"/>
        </w:trPr>
        <w:tc>
          <w:tcPr>
            <w:tcW w:w="1741" w:type="dxa"/>
            <w:tcBorders>
              <w:top w:val="single" w:sz="4" w:space="0" w:color="auto"/>
              <w:bottom w:val="single" w:sz="12" w:space="0" w:color="auto"/>
            </w:tcBorders>
            <w:shd w:val="clear" w:color="auto" w:fill="auto"/>
            <w:vAlign w:val="bottom"/>
          </w:tcPr>
          <w:p w:rsidR="00180B44" w:rsidRPr="00A530E1" w:rsidRDefault="00180B44" w:rsidP="00CA1E13">
            <w:pPr>
              <w:shd w:val="clear" w:color="auto" w:fill="FFFFFF"/>
              <w:suppressAutoHyphens w:val="0"/>
              <w:spacing w:before="80" w:after="80" w:line="220" w:lineRule="exact"/>
              <w:ind w:left="284" w:right="113"/>
              <w:rPr>
                <w:b/>
                <w:sz w:val="18"/>
                <w:lang w:eastAsia="es-ES"/>
              </w:rPr>
            </w:pPr>
            <w:r w:rsidRPr="00A530E1">
              <w:rPr>
                <w:b/>
                <w:bCs/>
                <w:sz w:val="18"/>
                <w:szCs w:val="14"/>
                <w:lang w:eastAsia="es-ES"/>
              </w:rPr>
              <w:t>Total</w:t>
            </w:r>
          </w:p>
        </w:tc>
        <w:tc>
          <w:tcPr>
            <w:tcW w:w="1125" w:type="dxa"/>
            <w:tcBorders>
              <w:top w:val="single" w:sz="4" w:space="0" w:color="auto"/>
              <w:bottom w:val="single" w:sz="12" w:space="0" w:color="auto"/>
            </w:tcBorders>
            <w:shd w:val="clear" w:color="auto" w:fill="auto"/>
            <w:vAlign w:val="bottom"/>
          </w:tcPr>
          <w:p w:rsidR="00180B44" w:rsidRPr="00A530E1" w:rsidRDefault="00180B44" w:rsidP="003F63EE">
            <w:pPr>
              <w:shd w:val="clear" w:color="auto" w:fill="FFFFFF"/>
              <w:suppressAutoHyphens w:val="0"/>
              <w:spacing w:before="80" w:after="80" w:line="220" w:lineRule="exact"/>
              <w:ind w:right="113"/>
              <w:jc w:val="right"/>
              <w:rPr>
                <w:b/>
                <w:sz w:val="18"/>
                <w:lang w:eastAsia="es-ES"/>
              </w:rPr>
            </w:pPr>
            <w:r w:rsidRPr="00A530E1">
              <w:rPr>
                <w:b/>
                <w:bCs/>
                <w:sz w:val="18"/>
                <w:szCs w:val="14"/>
                <w:lang w:eastAsia="es-ES"/>
              </w:rPr>
              <w:t>100.0</w:t>
            </w:r>
          </w:p>
        </w:tc>
        <w:tc>
          <w:tcPr>
            <w:tcW w:w="1285" w:type="dxa"/>
            <w:tcBorders>
              <w:top w:val="single" w:sz="4" w:space="0" w:color="auto"/>
              <w:bottom w:val="single" w:sz="12" w:space="0" w:color="auto"/>
            </w:tcBorders>
            <w:shd w:val="clear" w:color="auto" w:fill="auto"/>
            <w:vAlign w:val="bottom"/>
          </w:tcPr>
          <w:p w:rsidR="00180B44" w:rsidRPr="00A530E1" w:rsidRDefault="00180B44" w:rsidP="003F63EE">
            <w:pPr>
              <w:shd w:val="clear" w:color="auto" w:fill="FFFFFF"/>
              <w:suppressAutoHyphens w:val="0"/>
              <w:spacing w:before="80" w:after="80" w:line="220" w:lineRule="exact"/>
              <w:ind w:right="113"/>
              <w:jc w:val="right"/>
              <w:rPr>
                <w:b/>
                <w:sz w:val="18"/>
                <w:lang w:eastAsia="es-ES"/>
              </w:rPr>
            </w:pPr>
            <w:r w:rsidRPr="00A530E1">
              <w:rPr>
                <w:b/>
                <w:bCs/>
                <w:sz w:val="18"/>
                <w:szCs w:val="14"/>
                <w:lang w:eastAsia="es-ES"/>
              </w:rPr>
              <w:t>21.2</w:t>
            </w:r>
          </w:p>
        </w:tc>
        <w:tc>
          <w:tcPr>
            <w:tcW w:w="967" w:type="dxa"/>
            <w:tcBorders>
              <w:top w:val="single" w:sz="4" w:space="0" w:color="auto"/>
              <w:bottom w:val="single" w:sz="12" w:space="0" w:color="auto"/>
            </w:tcBorders>
            <w:shd w:val="clear" w:color="auto" w:fill="auto"/>
            <w:vAlign w:val="bottom"/>
          </w:tcPr>
          <w:p w:rsidR="00180B44" w:rsidRPr="00A530E1" w:rsidRDefault="00180B44" w:rsidP="003F63EE">
            <w:pPr>
              <w:shd w:val="clear" w:color="auto" w:fill="FFFFFF"/>
              <w:suppressAutoHyphens w:val="0"/>
              <w:spacing w:before="80" w:after="80" w:line="220" w:lineRule="exact"/>
              <w:ind w:right="113"/>
              <w:jc w:val="right"/>
              <w:rPr>
                <w:b/>
                <w:sz w:val="18"/>
                <w:lang w:eastAsia="es-ES"/>
              </w:rPr>
            </w:pPr>
            <w:r w:rsidRPr="00A530E1">
              <w:rPr>
                <w:b/>
                <w:bCs/>
                <w:sz w:val="18"/>
                <w:szCs w:val="14"/>
                <w:lang w:eastAsia="es-ES"/>
              </w:rPr>
              <w:t>39.4</w:t>
            </w:r>
          </w:p>
        </w:tc>
        <w:tc>
          <w:tcPr>
            <w:tcW w:w="1126" w:type="dxa"/>
            <w:tcBorders>
              <w:top w:val="single" w:sz="4" w:space="0" w:color="auto"/>
              <w:bottom w:val="single" w:sz="12" w:space="0" w:color="auto"/>
            </w:tcBorders>
            <w:shd w:val="clear" w:color="auto" w:fill="auto"/>
            <w:vAlign w:val="bottom"/>
          </w:tcPr>
          <w:p w:rsidR="00180B44" w:rsidRPr="00A530E1" w:rsidRDefault="00180B44" w:rsidP="003F63EE">
            <w:pPr>
              <w:shd w:val="clear" w:color="auto" w:fill="FFFFFF"/>
              <w:suppressAutoHyphens w:val="0"/>
              <w:spacing w:before="80" w:after="80" w:line="220" w:lineRule="exact"/>
              <w:ind w:right="113"/>
              <w:jc w:val="right"/>
              <w:rPr>
                <w:b/>
                <w:sz w:val="18"/>
                <w:lang w:eastAsia="es-ES"/>
              </w:rPr>
            </w:pPr>
            <w:r w:rsidRPr="00A530E1">
              <w:rPr>
                <w:b/>
                <w:bCs/>
                <w:sz w:val="18"/>
                <w:szCs w:val="14"/>
                <w:lang w:eastAsia="es-ES"/>
              </w:rPr>
              <w:t>28.1</w:t>
            </w:r>
          </w:p>
        </w:tc>
        <w:tc>
          <w:tcPr>
            <w:tcW w:w="1126" w:type="dxa"/>
            <w:tcBorders>
              <w:top w:val="single" w:sz="4" w:space="0" w:color="auto"/>
              <w:bottom w:val="single" w:sz="12" w:space="0" w:color="auto"/>
            </w:tcBorders>
            <w:shd w:val="clear" w:color="auto" w:fill="auto"/>
            <w:vAlign w:val="bottom"/>
          </w:tcPr>
          <w:p w:rsidR="00180B44" w:rsidRPr="00A530E1" w:rsidRDefault="00180B44" w:rsidP="003F63EE">
            <w:pPr>
              <w:shd w:val="clear" w:color="auto" w:fill="FFFFFF"/>
              <w:suppressAutoHyphens w:val="0"/>
              <w:spacing w:before="80" w:after="80" w:line="220" w:lineRule="exact"/>
              <w:ind w:right="113"/>
              <w:jc w:val="right"/>
              <w:rPr>
                <w:b/>
                <w:sz w:val="18"/>
                <w:lang w:eastAsia="es-ES"/>
              </w:rPr>
            </w:pPr>
            <w:r w:rsidRPr="00A530E1">
              <w:rPr>
                <w:b/>
                <w:bCs/>
                <w:sz w:val="18"/>
                <w:szCs w:val="14"/>
                <w:lang w:eastAsia="es-ES"/>
              </w:rPr>
              <w:t>11.3</w:t>
            </w:r>
          </w:p>
        </w:tc>
      </w:tr>
    </w:tbl>
    <w:p w:rsidR="00180B44" w:rsidRPr="00A530E1" w:rsidRDefault="00180B44" w:rsidP="00180B44">
      <w:pPr>
        <w:suppressAutoHyphens w:val="0"/>
        <w:spacing w:before="120" w:line="240" w:lineRule="auto"/>
        <w:ind w:left="1134" w:right="1134" w:firstLine="170"/>
        <w:rPr>
          <w:sz w:val="18"/>
          <w:szCs w:val="18"/>
        </w:rPr>
      </w:pPr>
      <w:r w:rsidRPr="00A530E1">
        <w:rPr>
          <w:i/>
          <w:sz w:val="18"/>
          <w:szCs w:val="18"/>
        </w:rPr>
        <w:t>Source</w:t>
      </w:r>
      <w:r w:rsidRPr="00A530E1">
        <w:rPr>
          <w:sz w:val="18"/>
          <w:szCs w:val="18"/>
        </w:rPr>
        <w:t>:  National Institute of Statistics (INEI) – Continuous National Survey, 2006.</w:t>
      </w:r>
    </w:p>
    <w:p w:rsidR="00180B44" w:rsidRPr="00A530E1" w:rsidRDefault="00180B44" w:rsidP="00180B44">
      <w:pPr>
        <w:suppressAutoHyphens w:val="0"/>
        <w:spacing w:line="240" w:lineRule="auto"/>
        <w:ind w:left="1134" w:right="1134" w:firstLine="170"/>
        <w:rPr>
          <w:sz w:val="18"/>
          <w:szCs w:val="18"/>
        </w:rPr>
      </w:pPr>
      <w:r w:rsidRPr="00A530E1">
        <w:rPr>
          <w:i/>
          <w:sz w:val="18"/>
          <w:szCs w:val="18"/>
          <w:vertAlign w:val="superscript"/>
        </w:rPr>
        <w:t>a</w:t>
      </w:r>
      <w:r w:rsidRPr="00A530E1">
        <w:rPr>
          <w:sz w:val="18"/>
          <w:szCs w:val="18"/>
        </w:rPr>
        <w:t xml:space="preserve">  This is an indicative value only, as the variation coefficient is over 15 per cent.</w:t>
      </w:r>
    </w:p>
    <w:p w:rsidR="00180B44" w:rsidRPr="00A530E1" w:rsidRDefault="00180B44" w:rsidP="00180B44">
      <w:pPr>
        <w:suppressAutoHyphens w:val="0"/>
        <w:spacing w:line="240" w:lineRule="auto"/>
        <w:ind w:left="1134" w:right="1134" w:firstLine="170"/>
        <w:rPr>
          <w:sz w:val="18"/>
          <w:szCs w:val="18"/>
        </w:rPr>
      </w:pPr>
      <w:r w:rsidRPr="00A530E1">
        <w:rPr>
          <w:i/>
          <w:sz w:val="18"/>
          <w:szCs w:val="18"/>
          <w:vertAlign w:val="superscript"/>
        </w:rPr>
        <w:t>1</w:t>
      </w:r>
      <w:r w:rsidRPr="00A530E1">
        <w:rPr>
          <w:sz w:val="18"/>
          <w:szCs w:val="18"/>
        </w:rPr>
        <w:t xml:space="preserve">  Includes nursery school.</w:t>
      </w:r>
    </w:p>
    <w:p w:rsidR="00180B44" w:rsidRPr="00A530E1" w:rsidRDefault="00180B44" w:rsidP="00180B44">
      <w:pPr>
        <w:suppressAutoHyphens w:val="0"/>
        <w:spacing w:line="240" w:lineRule="auto"/>
        <w:ind w:left="1134" w:right="1134" w:firstLine="170"/>
        <w:rPr>
          <w:sz w:val="18"/>
          <w:szCs w:val="18"/>
        </w:rPr>
      </w:pPr>
      <w:r w:rsidRPr="00A530E1">
        <w:rPr>
          <w:i/>
          <w:sz w:val="18"/>
          <w:szCs w:val="18"/>
          <w:vertAlign w:val="superscript"/>
        </w:rPr>
        <w:t>2</w:t>
      </w:r>
      <w:r w:rsidRPr="00A530E1">
        <w:rPr>
          <w:sz w:val="18"/>
          <w:szCs w:val="18"/>
        </w:rPr>
        <w:t xml:space="preserve">  Includes Lima Province and the Constitutional Province of Callao.</w:t>
      </w:r>
    </w:p>
    <w:p w:rsidR="00180B44" w:rsidRPr="00A530E1" w:rsidRDefault="00180B44" w:rsidP="00180B44">
      <w:pPr>
        <w:suppressAutoHyphens w:val="0"/>
        <w:spacing w:after="240" w:line="240" w:lineRule="auto"/>
        <w:ind w:left="1134" w:right="1134" w:firstLine="170"/>
        <w:rPr>
          <w:sz w:val="18"/>
          <w:szCs w:val="18"/>
        </w:rPr>
      </w:pPr>
      <w:r w:rsidRPr="00A530E1">
        <w:rPr>
          <w:i/>
          <w:sz w:val="18"/>
          <w:szCs w:val="18"/>
          <w:vertAlign w:val="superscript"/>
        </w:rPr>
        <w:t>3</w:t>
      </w:r>
      <w:r w:rsidRPr="00A530E1">
        <w:rPr>
          <w:sz w:val="18"/>
          <w:szCs w:val="18"/>
        </w:rPr>
        <w:t xml:space="preserve">  Does not include Lima Province.</w:t>
      </w:r>
    </w:p>
    <w:p w:rsidR="00180B44" w:rsidRPr="00A530E1" w:rsidRDefault="00180B44" w:rsidP="00180B44">
      <w:pPr>
        <w:pStyle w:val="H23G"/>
        <w:spacing w:after="0"/>
      </w:pPr>
      <w:r w:rsidRPr="00A530E1">
        <w:tab/>
      </w:r>
      <w:r w:rsidRPr="00A530E1">
        <w:tab/>
        <w:t>Percentage of the population with a disability, by type of disability and level of education, 2006</w:t>
      </w:r>
    </w:p>
    <w:p w:rsidR="00180B44" w:rsidRPr="00A530E1" w:rsidRDefault="00180B44" w:rsidP="00180B44">
      <w:pPr>
        <w:pStyle w:val="SingleTxtG"/>
        <w:rPr>
          <w:sz w:val="16"/>
          <w:szCs w:val="16"/>
        </w:rPr>
      </w:pPr>
      <w:r w:rsidRPr="00A530E1">
        <w:rPr>
          <w:sz w:val="16"/>
          <w:szCs w:val="16"/>
        </w:rPr>
        <w:t>(Percentage distribution)</w:t>
      </w:r>
    </w:p>
    <w:tbl>
      <w:tblPr>
        <w:tblW w:w="7370" w:type="dxa"/>
        <w:tblInd w:w="1134" w:type="dxa"/>
        <w:tblBorders>
          <w:top w:val="single" w:sz="4" w:space="0" w:color="auto"/>
        </w:tblBorders>
        <w:tblLayout w:type="fixed"/>
        <w:tblCellMar>
          <w:left w:w="0" w:type="dxa"/>
          <w:right w:w="0" w:type="dxa"/>
        </w:tblCellMar>
        <w:tblLook w:val="0000" w:firstRow="0" w:lastRow="0" w:firstColumn="0" w:lastColumn="0" w:noHBand="0" w:noVBand="0"/>
      </w:tblPr>
      <w:tblGrid>
        <w:gridCol w:w="1316"/>
        <w:gridCol w:w="779"/>
        <w:gridCol w:w="780"/>
        <w:gridCol w:w="780"/>
        <w:gridCol w:w="779"/>
        <w:gridCol w:w="780"/>
        <w:gridCol w:w="780"/>
        <w:gridCol w:w="1376"/>
      </w:tblGrid>
      <w:tr w:rsidR="00180B44" w:rsidRPr="00A530E1" w:rsidTr="00167126">
        <w:tblPrEx>
          <w:tblCellMar>
            <w:top w:w="0" w:type="dxa"/>
            <w:bottom w:w="0" w:type="dxa"/>
          </w:tblCellMar>
        </w:tblPrEx>
        <w:trPr>
          <w:trHeight w:val="240"/>
          <w:tblHeader/>
        </w:trPr>
        <w:tc>
          <w:tcPr>
            <w:tcW w:w="1316" w:type="dxa"/>
            <w:tcBorders>
              <w:top w:val="single" w:sz="4" w:space="0" w:color="auto"/>
              <w:bottom w:val="single" w:sz="12" w:space="0" w:color="auto"/>
            </w:tcBorders>
            <w:shd w:val="clear" w:color="auto" w:fill="auto"/>
            <w:vAlign w:val="bottom"/>
          </w:tcPr>
          <w:p w:rsidR="00180B44" w:rsidRPr="00A530E1" w:rsidRDefault="00180B44" w:rsidP="00A25729">
            <w:pPr>
              <w:keepNext/>
              <w:keepLines/>
              <w:shd w:val="clear" w:color="auto" w:fill="FFFFFF"/>
              <w:spacing w:before="80" w:after="80" w:line="200" w:lineRule="exact"/>
              <w:ind w:right="113"/>
              <w:rPr>
                <w:i/>
                <w:sz w:val="16"/>
              </w:rPr>
            </w:pPr>
            <w:r w:rsidRPr="00A530E1">
              <w:rPr>
                <w:i/>
                <w:sz w:val="16"/>
                <w:szCs w:val="14"/>
              </w:rPr>
              <w:t>Level of education</w:t>
            </w:r>
          </w:p>
        </w:tc>
        <w:tc>
          <w:tcPr>
            <w:tcW w:w="779" w:type="dxa"/>
            <w:tcBorders>
              <w:top w:val="single" w:sz="4" w:space="0" w:color="auto"/>
              <w:bottom w:val="single" w:sz="12" w:space="0" w:color="auto"/>
            </w:tcBorders>
            <w:shd w:val="clear" w:color="auto" w:fill="auto"/>
            <w:vAlign w:val="bottom"/>
          </w:tcPr>
          <w:p w:rsidR="00180B44" w:rsidRPr="00A530E1" w:rsidRDefault="00180B44" w:rsidP="00A25729">
            <w:pPr>
              <w:keepNext/>
              <w:keepLines/>
              <w:shd w:val="clear" w:color="auto" w:fill="FFFFFF"/>
              <w:spacing w:before="80" w:after="80" w:line="200" w:lineRule="exact"/>
              <w:ind w:right="113"/>
              <w:jc w:val="right"/>
              <w:rPr>
                <w:b/>
                <w:i/>
                <w:sz w:val="16"/>
              </w:rPr>
            </w:pPr>
            <w:r w:rsidRPr="00A530E1">
              <w:rPr>
                <w:b/>
                <w:i/>
                <w:sz w:val="16"/>
                <w:szCs w:val="14"/>
              </w:rPr>
              <w:t>Total</w:t>
            </w:r>
          </w:p>
        </w:tc>
        <w:tc>
          <w:tcPr>
            <w:tcW w:w="780" w:type="dxa"/>
            <w:tcBorders>
              <w:top w:val="single" w:sz="4" w:space="0" w:color="auto"/>
              <w:bottom w:val="single" w:sz="12" w:space="0" w:color="auto"/>
            </w:tcBorders>
            <w:shd w:val="clear" w:color="auto" w:fill="auto"/>
            <w:vAlign w:val="bottom"/>
          </w:tcPr>
          <w:p w:rsidR="00180B44" w:rsidRPr="00A530E1" w:rsidRDefault="00180B44" w:rsidP="00A25729">
            <w:pPr>
              <w:keepNext/>
              <w:keepLines/>
              <w:shd w:val="clear" w:color="auto" w:fill="FFFFFF"/>
              <w:spacing w:before="80" w:after="80" w:line="200" w:lineRule="exact"/>
              <w:ind w:right="113"/>
              <w:jc w:val="right"/>
              <w:rPr>
                <w:i/>
                <w:sz w:val="16"/>
              </w:rPr>
            </w:pPr>
            <w:r w:rsidRPr="00A530E1">
              <w:rPr>
                <w:i/>
                <w:sz w:val="16"/>
                <w:szCs w:val="14"/>
              </w:rPr>
              <w:t>Sight</w:t>
            </w:r>
          </w:p>
        </w:tc>
        <w:tc>
          <w:tcPr>
            <w:tcW w:w="780" w:type="dxa"/>
            <w:tcBorders>
              <w:top w:val="single" w:sz="4" w:space="0" w:color="auto"/>
              <w:bottom w:val="single" w:sz="12" w:space="0" w:color="auto"/>
            </w:tcBorders>
            <w:shd w:val="clear" w:color="auto" w:fill="auto"/>
            <w:vAlign w:val="bottom"/>
          </w:tcPr>
          <w:p w:rsidR="00180B44" w:rsidRPr="00A530E1" w:rsidRDefault="00180B44" w:rsidP="00A25729">
            <w:pPr>
              <w:keepNext/>
              <w:keepLines/>
              <w:shd w:val="clear" w:color="auto" w:fill="FFFFFF"/>
              <w:spacing w:before="80" w:after="80" w:line="200" w:lineRule="exact"/>
              <w:ind w:right="113"/>
              <w:jc w:val="right"/>
              <w:rPr>
                <w:i/>
                <w:sz w:val="16"/>
              </w:rPr>
            </w:pPr>
            <w:r w:rsidRPr="00A530E1">
              <w:rPr>
                <w:i/>
                <w:sz w:val="16"/>
                <w:szCs w:val="14"/>
              </w:rPr>
              <w:t>Motor</w:t>
            </w:r>
            <w:r w:rsidRPr="00A530E1">
              <w:rPr>
                <w:i/>
                <w:sz w:val="18"/>
                <w:szCs w:val="18"/>
                <w:vertAlign w:val="superscript"/>
              </w:rPr>
              <w:t>1</w:t>
            </w:r>
          </w:p>
        </w:tc>
        <w:tc>
          <w:tcPr>
            <w:tcW w:w="779" w:type="dxa"/>
            <w:tcBorders>
              <w:top w:val="single" w:sz="4" w:space="0" w:color="auto"/>
              <w:bottom w:val="single" w:sz="12" w:space="0" w:color="auto"/>
            </w:tcBorders>
            <w:shd w:val="clear" w:color="auto" w:fill="auto"/>
            <w:vAlign w:val="bottom"/>
          </w:tcPr>
          <w:p w:rsidR="00180B44" w:rsidRPr="00A530E1" w:rsidRDefault="00180B44" w:rsidP="00A25729">
            <w:pPr>
              <w:keepNext/>
              <w:keepLines/>
              <w:shd w:val="clear" w:color="auto" w:fill="FFFFFF"/>
              <w:spacing w:before="80" w:after="80" w:line="200" w:lineRule="exact"/>
              <w:ind w:right="113"/>
              <w:jc w:val="right"/>
              <w:rPr>
                <w:i/>
                <w:sz w:val="16"/>
              </w:rPr>
            </w:pPr>
            <w:r w:rsidRPr="00A530E1">
              <w:rPr>
                <w:i/>
                <w:sz w:val="16"/>
                <w:szCs w:val="14"/>
              </w:rPr>
              <w:t>Hearing</w:t>
            </w:r>
          </w:p>
        </w:tc>
        <w:tc>
          <w:tcPr>
            <w:tcW w:w="780" w:type="dxa"/>
            <w:tcBorders>
              <w:top w:val="single" w:sz="4" w:space="0" w:color="auto"/>
              <w:bottom w:val="single" w:sz="12" w:space="0" w:color="auto"/>
            </w:tcBorders>
            <w:shd w:val="clear" w:color="auto" w:fill="auto"/>
            <w:vAlign w:val="bottom"/>
          </w:tcPr>
          <w:p w:rsidR="00180B44" w:rsidRPr="00A530E1" w:rsidRDefault="00180B44" w:rsidP="00A25729">
            <w:pPr>
              <w:keepNext/>
              <w:keepLines/>
              <w:shd w:val="clear" w:color="auto" w:fill="FFFFFF"/>
              <w:spacing w:before="80" w:after="80" w:line="200" w:lineRule="exact"/>
              <w:ind w:right="113"/>
              <w:jc w:val="right"/>
              <w:rPr>
                <w:i/>
                <w:sz w:val="16"/>
              </w:rPr>
            </w:pPr>
            <w:r w:rsidRPr="00A530E1">
              <w:rPr>
                <w:i/>
                <w:sz w:val="16"/>
                <w:szCs w:val="14"/>
              </w:rPr>
              <w:t>Mental</w:t>
            </w:r>
            <w:r w:rsidRPr="00A530E1">
              <w:rPr>
                <w:i/>
                <w:sz w:val="18"/>
                <w:szCs w:val="18"/>
                <w:vertAlign w:val="superscript"/>
              </w:rPr>
              <w:t>2</w:t>
            </w:r>
          </w:p>
        </w:tc>
        <w:tc>
          <w:tcPr>
            <w:tcW w:w="780" w:type="dxa"/>
            <w:tcBorders>
              <w:top w:val="single" w:sz="4" w:space="0" w:color="auto"/>
              <w:bottom w:val="single" w:sz="12" w:space="0" w:color="auto"/>
            </w:tcBorders>
            <w:shd w:val="clear" w:color="auto" w:fill="auto"/>
            <w:vAlign w:val="bottom"/>
          </w:tcPr>
          <w:p w:rsidR="00180B44" w:rsidRPr="00A530E1" w:rsidRDefault="00180B44" w:rsidP="00A25729">
            <w:pPr>
              <w:keepNext/>
              <w:keepLines/>
              <w:shd w:val="clear" w:color="auto" w:fill="FFFFFF"/>
              <w:spacing w:before="80" w:after="80" w:line="200" w:lineRule="exact"/>
              <w:ind w:right="113"/>
              <w:jc w:val="right"/>
              <w:rPr>
                <w:i/>
                <w:sz w:val="16"/>
              </w:rPr>
            </w:pPr>
            <w:r w:rsidRPr="00A530E1">
              <w:rPr>
                <w:i/>
                <w:sz w:val="16"/>
                <w:szCs w:val="14"/>
              </w:rPr>
              <w:t>Speech</w:t>
            </w:r>
          </w:p>
        </w:tc>
        <w:tc>
          <w:tcPr>
            <w:tcW w:w="1376" w:type="dxa"/>
            <w:tcBorders>
              <w:top w:val="single" w:sz="4" w:space="0" w:color="auto"/>
              <w:bottom w:val="single" w:sz="12" w:space="0" w:color="auto"/>
            </w:tcBorders>
            <w:shd w:val="clear" w:color="auto" w:fill="auto"/>
            <w:vAlign w:val="bottom"/>
          </w:tcPr>
          <w:p w:rsidR="00180B44" w:rsidRPr="00A530E1" w:rsidRDefault="00180B44" w:rsidP="00A25729">
            <w:pPr>
              <w:keepNext/>
              <w:keepLines/>
              <w:shd w:val="clear" w:color="auto" w:fill="FFFFFF"/>
              <w:spacing w:before="80" w:after="80" w:line="200" w:lineRule="exact"/>
              <w:ind w:right="113"/>
              <w:jc w:val="right"/>
              <w:rPr>
                <w:i/>
                <w:sz w:val="16"/>
              </w:rPr>
            </w:pPr>
            <w:r w:rsidRPr="00A530E1">
              <w:rPr>
                <w:i/>
                <w:sz w:val="16"/>
                <w:szCs w:val="14"/>
              </w:rPr>
              <w:t>Communication</w:t>
            </w:r>
          </w:p>
        </w:tc>
      </w:tr>
      <w:tr w:rsidR="00180B44" w:rsidRPr="00A530E1" w:rsidTr="00167126">
        <w:tblPrEx>
          <w:tblCellMar>
            <w:top w:w="0" w:type="dxa"/>
            <w:bottom w:w="0" w:type="dxa"/>
          </w:tblCellMar>
        </w:tblPrEx>
        <w:trPr>
          <w:trHeight w:val="240"/>
        </w:trPr>
        <w:tc>
          <w:tcPr>
            <w:tcW w:w="1316" w:type="dxa"/>
            <w:tcBorders>
              <w:top w:val="single" w:sz="4" w:space="0" w:color="auto"/>
            </w:tcBorders>
            <w:shd w:val="clear" w:color="auto" w:fill="auto"/>
            <w:vAlign w:val="bottom"/>
          </w:tcPr>
          <w:p w:rsidR="00180B44" w:rsidRPr="00A530E1" w:rsidRDefault="00180B44" w:rsidP="00A25729">
            <w:pPr>
              <w:keepNext/>
              <w:keepLines/>
              <w:shd w:val="clear" w:color="auto" w:fill="FFFFFF"/>
              <w:spacing w:before="40" w:after="40" w:line="220" w:lineRule="exact"/>
              <w:ind w:right="113"/>
              <w:rPr>
                <w:sz w:val="18"/>
              </w:rPr>
            </w:pPr>
            <w:r w:rsidRPr="00A530E1">
              <w:rPr>
                <w:sz w:val="18"/>
                <w:szCs w:val="14"/>
              </w:rPr>
              <w:t>No schooling</w:t>
            </w:r>
            <w:r w:rsidRPr="00A530E1">
              <w:rPr>
                <w:i/>
                <w:sz w:val="18"/>
                <w:szCs w:val="14"/>
                <w:vertAlign w:val="superscript"/>
              </w:rPr>
              <w:t>3</w:t>
            </w:r>
          </w:p>
        </w:tc>
        <w:tc>
          <w:tcPr>
            <w:tcW w:w="779" w:type="dxa"/>
            <w:tcBorders>
              <w:top w:val="single" w:sz="4" w:space="0" w:color="auto"/>
            </w:tcBorders>
            <w:shd w:val="clear" w:color="auto" w:fill="auto"/>
            <w:vAlign w:val="bottom"/>
          </w:tcPr>
          <w:p w:rsidR="00180B44" w:rsidRPr="00A530E1" w:rsidRDefault="00180B44" w:rsidP="00A25729">
            <w:pPr>
              <w:keepNext/>
              <w:keepLines/>
              <w:shd w:val="clear" w:color="auto" w:fill="FFFFFF"/>
              <w:spacing w:before="40" w:after="40" w:line="220" w:lineRule="exact"/>
              <w:ind w:right="113"/>
              <w:jc w:val="right"/>
              <w:rPr>
                <w:b/>
                <w:sz w:val="18"/>
              </w:rPr>
            </w:pPr>
            <w:r w:rsidRPr="00A530E1">
              <w:rPr>
                <w:b/>
                <w:sz w:val="18"/>
                <w:szCs w:val="14"/>
              </w:rPr>
              <w:t>21.2</w:t>
            </w:r>
          </w:p>
        </w:tc>
        <w:tc>
          <w:tcPr>
            <w:tcW w:w="780" w:type="dxa"/>
            <w:tcBorders>
              <w:top w:val="single" w:sz="4" w:space="0" w:color="auto"/>
            </w:tcBorders>
            <w:shd w:val="clear" w:color="auto" w:fill="auto"/>
            <w:vAlign w:val="bottom"/>
          </w:tcPr>
          <w:p w:rsidR="00180B44" w:rsidRPr="00A530E1" w:rsidRDefault="00180B44" w:rsidP="00A25729">
            <w:pPr>
              <w:keepNext/>
              <w:keepLines/>
              <w:shd w:val="clear" w:color="auto" w:fill="FFFFFF"/>
              <w:spacing w:before="40" w:after="40" w:line="220" w:lineRule="exact"/>
              <w:ind w:right="113"/>
              <w:jc w:val="right"/>
              <w:rPr>
                <w:sz w:val="18"/>
              </w:rPr>
            </w:pPr>
            <w:r w:rsidRPr="00A530E1">
              <w:rPr>
                <w:sz w:val="18"/>
                <w:szCs w:val="14"/>
              </w:rPr>
              <w:t>17.5</w:t>
            </w:r>
          </w:p>
        </w:tc>
        <w:tc>
          <w:tcPr>
            <w:tcW w:w="780" w:type="dxa"/>
            <w:tcBorders>
              <w:top w:val="single" w:sz="4" w:space="0" w:color="auto"/>
            </w:tcBorders>
            <w:shd w:val="clear" w:color="auto" w:fill="auto"/>
            <w:vAlign w:val="bottom"/>
          </w:tcPr>
          <w:p w:rsidR="00180B44" w:rsidRPr="00A530E1" w:rsidRDefault="00180B44" w:rsidP="00A25729">
            <w:pPr>
              <w:keepNext/>
              <w:keepLines/>
              <w:shd w:val="clear" w:color="auto" w:fill="FFFFFF"/>
              <w:spacing w:before="40" w:after="40" w:line="220" w:lineRule="exact"/>
              <w:ind w:right="113"/>
              <w:jc w:val="right"/>
              <w:rPr>
                <w:sz w:val="18"/>
              </w:rPr>
            </w:pPr>
            <w:r w:rsidRPr="00A530E1">
              <w:rPr>
                <w:sz w:val="18"/>
                <w:szCs w:val="14"/>
              </w:rPr>
              <w:t>27.0</w:t>
            </w:r>
          </w:p>
        </w:tc>
        <w:tc>
          <w:tcPr>
            <w:tcW w:w="779" w:type="dxa"/>
            <w:tcBorders>
              <w:top w:val="single" w:sz="4" w:space="0" w:color="auto"/>
            </w:tcBorders>
            <w:shd w:val="clear" w:color="auto" w:fill="auto"/>
            <w:vAlign w:val="bottom"/>
          </w:tcPr>
          <w:p w:rsidR="00180B44" w:rsidRPr="00A530E1" w:rsidRDefault="00180B44" w:rsidP="00A25729">
            <w:pPr>
              <w:keepNext/>
              <w:keepLines/>
              <w:shd w:val="clear" w:color="auto" w:fill="FFFFFF"/>
              <w:spacing w:before="40" w:after="40" w:line="220" w:lineRule="exact"/>
              <w:ind w:right="113"/>
              <w:jc w:val="right"/>
              <w:rPr>
                <w:sz w:val="18"/>
              </w:rPr>
            </w:pPr>
            <w:r w:rsidRPr="00A530E1">
              <w:rPr>
                <w:sz w:val="18"/>
                <w:szCs w:val="14"/>
              </w:rPr>
              <w:t>29.2</w:t>
            </w:r>
          </w:p>
        </w:tc>
        <w:tc>
          <w:tcPr>
            <w:tcW w:w="780" w:type="dxa"/>
            <w:tcBorders>
              <w:top w:val="single" w:sz="4" w:space="0" w:color="auto"/>
            </w:tcBorders>
            <w:shd w:val="clear" w:color="auto" w:fill="auto"/>
            <w:vAlign w:val="bottom"/>
          </w:tcPr>
          <w:p w:rsidR="00180B44" w:rsidRPr="00A530E1" w:rsidRDefault="00180B44" w:rsidP="00A25729">
            <w:pPr>
              <w:keepNext/>
              <w:keepLines/>
              <w:shd w:val="clear" w:color="auto" w:fill="FFFFFF"/>
              <w:spacing w:before="40" w:after="40" w:line="220" w:lineRule="exact"/>
              <w:ind w:right="113"/>
              <w:jc w:val="right"/>
              <w:rPr>
                <w:sz w:val="18"/>
              </w:rPr>
            </w:pPr>
            <w:r w:rsidRPr="00A530E1">
              <w:rPr>
                <w:sz w:val="18"/>
                <w:szCs w:val="14"/>
              </w:rPr>
              <w:t>35.0</w:t>
            </w:r>
          </w:p>
        </w:tc>
        <w:tc>
          <w:tcPr>
            <w:tcW w:w="780" w:type="dxa"/>
            <w:tcBorders>
              <w:top w:val="single" w:sz="4" w:space="0" w:color="auto"/>
            </w:tcBorders>
            <w:shd w:val="clear" w:color="auto" w:fill="auto"/>
            <w:vAlign w:val="bottom"/>
          </w:tcPr>
          <w:p w:rsidR="00180B44" w:rsidRPr="00A530E1" w:rsidRDefault="00180B44" w:rsidP="00A25729">
            <w:pPr>
              <w:keepNext/>
              <w:keepLines/>
              <w:shd w:val="clear" w:color="auto" w:fill="FFFFFF"/>
              <w:spacing w:before="40" w:after="40" w:line="220" w:lineRule="exact"/>
              <w:ind w:right="113"/>
              <w:jc w:val="right"/>
              <w:rPr>
                <w:sz w:val="18"/>
              </w:rPr>
            </w:pPr>
            <w:r w:rsidRPr="00A530E1">
              <w:rPr>
                <w:sz w:val="18"/>
                <w:szCs w:val="14"/>
              </w:rPr>
              <w:t>46.8</w:t>
            </w:r>
          </w:p>
        </w:tc>
        <w:tc>
          <w:tcPr>
            <w:tcW w:w="1376" w:type="dxa"/>
            <w:tcBorders>
              <w:top w:val="single" w:sz="4" w:space="0" w:color="auto"/>
            </w:tcBorders>
            <w:shd w:val="clear" w:color="auto" w:fill="auto"/>
            <w:vAlign w:val="bottom"/>
          </w:tcPr>
          <w:p w:rsidR="00180B44" w:rsidRPr="00A530E1" w:rsidRDefault="00180B44" w:rsidP="00A25729">
            <w:pPr>
              <w:keepNext/>
              <w:keepLines/>
              <w:shd w:val="clear" w:color="auto" w:fill="FFFFFF"/>
              <w:spacing w:before="40" w:after="40" w:line="220" w:lineRule="exact"/>
              <w:ind w:right="113"/>
              <w:jc w:val="right"/>
              <w:rPr>
                <w:sz w:val="18"/>
              </w:rPr>
            </w:pPr>
            <w:r w:rsidRPr="00A530E1">
              <w:rPr>
                <w:sz w:val="18"/>
                <w:szCs w:val="14"/>
              </w:rPr>
              <w:t>44.9</w:t>
            </w:r>
          </w:p>
        </w:tc>
      </w:tr>
      <w:tr w:rsidR="00180B44" w:rsidRPr="00A530E1" w:rsidTr="00167126">
        <w:tblPrEx>
          <w:tblCellMar>
            <w:top w:w="0" w:type="dxa"/>
            <w:bottom w:w="0" w:type="dxa"/>
          </w:tblCellMar>
        </w:tblPrEx>
        <w:trPr>
          <w:trHeight w:val="240"/>
        </w:trPr>
        <w:tc>
          <w:tcPr>
            <w:tcW w:w="1316" w:type="dxa"/>
            <w:shd w:val="clear" w:color="auto" w:fill="auto"/>
            <w:vAlign w:val="bottom"/>
          </w:tcPr>
          <w:p w:rsidR="00180B44" w:rsidRPr="00A530E1" w:rsidRDefault="00180B44" w:rsidP="00A25729">
            <w:pPr>
              <w:keepNext/>
              <w:keepLines/>
              <w:shd w:val="clear" w:color="auto" w:fill="FFFFFF"/>
              <w:spacing w:before="40" w:after="40" w:line="220" w:lineRule="exact"/>
              <w:ind w:right="113"/>
              <w:rPr>
                <w:sz w:val="18"/>
              </w:rPr>
            </w:pPr>
            <w:r w:rsidRPr="00A530E1">
              <w:rPr>
                <w:sz w:val="18"/>
              </w:rPr>
              <w:t>Primary</w:t>
            </w:r>
          </w:p>
        </w:tc>
        <w:tc>
          <w:tcPr>
            <w:tcW w:w="779" w:type="dxa"/>
            <w:shd w:val="clear" w:color="auto" w:fill="auto"/>
            <w:vAlign w:val="bottom"/>
          </w:tcPr>
          <w:p w:rsidR="00180B44" w:rsidRPr="00A530E1" w:rsidRDefault="00180B44" w:rsidP="00A25729">
            <w:pPr>
              <w:keepNext/>
              <w:keepLines/>
              <w:shd w:val="clear" w:color="auto" w:fill="FFFFFF"/>
              <w:spacing w:before="40" w:after="40" w:line="220" w:lineRule="exact"/>
              <w:ind w:right="113"/>
              <w:jc w:val="right"/>
              <w:rPr>
                <w:b/>
                <w:sz w:val="18"/>
              </w:rPr>
            </w:pPr>
            <w:r w:rsidRPr="00A530E1">
              <w:rPr>
                <w:b/>
                <w:sz w:val="18"/>
                <w:szCs w:val="14"/>
              </w:rPr>
              <w:t>39.4</w:t>
            </w:r>
          </w:p>
        </w:tc>
        <w:tc>
          <w:tcPr>
            <w:tcW w:w="780" w:type="dxa"/>
            <w:shd w:val="clear" w:color="auto" w:fill="auto"/>
            <w:vAlign w:val="bottom"/>
          </w:tcPr>
          <w:p w:rsidR="00180B44" w:rsidRPr="00A530E1" w:rsidRDefault="00180B44" w:rsidP="00A25729">
            <w:pPr>
              <w:keepNext/>
              <w:keepLines/>
              <w:shd w:val="clear" w:color="auto" w:fill="FFFFFF"/>
              <w:spacing w:before="40" w:after="40" w:line="220" w:lineRule="exact"/>
              <w:ind w:right="113"/>
              <w:jc w:val="right"/>
              <w:rPr>
                <w:sz w:val="18"/>
              </w:rPr>
            </w:pPr>
            <w:r w:rsidRPr="00A530E1">
              <w:rPr>
                <w:sz w:val="18"/>
                <w:szCs w:val="14"/>
              </w:rPr>
              <w:t>38.9</w:t>
            </w:r>
          </w:p>
        </w:tc>
        <w:tc>
          <w:tcPr>
            <w:tcW w:w="780" w:type="dxa"/>
            <w:shd w:val="clear" w:color="auto" w:fill="auto"/>
            <w:vAlign w:val="bottom"/>
          </w:tcPr>
          <w:p w:rsidR="00180B44" w:rsidRPr="00A530E1" w:rsidRDefault="00180B44" w:rsidP="00A25729">
            <w:pPr>
              <w:keepNext/>
              <w:keepLines/>
              <w:shd w:val="clear" w:color="auto" w:fill="FFFFFF"/>
              <w:spacing w:before="40" w:after="40" w:line="220" w:lineRule="exact"/>
              <w:ind w:right="113"/>
              <w:jc w:val="right"/>
              <w:rPr>
                <w:sz w:val="18"/>
              </w:rPr>
            </w:pPr>
            <w:r w:rsidRPr="00A530E1">
              <w:rPr>
                <w:sz w:val="18"/>
                <w:szCs w:val="14"/>
              </w:rPr>
              <w:t>40.8</w:t>
            </w:r>
          </w:p>
        </w:tc>
        <w:tc>
          <w:tcPr>
            <w:tcW w:w="779" w:type="dxa"/>
            <w:shd w:val="clear" w:color="auto" w:fill="auto"/>
            <w:vAlign w:val="bottom"/>
          </w:tcPr>
          <w:p w:rsidR="00180B44" w:rsidRPr="00A530E1" w:rsidRDefault="00180B44" w:rsidP="00A25729">
            <w:pPr>
              <w:keepNext/>
              <w:keepLines/>
              <w:shd w:val="clear" w:color="auto" w:fill="FFFFFF"/>
              <w:spacing w:before="40" w:after="40" w:line="220" w:lineRule="exact"/>
              <w:ind w:right="113"/>
              <w:jc w:val="right"/>
              <w:rPr>
                <w:sz w:val="18"/>
              </w:rPr>
            </w:pPr>
            <w:r w:rsidRPr="00A530E1">
              <w:rPr>
                <w:sz w:val="18"/>
                <w:szCs w:val="14"/>
              </w:rPr>
              <w:t>41.1</w:t>
            </w:r>
          </w:p>
        </w:tc>
        <w:tc>
          <w:tcPr>
            <w:tcW w:w="780" w:type="dxa"/>
            <w:shd w:val="clear" w:color="auto" w:fill="auto"/>
            <w:vAlign w:val="bottom"/>
          </w:tcPr>
          <w:p w:rsidR="00180B44" w:rsidRPr="00A530E1" w:rsidRDefault="00180B44" w:rsidP="00A25729">
            <w:pPr>
              <w:keepNext/>
              <w:keepLines/>
              <w:shd w:val="clear" w:color="auto" w:fill="FFFFFF"/>
              <w:spacing w:before="40" w:after="40" w:line="220" w:lineRule="exact"/>
              <w:ind w:right="113"/>
              <w:jc w:val="right"/>
              <w:rPr>
                <w:sz w:val="18"/>
              </w:rPr>
            </w:pPr>
            <w:r w:rsidRPr="00A530E1">
              <w:rPr>
                <w:sz w:val="18"/>
                <w:szCs w:val="14"/>
              </w:rPr>
              <w:t>41.6</w:t>
            </w:r>
          </w:p>
        </w:tc>
        <w:tc>
          <w:tcPr>
            <w:tcW w:w="780" w:type="dxa"/>
            <w:shd w:val="clear" w:color="auto" w:fill="auto"/>
            <w:vAlign w:val="bottom"/>
          </w:tcPr>
          <w:p w:rsidR="00180B44" w:rsidRPr="00A530E1" w:rsidRDefault="00180B44" w:rsidP="00A25729">
            <w:pPr>
              <w:keepNext/>
              <w:keepLines/>
              <w:shd w:val="clear" w:color="auto" w:fill="FFFFFF"/>
              <w:spacing w:before="40" w:after="40" w:line="220" w:lineRule="exact"/>
              <w:ind w:right="113"/>
              <w:jc w:val="right"/>
              <w:rPr>
                <w:sz w:val="18"/>
              </w:rPr>
            </w:pPr>
            <w:r w:rsidRPr="00A530E1">
              <w:rPr>
                <w:sz w:val="18"/>
                <w:szCs w:val="14"/>
              </w:rPr>
              <w:t>34.2</w:t>
            </w:r>
          </w:p>
        </w:tc>
        <w:tc>
          <w:tcPr>
            <w:tcW w:w="1376" w:type="dxa"/>
            <w:shd w:val="clear" w:color="auto" w:fill="auto"/>
            <w:vAlign w:val="bottom"/>
          </w:tcPr>
          <w:p w:rsidR="00180B44" w:rsidRPr="00A530E1" w:rsidRDefault="00180B44" w:rsidP="00A25729">
            <w:pPr>
              <w:keepNext/>
              <w:keepLines/>
              <w:shd w:val="clear" w:color="auto" w:fill="FFFFFF"/>
              <w:spacing w:before="40" w:after="40" w:line="220" w:lineRule="exact"/>
              <w:ind w:right="113"/>
              <w:jc w:val="right"/>
              <w:rPr>
                <w:sz w:val="18"/>
              </w:rPr>
            </w:pPr>
            <w:r w:rsidRPr="00A530E1">
              <w:rPr>
                <w:sz w:val="18"/>
                <w:szCs w:val="14"/>
              </w:rPr>
              <w:t>34.2</w:t>
            </w:r>
          </w:p>
        </w:tc>
      </w:tr>
      <w:tr w:rsidR="00180B44" w:rsidRPr="00A530E1" w:rsidTr="00167126">
        <w:tblPrEx>
          <w:tblCellMar>
            <w:top w:w="0" w:type="dxa"/>
            <w:bottom w:w="0" w:type="dxa"/>
          </w:tblCellMar>
        </w:tblPrEx>
        <w:trPr>
          <w:trHeight w:val="240"/>
        </w:trPr>
        <w:tc>
          <w:tcPr>
            <w:tcW w:w="1316" w:type="dxa"/>
            <w:shd w:val="clear" w:color="auto" w:fill="auto"/>
            <w:vAlign w:val="bottom"/>
          </w:tcPr>
          <w:p w:rsidR="00180B44" w:rsidRPr="00A530E1" w:rsidRDefault="00180B44" w:rsidP="00A25729">
            <w:pPr>
              <w:keepNext/>
              <w:keepLines/>
              <w:shd w:val="clear" w:color="auto" w:fill="FFFFFF"/>
              <w:spacing w:before="40" w:after="40" w:line="220" w:lineRule="exact"/>
              <w:ind w:right="113"/>
              <w:rPr>
                <w:sz w:val="18"/>
              </w:rPr>
            </w:pPr>
            <w:r w:rsidRPr="00A530E1">
              <w:rPr>
                <w:sz w:val="18"/>
              </w:rPr>
              <w:t>Secondary</w:t>
            </w:r>
          </w:p>
        </w:tc>
        <w:tc>
          <w:tcPr>
            <w:tcW w:w="779" w:type="dxa"/>
            <w:shd w:val="clear" w:color="auto" w:fill="auto"/>
            <w:vAlign w:val="bottom"/>
          </w:tcPr>
          <w:p w:rsidR="00180B44" w:rsidRPr="00A530E1" w:rsidRDefault="00180B44" w:rsidP="00A25729">
            <w:pPr>
              <w:keepNext/>
              <w:keepLines/>
              <w:shd w:val="clear" w:color="auto" w:fill="FFFFFF"/>
              <w:spacing w:before="40" w:after="40" w:line="220" w:lineRule="exact"/>
              <w:ind w:right="113"/>
              <w:jc w:val="right"/>
              <w:rPr>
                <w:b/>
                <w:sz w:val="18"/>
              </w:rPr>
            </w:pPr>
            <w:r w:rsidRPr="00A530E1">
              <w:rPr>
                <w:b/>
                <w:sz w:val="18"/>
                <w:szCs w:val="14"/>
              </w:rPr>
              <w:t>28.1</w:t>
            </w:r>
          </w:p>
        </w:tc>
        <w:tc>
          <w:tcPr>
            <w:tcW w:w="780" w:type="dxa"/>
            <w:shd w:val="clear" w:color="auto" w:fill="auto"/>
            <w:vAlign w:val="bottom"/>
          </w:tcPr>
          <w:p w:rsidR="00180B44" w:rsidRPr="00A530E1" w:rsidRDefault="00180B44" w:rsidP="00A25729">
            <w:pPr>
              <w:keepNext/>
              <w:keepLines/>
              <w:shd w:val="clear" w:color="auto" w:fill="FFFFFF"/>
              <w:spacing w:before="40" w:after="40" w:line="220" w:lineRule="exact"/>
              <w:ind w:right="113"/>
              <w:jc w:val="right"/>
              <w:rPr>
                <w:sz w:val="18"/>
              </w:rPr>
            </w:pPr>
            <w:r w:rsidRPr="00A530E1">
              <w:rPr>
                <w:sz w:val="18"/>
                <w:szCs w:val="14"/>
              </w:rPr>
              <w:t>30.8</w:t>
            </w:r>
          </w:p>
        </w:tc>
        <w:tc>
          <w:tcPr>
            <w:tcW w:w="780" w:type="dxa"/>
            <w:shd w:val="clear" w:color="auto" w:fill="auto"/>
            <w:vAlign w:val="bottom"/>
          </w:tcPr>
          <w:p w:rsidR="00180B44" w:rsidRPr="00A530E1" w:rsidRDefault="00180B44" w:rsidP="00A25729">
            <w:pPr>
              <w:keepNext/>
              <w:keepLines/>
              <w:shd w:val="clear" w:color="auto" w:fill="FFFFFF"/>
              <w:spacing w:before="40" w:after="40" w:line="220" w:lineRule="exact"/>
              <w:ind w:right="113"/>
              <w:jc w:val="right"/>
              <w:rPr>
                <w:sz w:val="18"/>
              </w:rPr>
            </w:pPr>
            <w:r w:rsidRPr="00A530E1">
              <w:rPr>
                <w:sz w:val="18"/>
                <w:szCs w:val="14"/>
              </w:rPr>
              <w:t>22.9</w:t>
            </w:r>
          </w:p>
        </w:tc>
        <w:tc>
          <w:tcPr>
            <w:tcW w:w="779" w:type="dxa"/>
            <w:shd w:val="clear" w:color="auto" w:fill="auto"/>
            <w:vAlign w:val="bottom"/>
          </w:tcPr>
          <w:p w:rsidR="00180B44" w:rsidRPr="00A530E1" w:rsidRDefault="00180B44" w:rsidP="00A25729">
            <w:pPr>
              <w:keepNext/>
              <w:keepLines/>
              <w:shd w:val="clear" w:color="auto" w:fill="FFFFFF"/>
              <w:spacing w:before="40" w:after="40" w:line="220" w:lineRule="exact"/>
              <w:ind w:right="113"/>
              <w:jc w:val="right"/>
              <w:rPr>
                <w:sz w:val="18"/>
              </w:rPr>
            </w:pPr>
            <w:r w:rsidRPr="00A530E1">
              <w:rPr>
                <w:sz w:val="18"/>
                <w:szCs w:val="14"/>
              </w:rPr>
              <w:t>20.8</w:t>
            </w:r>
          </w:p>
        </w:tc>
        <w:tc>
          <w:tcPr>
            <w:tcW w:w="780" w:type="dxa"/>
            <w:shd w:val="clear" w:color="auto" w:fill="auto"/>
            <w:vAlign w:val="bottom"/>
          </w:tcPr>
          <w:p w:rsidR="00180B44" w:rsidRPr="00A530E1" w:rsidRDefault="00180B44" w:rsidP="00A25729">
            <w:pPr>
              <w:keepNext/>
              <w:keepLines/>
              <w:shd w:val="clear" w:color="auto" w:fill="FFFFFF"/>
              <w:spacing w:before="40" w:after="40" w:line="220" w:lineRule="exact"/>
              <w:ind w:right="113"/>
              <w:jc w:val="right"/>
              <w:rPr>
                <w:sz w:val="18"/>
              </w:rPr>
            </w:pPr>
            <w:r w:rsidRPr="00A530E1">
              <w:rPr>
                <w:sz w:val="18"/>
                <w:szCs w:val="14"/>
              </w:rPr>
              <w:t>18.4</w:t>
            </w:r>
          </w:p>
        </w:tc>
        <w:tc>
          <w:tcPr>
            <w:tcW w:w="780" w:type="dxa"/>
            <w:shd w:val="clear" w:color="auto" w:fill="auto"/>
            <w:vAlign w:val="bottom"/>
          </w:tcPr>
          <w:p w:rsidR="00180B44" w:rsidRPr="00A530E1" w:rsidRDefault="00180B44" w:rsidP="00A25729">
            <w:pPr>
              <w:keepNext/>
              <w:keepLines/>
              <w:shd w:val="clear" w:color="auto" w:fill="FFFFFF"/>
              <w:spacing w:before="40" w:after="40" w:line="220" w:lineRule="exact"/>
              <w:ind w:right="113"/>
              <w:jc w:val="right"/>
              <w:rPr>
                <w:sz w:val="18"/>
              </w:rPr>
            </w:pPr>
            <w:r w:rsidRPr="00A530E1">
              <w:rPr>
                <w:sz w:val="18"/>
                <w:szCs w:val="14"/>
              </w:rPr>
              <w:t>15.1</w:t>
            </w:r>
          </w:p>
        </w:tc>
        <w:tc>
          <w:tcPr>
            <w:tcW w:w="1376" w:type="dxa"/>
            <w:shd w:val="clear" w:color="auto" w:fill="auto"/>
            <w:vAlign w:val="bottom"/>
          </w:tcPr>
          <w:p w:rsidR="00180B44" w:rsidRPr="00A530E1" w:rsidRDefault="00180B44" w:rsidP="00A25729">
            <w:pPr>
              <w:keepNext/>
              <w:keepLines/>
              <w:shd w:val="clear" w:color="auto" w:fill="FFFFFF"/>
              <w:spacing w:before="40" w:after="40" w:line="220" w:lineRule="exact"/>
              <w:ind w:right="113"/>
              <w:jc w:val="right"/>
              <w:rPr>
                <w:sz w:val="18"/>
              </w:rPr>
            </w:pPr>
            <w:r w:rsidRPr="00A530E1">
              <w:rPr>
                <w:sz w:val="18"/>
                <w:szCs w:val="14"/>
              </w:rPr>
              <w:t>16.5</w:t>
            </w:r>
          </w:p>
        </w:tc>
      </w:tr>
      <w:tr w:rsidR="00180B44" w:rsidRPr="00A530E1" w:rsidTr="00167126">
        <w:tblPrEx>
          <w:tblCellMar>
            <w:top w:w="0" w:type="dxa"/>
            <w:bottom w:w="0" w:type="dxa"/>
          </w:tblCellMar>
        </w:tblPrEx>
        <w:trPr>
          <w:trHeight w:val="240"/>
        </w:trPr>
        <w:tc>
          <w:tcPr>
            <w:tcW w:w="1316" w:type="dxa"/>
            <w:tcBorders>
              <w:bottom w:val="single" w:sz="4" w:space="0" w:color="auto"/>
            </w:tcBorders>
            <w:shd w:val="clear" w:color="auto" w:fill="auto"/>
            <w:vAlign w:val="bottom"/>
          </w:tcPr>
          <w:p w:rsidR="00180B44" w:rsidRPr="00A530E1" w:rsidRDefault="00180B44" w:rsidP="00A25729">
            <w:pPr>
              <w:shd w:val="clear" w:color="auto" w:fill="FFFFFF"/>
              <w:spacing w:before="40" w:after="40" w:line="220" w:lineRule="exact"/>
              <w:ind w:right="113"/>
              <w:rPr>
                <w:sz w:val="18"/>
              </w:rPr>
            </w:pPr>
            <w:r w:rsidRPr="00A530E1">
              <w:rPr>
                <w:sz w:val="18"/>
              </w:rPr>
              <w:t>Higher</w:t>
            </w:r>
          </w:p>
        </w:tc>
        <w:tc>
          <w:tcPr>
            <w:tcW w:w="779" w:type="dxa"/>
            <w:tcBorders>
              <w:bottom w:val="single" w:sz="4" w:space="0" w:color="auto"/>
            </w:tcBorders>
            <w:shd w:val="clear" w:color="auto" w:fill="auto"/>
            <w:vAlign w:val="bottom"/>
          </w:tcPr>
          <w:p w:rsidR="00180B44" w:rsidRPr="00A530E1" w:rsidRDefault="00180B44" w:rsidP="00A25729">
            <w:pPr>
              <w:shd w:val="clear" w:color="auto" w:fill="FFFFFF"/>
              <w:spacing w:before="40" w:after="40" w:line="220" w:lineRule="exact"/>
              <w:ind w:right="113"/>
              <w:jc w:val="right"/>
              <w:rPr>
                <w:b/>
                <w:sz w:val="18"/>
              </w:rPr>
            </w:pPr>
            <w:r w:rsidRPr="00A530E1">
              <w:rPr>
                <w:b/>
                <w:sz w:val="18"/>
                <w:szCs w:val="14"/>
              </w:rPr>
              <w:t>11.3</w:t>
            </w:r>
          </w:p>
        </w:tc>
        <w:tc>
          <w:tcPr>
            <w:tcW w:w="780" w:type="dxa"/>
            <w:tcBorders>
              <w:bottom w:val="single" w:sz="4" w:space="0" w:color="auto"/>
            </w:tcBorders>
            <w:shd w:val="clear" w:color="auto" w:fill="auto"/>
            <w:vAlign w:val="bottom"/>
          </w:tcPr>
          <w:p w:rsidR="00180B44" w:rsidRPr="00A530E1" w:rsidRDefault="00180B44" w:rsidP="00A25729">
            <w:pPr>
              <w:shd w:val="clear" w:color="auto" w:fill="FFFFFF"/>
              <w:spacing w:before="40" w:after="40" w:line="220" w:lineRule="exact"/>
              <w:ind w:right="113"/>
              <w:jc w:val="right"/>
              <w:rPr>
                <w:sz w:val="18"/>
              </w:rPr>
            </w:pPr>
            <w:r w:rsidRPr="00A530E1">
              <w:rPr>
                <w:sz w:val="18"/>
                <w:szCs w:val="14"/>
              </w:rPr>
              <w:t>12.8</w:t>
            </w:r>
          </w:p>
        </w:tc>
        <w:tc>
          <w:tcPr>
            <w:tcW w:w="780" w:type="dxa"/>
            <w:tcBorders>
              <w:bottom w:val="single" w:sz="4" w:space="0" w:color="auto"/>
            </w:tcBorders>
            <w:shd w:val="clear" w:color="auto" w:fill="auto"/>
            <w:vAlign w:val="bottom"/>
          </w:tcPr>
          <w:p w:rsidR="00180B44" w:rsidRPr="00A530E1" w:rsidRDefault="00180B44" w:rsidP="00A25729">
            <w:pPr>
              <w:shd w:val="clear" w:color="auto" w:fill="FFFFFF"/>
              <w:spacing w:before="40" w:after="40" w:line="220" w:lineRule="exact"/>
              <w:ind w:right="113"/>
              <w:jc w:val="right"/>
              <w:rPr>
                <w:sz w:val="18"/>
              </w:rPr>
            </w:pPr>
            <w:r w:rsidRPr="00A530E1">
              <w:rPr>
                <w:sz w:val="18"/>
                <w:szCs w:val="14"/>
              </w:rPr>
              <w:t>9.2</w:t>
            </w:r>
          </w:p>
        </w:tc>
        <w:tc>
          <w:tcPr>
            <w:tcW w:w="779" w:type="dxa"/>
            <w:tcBorders>
              <w:bottom w:val="single" w:sz="4" w:space="0" w:color="auto"/>
            </w:tcBorders>
            <w:shd w:val="clear" w:color="auto" w:fill="auto"/>
            <w:vAlign w:val="bottom"/>
          </w:tcPr>
          <w:p w:rsidR="00180B44" w:rsidRPr="00A530E1" w:rsidRDefault="00180B44" w:rsidP="00A25729">
            <w:pPr>
              <w:shd w:val="clear" w:color="auto" w:fill="FFFFFF"/>
              <w:spacing w:before="40" w:after="40" w:line="220" w:lineRule="exact"/>
              <w:ind w:right="113"/>
              <w:jc w:val="right"/>
              <w:rPr>
                <w:sz w:val="18"/>
              </w:rPr>
            </w:pPr>
            <w:r w:rsidRPr="00A530E1">
              <w:rPr>
                <w:sz w:val="18"/>
                <w:szCs w:val="14"/>
              </w:rPr>
              <w:t>9.0</w:t>
            </w:r>
          </w:p>
        </w:tc>
        <w:tc>
          <w:tcPr>
            <w:tcW w:w="780" w:type="dxa"/>
            <w:tcBorders>
              <w:bottom w:val="single" w:sz="4" w:space="0" w:color="auto"/>
            </w:tcBorders>
            <w:shd w:val="clear" w:color="auto" w:fill="auto"/>
            <w:vAlign w:val="bottom"/>
          </w:tcPr>
          <w:p w:rsidR="00180B44" w:rsidRPr="00A530E1" w:rsidRDefault="00180B44" w:rsidP="00A25729">
            <w:pPr>
              <w:shd w:val="clear" w:color="auto" w:fill="FFFFFF"/>
              <w:spacing w:before="40" w:after="40" w:line="220" w:lineRule="exact"/>
              <w:ind w:right="113"/>
              <w:jc w:val="right"/>
              <w:rPr>
                <w:sz w:val="18"/>
              </w:rPr>
            </w:pPr>
            <w:r w:rsidRPr="00A530E1">
              <w:rPr>
                <w:sz w:val="18"/>
                <w:szCs w:val="14"/>
              </w:rPr>
              <w:t>5.0</w:t>
            </w:r>
          </w:p>
        </w:tc>
        <w:tc>
          <w:tcPr>
            <w:tcW w:w="780" w:type="dxa"/>
            <w:tcBorders>
              <w:bottom w:val="single" w:sz="4" w:space="0" w:color="auto"/>
            </w:tcBorders>
            <w:shd w:val="clear" w:color="auto" w:fill="auto"/>
            <w:vAlign w:val="bottom"/>
          </w:tcPr>
          <w:p w:rsidR="00180B44" w:rsidRPr="00A530E1" w:rsidRDefault="00180B44" w:rsidP="00A25729">
            <w:pPr>
              <w:shd w:val="clear" w:color="auto" w:fill="FFFFFF"/>
              <w:spacing w:before="40" w:after="40" w:line="220" w:lineRule="exact"/>
              <w:ind w:right="113"/>
              <w:jc w:val="right"/>
              <w:rPr>
                <w:sz w:val="18"/>
              </w:rPr>
            </w:pPr>
            <w:r w:rsidRPr="00A530E1">
              <w:rPr>
                <w:sz w:val="18"/>
                <w:szCs w:val="14"/>
              </w:rPr>
              <w:t>3.9</w:t>
            </w:r>
          </w:p>
        </w:tc>
        <w:tc>
          <w:tcPr>
            <w:tcW w:w="1376" w:type="dxa"/>
            <w:tcBorders>
              <w:bottom w:val="single" w:sz="4" w:space="0" w:color="auto"/>
            </w:tcBorders>
            <w:shd w:val="clear" w:color="auto" w:fill="auto"/>
            <w:vAlign w:val="bottom"/>
          </w:tcPr>
          <w:p w:rsidR="00180B44" w:rsidRPr="00A530E1" w:rsidRDefault="00180B44" w:rsidP="00A25729">
            <w:pPr>
              <w:shd w:val="clear" w:color="auto" w:fill="FFFFFF"/>
              <w:spacing w:before="40" w:after="40" w:line="220" w:lineRule="exact"/>
              <w:ind w:right="113"/>
              <w:jc w:val="right"/>
              <w:rPr>
                <w:sz w:val="18"/>
              </w:rPr>
            </w:pPr>
            <w:r w:rsidRPr="00A530E1">
              <w:rPr>
                <w:sz w:val="18"/>
                <w:szCs w:val="14"/>
              </w:rPr>
              <w:t>4.4</w:t>
            </w:r>
          </w:p>
        </w:tc>
      </w:tr>
      <w:tr w:rsidR="00180B44" w:rsidRPr="00A530E1" w:rsidTr="00167126">
        <w:tblPrEx>
          <w:tblCellMar>
            <w:top w:w="0" w:type="dxa"/>
            <w:bottom w:w="0" w:type="dxa"/>
          </w:tblCellMar>
        </w:tblPrEx>
        <w:trPr>
          <w:trHeight w:val="240"/>
        </w:trPr>
        <w:tc>
          <w:tcPr>
            <w:tcW w:w="1316" w:type="dxa"/>
            <w:tcBorders>
              <w:top w:val="single" w:sz="4" w:space="0" w:color="auto"/>
              <w:bottom w:val="single" w:sz="12" w:space="0" w:color="auto"/>
            </w:tcBorders>
            <w:shd w:val="clear" w:color="auto" w:fill="auto"/>
          </w:tcPr>
          <w:p w:rsidR="00180B44" w:rsidRPr="00A530E1" w:rsidRDefault="00180B44" w:rsidP="00DB520F">
            <w:pPr>
              <w:keepNext/>
              <w:keepLines/>
              <w:shd w:val="clear" w:color="auto" w:fill="FFFFFF"/>
              <w:spacing w:before="80" w:after="80" w:line="220" w:lineRule="exact"/>
              <w:ind w:left="284" w:right="113"/>
              <w:rPr>
                <w:b/>
                <w:sz w:val="18"/>
              </w:rPr>
            </w:pPr>
            <w:r w:rsidRPr="00A530E1">
              <w:rPr>
                <w:b/>
                <w:bCs/>
                <w:sz w:val="18"/>
                <w:szCs w:val="14"/>
              </w:rPr>
              <w:t>Total</w:t>
            </w:r>
          </w:p>
        </w:tc>
        <w:tc>
          <w:tcPr>
            <w:tcW w:w="779" w:type="dxa"/>
            <w:tcBorders>
              <w:top w:val="single" w:sz="4" w:space="0" w:color="auto"/>
              <w:bottom w:val="single" w:sz="12" w:space="0" w:color="auto"/>
            </w:tcBorders>
            <w:shd w:val="clear" w:color="auto" w:fill="auto"/>
            <w:vAlign w:val="bottom"/>
          </w:tcPr>
          <w:p w:rsidR="00180B44" w:rsidRPr="00A530E1" w:rsidRDefault="00180B44" w:rsidP="00D66044">
            <w:pPr>
              <w:keepNext/>
              <w:keepLines/>
              <w:shd w:val="clear" w:color="auto" w:fill="FFFFFF"/>
              <w:spacing w:before="80" w:after="80" w:line="220" w:lineRule="exact"/>
              <w:ind w:right="113"/>
              <w:jc w:val="right"/>
              <w:rPr>
                <w:b/>
                <w:sz w:val="18"/>
              </w:rPr>
            </w:pPr>
            <w:r w:rsidRPr="00A530E1">
              <w:rPr>
                <w:b/>
                <w:bCs/>
                <w:sz w:val="18"/>
                <w:szCs w:val="14"/>
              </w:rPr>
              <w:t>100.0</w:t>
            </w:r>
          </w:p>
        </w:tc>
        <w:tc>
          <w:tcPr>
            <w:tcW w:w="780" w:type="dxa"/>
            <w:tcBorders>
              <w:top w:val="single" w:sz="4" w:space="0" w:color="auto"/>
              <w:bottom w:val="single" w:sz="12" w:space="0" w:color="auto"/>
            </w:tcBorders>
            <w:shd w:val="clear" w:color="auto" w:fill="auto"/>
            <w:vAlign w:val="bottom"/>
          </w:tcPr>
          <w:p w:rsidR="00180B44" w:rsidRPr="00A530E1" w:rsidRDefault="00180B44" w:rsidP="00D66044">
            <w:pPr>
              <w:keepNext/>
              <w:keepLines/>
              <w:shd w:val="clear" w:color="auto" w:fill="FFFFFF"/>
              <w:spacing w:before="80" w:after="80" w:line="220" w:lineRule="exact"/>
              <w:ind w:right="113"/>
              <w:jc w:val="right"/>
              <w:rPr>
                <w:b/>
                <w:sz w:val="18"/>
              </w:rPr>
            </w:pPr>
            <w:r w:rsidRPr="00A530E1">
              <w:rPr>
                <w:b/>
                <w:bCs/>
                <w:sz w:val="18"/>
                <w:szCs w:val="14"/>
              </w:rPr>
              <w:t>100.0</w:t>
            </w:r>
          </w:p>
        </w:tc>
        <w:tc>
          <w:tcPr>
            <w:tcW w:w="780" w:type="dxa"/>
            <w:tcBorders>
              <w:top w:val="single" w:sz="4" w:space="0" w:color="auto"/>
              <w:bottom w:val="single" w:sz="12" w:space="0" w:color="auto"/>
            </w:tcBorders>
            <w:shd w:val="clear" w:color="auto" w:fill="auto"/>
            <w:vAlign w:val="bottom"/>
          </w:tcPr>
          <w:p w:rsidR="00180B44" w:rsidRPr="00A530E1" w:rsidRDefault="00180B44" w:rsidP="00D66044">
            <w:pPr>
              <w:keepNext/>
              <w:keepLines/>
              <w:shd w:val="clear" w:color="auto" w:fill="FFFFFF"/>
              <w:spacing w:before="80" w:after="80" w:line="220" w:lineRule="exact"/>
              <w:ind w:right="113"/>
              <w:jc w:val="right"/>
              <w:rPr>
                <w:b/>
                <w:sz w:val="18"/>
              </w:rPr>
            </w:pPr>
            <w:r w:rsidRPr="00A530E1">
              <w:rPr>
                <w:b/>
                <w:bCs/>
                <w:sz w:val="18"/>
                <w:szCs w:val="14"/>
              </w:rPr>
              <w:t>100.0</w:t>
            </w:r>
          </w:p>
        </w:tc>
        <w:tc>
          <w:tcPr>
            <w:tcW w:w="779" w:type="dxa"/>
            <w:tcBorders>
              <w:top w:val="single" w:sz="4" w:space="0" w:color="auto"/>
              <w:bottom w:val="single" w:sz="12" w:space="0" w:color="auto"/>
            </w:tcBorders>
            <w:shd w:val="clear" w:color="auto" w:fill="auto"/>
            <w:vAlign w:val="bottom"/>
          </w:tcPr>
          <w:p w:rsidR="00180B44" w:rsidRPr="00A530E1" w:rsidRDefault="00180B44" w:rsidP="00D66044">
            <w:pPr>
              <w:keepNext/>
              <w:keepLines/>
              <w:shd w:val="clear" w:color="auto" w:fill="FFFFFF"/>
              <w:spacing w:before="80" w:after="80" w:line="220" w:lineRule="exact"/>
              <w:ind w:right="113"/>
              <w:jc w:val="right"/>
              <w:rPr>
                <w:b/>
                <w:sz w:val="18"/>
              </w:rPr>
            </w:pPr>
            <w:r w:rsidRPr="00A530E1">
              <w:rPr>
                <w:b/>
                <w:bCs/>
                <w:sz w:val="18"/>
                <w:szCs w:val="14"/>
              </w:rPr>
              <w:t>100.0</w:t>
            </w:r>
          </w:p>
        </w:tc>
        <w:tc>
          <w:tcPr>
            <w:tcW w:w="780" w:type="dxa"/>
            <w:tcBorders>
              <w:top w:val="single" w:sz="4" w:space="0" w:color="auto"/>
              <w:bottom w:val="single" w:sz="12" w:space="0" w:color="auto"/>
            </w:tcBorders>
            <w:shd w:val="clear" w:color="auto" w:fill="auto"/>
            <w:vAlign w:val="bottom"/>
          </w:tcPr>
          <w:p w:rsidR="00180B44" w:rsidRPr="00A530E1" w:rsidRDefault="00180B44" w:rsidP="00D66044">
            <w:pPr>
              <w:keepNext/>
              <w:keepLines/>
              <w:shd w:val="clear" w:color="auto" w:fill="FFFFFF"/>
              <w:spacing w:before="80" w:after="80" w:line="220" w:lineRule="exact"/>
              <w:ind w:right="113"/>
              <w:jc w:val="right"/>
              <w:rPr>
                <w:b/>
                <w:sz w:val="18"/>
              </w:rPr>
            </w:pPr>
            <w:r w:rsidRPr="00A530E1">
              <w:rPr>
                <w:b/>
                <w:bCs/>
                <w:sz w:val="18"/>
                <w:szCs w:val="14"/>
              </w:rPr>
              <w:t>100.0</w:t>
            </w:r>
          </w:p>
        </w:tc>
        <w:tc>
          <w:tcPr>
            <w:tcW w:w="780" w:type="dxa"/>
            <w:tcBorders>
              <w:top w:val="single" w:sz="4" w:space="0" w:color="auto"/>
              <w:bottom w:val="single" w:sz="12" w:space="0" w:color="auto"/>
            </w:tcBorders>
            <w:shd w:val="clear" w:color="auto" w:fill="auto"/>
            <w:vAlign w:val="bottom"/>
          </w:tcPr>
          <w:p w:rsidR="00180B44" w:rsidRPr="00A530E1" w:rsidRDefault="00180B44" w:rsidP="00D66044">
            <w:pPr>
              <w:keepNext/>
              <w:keepLines/>
              <w:shd w:val="clear" w:color="auto" w:fill="FFFFFF"/>
              <w:spacing w:before="80" w:after="80" w:line="220" w:lineRule="exact"/>
              <w:ind w:right="113"/>
              <w:jc w:val="right"/>
              <w:rPr>
                <w:b/>
                <w:sz w:val="18"/>
              </w:rPr>
            </w:pPr>
            <w:r w:rsidRPr="00A530E1">
              <w:rPr>
                <w:b/>
                <w:bCs/>
                <w:sz w:val="18"/>
                <w:szCs w:val="14"/>
              </w:rPr>
              <w:t>100.0</w:t>
            </w:r>
          </w:p>
        </w:tc>
        <w:tc>
          <w:tcPr>
            <w:tcW w:w="1376" w:type="dxa"/>
            <w:tcBorders>
              <w:top w:val="single" w:sz="4" w:space="0" w:color="auto"/>
              <w:bottom w:val="single" w:sz="12" w:space="0" w:color="auto"/>
            </w:tcBorders>
            <w:shd w:val="clear" w:color="auto" w:fill="auto"/>
            <w:vAlign w:val="bottom"/>
          </w:tcPr>
          <w:p w:rsidR="00180B44" w:rsidRPr="00A530E1" w:rsidRDefault="00180B44" w:rsidP="00D66044">
            <w:pPr>
              <w:keepNext/>
              <w:keepLines/>
              <w:shd w:val="clear" w:color="auto" w:fill="FFFFFF"/>
              <w:spacing w:before="80" w:after="80" w:line="220" w:lineRule="exact"/>
              <w:ind w:right="113"/>
              <w:jc w:val="right"/>
              <w:rPr>
                <w:b/>
                <w:sz w:val="18"/>
              </w:rPr>
            </w:pPr>
            <w:r w:rsidRPr="00A530E1">
              <w:rPr>
                <w:b/>
                <w:bCs/>
                <w:sz w:val="18"/>
                <w:szCs w:val="14"/>
              </w:rPr>
              <w:t>100.0</w:t>
            </w:r>
          </w:p>
        </w:tc>
      </w:tr>
    </w:tbl>
    <w:p w:rsidR="00180B44" w:rsidRPr="00A530E1" w:rsidRDefault="00180B44" w:rsidP="00180B44">
      <w:pPr>
        <w:suppressAutoHyphens w:val="0"/>
        <w:spacing w:before="120" w:line="240" w:lineRule="auto"/>
        <w:ind w:left="1134" w:right="1134" w:firstLine="170"/>
        <w:rPr>
          <w:sz w:val="18"/>
          <w:szCs w:val="18"/>
        </w:rPr>
      </w:pPr>
      <w:r w:rsidRPr="00A530E1">
        <w:rPr>
          <w:i/>
          <w:sz w:val="18"/>
          <w:szCs w:val="18"/>
        </w:rPr>
        <w:t>Source</w:t>
      </w:r>
      <w:r w:rsidRPr="00A530E1">
        <w:rPr>
          <w:sz w:val="18"/>
          <w:szCs w:val="18"/>
        </w:rPr>
        <w:t>:  National Institute of Statistics (INEI) – Continuous National Survey, 2006.</w:t>
      </w:r>
    </w:p>
    <w:p w:rsidR="00180B44" w:rsidRPr="00A530E1" w:rsidRDefault="00180B44" w:rsidP="00180B44">
      <w:pPr>
        <w:suppressAutoHyphens w:val="0"/>
        <w:spacing w:line="240" w:lineRule="auto"/>
        <w:ind w:left="1134" w:right="1134" w:firstLine="170"/>
        <w:rPr>
          <w:sz w:val="18"/>
          <w:szCs w:val="18"/>
        </w:rPr>
      </w:pPr>
      <w:r w:rsidRPr="00A530E1">
        <w:rPr>
          <w:i/>
          <w:sz w:val="18"/>
          <w:szCs w:val="18"/>
          <w:vertAlign w:val="superscript"/>
        </w:rPr>
        <w:t>1</w:t>
      </w:r>
      <w:r w:rsidRPr="00A530E1">
        <w:rPr>
          <w:sz w:val="18"/>
          <w:szCs w:val="18"/>
        </w:rPr>
        <w:t xml:space="preserve">  Includes limited use of the upper or lower extremities.</w:t>
      </w:r>
    </w:p>
    <w:p w:rsidR="00180B44" w:rsidRPr="00A530E1" w:rsidRDefault="00180B44" w:rsidP="00180B44">
      <w:pPr>
        <w:suppressAutoHyphens w:val="0"/>
        <w:spacing w:line="240" w:lineRule="auto"/>
        <w:ind w:left="1134" w:right="1134" w:firstLine="170"/>
        <w:rPr>
          <w:sz w:val="18"/>
          <w:szCs w:val="18"/>
        </w:rPr>
      </w:pPr>
      <w:r w:rsidRPr="00A530E1">
        <w:rPr>
          <w:i/>
          <w:sz w:val="18"/>
          <w:szCs w:val="18"/>
          <w:vertAlign w:val="superscript"/>
        </w:rPr>
        <w:t>2</w:t>
      </w:r>
      <w:r w:rsidRPr="00A530E1">
        <w:rPr>
          <w:sz w:val="18"/>
          <w:szCs w:val="18"/>
        </w:rPr>
        <w:t xml:space="preserve">  Includes learning and comprehension difficulties.</w:t>
      </w:r>
    </w:p>
    <w:p w:rsidR="00180B44" w:rsidRPr="00A530E1" w:rsidRDefault="00180B44" w:rsidP="00180B44">
      <w:pPr>
        <w:suppressAutoHyphens w:val="0"/>
        <w:spacing w:after="240" w:line="240" w:lineRule="auto"/>
        <w:ind w:left="1134" w:right="1134" w:firstLine="170"/>
        <w:rPr>
          <w:sz w:val="18"/>
          <w:szCs w:val="18"/>
        </w:rPr>
      </w:pPr>
      <w:r w:rsidRPr="00A530E1">
        <w:rPr>
          <w:i/>
          <w:sz w:val="18"/>
          <w:szCs w:val="18"/>
          <w:vertAlign w:val="superscript"/>
        </w:rPr>
        <w:t>3</w:t>
      </w:r>
      <w:r w:rsidRPr="00A530E1">
        <w:rPr>
          <w:sz w:val="18"/>
          <w:szCs w:val="18"/>
        </w:rPr>
        <w:t xml:space="preserve">  Includes nursery school.</w:t>
      </w:r>
    </w:p>
    <w:p w:rsidR="00180B44" w:rsidRPr="00A530E1" w:rsidRDefault="00180B44" w:rsidP="00180B44">
      <w:pPr>
        <w:pStyle w:val="SingleTxtG"/>
      </w:pPr>
      <w:r w:rsidRPr="00A530E1">
        <w:t>45.</w:t>
      </w:r>
      <w:r w:rsidRPr="00A530E1">
        <w:tab/>
      </w:r>
      <w:r w:rsidRPr="00A530E1">
        <w:rPr>
          <w:b/>
        </w:rPr>
        <w:t>Disability by employment status and occupational category</w:t>
      </w:r>
      <w:r w:rsidRPr="00A530E1">
        <w:t>: Persons with disabilities should have the opportunity to freely choose their occupation within the context of an open and accessible labour market and working environment. However, the actual situation is otherwise, and it is difficult for them to obtain jobs. A number of steps have been taken to combat the exclusion of persons with disabilities from the labour market. These measures include a commitment on the part of the State to hire a given percentage of persons with disabilities and tax benefits for companies that employ persons with disabilities.</w:t>
      </w:r>
    </w:p>
    <w:p w:rsidR="00180B44" w:rsidRPr="00A530E1" w:rsidRDefault="00180B44" w:rsidP="00180B44">
      <w:pPr>
        <w:pStyle w:val="SingleTxtG"/>
      </w:pPr>
      <w:r w:rsidRPr="00A530E1">
        <w:t>46.</w:t>
      </w:r>
      <w:r w:rsidRPr="00A530E1">
        <w:tab/>
        <w:t>According to the Continuous National Survey results, 48.2 per cent of persons with disabilities of working age were in employment, which is 18.5 per cent lower than the rate of employment for persons without disabilities. These statistics provide evidence of the exclusion of people in this sector of the population from the labour market.</w:t>
      </w:r>
    </w:p>
    <w:p w:rsidR="00180B44" w:rsidRPr="00A530E1" w:rsidRDefault="00180B44" w:rsidP="00180B44">
      <w:pPr>
        <w:pStyle w:val="SingleTxtG"/>
      </w:pPr>
      <w:r w:rsidRPr="00A530E1">
        <w:t>47.</w:t>
      </w:r>
      <w:r w:rsidRPr="00A530E1">
        <w:tab/>
        <w:t>The following table shows the percentages of persons with disabilities of working age, by type of disability, and the percentages of persons with disabilities aged 14 and over who are in employment, by type of disability.</w:t>
      </w:r>
    </w:p>
    <w:p w:rsidR="00180B44" w:rsidRPr="00A530E1" w:rsidRDefault="00180B44" w:rsidP="00180B44">
      <w:pPr>
        <w:pStyle w:val="H23G"/>
        <w:spacing w:after="0"/>
      </w:pPr>
      <w:r w:rsidRPr="00A530E1">
        <w:tab/>
      </w:r>
      <w:r w:rsidRPr="00A530E1">
        <w:tab/>
        <w:t>Percentage of persons with disabilities of working age, by type of disability and employment status, 2006</w:t>
      </w:r>
    </w:p>
    <w:p w:rsidR="00180B44" w:rsidRPr="00A530E1" w:rsidRDefault="00180B44" w:rsidP="00180B44">
      <w:pPr>
        <w:pStyle w:val="SingleTxtG"/>
        <w:rPr>
          <w:sz w:val="16"/>
          <w:szCs w:val="16"/>
        </w:rPr>
      </w:pPr>
      <w:r w:rsidRPr="00A530E1">
        <w:rPr>
          <w:sz w:val="16"/>
          <w:szCs w:val="16"/>
        </w:rPr>
        <w:t>(Percentage distribution)</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000" w:firstRow="0" w:lastRow="0" w:firstColumn="0" w:lastColumn="0" w:noHBand="0" w:noVBand="0"/>
      </w:tblPr>
      <w:tblGrid>
        <w:gridCol w:w="1706"/>
        <w:gridCol w:w="738"/>
        <w:gridCol w:w="738"/>
        <w:gridCol w:w="739"/>
        <w:gridCol w:w="738"/>
        <w:gridCol w:w="738"/>
        <w:gridCol w:w="739"/>
        <w:gridCol w:w="1234"/>
      </w:tblGrid>
      <w:tr w:rsidR="00180B44" w:rsidRPr="00A530E1" w:rsidTr="00DB520F">
        <w:tblPrEx>
          <w:tblCellMar>
            <w:top w:w="0" w:type="dxa"/>
            <w:bottom w:w="0" w:type="dxa"/>
          </w:tblCellMar>
        </w:tblPrEx>
        <w:trPr>
          <w:trHeight w:val="240"/>
          <w:tblHeader/>
        </w:trPr>
        <w:tc>
          <w:tcPr>
            <w:tcW w:w="1706" w:type="dxa"/>
            <w:tcBorders>
              <w:bottom w:val="single" w:sz="12" w:space="0" w:color="auto"/>
            </w:tcBorders>
            <w:shd w:val="clear" w:color="auto" w:fill="auto"/>
            <w:vAlign w:val="bottom"/>
          </w:tcPr>
          <w:p w:rsidR="00180B44" w:rsidRPr="00A530E1" w:rsidRDefault="00180B44" w:rsidP="00180B44">
            <w:pPr>
              <w:shd w:val="clear" w:color="auto" w:fill="FFFFFF"/>
              <w:suppressAutoHyphens w:val="0"/>
              <w:spacing w:before="80" w:after="80" w:line="200" w:lineRule="exact"/>
              <w:rPr>
                <w:i/>
                <w:sz w:val="16"/>
                <w:lang w:eastAsia="es-ES"/>
              </w:rPr>
            </w:pPr>
            <w:r w:rsidRPr="00A530E1">
              <w:rPr>
                <w:i/>
                <w:sz w:val="16"/>
                <w:szCs w:val="14"/>
                <w:lang w:eastAsia="es-ES"/>
              </w:rPr>
              <w:t>Employment status</w:t>
            </w:r>
          </w:p>
        </w:tc>
        <w:tc>
          <w:tcPr>
            <w:tcW w:w="738" w:type="dxa"/>
            <w:tcBorders>
              <w:bottom w:val="single" w:sz="12" w:space="0" w:color="auto"/>
            </w:tcBorders>
            <w:shd w:val="clear" w:color="auto" w:fill="auto"/>
            <w:vAlign w:val="bottom"/>
          </w:tcPr>
          <w:p w:rsidR="00180B44" w:rsidRPr="00A530E1" w:rsidRDefault="00180B44" w:rsidP="00180B44">
            <w:pPr>
              <w:shd w:val="clear" w:color="auto" w:fill="FFFFFF"/>
              <w:suppressAutoHyphens w:val="0"/>
              <w:spacing w:before="80" w:after="80" w:line="200" w:lineRule="exact"/>
              <w:ind w:right="113"/>
              <w:jc w:val="right"/>
              <w:rPr>
                <w:b/>
                <w:i/>
                <w:sz w:val="16"/>
                <w:lang w:eastAsia="es-ES"/>
              </w:rPr>
            </w:pPr>
            <w:r w:rsidRPr="00A530E1">
              <w:rPr>
                <w:b/>
                <w:i/>
                <w:sz w:val="16"/>
                <w:szCs w:val="14"/>
                <w:lang w:eastAsia="es-ES"/>
              </w:rPr>
              <w:t>Total</w:t>
            </w:r>
          </w:p>
        </w:tc>
        <w:tc>
          <w:tcPr>
            <w:tcW w:w="738" w:type="dxa"/>
            <w:tcBorders>
              <w:bottom w:val="single" w:sz="12" w:space="0" w:color="auto"/>
            </w:tcBorders>
            <w:shd w:val="clear" w:color="auto" w:fill="auto"/>
            <w:vAlign w:val="bottom"/>
          </w:tcPr>
          <w:p w:rsidR="00180B44" w:rsidRPr="00A530E1" w:rsidRDefault="00180B44" w:rsidP="00180B44">
            <w:pPr>
              <w:shd w:val="clear" w:color="auto" w:fill="FFFFFF"/>
              <w:suppressAutoHyphens w:val="0"/>
              <w:spacing w:before="80" w:after="80" w:line="200" w:lineRule="exact"/>
              <w:ind w:right="113"/>
              <w:jc w:val="right"/>
              <w:rPr>
                <w:i/>
                <w:sz w:val="16"/>
                <w:lang w:eastAsia="es-ES"/>
              </w:rPr>
            </w:pPr>
            <w:r w:rsidRPr="00A530E1">
              <w:rPr>
                <w:i/>
                <w:sz w:val="16"/>
                <w:szCs w:val="14"/>
                <w:lang w:eastAsia="es-ES"/>
              </w:rPr>
              <w:t>Sight</w:t>
            </w:r>
          </w:p>
        </w:tc>
        <w:tc>
          <w:tcPr>
            <w:tcW w:w="739" w:type="dxa"/>
            <w:tcBorders>
              <w:bottom w:val="single" w:sz="12" w:space="0" w:color="auto"/>
            </w:tcBorders>
            <w:shd w:val="clear" w:color="auto" w:fill="auto"/>
            <w:vAlign w:val="bottom"/>
          </w:tcPr>
          <w:p w:rsidR="00180B44" w:rsidRPr="00A530E1" w:rsidRDefault="00180B44" w:rsidP="00180B44">
            <w:pPr>
              <w:shd w:val="clear" w:color="auto" w:fill="FFFFFF"/>
              <w:suppressAutoHyphens w:val="0"/>
              <w:spacing w:before="80" w:after="80" w:line="200" w:lineRule="exact"/>
              <w:ind w:right="113"/>
              <w:jc w:val="right"/>
              <w:rPr>
                <w:i/>
                <w:sz w:val="16"/>
                <w:lang w:eastAsia="es-ES"/>
              </w:rPr>
            </w:pPr>
            <w:r w:rsidRPr="00A530E1">
              <w:rPr>
                <w:i/>
                <w:sz w:val="16"/>
                <w:szCs w:val="14"/>
                <w:lang w:eastAsia="es-ES"/>
              </w:rPr>
              <w:t>Motor</w:t>
            </w:r>
            <w:r w:rsidRPr="00A530E1">
              <w:rPr>
                <w:i/>
                <w:sz w:val="18"/>
                <w:szCs w:val="18"/>
                <w:vertAlign w:val="superscript"/>
                <w:lang w:eastAsia="es-ES"/>
              </w:rPr>
              <w:t>1</w:t>
            </w:r>
          </w:p>
        </w:tc>
        <w:tc>
          <w:tcPr>
            <w:tcW w:w="738" w:type="dxa"/>
            <w:tcBorders>
              <w:bottom w:val="single" w:sz="12" w:space="0" w:color="auto"/>
            </w:tcBorders>
            <w:shd w:val="clear" w:color="auto" w:fill="auto"/>
            <w:vAlign w:val="bottom"/>
          </w:tcPr>
          <w:p w:rsidR="00180B44" w:rsidRPr="00A530E1" w:rsidRDefault="00180B44" w:rsidP="00180B44">
            <w:pPr>
              <w:shd w:val="clear" w:color="auto" w:fill="FFFFFF"/>
              <w:suppressAutoHyphens w:val="0"/>
              <w:spacing w:before="80" w:after="80" w:line="200" w:lineRule="exact"/>
              <w:ind w:right="113"/>
              <w:jc w:val="right"/>
              <w:rPr>
                <w:i/>
                <w:sz w:val="16"/>
                <w:lang w:eastAsia="es-ES"/>
              </w:rPr>
            </w:pPr>
            <w:r w:rsidRPr="00A530E1">
              <w:rPr>
                <w:i/>
                <w:sz w:val="16"/>
                <w:szCs w:val="14"/>
                <w:lang w:eastAsia="es-ES"/>
              </w:rPr>
              <w:t>Hearing</w:t>
            </w:r>
          </w:p>
        </w:tc>
        <w:tc>
          <w:tcPr>
            <w:tcW w:w="738" w:type="dxa"/>
            <w:tcBorders>
              <w:bottom w:val="single" w:sz="12" w:space="0" w:color="auto"/>
            </w:tcBorders>
            <w:shd w:val="clear" w:color="auto" w:fill="auto"/>
            <w:vAlign w:val="bottom"/>
          </w:tcPr>
          <w:p w:rsidR="00180B44" w:rsidRPr="00A530E1" w:rsidRDefault="00180B44" w:rsidP="00180B44">
            <w:pPr>
              <w:shd w:val="clear" w:color="auto" w:fill="FFFFFF"/>
              <w:suppressAutoHyphens w:val="0"/>
              <w:spacing w:before="80" w:after="80" w:line="200" w:lineRule="exact"/>
              <w:ind w:right="113"/>
              <w:jc w:val="right"/>
              <w:rPr>
                <w:i/>
                <w:sz w:val="16"/>
                <w:lang w:eastAsia="es-ES"/>
              </w:rPr>
            </w:pPr>
            <w:r w:rsidRPr="00A530E1">
              <w:rPr>
                <w:i/>
                <w:sz w:val="16"/>
                <w:szCs w:val="14"/>
                <w:lang w:eastAsia="es-ES"/>
              </w:rPr>
              <w:t>Mental</w:t>
            </w:r>
            <w:r w:rsidRPr="00A530E1">
              <w:rPr>
                <w:i/>
                <w:sz w:val="18"/>
                <w:szCs w:val="18"/>
                <w:vertAlign w:val="superscript"/>
                <w:lang w:eastAsia="es-ES"/>
              </w:rPr>
              <w:t>2</w:t>
            </w:r>
          </w:p>
        </w:tc>
        <w:tc>
          <w:tcPr>
            <w:tcW w:w="739" w:type="dxa"/>
            <w:tcBorders>
              <w:bottom w:val="single" w:sz="12" w:space="0" w:color="auto"/>
            </w:tcBorders>
            <w:shd w:val="clear" w:color="auto" w:fill="auto"/>
            <w:vAlign w:val="bottom"/>
          </w:tcPr>
          <w:p w:rsidR="00180B44" w:rsidRPr="00A530E1" w:rsidRDefault="00180B44" w:rsidP="00180B44">
            <w:pPr>
              <w:shd w:val="clear" w:color="auto" w:fill="FFFFFF"/>
              <w:suppressAutoHyphens w:val="0"/>
              <w:spacing w:before="80" w:after="80" w:line="200" w:lineRule="exact"/>
              <w:ind w:right="113"/>
              <w:jc w:val="right"/>
              <w:rPr>
                <w:i/>
                <w:sz w:val="16"/>
                <w:lang w:eastAsia="es-ES"/>
              </w:rPr>
            </w:pPr>
            <w:r w:rsidRPr="00A530E1">
              <w:rPr>
                <w:i/>
                <w:sz w:val="16"/>
                <w:szCs w:val="14"/>
                <w:lang w:eastAsia="es-ES"/>
              </w:rPr>
              <w:t>Speech</w:t>
            </w:r>
          </w:p>
        </w:tc>
        <w:tc>
          <w:tcPr>
            <w:tcW w:w="1234" w:type="dxa"/>
            <w:tcBorders>
              <w:bottom w:val="single" w:sz="12" w:space="0" w:color="auto"/>
            </w:tcBorders>
            <w:shd w:val="clear" w:color="auto" w:fill="auto"/>
            <w:vAlign w:val="bottom"/>
          </w:tcPr>
          <w:p w:rsidR="00180B44" w:rsidRPr="00A530E1" w:rsidRDefault="00180B44" w:rsidP="00180B44">
            <w:pPr>
              <w:shd w:val="clear" w:color="auto" w:fill="FFFFFF"/>
              <w:suppressAutoHyphens w:val="0"/>
              <w:spacing w:before="80" w:after="80" w:line="200" w:lineRule="exact"/>
              <w:ind w:right="113"/>
              <w:jc w:val="right"/>
              <w:rPr>
                <w:i/>
                <w:sz w:val="16"/>
                <w:lang w:eastAsia="es-ES"/>
              </w:rPr>
            </w:pPr>
            <w:r w:rsidRPr="00A530E1">
              <w:rPr>
                <w:i/>
                <w:sz w:val="16"/>
                <w:szCs w:val="14"/>
                <w:lang w:eastAsia="es-ES"/>
              </w:rPr>
              <w:t>Communication</w:t>
            </w:r>
          </w:p>
        </w:tc>
      </w:tr>
      <w:tr w:rsidR="00180B44" w:rsidRPr="00A530E1" w:rsidTr="00DB520F">
        <w:tblPrEx>
          <w:tblCellMar>
            <w:top w:w="0" w:type="dxa"/>
            <w:bottom w:w="0" w:type="dxa"/>
          </w:tblCellMar>
        </w:tblPrEx>
        <w:trPr>
          <w:trHeight w:val="240"/>
        </w:trPr>
        <w:tc>
          <w:tcPr>
            <w:tcW w:w="1706" w:type="dxa"/>
            <w:tcBorders>
              <w:top w:val="single" w:sz="4" w:space="0" w:color="auto"/>
              <w:bottom w:val="nil"/>
            </w:tcBorders>
            <w:shd w:val="clear" w:color="auto" w:fill="auto"/>
            <w:vAlign w:val="bottom"/>
          </w:tcPr>
          <w:p w:rsidR="00180B44" w:rsidRPr="00A530E1" w:rsidRDefault="00180B44" w:rsidP="00D66044">
            <w:pPr>
              <w:shd w:val="clear" w:color="auto" w:fill="FFFFFF"/>
              <w:suppressAutoHyphens w:val="0"/>
              <w:spacing w:before="40" w:after="40" w:line="220" w:lineRule="exact"/>
              <w:ind w:right="113"/>
              <w:rPr>
                <w:sz w:val="18"/>
                <w:lang w:eastAsia="es-ES"/>
              </w:rPr>
            </w:pPr>
            <w:r w:rsidRPr="00A530E1">
              <w:rPr>
                <w:sz w:val="18"/>
                <w:szCs w:val="14"/>
                <w:lang w:eastAsia="es-ES"/>
              </w:rPr>
              <w:t>Employed</w:t>
            </w:r>
          </w:p>
        </w:tc>
        <w:tc>
          <w:tcPr>
            <w:tcW w:w="738" w:type="dxa"/>
            <w:tcBorders>
              <w:top w:val="single" w:sz="4" w:space="0" w:color="auto"/>
              <w:bottom w:val="nil"/>
            </w:tcBorders>
            <w:shd w:val="clear" w:color="auto" w:fill="auto"/>
            <w:vAlign w:val="bottom"/>
          </w:tcPr>
          <w:p w:rsidR="00180B44" w:rsidRPr="00A530E1" w:rsidRDefault="00180B44" w:rsidP="00D66044">
            <w:pPr>
              <w:shd w:val="clear" w:color="auto" w:fill="FFFFFF"/>
              <w:suppressAutoHyphens w:val="0"/>
              <w:spacing w:before="40" w:after="40" w:line="220" w:lineRule="exact"/>
              <w:ind w:right="113"/>
              <w:jc w:val="right"/>
              <w:rPr>
                <w:b/>
                <w:bCs/>
                <w:sz w:val="18"/>
                <w:szCs w:val="14"/>
                <w:lang w:eastAsia="es-ES"/>
              </w:rPr>
            </w:pPr>
            <w:r w:rsidRPr="00A530E1">
              <w:rPr>
                <w:b/>
                <w:sz w:val="18"/>
                <w:szCs w:val="14"/>
                <w:lang w:eastAsia="es-ES"/>
              </w:rPr>
              <w:t xml:space="preserve">48.2 </w:t>
            </w:r>
          </w:p>
        </w:tc>
        <w:tc>
          <w:tcPr>
            <w:tcW w:w="738" w:type="dxa"/>
            <w:tcBorders>
              <w:top w:val="single" w:sz="4" w:space="0" w:color="auto"/>
              <w:bottom w:val="nil"/>
            </w:tcBorders>
            <w:shd w:val="clear" w:color="auto" w:fill="auto"/>
            <w:vAlign w:val="bottom"/>
          </w:tcPr>
          <w:p w:rsidR="00180B44" w:rsidRPr="00A530E1" w:rsidRDefault="00180B44" w:rsidP="00D66044">
            <w:pPr>
              <w:shd w:val="clear" w:color="auto" w:fill="FFFFFF"/>
              <w:suppressAutoHyphens w:val="0"/>
              <w:spacing w:before="40" w:after="40" w:line="220" w:lineRule="exact"/>
              <w:ind w:right="113"/>
              <w:jc w:val="right"/>
              <w:rPr>
                <w:bCs/>
                <w:sz w:val="18"/>
                <w:szCs w:val="14"/>
                <w:lang w:eastAsia="es-ES"/>
              </w:rPr>
            </w:pPr>
            <w:r w:rsidRPr="00A530E1">
              <w:rPr>
                <w:sz w:val="18"/>
                <w:szCs w:val="14"/>
                <w:lang w:eastAsia="es-ES"/>
              </w:rPr>
              <w:t xml:space="preserve">48.6 </w:t>
            </w:r>
          </w:p>
        </w:tc>
        <w:tc>
          <w:tcPr>
            <w:tcW w:w="739" w:type="dxa"/>
            <w:tcBorders>
              <w:top w:val="single" w:sz="4" w:space="0" w:color="auto"/>
              <w:bottom w:val="nil"/>
            </w:tcBorders>
            <w:shd w:val="clear" w:color="auto" w:fill="auto"/>
            <w:vAlign w:val="bottom"/>
          </w:tcPr>
          <w:p w:rsidR="00180B44" w:rsidRPr="00A530E1" w:rsidRDefault="00180B44" w:rsidP="00D66044">
            <w:pPr>
              <w:shd w:val="clear" w:color="auto" w:fill="FFFFFF"/>
              <w:suppressAutoHyphens w:val="0"/>
              <w:spacing w:before="40" w:after="40" w:line="220" w:lineRule="exact"/>
              <w:ind w:right="113"/>
              <w:jc w:val="right"/>
              <w:rPr>
                <w:bCs/>
                <w:sz w:val="18"/>
                <w:szCs w:val="14"/>
                <w:lang w:eastAsia="es-ES"/>
              </w:rPr>
            </w:pPr>
            <w:r w:rsidRPr="00A530E1">
              <w:rPr>
                <w:sz w:val="18"/>
                <w:szCs w:val="14"/>
                <w:lang w:eastAsia="es-ES"/>
              </w:rPr>
              <w:t xml:space="preserve">38.5 </w:t>
            </w:r>
          </w:p>
        </w:tc>
        <w:tc>
          <w:tcPr>
            <w:tcW w:w="738" w:type="dxa"/>
            <w:tcBorders>
              <w:top w:val="single" w:sz="4" w:space="0" w:color="auto"/>
              <w:bottom w:val="nil"/>
            </w:tcBorders>
            <w:shd w:val="clear" w:color="auto" w:fill="auto"/>
            <w:vAlign w:val="bottom"/>
          </w:tcPr>
          <w:p w:rsidR="00180B44" w:rsidRPr="00A530E1" w:rsidRDefault="00180B44" w:rsidP="00D66044">
            <w:pPr>
              <w:shd w:val="clear" w:color="auto" w:fill="FFFFFF"/>
              <w:suppressAutoHyphens w:val="0"/>
              <w:spacing w:before="40" w:after="40" w:line="220" w:lineRule="exact"/>
              <w:ind w:right="113"/>
              <w:jc w:val="right"/>
              <w:rPr>
                <w:bCs/>
                <w:sz w:val="18"/>
                <w:szCs w:val="14"/>
                <w:lang w:eastAsia="es-ES"/>
              </w:rPr>
            </w:pPr>
            <w:r w:rsidRPr="00A530E1">
              <w:rPr>
                <w:sz w:val="18"/>
                <w:szCs w:val="14"/>
                <w:lang w:eastAsia="es-ES"/>
              </w:rPr>
              <w:t xml:space="preserve">44.7 </w:t>
            </w:r>
          </w:p>
        </w:tc>
        <w:tc>
          <w:tcPr>
            <w:tcW w:w="738" w:type="dxa"/>
            <w:tcBorders>
              <w:top w:val="single" w:sz="4" w:space="0" w:color="auto"/>
              <w:bottom w:val="nil"/>
            </w:tcBorders>
            <w:shd w:val="clear" w:color="auto" w:fill="auto"/>
            <w:vAlign w:val="bottom"/>
          </w:tcPr>
          <w:p w:rsidR="00180B44" w:rsidRPr="00A530E1" w:rsidRDefault="00180B44" w:rsidP="00D66044">
            <w:pPr>
              <w:shd w:val="clear" w:color="auto" w:fill="FFFFFF"/>
              <w:suppressAutoHyphens w:val="0"/>
              <w:spacing w:before="40" w:after="40" w:line="220" w:lineRule="exact"/>
              <w:ind w:right="113"/>
              <w:jc w:val="right"/>
              <w:rPr>
                <w:bCs/>
                <w:sz w:val="18"/>
                <w:szCs w:val="14"/>
                <w:lang w:eastAsia="es-ES"/>
              </w:rPr>
            </w:pPr>
            <w:r w:rsidRPr="00A530E1">
              <w:rPr>
                <w:sz w:val="18"/>
                <w:szCs w:val="14"/>
                <w:lang w:eastAsia="es-ES"/>
              </w:rPr>
              <w:t xml:space="preserve">31.4 </w:t>
            </w:r>
          </w:p>
        </w:tc>
        <w:tc>
          <w:tcPr>
            <w:tcW w:w="739" w:type="dxa"/>
            <w:tcBorders>
              <w:top w:val="single" w:sz="4" w:space="0" w:color="auto"/>
              <w:bottom w:val="nil"/>
            </w:tcBorders>
            <w:shd w:val="clear" w:color="auto" w:fill="auto"/>
            <w:vAlign w:val="bottom"/>
          </w:tcPr>
          <w:p w:rsidR="00180B44" w:rsidRPr="00A530E1" w:rsidRDefault="00180B44" w:rsidP="00D66044">
            <w:pPr>
              <w:shd w:val="clear" w:color="auto" w:fill="FFFFFF"/>
              <w:suppressAutoHyphens w:val="0"/>
              <w:spacing w:before="40" w:after="40" w:line="220" w:lineRule="exact"/>
              <w:ind w:right="113"/>
              <w:jc w:val="right"/>
              <w:rPr>
                <w:bCs/>
                <w:sz w:val="18"/>
                <w:szCs w:val="14"/>
                <w:lang w:eastAsia="es-ES"/>
              </w:rPr>
            </w:pPr>
            <w:r w:rsidRPr="00A530E1">
              <w:rPr>
                <w:sz w:val="18"/>
                <w:szCs w:val="14"/>
                <w:lang w:eastAsia="es-ES"/>
              </w:rPr>
              <w:t xml:space="preserve">28.9 </w:t>
            </w:r>
          </w:p>
        </w:tc>
        <w:tc>
          <w:tcPr>
            <w:tcW w:w="1234" w:type="dxa"/>
            <w:tcBorders>
              <w:top w:val="single" w:sz="4" w:space="0" w:color="auto"/>
              <w:bottom w:val="nil"/>
            </w:tcBorders>
            <w:shd w:val="clear" w:color="auto" w:fill="auto"/>
            <w:vAlign w:val="bottom"/>
          </w:tcPr>
          <w:p w:rsidR="00180B44" w:rsidRPr="00A530E1" w:rsidRDefault="00180B44" w:rsidP="00D66044">
            <w:pPr>
              <w:shd w:val="clear" w:color="auto" w:fill="FFFFFF"/>
              <w:suppressAutoHyphens w:val="0"/>
              <w:spacing w:before="40" w:after="40" w:line="220" w:lineRule="exact"/>
              <w:ind w:right="113"/>
              <w:jc w:val="right"/>
              <w:rPr>
                <w:bCs/>
                <w:sz w:val="18"/>
                <w:szCs w:val="14"/>
                <w:lang w:eastAsia="es-ES"/>
              </w:rPr>
            </w:pPr>
            <w:r w:rsidRPr="00A530E1">
              <w:rPr>
                <w:sz w:val="18"/>
                <w:szCs w:val="14"/>
                <w:lang w:eastAsia="es-ES"/>
              </w:rPr>
              <w:t>19.1</w:t>
            </w:r>
          </w:p>
        </w:tc>
      </w:tr>
      <w:tr w:rsidR="00180B44" w:rsidRPr="00A530E1" w:rsidTr="00DB520F">
        <w:tblPrEx>
          <w:tblCellMar>
            <w:top w:w="0" w:type="dxa"/>
            <w:bottom w:w="0" w:type="dxa"/>
          </w:tblCellMar>
        </w:tblPrEx>
        <w:trPr>
          <w:trHeight w:val="240"/>
        </w:trPr>
        <w:tc>
          <w:tcPr>
            <w:tcW w:w="1706" w:type="dxa"/>
            <w:tcBorders>
              <w:top w:val="nil"/>
              <w:bottom w:val="single" w:sz="4" w:space="0" w:color="auto"/>
            </w:tcBorders>
            <w:shd w:val="clear" w:color="auto" w:fill="auto"/>
            <w:vAlign w:val="bottom"/>
          </w:tcPr>
          <w:p w:rsidR="00180B44" w:rsidRPr="00A530E1" w:rsidRDefault="00180B44" w:rsidP="00D66044">
            <w:pPr>
              <w:shd w:val="clear" w:color="auto" w:fill="FFFFFF"/>
              <w:suppressAutoHyphens w:val="0"/>
              <w:spacing w:before="40" w:after="40" w:line="220" w:lineRule="exact"/>
              <w:ind w:right="113"/>
              <w:rPr>
                <w:bCs/>
                <w:sz w:val="18"/>
                <w:szCs w:val="14"/>
                <w:lang w:eastAsia="es-ES"/>
              </w:rPr>
            </w:pPr>
            <w:r w:rsidRPr="00A530E1">
              <w:rPr>
                <w:sz w:val="18"/>
                <w:szCs w:val="14"/>
                <w:lang w:eastAsia="es-ES"/>
              </w:rPr>
              <w:t>Unemployed</w:t>
            </w:r>
            <w:r w:rsidRPr="00A530E1">
              <w:rPr>
                <w:i/>
                <w:sz w:val="18"/>
                <w:szCs w:val="14"/>
                <w:vertAlign w:val="superscript"/>
                <w:lang w:eastAsia="es-ES"/>
              </w:rPr>
              <w:t>3</w:t>
            </w:r>
          </w:p>
        </w:tc>
        <w:tc>
          <w:tcPr>
            <w:tcW w:w="738" w:type="dxa"/>
            <w:tcBorders>
              <w:top w:val="nil"/>
              <w:bottom w:val="single" w:sz="4" w:space="0" w:color="auto"/>
            </w:tcBorders>
            <w:shd w:val="clear" w:color="auto" w:fill="auto"/>
            <w:vAlign w:val="bottom"/>
          </w:tcPr>
          <w:p w:rsidR="00180B44" w:rsidRPr="00A530E1" w:rsidRDefault="00180B44" w:rsidP="00D66044">
            <w:pPr>
              <w:shd w:val="clear" w:color="auto" w:fill="FFFFFF"/>
              <w:suppressAutoHyphens w:val="0"/>
              <w:spacing w:before="40" w:after="40" w:line="220" w:lineRule="exact"/>
              <w:ind w:right="113"/>
              <w:jc w:val="right"/>
              <w:rPr>
                <w:b/>
                <w:bCs/>
                <w:sz w:val="18"/>
                <w:szCs w:val="14"/>
                <w:lang w:eastAsia="es-ES"/>
              </w:rPr>
            </w:pPr>
            <w:r w:rsidRPr="00A530E1">
              <w:rPr>
                <w:b/>
                <w:sz w:val="18"/>
                <w:szCs w:val="14"/>
                <w:lang w:eastAsia="es-ES"/>
              </w:rPr>
              <w:t>51.8</w:t>
            </w:r>
          </w:p>
        </w:tc>
        <w:tc>
          <w:tcPr>
            <w:tcW w:w="738" w:type="dxa"/>
            <w:tcBorders>
              <w:top w:val="nil"/>
              <w:bottom w:val="single" w:sz="4" w:space="0" w:color="auto"/>
            </w:tcBorders>
            <w:shd w:val="clear" w:color="auto" w:fill="auto"/>
            <w:vAlign w:val="bottom"/>
          </w:tcPr>
          <w:p w:rsidR="00180B44" w:rsidRPr="00A530E1" w:rsidRDefault="00180B44" w:rsidP="00D66044">
            <w:pPr>
              <w:shd w:val="clear" w:color="auto" w:fill="FFFFFF"/>
              <w:suppressAutoHyphens w:val="0"/>
              <w:spacing w:before="40" w:after="40" w:line="220" w:lineRule="exact"/>
              <w:ind w:right="113"/>
              <w:jc w:val="right"/>
              <w:rPr>
                <w:bCs/>
                <w:sz w:val="18"/>
                <w:szCs w:val="14"/>
                <w:lang w:eastAsia="es-ES"/>
              </w:rPr>
            </w:pPr>
            <w:r w:rsidRPr="00A530E1">
              <w:rPr>
                <w:sz w:val="18"/>
                <w:szCs w:val="14"/>
                <w:lang w:eastAsia="es-ES"/>
              </w:rPr>
              <w:t>51.4</w:t>
            </w:r>
          </w:p>
        </w:tc>
        <w:tc>
          <w:tcPr>
            <w:tcW w:w="739" w:type="dxa"/>
            <w:tcBorders>
              <w:top w:val="nil"/>
              <w:bottom w:val="single" w:sz="4" w:space="0" w:color="auto"/>
            </w:tcBorders>
            <w:shd w:val="clear" w:color="auto" w:fill="auto"/>
            <w:vAlign w:val="bottom"/>
          </w:tcPr>
          <w:p w:rsidR="00180B44" w:rsidRPr="00A530E1" w:rsidRDefault="00180B44" w:rsidP="00D66044">
            <w:pPr>
              <w:shd w:val="clear" w:color="auto" w:fill="FFFFFF"/>
              <w:suppressAutoHyphens w:val="0"/>
              <w:spacing w:before="40" w:after="40" w:line="220" w:lineRule="exact"/>
              <w:ind w:right="113"/>
              <w:jc w:val="right"/>
              <w:rPr>
                <w:bCs/>
                <w:sz w:val="18"/>
                <w:szCs w:val="14"/>
                <w:lang w:eastAsia="es-ES"/>
              </w:rPr>
            </w:pPr>
            <w:r w:rsidRPr="00A530E1">
              <w:rPr>
                <w:sz w:val="18"/>
                <w:szCs w:val="14"/>
                <w:lang w:eastAsia="es-ES"/>
              </w:rPr>
              <w:t>61.5</w:t>
            </w:r>
          </w:p>
        </w:tc>
        <w:tc>
          <w:tcPr>
            <w:tcW w:w="738" w:type="dxa"/>
            <w:tcBorders>
              <w:top w:val="nil"/>
              <w:bottom w:val="single" w:sz="4" w:space="0" w:color="auto"/>
            </w:tcBorders>
            <w:shd w:val="clear" w:color="auto" w:fill="auto"/>
            <w:vAlign w:val="bottom"/>
          </w:tcPr>
          <w:p w:rsidR="00180B44" w:rsidRPr="00A530E1" w:rsidRDefault="00180B44" w:rsidP="00D66044">
            <w:pPr>
              <w:shd w:val="clear" w:color="auto" w:fill="FFFFFF"/>
              <w:suppressAutoHyphens w:val="0"/>
              <w:spacing w:before="40" w:after="40" w:line="220" w:lineRule="exact"/>
              <w:ind w:right="113"/>
              <w:jc w:val="right"/>
              <w:rPr>
                <w:bCs/>
                <w:sz w:val="18"/>
                <w:szCs w:val="14"/>
                <w:lang w:eastAsia="es-ES"/>
              </w:rPr>
            </w:pPr>
            <w:r w:rsidRPr="00A530E1">
              <w:rPr>
                <w:sz w:val="18"/>
                <w:szCs w:val="14"/>
                <w:lang w:eastAsia="es-ES"/>
              </w:rPr>
              <w:t>55.3</w:t>
            </w:r>
          </w:p>
        </w:tc>
        <w:tc>
          <w:tcPr>
            <w:tcW w:w="738" w:type="dxa"/>
            <w:tcBorders>
              <w:top w:val="nil"/>
              <w:bottom w:val="single" w:sz="4" w:space="0" w:color="auto"/>
            </w:tcBorders>
            <w:shd w:val="clear" w:color="auto" w:fill="auto"/>
            <w:vAlign w:val="bottom"/>
          </w:tcPr>
          <w:p w:rsidR="00180B44" w:rsidRPr="00A530E1" w:rsidRDefault="00180B44" w:rsidP="00D66044">
            <w:pPr>
              <w:shd w:val="clear" w:color="auto" w:fill="FFFFFF"/>
              <w:suppressAutoHyphens w:val="0"/>
              <w:spacing w:before="40" w:after="40" w:line="220" w:lineRule="exact"/>
              <w:ind w:right="113"/>
              <w:jc w:val="right"/>
              <w:rPr>
                <w:bCs/>
                <w:sz w:val="18"/>
                <w:szCs w:val="14"/>
                <w:lang w:eastAsia="es-ES"/>
              </w:rPr>
            </w:pPr>
            <w:r w:rsidRPr="00A530E1">
              <w:rPr>
                <w:sz w:val="18"/>
                <w:szCs w:val="14"/>
                <w:lang w:eastAsia="es-ES"/>
              </w:rPr>
              <w:t>68.6</w:t>
            </w:r>
          </w:p>
        </w:tc>
        <w:tc>
          <w:tcPr>
            <w:tcW w:w="739" w:type="dxa"/>
            <w:tcBorders>
              <w:top w:val="nil"/>
              <w:bottom w:val="single" w:sz="4" w:space="0" w:color="auto"/>
            </w:tcBorders>
            <w:shd w:val="clear" w:color="auto" w:fill="auto"/>
            <w:vAlign w:val="bottom"/>
          </w:tcPr>
          <w:p w:rsidR="00180B44" w:rsidRPr="00A530E1" w:rsidRDefault="00180B44" w:rsidP="00D66044">
            <w:pPr>
              <w:shd w:val="clear" w:color="auto" w:fill="FFFFFF"/>
              <w:suppressAutoHyphens w:val="0"/>
              <w:spacing w:before="40" w:after="40" w:line="220" w:lineRule="exact"/>
              <w:ind w:right="113"/>
              <w:jc w:val="right"/>
              <w:rPr>
                <w:bCs/>
                <w:sz w:val="18"/>
                <w:szCs w:val="14"/>
                <w:lang w:eastAsia="es-ES"/>
              </w:rPr>
            </w:pPr>
            <w:r w:rsidRPr="00A530E1">
              <w:rPr>
                <w:sz w:val="18"/>
                <w:szCs w:val="14"/>
                <w:lang w:eastAsia="es-ES"/>
              </w:rPr>
              <w:t>71.1</w:t>
            </w:r>
          </w:p>
        </w:tc>
        <w:tc>
          <w:tcPr>
            <w:tcW w:w="1234" w:type="dxa"/>
            <w:tcBorders>
              <w:top w:val="nil"/>
              <w:bottom w:val="single" w:sz="4" w:space="0" w:color="auto"/>
            </w:tcBorders>
            <w:shd w:val="clear" w:color="auto" w:fill="auto"/>
            <w:vAlign w:val="bottom"/>
          </w:tcPr>
          <w:p w:rsidR="00180B44" w:rsidRPr="00A530E1" w:rsidRDefault="00180B44" w:rsidP="00D66044">
            <w:pPr>
              <w:shd w:val="clear" w:color="auto" w:fill="FFFFFF"/>
              <w:suppressAutoHyphens w:val="0"/>
              <w:spacing w:before="40" w:after="40" w:line="220" w:lineRule="exact"/>
              <w:ind w:right="113"/>
              <w:jc w:val="right"/>
              <w:rPr>
                <w:bCs/>
                <w:sz w:val="18"/>
                <w:szCs w:val="14"/>
                <w:lang w:eastAsia="es-ES"/>
              </w:rPr>
            </w:pPr>
            <w:r w:rsidRPr="00A530E1">
              <w:rPr>
                <w:sz w:val="18"/>
                <w:szCs w:val="14"/>
                <w:lang w:eastAsia="es-ES"/>
              </w:rPr>
              <w:t>80.9</w:t>
            </w:r>
          </w:p>
        </w:tc>
      </w:tr>
      <w:tr w:rsidR="00180B44" w:rsidRPr="00A530E1" w:rsidTr="00DB520F">
        <w:tblPrEx>
          <w:tblCellMar>
            <w:top w:w="0" w:type="dxa"/>
            <w:bottom w:w="0" w:type="dxa"/>
          </w:tblCellMar>
        </w:tblPrEx>
        <w:trPr>
          <w:trHeight w:val="240"/>
        </w:trPr>
        <w:tc>
          <w:tcPr>
            <w:tcW w:w="1706" w:type="dxa"/>
            <w:tcBorders>
              <w:top w:val="single" w:sz="4" w:space="0" w:color="auto"/>
            </w:tcBorders>
            <w:shd w:val="clear" w:color="auto" w:fill="auto"/>
            <w:vAlign w:val="bottom"/>
          </w:tcPr>
          <w:p w:rsidR="00180B44" w:rsidRPr="00A530E1" w:rsidRDefault="00180B44" w:rsidP="00D66044">
            <w:pPr>
              <w:shd w:val="clear" w:color="auto" w:fill="FFFFFF"/>
              <w:suppressAutoHyphens w:val="0"/>
              <w:spacing w:before="80" w:after="80" w:line="220" w:lineRule="exact"/>
              <w:ind w:left="284" w:right="113"/>
              <w:rPr>
                <w:b/>
                <w:sz w:val="18"/>
                <w:lang w:eastAsia="es-ES"/>
              </w:rPr>
            </w:pPr>
            <w:r w:rsidRPr="00A530E1">
              <w:rPr>
                <w:b/>
                <w:bCs/>
                <w:sz w:val="18"/>
                <w:szCs w:val="14"/>
                <w:lang w:eastAsia="es-ES"/>
              </w:rPr>
              <w:t>Total</w:t>
            </w:r>
          </w:p>
        </w:tc>
        <w:tc>
          <w:tcPr>
            <w:tcW w:w="738" w:type="dxa"/>
            <w:tcBorders>
              <w:top w:val="single" w:sz="4" w:space="0" w:color="auto"/>
            </w:tcBorders>
            <w:shd w:val="clear" w:color="auto" w:fill="auto"/>
            <w:vAlign w:val="bottom"/>
          </w:tcPr>
          <w:p w:rsidR="00180B44" w:rsidRPr="00A530E1" w:rsidRDefault="00180B44" w:rsidP="00D66044">
            <w:pPr>
              <w:shd w:val="clear" w:color="auto" w:fill="FFFFFF"/>
              <w:suppressAutoHyphens w:val="0"/>
              <w:spacing w:before="80" w:after="80" w:line="220" w:lineRule="exact"/>
              <w:ind w:right="113"/>
              <w:jc w:val="right"/>
              <w:rPr>
                <w:b/>
                <w:sz w:val="18"/>
                <w:lang w:eastAsia="es-ES"/>
              </w:rPr>
            </w:pPr>
            <w:r w:rsidRPr="00A530E1">
              <w:rPr>
                <w:b/>
                <w:bCs/>
                <w:sz w:val="18"/>
                <w:szCs w:val="14"/>
                <w:lang w:eastAsia="es-ES"/>
              </w:rPr>
              <w:t>100.0</w:t>
            </w:r>
          </w:p>
        </w:tc>
        <w:tc>
          <w:tcPr>
            <w:tcW w:w="738" w:type="dxa"/>
            <w:tcBorders>
              <w:top w:val="single" w:sz="4" w:space="0" w:color="auto"/>
            </w:tcBorders>
            <w:shd w:val="clear" w:color="auto" w:fill="auto"/>
            <w:vAlign w:val="bottom"/>
          </w:tcPr>
          <w:p w:rsidR="00180B44" w:rsidRPr="00A530E1" w:rsidRDefault="00180B44" w:rsidP="00D66044">
            <w:pPr>
              <w:shd w:val="clear" w:color="auto" w:fill="FFFFFF"/>
              <w:suppressAutoHyphens w:val="0"/>
              <w:spacing w:before="80" w:after="80" w:line="220" w:lineRule="exact"/>
              <w:ind w:right="113"/>
              <w:jc w:val="right"/>
              <w:rPr>
                <w:b/>
                <w:sz w:val="18"/>
                <w:lang w:eastAsia="es-ES"/>
              </w:rPr>
            </w:pPr>
            <w:r w:rsidRPr="00A530E1">
              <w:rPr>
                <w:b/>
                <w:bCs/>
                <w:sz w:val="18"/>
                <w:szCs w:val="14"/>
                <w:lang w:eastAsia="es-ES"/>
              </w:rPr>
              <w:t>100.0</w:t>
            </w:r>
          </w:p>
        </w:tc>
        <w:tc>
          <w:tcPr>
            <w:tcW w:w="739" w:type="dxa"/>
            <w:tcBorders>
              <w:top w:val="single" w:sz="4" w:space="0" w:color="auto"/>
            </w:tcBorders>
            <w:shd w:val="clear" w:color="auto" w:fill="auto"/>
            <w:vAlign w:val="bottom"/>
          </w:tcPr>
          <w:p w:rsidR="00180B44" w:rsidRPr="00A530E1" w:rsidRDefault="00180B44" w:rsidP="00D66044">
            <w:pPr>
              <w:shd w:val="clear" w:color="auto" w:fill="FFFFFF"/>
              <w:suppressAutoHyphens w:val="0"/>
              <w:spacing w:before="80" w:after="80" w:line="220" w:lineRule="exact"/>
              <w:ind w:right="113"/>
              <w:jc w:val="right"/>
              <w:rPr>
                <w:b/>
                <w:sz w:val="18"/>
                <w:lang w:eastAsia="es-ES"/>
              </w:rPr>
            </w:pPr>
            <w:r w:rsidRPr="00A530E1">
              <w:rPr>
                <w:b/>
                <w:bCs/>
                <w:sz w:val="18"/>
                <w:szCs w:val="14"/>
                <w:lang w:eastAsia="es-ES"/>
              </w:rPr>
              <w:t>100.0</w:t>
            </w:r>
          </w:p>
        </w:tc>
        <w:tc>
          <w:tcPr>
            <w:tcW w:w="738" w:type="dxa"/>
            <w:tcBorders>
              <w:top w:val="single" w:sz="4" w:space="0" w:color="auto"/>
            </w:tcBorders>
            <w:shd w:val="clear" w:color="auto" w:fill="auto"/>
            <w:vAlign w:val="bottom"/>
          </w:tcPr>
          <w:p w:rsidR="00180B44" w:rsidRPr="00A530E1" w:rsidRDefault="00180B44" w:rsidP="00D66044">
            <w:pPr>
              <w:shd w:val="clear" w:color="auto" w:fill="FFFFFF"/>
              <w:suppressAutoHyphens w:val="0"/>
              <w:spacing w:before="80" w:after="80" w:line="220" w:lineRule="exact"/>
              <w:ind w:right="113"/>
              <w:jc w:val="right"/>
              <w:rPr>
                <w:b/>
                <w:sz w:val="18"/>
                <w:lang w:eastAsia="es-ES"/>
              </w:rPr>
            </w:pPr>
            <w:r w:rsidRPr="00A530E1">
              <w:rPr>
                <w:b/>
                <w:bCs/>
                <w:sz w:val="18"/>
                <w:szCs w:val="14"/>
                <w:lang w:eastAsia="es-ES"/>
              </w:rPr>
              <w:t>100.0</w:t>
            </w:r>
          </w:p>
        </w:tc>
        <w:tc>
          <w:tcPr>
            <w:tcW w:w="738" w:type="dxa"/>
            <w:tcBorders>
              <w:top w:val="single" w:sz="4" w:space="0" w:color="auto"/>
            </w:tcBorders>
            <w:shd w:val="clear" w:color="auto" w:fill="auto"/>
            <w:vAlign w:val="bottom"/>
          </w:tcPr>
          <w:p w:rsidR="00180B44" w:rsidRPr="00A530E1" w:rsidRDefault="00180B44" w:rsidP="00D66044">
            <w:pPr>
              <w:shd w:val="clear" w:color="auto" w:fill="FFFFFF"/>
              <w:suppressAutoHyphens w:val="0"/>
              <w:spacing w:before="80" w:after="80" w:line="220" w:lineRule="exact"/>
              <w:ind w:right="113"/>
              <w:jc w:val="right"/>
              <w:rPr>
                <w:b/>
                <w:sz w:val="18"/>
                <w:lang w:eastAsia="es-ES"/>
              </w:rPr>
            </w:pPr>
            <w:r w:rsidRPr="00A530E1">
              <w:rPr>
                <w:b/>
                <w:bCs/>
                <w:sz w:val="18"/>
                <w:szCs w:val="14"/>
                <w:lang w:eastAsia="es-ES"/>
              </w:rPr>
              <w:t>100.0</w:t>
            </w:r>
          </w:p>
        </w:tc>
        <w:tc>
          <w:tcPr>
            <w:tcW w:w="739" w:type="dxa"/>
            <w:tcBorders>
              <w:top w:val="single" w:sz="4" w:space="0" w:color="auto"/>
            </w:tcBorders>
            <w:shd w:val="clear" w:color="auto" w:fill="auto"/>
            <w:vAlign w:val="bottom"/>
          </w:tcPr>
          <w:p w:rsidR="00180B44" w:rsidRPr="00A530E1" w:rsidRDefault="00180B44" w:rsidP="00D66044">
            <w:pPr>
              <w:shd w:val="clear" w:color="auto" w:fill="FFFFFF"/>
              <w:suppressAutoHyphens w:val="0"/>
              <w:spacing w:before="80" w:after="80" w:line="220" w:lineRule="exact"/>
              <w:ind w:right="113"/>
              <w:jc w:val="right"/>
              <w:rPr>
                <w:b/>
                <w:sz w:val="18"/>
                <w:lang w:eastAsia="es-ES"/>
              </w:rPr>
            </w:pPr>
            <w:r w:rsidRPr="00A530E1">
              <w:rPr>
                <w:b/>
                <w:bCs/>
                <w:sz w:val="18"/>
                <w:szCs w:val="14"/>
                <w:lang w:eastAsia="es-ES"/>
              </w:rPr>
              <w:t>100.0</w:t>
            </w:r>
          </w:p>
        </w:tc>
        <w:tc>
          <w:tcPr>
            <w:tcW w:w="1234" w:type="dxa"/>
            <w:tcBorders>
              <w:top w:val="single" w:sz="4" w:space="0" w:color="auto"/>
            </w:tcBorders>
            <w:shd w:val="clear" w:color="auto" w:fill="auto"/>
            <w:vAlign w:val="bottom"/>
          </w:tcPr>
          <w:p w:rsidR="00180B44" w:rsidRPr="00A530E1" w:rsidRDefault="00180B44" w:rsidP="00D66044">
            <w:pPr>
              <w:shd w:val="clear" w:color="auto" w:fill="FFFFFF"/>
              <w:suppressAutoHyphens w:val="0"/>
              <w:spacing w:before="80" w:after="80" w:line="220" w:lineRule="exact"/>
              <w:ind w:right="113"/>
              <w:jc w:val="right"/>
              <w:rPr>
                <w:b/>
                <w:sz w:val="18"/>
                <w:lang w:eastAsia="es-ES"/>
              </w:rPr>
            </w:pPr>
            <w:r w:rsidRPr="00A530E1">
              <w:rPr>
                <w:b/>
                <w:bCs/>
                <w:sz w:val="18"/>
                <w:szCs w:val="14"/>
                <w:lang w:eastAsia="es-ES"/>
              </w:rPr>
              <w:t>100.0</w:t>
            </w:r>
          </w:p>
        </w:tc>
      </w:tr>
    </w:tbl>
    <w:p w:rsidR="00180B44" w:rsidRPr="00A530E1" w:rsidRDefault="00180B44" w:rsidP="00180B44">
      <w:pPr>
        <w:suppressAutoHyphens w:val="0"/>
        <w:spacing w:before="120" w:line="240" w:lineRule="auto"/>
        <w:ind w:left="1134" w:right="1134" w:firstLine="170"/>
        <w:rPr>
          <w:sz w:val="18"/>
          <w:szCs w:val="18"/>
        </w:rPr>
      </w:pPr>
      <w:r w:rsidRPr="00A530E1">
        <w:rPr>
          <w:i/>
          <w:sz w:val="18"/>
          <w:szCs w:val="18"/>
        </w:rPr>
        <w:t>Source</w:t>
      </w:r>
      <w:r w:rsidRPr="00A530E1">
        <w:rPr>
          <w:sz w:val="18"/>
          <w:szCs w:val="18"/>
        </w:rPr>
        <w:t>:  National Institute of Statistics (INEI) – Continuous National Survey, 2006.</w:t>
      </w:r>
    </w:p>
    <w:p w:rsidR="00180B44" w:rsidRPr="00A530E1" w:rsidRDefault="00180B44" w:rsidP="00180B44">
      <w:pPr>
        <w:suppressAutoHyphens w:val="0"/>
        <w:spacing w:line="240" w:lineRule="auto"/>
        <w:ind w:left="1134" w:right="1134" w:firstLine="170"/>
        <w:rPr>
          <w:sz w:val="18"/>
          <w:szCs w:val="18"/>
        </w:rPr>
      </w:pPr>
      <w:r w:rsidRPr="00A530E1">
        <w:rPr>
          <w:i/>
          <w:sz w:val="18"/>
          <w:szCs w:val="18"/>
        </w:rPr>
        <w:t>Note</w:t>
      </w:r>
      <w:r w:rsidRPr="00A530E1">
        <w:rPr>
          <w:sz w:val="18"/>
          <w:szCs w:val="18"/>
        </w:rPr>
        <w:t>:  The working-age population is defined as persons aged 14 and over.</w:t>
      </w:r>
    </w:p>
    <w:p w:rsidR="00180B44" w:rsidRPr="00A530E1" w:rsidRDefault="00180B44" w:rsidP="00180B44">
      <w:pPr>
        <w:suppressAutoHyphens w:val="0"/>
        <w:spacing w:line="240" w:lineRule="auto"/>
        <w:ind w:left="1134" w:right="1134" w:firstLine="170"/>
        <w:rPr>
          <w:sz w:val="18"/>
          <w:szCs w:val="18"/>
        </w:rPr>
      </w:pPr>
      <w:r w:rsidRPr="00A530E1">
        <w:rPr>
          <w:i/>
          <w:sz w:val="18"/>
          <w:szCs w:val="18"/>
          <w:vertAlign w:val="superscript"/>
        </w:rPr>
        <w:t>1</w:t>
      </w:r>
      <w:r w:rsidRPr="00A530E1">
        <w:rPr>
          <w:sz w:val="18"/>
          <w:szCs w:val="18"/>
        </w:rPr>
        <w:t xml:space="preserve">  Includes limited use of the upper or lower extremities.</w:t>
      </w:r>
    </w:p>
    <w:p w:rsidR="00180B44" w:rsidRPr="00A530E1" w:rsidRDefault="00180B44" w:rsidP="00180B44">
      <w:pPr>
        <w:suppressAutoHyphens w:val="0"/>
        <w:spacing w:line="240" w:lineRule="auto"/>
        <w:ind w:left="1134" w:right="1134" w:firstLine="170"/>
        <w:rPr>
          <w:sz w:val="18"/>
          <w:szCs w:val="18"/>
        </w:rPr>
      </w:pPr>
      <w:r w:rsidRPr="00A530E1">
        <w:rPr>
          <w:i/>
          <w:sz w:val="18"/>
          <w:szCs w:val="18"/>
          <w:vertAlign w:val="superscript"/>
        </w:rPr>
        <w:t>2</w:t>
      </w:r>
      <w:r w:rsidRPr="00A530E1">
        <w:rPr>
          <w:sz w:val="18"/>
          <w:szCs w:val="18"/>
        </w:rPr>
        <w:t xml:space="preserve">  Includes learning and comprehension difficulties.</w:t>
      </w:r>
    </w:p>
    <w:p w:rsidR="00180B44" w:rsidRPr="00A530E1" w:rsidRDefault="00180B44" w:rsidP="00180B44">
      <w:pPr>
        <w:suppressAutoHyphens w:val="0"/>
        <w:spacing w:after="240" w:line="240" w:lineRule="auto"/>
        <w:ind w:left="1134" w:right="1134" w:firstLine="170"/>
        <w:rPr>
          <w:sz w:val="18"/>
          <w:szCs w:val="18"/>
        </w:rPr>
      </w:pPr>
      <w:r w:rsidRPr="00A530E1">
        <w:rPr>
          <w:i/>
          <w:sz w:val="18"/>
          <w:szCs w:val="18"/>
          <w:vertAlign w:val="superscript"/>
        </w:rPr>
        <w:t>3</w:t>
      </w:r>
      <w:r w:rsidRPr="00A530E1">
        <w:rPr>
          <w:sz w:val="18"/>
          <w:szCs w:val="18"/>
        </w:rPr>
        <w:t xml:space="preserve">  Includes unemployed and economically inactive persons.</w:t>
      </w:r>
    </w:p>
    <w:p w:rsidR="00180B44" w:rsidRPr="00A530E1" w:rsidRDefault="00180B44" w:rsidP="00180B44">
      <w:pPr>
        <w:pStyle w:val="H23G"/>
        <w:spacing w:after="0"/>
      </w:pPr>
      <w:r w:rsidRPr="00A530E1">
        <w:tab/>
      </w:r>
      <w:r w:rsidRPr="00A530E1">
        <w:tab/>
        <w:t>Percentage of employed persons with disabilities over the age of 14, by type of disability and occupational category, 2006</w:t>
      </w:r>
    </w:p>
    <w:p w:rsidR="00180B44" w:rsidRPr="00A530E1" w:rsidRDefault="00180B44" w:rsidP="00180B44">
      <w:pPr>
        <w:pStyle w:val="SingleTxtG"/>
        <w:rPr>
          <w:sz w:val="16"/>
          <w:szCs w:val="16"/>
        </w:rPr>
      </w:pPr>
      <w:r w:rsidRPr="00A530E1">
        <w:rPr>
          <w:sz w:val="16"/>
          <w:szCs w:val="16"/>
        </w:rPr>
        <w:t>(Percentage distribution)</w:t>
      </w:r>
    </w:p>
    <w:tbl>
      <w:tblPr>
        <w:tblW w:w="8506" w:type="dxa"/>
        <w:tblInd w:w="1134" w:type="dxa"/>
        <w:tblBorders>
          <w:top w:val="single" w:sz="4" w:space="0" w:color="auto"/>
        </w:tblBorders>
        <w:tblLayout w:type="fixed"/>
        <w:tblCellMar>
          <w:left w:w="0" w:type="dxa"/>
          <w:right w:w="0" w:type="dxa"/>
        </w:tblCellMar>
        <w:tblLook w:val="0000" w:firstRow="0" w:lastRow="0" w:firstColumn="0" w:lastColumn="0" w:noHBand="0" w:noVBand="0"/>
      </w:tblPr>
      <w:tblGrid>
        <w:gridCol w:w="3190"/>
        <w:gridCol w:w="680"/>
        <w:gridCol w:w="680"/>
        <w:gridCol w:w="680"/>
        <w:gridCol w:w="680"/>
        <w:gridCol w:w="680"/>
        <w:gridCol w:w="680"/>
        <w:gridCol w:w="1236"/>
      </w:tblGrid>
      <w:tr w:rsidR="00180B44" w:rsidRPr="00A530E1" w:rsidTr="00DB520F">
        <w:tblPrEx>
          <w:tblCellMar>
            <w:top w:w="0" w:type="dxa"/>
            <w:bottom w:w="0" w:type="dxa"/>
          </w:tblCellMar>
        </w:tblPrEx>
        <w:trPr>
          <w:trHeight w:val="240"/>
          <w:tblHeader/>
        </w:trPr>
        <w:tc>
          <w:tcPr>
            <w:tcW w:w="3190" w:type="dxa"/>
            <w:tcBorders>
              <w:top w:val="single" w:sz="4" w:space="0" w:color="auto"/>
              <w:bottom w:val="single" w:sz="12" w:space="0" w:color="auto"/>
            </w:tcBorders>
            <w:shd w:val="clear" w:color="auto" w:fill="auto"/>
            <w:vAlign w:val="bottom"/>
          </w:tcPr>
          <w:p w:rsidR="00180B44" w:rsidRPr="00A530E1" w:rsidRDefault="00180B44" w:rsidP="00D42F73">
            <w:pPr>
              <w:shd w:val="clear" w:color="auto" w:fill="FFFFFF"/>
              <w:suppressAutoHyphens w:val="0"/>
              <w:spacing w:before="80" w:after="80" w:line="200" w:lineRule="exact"/>
              <w:ind w:right="113"/>
              <w:rPr>
                <w:i/>
                <w:sz w:val="16"/>
                <w:lang w:eastAsia="es-ES"/>
              </w:rPr>
            </w:pPr>
            <w:r w:rsidRPr="00A530E1">
              <w:rPr>
                <w:i/>
                <w:sz w:val="16"/>
                <w:szCs w:val="14"/>
                <w:lang w:eastAsia="es-ES"/>
              </w:rPr>
              <w:t>Employment status and occupational category</w:t>
            </w:r>
          </w:p>
        </w:tc>
        <w:tc>
          <w:tcPr>
            <w:tcW w:w="680" w:type="dxa"/>
            <w:tcBorders>
              <w:top w:val="single" w:sz="4" w:space="0" w:color="auto"/>
              <w:bottom w:val="single" w:sz="12" w:space="0" w:color="auto"/>
            </w:tcBorders>
            <w:shd w:val="clear" w:color="auto" w:fill="auto"/>
            <w:vAlign w:val="bottom"/>
          </w:tcPr>
          <w:p w:rsidR="00180B44" w:rsidRPr="00A530E1" w:rsidRDefault="00180B44" w:rsidP="00D42F73">
            <w:pPr>
              <w:shd w:val="clear" w:color="auto" w:fill="FFFFFF"/>
              <w:suppressAutoHyphens w:val="0"/>
              <w:spacing w:before="80" w:after="80" w:line="200" w:lineRule="exact"/>
              <w:ind w:right="113"/>
              <w:jc w:val="right"/>
              <w:rPr>
                <w:b/>
                <w:i/>
                <w:sz w:val="16"/>
                <w:lang w:eastAsia="es-ES"/>
              </w:rPr>
            </w:pPr>
            <w:r w:rsidRPr="00A530E1">
              <w:rPr>
                <w:b/>
                <w:i/>
                <w:sz w:val="16"/>
                <w:szCs w:val="14"/>
                <w:lang w:eastAsia="es-ES"/>
              </w:rPr>
              <w:t>Total</w:t>
            </w:r>
          </w:p>
        </w:tc>
        <w:tc>
          <w:tcPr>
            <w:tcW w:w="680" w:type="dxa"/>
            <w:tcBorders>
              <w:top w:val="single" w:sz="4" w:space="0" w:color="auto"/>
              <w:bottom w:val="single" w:sz="12" w:space="0" w:color="auto"/>
            </w:tcBorders>
            <w:shd w:val="clear" w:color="auto" w:fill="auto"/>
            <w:vAlign w:val="bottom"/>
          </w:tcPr>
          <w:p w:rsidR="00180B44" w:rsidRPr="00A530E1" w:rsidRDefault="00180B44" w:rsidP="00D42F73">
            <w:pPr>
              <w:shd w:val="clear" w:color="auto" w:fill="FFFFFF"/>
              <w:suppressAutoHyphens w:val="0"/>
              <w:spacing w:before="80" w:after="80" w:line="200" w:lineRule="exact"/>
              <w:ind w:right="113"/>
              <w:jc w:val="right"/>
              <w:rPr>
                <w:i/>
                <w:sz w:val="16"/>
                <w:lang w:eastAsia="es-ES"/>
              </w:rPr>
            </w:pPr>
            <w:r w:rsidRPr="00A530E1">
              <w:rPr>
                <w:i/>
                <w:sz w:val="16"/>
                <w:szCs w:val="14"/>
                <w:lang w:eastAsia="es-ES"/>
              </w:rPr>
              <w:t>Sight</w:t>
            </w:r>
          </w:p>
        </w:tc>
        <w:tc>
          <w:tcPr>
            <w:tcW w:w="680" w:type="dxa"/>
            <w:tcBorders>
              <w:top w:val="single" w:sz="4" w:space="0" w:color="auto"/>
              <w:bottom w:val="single" w:sz="12" w:space="0" w:color="auto"/>
            </w:tcBorders>
            <w:shd w:val="clear" w:color="auto" w:fill="auto"/>
            <w:vAlign w:val="bottom"/>
          </w:tcPr>
          <w:p w:rsidR="00180B44" w:rsidRPr="00A530E1" w:rsidRDefault="00180B44" w:rsidP="00D42F73">
            <w:pPr>
              <w:shd w:val="clear" w:color="auto" w:fill="FFFFFF"/>
              <w:suppressAutoHyphens w:val="0"/>
              <w:spacing w:before="80" w:after="80" w:line="200" w:lineRule="exact"/>
              <w:ind w:right="113"/>
              <w:jc w:val="right"/>
              <w:rPr>
                <w:i/>
                <w:sz w:val="16"/>
                <w:lang w:eastAsia="es-ES"/>
              </w:rPr>
            </w:pPr>
            <w:r w:rsidRPr="00A530E1">
              <w:rPr>
                <w:i/>
                <w:sz w:val="16"/>
                <w:szCs w:val="14"/>
                <w:lang w:eastAsia="es-ES"/>
              </w:rPr>
              <w:t>Motor</w:t>
            </w:r>
            <w:r w:rsidRPr="00A530E1">
              <w:rPr>
                <w:i/>
                <w:sz w:val="18"/>
                <w:szCs w:val="18"/>
                <w:vertAlign w:val="superscript"/>
                <w:lang w:eastAsia="es-ES"/>
              </w:rPr>
              <w:t>1</w:t>
            </w:r>
          </w:p>
        </w:tc>
        <w:tc>
          <w:tcPr>
            <w:tcW w:w="680" w:type="dxa"/>
            <w:tcBorders>
              <w:top w:val="single" w:sz="4" w:space="0" w:color="auto"/>
              <w:bottom w:val="single" w:sz="12" w:space="0" w:color="auto"/>
            </w:tcBorders>
            <w:shd w:val="clear" w:color="auto" w:fill="auto"/>
            <w:vAlign w:val="bottom"/>
          </w:tcPr>
          <w:p w:rsidR="00180B44" w:rsidRPr="00A530E1" w:rsidRDefault="00180B44" w:rsidP="00D42F73">
            <w:pPr>
              <w:shd w:val="clear" w:color="auto" w:fill="FFFFFF"/>
              <w:suppressAutoHyphens w:val="0"/>
              <w:spacing w:before="80" w:after="80" w:line="200" w:lineRule="exact"/>
              <w:ind w:right="113"/>
              <w:jc w:val="right"/>
              <w:rPr>
                <w:i/>
                <w:sz w:val="16"/>
                <w:lang w:eastAsia="es-ES"/>
              </w:rPr>
            </w:pPr>
            <w:r w:rsidRPr="00A530E1">
              <w:rPr>
                <w:i/>
                <w:sz w:val="16"/>
                <w:szCs w:val="14"/>
                <w:lang w:eastAsia="es-ES"/>
              </w:rPr>
              <w:t>Hearing</w:t>
            </w:r>
          </w:p>
        </w:tc>
        <w:tc>
          <w:tcPr>
            <w:tcW w:w="680" w:type="dxa"/>
            <w:tcBorders>
              <w:top w:val="single" w:sz="4" w:space="0" w:color="auto"/>
              <w:bottom w:val="single" w:sz="12" w:space="0" w:color="auto"/>
            </w:tcBorders>
            <w:shd w:val="clear" w:color="auto" w:fill="auto"/>
            <w:vAlign w:val="bottom"/>
          </w:tcPr>
          <w:p w:rsidR="00180B44" w:rsidRPr="00A530E1" w:rsidRDefault="00180B44" w:rsidP="00D42F73">
            <w:pPr>
              <w:shd w:val="clear" w:color="auto" w:fill="FFFFFF"/>
              <w:suppressAutoHyphens w:val="0"/>
              <w:spacing w:before="80" w:after="80" w:line="200" w:lineRule="exact"/>
              <w:ind w:right="113"/>
              <w:jc w:val="right"/>
              <w:rPr>
                <w:i/>
                <w:sz w:val="16"/>
                <w:lang w:eastAsia="es-ES"/>
              </w:rPr>
            </w:pPr>
            <w:r w:rsidRPr="00A530E1">
              <w:rPr>
                <w:i/>
                <w:sz w:val="16"/>
                <w:szCs w:val="14"/>
                <w:lang w:eastAsia="es-ES"/>
              </w:rPr>
              <w:t>Mental</w:t>
            </w:r>
            <w:r w:rsidRPr="00A530E1">
              <w:rPr>
                <w:i/>
                <w:sz w:val="18"/>
                <w:szCs w:val="18"/>
                <w:vertAlign w:val="superscript"/>
                <w:lang w:eastAsia="es-ES"/>
              </w:rPr>
              <w:t>2</w:t>
            </w:r>
          </w:p>
        </w:tc>
        <w:tc>
          <w:tcPr>
            <w:tcW w:w="680" w:type="dxa"/>
            <w:tcBorders>
              <w:top w:val="single" w:sz="4" w:space="0" w:color="auto"/>
              <w:bottom w:val="single" w:sz="12" w:space="0" w:color="auto"/>
            </w:tcBorders>
            <w:shd w:val="clear" w:color="auto" w:fill="auto"/>
            <w:vAlign w:val="bottom"/>
          </w:tcPr>
          <w:p w:rsidR="00180B44" w:rsidRPr="00A530E1" w:rsidRDefault="00180B44" w:rsidP="00D42F73">
            <w:pPr>
              <w:shd w:val="clear" w:color="auto" w:fill="FFFFFF"/>
              <w:suppressAutoHyphens w:val="0"/>
              <w:spacing w:before="80" w:after="80" w:line="200" w:lineRule="exact"/>
              <w:ind w:right="113"/>
              <w:jc w:val="right"/>
              <w:rPr>
                <w:i/>
                <w:sz w:val="16"/>
                <w:lang w:eastAsia="es-ES"/>
              </w:rPr>
            </w:pPr>
            <w:r w:rsidRPr="00A530E1">
              <w:rPr>
                <w:i/>
                <w:sz w:val="16"/>
                <w:szCs w:val="14"/>
                <w:lang w:eastAsia="es-ES"/>
              </w:rPr>
              <w:t>Speech</w:t>
            </w:r>
          </w:p>
        </w:tc>
        <w:tc>
          <w:tcPr>
            <w:tcW w:w="1236" w:type="dxa"/>
            <w:tcBorders>
              <w:top w:val="single" w:sz="4" w:space="0" w:color="auto"/>
              <w:bottom w:val="single" w:sz="12" w:space="0" w:color="auto"/>
            </w:tcBorders>
            <w:shd w:val="clear" w:color="auto" w:fill="auto"/>
            <w:vAlign w:val="bottom"/>
          </w:tcPr>
          <w:p w:rsidR="00180B44" w:rsidRPr="00A530E1" w:rsidRDefault="00180B44" w:rsidP="00D42F73">
            <w:pPr>
              <w:shd w:val="clear" w:color="auto" w:fill="FFFFFF"/>
              <w:suppressAutoHyphens w:val="0"/>
              <w:spacing w:before="80" w:after="80" w:line="200" w:lineRule="exact"/>
              <w:ind w:right="113"/>
              <w:jc w:val="right"/>
              <w:rPr>
                <w:i/>
                <w:sz w:val="16"/>
                <w:lang w:eastAsia="es-ES"/>
              </w:rPr>
            </w:pPr>
            <w:r w:rsidRPr="00A530E1">
              <w:rPr>
                <w:i/>
                <w:sz w:val="16"/>
                <w:szCs w:val="14"/>
                <w:lang w:eastAsia="es-ES"/>
              </w:rPr>
              <w:t>Communication</w:t>
            </w:r>
          </w:p>
        </w:tc>
      </w:tr>
      <w:tr w:rsidR="00180B44" w:rsidRPr="00A530E1" w:rsidTr="00DB520F">
        <w:tblPrEx>
          <w:tblCellMar>
            <w:top w:w="0" w:type="dxa"/>
            <w:bottom w:w="0" w:type="dxa"/>
          </w:tblCellMar>
        </w:tblPrEx>
        <w:trPr>
          <w:trHeight w:val="240"/>
        </w:trPr>
        <w:tc>
          <w:tcPr>
            <w:tcW w:w="3190" w:type="dxa"/>
            <w:tcBorders>
              <w:top w:val="single" w:sz="4" w:space="0" w:color="auto"/>
            </w:tcBorders>
            <w:shd w:val="clear" w:color="auto" w:fill="auto"/>
            <w:vAlign w:val="bottom"/>
          </w:tcPr>
          <w:p w:rsidR="00180B44" w:rsidRPr="00A530E1" w:rsidRDefault="00180B44" w:rsidP="00D06158">
            <w:pPr>
              <w:shd w:val="clear" w:color="auto" w:fill="FFFFFF"/>
              <w:suppressAutoHyphens w:val="0"/>
              <w:spacing w:before="40" w:after="40" w:line="220" w:lineRule="exact"/>
              <w:ind w:right="113"/>
              <w:rPr>
                <w:sz w:val="18"/>
                <w:lang w:eastAsia="es-ES"/>
              </w:rPr>
            </w:pPr>
            <w:r w:rsidRPr="00A530E1">
              <w:rPr>
                <w:sz w:val="18"/>
                <w:szCs w:val="14"/>
                <w:lang w:eastAsia="es-ES"/>
              </w:rPr>
              <w:t>Employer or business owner</w:t>
            </w:r>
          </w:p>
        </w:tc>
        <w:tc>
          <w:tcPr>
            <w:tcW w:w="680" w:type="dxa"/>
            <w:tcBorders>
              <w:top w:val="single" w:sz="4" w:space="0" w:color="auto"/>
            </w:tcBorders>
            <w:shd w:val="clear" w:color="auto" w:fill="auto"/>
            <w:vAlign w:val="bottom"/>
          </w:tcPr>
          <w:p w:rsidR="00180B44" w:rsidRPr="00A530E1" w:rsidRDefault="00180B44" w:rsidP="00D42F73">
            <w:pPr>
              <w:shd w:val="clear" w:color="auto" w:fill="FFFFFF"/>
              <w:suppressAutoHyphens w:val="0"/>
              <w:spacing w:before="40" w:after="40" w:line="220" w:lineRule="exact"/>
              <w:ind w:right="113"/>
              <w:jc w:val="right"/>
              <w:rPr>
                <w:b/>
                <w:sz w:val="18"/>
                <w:lang w:eastAsia="es-ES"/>
              </w:rPr>
            </w:pPr>
            <w:r w:rsidRPr="00A530E1">
              <w:rPr>
                <w:b/>
                <w:sz w:val="18"/>
                <w:szCs w:val="14"/>
                <w:lang w:eastAsia="es-ES"/>
              </w:rPr>
              <w:t>6.8</w:t>
            </w:r>
          </w:p>
        </w:tc>
        <w:tc>
          <w:tcPr>
            <w:tcW w:w="680" w:type="dxa"/>
            <w:tcBorders>
              <w:top w:val="single" w:sz="4" w:space="0" w:color="auto"/>
            </w:tcBorders>
            <w:shd w:val="clear" w:color="auto" w:fill="auto"/>
            <w:vAlign w:val="bottom"/>
          </w:tcPr>
          <w:p w:rsidR="00180B44" w:rsidRPr="00A530E1" w:rsidRDefault="00180B44" w:rsidP="00D42F73">
            <w:pPr>
              <w:shd w:val="clear" w:color="auto" w:fill="FFFFFF"/>
              <w:suppressAutoHyphens w:val="0"/>
              <w:spacing w:before="40" w:after="40" w:line="220" w:lineRule="exact"/>
              <w:ind w:right="113"/>
              <w:jc w:val="right"/>
              <w:rPr>
                <w:sz w:val="18"/>
                <w:lang w:eastAsia="es-ES"/>
              </w:rPr>
            </w:pPr>
            <w:r w:rsidRPr="00A530E1">
              <w:rPr>
                <w:sz w:val="18"/>
                <w:szCs w:val="14"/>
                <w:lang w:eastAsia="es-ES"/>
              </w:rPr>
              <w:t>7.1</w:t>
            </w:r>
          </w:p>
        </w:tc>
        <w:tc>
          <w:tcPr>
            <w:tcW w:w="680" w:type="dxa"/>
            <w:tcBorders>
              <w:top w:val="single" w:sz="4" w:space="0" w:color="auto"/>
            </w:tcBorders>
            <w:shd w:val="clear" w:color="auto" w:fill="auto"/>
            <w:vAlign w:val="bottom"/>
          </w:tcPr>
          <w:p w:rsidR="00180B44" w:rsidRPr="00A530E1" w:rsidRDefault="00180B44" w:rsidP="00D42F73">
            <w:pPr>
              <w:shd w:val="clear" w:color="auto" w:fill="FFFFFF"/>
              <w:suppressAutoHyphens w:val="0"/>
              <w:spacing w:before="40" w:after="40" w:line="220" w:lineRule="exact"/>
              <w:ind w:right="113"/>
              <w:jc w:val="right"/>
              <w:rPr>
                <w:sz w:val="18"/>
                <w:lang w:eastAsia="es-ES"/>
              </w:rPr>
            </w:pPr>
            <w:r w:rsidRPr="00A530E1">
              <w:rPr>
                <w:sz w:val="18"/>
                <w:szCs w:val="14"/>
                <w:lang w:eastAsia="es-ES"/>
              </w:rPr>
              <w:t>7.6</w:t>
            </w:r>
          </w:p>
        </w:tc>
        <w:tc>
          <w:tcPr>
            <w:tcW w:w="680" w:type="dxa"/>
            <w:tcBorders>
              <w:top w:val="single" w:sz="4" w:space="0" w:color="auto"/>
            </w:tcBorders>
            <w:shd w:val="clear" w:color="auto" w:fill="auto"/>
            <w:vAlign w:val="bottom"/>
          </w:tcPr>
          <w:p w:rsidR="00180B44" w:rsidRPr="00A530E1" w:rsidRDefault="00180B44" w:rsidP="00D42F73">
            <w:pPr>
              <w:shd w:val="clear" w:color="auto" w:fill="FFFFFF"/>
              <w:suppressAutoHyphens w:val="0"/>
              <w:spacing w:before="40" w:after="40" w:line="220" w:lineRule="exact"/>
              <w:ind w:right="113"/>
              <w:jc w:val="right"/>
              <w:rPr>
                <w:sz w:val="18"/>
                <w:lang w:eastAsia="es-ES"/>
              </w:rPr>
            </w:pPr>
            <w:r w:rsidRPr="00A530E1">
              <w:rPr>
                <w:sz w:val="18"/>
                <w:szCs w:val="14"/>
                <w:lang w:eastAsia="es-ES"/>
              </w:rPr>
              <w:t>6.7</w:t>
            </w:r>
          </w:p>
        </w:tc>
        <w:tc>
          <w:tcPr>
            <w:tcW w:w="680" w:type="dxa"/>
            <w:tcBorders>
              <w:top w:val="single" w:sz="4" w:space="0" w:color="auto"/>
            </w:tcBorders>
            <w:shd w:val="clear" w:color="auto" w:fill="auto"/>
            <w:vAlign w:val="bottom"/>
          </w:tcPr>
          <w:p w:rsidR="00180B44" w:rsidRPr="00A530E1" w:rsidRDefault="00180B44" w:rsidP="00D42F73">
            <w:pPr>
              <w:shd w:val="clear" w:color="auto" w:fill="FFFFFF"/>
              <w:suppressAutoHyphens w:val="0"/>
              <w:spacing w:before="40" w:after="40" w:line="220" w:lineRule="exact"/>
              <w:ind w:right="113"/>
              <w:jc w:val="right"/>
              <w:rPr>
                <w:sz w:val="18"/>
                <w:lang w:eastAsia="es-ES"/>
              </w:rPr>
            </w:pPr>
            <w:r w:rsidRPr="00A530E1">
              <w:rPr>
                <w:sz w:val="18"/>
                <w:szCs w:val="14"/>
                <w:lang w:eastAsia="es-ES"/>
              </w:rPr>
              <w:t>5.0</w:t>
            </w:r>
          </w:p>
        </w:tc>
        <w:tc>
          <w:tcPr>
            <w:tcW w:w="680" w:type="dxa"/>
            <w:tcBorders>
              <w:top w:val="single" w:sz="4" w:space="0" w:color="auto"/>
            </w:tcBorders>
            <w:shd w:val="clear" w:color="auto" w:fill="auto"/>
            <w:vAlign w:val="bottom"/>
          </w:tcPr>
          <w:p w:rsidR="00180B44" w:rsidRPr="00A530E1" w:rsidRDefault="00180B44" w:rsidP="00D42F73">
            <w:pPr>
              <w:shd w:val="clear" w:color="auto" w:fill="FFFFFF"/>
              <w:suppressAutoHyphens w:val="0"/>
              <w:spacing w:before="40" w:after="40" w:line="220" w:lineRule="exact"/>
              <w:ind w:right="113"/>
              <w:jc w:val="right"/>
              <w:rPr>
                <w:sz w:val="18"/>
                <w:lang w:eastAsia="es-ES"/>
              </w:rPr>
            </w:pPr>
            <w:r w:rsidRPr="00A530E1">
              <w:rPr>
                <w:sz w:val="18"/>
                <w:szCs w:val="14"/>
                <w:lang w:eastAsia="es-ES"/>
              </w:rPr>
              <w:t>3.4</w:t>
            </w:r>
          </w:p>
        </w:tc>
        <w:tc>
          <w:tcPr>
            <w:tcW w:w="1236" w:type="dxa"/>
            <w:tcBorders>
              <w:top w:val="single" w:sz="4" w:space="0" w:color="auto"/>
            </w:tcBorders>
            <w:shd w:val="clear" w:color="auto" w:fill="auto"/>
            <w:vAlign w:val="bottom"/>
          </w:tcPr>
          <w:p w:rsidR="00180B44" w:rsidRPr="00A530E1" w:rsidRDefault="00180B44" w:rsidP="00D42F73">
            <w:pPr>
              <w:shd w:val="clear" w:color="auto" w:fill="FFFFFF"/>
              <w:suppressAutoHyphens w:val="0"/>
              <w:spacing w:before="40" w:after="40" w:line="220" w:lineRule="exact"/>
              <w:ind w:right="113"/>
              <w:jc w:val="right"/>
              <w:rPr>
                <w:sz w:val="18"/>
                <w:lang w:eastAsia="es-ES"/>
              </w:rPr>
            </w:pPr>
            <w:r w:rsidRPr="00A530E1">
              <w:rPr>
                <w:bCs/>
                <w:sz w:val="18"/>
                <w:szCs w:val="14"/>
                <w:lang w:eastAsia="es-ES"/>
              </w:rPr>
              <w:t>3.0</w:t>
            </w:r>
          </w:p>
        </w:tc>
      </w:tr>
      <w:tr w:rsidR="00180B44" w:rsidRPr="00A530E1" w:rsidTr="00DB520F">
        <w:tblPrEx>
          <w:tblCellMar>
            <w:top w:w="0" w:type="dxa"/>
            <w:bottom w:w="0" w:type="dxa"/>
          </w:tblCellMar>
        </w:tblPrEx>
        <w:trPr>
          <w:trHeight w:val="240"/>
        </w:trPr>
        <w:tc>
          <w:tcPr>
            <w:tcW w:w="3190" w:type="dxa"/>
            <w:shd w:val="clear" w:color="auto" w:fill="auto"/>
            <w:vAlign w:val="bottom"/>
          </w:tcPr>
          <w:p w:rsidR="00180B44" w:rsidRPr="00A530E1" w:rsidRDefault="00180B44" w:rsidP="00D06158">
            <w:pPr>
              <w:shd w:val="clear" w:color="auto" w:fill="FFFFFF"/>
              <w:suppressAutoHyphens w:val="0"/>
              <w:spacing w:before="40" w:after="40" w:line="220" w:lineRule="exact"/>
              <w:ind w:right="113"/>
              <w:rPr>
                <w:sz w:val="18"/>
                <w:lang w:eastAsia="es-ES"/>
              </w:rPr>
            </w:pPr>
            <w:r w:rsidRPr="00A530E1">
              <w:rPr>
                <w:sz w:val="18"/>
                <w:lang w:eastAsia="es-ES"/>
              </w:rPr>
              <w:t>Self-employed</w:t>
            </w:r>
          </w:p>
        </w:tc>
        <w:tc>
          <w:tcPr>
            <w:tcW w:w="680" w:type="dxa"/>
            <w:shd w:val="clear" w:color="auto" w:fill="auto"/>
            <w:vAlign w:val="bottom"/>
          </w:tcPr>
          <w:p w:rsidR="00180B44" w:rsidRPr="00A530E1" w:rsidRDefault="00180B44" w:rsidP="00D42F73">
            <w:pPr>
              <w:shd w:val="clear" w:color="auto" w:fill="FFFFFF"/>
              <w:suppressAutoHyphens w:val="0"/>
              <w:spacing w:before="40" w:after="40" w:line="220" w:lineRule="exact"/>
              <w:ind w:right="113"/>
              <w:jc w:val="right"/>
              <w:rPr>
                <w:b/>
                <w:sz w:val="18"/>
                <w:lang w:eastAsia="es-ES"/>
              </w:rPr>
            </w:pPr>
            <w:r w:rsidRPr="00A530E1">
              <w:rPr>
                <w:b/>
                <w:sz w:val="18"/>
                <w:szCs w:val="14"/>
                <w:lang w:eastAsia="es-ES"/>
              </w:rPr>
              <w:t>50.4</w:t>
            </w:r>
          </w:p>
        </w:tc>
        <w:tc>
          <w:tcPr>
            <w:tcW w:w="680" w:type="dxa"/>
            <w:shd w:val="clear" w:color="auto" w:fill="auto"/>
            <w:vAlign w:val="bottom"/>
          </w:tcPr>
          <w:p w:rsidR="00180B44" w:rsidRPr="00A530E1" w:rsidRDefault="00180B44" w:rsidP="00D42F73">
            <w:pPr>
              <w:shd w:val="clear" w:color="auto" w:fill="FFFFFF"/>
              <w:suppressAutoHyphens w:val="0"/>
              <w:spacing w:before="40" w:after="40" w:line="220" w:lineRule="exact"/>
              <w:ind w:right="113"/>
              <w:jc w:val="right"/>
              <w:rPr>
                <w:sz w:val="18"/>
                <w:lang w:eastAsia="es-ES"/>
              </w:rPr>
            </w:pPr>
            <w:r w:rsidRPr="00A530E1">
              <w:rPr>
                <w:sz w:val="18"/>
                <w:szCs w:val="14"/>
                <w:lang w:eastAsia="es-ES"/>
              </w:rPr>
              <w:t>50.2</w:t>
            </w:r>
          </w:p>
        </w:tc>
        <w:tc>
          <w:tcPr>
            <w:tcW w:w="680" w:type="dxa"/>
            <w:shd w:val="clear" w:color="auto" w:fill="auto"/>
            <w:vAlign w:val="bottom"/>
          </w:tcPr>
          <w:p w:rsidR="00180B44" w:rsidRPr="00A530E1" w:rsidRDefault="00180B44" w:rsidP="00D42F73">
            <w:pPr>
              <w:shd w:val="clear" w:color="auto" w:fill="FFFFFF"/>
              <w:suppressAutoHyphens w:val="0"/>
              <w:spacing w:before="40" w:after="40" w:line="220" w:lineRule="exact"/>
              <w:ind w:right="113"/>
              <w:jc w:val="right"/>
              <w:rPr>
                <w:sz w:val="18"/>
                <w:lang w:eastAsia="es-ES"/>
              </w:rPr>
            </w:pPr>
            <w:r w:rsidRPr="00A530E1">
              <w:rPr>
                <w:sz w:val="18"/>
                <w:szCs w:val="14"/>
                <w:lang w:eastAsia="es-ES"/>
              </w:rPr>
              <w:t>55.6</w:t>
            </w:r>
          </w:p>
        </w:tc>
        <w:tc>
          <w:tcPr>
            <w:tcW w:w="680" w:type="dxa"/>
            <w:shd w:val="clear" w:color="auto" w:fill="auto"/>
            <w:vAlign w:val="bottom"/>
          </w:tcPr>
          <w:p w:rsidR="00180B44" w:rsidRPr="00A530E1" w:rsidRDefault="00180B44" w:rsidP="00D42F73">
            <w:pPr>
              <w:shd w:val="clear" w:color="auto" w:fill="FFFFFF"/>
              <w:suppressAutoHyphens w:val="0"/>
              <w:spacing w:before="40" w:after="40" w:line="220" w:lineRule="exact"/>
              <w:ind w:right="113"/>
              <w:jc w:val="right"/>
              <w:rPr>
                <w:sz w:val="18"/>
                <w:lang w:eastAsia="es-ES"/>
              </w:rPr>
            </w:pPr>
            <w:r w:rsidRPr="00A530E1">
              <w:rPr>
                <w:sz w:val="18"/>
                <w:szCs w:val="14"/>
                <w:lang w:eastAsia="es-ES"/>
              </w:rPr>
              <w:t>53.3</w:t>
            </w:r>
          </w:p>
        </w:tc>
        <w:tc>
          <w:tcPr>
            <w:tcW w:w="680" w:type="dxa"/>
            <w:shd w:val="clear" w:color="auto" w:fill="auto"/>
            <w:vAlign w:val="bottom"/>
          </w:tcPr>
          <w:p w:rsidR="00180B44" w:rsidRPr="00A530E1" w:rsidRDefault="00180B44" w:rsidP="00D42F73">
            <w:pPr>
              <w:shd w:val="clear" w:color="auto" w:fill="FFFFFF"/>
              <w:suppressAutoHyphens w:val="0"/>
              <w:spacing w:before="40" w:after="40" w:line="220" w:lineRule="exact"/>
              <w:ind w:right="113"/>
              <w:jc w:val="right"/>
              <w:rPr>
                <w:sz w:val="18"/>
                <w:lang w:eastAsia="es-ES"/>
              </w:rPr>
            </w:pPr>
            <w:r w:rsidRPr="00A530E1">
              <w:rPr>
                <w:sz w:val="18"/>
                <w:szCs w:val="14"/>
                <w:lang w:eastAsia="es-ES"/>
              </w:rPr>
              <w:t>50.0</w:t>
            </w:r>
          </w:p>
        </w:tc>
        <w:tc>
          <w:tcPr>
            <w:tcW w:w="680" w:type="dxa"/>
            <w:shd w:val="clear" w:color="auto" w:fill="auto"/>
            <w:vAlign w:val="bottom"/>
          </w:tcPr>
          <w:p w:rsidR="00180B44" w:rsidRPr="00A530E1" w:rsidRDefault="00180B44" w:rsidP="00D42F73">
            <w:pPr>
              <w:shd w:val="clear" w:color="auto" w:fill="FFFFFF"/>
              <w:suppressAutoHyphens w:val="0"/>
              <w:spacing w:before="40" w:after="40" w:line="220" w:lineRule="exact"/>
              <w:ind w:right="113"/>
              <w:jc w:val="right"/>
              <w:rPr>
                <w:sz w:val="18"/>
                <w:lang w:eastAsia="es-ES"/>
              </w:rPr>
            </w:pPr>
            <w:r w:rsidRPr="00A530E1">
              <w:rPr>
                <w:sz w:val="18"/>
                <w:szCs w:val="14"/>
                <w:lang w:eastAsia="es-ES"/>
              </w:rPr>
              <w:t>33.0</w:t>
            </w:r>
          </w:p>
        </w:tc>
        <w:tc>
          <w:tcPr>
            <w:tcW w:w="1236" w:type="dxa"/>
            <w:shd w:val="clear" w:color="auto" w:fill="auto"/>
            <w:vAlign w:val="bottom"/>
          </w:tcPr>
          <w:p w:rsidR="00180B44" w:rsidRPr="00A530E1" w:rsidRDefault="00180B44" w:rsidP="00D42F73">
            <w:pPr>
              <w:shd w:val="clear" w:color="auto" w:fill="FFFFFF"/>
              <w:suppressAutoHyphens w:val="0"/>
              <w:spacing w:before="40" w:after="40" w:line="220" w:lineRule="exact"/>
              <w:ind w:right="113"/>
              <w:jc w:val="right"/>
              <w:rPr>
                <w:sz w:val="18"/>
                <w:lang w:eastAsia="es-ES"/>
              </w:rPr>
            </w:pPr>
            <w:r w:rsidRPr="00A530E1">
              <w:rPr>
                <w:sz w:val="18"/>
                <w:szCs w:val="14"/>
                <w:lang w:eastAsia="es-ES"/>
              </w:rPr>
              <w:t>39.8</w:t>
            </w:r>
          </w:p>
        </w:tc>
      </w:tr>
      <w:tr w:rsidR="00180B44" w:rsidRPr="00A530E1" w:rsidTr="00DB520F">
        <w:tblPrEx>
          <w:tblCellMar>
            <w:top w:w="0" w:type="dxa"/>
            <w:bottom w:w="0" w:type="dxa"/>
          </w:tblCellMar>
        </w:tblPrEx>
        <w:trPr>
          <w:trHeight w:val="240"/>
        </w:trPr>
        <w:tc>
          <w:tcPr>
            <w:tcW w:w="3190" w:type="dxa"/>
            <w:shd w:val="clear" w:color="auto" w:fill="auto"/>
            <w:vAlign w:val="bottom"/>
          </w:tcPr>
          <w:p w:rsidR="00180B44" w:rsidRPr="00A530E1" w:rsidRDefault="00180B44" w:rsidP="00D06158">
            <w:pPr>
              <w:shd w:val="clear" w:color="auto" w:fill="FFFFFF"/>
              <w:suppressAutoHyphens w:val="0"/>
              <w:spacing w:before="40" w:after="40" w:line="220" w:lineRule="exact"/>
              <w:ind w:right="113"/>
              <w:rPr>
                <w:sz w:val="18"/>
                <w:lang w:eastAsia="es-ES"/>
              </w:rPr>
            </w:pPr>
            <w:r w:rsidRPr="00A530E1">
              <w:rPr>
                <w:sz w:val="18"/>
                <w:lang w:eastAsia="es-ES"/>
              </w:rPr>
              <w:t>Dependent</w:t>
            </w:r>
          </w:p>
        </w:tc>
        <w:tc>
          <w:tcPr>
            <w:tcW w:w="680" w:type="dxa"/>
            <w:shd w:val="clear" w:color="auto" w:fill="auto"/>
            <w:vAlign w:val="bottom"/>
          </w:tcPr>
          <w:p w:rsidR="00180B44" w:rsidRPr="00A530E1" w:rsidRDefault="00180B44" w:rsidP="00D42F73">
            <w:pPr>
              <w:shd w:val="clear" w:color="auto" w:fill="FFFFFF"/>
              <w:suppressAutoHyphens w:val="0"/>
              <w:spacing w:before="40" w:after="40" w:line="220" w:lineRule="exact"/>
              <w:ind w:right="113"/>
              <w:jc w:val="right"/>
              <w:rPr>
                <w:b/>
                <w:sz w:val="18"/>
                <w:lang w:eastAsia="es-ES"/>
              </w:rPr>
            </w:pPr>
            <w:r w:rsidRPr="00A530E1">
              <w:rPr>
                <w:b/>
                <w:sz w:val="18"/>
                <w:szCs w:val="14"/>
                <w:lang w:eastAsia="es-ES"/>
              </w:rPr>
              <w:t>27.4</w:t>
            </w:r>
          </w:p>
        </w:tc>
        <w:tc>
          <w:tcPr>
            <w:tcW w:w="680" w:type="dxa"/>
            <w:shd w:val="clear" w:color="auto" w:fill="auto"/>
            <w:vAlign w:val="bottom"/>
          </w:tcPr>
          <w:p w:rsidR="00180B44" w:rsidRPr="00A530E1" w:rsidRDefault="00180B44" w:rsidP="00D42F73">
            <w:pPr>
              <w:shd w:val="clear" w:color="auto" w:fill="FFFFFF"/>
              <w:suppressAutoHyphens w:val="0"/>
              <w:spacing w:before="40" w:after="40" w:line="220" w:lineRule="exact"/>
              <w:ind w:right="113"/>
              <w:jc w:val="right"/>
              <w:rPr>
                <w:sz w:val="18"/>
                <w:lang w:eastAsia="es-ES"/>
              </w:rPr>
            </w:pPr>
            <w:r w:rsidRPr="00A530E1">
              <w:rPr>
                <w:sz w:val="18"/>
                <w:szCs w:val="14"/>
                <w:lang w:eastAsia="es-ES"/>
              </w:rPr>
              <w:t>29.5</w:t>
            </w:r>
          </w:p>
        </w:tc>
        <w:tc>
          <w:tcPr>
            <w:tcW w:w="680" w:type="dxa"/>
            <w:shd w:val="clear" w:color="auto" w:fill="auto"/>
            <w:vAlign w:val="bottom"/>
          </w:tcPr>
          <w:p w:rsidR="00180B44" w:rsidRPr="00A530E1" w:rsidRDefault="00180B44" w:rsidP="00D42F73">
            <w:pPr>
              <w:shd w:val="clear" w:color="auto" w:fill="FFFFFF"/>
              <w:suppressAutoHyphens w:val="0"/>
              <w:spacing w:before="40" w:after="40" w:line="220" w:lineRule="exact"/>
              <w:ind w:right="113"/>
              <w:jc w:val="right"/>
              <w:rPr>
                <w:sz w:val="18"/>
                <w:lang w:eastAsia="es-ES"/>
              </w:rPr>
            </w:pPr>
            <w:r w:rsidRPr="00A530E1">
              <w:rPr>
                <w:sz w:val="18"/>
                <w:szCs w:val="14"/>
                <w:lang w:eastAsia="es-ES"/>
              </w:rPr>
              <w:t>21.1</w:t>
            </w:r>
          </w:p>
        </w:tc>
        <w:tc>
          <w:tcPr>
            <w:tcW w:w="680" w:type="dxa"/>
            <w:shd w:val="clear" w:color="auto" w:fill="auto"/>
            <w:vAlign w:val="bottom"/>
          </w:tcPr>
          <w:p w:rsidR="00180B44" w:rsidRPr="00A530E1" w:rsidRDefault="00180B44" w:rsidP="00D42F73">
            <w:pPr>
              <w:shd w:val="clear" w:color="auto" w:fill="FFFFFF"/>
              <w:suppressAutoHyphens w:val="0"/>
              <w:spacing w:before="40" w:after="40" w:line="220" w:lineRule="exact"/>
              <w:ind w:right="113"/>
              <w:jc w:val="right"/>
              <w:rPr>
                <w:sz w:val="18"/>
                <w:lang w:eastAsia="es-ES"/>
              </w:rPr>
            </w:pPr>
            <w:r w:rsidRPr="00A530E1">
              <w:rPr>
                <w:sz w:val="18"/>
                <w:szCs w:val="14"/>
                <w:lang w:eastAsia="es-ES"/>
              </w:rPr>
              <w:t>23.1</w:t>
            </w:r>
          </w:p>
        </w:tc>
        <w:tc>
          <w:tcPr>
            <w:tcW w:w="680" w:type="dxa"/>
            <w:shd w:val="clear" w:color="auto" w:fill="auto"/>
            <w:vAlign w:val="bottom"/>
          </w:tcPr>
          <w:p w:rsidR="00180B44" w:rsidRPr="00A530E1" w:rsidRDefault="00180B44" w:rsidP="00D42F73">
            <w:pPr>
              <w:shd w:val="clear" w:color="auto" w:fill="FFFFFF"/>
              <w:suppressAutoHyphens w:val="0"/>
              <w:spacing w:before="40" w:after="40" w:line="220" w:lineRule="exact"/>
              <w:ind w:right="113"/>
              <w:jc w:val="right"/>
              <w:rPr>
                <w:sz w:val="18"/>
                <w:lang w:eastAsia="es-ES"/>
              </w:rPr>
            </w:pPr>
            <w:r w:rsidRPr="00A530E1">
              <w:rPr>
                <w:sz w:val="18"/>
                <w:szCs w:val="14"/>
                <w:lang w:eastAsia="es-ES"/>
              </w:rPr>
              <w:t>19.6</w:t>
            </w:r>
          </w:p>
        </w:tc>
        <w:tc>
          <w:tcPr>
            <w:tcW w:w="680" w:type="dxa"/>
            <w:shd w:val="clear" w:color="auto" w:fill="auto"/>
            <w:vAlign w:val="bottom"/>
          </w:tcPr>
          <w:p w:rsidR="00180B44" w:rsidRPr="00A530E1" w:rsidRDefault="00180B44" w:rsidP="00D42F73">
            <w:pPr>
              <w:shd w:val="clear" w:color="auto" w:fill="FFFFFF"/>
              <w:suppressAutoHyphens w:val="0"/>
              <w:spacing w:before="40" w:after="40" w:line="220" w:lineRule="exact"/>
              <w:ind w:right="113"/>
              <w:jc w:val="right"/>
              <w:rPr>
                <w:sz w:val="18"/>
                <w:lang w:eastAsia="es-ES"/>
              </w:rPr>
            </w:pPr>
            <w:r w:rsidRPr="00A530E1">
              <w:rPr>
                <w:sz w:val="18"/>
                <w:szCs w:val="14"/>
                <w:lang w:eastAsia="es-ES"/>
              </w:rPr>
              <w:t>32.5</w:t>
            </w:r>
          </w:p>
        </w:tc>
        <w:tc>
          <w:tcPr>
            <w:tcW w:w="1236" w:type="dxa"/>
            <w:shd w:val="clear" w:color="auto" w:fill="auto"/>
            <w:vAlign w:val="bottom"/>
          </w:tcPr>
          <w:p w:rsidR="00180B44" w:rsidRPr="00A530E1" w:rsidRDefault="00180B44" w:rsidP="00D42F73">
            <w:pPr>
              <w:shd w:val="clear" w:color="auto" w:fill="FFFFFF"/>
              <w:suppressAutoHyphens w:val="0"/>
              <w:spacing w:before="40" w:after="40" w:line="220" w:lineRule="exact"/>
              <w:ind w:right="113"/>
              <w:jc w:val="right"/>
              <w:rPr>
                <w:sz w:val="18"/>
                <w:lang w:eastAsia="es-ES"/>
              </w:rPr>
            </w:pPr>
            <w:r w:rsidRPr="00A530E1">
              <w:rPr>
                <w:sz w:val="18"/>
                <w:szCs w:val="14"/>
                <w:lang w:eastAsia="es-ES"/>
              </w:rPr>
              <w:t>23.7</w:t>
            </w:r>
          </w:p>
        </w:tc>
      </w:tr>
      <w:tr w:rsidR="00180B44" w:rsidRPr="00A530E1" w:rsidTr="00DB520F">
        <w:tblPrEx>
          <w:tblCellMar>
            <w:top w:w="0" w:type="dxa"/>
            <w:bottom w:w="0" w:type="dxa"/>
          </w:tblCellMar>
        </w:tblPrEx>
        <w:trPr>
          <w:trHeight w:val="240"/>
        </w:trPr>
        <w:tc>
          <w:tcPr>
            <w:tcW w:w="3190" w:type="dxa"/>
            <w:shd w:val="clear" w:color="auto" w:fill="auto"/>
            <w:vAlign w:val="bottom"/>
          </w:tcPr>
          <w:p w:rsidR="00180B44" w:rsidRPr="00A530E1" w:rsidRDefault="00180B44" w:rsidP="00D06158">
            <w:pPr>
              <w:shd w:val="clear" w:color="auto" w:fill="FFFFFF"/>
              <w:suppressAutoHyphens w:val="0"/>
              <w:spacing w:before="40" w:after="40" w:line="220" w:lineRule="exact"/>
              <w:ind w:right="113"/>
              <w:rPr>
                <w:sz w:val="18"/>
                <w:lang w:eastAsia="es-ES"/>
              </w:rPr>
            </w:pPr>
            <w:r w:rsidRPr="00A530E1">
              <w:rPr>
                <w:sz w:val="18"/>
                <w:lang w:eastAsia="es-ES"/>
              </w:rPr>
              <w:t>Unpaid family worker</w:t>
            </w:r>
          </w:p>
        </w:tc>
        <w:tc>
          <w:tcPr>
            <w:tcW w:w="680" w:type="dxa"/>
            <w:shd w:val="clear" w:color="auto" w:fill="auto"/>
            <w:vAlign w:val="bottom"/>
          </w:tcPr>
          <w:p w:rsidR="00180B44" w:rsidRPr="00A530E1" w:rsidRDefault="00180B44" w:rsidP="00D42F73">
            <w:pPr>
              <w:shd w:val="clear" w:color="auto" w:fill="FFFFFF"/>
              <w:suppressAutoHyphens w:val="0"/>
              <w:spacing w:before="40" w:after="40" w:line="220" w:lineRule="exact"/>
              <w:ind w:right="113"/>
              <w:jc w:val="right"/>
              <w:rPr>
                <w:b/>
                <w:sz w:val="18"/>
                <w:lang w:eastAsia="es-ES"/>
              </w:rPr>
            </w:pPr>
            <w:r w:rsidRPr="00A530E1">
              <w:rPr>
                <w:b/>
                <w:sz w:val="18"/>
                <w:szCs w:val="14"/>
                <w:lang w:eastAsia="es-ES"/>
              </w:rPr>
              <w:t>11.9</w:t>
            </w:r>
          </w:p>
        </w:tc>
        <w:tc>
          <w:tcPr>
            <w:tcW w:w="680" w:type="dxa"/>
            <w:shd w:val="clear" w:color="auto" w:fill="auto"/>
            <w:vAlign w:val="bottom"/>
          </w:tcPr>
          <w:p w:rsidR="00180B44" w:rsidRPr="00A530E1" w:rsidRDefault="00180B44" w:rsidP="00D42F73">
            <w:pPr>
              <w:shd w:val="clear" w:color="auto" w:fill="FFFFFF"/>
              <w:suppressAutoHyphens w:val="0"/>
              <w:spacing w:before="40" w:after="40" w:line="220" w:lineRule="exact"/>
              <w:ind w:right="113"/>
              <w:jc w:val="right"/>
              <w:rPr>
                <w:sz w:val="18"/>
                <w:lang w:eastAsia="es-ES"/>
              </w:rPr>
            </w:pPr>
            <w:r w:rsidRPr="00A530E1">
              <w:rPr>
                <w:sz w:val="18"/>
                <w:szCs w:val="14"/>
                <w:lang w:eastAsia="es-ES"/>
              </w:rPr>
              <w:t>9.5</w:t>
            </w:r>
          </w:p>
        </w:tc>
        <w:tc>
          <w:tcPr>
            <w:tcW w:w="680" w:type="dxa"/>
            <w:shd w:val="clear" w:color="auto" w:fill="auto"/>
            <w:vAlign w:val="bottom"/>
          </w:tcPr>
          <w:p w:rsidR="00180B44" w:rsidRPr="00A530E1" w:rsidRDefault="00180B44" w:rsidP="00D42F73">
            <w:pPr>
              <w:shd w:val="clear" w:color="auto" w:fill="FFFFFF"/>
              <w:suppressAutoHyphens w:val="0"/>
              <w:spacing w:before="40" w:after="40" w:line="220" w:lineRule="exact"/>
              <w:ind w:right="113"/>
              <w:jc w:val="right"/>
              <w:rPr>
                <w:sz w:val="18"/>
                <w:lang w:eastAsia="es-ES"/>
              </w:rPr>
            </w:pPr>
            <w:r w:rsidRPr="00A530E1">
              <w:rPr>
                <w:sz w:val="18"/>
                <w:szCs w:val="14"/>
                <w:lang w:eastAsia="es-ES"/>
              </w:rPr>
              <w:t>12.5</w:t>
            </w:r>
          </w:p>
        </w:tc>
        <w:tc>
          <w:tcPr>
            <w:tcW w:w="680" w:type="dxa"/>
            <w:shd w:val="clear" w:color="auto" w:fill="auto"/>
            <w:vAlign w:val="bottom"/>
          </w:tcPr>
          <w:p w:rsidR="00180B44" w:rsidRPr="00A530E1" w:rsidRDefault="00180B44" w:rsidP="00D42F73">
            <w:pPr>
              <w:shd w:val="clear" w:color="auto" w:fill="FFFFFF"/>
              <w:suppressAutoHyphens w:val="0"/>
              <w:spacing w:before="40" w:after="40" w:line="220" w:lineRule="exact"/>
              <w:ind w:right="113"/>
              <w:jc w:val="right"/>
              <w:rPr>
                <w:sz w:val="18"/>
                <w:lang w:eastAsia="es-ES"/>
              </w:rPr>
            </w:pPr>
            <w:r w:rsidRPr="00A530E1">
              <w:rPr>
                <w:sz w:val="18"/>
                <w:szCs w:val="14"/>
                <w:lang w:eastAsia="es-ES"/>
              </w:rPr>
              <w:t>13.7</w:t>
            </w:r>
          </w:p>
        </w:tc>
        <w:tc>
          <w:tcPr>
            <w:tcW w:w="680" w:type="dxa"/>
            <w:shd w:val="clear" w:color="auto" w:fill="auto"/>
            <w:vAlign w:val="bottom"/>
          </w:tcPr>
          <w:p w:rsidR="00180B44" w:rsidRPr="00A530E1" w:rsidRDefault="00180B44" w:rsidP="00D42F73">
            <w:pPr>
              <w:shd w:val="clear" w:color="auto" w:fill="FFFFFF"/>
              <w:suppressAutoHyphens w:val="0"/>
              <w:spacing w:before="40" w:after="40" w:line="220" w:lineRule="exact"/>
              <w:ind w:right="113"/>
              <w:jc w:val="right"/>
              <w:rPr>
                <w:sz w:val="18"/>
                <w:lang w:eastAsia="es-ES"/>
              </w:rPr>
            </w:pPr>
            <w:r w:rsidRPr="00A530E1">
              <w:rPr>
                <w:sz w:val="18"/>
                <w:szCs w:val="14"/>
                <w:lang w:eastAsia="es-ES"/>
              </w:rPr>
              <w:t>20.9</w:t>
            </w:r>
          </w:p>
        </w:tc>
        <w:tc>
          <w:tcPr>
            <w:tcW w:w="680" w:type="dxa"/>
            <w:shd w:val="clear" w:color="auto" w:fill="auto"/>
            <w:vAlign w:val="bottom"/>
          </w:tcPr>
          <w:p w:rsidR="00180B44" w:rsidRPr="00A530E1" w:rsidRDefault="00180B44" w:rsidP="00D42F73">
            <w:pPr>
              <w:shd w:val="clear" w:color="auto" w:fill="FFFFFF"/>
              <w:suppressAutoHyphens w:val="0"/>
              <w:spacing w:before="40" w:after="40" w:line="220" w:lineRule="exact"/>
              <w:ind w:right="113"/>
              <w:jc w:val="right"/>
              <w:rPr>
                <w:sz w:val="18"/>
                <w:lang w:eastAsia="es-ES"/>
              </w:rPr>
            </w:pPr>
            <w:r w:rsidRPr="00A530E1">
              <w:rPr>
                <w:sz w:val="18"/>
                <w:szCs w:val="14"/>
                <w:lang w:eastAsia="es-ES"/>
              </w:rPr>
              <w:t>27.8</w:t>
            </w:r>
          </w:p>
        </w:tc>
        <w:tc>
          <w:tcPr>
            <w:tcW w:w="1236" w:type="dxa"/>
            <w:shd w:val="clear" w:color="auto" w:fill="auto"/>
            <w:vAlign w:val="bottom"/>
          </w:tcPr>
          <w:p w:rsidR="00180B44" w:rsidRPr="00A530E1" w:rsidRDefault="00180B44" w:rsidP="00D42F73">
            <w:pPr>
              <w:shd w:val="clear" w:color="auto" w:fill="FFFFFF"/>
              <w:suppressAutoHyphens w:val="0"/>
              <w:spacing w:before="40" w:after="40" w:line="220" w:lineRule="exact"/>
              <w:ind w:right="113"/>
              <w:jc w:val="right"/>
              <w:rPr>
                <w:sz w:val="18"/>
                <w:lang w:eastAsia="es-ES"/>
              </w:rPr>
            </w:pPr>
            <w:r w:rsidRPr="00A530E1">
              <w:rPr>
                <w:sz w:val="18"/>
                <w:szCs w:val="14"/>
                <w:lang w:eastAsia="es-ES"/>
              </w:rPr>
              <w:t>30.9</w:t>
            </w:r>
          </w:p>
        </w:tc>
      </w:tr>
      <w:tr w:rsidR="00180B44" w:rsidRPr="00A530E1" w:rsidTr="00DB520F">
        <w:tblPrEx>
          <w:tblCellMar>
            <w:top w:w="0" w:type="dxa"/>
            <w:bottom w:w="0" w:type="dxa"/>
          </w:tblCellMar>
        </w:tblPrEx>
        <w:trPr>
          <w:trHeight w:val="240"/>
        </w:trPr>
        <w:tc>
          <w:tcPr>
            <w:tcW w:w="3190" w:type="dxa"/>
            <w:shd w:val="clear" w:color="auto" w:fill="auto"/>
            <w:vAlign w:val="bottom"/>
          </w:tcPr>
          <w:p w:rsidR="00180B44" w:rsidRPr="00A530E1" w:rsidRDefault="00180B44" w:rsidP="00D06158">
            <w:pPr>
              <w:shd w:val="clear" w:color="auto" w:fill="FFFFFF"/>
              <w:suppressAutoHyphens w:val="0"/>
              <w:spacing w:before="40" w:after="40" w:line="220" w:lineRule="exact"/>
              <w:ind w:right="113"/>
              <w:rPr>
                <w:sz w:val="18"/>
                <w:lang w:eastAsia="es-ES"/>
              </w:rPr>
            </w:pPr>
            <w:r w:rsidRPr="00A530E1">
              <w:rPr>
                <w:sz w:val="18"/>
                <w:lang w:eastAsia="es-ES"/>
              </w:rPr>
              <w:t>Domestic worker</w:t>
            </w:r>
          </w:p>
        </w:tc>
        <w:tc>
          <w:tcPr>
            <w:tcW w:w="680" w:type="dxa"/>
            <w:shd w:val="clear" w:color="auto" w:fill="auto"/>
            <w:vAlign w:val="bottom"/>
          </w:tcPr>
          <w:p w:rsidR="00180B44" w:rsidRPr="00A530E1" w:rsidRDefault="00180B44" w:rsidP="00D42F73">
            <w:pPr>
              <w:shd w:val="clear" w:color="auto" w:fill="FFFFFF"/>
              <w:suppressAutoHyphens w:val="0"/>
              <w:spacing w:before="40" w:after="40" w:line="220" w:lineRule="exact"/>
              <w:ind w:right="113"/>
              <w:jc w:val="right"/>
              <w:rPr>
                <w:b/>
                <w:sz w:val="18"/>
                <w:lang w:eastAsia="es-ES"/>
              </w:rPr>
            </w:pPr>
            <w:r w:rsidRPr="00A530E1">
              <w:rPr>
                <w:b/>
                <w:sz w:val="18"/>
                <w:szCs w:val="14"/>
                <w:lang w:eastAsia="es-ES"/>
              </w:rPr>
              <w:t>3.1</w:t>
            </w:r>
          </w:p>
        </w:tc>
        <w:tc>
          <w:tcPr>
            <w:tcW w:w="680" w:type="dxa"/>
            <w:shd w:val="clear" w:color="auto" w:fill="auto"/>
            <w:vAlign w:val="bottom"/>
          </w:tcPr>
          <w:p w:rsidR="00180B44" w:rsidRPr="00A530E1" w:rsidRDefault="00180B44" w:rsidP="00D42F73">
            <w:pPr>
              <w:shd w:val="clear" w:color="auto" w:fill="FFFFFF"/>
              <w:suppressAutoHyphens w:val="0"/>
              <w:spacing w:before="40" w:after="40" w:line="220" w:lineRule="exact"/>
              <w:ind w:right="113"/>
              <w:jc w:val="right"/>
              <w:rPr>
                <w:sz w:val="18"/>
                <w:lang w:eastAsia="es-ES"/>
              </w:rPr>
            </w:pPr>
            <w:r w:rsidRPr="00A530E1">
              <w:rPr>
                <w:sz w:val="18"/>
                <w:szCs w:val="14"/>
                <w:lang w:eastAsia="es-ES"/>
              </w:rPr>
              <w:t>3.4</w:t>
            </w:r>
          </w:p>
        </w:tc>
        <w:tc>
          <w:tcPr>
            <w:tcW w:w="680" w:type="dxa"/>
            <w:shd w:val="clear" w:color="auto" w:fill="auto"/>
            <w:vAlign w:val="bottom"/>
          </w:tcPr>
          <w:p w:rsidR="00180B44" w:rsidRPr="00A530E1" w:rsidRDefault="00180B44" w:rsidP="00D42F73">
            <w:pPr>
              <w:shd w:val="clear" w:color="auto" w:fill="FFFFFF"/>
              <w:suppressAutoHyphens w:val="0"/>
              <w:spacing w:before="40" w:after="40" w:line="220" w:lineRule="exact"/>
              <w:ind w:right="113"/>
              <w:jc w:val="right"/>
              <w:rPr>
                <w:sz w:val="18"/>
                <w:lang w:eastAsia="es-ES"/>
              </w:rPr>
            </w:pPr>
            <w:r w:rsidRPr="00A530E1">
              <w:rPr>
                <w:sz w:val="18"/>
                <w:szCs w:val="14"/>
                <w:lang w:eastAsia="es-ES"/>
              </w:rPr>
              <w:t>2.8</w:t>
            </w:r>
          </w:p>
        </w:tc>
        <w:tc>
          <w:tcPr>
            <w:tcW w:w="680" w:type="dxa"/>
            <w:shd w:val="clear" w:color="auto" w:fill="auto"/>
            <w:vAlign w:val="bottom"/>
          </w:tcPr>
          <w:p w:rsidR="00180B44" w:rsidRPr="00A530E1" w:rsidRDefault="00180B44" w:rsidP="00D42F73">
            <w:pPr>
              <w:shd w:val="clear" w:color="auto" w:fill="FFFFFF"/>
              <w:suppressAutoHyphens w:val="0"/>
              <w:spacing w:before="40" w:after="40" w:line="220" w:lineRule="exact"/>
              <w:ind w:right="113"/>
              <w:jc w:val="right"/>
              <w:rPr>
                <w:sz w:val="18"/>
                <w:lang w:eastAsia="es-ES"/>
              </w:rPr>
            </w:pPr>
            <w:r w:rsidRPr="00A530E1">
              <w:rPr>
                <w:sz w:val="18"/>
                <w:szCs w:val="14"/>
                <w:lang w:eastAsia="es-ES"/>
              </w:rPr>
              <w:t>2.8</w:t>
            </w:r>
          </w:p>
        </w:tc>
        <w:tc>
          <w:tcPr>
            <w:tcW w:w="680" w:type="dxa"/>
            <w:shd w:val="clear" w:color="auto" w:fill="auto"/>
            <w:vAlign w:val="bottom"/>
          </w:tcPr>
          <w:p w:rsidR="00180B44" w:rsidRPr="00A530E1" w:rsidRDefault="00180B44" w:rsidP="00D42F73">
            <w:pPr>
              <w:shd w:val="clear" w:color="auto" w:fill="FFFFFF"/>
              <w:suppressAutoHyphens w:val="0"/>
              <w:spacing w:before="40" w:after="40" w:line="220" w:lineRule="exact"/>
              <w:ind w:right="113"/>
              <w:jc w:val="right"/>
              <w:rPr>
                <w:sz w:val="18"/>
                <w:lang w:eastAsia="es-ES"/>
              </w:rPr>
            </w:pPr>
            <w:r w:rsidRPr="00A530E1">
              <w:rPr>
                <w:sz w:val="18"/>
                <w:szCs w:val="14"/>
                <w:lang w:eastAsia="es-ES"/>
              </w:rPr>
              <w:t>3.8</w:t>
            </w:r>
            <w:r w:rsidRPr="00A530E1">
              <w:rPr>
                <w:i/>
                <w:sz w:val="18"/>
                <w:szCs w:val="14"/>
                <w:vertAlign w:val="superscript"/>
                <w:lang w:eastAsia="es-ES"/>
              </w:rPr>
              <w:t>a</w:t>
            </w:r>
          </w:p>
        </w:tc>
        <w:tc>
          <w:tcPr>
            <w:tcW w:w="680" w:type="dxa"/>
            <w:shd w:val="clear" w:color="auto" w:fill="auto"/>
            <w:vAlign w:val="bottom"/>
          </w:tcPr>
          <w:p w:rsidR="00180B44" w:rsidRPr="00A530E1" w:rsidRDefault="00180B44" w:rsidP="00D42F73">
            <w:pPr>
              <w:shd w:val="clear" w:color="auto" w:fill="FFFFFF"/>
              <w:suppressAutoHyphens w:val="0"/>
              <w:spacing w:before="40" w:after="40" w:line="220" w:lineRule="exact"/>
              <w:ind w:right="113"/>
              <w:jc w:val="right"/>
              <w:rPr>
                <w:sz w:val="18"/>
                <w:lang w:eastAsia="es-ES"/>
              </w:rPr>
            </w:pPr>
            <w:r w:rsidRPr="00A530E1">
              <w:rPr>
                <w:sz w:val="18"/>
                <w:szCs w:val="14"/>
                <w:lang w:eastAsia="es-ES"/>
              </w:rPr>
              <w:t>2.3</w:t>
            </w:r>
            <w:r w:rsidRPr="00A530E1">
              <w:rPr>
                <w:i/>
                <w:sz w:val="18"/>
                <w:szCs w:val="14"/>
                <w:vertAlign w:val="superscript"/>
                <w:lang w:eastAsia="es-ES"/>
              </w:rPr>
              <w:t>a</w:t>
            </w:r>
          </w:p>
        </w:tc>
        <w:tc>
          <w:tcPr>
            <w:tcW w:w="1236" w:type="dxa"/>
            <w:shd w:val="clear" w:color="auto" w:fill="auto"/>
            <w:vAlign w:val="bottom"/>
          </w:tcPr>
          <w:p w:rsidR="00180B44" w:rsidRPr="00A530E1" w:rsidRDefault="00180B44" w:rsidP="00D42F73">
            <w:pPr>
              <w:shd w:val="clear" w:color="auto" w:fill="FFFFFF"/>
              <w:suppressAutoHyphens w:val="0"/>
              <w:spacing w:before="40" w:after="40" w:line="220" w:lineRule="exact"/>
              <w:ind w:right="113"/>
              <w:jc w:val="right"/>
              <w:rPr>
                <w:sz w:val="18"/>
                <w:lang w:eastAsia="es-ES"/>
              </w:rPr>
            </w:pPr>
            <w:r w:rsidRPr="00A530E1">
              <w:rPr>
                <w:bCs/>
                <w:sz w:val="18"/>
                <w:szCs w:val="14"/>
                <w:lang w:eastAsia="es-ES"/>
              </w:rPr>
              <w:t>1.8</w:t>
            </w:r>
            <w:r w:rsidRPr="00A530E1">
              <w:rPr>
                <w:i/>
                <w:sz w:val="18"/>
                <w:szCs w:val="14"/>
                <w:vertAlign w:val="superscript"/>
                <w:lang w:eastAsia="es-ES"/>
              </w:rPr>
              <w:t>a</w:t>
            </w:r>
          </w:p>
        </w:tc>
      </w:tr>
      <w:tr w:rsidR="00180B44" w:rsidRPr="00A530E1" w:rsidTr="00DB520F">
        <w:tblPrEx>
          <w:tblCellMar>
            <w:top w:w="0" w:type="dxa"/>
            <w:bottom w:w="0" w:type="dxa"/>
          </w:tblCellMar>
        </w:tblPrEx>
        <w:trPr>
          <w:trHeight w:val="240"/>
        </w:trPr>
        <w:tc>
          <w:tcPr>
            <w:tcW w:w="3190" w:type="dxa"/>
            <w:tcBorders>
              <w:bottom w:val="single" w:sz="4" w:space="0" w:color="auto"/>
            </w:tcBorders>
            <w:shd w:val="clear" w:color="auto" w:fill="auto"/>
            <w:vAlign w:val="bottom"/>
          </w:tcPr>
          <w:p w:rsidR="00180B44" w:rsidRPr="00A530E1" w:rsidRDefault="00180B44" w:rsidP="00D06158">
            <w:pPr>
              <w:shd w:val="clear" w:color="auto" w:fill="FFFFFF"/>
              <w:suppressAutoHyphens w:val="0"/>
              <w:spacing w:before="40" w:after="40" w:line="220" w:lineRule="exact"/>
              <w:ind w:right="113"/>
              <w:rPr>
                <w:sz w:val="18"/>
                <w:lang w:eastAsia="es-ES"/>
              </w:rPr>
            </w:pPr>
            <w:r w:rsidRPr="00A530E1">
              <w:rPr>
                <w:sz w:val="18"/>
                <w:lang w:eastAsia="es-ES"/>
              </w:rPr>
              <w:t>Other</w:t>
            </w:r>
          </w:p>
        </w:tc>
        <w:tc>
          <w:tcPr>
            <w:tcW w:w="680" w:type="dxa"/>
            <w:tcBorders>
              <w:bottom w:val="single" w:sz="4" w:space="0" w:color="auto"/>
            </w:tcBorders>
            <w:shd w:val="clear" w:color="auto" w:fill="auto"/>
            <w:vAlign w:val="bottom"/>
          </w:tcPr>
          <w:p w:rsidR="00180B44" w:rsidRPr="00A530E1" w:rsidRDefault="00180B44" w:rsidP="00D42F73">
            <w:pPr>
              <w:shd w:val="clear" w:color="auto" w:fill="FFFFFF"/>
              <w:suppressAutoHyphens w:val="0"/>
              <w:spacing w:before="40" w:after="40" w:line="220" w:lineRule="exact"/>
              <w:ind w:right="113"/>
              <w:jc w:val="right"/>
              <w:rPr>
                <w:b/>
                <w:sz w:val="18"/>
                <w:lang w:eastAsia="es-ES"/>
              </w:rPr>
            </w:pPr>
            <w:r w:rsidRPr="00A530E1">
              <w:rPr>
                <w:b/>
                <w:sz w:val="18"/>
                <w:szCs w:val="14"/>
                <w:lang w:eastAsia="es-ES"/>
              </w:rPr>
              <w:t>0.4</w:t>
            </w:r>
          </w:p>
        </w:tc>
        <w:tc>
          <w:tcPr>
            <w:tcW w:w="680" w:type="dxa"/>
            <w:tcBorders>
              <w:bottom w:val="single" w:sz="4" w:space="0" w:color="auto"/>
            </w:tcBorders>
            <w:shd w:val="clear" w:color="auto" w:fill="auto"/>
            <w:vAlign w:val="bottom"/>
          </w:tcPr>
          <w:p w:rsidR="00180B44" w:rsidRPr="00A530E1" w:rsidRDefault="00180B44" w:rsidP="00D42F73">
            <w:pPr>
              <w:shd w:val="clear" w:color="auto" w:fill="FFFFFF"/>
              <w:suppressAutoHyphens w:val="0"/>
              <w:spacing w:before="40" w:after="40" w:line="220" w:lineRule="exact"/>
              <w:ind w:right="113"/>
              <w:jc w:val="right"/>
              <w:rPr>
                <w:sz w:val="18"/>
                <w:lang w:eastAsia="es-ES"/>
              </w:rPr>
            </w:pPr>
            <w:r w:rsidRPr="00A530E1">
              <w:rPr>
                <w:sz w:val="18"/>
                <w:szCs w:val="14"/>
                <w:lang w:eastAsia="es-ES"/>
              </w:rPr>
              <w:t>0.3</w:t>
            </w:r>
            <w:r w:rsidRPr="00A530E1">
              <w:rPr>
                <w:i/>
                <w:sz w:val="18"/>
                <w:szCs w:val="14"/>
                <w:vertAlign w:val="superscript"/>
                <w:lang w:eastAsia="es-ES"/>
              </w:rPr>
              <w:t>a</w:t>
            </w:r>
          </w:p>
        </w:tc>
        <w:tc>
          <w:tcPr>
            <w:tcW w:w="680" w:type="dxa"/>
            <w:tcBorders>
              <w:bottom w:val="single" w:sz="4" w:space="0" w:color="auto"/>
            </w:tcBorders>
            <w:shd w:val="clear" w:color="auto" w:fill="auto"/>
            <w:vAlign w:val="bottom"/>
          </w:tcPr>
          <w:p w:rsidR="00180B44" w:rsidRPr="00A530E1" w:rsidRDefault="00180B44" w:rsidP="00D42F73">
            <w:pPr>
              <w:shd w:val="clear" w:color="auto" w:fill="FFFFFF"/>
              <w:suppressAutoHyphens w:val="0"/>
              <w:spacing w:before="40" w:after="40" w:line="220" w:lineRule="exact"/>
              <w:ind w:right="113"/>
              <w:jc w:val="right"/>
              <w:rPr>
                <w:sz w:val="18"/>
                <w:lang w:eastAsia="es-ES"/>
              </w:rPr>
            </w:pPr>
            <w:r w:rsidRPr="00A530E1">
              <w:rPr>
                <w:sz w:val="18"/>
                <w:szCs w:val="14"/>
                <w:lang w:eastAsia="es-ES"/>
              </w:rPr>
              <w:t>0.4</w:t>
            </w:r>
          </w:p>
        </w:tc>
        <w:tc>
          <w:tcPr>
            <w:tcW w:w="680" w:type="dxa"/>
            <w:tcBorders>
              <w:bottom w:val="single" w:sz="4" w:space="0" w:color="auto"/>
            </w:tcBorders>
            <w:shd w:val="clear" w:color="auto" w:fill="auto"/>
            <w:vAlign w:val="bottom"/>
          </w:tcPr>
          <w:p w:rsidR="00180B44" w:rsidRPr="00A530E1" w:rsidRDefault="00180B44" w:rsidP="00D42F73">
            <w:pPr>
              <w:shd w:val="clear" w:color="auto" w:fill="FFFFFF"/>
              <w:suppressAutoHyphens w:val="0"/>
              <w:spacing w:before="40" w:after="40" w:line="220" w:lineRule="exact"/>
              <w:ind w:right="113"/>
              <w:jc w:val="right"/>
              <w:rPr>
                <w:sz w:val="18"/>
                <w:lang w:eastAsia="es-ES"/>
              </w:rPr>
            </w:pPr>
            <w:r w:rsidRPr="00A530E1">
              <w:rPr>
                <w:sz w:val="18"/>
                <w:szCs w:val="14"/>
                <w:lang w:eastAsia="es-ES"/>
              </w:rPr>
              <w:t>0.4</w:t>
            </w:r>
            <w:r w:rsidRPr="00A530E1">
              <w:rPr>
                <w:i/>
                <w:sz w:val="18"/>
                <w:szCs w:val="14"/>
                <w:vertAlign w:val="superscript"/>
                <w:lang w:eastAsia="es-ES"/>
              </w:rPr>
              <w:t>a</w:t>
            </w:r>
          </w:p>
        </w:tc>
        <w:tc>
          <w:tcPr>
            <w:tcW w:w="680" w:type="dxa"/>
            <w:tcBorders>
              <w:bottom w:val="single" w:sz="4" w:space="0" w:color="auto"/>
            </w:tcBorders>
            <w:shd w:val="clear" w:color="auto" w:fill="auto"/>
            <w:vAlign w:val="bottom"/>
          </w:tcPr>
          <w:p w:rsidR="00180B44" w:rsidRPr="00A530E1" w:rsidRDefault="00180B44" w:rsidP="00D42F73">
            <w:pPr>
              <w:shd w:val="clear" w:color="auto" w:fill="FFFFFF"/>
              <w:suppressAutoHyphens w:val="0"/>
              <w:spacing w:before="40" w:after="40" w:line="220" w:lineRule="exact"/>
              <w:ind w:right="113"/>
              <w:jc w:val="right"/>
              <w:rPr>
                <w:sz w:val="18"/>
                <w:lang w:eastAsia="es-ES"/>
              </w:rPr>
            </w:pPr>
            <w:r w:rsidRPr="00A530E1">
              <w:rPr>
                <w:sz w:val="18"/>
                <w:szCs w:val="14"/>
                <w:lang w:eastAsia="es-ES"/>
              </w:rPr>
              <w:t>0.8</w:t>
            </w:r>
            <w:r w:rsidRPr="00A530E1">
              <w:rPr>
                <w:i/>
                <w:sz w:val="18"/>
                <w:szCs w:val="14"/>
                <w:vertAlign w:val="superscript"/>
                <w:lang w:eastAsia="es-ES"/>
              </w:rPr>
              <w:t>a</w:t>
            </w:r>
          </w:p>
        </w:tc>
        <w:tc>
          <w:tcPr>
            <w:tcW w:w="680" w:type="dxa"/>
            <w:tcBorders>
              <w:bottom w:val="single" w:sz="4" w:space="0" w:color="auto"/>
            </w:tcBorders>
            <w:shd w:val="clear" w:color="auto" w:fill="auto"/>
            <w:vAlign w:val="bottom"/>
          </w:tcPr>
          <w:p w:rsidR="00180B44" w:rsidRPr="00A530E1" w:rsidRDefault="00180B44" w:rsidP="00D42F73">
            <w:pPr>
              <w:shd w:val="clear" w:color="auto" w:fill="FFFFFF"/>
              <w:suppressAutoHyphens w:val="0"/>
              <w:spacing w:before="40" w:after="40" w:line="220" w:lineRule="exact"/>
              <w:ind w:right="113"/>
              <w:jc w:val="right"/>
              <w:rPr>
                <w:sz w:val="18"/>
                <w:lang w:eastAsia="es-ES"/>
              </w:rPr>
            </w:pPr>
            <w:r w:rsidRPr="00A530E1">
              <w:rPr>
                <w:sz w:val="18"/>
                <w:szCs w:val="14"/>
                <w:lang w:eastAsia="es-ES"/>
              </w:rPr>
              <w:t>1.0</w:t>
            </w:r>
            <w:r w:rsidRPr="00A530E1">
              <w:rPr>
                <w:i/>
                <w:sz w:val="18"/>
                <w:szCs w:val="14"/>
                <w:vertAlign w:val="superscript"/>
                <w:lang w:eastAsia="es-ES"/>
              </w:rPr>
              <w:t>a</w:t>
            </w:r>
          </w:p>
        </w:tc>
        <w:tc>
          <w:tcPr>
            <w:tcW w:w="1236" w:type="dxa"/>
            <w:tcBorders>
              <w:bottom w:val="single" w:sz="4" w:space="0" w:color="auto"/>
            </w:tcBorders>
            <w:shd w:val="clear" w:color="auto" w:fill="auto"/>
            <w:vAlign w:val="bottom"/>
          </w:tcPr>
          <w:p w:rsidR="00180B44" w:rsidRPr="00A530E1" w:rsidRDefault="00180B44" w:rsidP="00D42F73">
            <w:pPr>
              <w:shd w:val="clear" w:color="auto" w:fill="FFFFFF"/>
              <w:suppressAutoHyphens w:val="0"/>
              <w:spacing w:before="40" w:after="40" w:line="220" w:lineRule="exact"/>
              <w:ind w:right="113"/>
              <w:jc w:val="right"/>
              <w:rPr>
                <w:sz w:val="18"/>
                <w:lang w:eastAsia="es-ES"/>
              </w:rPr>
            </w:pPr>
            <w:r w:rsidRPr="00A530E1">
              <w:rPr>
                <w:bCs/>
                <w:sz w:val="18"/>
                <w:szCs w:val="14"/>
                <w:lang w:eastAsia="es-ES"/>
              </w:rPr>
              <w:t>0.9</w:t>
            </w:r>
            <w:r w:rsidRPr="00A530E1">
              <w:rPr>
                <w:i/>
                <w:sz w:val="18"/>
                <w:szCs w:val="14"/>
                <w:vertAlign w:val="superscript"/>
                <w:lang w:eastAsia="es-ES"/>
              </w:rPr>
              <w:t>a</w:t>
            </w:r>
          </w:p>
        </w:tc>
      </w:tr>
      <w:tr w:rsidR="00180B44" w:rsidRPr="00A530E1" w:rsidTr="00DB520F">
        <w:tblPrEx>
          <w:tblCellMar>
            <w:top w:w="0" w:type="dxa"/>
            <w:bottom w:w="0" w:type="dxa"/>
          </w:tblCellMar>
        </w:tblPrEx>
        <w:trPr>
          <w:trHeight w:val="240"/>
        </w:trPr>
        <w:tc>
          <w:tcPr>
            <w:tcW w:w="3190" w:type="dxa"/>
            <w:tcBorders>
              <w:top w:val="single" w:sz="4" w:space="0" w:color="auto"/>
              <w:bottom w:val="single" w:sz="12" w:space="0" w:color="auto"/>
            </w:tcBorders>
            <w:shd w:val="clear" w:color="auto" w:fill="auto"/>
            <w:vAlign w:val="bottom"/>
          </w:tcPr>
          <w:p w:rsidR="00180B44" w:rsidRPr="00A530E1" w:rsidRDefault="00180B44" w:rsidP="00917DD0">
            <w:pPr>
              <w:shd w:val="clear" w:color="auto" w:fill="FFFFFF"/>
              <w:suppressAutoHyphens w:val="0"/>
              <w:spacing w:before="80" w:after="80" w:line="220" w:lineRule="exact"/>
              <w:ind w:left="284" w:right="113"/>
              <w:rPr>
                <w:b/>
                <w:sz w:val="18"/>
                <w:lang w:eastAsia="es-ES"/>
              </w:rPr>
            </w:pPr>
            <w:r w:rsidRPr="00A530E1">
              <w:rPr>
                <w:b/>
                <w:bCs/>
                <w:sz w:val="18"/>
                <w:szCs w:val="14"/>
                <w:lang w:eastAsia="es-ES"/>
              </w:rPr>
              <w:t>Total</w:t>
            </w:r>
          </w:p>
        </w:tc>
        <w:tc>
          <w:tcPr>
            <w:tcW w:w="680" w:type="dxa"/>
            <w:tcBorders>
              <w:top w:val="single" w:sz="4" w:space="0" w:color="auto"/>
              <w:bottom w:val="single" w:sz="12" w:space="0" w:color="auto"/>
            </w:tcBorders>
            <w:shd w:val="clear" w:color="auto" w:fill="auto"/>
            <w:vAlign w:val="bottom"/>
          </w:tcPr>
          <w:p w:rsidR="00180B44" w:rsidRPr="00A530E1" w:rsidRDefault="00180B44" w:rsidP="00D42F73">
            <w:pPr>
              <w:shd w:val="clear" w:color="auto" w:fill="FFFFFF"/>
              <w:suppressAutoHyphens w:val="0"/>
              <w:spacing w:before="80" w:after="80" w:line="220" w:lineRule="exact"/>
              <w:ind w:right="113"/>
              <w:jc w:val="right"/>
              <w:rPr>
                <w:b/>
                <w:sz w:val="18"/>
                <w:lang w:eastAsia="es-ES"/>
              </w:rPr>
            </w:pPr>
            <w:r w:rsidRPr="00A530E1">
              <w:rPr>
                <w:b/>
                <w:bCs/>
                <w:sz w:val="18"/>
                <w:szCs w:val="14"/>
                <w:lang w:eastAsia="es-ES"/>
              </w:rPr>
              <w:t>100.0</w:t>
            </w:r>
          </w:p>
        </w:tc>
        <w:tc>
          <w:tcPr>
            <w:tcW w:w="680" w:type="dxa"/>
            <w:tcBorders>
              <w:top w:val="single" w:sz="4" w:space="0" w:color="auto"/>
              <w:bottom w:val="single" w:sz="12" w:space="0" w:color="auto"/>
            </w:tcBorders>
            <w:shd w:val="clear" w:color="auto" w:fill="auto"/>
            <w:vAlign w:val="bottom"/>
          </w:tcPr>
          <w:p w:rsidR="00180B44" w:rsidRPr="00A530E1" w:rsidRDefault="00180B44" w:rsidP="00D42F73">
            <w:pPr>
              <w:shd w:val="clear" w:color="auto" w:fill="FFFFFF"/>
              <w:suppressAutoHyphens w:val="0"/>
              <w:spacing w:before="80" w:after="80" w:line="220" w:lineRule="exact"/>
              <w:ind w:right="113"/>
              <w:jc w:val="right"/>
              <w:rPr>
                <w:b/>
                <w:sz w:val="18"/>
                <w:lang w:eastAsia="es-ES"/>
              </w:rPr>
            </w:pPr>
            <w:r w:rsidRPr="00A530E1">
              <w:rPr>
                <w:b/>
                <w:bCs/>
                <w:sz w:val="18"/>
                <w:szCs w:val="14"/>
                <w:lang w:eastAsia="es-ES"/>
              </w:rPr>
              <w:t>100.0</w:t>
            </w:r>
          </w:p>
        </w:tc>
        <w:tc>
          <w:tcPr>
            <w:tcW w:w="680" w:type="dxa"/>
            <w:tcBorders>
              <w:top w:val="single" w:sz="4" w:space="0" w:color="auto"/>
              <w:bottom w:val="single" w:sz="12" w:space="0" w:color="auto"/>
            </w:tcBorders>
            <w:shd w:val="clear" w:color="auto" w:fill="auto"/>
            <w:vAlign w:val="bottom"/>
          </w:tcPr>
          <w:p w:rsidR="00180B44" w:rsidRPr="00A530E1" w:rsidRDefault="00180B44" w:rsidP="00D42F73">
            <w:pPr>
              <w:shd w:val="clear" w:color="auto" w:fill="FFFFFF"/>
              <w:suppressAutoHyphens w:val="0"/>
              <w:spacing w:before="80" w:after="80" w:line="220" w:lineRule="exact"/>
              <w:ind w:right="113"/>
              <w:jc w:val="right"/>
              <w:rPr>
                <w:b/>
                <w:sz w:val="18"/>
                <w:lang w:eastAsia="es-ES"/>
              </w:rPr>
            </w:pPr>
            <w:r w:rsidRPr="00A530E1">
              <w:rPr>
                <w:b/>
                <w:bCs/>
                <w:sz w:val="18"/>
                <w:szCs w:val="14"/>
                <w:lang w:eastAsia="es-ES"/>
              </w:rPr>
              <w:t>100.0</w:t>
            </w:r>
          </w:p>
        </w:tc>
        <w:tc>
          <w:tcPr>
            <w:tcW w:w="680" w:type="dxa"/>
            <w:tcBorders>
              <w:top w:val="single" w:sz="4" w:space="0" w:color="auto"/>
              <w:bottom w:val="single" w:sz="12" w:space="0" w:color="auto"/>
            </w:tcBorders>
            <w:shd w:val="clear" w:color="auto" w:fill="auto"/>
            <w:vAlign w:val="bottom"/>
          </w:tcPr>
          <w:p w:rsidR="00180B44" w:rsidRPr="00A530E1" w:rsidRDefault="00180B44" w:rsidP="00D42F73">
            <w:pPr>
              <w:shd w:val="clear" w:color="auto" w:fill="FFFFFF"/>
              <w:suppressAutoHyphens w:val="0"/>
              <w:spacing w:before="80" w:after="80" w:line="220" w:lineRule="exact"/>
              <w:ind w:right="113"/>
              <w:jc w:val="right"/>
              <w:rPr>
                <w:b/>
                <w:sz w:val="18"/>
                <w:lang w:eastAsia="es-ES"/>
              </w:rPr>
            </w:pPr>
            <w:r w:rsidRPr="00A530E1">
              <w:rPr>
                <w:b/>
                <w:bCs/>
                <w:sz w:val="18"/>
                <w:szCs w:val="14"/>
                <w:lang w:eastAsia="es-ES"/>
              </w:rPr>
              <w:t>100.0</w:t>
            </w:r>
          </w:p>
        </w:tc>
        <w:tc>
          <w:tcPr>
            <w:tcW w:w="680" w:type="dxa"/>
            <w:tcBorders>
              <w:top w:val="single" w:sz="4" w:space="0" w:color="auto"/>
              <w:bottom w:val="single" w:sz="12" w:space="0" w:color="auto"/>
            </w:tcBorders>
            <w:shd w:val="clear" w:color="auto" w:fill="auto"/>
            <w:vAlign w:val="bottom"/>
          </w:tcPr>
          <w:p w:rsidR="00180B44" w:rsidRPr="00A530E1" w:rsidRDefault="00180B44" w:rsidP="00D42F73">
            <w:pPr>
              <w:shd w:val="clear" w:color="auto" w:fill="FFFFFF"/>
              <w:suppressAutoHyphens w:val="0"/>
              <w:spacing w:before="80" w:after="80" w:line="220" w:lineRule="exact"/>
              <w:ind w:right="113"/>
              <w:jc w:val="right"/>
              <w:rPr>
                <w:b/>
                <w:sz w:val="18"/>
                <w:lang w:eastAsia="es-ES"/>
              </w:rPr>
            </w:pPr>
            <w:r w:rsidRPr="00A530E1">
              <w:rPr>
                <w:b/>
                <w:bCs/>
                <w:sz w:val="18"/>
                <w:szCs w:val="14"/>
                <w:lang w:eastAsia="es-ES"/>
              </w:rPr>
              <w:t>100.0</w:t>
            </w:r>
          </w:p>
        </w:tc>
        <w:tc>
          <w:tcPr>
            <w:tcW w:w="680" w:type="dxa"/>
            <w:tcBorders>
              <w:top w:val="single" w:sz="4" w:space="0" w:color="auto"/>
              <w:bottom w:val="single" w:sz="12" w:space="0" w:color="auto"/>
            </w:tcBorders>
            <w:shd w:val="clear" w:color="auto" w:fill="auto"/>
            <w:vAlign w:val="bottom"/>
          </w:tcPr>
          <w:p w:rsidR="00180B44" w:rsidRPr="00A530E1" w:rsidRDefault="00180B44" w:rsidP="00D42F73">
            <w:pPr>
              <w:shd w:val="clear" w:color="auto" w:fill="FFFFFF"/>
              <w:suppressAutoHyphens w:val="0"/>
              <w:spacing w:before="80" w:after="80" w:line="220" w:lineRule="exact"/>
              <w:ind w:right="113"/>
              <w:jc w:val="right"/>
              <w:rPr>
                <w:b/>
                <w:sz w:val="18"/>
                <w:lang w:eastAsia="es-ES"/>
              </w:rPr>
            </w:pPr>
            <w:r w:rsidRPr="00A530E1">
              <w:rPr>
                <w:b/>
                <w:bCs/>
                <w:sz w:val="18"/>
                <w:szCs w:val="14"/>
                <w:lang w:eastAsia="es-ES"/>
              </w:rPr>
              <w:t>100.0</w:t>
            </w:r>
          </w:p>
        </w:tc>
        <w:tc>
          <w:tcPr>
            <w:tcW w:w="1236" w:type="dxa"/>
            <w:tcBorders>
              <w:top w:val="single" w:sz="4" w:space="0" w:color="auto"/>
              <w:bottom w:val="single" w:sz="12" w:space="0" w:color="auto"/>
            </w:tcBorders>
            <w:shd w:val="clear" w:color="auto" w:fill="auto"/>
            <w:vAlign w:val="bottom"/>
          </w:tcPr>
          <w:p w:rsidR="00180B44" w:rsidRPr="00A530E1" w:rsidRDefault="00180B44" w:rsidP="00D42F73">
            <w:pPr>
              <w:shd w:val="clear" w:color="auto" w:fill="FFFFFF"/>
              <w:suppressAutoHyphens w:val="0"/>
              <w:spacing w:before="80" w:after="80" w:line="220" w:lineRule="exact"/>
              <w:ind w:right="113"/>
              <w:jc w:val="right"/>
              <w:rPr>
                <w:b/>
                <w:sz w:val="18"/>
                <w:lang w:eastAsia="es-ES"/>
              </w:rPr>
            </w:pPr>
            <w:r w:rsidRPr="00A530E1">
              <w:rPr>
                <w:b/>
                <w:bCs/>
                <w:sz w:val="18"/>
                <w:szCs w:val="14"/>
                <w:lang w:eastAsia="es-ES"/>
              </w:rPr>
              <w:t>100.0</w:t>
            </w:r>
          </w:p>
        </w:tc>
      </w:tr>
    </w:tbl>
    <w:p w:rsidR="00180B44" w:rsidRPr="00A530E1" w:rsidRDefault="00180B44" w:rsidP="00180B44">
      <w:pPr>
        <w:suppressAutoHyphens w:val="0"/>
        <w:spacing w:before="120" w:line="240" w:lineRule="auto"/>
        <w:ind w:left="1134" w:right="1134" w:firstLine="170"/>
        <w:rPr>
          <w:sz w:val="18"/>
          <w:szCs w:val="18"/>
        </w:rPr>
      </w:pPr>
      <w:r w:rsidRPr="00A530E1">
        <w:rPr>
          <w:i/>
          <w:sz w:val="18"/>
          <w:szCs w:val="18"/>
        </w:rPr>
        <w:t>Source:</w:t>
      </w:r>
      <w:r w:rsidRPr="00A530E1">
        <w:rPr>
          <w:sz w:val="18"/>
          <w:szCs w:val="18"/>
        </w:rPr>
        <w:t xml:space="preserve">  National Institute of Statistics (INEI) – Continuous National Survey, 2006.</w:t>
      </w:r>
    </w:p>
    <w:p w:rsidR="00180B44" w:rsidRPr="00A530E1" w:rsidRDefault="00180B44" w:rsidP="00180B44">
      <w:pPr>
        <w:suppressAutoHyphens w:val="0"/>
        <w:spacing w:line="240" w:lineRule="auto"/>
        <w:ind w:left="1134" w:right="1134" w:firstLine="170"/>
        <w:rPr>
          <w:sz w:val="18"/>
          <w:szCs w:val="18"/>
        </w:rPr>
      </w:pPr>
      <w:r w:rsidRPr="00A530E1">
        <w:rPr>
          <w:i/>
          <w:sz w:val="18"/>
          <w:szCs w:val="18"/>
          <w:vertAlign w:val="superscript"/>
        </w:rPr>
        <w:t>a</w:t>
      </w:r>
      <w:r w:rsidRPr="00A530E1">
        <w:rPr>
          <w:sz w:val="18"/>
          <w:szCs w:val="18"/>
        </w:rPr>
        <w:t xml:space="preserve">  This is an indicative value only, as the variation coefficient is over 15 per cent.</w:t>
      </w:r>
    </w:p>
    <w:p w:rsidR="00180B44" w:rsidRPr="00A530E1" w:rsidRDefault="00180B44" w:rsidP="00180B44">
      <w:pPr>
        <w:suppressAutoHyphens w:val="0"/>
        <w:spacing w:line="240" w:lineRule="auto"/>
        <w:ind w:left="1134" w:right="1134" w:firstLine="170"/>
        <w:rPr>
          <w:sz w:val="18"/>
          <w:szCs w:val="18"/>
        </w:rPr>
      </w:pPr>
      <w:r w:rsidRPr="00A530E1">
        <w:rPr>
          <w:i/>
          <w:sz w:val="18"/>
          <w:szCs w:val="18"/>
          <w:vertAlign w:val="superscript"/>
        </w:rPr>
        <w:t>1</w:t>
      </w:r>
      <w:r w:rsidRPr="00A530E1">
        <w:rPr>
          <w:sz w:val="18"/>
          <w:szCs w:val="18"/>
        </w:rPr>
        <w:t xml:space="preserve">  Includes limited use of the upper or lower extremities.</w:t>
      </w:r>
    </w:p>
    <w:p w:rsidR="00180B44" w:rsidRPr="00A530E1" w:rsidRDefault="00180B44" w:rsidP="007349CA">
      <w:pPr>
        <w:pStyle w:val="SingleTxtG"/>
        <w:ind w:firstLine="170"/>
        <w:rPr>
          <w:sz w:val="18"/>
          <w:szCs w:val="18"/>
        </w:rPr>
      </w:pPr>
      <w:r w:rsidRPr="00A530E1">
        <w:rPr>
          <w:i/>
          <w:sz w:val="18"/>
          <w:szCs w:val="18"/>
          <w:vertAlign w:val="superscript"/>
        </w:rPr>
        <w:t>2</w:t>
      </w:r>
      <w:r w:rsidRPr="00A530E1">
        <w:rPr>
          <w:sz w:val="18"/>
          <w:szCs w:val="18"/>
        </w:rPr>
        <w:t xml:space="preserve">  Includes learning and comprehension difficulties.</w:t>
      </w:r>
    </w:p>
    <w:p w:rsidR="007349CA" w:rsidRPr="00A530E1" w:rsidRDefault="007349CA" w:rsidP="007349CA">
      <w:pPr>
        <w:pStyle w:val="SingleTxtG"/>
      </w:pPr>
      <w:r w:rsidRPr="00A530E1">
        <w:t>48.</w:t>
      </w:r>
      <w:r w:rsidRPr="00A530E1">
        <w:tab/>
      </w:r>
      <w:r w:rsidRPr="00A530E1">
        <w:rPr>
          <w:b/>
        </w:rPr>
        <w:t>Disability by ethnic origin</w:t>
      </w:r>
      <w:r w:rsidRPr="00A530E1">
        <w:t>: The majority of persons with disabilities in Peru have Spanish as their mother tongue, since 7 out of 10 people learn Spanish during childhood. Quechua is the next most common mother tongue, with 24 per cent of persons with disabilities speaking that language. Only 1.2 per cent of the popul</w:t>
      </w:r>
      <w:r w:rsidR="006F3DD8">
        <w:t xml:space="preserve">ation with disabilities is deaf </w:t>
      </w:r>
      <w:r w:rsidRPr="00A530E1">
        <w:t>mute.</w:t>
      </w:r>
    </w:p>
    <w:p w:rsidR="007349CA" w:rsidRDefault="007349CA" w:rsidP="003560A4">
      <w:pPr>
        <w:pStyle w:val="H23G"/>
        <w:spacing w:after="0"/>
      </w:pPr>
      <w:r w:rsidRPr="00A530E1">
        <w:tab/>
      </w:r>
      <w:r w:rsidRPr="00A530E1">
        <w:tab/>
        <w:t>Percentage of persons with disabilities, by language learned during childhood, area of residence and sex, 2006</w:t>
      </w:r>
    </w:p>
    <w:p w:rsidR="003560A4" w:rsidRPr="003560A4" w:rsidRDefault="003560A4" w:rsidP="003560A4">
      <w:pPr>
        <w:pStyle w:val="SingleTxtG"/>
        <w:rPr>
          <w:sz w:val="16"/>
          <w:szCs w:val="16"/>
        </w:rPr>
      </w:pPr>
      <w:r w:rsidRPr="003560A4">
        <w:rPr>
          <w:sz w:val="16"/>
          <w:szCs w:val="16"/>
        </w:rPr>
        <w:t>(Percentage distribution)</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606"/>
        <w:gridCol w:w="700"/>
        <w:gridCol w:w="1266"/>
        <w:gridCol w:w="1266"/>
        <w:gridCol w:w="1266"/>
        <w:gridCol w:w="1266"/>
      </w:tblGrid>
      <w:tr w:rsidR="007349CA" w:rsidRPr="00A530E1" w:rsidTr="00750794">
        <w:tblPrEx>
          <w:tblCellMar>
            <w:top w:w="0" w:type="dxa"/>
            <w:bottom w:w="0" w:type="dxa"/>
          </w:tblCellMar>
        </w:tblPrEx>
        <w:trPr>
          <w:trHeight w:val="240"/>
          <w:tblHeader/>
        </w:trPr>
        <w:tc>
          <w:tcPr>
            <w:tcW w:w="1606" w:type="dxa"/>
            <w:tcBorders>
              <w:top w:val="single" w:sz="12" w:space="0" w:color="auto"/>
              <w:bottom w:val="single" w:sz="12" w:space="0" w:color="auto"/>
            </w:tcBorders>
            <w:shd w:val="clear" w:color="auto" w:fill="auto"/>
            <w:vAlign w:val="bottom"/>
          </w:tcPr>
          <w:p w:rsidR="007349CA" w:rsidRPr="00A530E1" w:rsidRDefault="007349CA" w:rsidP="00F063C5">
            <w:pPr>
              <w:suppressAutoHyphens w:val="0"/>
              <w:spacing w:before="80" w:after="80" w:line="200" w:lineRule="exact"/>
              <w:ind w:right="113"/>
              <w:rPr>
                <w:i/>
                <w:sz w:val="16"/>
              </w:rPr>
            </w:pPr>
            <w:r w:rsidRPr="00A530E1">
              <w:rPr>
                <w:i/>
                <w:sz w:val="16"/>
              </w:rPr>
              <w:t>Area of residence</w:t>
            </w:r>
            <w:r w:rsidR="001C3181">
              <w:rPr>
                <w:i/>
                <w:sz w:val="16"/>
              </w:rPr>
              <w:t>/sex</w:t>
            </w:r>
          </w:p>
        </w:tc>
        <w:tc>
          <w:tcPr>
            <w:tcW w:w="700" w:type="dxa"/>
            <w:tcBorders>
              <w:top w:val="single" w:sz="12" w:space="0" w:color="auto"/>
              <w:bottom w:val="single" w:sz="12" w:space="0" w:color="auto"/>
            </w:tcBorders>
            <w:shd w:val="clear" w:color="auto" w:fill="auto"/>
            <w:vAlign w:val="bottom"/>
          </w:tcPr>
          <w:p w:rsidR="007349CA" w:rsidRPr="00A530E1" w:rsidRDefault="007349CA" w:rsidP="00F063C5">
            <w:pPr>
              <w:suppressAutoHyphens w:val="0"/>
              <w:spacing w:before="80" w:after="80" w:line="200" w:lineRule="exact"/>
              <w:ind w:right="113"/>
              <w:jc w:val="right"/>
              <w:rPr>
                <w:b/>
                <w:i/>
                <w:sz w:val="16"/>
              </w:rPr>
            </w:pPr>
            <w:r w:rsidRPr="00A530E1">
              <w:rPr>
                <w:b/>
                <w:i/>
                <w:sz w:val="16"/>
              </w:rPr>
              <w:t>Total</w:t>
            </w:r>
          </w:p>
        </w:tc>
        <w:tc>
          <w:tcPr>
            <w:tcW w:w="1266" w:type="dxa"/>
            <w:tcBorders>
              <w:top w:val="single" w:sz="12" w:space="0" w:color="auto"/>
              <w:bottom w:val="single" w:sz="12" w:space="0" w:color="auto"/>
            </w:tcBorders>
            <w:shd w:val="clear" w:color="auto" w:fill="auto"/>
            <w:vAlign w:val="bottom"/>
          </w:tcPr>
          <w:p w:rsidR="007349CA" w:rsidRPr="00A530E1" w:rsidRDefault="007349CA" w:rsidP="00F063C5">
            <w:pPr>
              <w:suppressAutoHyphens w:val="0"/>
              <w:spacing w:before="80" w:after="80" w:line="200" w:lineRule="exact"/>
              <w:ind w:right="113"/>
              <w:jc w:val="right"/>
              <w:rPr>
                <w:i/>
                <w:sz w:val="16"/>
              </w:rPr>
            </w:pPr>
            <w:r w:rsidRPr="00A530E1">
              <w:rPr>
                <w:i/>
                <w:sz w:val="16"/>
              </w:rPr>
              <w:t>Spanish</w:t>
            </w:r>
          </w:p>
        </w:tc>
        <w:tc>
          <w:tcPr>
            <w:tcW w:w="1266" w:type="dxa"/>
            <w:tcBorders>
              <w:top w:val="single" w:sz="12" w:space="0" w:color="auto"/>
              <w:bottom w:val="single" w:sz="12" w:space="0" w:color="auto"/>
            </w:tcBorders>
            <w:shd w:val="clear" w:color="auto" w:fill="auto"/>
            <w:vAlign w:val="bottom"/>
          </w:tcPr>
          <w:p w:rsidR="007349CA" w:rsidRPr="00A530E1" w:rsidRDefault="007349CA" w:rsidP="00F063C5">
            <w:pPr>
              <w:suppressAutoHyphens w:val="0"/>
              <w:spacing w:before="80" w:after="80" w:line="200" w:lineRule="exact"/>
              <w:ind w:right="113"/>
              <w:jc w:val="right"/>
              <w:rPr>
                <w:i/>
                <w:sz w:val="16"/>
              </w:rPr>
            </w:pPr>
            <w:r w:rsidRPr="00A530E1">
              <w:rPr>
                <w:i/>
                <w:sz w:val="16"/>
              </w:rPr>
              <w:t>Quechua</w:t>
            </w:r>
          </w:p>
        </w:tc>
        <w:tc>
          <w:tcPr>
            <w:tcW w:w="1266" w:type="dxa"/>
            <w:tcBorders>
              <w:top w:val="single" w:sz="12" w:space="0" w:color="auto"/>
              <w:bottom w:val="single" w:sz="12" w:space="0" w:color="auto"/>
            </w:tcBorders>
            <w:shd w:val="clear" w:color="auto" w:fill="auto"/>
            <w:vAlign w:val="bottom"/>
          </w:tcPr>
          <w:p w:rsidR="007349CA" w:rsidRPr="00A530E1" w:rsidRDefault="007349CA" w:rsidP="00F063C5">
            <w:pPr>
              <w:suppressAutoHyphens w:val="0"/>
              <w:spacing w:before="80" w:after="80" w:line="200" w:lineRule="exact"/>
              <w:ind w:right="113"/>
              <w:jc w:val="right"/>
              <w:rPr>
                <w:i/>
                <w:sz w:val="16"/>
              </w:rPr>
            </w:pPr>
            <w:r w:rsidRPr="00A530E1">
              <w:rPr>
                <w:i/>
                <w:sz w:val="16"/>
              </w:rPr>
              <w:t>Other languages</w:t>
            </w:r>
            <w:r w:rsidRPr="00A530E1">
              <w:rPr>
                <w:i/>
                <w:sz w:val="16"/>
                <w:vertAlign w:val="superscript"/>
              </w:rPr>
              <w:t>1</w:t>
            </w:r>
          </w:p>
        </w:tc>
        <w:tc>
          <w:tcPr>
            <w:tcW w:w="1266" w:type="dxa"/>
            <w:tcBorders>
              <w:top w:val="single" w:sz="12" w:space="0" w:color="auto"/>
              <w:bottom w:val="single" w:sz="12" w:space="0" w:color="auto"/>
            </w:tcBorders>
            <w:shd w:val="clear" w:color="auto" w:fill="auto"/>
            <w:vAlign w:val="bottom"/>
          </w:tcPr>
          <w:p w:rsidR="007349CA" w:rsidRPr="00A530E1" w:rsidRDefault="006F3DD8" w:rsidP="00F063C5">
            <w:pPr>
              <w:suppressAutoHyphens w:val="0"/>
              <w:spacing w:before="80" w:after="80" w:line="200" w:lineRule="exact"/>
              <w:ind w:right="113"/>
              <w:jc w:val="right"/>
              <w:rPr>
                <w:i/>
                <w:sz w:val="16"/>
              </w:rPr>
            </w:pPr>
            <w:r>
              <w:rPr>
                <w:i/>
                <w:sz w:val="16"/>
              </w:rPr>
              <w:t xml:space="preserve">Deaf </w:t>
            </w:r>
            <w:r w:rsidR="007349CA" w:rsidRPr="00A530E1">
              <w:rPr>
                <w:i/>
                <w:sz w:val="16"/>
              </w:rPr>
              <w:t>mute</w:t>
            </w:r>
          </w:p>
        </w:tc>
      </w:tr>
      <w:tr w:rsidR="007349CA" w:rsidRPr="00A530E1" w:rsidTr="0043050F">
        <w:tblPrEx>
          <w:tblCellMar>
            <w:top w:w="0" w:type="dxa"/>
            <w:bottom w:w="0" w:type="dxa"/>
          </w:tblCellMar>
        </w:tblPrEx>
        <w:trPr>
          <w:trHeight w:val="240"/>
        </w:trPr>
        <w:tc>
          <w:tcPr>
            <w:tcW w:w="1606" w:type="dxa"/>
            <w:shd w:val="clear" w:color="auto" w:fill="auto"/>
            <w:vAlign w:val="bottom"/>
          </w:tcPr>
          <w:p w:rsidR="007349CA" w:rsidRPr="00A530E1" w:rsidRDefault="007349CA" w:rsidP="0043050F">
            <w:pPr>
              <w:suppressAutoHyphens w:val="0"/>
              <w:spacing w:before="40" w:after="40" w:line="220" w:lineRule="exact"/>
              <w:ind w:right="113"/>
              <w:rPr>
                <w:sz w:val="18"/>
              </w:rPr>
            </w:pPr>
            <w:r w:rsidRPr="00A530E1">
              <w:rPr>
                <w:bCs/>
                <w:sz w:val="18"/>
              </w:rPr>
              <w:t>Urban</w:t>
            </w:r>
          </w:p>
        </w:tc>
        <w:tc>
          <w:tcPr>
            <w:tcW w:w="700" w:type="dxa"/>
            <w:shd w:val="clear" w:color="auto" w:fill="auto"/>
            <w:vAlign w:val="bottom"/>
          </w:tcPr>
          <w:p w:rsidR="007349CA" w:rsidRPr="00A530E1" w:rsidRDefault="007349CA" w:rsidP="00F063C5">
            <w:pPr>
              <w:suppressAutoHyphens w:val="0"/>
              <w:spacing w:before="40" w:after="40" w:line="220" w:lineRule="exact"/>
              <w:ind w:right="113"/>
              <w:jc w:val="right"/>
              <w:rPr>
                <w:b/>
                <w:sz w:val="18"/>
              </w:rPr>
            </w:pPr>
            <w:r w:rsidRPr="00A530E1">
              <w:rPr>
                <w:b/>
                <w:bCs/>
                <w:sz w:val="18"/>
              </w:rPr>
              <w:t>100.0</w:t>
            </w:r>
          </w:p>
        </w:tc>
        <w:tc>
          <w:tcPr>
            <w:tcW w:w="1266" w:type="dxa"/>
            <w:shd w:val="clear" w:color="auto" w:fill="auto"/>
            <w:vAlign w:val="bottom"/>
          </w:tcPr>
          <w:p w:rsidR="007349CA" w:rsidRPr="00A530E1" w:rsidRDefault="007349CA" w:rsidP="00F063C5">
            <w:pPr>
              <w:suppressAutoHyphens w:val="0"/>
              <w:spacing w:before="40" w:after="40" w:line="220" w:lineRule="exact"/>
              <w:ind w:right="113"/>
              <w:jc w:val="right"/>
              <w:rPr>
                <w:sz w:val="18"/>
              </w:rPr>
            </w:pPr>
            <w:r w:rsidRPr="00A530E1">
              <w:rPr>
                <w:bCs/>
                <w:sz w:val="18"/>
              </w:rPr>
              <w:t>78.3</w:t>
            </w:r>
          </w:p>
        </w:tc>
        <w:tc>
          <w:tcPr>
            <w:tcW w:w="1266" w:type="dxa"/>
            <w:shd w:val="clear" w:color="auto" w:fill="auto"/>
            <w:vAlign w:val="bottom"/>
          </w:tcPr>
          <w:p w:rsidR="007349CA" w:rsidRPr="00A530E1" w:rsidRDefault="007349CA" w:rsidP="00F063C5">
            <w:pPr>
              <w:suppressAutoHyphens w:val="0"/>
              <w:spacing w:before="40" w:after="40" w:line="220" w:lineRule="exact"/>
              <w:ind w:right="113"/>
              <w:jc w:val="right"/>
              <w:rPr>
                <w:sz w:val="18"/>
              </w:rPr>
            </w:pPr>
            <w:r w:rsidRPr="00A530E1">
              <w:rPr>
                <w:bCs/>
                <w:sz w:val="18"/>
              </w:rPr>
              <w:t>19.0</w:t>
            </w:r>
          </w:p>
        </w:tc>
        <w:tc>
          <w:tcPr>
            <w:tcW w:w="1266" w:type="dxa"/>
            <w:shd w:val="clear" w:color="auto" w:fill="auto"/>
            <w:vAlign w:val="bottom"/>
          </w:tcPr>
          <w:p w:rsidR="007349CA" w:rsidRPr="00A530E1" w:rsidRDefault="007349CA" w:rsidP="00F063C5">
            <w:pPr>
              <w:suppressAutoHyphens w:val="0"/>
              <w:spacing w:before="40" w:after="40" w:line="220" w:lineRule="exact"/>
              <w:ind w:right="113"/>
              <w:jc w:val="right"/>
              <w:rPr>
                <w:sz w:val="18"/>
              </w:rPr>
            </w:pPr>
            <w:r w:rsidRPr="00A530E1">
              <w:rPr>
                <w:sz w:val="18"/>
              </w:rPr>
              <w:t>1.9</w:t>
            </w:r>
          </w:p>
        </w:tc>
        <w:tc>
          <w:tcPr>
            <w:tcW w:w="1266" w:type="dxa"/>
            <w:shd w:val="clear" w:color="auto" w:fill="auto"/>
            <w:vAlign w:val="bottom"/>
          </w:tcPr>
          <w:p w:rsidR="007349CA" w:rsidRPr="00A530E1" w:rsidRDefault="007349CA" w:rsidP="00F063C5">
            <w:pPr>
              <w:suppressAutoHyphens w:val="0"/>
              <w:spacing w:before="40" w:after="40" w:line="220" w:lineRule="exact"/>
              <w:ind w:right="113"/>
              <w:jc w:val="right"/>
              <w:rPr>
                <w:sz w:val="18"/>
              </w:rPr>
            </w:pPr>
            <w:r w:rsidRPr="00A530E1">
              <w:rPr>
                <w:bCs/>
                <w:sz w:val="18"/>
              </w:rPr>
              <w:t>0.8</w:t>
            </w:r>
          </w:p>
        </w:tc>
      </w:tr>
      <w:tr w:rsidR="007349CA" w:rsidRPr="00A530E1" w:rsidTr="0043050F">
        <w:tblPrEx>
          <w:tblCellMar>
            <w:top w:w="0" w:type="dxa"/>
            <w:bottom w:w="0" w:type="dxa"/>
          </w:tblCellMar>
        </w:tblPrEx>
        <w:trPr>
          <w:trHeight w:val="240"/>
        </w:trPr>
        <w:tc>
          <w:tcPr>
            <w:tcW w:w="1606" w:type="dxa"/>
            <w:shd w:val="clear" w:color="auto" w:fill="auto"/>
            <w:vAlign w:val="bottom"/>
          </w:tcPr>
          <w:p w:rsidR="007349CA" w:rsidRPr="00A530E1" w:rsidRDefault="007349CA" w:rsidP="0043050F">
            <w:pPr>
              <w:suppressAutoHyphens w:val="0"/>
              <w:spacing w:before="40" w:after="40" w:line="220" w:lineRule="exact"/>
              <w:ind w:left="170" w:right="113"/>
              <w:rPr>
                <w:sz w:val="18"/>
              </w:rPr>
            </w:pPr>
            <w:r w:rsidRPr="00A530E1">
              <w:rPr>
                <w:sz w:val="18"/>
              </w:rPr>
              <w:t>Men</w:t>
            </w:r>
          </w:p>
        </w:tc>
        <w:tc>
          <w:tcPr>
            <w:tcW w:w="700" w:type="dxa"/>
            <w:shd w:val="clear" w:color="auto" w:fill="auto"/>
            <w:vAlign w:val="bottom"/>
          </w:tcPr>
          <w:p w:rsidR="007349CA" w:rsidRPr="00A530E1" w:rsidRDefault="007349CA" w:rsidP="00F063C5">
            <w:pPr>
              <w:suppressAutoHyphens w:val="0"/>
              <w:spacing w:before="40" w:after="40" w:line="220" w:lineRule="exact"/>
              <w:ind w:right="113"/>
              <w:jc w:val="right"/>
              <w:rPr>
                <w:b/>
                <w:sz w:val="18"/>
              </w:rPr>
            </w:pPr>
            <w:r w:rsidRPr="00A530E1">
              <w:rPr>
                <w:b/>
                <w:sz w:val="18"/>
              </w:rPr>
              <w:t xml:space="preserve">100.0 </w:t>
            </w:r>
          </w:p>
        </w:tc>
        <w:tc>
          <w:tcPr>
            <w:tcW w:w="1266" w:type="dxa"/>
            <w:shd w:val="clear" w:color="auto" w:fill="auto"/>
            <w:vAlign w:val="bottom"/>
          </w:tcPr>
          <w:p w:rsidR="007349CA" w:rsidRPr="00A530E1" w:rsidRDefault="007349CA" w:rsidP="00F063C5">
            <w:pPr>
              <w:suppressAutoHyphens w:val="0"/>
              <w:spacing w:before="40" w:after="40" w:line="220" w:lineRule="exact"/>
              <w:ind w:right="113"/>
              <w:jc w:val="right"/>
              <w:rPr>
                <w:sz w:val="18"/>
              </w:rPr>
            </w:pPr>
            <w:r w:rsidRPr="00A530E1">
              <w:rPr>
                <w:sz w:val="18"/>
              </w:rPr>
              <w:t>78.7</w:t>
            </w:r>
          </w:p>
        </w:tc>
        <w:tc>
          <w:tcPr>
            <w:tcW w:w="1266" w:type="dxa"/>
            <w:shd w:val="clear" w:color="auto" w:fill="auto"/>
            <w:vAlign w:val="bottom"/>
          </w:tcPr>
          <w:p w:rsidR="007349CA" w:rsidRPr="00A530E1" w:rsidRDefault="007349CA" w:rsidP="00F063C5">
            <w:pPr>
              <w:suppressAutoHyphens w:val="0"/>
              <w:spacing w:before="40" w:after="40" w:line="220" w:lineRule="exact"/>
              <w:ind w:right="113"/>
              <w:jc w:val="right"/>
              <w:rPr>
                <w:sz w:val="18"/>
              </w:rPr>
            </w:pPr>
            <w:r w:rsidRPr="00A530E1">
              <w:rPr>
                <w:sz w:val="18"/>
              </w:rPr>
              <w:t>18.3</w:t>
            </w:r>
          </w:p>
        </w:tc>
        <w:tc>
          <w:tcPr>
            <w:tcW w:w="1266" w:type="dxa"/>
            <w:shd w:val="clear" w:color="auto" w:fill="auto"/>
            <w:vAlign w:val="bottom"/>
          </w:tcPr>
          <w:p w:rsidR="007349CA" w:rsidRPr="00A530E1" w:rsidRDefault="007349CA" w:rsidP="00F063C5">
            <w:pPr>
              <w:suppressAutoHyphens w:val="0"/>
              <w:spacing w:before="40" w:after="40" w:line="220" w:lineRule="exact"/>
              <w:ind w:right="113"/>
              <w:jc w:val="right"/>
              <w:rPr>
                <w:sz w:val="18"/>
              </w:rPr>
            </w:pPr>
            <w:r w:rsidRPr="00A530E1">
              <w:rPr>
                <w:sz w:val="18"/>
              </w:rPr>
              <w:t>1.9</w:t>
            </w:r>
          </w:p>
        </w:tc>
        <w:tc>
          <w:tcPr>
            <w:tcW w:w="1266" w:type="dxa"/>
            <w:shd w:val="clear" w:color="auto" w:fill="auto"/>
            <w:vAlign w:val="bottom"/>
          </w:tcPr>
          <w:p w:rsidR="007349CA" w:rsidRPr="00A530E1" w:rsidRDefault="007349CA" w:rsidP="00F063C5">
            <w:pPr>
              <w:suppressAutoHyphens w:val="0"/>
              <w:spacing w:before="40" w:after="40" w:line="220" w:lineRule="exact"/>
              <w:ind w:right="113"/>
              <w:jc w:val="right"/>
              <w:rPr>
                <w:sz w:val="18"/>
              </w:rPr>
            </w:pPr>
            <w:r w:rsidRPr="00A530E1">
              <w:rPr>
                <w:sz w:val="18"/>
              </w:rPr>
              <w:t>1.0</w:t>
            </w:r>
          </w:p>
        </w:tc>
      </w:tr>
      <w:tr w:rsidR="007349CA" w:rsidRPr="00A530E1" w:rsidTr="0043050F">
        <w:tblPrEx>
          <w:tblCellMar>
            <w:top w:w="0" w:type="dxa"/>
            <w:bottom w:w="0" w:type="dxa"/>
          </w:tblCellMar>
        </w:tblPrEx>
        <w:trPr>
          <w:trHeight w:val="240"/>
        </w:trPr>
        <w:tc>
          <w:tcPr>
            <w:tcW w:w="1606" w:type="dxa"/>
            <w:tcBorders>
              <w:bottom w:val="nil"/>
            </w:tcBorders>
            <w:shd w:val="clear" w:color="auto" w:fill="auto"/>
            <w:vAlign w:val="bottom"/>
          </w:tcPr>
          <w:p w:rsidR="007349CA" w:rsidRPr="00A530E1" w:rsidRDefault="007349CA" w:rsidP="0043050F">
            <w:pPr>
              <w:suppressAutoHyphens w:val="0"/>
              <w:spacing w:before="40" w:after="40" w:line="220" w:lineRule="exact"/>
              <w:ind w:left="170" w:right="113"/>
              <w:rPr>
                <w:sz w:val="18"/>
              </w:rPr>
            </w:pPr>
            <w:r w:rsidRPr="00A530E1">
              <w:rPr>
                <w:sz w:val="18"/>
              </w:rPr>
              <w:t>Women</w:t>
            </w:r>
          </w:p>
        </w:tc>
        <w:tc>
          <w:tcPr>
            <w:tcW w:w="700" w:type="dxa"/>
            <w:tcBorders>
              <w:bottom w:val="nil"/>
            </w:tcBorders>
            <w:shd w:val="clear" w:color="auto" w:fill="auto"/>
            <w:vAlign w:val="bottom"/>
          </w:tcPr>
          <w:p w:rsidR="007349CA" w:rsidRPr="00A530E1" w:rsidRDefault="007349CA" w:rsidP="00F063C5">
            <w:pPr>
              <w:suppressAutoHyphens w:val="0"/>
              <w:spacing w:before="40" w:after="40" w:line="220" w:lineRule="exact"/>
              <w:ind w:right="113"/>
              <w:jc w:val="right"/>
              <w:rPr>
                <w:b/>
                <w:sz w:val="18"/>
              </w:rPr>
            </w:pPr>
            <w:r w:rsidRPr="00A530E1">
              <w:rPr>
                <w:b/>
                <w:sz w:val="18"/>
              </w:rPr>
              <w:t>100.0</w:t>
            </w:r>
          </w:p>
        </w:tc>
        <w:tc>
          <w:tcPr>
            <w:tcW w:w="1266" w:type="dxa"/>
            <w:tcBorders>
              <w:bottom w:val="nil"/>
            </w:tcBorders>
            <w:shd w:val="clear" w:color="auto" w:fill="auto"/>
            <w:vAlign w:val="bottom"/>
          </w:tcPr>
          <w:p w:rsidR="007349CA" w:rsidRPr="00A530E1" w:rsidRDefault="007349CA" w:rsidP="00F063C5">
            <w:pPr>
              <w:suppressAutoHyphens w:val="0"/>
              <w:spacing w:before="40" w:after="40" w:line="220" w:lineRule="exact"/>
              <w:ind w:right="113"/>
              <w:jc w:val="right"/>
              <w:rPr>
                <w:sz w:val="18"/>
              </w:rPr>
            </w:pPr>
            <w:r w:rsidRPr="00A530E1">
              <w:rPr>
                <w:sz w:val="18"/>
              </w:rPr>
              <w:t>77.9</w:t>
            </w:r>
          </w:p>
        </w:tc>
        <w:tc>
          <w:tcPr>
            <w:tcW w:w="1266" w:type="dxa"/>
            <w:tcBorders>
              <w:bottom w:val="nil"/>
            </w:tcBorders>
            <w:shd w:val="clear" w:color="auto" w:fill="auto"/>
            <w:vAlign w:val="bottom"/>
          </w:tcPr>
          <w:p w:rsidR="007349CA" w:rsidRPr="00A530E1" w:rsidRDefault="007349CA" w:rsidP="00F063C5">
            <w:pPr>
              <w:suppressAutoHyphens w:val="0"/>
              <w:spacing w:before="40" w:after="40" w:line="220" w:lineRule="exact"/>
              <w:ind w:right="113"/>
              <w:jc w:val="right"/>
              <w:rPr>
                <w:sz w:val="18"/>
              </w:rPr>
            </w:pPr>
            <w:r w:rsidRPr="00A530E1">
              <w:rPr>
                <w:sz w:val="18"/>
              </w:rPr>
              <w:t>19.6</w:t>
            </w:r>
          </w:p>
        </w:tc>
        <w:tc>
          <w:tcPr>
            <w:tcW w:w="1266" w:type="dxa"/>
            <w:tcBorders>
              <w:bottom w:val="nil"/>
            </w:tcBorders>
            <w:shd w:val="clear" w:color="auto" w:fill="auto"/>
            <w:vAlign w:val="bottom"/>
          </w:tcPr>
          <w:p w:rsidR="007349CA" w:rsidRPr="00A530E1" w:rsidRDefault="007349CA" w:rsidP="00F063C5">
            <w:pPr>
              <w:suppressAutoHyphens w:val="0"/>
              <w:spacing w:before="40" w:after="40" w:line="220" w:lineRule="exact"/>
              <w:ind w:right="113"/>
              <w:jc w:val="right"/>
              <w:rPr>
                <w:sz w:val="18"/>
              </w:rPr>
            </w:pPr>
            <w:r w:rsidRPr="00A530E1">
              <w:rPr>
                <w:sz w:val="18"/>
              </w:rPr>
              <w:t>1.8</w:t>
            </w:r>
          </w:p>
        </w:tc>
        <w:tc>
          <w:tcPr>
            <w:tcW w:w="1266" w:type="dxa"/>
            <w:tcBorders>
              <w:bottom w:val="nil"/>
            </w:tcBorders>
            <w:shd w:val="clear" w:color="auto" w:fill="auto"/>
            <w:vAlign w:val="bottom"/>
          </w:tcPr>
          <w:p w:rsidR="007349CA" w:rsidRPr="00A530E1" w:rsidRDefault="007349CA" w:rsidP="00F063C5">
            <w:pPr>
              <w:suppressAutoHyphens w:val="0"/>
              <w:spacing w:before="40" w:after="40" w:line="220" w:lineRule="exact"/>
              <w:ind w:right="113"/>
              <w:jc w:val="right"/>
              <w:rPr>
                <w:sz w:val="18"/>
              </w:rPr>
            </w:pPr>
            <w:r w:rsidRPr="00A530E1">
              <w:rPr>
                <w:sz w:val="18"/>
              </w:rPr>
              <w:t>0.7</w:t>
            </w:r>
          </w:p>
        </w:tc>
      </w:tr>
      <w:tr w:rsidR="007349CA" w:rsidRPr="00A530E1" w:rsidTr="0043050F">
        <w:tblPrEx>
          <w:tblCellMar>
            <w:top w:w="0" w:type="dxa"/>
            <w:bottom w:w="0" w:type="dxa"/>
          </w:tblCellMar>
        </w:tblPrEx>
        <w:trPr>
          <w:trHeight w:val="240"/>
        </w:trPr>
        <w:tc>
          <w:tcPr>
            <w:tcW w:w="1606" w:type="dxa"/>
            <w:tcBorders>
              <w:top w:val="nil"/>
              <w:bottom w:val="nil"/>
            </w:tcBorders>
            <w:shd w:val="clear" w:color="auto" w:fill="auto"/>
            <w:vAlign w:val="bottom"/>
          </w:tcPr>
          <w:p w:rsidR="007349CA" w:rsidRPr="00A530E1" w:rsidRDefault="007349CA" w:rsidP="0043050F">
            <w:pPr>
              <w:suppressAutoHyphens w:val="0"/>
              <w:spacing w:before="40" w:after="40" w:line="220" w:lineRule="exact"/>
              <w:ind w:right="113"/>
              <w:rPr>
                <w:sz w:val="18"/>
              </w:rPr>
            </w:pPr>
            <w:r w:rsidRPr="00A530E1">
              <w:rPr>
                <w:bCs/>
                <w:sz w:val="18"/>
              </w:rPr>
              <w:t>Rural</w:t>
            </w:r>
          </w:p>
        </w:tc>
        <w:tc>
          <w:tcPr>
            <w:tcW w:w="700" w:type="dxa"/>
            <w:tcBorders>
              <w:top w:val="nil"/>
              <w:bottom w:val="nil"/>
            </w:tcBorders>
            <w:shd w:val="clear" w:color="auto" w:fill="auto"/>
            <w:vAlign w:val="bottom"/>
          </w:tcPr>
          <w:p w:rsidR="007349CA" w:rsidRPr="00A530E1" w:rsidRDefault="007349CA" w:rsidP="00F063C5">
            <w:pPr>
              <w:suppressAutoHyphens w:val="0"/>
              <w:spacing w:before="40" w:after="40" w:line="220" w:lineRule="exact"/>
              <w:ind w:right="113"/>
              <w:jc w:val="right"/>
              <w:rPr>
                <w:b/>
                <w:sz w:val="18"/>
              </w:rPr>
            </w:pPr>
            <w:r w:rsidRPr="00A530E1">
              <w:rPr>
                <w:b/>
                <w:bCs/>
                <w:sz w:val="18"/>
              </w:rPr>
              <w:t>100.0</w:t>
            </w:r>
          </w:p>
        </w:tc>
        <w:tc>
          <w:tcPr>
            <w:tcW w:w="1266" w:type="dxa"/>
            <w:tcBorders>
              <w:top w:val="nil"/>
              <w:bottom w:val="nil"/>
            </w:tcBorders>
            <w:shd w:val="clear" w:color="auto" w:fill="auto"/>
            <w:vAlign w:val="bottom"/>
          </w:tcPr>
          <w:p w:rsidR="007349CA" w:rsidRPr="00A530E1" w:rsidRDefault="007349CA" w:rsidP="00F063C5">
            <w:pPr>
              <w:suppressAutoHyphens w:val="0"/>
              <w:spacing w:before="40" w:after="40" w:line="220" w:lineRule="exact"/>
              <w:ind w:right="113"/>
              <w:jc w:val="right"/>
              <w:rPr>
                <w:sz w:val="18"/>
              </w:rPr>
            </w:pPr>
            <w:r w:rsidRPr="00A530E1">
              <w:rPr>
                <w:bCs/>
                <w:sz w:val="18"/>
              </w:rPr>
              <w:t>47.7</w:t>
            </w:r>
          </w:p>
        </w:tc>
        <w:tc>
          <w:tcPr>
            <w:tcW w:w="1266" w:type="dxa"/>
            <w:tcBorders>
              <w:top w:val="nil"/>
              <w:bottom w:val="nil"/>
            </w:tcBorders>
            <w:shd w:val="clear" w:color="auto" w:fill="auto"/>
            <w:vAlign w:val="bottom"/>
          </w:tcPr>
          <w:p w:rsidR="007349CA" w:rsidRPr="00A530E1" w:rsidRDefault="007349CA" w:rsidP="00F063C5">
            <w:pPr>
              <w:suppressAutoHyphens w:val="0"/>
              <w:spacing w:before="40" w:after="40" w:line="220" w:lineRule="exact"/>
              <w:ind w:right="113"/>
              <w:jc w:val="right"/>
              <w:rPr>
                <w:sz w:val="18"/>
              </w:rPr>
            </w:pPr>
            <w:r w:rsidRPr="00A530E1">
              <w:rPr>
                <w:bCs/>
                <w:sz w:val="18"/>
              </w:rPr>
              <w:t>42.2</w:t>
            </w:r>
          </w:p>
        </w:tc>
        <w:tc>
          <w:tcPr>
            <w:tcW w:w="1266" w:type="dxa"/>
            <w:tcBorders>
              <w:top w:val="nil"/>
              <w:bottom w:val="nil"/>
            </w:tcBorders>
            <w:shd w:val="clear" w:color="auto" w:fill="auto"/>
            <w:vAlign w:val="bottom"/>
          </w:tcPr>
          <w:p w:rsidR="007349CA" w:rsidRPr="00A530E1" w:rsidRDefault="007349CA" w:rsidP="00F063C5">
            <w:pPr>
              <w:suppressAutoHyphens w:val="0"/>
              <w:spacing w:before="40" w:after="40" w:line="220" w:lineRule="exact"/>
              <w:ind w:right="113"/>
              <w:jc w:val="right"/>
              <w:rPr>
                <w:sz w:val="18"/>
              </w:rPr>
            </w:pPr>
            <w:r w:rsidRPr="00A530E1">
              <w:rPr>
                <w:sz w:val="18"/>
              </w:rPr>
              <w:t>7.6</w:t>
            </w:r>
          </w:p>
        </w:tc>
        <w:tc>
          <w:tcPr>
            <w:tcW w:w="1266" w:type="dxa"/>
            <w:tcBorders>
              <w:top w:val="nil"/>
              <w:bottom w:val="nil"/>
            </w:tcBorders>
            <w:shd w:val="clear" w:color="auto" w:fill="auto"/>
            <w:vAlign w:val="bottom"/>
          </w:tcPr>
          <w:p w:rsidR="007349CA" w:rsidRPr="00A530E1" w:rsidRDefault="007349CA" w:rsidP="00F063C5">
            <w:pPr>
              <w:suppressAutoHyphens w:val="0"/>
              <w:spacing w:before="40" w:after="40" w:line="220" w:lineRule="exact"/>
              <w:ind w:right="113"/>
              <w:jc w:val="right"/>
              <w:rPr>
                <w:sz w:val="18"/>
              </w:rPr>
            </w:pPr>
            <w:r w:rsidRPr="00A530E1">
              <w:rPr>
                <w:bCs/>
                <w:sz w:val="18"/>
              </w:rPr>
              <w:t>2.4</w:t>
            </w:r>
          </w:p>
        </w:tc>
      </w:tr>
      <w:tr w:rsidR="007349CA" w:rsidRPr="00A530E1" w:rsidTr="0043050F">
        <w:tblPrEx>
          <w:tblCellMar>
            <w:top w:w="0" w:type="dxa"/>
            <w:bottom w:w="0" w:type="dxa"/>
          </w:tblCellMar>
        </w:tblPrEx>
        <w:trPr>
          <w:trHeight w:val="240"/>
        </w:trPr>
        <w:tc>
          <w:tcPr>
            <w:tcW w:w="1606" w:type="dxa"/>
            <w:tcBorders>
              <w:top w:val="nil"/>
            </w:tcBorders>
            <w:shd w:val="clear" w:color="auto" w:fill="auto"/>
            <w:vAlign w:val="bottom"/>
          </w:tcPr>
          <w:p w:rsidR="007349CA" w:rsidRPr="00A530E1" w:rsidRDefault="007349CA" w:rsidP="005F16C5">
            <w:pPr>
              <w:suppressAutoHyphens w:val="0"/>
              <w:spacing w:before="40" w:after="40" w:line="220" w:lineRule="exact"/>
              <w:ind w:left="170" w:right="113"/>
              <w:rPr>
                <w:sz w:val="18"/>
              </w:rPr>
            </w:pPr>
            <w:r w:rsidRPr="00A530E1">
              <w:rPr>
                <w:sz w:val="18"/>
              </w:rPr>
              <w:t>Men</w:t>
            </w:r>
          </w:p>
        </w:tc>
        <w:tc>
          <w:tcPr>
            <w:tcW w:w="700" w:type="dxa"/>
            <w:tcBorders>
              <w:top w:val="nil"/>
            </w:tcBorders>
            <w:shd w:val="clear" w:color="auto" w:fill="auto"/>
            <w:vAlign w:val="bottom"/>
          </w:tcPr>
          <w:p w:rsidR="007349CA" w:rsidRPr="00A530E1" w:rsidRDefault="007349CA" w:rsidP="00F063C5">
            <w:pPr>
              <w:suppressAutoHyphens w:val="0"/>
              <w:spacing w:before="40" w:after="40" w:line="220" w:lineRule="exact"/>
              <w:ind w:right="113"/>
              <w:jc w:val="right"/>
              <w:rPr>
                <w:b/>
                <w:bCs/>
                <w:sz w:val="18"/>
              </w:rPr>
            </w:pPr>
            <w:r w:rsidRPr="00A530E1">
              <w:rPr>
                <w:b/>
                <w:bCs/>
                <w:sz w:val="18"/>
              </w:rPr>
              <w:t xml:space="preserve">100.0 </w:t>
            </w:r>
          </w:p>
        </w:tc>
        <w:tc>
          <w:tcPr>
            <w:tcW w:w="1266" w:type="dxa"/>
            <w:tcBorders>
              <w:top w:val="nil"/>
            </w:tcBorders>
            <w:shd w:val="clear" w:color="auto" w:fill="auto"/>
            <w:vAlign w:val="bottom"/>
          </w:tcPr>
          <w:p w:rsidR="007349CA" w:rsidRPr="00A530E1" w:rsidRDefault="007349CA" w:rsidP="00F063C5">
            <w:pPr>
              <w:suppressAutoHyphens w:val="0"/>
              <w:spacing w:before="40" w:after="40" w:line="220" w:lineRule="exact"/>
              <w:ind w:right="113"/>
              <w:jc w:val="right"/>
              <w:rPr>
                <w:sz w:val="18"/>
              </w:rPr>
            </w:pPr>
            <w:r w:rsidRPr="00A530E1">
              <w:rPr>
                <w:sz w:val="18"/>
              </w:rPr>
              <w:t>49.6</w:t>
            </w:r>
          </w:p>
        </w:tc>
        <w:tc>
          <w:tcPr>
            <w:tcW w:w="1266" w:type="dxa"/>
            <w:tcBorders>
              <w:top w:val="nil"/>
            </w:tcBorders>
            <w:shd w:val="clear" w:color="auto" w:fill="auto"/>
            <w:vAlign w:val="bottom"/>
          </w:tcPr>
          <w:p w:rsidR="007349CA" w:rsidRPr="00A530E1" w:rsidRDefault="007349CA" w:rsidP="00F063C5">
            <w:pPr>
              <w:suppressAutoHyphens w:val="0"/>
              <w:spacing w:before="40" w:after="40" w:line="220" w:lineRule="exact"/>
              <w:ind w:right="113"/>
              <w:jc w:val="right"/>
              <w:rPr>
                <w:sz w:val="18"/>
              </w:rPr>
            </w:pPr>
            <w:r w:rsidRPr="00A530E1">
              <w:rPr>
                <w:sz w:val="18"/>
              </w:rPr>
              <w:t>40.2</w:t>
            </w:r>
          </w:p>
        </w:tc>
        <w:tc>
          <w:tcPr>
            <w:tcW w:w="1266" w:type="dxa"/>
            <w:tcBorders>
              <w:top w:val="nil"/>
            </w:tcBorders>
            <w:shd w:val="clear" w:color="auto" w:fill="auto"/>
            <w:vAlign w:val="bottom"/>
          </w:tcPr>
          <w:p w:rsidR="007349CA" w:rsidRPr="00A530E1" w:rsidRDefault="007349CA" w:rsidP="00F063C5">
            <w:pPr>
              <w:suppressAutoHyphens w:val="0"/>
              <w:spacing w:before="40" w:after="40" w:line="220" w:lineRule="exact"/>
              <w:ind w:right="113"/>
              <w:jc w:val="right"/>
              <w:rPr>
                <w:sz w:val="18"/>
              </w:rPr>
            </w:pPr>
            <w:r w:rsidRPr="00A530E1">
              <w:rPr>
                <w:sz w:val="18"/>
              </w:rPr>
              <w:t>7.5</w:t>
            </w:r>
          </w:p>
        </w:tc>
        <w:tc>
          <w:tcPr>
            <w:tcW w:w="1266" w:type="dxa"/>
            <w:tcBorders>
              <w:top w:val="nil"/>
            </w:tcBorders>
            <w:shd w:val="clear" w:color="auto" w:fill="auto"/>
            <w:vAlign w:val="bottom"/>
          </w:tcPr>
          <w:p w:rsidR="007349CA" w:rsidRPr="00A530E1" w:rsidRDefault="007349CA" w:rsidP="00F063C5">
            <w:pPr>
              <w:suppressAutoHyphens w:val="0"/>
              <w:spacing w:before="40" w:after="40" w:line="220" w:lineRule="exact"/>
              <w:ind w:right="113"/>
              <w:jc w:val="right"/>
              <w:rPr>
                <w:sz w:val="18"/>
              </w:rPr>
            </w:pPr>
            <w:r w:rsidRPr="00A530E1">
              <w:rPr>
                <w:sz w:val="18"/>
              </w:rPr>
              <w:t>2.6</w:t>
            </w:r>
          </w:p>
        </w:tc>
      </w:tr>
      <w:tr w:rsidR="007349CA" w:rsidRPr="00A530E1" w:rsidTr="0043050F">
        <w:tblPrEx>
          <w:tblCellMar>
            <w:top w:w="0" w:type="dxa"/>
            <w:bottom w:w="0" w:type="dxa"/>
          </w:tblCellMar>
        </w:tblPrEx>
        <w:trPr>
          <w:trHeight w:val="240"/>
        </w:trPr>
        <w:tc>
          <w:tcPr>
            <w:tcW w:w="1606" w:type="dxa"/>
            <w:tcBorders>
              <w:bottom w:val="single" w:sz="4" w:space="0" w:color="auto"/>
            </w:tcBorders>
            <w:shd w:val="clear" w:color="auto" w:fill="auto"/>
            <w:vAlign w:val="bottom"/>
          </w:tcPr>
          <w:p w:rsidR="007349CA" w:rsidRPr="00A530E1" w:rsidRDefault="007349CA" w:rsidP="0043050F">
            <w:pPr>
              <w:suppressAutoHyphens w:val="0"/>
              <w:spacing w:before="40" w:after="40" w:line="220" w:lineRule="exact"/>
              <w:ind w:left="170" w:right="113"/>
              <w:rPr>
                <w:sz w:val="18"/>
              </w:rPr>
            </w:pPr>
            <w:r w:rsidRPr="00A530E1">
              <w:rPr>
                <w:sz w:val="18"/>
              </w:rPr>
              <w:t>Women</w:t>
            </w:r>
          </w:p>
        </w:tc>
        <w:tc>
          <w:tcPr>
            <w:tcW w:w="700" w:type="dxa"/>
            <w:tcBorders>
              <w:bottom w:val="single" w:sz="4" w:space="0" w:color="auto"/>
            </w:tcBorders>
            <w:shd w:val="clear" w:color="auto" w:fill="auto"/>
            <w:vAlign w:val="bottom"/>
          </w:tcPr>
          <w:p w:rsidR="007349CA" w:rsidRPr="00A530E1" w:rsidRDefault="007349CA" w:rsidP="00F063C5">
            <w:pPr>
              <w:suppressAutoHyphens w:val="0"/>
              <w:spacing w:before="40" w:after="40" w:line="220" w:lineRule="exact"/>
              <w:ind w:right="113"/>
              <w:jc w:val="right"/>
              <w:rPr>
                <w:b/>
                <w:sz w:val="18"/>
              </w:rPr>
            </w:pPr>
            <w:r w:rsidRPr="00A530E1">
              <w:rPr>
                <w:b/>
                <w:bCs/>
                <w:sz w:val="18"/>
              </w:rPr>
              <w:t>100.0</w:t>
            </w:r>
          </w:p>
        </w:tc>
        <w:tc>
          <w:tcPr>
            <w:tcW w:w="1266" w:type="dxa"/>
            <w:tcBorders>
              <w:bottom w:val="single" w:sz="4" w:space="0" w:color="auto"/>
            </w:tcBorders>
            <w:shd w:val="clear" w:color="auto" w:fill="auto"/>
            <w:vAlign w:val="bottom"/>
          </w:tcPr>
          <w:p w:rsidR="007349CA" w:rsidRPr="00A530E1" w:rsidRDefault="007349CA" w:rsidP="00F063C5">
            <w:pPr>
              <w:suppressAutoHyphens w:val="0"/>
              <w:spacing w:before="40" w:after="40" w:line="220" w:lineRule="exact"/>
              <w:ind w:right="113"/>
              <w:jc w:val="right"/>
              <w:rPr>
                <w:sz w:val="18"/>
              </w:rPr>
            </w:pPr>
            <w:r w:rsidRPr="00A530E1">
              <w:rPr>
                <w:sz w:val="18"/>
              </w:rPr>
              <w:t>46.0</w:t>
            </w:r>
          </w:p>
        </w:tc>
        <w:tc>
          <w:tcPr>
            <w:tcW w:w="1266" w:type="dxa"/>
            <w:tcBorders>
              <w:bottom w:val="single" w:sz="4" w:space="0" w:color="auto"/>
            </w:tcBorders>
            <w:shd w:val="clear" w:color="auto" w:fill="auto"/>
            <w:vAlign w:val="bottom"/>
          </w:tcPr>
          <w:p w:rsidR="007349CA" w:rsidRPr="00A530E1" w:rsidRDefault="007349CA" w:rsidP="00F063C5">
            <w:pPr>
              <w:suppressAutoHyphens w:val="0"/>
              <w:spacing w:before="40" w:after="40" w:line="220" w:lineRule="exact"/>
              <w:ind w:right="113"/>
              <w:jc w:val="right"/>
              <w:rPr>
                <w:sz w:val="18"/>
              </w:rPr>
            </w:pPr>
            <w:r w:rsidRPr="00A530E1">
              <w:rPr>
                <w:sz w:val="18"/>
              </w:rPr>
              <w:t>44.0</w:t>
            </w:r>
          </w:p>
        </w:tc>
        <w:tc>
          <w:tcPr>
            <w:tcW w:w="1266" w:type="dxa"/>
            <w:tcBorders>
              <w:bottom w:val="single" w:sz="4" w:space="0" w:color="auto"/>
            </w:tcBorders>
            <w:shd w:val="clear" w:color="auto" w:fill="auto"/>
            <w:vAlign w:val="bottom"/>
          </w:tcPr>
          <w:p w:rsidR="007349CA" w:rsidRPr="00A530E1" w:rsidRDefault="007349CA" w:rsidP="00F063C5">
            <w:pPr>
              <w:suppressAutoHyphens w:val="0"/>
              <w:spacing w:before="40" w:after="40" w:line="220" w:lineRule="exact"/>
              <w:ind w:right="113"/>
              <w:jc w:val="right"/>
              <w:rPr>
                <w:sz w:val="18"/>
              </w:rPr>
            </w:pPr>
            <w:r w:rsidRPr="00A530E1">
              <w:rPr>
                <w:sz w:val="18"/>
              </w:rPr>
              <w:t>7.7</w:t>
            </w:r>
          </w:p>
        </w:tc>
        <w:tc>
          <w:tcPr>
            <w:tcW w:w="1266" w:type="dxa"/>
            <w:tcBorders>
              <w:bottom w:val="single" w:sz="4" w:space="0" w:color="auto"/>
            </w:tcBorders>
            <w:shd w:val="clear" w:color="auto" w:fill="auto"/>
            <w:vAlign w:val="bottom"/>
          </w:tcPr>
          <w:p w:rsidR="007349CA" w:rsidRPr="00A530E1" w:rsidRDefault="007349CA" w:rsidP="00F063C5">
            <w:pPr>
              <w:suppressAutoHyphens w:val="0"/>
              <w:spacing w:before="40" w:after="40" w:line="220" w:lineRule="exact"/>
              <w:ind w:right="113"/>
              <w:jc w:val="right"/>
              <w:rPr>
                <w:sz w:val="18"/>
              </w:rPr>
            </w:pPr>
            <w:r w:rsidRPr="00A530E1">
              <w:rPr>
                <w:sz w:val="18"/>
              </w:rPr>
              <w:t>2.2</w:t>
            </w:r>
          </w:p>
        </w:tc>
      </w:tr>
      <w:tr w:rsidR="007349CA" w:rsidRPr="00A530E1" w:rsidTr="00881D82">
        <w:tblPrEx>
          <w:tblCellMar>
            <w:top w:w="0" w:type="dxa"/>
            <w:bottom w:w="0" w:type="dxa"/>
          </w:tblCellMar>
        </w:tblPrEx>
        <w:trPr>
          <w:trHeight w:val="240"/>
        </w:trPr>
        <w:tc>
          <w:tcPr>
            <w:tcW w:w="1606" w:type="dxa"/>
            <w:tcBorders>
              <w:top w:val="single" w:sz="4" w:space="0" w:color="auto"/>
              <w:bottom w:val="single" w:sz="4" w:space="0" w:color="auto"/>
            </w:tcBorders>
            <w:shd w:val="clear" w:color="auto" w:fill="auto"/>
            <w:vAlign w:val="bottom"/>
          </w:tcPr>
          <w:p w:rsidR="007349CA" w:rsidRPr="00A530E1" w:rsidRDefault="007349CA" w:rsidP="005F16C5">
            <w:pPr>
              <w:suppressAutoHyphens w:val="0"/>
              <w:spacing w:before="80" w:after="80" w:line="220" w:lineRule="exact"/>
              <w:ind w:left="284" w:right="113"/>
              <w:rPr>
                <w:b/>
                <w:sz w:val="18"/>
              </w:rPr>
            </w:pPr>
            <w:r w:rsidRPr="00A530E1">
              <w:rPr>
                <w:b/>
                <w:sz w:val="18"/>
              </w:rPr>
              <w:t>Total</w:t>
            </w:r>
          </w:p>
        </w:tc>
        <w:tc>
          <w:tcPr>
            <w:tcW w:w="700" w:type="dxa"/>
            <w:tcBorders>
              <w:top w:val="single" w:sz="4" w:space="0" w:color="auto"/>
              <w:bottom w:val="single" w:sz="4" w:space="0" w:color="auto"/>
            </w:tcBorders>
            <w:shd w:val="clear" w:color="auto" w:fill="auto"/>
            <w:vAlign w:val="bottom"/>
          </w:tcPr>
          <w:p w:rsidR="007349CA" w:rsidRPr="00A530E1" w:rsidRDefault="007349CA" w:rsidP="00F063C5">
            <w:pPr>
              <w:suppressAutoHyphens w:val="0"/>
              <w:spacing w:before="80" w:after="80" w:line="220" w:lineRule="exact"/>
              <w:ind w:right="113"/>
              <w:jc w:val="right"/>
              <w:rPr>
                <w:b/>
                <w:bCs/>
                <w:sz w:val="18"/>
              </w:rPr>
            </w:pPr>
            <w:r w:rsidRPr="00A530E1">
              <w:rPr>
                <w:b/>
                <w:bCs/>
                <w:sz w:val="18"/>
              </w:rPr>
              <w:t>100.0</w:t>
            </w:r>
          </w:p>
        </w:tc>
        <w:tc>
          <w:tcPr>
            <w:tcW w:w="1266" w:type="dxa"/>
            <w:tcBorders>
              <w:top w:val="single" w:sz="4" w:space="0" w:color="auto"/>
              <w:bottom w:val="single" w:sz="4" w:space="0" w:color="auto"/>
            </w:tcBorders>
            <w:shd w:val="clear" w:color="auto" w:fill="auto"/>
            <w:vAlign w:val="bottom"/>
          </w:tcPr>
          <w:p w:rsidR="007349CA" w:rsidRPr="00A530E1" w:rsidRDefault="007349CA" w:rsidP="00F063C5">
            <w:pPr>
              <w:suppressAutoHyphens w:val="0"/>
              <w:spacing w:before="80" w:after="80" w:line="220" w:lineRule="exact"/>
              <w:ind w:right="113"/>
              <w:jc w:val="right"/>
              <w:rPr>
                <w:b/>
                <w:sz w:val="18"/>
              </w:rPr>
            </w:pPr>
            <w:r w:rsidRPr="00A530E1">
              <w:rPr>
                <w:b/>
                <w:sz w:val="18"/>
              </w:rPr>
              <w:t>71.7</w:t>
            </w:r>
          </w:p>
        </w:tc>
        <w:tc>
          <w:tcPr>
            <w:tcW w:w="1266" w:type="dxa"/>
            <w:tcBorders>
              <w:top w:val="single" w:sz="4" w:space="0" w:color="auto"/>
              <w:bottom w:val="single" w:sz="4" w:space="0" w:color="auto"/>
            </w:tcBorders>
            <w:shd w:val="clear" w:color="auto" w:fill="auto"/>
            <w:vAlign w:val="bottom"/>
          </w:tcPr>
          <w:p w:rsidR="007349CA" w:rsidRPr="00A530E1" w:rsidRDefault="007349CA" w:rsidP="00F063C5">
            <w:pPr>
              <w:suppressAutoHyphens w:val="0"/>
              <w:spacing w:before="80" w:after="80" w:line="220" w:lineRule="exact"/>
              <w:ind w:right="113"/>
              <w:jc w:val="right"/>
              <w:rPr>
                <w:b/>
                <w:bCs/>
                <w:sz w:val="18"/>
              </w:rPr>
            </w:pPr>
            <w:r w:rsidRPr="00A530E1">
              <w:rPr>
                <w:b/>
                <w:bCs/>
                <w:sz w:val="18"/>
              </w:rPr>
              <w:t>24.0</w:t>
            </w:r>
          </w:p>
        </w:tc>
        <w:tc>
          <w:tcPr>
            <w:tcW w:w="1266" w:type="dxa"/>
            <w:tcBorders>
              <w:top w:val="single" w:sz="4" w:space="0" w:color="auto"/>
              <w:bottom w:val="single" w:sz="4" w:space="0" w:color="auto"/>
            </w:tcBorders>
            <w:shd w:val="clear" w:color="auto" w:fill="auto"/>
            <w:vAlign w:val="bottom"/>
          </w:tcPr>
          <w:p w:rsidR="007349CA" w:rsidRPr="00A530E1" w:rsidRDefault="007349CA" w:rsidP="00F063C5">
            <w:pPr>
              <w:suppressAutoHyphens w:val="0"/>
              <w:spacing w:before="80" w:after="80" w:line="220" w:lineRule="exact"/>
              <w:ind w:right="113"/>
              <w:jc w:val="right"/>
              <w:rPr>
                <w:b/>
                <w:bCs/>
                <w:sz w:val="18"/>
              </w:rPr>
            </w:pPr>
            <w:r w:rsidRPr="00A530E1">
              <w:rPr>
                <w:b/>
                <w:bCs/>
                <w:sz w:val="18"/>
              </w:rPr>
              <w:t>3.1</w:t>
            </w:r>
          </w:p>
        </w:tc>
        <w:tc>
          <w:tcPr>
            <w:tcW w:w="1266" w:type="dxa"/>
            <w:tcBorders>
              <w:top w:val="single" w:sz="4" w:space="0" w:color="auto"/>
              <w:bottom w:val="single" w:sz="4" w:space="0" w:color="auto"/>
            </w:tcBorders>
            <w:shd w:val="clear" w:color="auto" w:fill="auto"/>
            <w:vAlign w:val="bottom"/>
          </w:tcPr>
          <w:p w:rsidR="007349CA" w:rsidRPr="00A530E1" w:rsidRDefault="007349CA" w:rsidP="00F063C5">
            <w:pPr>
              <w:suppressAutoHyphens w:val="0"/>
              <w:spacing w:before="80" w:after="80" w:line="220" w:lineRule="exact"/>
              <w:ind w:right="113"/>
              <w:jc w:val="right"/>
              <w:rPr>
                <w:b/>
                <w:sz w:val="18"/>
              </w:rPr>
            </w:pPr>
            <w:r w:rsidRPr="00A530E1">
              <w:rPr>
                <w:b/>
                <w:sz w:val="18"/>
              </w:rPr>
              <w:t>1.2</w:t>
            </w:r>
          </w:p>
        </w:tc>
      </w:tr>
      <w:tr w:rsidR="00881D82" w:rsidRPr="004F67AE" w:rsidTr="00881D82">
        <w:tblPrEx>
          <w:tblCellMar>
            <w:top w:w="0" w:type="dxa"/>
            <w:bottom w:w="0" w:type="dxa"/>
          </w:tblCellMar>
        </w:tblPrEx>
        <w:trPr>
          <w:trHeight w:val="240"/>
        </w:trPr>
        <w:tc>
          <w:tcPr>
            <w:tcW w:w="1606" w:type="dxa"/>
            <w:tcBorders>
              <w:top w:val="single" w:sz="4" w:space="0" w:color="auto"/>
              <w:bottom w:val="single" w:sz="4" w:space="0" w:color="auto"/>
            </w:tcBorders>
            <w:shd w:val="clear" w:color="auto" w:fill="auto"/>
            <w:vAlign w:val="bottom"/>
          </w:tcPr>
          <w:p w:rsidR="00881D82" w:rsidRPr="004F67AE" w:rsidRDefault="00881D82" w:rsidP="00881D82">
            <w:pPr>
              <w:suppressAutoHyphens w:val="0"/>
              <w:spacing w:before="40" w:after="40" w:line="220" w:lineRule="exact"/>
              <w:ind w:left="284" w:right="113"/>
              <w:rPr>
                <w:b/>
                <w:sz w:val="18"/>
              </w:rPr>
            </w:pPr>
            <w:r w:rsidRPr="004F67AE">
              <w:rPr>
                <w:b/>
                <w:sz w:val="18"/>
              </w:rPr>
              <w:t>Men</w:t>
            </w:r>
          </w:p>
        </w:tc>
        <w:tc>
          <w:tcPr>
            <w:tcW w:w="700" w:type="dxa"/>
            <w:tcBorders>
              <w:top w:val="single" w:sz="4" w:space="0" w:color="auto"/>
              <w:bottom w:val="single" w:sz="4" w:space="0" w:color="auto"/>
            </w:tcBorders>
            <w:shd w:val="clear" w:color="auto" w:fill="auto"/>
            <w:vAlign w:val="bottom"/>
          </w:tcPr>
          <w:p w:rsidR="00881D82" w:rsidRPr="004F67AE" w:rsidRDefault="00881D82" w:rsidP="000D1811">
            <w:pPr>
              <w:suppressAutoHyphens w:val="0"/>
              <w:spacing w:before="40" w:after="40" w:line="220" w:lineRule="exact"/>
              <w:ind w:right="113"/>
              <w:jc w:val="right"/>
              <w:rPr>
                <w:b/>
                <w:sz w:val="18"/>
              </w:rPr>
            </w:pPr>
            <w:r w:rsidRPr="004F67AE">
              <w:rPr>
                <w:b/>
                <w:bCs/>
                <w:sz w:val="18"/>
              </w:rPr>
              <w:t>100.0</w:t>
            </w:r>
          </w:p>
        </w:tc>
        <w:tc>
          <w:tcPr>
            <w:tcW w:w="1266" w:type="dxa"/>
            <w:tcBorders>
              <w:top w:val="single" w:sz="4" w:space="0" w:color="auto"/>
              <w:bottom w:val="single" w:sz="4" w:space="0" w:color="auto"/>
            </w:tcBorders>
            <w:shd w:val="clear" w:color="auto" w:fill="auto"/>
            <w:vAlign w:val="bottom"/>
          </w:tcPr>
          <w:p w:rsidR="00881D82" w:rsidRPr="004F67AE" w:rsidRDefault="00881D82" w:rsidP="000D1811">
            <w:pPr>
              <w:suppressAutoHyphens w:val="0"/>
              <w:spacing w:before="40" w:after="40" w:line="220" w:lineRule="exact"/>
              <w:ind w:right="113"/>
              <w:jc w:val="right"/>
              <w:rPr>
                <w:b/>
                <w:sz w:val="18"/>
              </w:rPr>
            </w:pPr>
            <w:r w:rsidRPr="004F67AE">
              <w:rPr>
                <w:b/>
                <w:sz w:val="18"/>
              </w:rPr>
              <w:t xml:space="preserve">72.0 </w:t>
            </w:r>
          </w:p>
        </w:tc>
        <w:tc>
          <w:tcPr>
            <w:tcW w:w="1266" w:type="dxa"/>
            <w:tcBorders>
              <w:top w:val="single" w:sz="4" w:space="0" w:color="auto"/>
              <w:bottom w:val="single" w:sz="4" w:space="0" w:color="auto"/>
            </w:tcBorders>
            <w:shd w:val="clear" w:color="auto" w:fill="auto"/>
            <w:vAlign w:val="bottom"/>
          </w:tcPr>
          <w:p w:rsidR="00881D82" w:rsidRPr="004F67AE" w:rsidRDefault="00881D82" w:rsidP="000D1811">
            <w:pPr>
              <w:suppressAutoHyphens w:val="0"/>
              <w:spacing w:before="40" w:after="40" w:line="220" w:lineRule="exact"/>
              <w:ind w:right="113"/>
              <w:jc w:val="right"/>
              <w:rPr>
                <w:b/>
                <w:sz w:val="18"/>
              </w:rPr>
            </w:pPr>
            <w:r w:rsidRPr="004F67AE">
              <w:rPr>
                <w:b/>
                <w:sz w:val="18"/>
              </w:rPr>
              <w:t>23.4</w:t>
            </w:r>
          </w:p>
        </w:tc>
        <w:tc>
          <w:tcPr>
            <w:tcW w:w="1266" w:type="dxa"/>
            <w:tcBorders>
              <w:top w:val="single" w:sz="4" w:space="0" w:color="auto"/>
              <w:bottom w:val="single" w:sz="4" w:space="0" w:color="auto"/>
            </w:tcBorders>
            <w:shd w:val="clear" w:color="auto" w:fill="auto"/>
            <w:vAlign w:val="bottom"/>
          </w:tcPr>
          <w:p w:rsidR="00881D82" w:rsidRPr="004F67AE" w:rsidRDefault="00881D82" w:rsidP="000D1811">
            <w:pPr>
              <w:suppressAutoHyphens w:val="0"/>
              <w:spacing w:before="40" w:after="40" w:line="220" w:lineRule="exact"/>
              <w:ind w:right="113"/>
              <w:jc w:val="right"/>
              <w:rPr>
                <w:b/>
                <w:sz w:val="18"/>
              </w:rPr>
            </w:pPr>
            <w:r w:rsidRPr="004F67AE">
              <w:rPr>
                <w:b/>
                <w:sz w:val="18"/>
              </w:rPr>
              <w:t>3.2</w:t>
            </w:r>
          </w:p>
        </w:tc>
        <w:tc>
          <w:tcPr>
            <w:tcW w:w="1266" w:type="dxa"/>
            <w:tcBorders>
              <w:top w:val="single" w:sz="4" w:space="0" w:color="auto"/>
              <w:bottom w:val="single" w:sz="4" w:space="0" w:color="auto"/>
            </w:tcBorders>
            <w:shd w:val="clear" w:color="auto" w:fill="auto"/>
            <w:vAlign w:val="bottom"/>
          </w:tcPr>
          <w:p w:rsidR="00881D82" w:rsidRPr="004F67AE" w:rsidRDefault="00881D82" w:rsidP="000D1811">
            <w:pPr>
              <w:suppressAutoHyphens w:val="0"/>
              <w:spacing w:before="40" w:after="40" w:line="220" w:lineRule="exact"/>
              <w:ind w:right="113"/>
              <w:jc w:val="right"/>
              <w:rPr>
                <w:b/>
                <w:sz w:val="18"/>
              </w:rPr>
            </w:pPr>
            <w:r w:rsidRPr="004F67AE">
              <w:rPr>
                <w:b/>
                <w:sz w:val="18"/>
              </w:rPr>
              <w:t>1.4</w:t>
            </w:r>
          </w:p>
        </w:tc>
      </w:tr>
      <w:tr w:rsidR="00881D82" w:rsidRPr="004F67AE" w:rsidTr="00881D82">
        <w:tblPrEx>
          <w:tblCellMar>
            <w:top w:w="0" w:type="dxa"/>
            <w:bottom w:w="0" w:type="dxa"/>
          </w:tblCellMar>
        </w:tblPrEx>
        <w:trPr>
          <w:trHeight w:val="240"/>
        </w:trPr>
        <w:tc>
          <w:tcPr>
            <w:tcW w:w="1606" w:type="dxa"/>
            <w:tcBorders>
              <w:top w:val="single" w:sz="4" w:space="0" w:color="auto"/>
              <w:bottom w:val="single" w:sz="12" w:space="0" w:color="auto"/>
            </w:tcBorders>
            <w:shd w:val="clear" w:color="auto" w:fill="auto"/>
            <w:vAlign w:val="bottom"/>
          </w:tcPr>
          <w:p w:rsidR="00881D82" w:rsidRPr="004F67AE" w:rsidRDefault="00881D82" w:rsidP="00881D82">
            <w:pPr>
              <w:suppressAutoHyphens w:val="0"/>
              <w:spacing w:before="40" w:after="40" w:line="220" w:lineRule="exact"/>
              <w:ind w:left="284" w:right="113"/>
              <w:rPr>
                <w:b/>
                <w:sz w:val="18"/>
              </w:rPr>
            </w:pPr>
            <w:r w:rsidRPr="004F67AE">
              <w:rPr>
                <w:b/>
                <w:sz w:val="18"/>
              </w:rPr>
              <w:t>Women</w:t>
            </w:r>
          </w:p>
        </w:tc>
        <w:tc>
          <w:tcPr>
            <w:tcW w:w="700" w:type="dxa"/>
            <w:tcBorders>
              <w:top w:val="single" w:sz="4" w:space="0" w:color="auto"/>
              <w:bottom w:val="single" w:sz="12" w:space="0" w:color="auto"/>
            </w:tcBorders>
            <w:shd w:val="clear" w:color="auto" w:fill="auto"/>
            <w:vAlign w:val="bottom"/>
          </w:tcPr>
          <w:p w:rsidR="00881D82" w:rsidRPr="004F67AE" w:rsidRDefault="00881D82" w:rsidP="000D1811">
            <w:pPr>
              <w:suppressAutoHyphens w:val="0"/>
              <w:spacing w:before="40" w:after="40" w:line="220" w:lineRule="exact"/>
              <w:ind w:right="113"/>
              <w:jc w:val="right"/>
              <w:rPr>
                <w:b/>
                <w:sz w:val="18"/>
              </w:rPr>
            </w:pPr>
            <w:r w:rsidRPr="004F67AE">
              <w:rPr>
                <w:b/>
                <w:bCs/>
                <w:sz w:val="18"/>
              </w:rPr>
              <w:t xml:space="preserve">100.0 </w:t>
            </w:r>
          </w:p>
        </w:tc>
        <w:tc>
          <w:tcPr>
            <w:tcW w:w="1266" w:type="dxa"/>
            <w:tcBorders>
              <w:top w:val="single" w:sz="4" w:space="0" w:color="auto"/>
              <w:bottom w:val="single" w:sz="12" w:space="0" w:color="auto"/>
            </w:tcBorders>
            <w:shd w:val="clear" w:color="auto" w:fill="auto"/>
            <w:vAlign w:val="bottom"/>
          </w:tcPr>
          <w:p w:rsidR="00881D82" w:rsidRPr="004F67AE" w:rsidRDefault="00881D82" w:rsidP="000D1811">
            <w:pPr>
              <w:suppressAutoHyphens w:val="0"/>
              <w:spacing w:before="40" w:after="40" w:line="220" w:lineRule="exact"/>
              <w:ind w:right="113"/>
              <w:jc w:val="right"/>
              <w:rPr>
                <w:b/>
                <w:sz w:val="18"/>
              </w:rPr>
            </w:pPr>
            <w:r w:rsidRPr="004F67AE">
              <w:rPr>
                <w:b/>
                <w:sz w:val="18"/>
              </w:rPr>
              <w:t>71.5</w:t>
            </w:r>
          </w:p>
        </w:tc>
        <w:tc>
          <w:tcPr>
            <w:tcW w:w="1266" w:type="dxa"/>
            <w:tcBorders>
              <w:top w:val="single" w:sz="4" w:space="0" w:color="auto"/>
              <w:bottom w:val="single" w:sz="12" w:space="0" w:color="auto"/>
            </w:tcBorders>
            <w:shd w:val="clear" w:color="auto" w:fill="auto"/>
            <w:vAlign w:val="bottom"/>
          </w:tcPr>
          <w:p w:rsidR="00881D82" w:rsidRPr="004F67AE" w:rsidRDefault="00881D82" w:rsidP="000D1811">
            <w:pPr>
              <w:suppressAutoHyphens w:val="0"/>
              <w:spacing w:before="40" w:after="40" w:line="220" w:lineRule="exact"/>
              <w:ind w:right="113"/>
              <w:jc w:val="right"/>
              <w:rPr>
                <w:b/>
                <w:sz w:val="18"/>
              </w:rPr>
            </w:pPr>
            <w:r w:rsidRPr="004F67AE">
              <w:rPr>
                <w:b/>
                <w:sz w:val="18"/>
              </w:rPr>
              <w:t>24.5</w:t>
            </w:r>
          </w:p>
        </w:tc>
        <w:tc>
          <w:tcPr>
            <w:tcW w:w="1266" w:type="dxa"/>
            <w:tcBorders>
              <w:top w:val="single" w:sz="4" w:space="0" w:color="auto"/>
              <w:bottom w:val="single" w:sz="12" w:space="0" w:color="auto"/>
            </w:tcBorders>
            <w:shd w:val="clear" w:color="auto" w:fill="auto"/>
            <w:vAlign w:val="bottom"/>
          </w:tcPr>
          <w:p w:rsidR="00881D82" w:rsidRPr="004F67AE" w:rsidRDefault="00881D82" w:rsidP="000D1811">
            <w:pPr>
              <w:suppressAutoHyphens w:val="0"/>
              <w:spacing w:before="40" w:after="40" w:line="220" w:lineRule="exact"/>
              <w:ind w:right="113"/>
              <w:jc w:val="right"/>
              <w:rPr>
                <w:b/>
                <w:sz w:val="18"/>
              </w:rPr>
            </w:pPr>
            <w:r w:rsidRPr="004F67AE">
              <w:rPr>
                <w:b/>
                <w:sz w:val="18"/>
              </w:rPr>
              <w:t>3.0</w:t>
            </w:r>
          </w:p>
        </w:tc>
        <w:tc>
          <w:tcPr>
            <w:tcW w:w="1266" w:type="dxa"/>
            <w:tcBorders>
              <w:top w:val="single" w:sz="4" w:space="0" w:color="auto"/>
              <w:bottom w:val="single" w:sz="12" w:space="0" w:color="auto"/>
            </w:tcBorders>
            <w:shd w:val="clear" w:color="auto" w:fill="auto"/>
            <w:vAlign w:val="bottom"/>
          </w:tcPr>
          <w:p w:rsidR="00881D82" w:rsidRPr="004F67AE" w:rsidRDefault="00881D82" w:rsidP="000D1811">
            <w:pPr>
              <w:suppressAutoHyphens w:val="0"/>
              <w:spacing w:before="40" w:after="40" w:line="220" w:lineRule="exact"/>
              <w:ind w:right="113"/>
              <w:jc w:val="right"/>
              <w:rPr>
                <w:b/>
                <w:sz w:val="18"/>
              </w:rPr>
            </w:pPr>
            <w:r w:rsidRPr="004F67AE">
              <w:rPr>
                <w:b/>
                <w:sz w:val="18"/>
              </w:rPr>
              <w:t>1.0</w:t>
            </w:r>
          </w:p>
        </w:tc>
      </w:tr>
    </w:tbl>
    <w:p w:rsidR="00CB5A70" w:rsidRPr="00A530E1" w:rsidRDefault="00CB5A70" w:rsidP="00CB5A70">
      <w:pPr>
        <w:spacing w:before="120"/>
        <w:ind w:left="1134" w:right="1134" w:firstLine="170"/>
        <w:rPr>
          <w:sz w:val="18"/>
          <w:szCs w:val="18"/>
        </w:rPr>
      </w:pPr>
      <w:r w:rsidRPr="00A530E1">
        <w:rPr>
          <w:i/>
          <w:sz w:val="18"/>
          <w:szCs w:val="18"/>
        </w:rPr>
        <w:t>Source</w:t>
      </w:r>
      <w:r w:rsidRPr="00A530E1">
        <w:rPr>
          <w:sz w:val="18"/>
          <w:szCs w:val="18"/>
        </w:rPr>
        <w:t>:  National Institute of Statistics (INEI) – Continuous National Survey, 2006.</w:t>
      </w:r>
    </w:p>
    <w:p w:rsidR="007349CA" w:rsidRPr="00A530E1" w:rsidRDefault="007349CA" w:rsidP="00CB5A70">
      <w:pPr>
        <w:spacing w:after="240"/>
        <w:ind w:left="1134" w:right="1134" w:firstLine="170"/>
        <w:rPr>
          <w:sz w:val="18"/>
          <w:szCs w:val="18"/>
        </w:rPr>
      </w:pPr>
      <w:r w:rsidRPr="00A530E1">
        <w:rPr>
          <w:i/>
          <w:sz w:val="18"/>
          <w:szCs w:val="18"/>
          <w:vertAlign w:val="superscript"/>
        </w:rPr>
        <w:t>1</w:t>
      </w:r>
      <w:r w:rsidRPr="00A530E1">
        <w:rPr>
          <w:sz w:val="18"/>
          <w:szCs w:val="18"/>
        </w:rPr>
        <w:t xml:space="preserve">  Includes Aymara, Asháninka, Aguaruna, Shipibo-Conibo, other indigenous languages and foreign languages.</w:t>
      </w:r>
    </w:p>
    <w:p w:rsidR="007349CA" w:rsidRPr="00A530E1" w:rsidRDefault="007349CA" w:rsidP="007349CA">
      <w:pPr>
        <w:pStyle w:val="SingleTxtG"/>
      </w:pPr>
      <w:r w:rsidRPr="00A530E1">
        <w:t>49.</w:t>
      </w:r>
      <w:r w:rsidRPr="00A530E1">
        <w:tab/>
      </w:r>
      <w:r w:rsidRPr="00A530E1">
        <w:rPr>
          <w:b/>
        </w:rPr>
        <w:t>Comments</w:t>
      </w:r>
      <w:r w:rsidRPr="00A530E1">
        <w:t>: More statistical work needs to be done, as more accurate and up-to-date data on the number of persons living in Peru are required. This is demonstrated by the report published by the Japan International Cooperation Agency and CONADIS</w:t>
      </w:r>
      <w:r w:rsidRPr="00A530E1">
        <w:rPr>
          <w:rStyle w:val="FootnoteReference"/>
        </w:rPr>
        <w:footnoteReference w:id="7"/>
      </w:r>
      <w:r w:rsidRPr="00A530E1">
        <w:t xml:space="preserve"> which notes that the data from previous censuses have yielded differing results:</w:t>
      </w:r>
    </w:p>
    <w:p w:rsidR="007349CA" w:rsidRPr="00A530E1" w:rsidRDefault="007349CA" w:rsidP="007349CA">
      <w:pPr>
        <w:pStyle w:val="H23G"/>
      </w:pPr>
      <w:r w:rsidRPr="00A530E1">
        <w:tab/>
      </w:r>
      <w:r w:rsidRPr="00A530E1">
        <w:tab/>
        <w:t>Main statistics on disability in Peru</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66"/>
        <w:gridCol w:w="600"/>
        <w:gridCol w:w="1400"/>
        <w:gridCol w:w="1800"/>
        <w:gridCol w:w="1304"/>
      </w:tblGrid>
      <w:tr w:rsidR="007349CA" w:rsidRPr="00A530E1" w:rsidTr="007F2E6F">
        <w:trPr>
          <w:trHeight w:val="240"/>
          <w:tblHeader/>
        </w:trPr>
        <w:tc>
          <w:tcPr>
            <w:tcW w:w="2266" w:type="dxa"/>
            <w:tcBorders>
              <w:top w:val="single" w:sz="4" w:space="0" w:color="auto"/>
              <w:bottom w:val="single" w:sz="12" w:space="0" w:color="auto"/>
            </w:tcBorders>
            <w:shd w:val="clear" w:color="auto" w:fill="auto"/>
            <w:vAlign w:val="bottom"/>
          </w:tcPr>
          <w:p w:rsidR="007349CA" w:rsidRPr="00A530E1" w:rsidRDefault="007349CA" w:rsidP="00F063C5">
            <w:pPr>
              <w:suppressAutoHyphens w:val="0"/>
              <w:spacing w:before="80" w:after="80" w:line="200" w:lineRule="exact"/>
              <w:ind w:right="113"/>
              <w:rPr>
                <w:i/>
                <w:sz w:val="16"/>
                <w:szCs w:val="18"/>
              </w:rPr>
            </w:pPr>
            <w:r w:rsidRPr="00A530E1">
              <w:rPr>
                <w:i/>
                <w:sz w:val="16"/>
                <w:szCs w:val="18"/>
              </w:rPr>
              <w:t>Census or survey</w:t>
            </w:r>
          </w:p>
        </w:tc>
        <w:tc>
          <w:tcPr>
            <w:tcW w:w="600" w:type="dxa"/>
            <w:tcBorders>
              <w:top w:val="single" w:sz="4" w:space="0" w:color="auto"/>
              <w:bottom w:val="single" w:sz="12" w:space="0" w:color="auto"/>
            </w:tcBorders>
            <w:shd w:val="clear" w:color="auto" w:fill="auto"/>
            <w:vAlign w:val="bottom"/>
          </w:tcPr>
          <w:p w:rsidR="007349CA" w:rsidRPr="00A530E1" w:rsidRDefault="007349CA" w:rsidP="00F063C5">
            <w:pPr>
              <w:suppressAutoHyphens w:val="0"/>
              <w:spacing w:before="80" w:after="80" w:line="200" w:lineRule="exact"/>
              <w:ind w:right="113"/>
              <w:jc w:val="right"/>
              <w:rPr>
                <w:i/>
                <w:sz w:val="16"/>
                <w:szCs w:val="18"/>
              </w:rPr>
            </w:pPr>
            <w:r w:rsidRPr="00A530E1">
              <w:rPr>
                <w:i/>
                <w:sz w:val="16"/>
                <w:szCs w:val="18"/>
              </w:rPr>
              <w:t>Year</w:t>
            </w:r>
          </w:p>
        </w:tc>
        <w:tc>
          <w:tcPr>
            <w:tcW w:w="1400" w:type="dxa"/>
            <w:tcBorders>
              <w:top w:val="single" w:sz="4" w:space="0" w:color="auto"/>
              <w:bottom w:val="single" w:sz="12" w:space="0" w:color="auto"/>
            </w:tcBorders>
            <w:shd w:val="clear" w:color="auto" w:fill="auto"/>
            <w:vAlign w:val="bottom"/>
          </w:tcPr>
          <w:p w:rsidR="007349CA" w:rsidRPr="00A530E1" w:rsidRDefault="007349CA" w:rsidP="00F063C5">
            <w:pPr>
              <w:suppressAutoHyphens w:val="0"/>
              <w:spacing w:before="80" w:after="80" w:line="200" w:lineRule="exact"/>
              <w:ind w:right="113"/>
              <w:jc w:val="right"/>
              <w:rPr>
                <w:i/>
                <w:sz w:val="16"/>
                <w:szCs w:val="18"/>
              </w:rPr>
            </w:pPr>
            <w:r w:rsidRPr="00A530E1">
              <w:rPr>
                <w:i/>
                <w:sz w:val="16"/>
                <w:szCs w:val="18"/>
              </w:rPr>
              <w:t>General population</w:t>
            </w:r>
          </w:p>
        </w:tc>
        <w:tc>
          <w:tcPr>
            <w:tcW w:w="1800" w:type="dxa"/>
            <w:tcBorders>
              <w:top w:val="single" w:sz="4" w:space="0" w:color="auto"/>
              <w:bottom w:val="single" w:sz="12" w:space="0" w:color="auto"/>
            </w:tcBorders>
            <w:shd w:val="clear" w:color="auto" w:fill="auto"/>
            <w:vAlign w:val="bottom"/>
          </w:tcPr>
          <w:p w:rsidR="007349CA" w:rsidRPr="00A530E1" w:rsidRDefault="007349CA" w:rsidP="00F063C5">
            <w:pPr>
              <w:suppressAutoHyphens w:val="0"/>
              <w:spacing w:before="80" w:after="80" w:line="200" w:lineRule="exact"/>
              <w:ind w:right="113"/>
              <w:jc w:val="right"/>
              <w:rPr>
                <w:i/>
                <w:sz w:val="16"/>
                <w:szCs w:val="18"/>
              </w:rPr>
            </w:pPr>
            <w:r w:rsidRPr="00A530E1">
              <w:rPr>
                <w:i/>
                <w:sz w:val="16"/>
                <w:szCs w:val="18"/>
              </w:rPr>
              <w:t>Persons with disabilities</w:t>
            </w:r>
          </w:p>
        </w:tc>
        <w:tc>
          <w:tcPr>
            <w:tcW w:w="1304" w:type="dxa"/>
            <w:tcBorders>
              <w:top w:val="single" w:sz="4" w:space="0" w:color="auto"/>
              <w:bottom w:val="single" w:sz="12" w:space="0" w:color="auto"/>
            </w:tcBorders>
            <w:shd w:val="clear" w:color="auto" w:fill="auto"/>
            <w:vAlign w:val="bottom"/>
          </w:tcPr>
          <w:p w:rsidR="007349CA" w:rsidRPr="00A530E1" w:rsidRDefault="007349CA" w:rsidP="00F063C5">
            <w:pPr>
              <w:suppressAutoHyphens w:val="0"/>
              <w:spacing w:before="80" w:after="80" w:line="200" w:lineRule="exact"/>
              <w:ind w:right="113"/>
              <w:jc w:val="right"/>
              <w:rPr>
                <w:i/>
                <w:sz w:val="16"/>
                <w:szCs w:val="18"/>
              </w:rPr>
            </w:pPr>
            <w:r w:rsidRPr="00A530E1">
              <w:rPr>
                <w:i/>
                <w:sz w:val="16"/>
                <w:szCs w:val="18"/>
              </w:rPr>
              <w:t>Percentage</w:t>
            </w:r>
          </w:p>
        </w:tc>
      </w:tr>
      <w:tr w:rsidR="007349CA" w:rsidRPr="00A530E1" w:rsidTr="007F2E6F">
        <w:trPr>
          <w:trHeight w:val="240"/>
        </w:trPr>
        <w:tc>
          <w:tcPr>
            <w:tcW w:w="2266" w:type="dxa"/>
            <w:tcBorders>
              <w:top w:val="single" w:sz="12" w:space="0" w:color="auto"/>
            </w:tcBorders>
            <w:shd w:val="clear" w:color="auto" w:fill="auto"/>
            <w:vAlign w:val="bottom"/>
          </w:tcPr>
          <w:p w:rsidR="007349CA" w:rsidRPr="00A530E1" w:rsidRDefault="007349CA" w:rsidP="002C7C7F">
            <w:pPr>
              <w:suppressAutoHyphens w:val="0"/>
              <w:spacing w:before="40" w:after="40" w:line="220" w:lineRule="exact"/>
              <w:ind w:right="113"/>
              <w:rPr>
                <w:sz w:val="18"/>
                <w:szCs w:val="18"/>
              </w:rPr>
            </w:pPr>
            <w:r w:rsidRPr="00A530E1">
              <w:rPr>
                <w:sz w:val="18"/>
                <w:szCs w:val="18"/>
              </w:rPr>
              <w:t>INEI census</w:t>
            </w:r>
          </w:p>
        </w:tc>
        <w:tc>
          <w:tcPr>
            <w:tcW w:w="600" w:type="dxa"/>
            <w:tcBorders>
              <w:top w:val="single" w:sz="12" w:space="0" w:color="auto"/>
            </w:tcBorders>
            <w:shd w:val="clear" w:color="auto" w:fill="auto"/>
            <w:vAlign w:val="bottom"/>
          </w:tcPr>
          <w:p w:rsidR="007349CA" w:rsidRPr="00A530E1" w:rsidRDefault="007349CA" w:rsidP="00F063C5">
            <w:pPr>
              <w:suppressAutoHyphens w:val="0"/>
              <w:spacing w:before="40" w:after="40" w:line="220" w:lineRule="exact"/>
              <w:ind w:right="113"/>
              <w:jc w:val="right"/>
              <w:rPr>
                <w:sz w:val="18"/>
                <w:szCs w:val="18"/>
              </w:rPr>
            </w:pPr>
            <w:r w:rsidRPr="00A530E1">
              <w:rPr>
                <w:sz w:val="18"/>
                <w:szCs w:val="18"/>
              </w:rPr>
              <w:t>1981</w:t>
            </w:r>
          </w:p>
        </w:tc>
        <w:tc>
          <w:tcPr>
            <w:tcW w:w="1400" w:type="dxa"/>
            <w:tcBorders>
              <w:top w:val="single" w:sz="12" w:space="0" w:color="auto"/>
            </w:tcBorders>
            <w:shd w:val="clear" w:color="auto" w:fill="auto"/>
            <w:vAlign w:val="bottom"/>
          </w:tcPr>
          <w:p w:rsidR="007349CA" w:rsidRPr="00A530E1" w:rsidRDefault="007349CA" w:rsidP="00F063C5">
            <w:pPr>
              <w:suppressAutoHyphens w:val="0"/>
              <w:spacing w:before="40" w:after="40" w:line="220" w:lineRule="exact"/>
              <w:ind w:right="113"/>
              <w:jc w:val="right"/>
              <w:rPr>
                <w:sz w:val="18"/>
                <w:szCs w:val="18"/>
              </w:rPr>
            </w:pPr>
            <w:r w:rsidRPr="00A530E1">
              <w:rPr>
                <w:sz w:val="18"/>
                <w:szCs w:val="18"/>
              </w:rPr>
              <w:t>17 762 231</w:t>
            </w:r>
          </w:p>
        </w:tc>
        <w:tc>
          <w:tcPr>
            <w:tcW w:w="1800" w:type="dxa"/>
            <w:tcBorders>
              <w:top w:val="single" w:sz="12" w:space="0" w:color="auto"/>
            </w:tcBorders>
            <w:shd w:val="clear" w:color="auto" w:fill="auto"/>
            <w:vAlign w:val="bottom"/>
          </w:tcPr>
          <w:p w:rsidR="007349CA" w:rsidRPr="00A530E1" w:rsidRDefault="007349CA" w:rsidP="00F063C5">
            <w:pPr>
              <w:suppressAutoHyphens w:val="0"/>
              <w:spacing w:before="40" w:after="40" w:line="220" w:lineRule="exact"/>
              <w:ind w:right="113"/>
              <w:jc w:val="right"/>
              <w:rPr>
                <w:sz w:val="18"/>
                <w:szCs w:val="18"/>
              </w:rPr>
            </w:pPr>
            <w:r w:rsidRPr="00A530E1">
              <w:rPr>
                <w:sz w:val="18"/>
                <w:szCs w:val="18"/>
              </w:rPr>
              <w:t>26 560</w:t>
            </w:r>
          </w:p>
        </w:tc>
        <w:tc>
          <w:tcPr>
            <w:tcW w:w="1304" w:type="dxa"/>
            <w:tcBorders>
              <w:top w:val="single" w:sz="12" w:space="0" w:color="auto"/>
            </w:tcBorders>
            <w:shd w:val="clear" w:color="auto" w:fill="auto"/>
            <w:vAlign w:val="bottom"/>
          </w:tcPr>
          <w:p w:rsidR="007349CA" w:rsidRPr="00A530E1" w:rsidRDefault="007349CA" w:rsidP="00F063C5">
            <w:pPr>
              <w:suppressAutoHyphens w:val="0"/>
              <w:spacing w:before="40" w:after="40" w:line="220" w:lineRule="exact"/>
              <w:ind w:right="113"/>
              <w:jc w:val="right"/>
              <w:rPr>
                <w:sz w:val="18"/>
                <w:szCs w:val="18"/>
              </w:rPr>
            </w:pPr>
            <w:r w:rsidRPr="00A530E1">
              <w:rPr>
                <w:sz w:val="18"/>
                <w:szCs w:val="18"/>
              </w:rPr>
              <w:t>0.15</w:t>
            </w:r>
          </w:p>
        </w:tc>
      </w:tr>
      <w:tr w:rsidR="007349CA" w:rsidRPr="00A530E1" w:rsidTr="007F2E6F">
        <w:trPr>
          <w:trHeight w:val="240"/>
        </w:trPr>
        <w:tc>
          <w:tcPr>
            <w:tcW w:w="2266" w:type="dxa"/>
            <w:shd w:val="clear" w:color="auto" w:fill="auto"/>
            <w:vAlign w:val="bottom"/>
          </w:tcPr>
          <w:p w:rsidR="007349CA" w:rsidRPr="00A530E1" w:rsidRDefault="007349CA" w:rsidP="002C7C7F">
            <w:pPr>
              <w:suppressAutoHyphens w:val="0"/>
              <w:spacing w:before="40" w:after="40" w:line="220" w:lineRule="exact"/>
              <w:ind w:right="113"/>
              <w:rPr>
                <w:sz w:val="18"/>
                <w:szCs w:val="18"/>
              </w:rPr>
            </w:pPr>
            <w:r w:rsidRPr="00A530E1">
              <w:rPr>
                <w:sz w:val="18"/>
                <w:szCs w:val="18"/>
              </w:rPr>
              <w:t>INEI census</w:t>
            </w:r>
          </w:p>
        </w:tc>
        <w:tc>
          <w:tcPr>
            <w:tcW w:w="600" w:type="dxa"/>
            <w:shd w:val="clear" w:color="auto" w:fill="auto"/>
            <w:vAlign w:val="bottom"/>
          </w:tcPr>
          <w:p w:rsidR="007349CA" w:rsidRPr="00A530E1" w:rsidRDefault="007349CA" w:rsidP="00F063C5">
            <w:pPr>
              <w:suppressAutoHyphens w:val="0"/>
              <w:spacing w:before="40" w:after="40" w:line="220" w:lineRule="exact"/>
              <w:ind w:right="113"/>
              <w:jc w:val="right"/>
              <w:rPr>
                <w:sz w:val="18"/>
                <w:szCs w:val="18"/>
              </w:rPr>
            </w:pPr>
            <w:r w:rsidRPr="00A530E1">
              <w:rPr>
                <w:sz w:val="18"/>
                <w:szCs w:val="18"/>
              </w:rPr>
              <w:t>1993</w:t>
            </w:r>
          </w:p>
        </w:tc>
        <w:tc>
          <w:tcPr>
            <w:tcW w:w="1400" w:type="dxa"/>
            <w:shd w:val="clear" w:color="auto" w:fill="auto"/>
            <w:vAlign w:val="bottom"/>
          </w:tcPr>
          <w:p w:rsidR="007349CA" w:rsidRPr="00A530E1" w:rsidRDefault="007349CA" w:rsidP="00F063C5">
            <w:pPr>
              <w:suppressAutoHyphens w:val="0"/>
              <w:spacing w:before="40" w:after="40" w:line="220" w:lineRule="exact"/>
              <w:ind w:right="113"/>
              <w:jc w:val="right"/>
              <w:rPr>
                <w:sz w:val="18"/>
                <w:szCs w:val="18"/>
              </w:rPr>
            </w:pPr>
            <w:r w:rsidRPr="00A530E1">
              <w:rPr>
                <w:sz w:val="18"/>
                <w:szCs w:val="18"/>
              </w:rPr>
              <w:t>22 639 443</w:t>
            </w:r>
          </w:p>
        </w:tc>
        <w:tc>
          <w:tcPr>
            <w:tcW w:w="1800" w:type="dxa"/>
            <w:shd w:val="clear" w:color="auto" w:fill="auto"/>
            <w:vAlign w:val="bottom"/>
          </w:tcPr>
          <w:p w:rsidR="007349CA" w:rsidRPr="00A530E1" w:rsidRDefault="007349CA" w:rsidP="00F063C5">
            <w:pPr>
              <w:suppressAutoHyphens w:val="0"/>
              <w:spacing w:before="40" w:after="40" w:line="220" w:lineRule="exact"/>
              <w:ind w:right="113"/>
              <w:jc w:val="right"/>
              <w:rPr>
                <w:sz w:val="18"/>
                <w:szCs w:val="18"/>
              </w:rPr>
            </w:pPr>
            <w:r w:rsidRPr="00A530E1">
              <w:rPr>
                <w:sz w:val="18"/>
                <w:szCs w:val="18"/>
              </w:rPr>
              <w:t>288 526</w:t>
            </w:r>
          </w:p>
        </w:tc>
        <w:tc>
          <w:tcPr>
            <w:tcW w:w="1304" w:type="dxa"/>
            <w:shd w:val="clear" w:color="auto" w:fill="auto"/>
            <w:vAlign w:val="bottom"/>
          </w:tcPr>
          <w:p w:rsidR="007349CA" w:rsidRPr="00A530E1" w:rsidRDefault="007349CA" w:rsidP="00F063C5">
            <w:pPr>
              <w:suppressAutoHyphens w:val="0"/>
              <w:spacing w:before="40" w:after="40" w:line="220" w:lineRule="exact"/>
              <w:ind w:right="113"/>
              <w:jc w:val="right"/>
              <w:rPr>
                <w:sz w:val="18"/>
                <w:szCs w:val="18"/>
              </w:rPr>
            </w:pPr>
            <w:r w:rsidRPr="00A530E1">
              <w:rPr>
                <w:sz w:val="18"/>
                <w:szCs w:val="18"/>
              </w:rPr>
              <w:t>1.27</w:t>
            </w:r>
          </w:p>
        </w:tc>
      </w:tr>
      <w:tr w:rsidR="007349CA" w:rsidRPr="00A530E1" w:rsidTr="007F2E6F">
        <w:trPr>
          <w:trHeight w:val="240"/>
        </w:trPr>
        <w:tc>
          <w:tcPr>
            <w:tcW w:w="2266" w:type="dxa"/>
            <w:shd w:val="clear" w:color="auto" w:fill="auto"/>
            <w:vAlign w:val="bottom"/>
          </w:tcPr>
          <w:p w:rsidR="007349CA" w:rsidRPr="00A530E1" w:rsidRDefault="007349CA" w:rsidP="002C7C7F">
            <w:pPr>
              <w:suppressAutoHyphens w:val="0"/>
              <w:spacing w:before="40" w:after="40" w:line="220" w:lineRule="exact"/>
              <w:ind w:right="113"/>
              <w:rPr>
                <w:sz w:val="18"/>
                <w:szCs w:val="18"/>
              </w:rPr>
            </w:pPr>
            <w:r w:rsidRPr="00A530E1">
              <w:rPr>
                <w:sz w:val="18"/>
                <w:szCs w:val="18"/>
              </w:rPr>
              <w:t>INR prevalence study</w:t>
            </w:r>
          </w:p>
        </w:tc>
        <w:tc>
          <w:tcPr>
            <w:tcW w:w="600" w:type="dxa"/>
            <w:shd w:val="clear" w:color="auto" w:fill="auto"/>
            <w:vAlign w:val="bottom"/>
          </w:tcPr>
          <w:p w:rsidR="007349CA" w:rsidRPr="00A530E1" w:rsidRDefault="007349CA" w:rsidP="00F063C5">
            <w:pPr>
              <w:suppressAutoHyphens w:val="0"/>
              <w:spacing w:before="40" w:after="40" w:line="220" w:lineRule="exact"/>
              <w:ind w:right="113"/>
              <w:jc w:val="right"/>
              <w:rPr>
                <w:sz w:val="18"/>
                <w:szCs w:val="18"/>
              </w:rPr>
            </w:pPr>
            <w:r w:rsidRPr="00A530E1">
              <w:rPr>
                <w:sz w:val="18"/>
                <w:szCs w:val="18"/>
              </w:rPr>
              <w:t>1993</w:t>
            </w:r>
          </w:p>
        </w:tc>
        <w:tc>
          <w:tcPr>
            <w:tcW w:w="1400" w:type="dxa"/>
            <w:shd w:val="clear" w:color="auto" w:fill="auto"/>
            <w:vAlign w:val="bottom"/>
          </w:tcPr>
          <w:p w:rsidR="007349CA" w:rsidRPr="00A530E1" w:rsidRDefault="007349CA" w:rsidP="00F063C5">
            <w:pPr>
              <w:suppressAutoHyphens w:val="0"/>
              <w:spacing w:before="40" w:after="40" w:line="220" w:lineRule="exact"/>
              <w:ind w:right="113"/>
              <w:jc w:val="right"/>
              <w:rPr>
                <w:sz w:val="18"/>
                <w:szCs w:val="18"/>
              </w:rPr>
            </w:pPr>
            <w:r w:rsidRPr="00A530E1">
              <w:rPr>
                <w:sz w:val="18"/>
                <w:szCs w:val="18"/>
              </w:rPr>
              <w:t>22 639 443</w:t>
            </w:r>
          </w:p>
        </w:tc>
        <w:tc>
          <w:tcPr>
            <w:tcW w:w="1800" w:type="dxa"/>
            <w:shd w:val="clear" w:color="auto" w:fill="auto"/>
            <w:vAlign w:val="bottom"/>
          </w:tcPr>
          <w:p w:rsidR="007349CA" w:rsidRPr="00A530E1" w:rsidRDefault="007349CA" w:rsidP="00F063C5">
            <w:pPr>
              <w:suppressAutoHyphens w:val="0"/>
              <w:spacing w:before="40" w:after="40" w:line="220" w:lineRule="exact"/>
              <w:ind w:right="113"/>
              <w:jc w:val="right"/>
              <w:rPr>
                <w:sz w:val="18"/>
                <w:szCs w:val="18"/>
              </w:rPr>
            </w:pPr>
            <w:r w:rsidRPr="00A530E1">
              <w:rPr>
                <w:sz w:val="18"/>
                <w:szCs w:val="18"/>
              </w:rPr>
              <w:t>2 961 239</w:t>
            </w:r>
          </w:p>
        </w:tc>
        <w:tc>
          <w:tcPr>
            <w:tcW w:w="1304" w:type="dxa"/>
            <w:shd w:val="clear" w:color="auto" w:fill="auto"/>
            <w:vAlign w:val="bottom"/>
          </w:tcPr>
          <w:p w:rsidR="007349CA" w:rsidRPr="00A530E1" w:rsidRDefault="007349CA" w:rsidP="00F063C5">
            <w:pPr>
              <w:suppressAutoHyphens w:val="0"/>
              <w:spacing w:before="40" w:after="40" w:line="220" w:lineRule="exact"/>
              <w:ind w:right="113"/>
              <w:jc w:val="right"/>
              <w:rPr>
                <w:sz w:val="18"/>
                <w:szCs w:val="18"/>
              </w:rPr>
            </w:pPr>
            <w:r w:rsidRPr="00A530E1">
              <w:rPr>
                <w:sz w:val="18"/>
                <w:szCs w:val="18"/>
              </w:rPr>
              <w:t>13.08</w:t>
            </w:r>
          </w:p>
        </w:tc>
      </w:tr>
      <w:tr w:rsidR="007349CA" w:rsidRPr="00A530E1" w:rsidTr="007F2E6F">
        <w:trPr>
          <w:trHeight w:val="240"/>
        </w:trPr>
        <w:tc>
          <w:tcPr>
            <w:tcW w:w="2266" w:type="dxa"/>
            <w:shd w:val="clear" w:color="auto" w:fill="auto"/>
            <w:vAlign w:val="bottom"/>
          </w:tcPr>
          <w:p w:rsidR="007349CA" w:rsidRPr="00A530E1" w:rsidRDefault="007349CA" w:rsidP="002C7C7F">
            <w:pPr>
              <w:suppressAutoHyphens w:val="0"/>
              <w:spacing w:before="40" w:after="40" w:line="220" w:lineRule="exact"/>
              <w:ind w:right="113"/>
              <w:rPr>
                <w:sz w:val="18"/>
                <w:szCs w:val="18"/>
              </w:rPr>
            </w:pPr>
            <w:r w:rsidRPr="00A530E1">
              <w:rPr>
                <w:sz w:val="18"/>
                <w:szCs w:val="18"/>
              </w:rPr>
              <w:t>Household Survey on Disability – Lima-Callao</w:t>
            </w:r>
          </w:p>
        </w:tc>
        <w:tc>
          <w:tcPr>
            <w:tcW w:w="600" w:type="dxa"/>
            <w:shd w:val="clear" w:color="auto" w:fill="auto"/>
            <w:vAlign w:val="bottom"/>
          </w:tcPr>
          <w:p w:rsidR="007349CA" w:rsidRPr="00A530E1" w:rsidRDefault="007349CA" w:rsidP="00F063C5">
            <w:pPr>
              <w:suppressAutoHyphens w:val="0"/>
              <w:spacing w:before="40" w:after="40" w:line="220" w:lineRule="exact"/>
              <w:ind w:right="113"/>
              <w:jc w:val="right"/>
              <w:rPr>
                <w:sz w:val="18"/>
                <w:szCs w:val="18"/>
              </w:rPr>
            </w:pPr>
            <w:r w:rsidRPr="00A530E1">
              <w:rPr>
                <w:sz w:val="18"/>
                <w:szCs w:val="18"/>
              </w:rPr>
              <w:t>2005</w:t>
            </w:r>
          </w:p>
        </w:tc>
        <w:tc>
          <w:tcPr>
            <w:tcW w:w="1400" w:type="dxa"/>
            <w:shd w:val="clear" w:color="auto" w:fill="auto"/>
            <w:vAlign w:val="bottom"/>
          </w:tcPr>
          <w:p w:rsidR="007349CA" w:rsidRPr="00A530E1" w:rsidRDefault="007349CA" w:rsidP="00F063C5">
            <w:pPr>
              <w:suppressAutoHyphens w:val="0"/>
              <w:spacing w:before="40" w:after="40" w:line="220" w:lineRule="exact"/>
              <w:ind w:right="113"/>
              <w:jc w:val="right"/>
              <w:rPr>
                <w:sz w:val="18"/>
                <w:szCs w:val="18"/>
              </w:rPr>
            </w:pPr>
            <w:r w:rsidRPr="00A530E1">
              <w:rPr>
                <w:sz w:val="18"/>
                <w:szCs w:val="18"/>
              </w:rPr>
              <w:t>8 030 533</w:t>
            </w:r>
          </w:p>
        </w:tc>
        <w:tc>
          <w:tcPr>
            <w:tcW w:w="1800" w:type="dxa"/>
            <w:shd w:val="clear" w:color="auto" w:fill="auto"/>
            <w:vAlign w:val="bottom"/>
          </w:tcPr>
          <w:p w:rsidR="007349CA" w:rsidRPr="00A530E1" w:rsidRDefault="007349CA" w:rsidP="00F063C5">
            <w:pPr>
              <w:suppressAutoHyphens w:val="0"/>
              <w:spacing w:before="40" w:after="40" w:line="220" w:lineRule="exact"/>
              <w:ind w:right="113"/>
              <w:jc w:val="right"/>
              <w:rPr>
                <w:sz w:val="18"/>
                <w:szCs w:val="18"/>
              </w:rPr>
            </w:pPr>
            <w:r w:rsidRPr="00A530E1">
              <w:rPr>
                <w:sz w:val="18"/>
                <w:szCs w:val="18"/>
              </w:rPr>
              <w:t>457 550</w:t>
            </w:r>
          </w:p>
        </w:tc>
        <w:tc>
          <w:tcPr>
            <w:tcW w:w="1304" w:type="dxa"/>
            <w:shd w:val="clear" w:color="auto" w:fill="auto"/>
            <w:vAlign w:val="bottom"/>
          </w:tcPr>
          <w:p w:rsidR="007349CA" w:rsidRPr="00A530E1" w:rsidRDefault="007349CA" w:rsidP="00F063C5">
            <w:pPr>
              <w:suppressAutoHyphens w:val="0"/>
              <w:spacing w:before="40" w:after="40" w:line="220" w:lineRule="exact"/>
              <w:ind w:right="113"/>
              <w:jc w:val="right"/>
              <w:rPr>
                <w:sz w:val="18"/>
                <w:szCs w:val="18"/>
              </w:rPr>
            </w:pPr>
            <w:r w:rsidRPr="00A530E1">
              <w:rPr>
                <w:sz w:val="18"/>
                <w:szCs w:val="18"/>
              </w:rPr>
              <w:t>5.70</w:t>
            </w:r>
          </w:p>
        </w:tc>
      </w:tr>
      <w:tr w:rsidR="007349CA" w:rsidRPr="00A530E1" w:rsidTr="007F2E6F">
        <w:trPr>
          <w:trHeight w:val="240"/>
        </w:trPr>
        <w:tc>
          <w:tcPr>
            <w:tcW w:w="2266" w:type="dxa"/>
            <w:shd w:val="clear" w:color="auto" w:fill="auto"/>
            <w:vAlign w:val="bottom"/>
          </w:tcPr>
          <w:p w:rsidR="007349CA" w:rsidRPr="00A530E1" w:rsidRDefault="00503979" w:rsidP="002C7C7F">
            <w:pPr>
              <w:suppressAutoHyphens w:val="0"/>
              <w:spacing w:before="40" w:after="40" w:line="220" w:lineRule="exact"/>
              <w:ind w:right="113"/>
              <w:rPr>
                <w:sz w:val="18"/>
                <w:szCs w:val="18"/>
              </w:rPr>
            </w:pPr>
            <w:r>
              <w:rPr>
                <w:sz w:val="18"/>
                <w:szCs w:val="18"/>
              </w:rPr>
              <w:t>Continuous National Survey – N</w:t>
            </w:r>
            <w:r w:rsidR="007349CA" w:rsidRPr="00A530E1">
              <w:rPr>
                <w:sz w:val="18"/>
                <w:szCs w:val="18"/>
              </w:rPr>
              <w:t>ationwide</w:t>
            </w:r>
          </w:p>
        </w:tc>
        <w:tc>
          <w:tcPr>
            <w:tcW w:w="600" w:type="dxa"/>
            <w:shd w:val="clear" w:color="auto" w:fill="auto"/>
            <w:vAlign w:val="bottom"/>
          </w:tcPr>
          <w:p w:rsidR="007349CA" w:rsidRPr="00A530E1" w:rsidRDefault="007349CA" w:rsidP="00F063C5">
            <w:pPr>
              <w:suppressAutoHyphens w:val="0"/>
              <w:spacing w:before="40" w:after="40" w:line="220" w:lineRule="exact"/>
              <w:ind w:right="113"/>
              <w:jc w:val="right"/>
              <w:rPr>
                <w:sz w:val="18"/>
                <w:szCs w:val="18"/>
              </w:rPr>
            </w:pPr>
            <w:r w:rsidRPr="00A530E1">
              <w:rPr>
                <w:sz w:val="18"/>
                <w:szCs w:val="18"/>
              </w:rPr>
              <w:t>2006</w:t>
            </w:r>
          </w:p>
        </w:tc>
        <w:tc>
          <w:tcPr>
            <w:tcW w:w="1400" w:type="dxa"/>
            <w:shd w:val="clear" w:color="auto" w:fill="auto"/>
            <w:vAlign w:val="bottom"/>
          </w:tcPr>
          <w:p w:rsidR="007349CA" w:rsidRPr="00A530E1" w:rsidRDefault="007349CA" w:rsidP="00F063C5">
            <w:pPr>
              <w:suppressAutoHyphens w:val="0"/>
              <w:spacing w:before="40" w:after="40" w:line="220" w:lineRule="exact"/>
              <w:ind w:right="113"/>
              <w:jc w:val="right"/>
              <w:rPr>
                <w:sz w:val="18"/>
                <w:szCs w:val="18"/>
              </w:rPr>
            </w:pPr>
            <w:r w:rsidRPr="00A530E1">
              <w:rPr>
                <w:sz w:val="18"/>
                <w:szCs w:val="18"/>
              </w:rPr>
              <w:t>27 219 264</w:t>
            </w:r>
          </w:p>
        </w:tc>
        <w:tc>
          <w:tcPr>
            <w:tcW w:w="1800" w:type="dxa"/>
            <w:shd w:val="clear" w:color="auto" w:fill="auto"/>
            <w:vAlign w:val="bottom"/>
          </w:tcPr>
          <w:p w:rsidR="007349CA" w:rsidRPr="00A530E1" w:rsidRDefault="007349CA" w:rsidP="00F063C5">
            <w:pPr>
              <w:suppressAutoHyphens w:val="0"/>
              <w:spacing w:before="40" w:after="40" w:line="220" w:lineRule="exact"/>
              <w:ind w:right="113"/>
              <w:jc w:val="right"/>
              <w:rPr>
                <w:sz w:val="18"/>
                <w:szCs w:val="18"/>
              </w:rPr>
            </w:pPr>
            <w:r w:rsidRPr="00A530E1">
              <w:rPr>
                <w:sz w:val="18"/>
                <w:szCs w:val="18"/>
              </w:rPr>
              <w:t>2 368 076</w:t>
            </w:r>
          </w:p>
        </w:tc>
        <w:tc>
          <w:tcPr>
            <w:tcW w:w="1304" w:type="dxa"/>
            <w:shd w:val="clear" w:color="auto" w:fill="auto"/>
            <w:vAlign w:val="bottom"/>
          </w:tcPr>
          <w:p w:rsidR="007349CA" w:rsidRPr="00A530E1" w:rsidRDefault="007349CA" w:rsidP="00F063C5">
            <w:pPr>
              <w:suppressAutoHyphens w:val="0"/>
              <w:spacing w:before="40" w:after="40" w:line="220" w:lineRule="exact"/>
              <w:ind w:right="113"/>
              <w:jc w:val="right"/>
              <w:rPr>
                <w:sz w:val="18"/>
                <w:szCs w:val="18"/>
              </w:rPr>
            </w:pPr>
            <w:r w:rsidRPr="00A530E1">
              <w:rPr>
                <w:sz w:val="18"/>
                <w:szCs w:val="18"/>
              </w:rPr>
              <w:t>8.70</w:t>
            </w:r>
          </w:p>
        </w:tc>
      </w:tr>
      <w:tr w:rsidR="007349CA" w:rsidRPr="00A530E1" w:rsidTr="007F2E6F">
        <w:trPr>
          <w:trHeight w:val="240"/>
        </w:trPr>
        <w:tc>
          <w:tcPr>
            <w:tcW w:w="2266" w:type="dxa"/>
            <w:shd w:val="clear" w:color="auto" w:fill="auto"/>
            <w:vAlign w:val="bottom"/>
          </w:tcPr>
          <w:p w:rsidR="007349CA" w:rsidRPr="00A530E1" w:rsidRDefault="007349CA" w:rsidP="002C7C7F">
            <w:pPr>
              <w:suppressAutoHyphens w:val="0"/>
              <w:spacing w:before="40" w:after="40" w:line="220" w:lineRule="exact"/>
              <w:ind w:right="113"/>
              <w:rPr>
                <w:sz w:val="18"/>
                <w:szCs w:val="18"/>
              </w:rPr>
            </w:pPr>
            <w:r w:rsidRPr="00A530E1">
              <w:rPr>
                <w:sz w:val="18"/>
                <w:szCs w:val="18"/>
              </w:rPr>
              <w:t>Continuous National Survey – Metropolitan Lima</w:t>
            </w:r>
          </w:p>
        </w:tc>
        <w:tc>
          <w:tcPr>
            <w:tcW w:w="600" w:type="dxa"/>
            <w:shd w:val="clear" w:color="auto" w:fill="auto"/>
            <w:vAlign w:val="bottom"/>
          </w:tcPr>
          <w:p w:rsidR="007349CA" w:rsidRPr="00A530E1" w:rsidRDefault="007349CA" w:rsidP="00F063C5">
            <w:pPr>
              <w:suppressAutoHyphens w:val="0"/>
              <w:spacing w:before="40" w:after="40" w:line="220" w:lineRule="exact"/>
              <w:ind w:right="113"/>
              <w:jc w:val="right"/>
              <w:rPr>
                <w:sz w:val="18"/>
                <w:szCs w:val="18"/>
              </w:rPr>
            </w:pPr>
            <w:r w:rsidRPr="00A530E1">
              <w:rPr>
                <w:sz w:val="18"/>
                <w:szCs w:val="18"/>
              </w:rPr>
              <w:t>2006</w:t>
            </w:r>
          </w:p>
        </w:tc>
        <w:tc>
          <w:tcPr>
            <w:tcW w:w="1400" w:type="dxa"/>
            <w:shd w:val="clear" w:color="auto" w:fill="auto"/>
            <w:vAlign w:val="bottom"/>
          </w:tcPr>
          <w:p w:rsidR="007349CA" w:rsidRPr="00A530E1" w:rsidRDefault="007349CA" w:rsidP="00F063C5">
            <w:pPr>
              <w:suppressAutoHyphens w:val="0"/>
              <w:spacing w:before="40" w:after="40" w:line="220" w:lineRule="exact"/>
              <w:ind w:right="113"/>
              <w:jc w:val="right"/>
              <w:rPr>
                <w:sz w:val="18"/>
                <w:szCs w:val="18"/>
              </w:rPr>
            </w:pPr>
            <w:r w:rsidRPr="00A530E1">
              <w:rPr>
                <w:sz w:val="18"/>
                <w:szCs w:val="18"/>
              </w:rPr>
              <w:t>8 184 427</w:t>
            </w:r>
          </w:p>
        </w:tc>
        <w:tc>
          <w:tcPr>
            <w:tcW w:w="1800" w:type="dxa"/>
            <w:shd w:val="clear" w:color="auto" w:fill="auto"/>
            <w:vAlign w:val="bottom"/>
          </w:tcPr>
          <w:p w:rsidR="007349CA" w:rsidRPr="00A530E1" w:rsidRDefault="007349CA" w:rsidP="00F063C5">
            <w:pPr>
              <w:suppressAutoHyphens w:val="0"/>
              <w:spacing w:before="40" w:after="40" w:line="220" w:lineRule="exact"/>
              <w:ind w:right="113"/>
              <w:jc w:val="right"/>
              <w:rPr>
                <w:sz w:val="18"/>
                <w:szCs w:val="18"/>
              </w:rPr>
            </w:pPr>
            <w:r w:rsidRPr="00A530E1">
              <w:rPr>
                <w:sz w:val="18"/>
                <w:szCs w:val="18"/>
              </w:rPr>
              <w:t>892 102</w:t>
            </w:r>
          </w:p>
        </w:tc>
        <w:tc>
          <w:tcPr>
            <w:tcW w:w="1304" w:type="dxa"/>
            <w:shd w:val="clear" w:color="auto" w:fill="auto"/>
            <w:vAlign w:val="bottom"/>
          </w:tcPr>
          <w:p w:rsidR="007349CA" w:rsidRPr="00A530E1" w:rsidRDefault="007349CA" w:rsidP="00F063C5">
            <w:pPr>
              <w:suppressAutoHyphens w:val="0"/>
              <w:spacing w:before="40" w:after="40" w:line="220" w:lineRule="exact"/>
              <w:ind w:right="113"/>
              <w:jc w:val="right"/>
              <w:rPr>
                <w:sz w:val="18"/>
                <w:szCs w:val="18"/>
              </w:rPr>
            </w:pPr>
            <w:r w:rsidRPr="00A530E1">
              <w:rPr>
                <w:sz w:val="18"/>
                <w:szCs w:val="18"/>
              </w:rPr>
              <w:t>10.90</w:t>
            </w:r>
          </w:p>
        </w:tc>
      </w:tr>
    </w:tbl>
    <w:p w:rsidR="007349CA" w:rsidRPr="00A530E1" w:rsidRDefault="007349CA" w:rsidP="007349CA">
      <w:pPr>
        <w:pStyle w:val="SingleTxtG"/>
        <w:spacing w:before="240"/>
      </w:pPr>
      <w:r w:rsidRPr="00A530E1">
        <w:t>50.</w:t>
      </w:r>
      <w:r w:rsidRPr="00A530E1">
        <w:tab/>
        <w:t xml:space="preserve">As a result, since 2005, CONADIS has been proposing that the Ministry of Economic Affairs and Finance and INEI provide funding for a survey of available census data on the sociodemographic characteristics of persons with disabilities. </w:t>
      </w:r>
    </w:p>
    <w:p w:rsidR="007349CA" w:rsidRPr="00A530E1" w:rsidRDefault="007349CA" w:rsidP="007349CA">
      <w:pPr>
        <w:pStyle w:val="SingleTxtG"/>
      </w:pPr>
      <w:r w:rsidRPr="00A530E1">
        <w:t>51.</w:t>
      </w:r>
      <w:r w:rsidRPr="00A530E1">
        <w:tab/>
        <w:t>The Household Survey on Disability in Metropolitan Lima in 2005</w:t>
      </w:r>
      <w:r w:rsidRPr="00A530E1">
        <w:rPr>
          <w:rStyle w:val="FootnoteReference"/>
        </w:rPr>
        <w:footnoteReference w:id="8"/>
      </w:r>
      <w:r w:rsidRPr="00A530E1">
        <w:t xml:space="preserve"> was an early achievement, although its coverage was limited to Lima. There is also a pilot project to carry out a census in Tumbes; the funding for that pilot is being arranged under the Ecuador-Peru Binational Border Region Development Plan. </w:t>
      </w:r>
    </w:p>
    <w:p w:rsidR="007349CA" w:rsidRPr="00A530E1" w:rsidRDefault="007349CA" w:rsidP="007349CA">
      <w:pPr>
        <w:pStyle w:val="SingleTxtG"/>
      </w:pPr>
      <w:r w:rsidRPr="00A530E1">
        <w:t>52.</w:t>
      </w:r>
      <w:r w:rsidRPr="00A530E1">
        <w:tab/>
        <w:t>This year, a framework agreement has been signed with INEI which provides for the development of a handbook on statistical methodologies for local and regional governments that are planning to survey the population with disabilities. One of the most prominent initiatives of this type has been undertaken by the Regional Government of Lambayeque, which sponsored the founding of the first inter-university council for the social inclusion of persons with disabilities. One of the objectives of that council is to compile information on disabilities at the regional level.</w:t>
      </w:r>
    </w:p>
    <w:p w:rsidR="007349CA" w:rsidRPr="00A530E1" w:rsidRDefault="007349CA" w:rsidP="007349CA">
      <w:pPr>
        <w:pStyle w:val="HChG"/>
      </w:pPr>
      <w:r w:rsidRPr="00A530E1">
        <w:tab/>
        <w:t>III.</w:t>
      </w:r>
      <w:r w:rsidRPr="00A530E1">
        <w:tab/>
        <w:t>Specific information relating to the implementation, in law and in fact, of articles 1 to 33 of the Convention</w:t>
      </w:r>
    </w:p>
    <w:p w:rsidR="007349CA" w:rsidRPr="00A530E1" w:rsidRDefault="007349CA" w:rsidP="007349CA">
      <w:pPr>
        <w:pStyle w:val="H1G"/>
      </w:pPr>
      <w:r w:rsidRPr="00A530E1">
        <w:tab/>
        <w:t>A.</w:t>
      </w:r>
      <w:r w:rsidRPr="00A530E1">
        <w:tab/>
        <w:t>Background</w:t>
      </w:r>
    </w:p>
    <w:p w:rsidR="007349CA" w:rsidRPr="00A530E1" w:rsidRDefault="007349CA" w:rsidP="007349CA">
      <w:pPr>
        <w:pStyle w:val="SingleTxtG"/>
      </w:pPr>
      <w:r w:rsidRPr="00A530E1">
        <w:t>53.</w:t>
      </w:r>
      <w:r w:rsidRPr="00A530E1">
        <w:tab/>
        <w:t>By Supreme Decree No. 080-2008-PCM, Peru established a multisectoral commission to follow up on and develop measures to implement the Convention on the Rights of Persons with Disabilities. This commission has the following functions:</w:t>
      </w:r>
    </w:p>
    <w:p w:rsidR="007349CA" w:rsidRPr="00A530E1" w:rsidRDefault="007349CA" w:rsidP="007349CA">
      <w:pPr>
        <w:pStyle w:val="SingleTxtG"/>
      </w:pPr>
      <w:r w:rsidRPr="00A530E1">
        <w:tab/>
        <w:t>(a)</w:t>
      </w:r>
      <w:r w:rsidRPr="00A530E1">
        <w:tab/>
        <w:t>Approve its rules of procedure;</w:t>
      </w:r>
    </w:p>
    <w:p w:rsidR="007349CA" w:rsidRPr="00A530E1" w:rsidRDefault="007349CA" w:rsidP="007349CA">
      <w:pPr>
        <w:pStyle w:val="SingleTxtG"/>
      </w:pPr>
      <w:r w:rsidRPr="00A530E1">
        <w:tab/>
        <w:t>(b)</w:t>
      </w:r>
      <w:r w:rsidRPr="00A530E1">
        <w:tab/>
        <w:t>Recommend measures for implementing the Convention on the Rights of Persons with Disabilities;</w:t>
      </w:r>
    </w:p>
    <w:p w:rsidR="007349CA" w:rsidRPr="00A530E1" w:rsidRDefault="007349CA" w:rsidP="007349CA">
      <w:pPr>
        <w:pStyle w:val="SingleTxtG"/>
      </w:pPr>
      <w:r w:rsidRPr="00A530E1">
        <w:tab/>
        <w:t>(c)</w:t>
      </w:r>
      <w:r w:rsidRPr="00A530E1">
        <w:tab/>
        <w:t>Follow up on and monitor the implementation of the Convention;</w:t>
      </w:r>
    </w:p>
    <w:p w:rsidR="007349CA" w:rsidRPr="00A530E1" w:rsidRDefault="007349CA" w:rsidP="007349CA">
      <w:pPr>
        <w:pStyle w:val="SingleTxtG"/>
      </w:pPr>
      <w:r w:rsidRPr="00A530E1">
        <w:tab/>
        <w:t>(d)</w:t>
      </w:r>
      <w:r w:rsidRPr="00A530E1">
        <w:tab/>
        <w:t>Promote the incorporation of the provisions of the Convention into the operational and strategic plans of the relevant ministries;</w:t>
      </w:r>
    </w:p>
    <w:p w:rsidR="007349CA" w:rsidRPr="00A530E1" w:rsidRDefault="007349CA" w:rsidP="007349CA">
      <w:pPr>
        <w:pStyle w:val="SingleTxtG"/>
      </w:pPr>
      <w:r w:rsidRPr="00A530E1">
        <w:tab/>
        <w:t>(e)</w:t>
      </w:r>
      <w:r w:rsidRPr="00A530E1">
        <w:tab/>
        <w:t>Develop indicators and benchmarks for use in evaluating the implementation of the Convention;</w:t>
      </w:r>
    </w:p>
    <w:p w:rsidR="007349CA" w:rsidRPr="00A530E1" w:rsidRDefault="007349CA" w:rsidP="007349CA">
      <w:pPr>
        <w:pStyle w:val="SingleTxtG"/>
      </w:pPr>
      <w:r w:rsidRPr="00A530E1">
        <w:tab/>
        <w:t>(f)</w:t>
      </w:r>
      <w:r w:rsidRPr="00A530E1">
        <w:tab/>
        <w:t>Produce an annual report, which should be nationwide in scope, on progress in implementing the Convention and a national report for submission to the Committee on the Rights of Persons with Disabilities in accordance with article 33 of the Convention;</w:t>
      </w:r>
    </w:p>
    <w:p w:rsidR="007349CA" w:rsidRPr="00A530E1" w:rsidRDefault="007349CA" w:rsidP="007349CA">
      <w:pPr>
        <w:pStyle w:val="SingleTxtG"/>
      </w:pPr>
      <w:r w:rsidRPr="00A530E1">
        <w:tab/>
        <w:t>(g)</w:t>
      </w:r>
      <w:r w:rsidRPr="00A530E1">
        <w:tab/>
        <w:t>Work in coordination with other sectors to implement effective measures for achieving the goals of the Convention;</w:t>
      </w:r>
    </w:p>
    <w:p w:rsidR="007349CA" w:rsidRPr="00A530E1" w:rsidRDefault="007349CA" w:rsidP="007349CA">
      <w:pPr>
        <w:pStyle w:val="SingleTxtG"/>
      </w:pPr>
      <w:r w:rsidRPr="00A530E1">
        <w:tab/>
        <w:t>(h)</w:t>
      </w:r>
      <w:r w:rsidRPr="00A530E1">
        <w:tab/>
        <w:t>Coordinate with the Committee on the Rights of Persons with Disabilities.</w:t>
      </w:r>
    </w:p>
    <w:p w:rsidR="007349CA" w:rsidRPr="00A530E1" w:rsidRDefault="007349CA" w:rsidP="007349CA">
      <w:pPr>
        <w:pStyle w:val="SingleTxtG"/>
      </w:pPr>
      <w:r w:rsidRPr="00A530E1">
        <w:t>54.</w:t>
      </w:r>
      <w:r w:rsidRPr="00A530E1">
        <w:tab/>
        <w:t>The multisectoral commission comprises:</w:t>
      </w:r>
    </w:p>
    <w:p w:rsidR="007349CA" w:rsidRPr="00A530E1" w:rsidRDefault="007349CA" w:rsidP="007349CA">
      <w:pPr>
        <w:pStyle w:val="SingleTxtG"/>
      </w:pPr>
      <w:r w:rsidRPr="00A530E1">
        <w:tab/>
        <w:t>(a)</w:t>
      </w:r>
      <w:r w:rsidRPr="00A530E1">
        <w:tab/>
        <w:t>A representative of the Ministry of Women and Social Development, who serves as the Chairperson;</w:t>
      </w:r>
    </w:p>
    <w:p w:rsidR="007349CA" w:rsidRPr="00A530E1" w:rsidRDefault="007349CA" w:rsidP="007349CA">
      <w:pPr>
        <w:pStyle w:val="SingleTxtG"/>
      </w:pPr>
      <w:r w:rsidRPr="00A530E1">
        <w:tab/>
        <w:t>(b)</w:t>
      </w:r>
      <w:r w:rsidRPr="00A530E1">
        <w:tab/>
        <w:t>A representative of CONADIS, who serves as the Technical Secretary of the Commission;</w:t>
      </w:r>
    </w:p>
    <w:p w:rsidR="007349CA" w:rsidRPr="00A530E1" w:rsidRDefault="007349CA" w:rsidP="007349CA">
      <w:pPr>
        <w:pStyle w:val="SingleTxtG"/>
      </w:pPr>
      <w:r w:rsidRPr="00A530E1">
        <w:tab/>
        <w:t>(c)</w:t>
      </w:r>
      <w:r w:rsidRPr="00A530E1">
        <w:tab/>
        <w:t>A representative of the Special Commission on Disability;</w:t>
      </w:r>
    </w:p>
    <w:p w:rsidR="007349CA" w:rsidRPr="00A530E1" w:rsidRDefault="007349CA" w:rsidP="007349CA">
      <w:pPr>
        <w:pStyle w:val="SingleTxtG"/>
      </w:pPr>
      <w:r w:rsidRPr="00A530E1">
        <w:tab/>
        <w:t>(d)</w:t>
      </w:r>
      <w:r w:rsidRPr="00A530E1">
        <w:tab/>
        <w:t>A representative of the Office of the Presidency of the Council of Ministers;</w:t>
      </w:r>
    </w:p>
    <w:p w:rsidR="007349CA" w:rsidRPr="00A530E1" w:rsidRDefault="007349CA" w:rsidP="007349CA">
      <w:pPr>
        <w:pStyle w:val="SingleTxtG"/>
      </w:pPr>
      <w:r w:rsidRPr="00A530E1">
        <w:tab/>
        <w:t>(e)</w:t>
      </w:r>
      <w:r w:rsidRPr="00A530E1">
        <w:tab/>
        <w:t>A representative of the Ministry of Transport and Communications;</w:t>
      </w:r>
    </w:p>
    <w:p w:rsidR="007349CA" w:rsidRPr="00A530E1" w:rsidRDefault="007349CA" w:rsidP="007349CA">
      <w:pPr>
        <w:pStyle w:val="SingleTxtG"/>
      </w:pPr>
      <w:r w:rsidRPr="00A530E1">
        <w:tab/>
        <w:t>(f)</w:t>
      </w:r>
      <w:r w:rsidRPr="00A530E1">
        <w:tab/>
        <w:t>A representative of the Ministry of Housing, Construction and Sanitation;</w:t>
      </w:r>
    </w:p>
    <w:p w:rsidR="007349CA" w:rsidRPr="00A530E1" w:rsidRDefault="007349CA" w:rsidP="007349CA">
      <w:pPr>
        <w:pStyle w:val="SingleTxtG"/>
      </w:pPr>
      <w:r w:rsidRPr="00A530E1">
        <w:tab/>
        <w:t>(g)</w:t>
      </w:r>
      <w:r w:rsidRPr="00A530E1">
        <w:tab/>
        <w:t>A representative of the Ministry of Health;</w:t>
      </w:r>
    </w:p>
    <w:p w:rsidR="007349CA" w:rsidRPr="00A530E1" w:rsidRDefault="007349CA" w:rsidP="007349CA">
      <w:pPr>
        <w:pStyle w:val="SingleTxtG"/>
      </w:pPr>
      <w:r w:rsidRPr="00A530E1">
        <w:tab/>
        <w:t>(h)</w:t>
      </w:r>
      <w:r w:rsidRPr="00A530E1">
        <w:tab/>
        <w:t>A representative of the Ministry of Labour and Employment;</w:t>
      </w:r>
    </w:p>
    <w:p w:rsidR="007349CA" w:rsidRPr="00A530E1" w:rsidRDefault="007349CA" w:rsidP="007349CA">
      <w:pPr>
        <w:pStyle w:val="SingleTxtG"/>
      </w:pPr>
      <w:r w:rsidRPr="00A530E1">
        <w:tab/>
        <w:t>(i)</w:t>
      </w:r>
      <w:r w:rsidRPr="00A530E1">
        <w:tab/>
        <w:t>A representative of the Ministry of Education.</w:t>
      </w:r>
    </w:p>
    <w:p w:rsidR="007349CA" w:rsidRPr="00A530E1" w:rsidRDefault="007349CA" w:rsidP="007349CA">
      <w:pPr>
        <w:pStyle w:val="SingleTxtG"/>
      </w:pPr>
      <w:r w:rsidRPr="00A530E1">
        <w:t>55.</w:t>
      </w:r>
      <w:r w:rsidRPr="00A530E1">
        <w:tab/>
        <w:t>Within the framework of the Convention, Supreme Decree No. 007-2008-MIMDES established a second multisectoral commission to monitor and follow up on the 2009–2018 Equal Opportunities Plan for Persons with Disabilities.</w:t>
      </w:r>
    </w:p>
    <w:p w:rsidR="007349CA" w:rsidRPr="00A530E1" w:rsidRDefault="007349CA" w:rsidP="007349CA">
      <w:pPr>
        <w:pStyle w:val="SingleTxtG"/>
      </w:pPr>
      <w:r w:rsidRPr="00A530E1">
        <w:t>56.</w:t>
      </w:r>
      <w:r w:rsidRPr="00A530E1">
        <w:tab/>
        <w:t>The strategies developed by the two commissions, which have been described above, are designed to mainstream disability issues and ensure that they are incorporated into sectoral plans and regional and municipal development plans. These plans provide the matrix for the budgetary allocations which, once they have been incorporated into a functional programme of expenditure, will make closer monitoring of the indicators possible.</w:t>
      </w:r>
    </w:p>
    <w:p w:rsidR="007349CA" w:rsidRPr="00A530E1" w:rsidRDefault="007349CA" w:rsidP="007349CA">
      <w:pPr>
        <w:pStyle w:val="SingleTxtG"/>
      </w:pPr>
      <w:r w:rsidRPr="00A530E1">
        <w:t>57.</w:t>
      </w:r>
      <w:r w:rsidRPr="00A530E1">
        <w:tab/>
        <w:t>Therefore, in accordance with the guidelines for the preparation of tables on illustrative indicators provided by the Office of the United Nations High Commissioner for Human Rights (OHCHR) (HRI/MC/2008/3), the data contained in this initial report are derived from process indicators, since, until a structural approach to the issue is developed, outcome indicators cannot be used. This sequence also encompasses the regulatory context. (One of the key elements of the State reform process, whose pace is being increased, is completion of the transfer of functions, authorities and budgets to local and regional governments.) Along the same lines, CONADIS is arranging funding under, inter alia, the Ecuador-Peru Binational Border Region Development Plan for a project on the establishment of a disability rights monitoring centre (see the attached description).</w:t>
      </w:r>
    </w:p>
    <w:p w:rsidR="007349CA" w:rsidRPr="00A530E1" w:rsidRDefault="007349CA" w:rsidP="007349CA">
      <w:pPr>
        <w:pStyle w:val="H1G"/>
      </w:pPr>
      <w:r w:rsidRPr="00A530E1">
        <w:tab/>
      </w:r>
      <w:bookmarkStart w:id="0" w:name="_Toc283209937"/>
      <w:r w:rsidRPr="00A530E1">
        <w:t>B.</w:t>
      </w:r>
      <w:r w:rsidRPr="00A530E1">
        <w:tab/>
        <w:t xml:space="preserve">General </w:t>
      </w:r>
      <w:r w:rsidR="005D0145" w:rsidRPr="00A530E1">
        <w:t xml:space="preserve">provisions </w:t>
      </w:r>
      <w:r w:rsidRPr="00A530E1">
        <w:t>of the Convention (arts. 1 to 4)</w:t>
      </w:r>
      <w:bookmarkEnd w:id="0"/>
    </w:p>
    <w:p w:rsidR="007349CA" w:rsidRPr="00A530E1" w:rsidRDefault="007349CA" w:rsidP="007349CA">
      <w:pPr>
        <w:pStyle w:val="SingleTxtG"/>
      </w:pPr>
      <w:r w:rsidRPr="00A530E1">
        <w:t>58.</w:t>
      </w:r>
      <w:r w:rsidRPr="00A530E1">
        <w:tab/>
        <w:t>See the table below.</w:t>
      </w:r>
    </w:p>
    <w:tbl>
      <w:tblPr>
        <w:tblStyle w:val="H4G"/>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494"/>
        <w:gridCol w:w="6"/>
        <w:gridCol w:w="5139"/>
      </w:tblGrid>
      <w:tr w:rsidR="007349CA" w:rsidRPr="00A530E1" w:rsidTr="00AF645F">
        <w:trPr>
          <w:trHeight w:val="240"/>
          <w:tblHeader/>
        </w:trPr>
        <w:tc>
          <w:tcPr>
            <w:tcW w:w="4494" w:type="dxa"/>
            <w:tcBorders>
              <w:top w:val="single" w:sz="4" w:space="0" w:color="auto"/>
              <w:bottom w:val="single" w:sz="12" w:space="0" w:color="auto"/>
            </w:tcBorders>
            <w:shd w:val="clear" w:color="auto" w:fill="auto"/>
            <w:vAlign w:val="bottom"/>
          </w:tcPr>
          <w:p w:rsidR="007349CA" w:rsidRPr="00A530E1" w:rsidRDefault="007349CA" w:rsidP="00BC241B">
            <w:pPr>
              <w:keepNext w:val="0"/>
              <w:keepLines w:val="0"/>
              <w:tabs>
                <w:tab w:val="clear" w:pos="851"/>
              </w:tabs>
              <w:suppressAutoHyphens w:val="0"/>
              <w:spacing w:before="80" w:after="80" w:line="200" w:lineRule="exact"/>
              <w:ind w:left="0" w:right="113" w:firstLine="0"/>
              <w:rPr>
                <w:sz w:val="16"/>
              </w:rPr>
            </w:pPr>
            <w:r w:rsidRPr="00A530E1">
              <w:rPr>
                <w:sz w:val="16"/>
              </w:rPr>
              <w:t>Report on</w:t>
            </w:r>
          </w:p>
        </w:tc>
        <w:tc>
          <w:tcPr>
            <w:tcW w:w="5145" w:type="dxa"/>
            <w:gridSpan w:val="2"/>
            <w:tcBorders>
              <w:top w:val="single" w:sz="4" w:space="0" w:color="auto"/>
              <w:bottom w:val="single" w:sz="12" w:space="0" w:color="auto"/>
            </w:tcBorders>
            <w:shd w:val="clear" w:color="auto" w:fill="auto"/>
            <w:vAlign w:val="bottom"/>
          </w:tcPr>
          <w:p w:rsidR="007349CA" w:rsidRPr="00A530E1" w:rsidRDefault="007349CA" w:rsidP="00BC241B">
            <w:pPr>
              <w:keepNext w:val="0"/>
              <w:keepLines w:val="0"/>
              <w:tabs>
                <w:tab w:val="clear" w:pos="851"/>
              </w:tabs>
              <w:suppressAutoHyphens w:val="0"/>
              <w:spacing w:before="80" w:after="80" w:line="200" w:lineRule="exact"/>
              <w:ind w:left="0" w:right="113" w:firstLine="0"/>
              <w:rPr>
                <w:sz w:val="16"/>
              </w:rPr>
            </w:pPr>
            <w:r w:rsidRPr="00A530E1">
              <w:rPr>
                <w:sz w:val="16"/>
              </w:rPr>
              <w:t>Progress</w:t>
            </w:r>
          </w:p>
        </w:tc>
      </w:tr>
      <w:tr w:rsidR="007349CA" w:rsidRPr="00A530E1" w:rsidTr="00AF645F">
        <w:trPr>
          <w:trHeight w:hRule="exact" w:val="113"/>
          <w:tblHeader/>
        </w:trPr>
        <w:tc>
          <w:tcPr>
            <w:tcW w:w="4494" w:type="dxa"/>
            <w:tcBorders>
              <w:top w:val="single" w:sz="12" w:space="0" w:color="auto"/>
            </w:tcBorders>
            <w:shd w:val="clear" w:color="auto" w:fill="auto"/>
          </w:tcPr>
          <w:p w:rsidR="007349CA" w:rsidRPr="00A530E1" w:rsidRDefault="007349CA" w:rsidP="00BC241B">
            <w:pPr>
              <w:keepNext w:val="0"/>
              <w:keepLines w:val="0"/>
              <w:tabs>
                <w:tab w:val="clear" w:pos="851"/>
              </w:tabs>
              <w:suppressAutoHyphens w:val="0"/>
              <w:spacing w:before="40"/>
              <w:ind w:left="0" w:right="113" w:firstLine="0"/>
              <w:rPr>
                <w:i w:val="0"/>
              </w:rPr>
            </w:pPr>
          </w:p>
        </w:tc>
        <w:tc>
          <w:tcPr>
            <w:tcW w:w="5145" w:type="dxa"/>
            <w:gridSpan w:val="2"/>
            <w:tcBorders>
              <w:top w:val="single" w:sz="12" w:space="0" w:color="auto"/>
            </w:tcBorders>
            <w:shd w:val="clear" w:color="auto" w:fill="auto"/>
          </w:tcPr>
          <w:p w:rsidR="007349CA" w:rsidRPr="00A530E1" w:rsidRDefault="007349CA" w:rsidP="00BC241B">
            <w:pPr>
              <w:keepNext w:val="0"/>
              <w:keepLines w:val="0"/>
              <w:tabs>
                <w:tab w:val="clear" w:pos="851"/>
              </w:tabs>
              <w:suppressAutoHyphens w:val="0"/>
              <w:spacing w:before="40"/>
              <w:ind w:left="0" w:right="113" w:firstLine="0"/>
              <w:rPr>
                <w:i w:val="0"/>
              </w:rPr>
            </w:pPr>
          </w:p>
        </w:tc>
      </w:tr>
      <w:tr w:rsidR="007349CA" w:rsidRPr="00A530E1" w:rsidTr="0073734A">
        <w:trPr>
          <w:trHeight w:val="240"/>
        </w:trPr>
        <w:tc>
          <w:tcPr>
            <w:tcW w:w="4500" w:type="dxa"/>
            <w:gridSpan w:val="2"/>
            <w:shd w:val="clear" w:color="auto" w:fill="auto"/>
          </w:tcPr>
          <w:p w:rsidR="007349CA" w:rsidRPr="00A530E1" w:rsidRDefault="007349CA" w:rsidP="00BC241B">
            <w:pPr>
              <w:keepNext w:val="0"/>
              <w:keepLines w:val="0"/>
              <w:tabs>
                <w:tab w:val="clear" w:pos="851"/>
              </w:tabs>
              <w:suppressAutoHyphens w:val="0"/>
              <w:spacing w:before="40"/>
              <w:ind w:left="0" w:right="113" w:firstLine="0"/>
              <w:rPr>
                <w:i w:val="0"/>
              </w:rPr>
            </w:pPr>
            <w:r w:rsidRPr="00A530E1">
              <w:rPr>
                <w:i w:val="0"/>
              </w:rPr>
              <w:t>The definition of disability used to collect the data being analysed, which impairments have been included, and the conceptualization of “long-term”</w:t>
            </w:r>
          </w:p>
        </w:tc>
        <w:tc>
          <w:tcPr>
            <w:tcW w:w="5139" w:type="dxa"/>
            <w:shd w:val="clear" w:color="auto" w:fill="auto"/>
          </w:tcPr>
          <w:p w:rsidR="007349CA" w:rsidRPr="00A530E1" w:rsidRDefault="007349CA" w:rsidP="00BC241B">
            <w:pPr>
              <w:keepNext w:val="0"/>
              <w:keepLines w:val="0"/>
              <w:tabs>
                <w:tab w:val="clear" w:pos="851"/>
              </w:tabs>
              <w:suppressAutoHyphens w:val="0"/>
              <w:spacing w:before="40"/>
              <w:ind w:left="0" w:right="113" w:firstLine="0"/>
              <w:rPr>
                <w:i w:val="0"/>
              </w:rPr>
            </w:pPr>
            <w:r w:rsidRPr="00A530E1">
              <w:rPr>
                <w:i w:val="0"/>
              </w:rPr>
              <w:t>The General Act on Persons with Disabilities (Act No. 27050) establishes that: “Persons with disabilities are defined as those with one or more deficiencies characterized by the significant impairment of one or more physical, mental or sensorial faculties, leading to the reduction or loss of ability to carry out a given activity within what are considered normal parameters and limiting capacity to exercise a given role, function or activity or to partake in opportunities to participate in society on an equitable basis.” Safeguarding the human rights of persons with disabilities is regarded as a priority, and Peru is adopting and developing systematic measures to establish a services model for the disabled as part of the process of State reform launched at the beginning of this decade, which embraces all vulnerable sectors of the population.</w:t>
            </w:r>
          </w:p>
          <w:p w:rsidR="007349CA" w:rsidRPr="00A530E1" w:rsidRDefault="007349CA" w:rsidP="00BC241B">
            <w:pPr>
              <w:keepNext w:val="0"/>
              <w:keepLines w:val="0"/>
              <w:tabs>
                <w:tab w:val="clear" w:pos="851"/>
              </w:tabs>
              <w:suppressAutoHyphens w:val="0"/>
              <w:spacing w:before="40"/>
              <w:ind w:left="0" w:right="113" w:firstLine="0"/>
              <w:rPr>
                <w:i w:val="0"/>
              </w:rPr>
            </w:pPr>
            <w:r w:rsidRPr="00A530E1">
              <w:rPr>
                <w:i w:val="0"/>
              </w:rPr>
              <w:t xml:space="preserve">The word “long-term” is used here to refer to the time horizon set for achievement of a fully operational system; that does not preclude progress in the short and medium terms in legislative, budget and public policy development, and we have in fact been making advances in these areas. </w:t>
            </w:r>
          </w:p>
        </w:tc>
      </w:tr>
      <w:tr w:rsidR="007349CA" w:rsidRPr="00A530E1" w:rsidTr="0073734A">
        <w:trPr>
          <w:trHeight w:val="240"/>
        </w:trPr>
        <w:tc>
          <w:tcPr>
            <w:tcW w:w="4500" w:type="dxa"/>
            <w:gridSpan w:val="2"/>
            <w:tcBorders>
              <w:bottom w:val="nil"/>
            </w:tcBorders>
            <w:shd w:val="clear" w:color="auto" w:fill="auto"/>
          </w:tcPr>
          <w:p w:rsidR="007349CA" w:rsidRPr="00A530E1" w:rsidRDefault="007349CA" w:rsidP="00BC241B">
            <w:pPr>
              <w:keepNext w:val="0"/>
              <w:keepLines w:val="0"/>
              <w:tabs>
                <w:tab w:val="clear" w:pos="851"/>
              </w:tabs>
              <w:suppressAutoHyphens w:val="0"/>
              <w:spacing w:before="40"/>
              <w:ind w:left="0" w:right="113" w:firstLine="0"/>
              <w:rPr>
                <w:i w:val="0"/>
              </w:rPr>
            </w:pPr>
            <w:r w:rsidRPr="00A530E1">
              <w:rPr>
                <w:i w:val="0"/>
              </w:rPr>
              <w:t>The ways and means by which the domestic law defines and understands the concepts provided in articles 1 and 2 of the Convention, and in particular any laws, regulations, social customs or practices that discriminate on the ground of disability</w:t>
            </w:r>
          </w:p>
        </w:tc>
        <w:tc>
          <w:tcPr>
            <w:tcW w:w="5139" w:type="dxa"/>
            <w:tcBorders>
              <w:bottom w:val="nil"/>
            </w:tcBorders>
            <w:shd w:val="clear" w:color="auto" w:fill="auto"/>
          </w:tcPr>
          <w:p w:rsidR="007349CA" w:rsidRPr="00A530E1" w:rsidRDefault="007349CA" w:rsidP="00BC241B">
            <w:pPr>
              <w:keepNext w:val="0"/>
              <w:keepLines w:val="0"/>
              <w:tabs>
                <w:tab w:val="clear" w:pos="851"/>
              </w:tabs>
              <w:suppressAutoHyphens w:val="0"/>
              <w:spacing w:before="40"/>
              <w:ind w:left="0" w:right="113" w:firstLine="0"/>
              <w:rPr>
                <w:i w:val="0"/>
              </w:rPr>
            </w:pPr>
            <w:r w:rsidRPr="00A530E1">
              <w:rPr>
                <w:i w:val="0"/>
              </w:rPr>
              <w:t>Through such measures as the establishment of the multisectoral commissions described above and the passage of a law on offences and penalties for non-compliance with the Omnibus Act, which protects persons with disabilities and establishes a special framework for the promotion of their rights, Peru has underlined the importance that it attaches to taking a cross-sectoral approach to disability issues. In other words, rather than making a single body responsible for enforcing and monitoring the implementation of an omnibus law, the public sector is charged with carrying out a State policy founded on the protection of human rights.</w:t>
            </w:r>
          </w:p>
          <w:p w:rsidR="007349CA" w:rsidRPr="00A530E1" w:rsidRDefault="007349CA" w:rsidP="00BC241B">
            <w:pPr>
              <w:keepNext w:val="0"/>
              <w:keepLines w:val="0"/>
              <w:tabs>
                <w:tab w:val="clear" w:pos="851"/>
              </w:tabs>
              <w:suppressAutoHyphens w:val="0"/>
              <w:spacing w:before="40"/>
              <w:ind w:left="0" w:right="113" w:firstLine="0"/>
              <w:rPr>
                <w:i w:val="0"/>
              </w:rPr>
            </w:pPr>
            <w:r w:rsidRPr="00A530E1">
              <w:rPr>
                <w:i w:val="0"/>
              </w:rPr>
              <w:t>Given that approach, budgetary restrictions are not stopping Peru from developing legislation (reasonable accommodation, anti-discrimination legislation, the use of particular languages) in this area.</w:t>
            </w:r>
          </w:p>
        </w:tc>
      </w:tr>
      <w:tr w:rsidR="007349CA" w:rsidRPr="00A530E1" w:rsidTr="0073734A">
        <w:trPr>
          <w:trHeight w:val="240"/>
        </w:trPr>
        <w:tc>
          <w:tcPr>
            <w:tcW w:w="4500" w:type="dxa"/>
            <w:gridSpan w:val="2"/>
            <w:tcBorders>
              <w:top w:val="nil"/>
              <w:bottom w:val="nil"/>
            </w:tcBorders>
            <w:shd w:val="clear" w:color="auto" w:fill="auto"/>
          </w:tcPr>
          <w:p w:rsidR="007349CA" w:rsidRPr="00A530E1" w:rsidRDefault="007349CA" w:rsidP="00BC241B">
            <w:pPr>
              <w:keepNext w:val="0"/>
              <w:keepLines w:val="0"/>
              <w:tabs>
                <w:tab w:val="clear" w:pos="851"/>
              </w:tabs>
              <w:suppressAutoHyphens w:val="0"/>
              <w:spacing w:before="40"/>
              <w:ind w:left="0" w:right="113" w:firstLine="0"/>
              <w:rPr>
                <w:i w:val="0"/>
              </w:rPr>
            </w:pPr>
            <w:r w:rsidRPr="00A530E1">
              <w:rPr>
                <w:i w:val="0"/>
              </w:rPr>
              <w:t xml:space="preserve">The ways and means by which the State </w:t>
            </w:r>
            <w:r w:rsidR="005F02D6">
              <w:rPr>
                <w:i w:val="0"/>
              </w:rPr>
              <w:t>p</w:t>
            </w:r>
            <w:r w:rsidRPr="00A530E1">
              <w:rPr>
                <w:i w:val="0"/>
              </w:rPr>
              <w:t xml:space="preserve">arty defines and understands the concept of “reasonable accommodation”, and the requirement of “disproportionate and undue burden”, providing examples </w:t>
            </w:r>
          </w:p>
        </w:tc>
        <w:tc>
          <w:tcPr>
            <w:tcW w:w="5139" w:type="dxa"/>
            <w:tcBorders>
              <w:top w:val="nil"/>
              <w:bottom w:val="nil"/>
            </w:tcBorders>
            <w:shd w:val="clear" w:color="auto" w:fill="auto"/>
          </w:tcPr>
          <w:p w:rsidR="007349CA" w:rsidRPr="00A530E1" w:rsidRDefault="007349CA" w:rsidP="00BC241B">
            <w:pPr>
              <w:keepNext w:val="0"/>
              <w:keepLines w:val="0"/>
              <w:tabs>
                <w:tab w:val="clear" w:pos="851"/>
              </w:tabs>
              <w:suppressAutoHyphens w:val="0"/>
              <w:spacing w:before="40"/>
              <w:ind w:left="0" w:right="113" w:firstLine="0"/>
              <w:rPr>
                <w:i w:val="0"/>
              </w:rPr>
            </w:pPr>
            <w:r w:rsidRPr="00A530E1">
              <w:rPr>
                <w:i w:val="0"/>
              </w:rPr>
              <w:t>The Ministry of Labour has an office to deal with labour-related issues of concern to persons with disabilities, and one of this office’s functions is to play a supervisory role.</w:t>
            </w:r>
          </w:p>
          <w:p w:rsidR="007349CA" w:rsidRPr="00A530E1" w:rsidRDefault="007349CA" w:rsidP="00BC241B">
            <w:pPr>
              <w:keepNext w:val="0"/>
              <w:keepLines w:val="0"/>
              <w:tabs>
                <w:tab w:val="clear" w:pos="851"/>
              </w:tabs>
              <w:suppressAutoHyphens w:val="0"/>
              <w:spacing w:before="40"/>
              <w:ind w:left="0" w:right="113" w:firstLine="0"/>
              <w:rPr>
                <w:i w:val="0"/>
              </w:rPr>
            </w:pPr>
            <w:r w:rsidRPr="00A530E1">
              <w:rPr>
                <w:i w:val="0"/>
              </w:rPr>
              <w:t>Economic difficulties have been encountered in the private sector when, for example, facilities need to be modified to improve access for persons with disabilities. In that same context and aside from the matter of infrastructure, Act No. 27050, as amended by Act No. 28164, and Supreme Decree No. 27, adopted by the Office of the President of the Council of Ministers in 2007, provide that 3 per cent of all public service posts, including decision-making positions, are to be held by persons with disabilities. Disabled persons applying for competitive positions receive a 15 per cent addition to their final points score.</w:t>
            </w:r>
          </w:p>
          <w:p w:rsidR="007349CA" w:rsidRPr="00A530E1" w:rsidRDefault="007349CA" w:rsidP="00BC241B">
            <w:pPr>
              <w:keepNext w:val="0"/>
              <w:keepLines w:val="0"/>
              <w:tabs>
                <w:tab w:val="clear" w:pos="851"/>
              </w:tabs>
              <w:suppressAutoHyphens w:val="0"/>
              <w:spacing w:before="40"/>
              <w:ind w:left="0" w:right="113" w:firstLine="0"/>
              <w:rPr>
                <w:i w:val="0"/>
              </w:rPr>
            </w:pPr>
            <w:r w:rsidRPr="00A530E1">
              <w:rPr>
                <w:i w:val="0"/>
              </w:rPr>
              <w:t>Failure to respect this right, aside from being an offence under the Act on Offences and Penalties, can lead to prosecution for discrimination.</w:t>
            </w:r>
          </w:p>
        </w:tc>
      </w:tr>
      <w:tr w:rsidR="007349CA" w:rsidRPr="00A530E1" w:rsidTr="00AF645F">
        <w:trPr>
          <w:trHeight w:val="240"/>
        </w:trPr>
        <w:tc>
          <w:tcPr>
            <w:tcW w:w="4494" w:type="dxa"/>
            <w:tcBorders>
              <w:top w:val="nil"/>
            </w:tcBorders>
            <w:shd w:val="clear" w:color="auto" w:fill="auto"/>
          </w:tcPr>
          <w:p w:rsidR="007349CA" w:rsidRPr="00A530E1" w:rsidRDefault="007349CA" w:rsidP="00BC241B">
            <w:pPr>
              <w:keepNext w:val="0"/>
              <w:keepLines w:val="0"/>
              <w:tabs>
                <w:tab w:val="clear" w:pos="851"/>
              </w:tabs>
              <w:suppressAutoHyphens w:val="0"/>
              <w:spacing w:before="40"/>
              <w:ind w:left="0" w:right="113" w:firstLine="0"/>
              <w:rPr>
                <w:i w:val="0"/>
              </w:rPr>
            </w:pPr>
            <w:r w:rsidRPr="00A530E1">
              <w:rPr>
                <w:i w:val="0"/>
              </w:rPr>
              <w:t>In what manner the general principles and obligations established under articles 3 and 4 of the Convention have been implemented, and how it intends to ensure their effective realization, in particular the principle of promotion of the full realization of the rights under the Convention without discrimination based on disability as provided under article 4 and provide examples</w:t>
            </w:r>
          </w:p>
        </w:tc>
        <w:tc>
          <w:tcPr>
            <w:tcW w:w="5145" w:type="dxa"/>
            <w:gridSpan w:val="2"/>
            <w:tcBorders>
              <w:top w:val="nil"/>
            </w:tcBorders>
            <w:shd w:val="clear" w:color="auto" w:fill="auto"/>
          </w:tcPr>
          <w:p w:rsidR="007349CA" w:rsidRPr="00A530E1" w:rsidRDefault="007349CA" w:rsidP="00BC241B">
            <w:pPr>
              <w:keepNext w:val="0"/>
              <w:keepLines w:val="0"/>
              <w:tabs>
                <w:tab w:val="clear" w:pos="851"/>
              </w:tabs>
              <w:suppressAutoHyphens w:val="0"/>
              <w:spacing w:before="40"/>
              <w:ind w:left="0" w:right="113" w:firstLine="0"/>
              <w:rPr>
                <w:i w:val="0"/>
              </w:rPr>
            </w:pPr>
            <w:r w:rsidRPr="00A530E1">
              <w:rPr>
                <w:i w:val="0"/>
              </w:rPr>
              <w:t>In 2008, Peru adopted the 2009–2018 Equal Opportunities Plan for Persons with Disabilities and appointed a multisectoral commission to monitor its implementation.</w:t>
            </w:r>
          </w:p>
          <w:p w:rsidR="007349CA" w:rsidRPr="00A530E1" w:rsidRDefault="007349CA" w:rsidP="00BC241B">
            <w:pPr>
              <w:keepNext w:val="0"/>
              <w:keepLines w:val="0"/>
              <w:tabs>
                <w:tab w:val="clear" w:pos="851"/>
              </w:tabs>
              <w:suppressAutoHyphens w:val="0"/>
              <w:spacing w:before="40"/>
              <w:ind w:left="0" w:right="113" w:firstLine="0"/>
              <w:rPr>
                <w:i w:val="0"/>
              </w:rPr>
            </w:pPr>
            <w:r w:rsidRPr="00A530E1">
              <w:rPr>
                <w:i w:val="0"/>
              </w:rPr>
              <w:t>This plan is part of a broad project aimed at achieving a system-wide approach for efforts to meet the needs of the disabled at the State level.</w:t>
            </w:r>
          </w:p>
          <w:p w:rsidR="007349CA" w:rsidRPr="00A530E1" w:rsidRDefault="007349CA" w:rsidP="00BC241B">
            <w:pPr>
              <w:keepNext w:val="0"/>
              <w:keepLines w:val="0"/>
              <w:tabs>
                <w:tab w:val="clear" w:pos="851"/>
              </w:tabs>
              <w:suppressAutoHyphens w:val="0"/>
              <w:spacing w:before="40"/>
              <w:ind w:left="0" w:right="113" w:firstLine="0"/>
              <w:rPr>
                <w:i w:val="0"/>
              </w:rPr>
            </w:pPr>
            <w:r w:rsidRPr="00A530E1">
              <w:rPr>
                <w:i w:val="0"/>
              </w:rPr>
              <w:t>The Ministry of Women and Social Development, which is responsible for matters relating to children, youth, women, the elderly, the displaced and victims of domestic violence, was asked to chair the multisectoral commission.</w:t>
            </w:r>
          </w:p>
          <w:p w:rsidR="007349CA" w:rsidRPr="00A530E1" w:rsidRDefault="007349CA" w:rsidP="00BC241B">
            <w:pPr>
              <w:keepNext w:val="0"/>
              <w:keepLines w:val="0"/>
              <w:tabs>
                <w:tab w:val="clear" w:pos="851"/>
              </w:tabs>
              <w:suppressAutoHyphens w:val="0"/>
              <w:spacing w:before="40"/>
              <w:ind w:left="0" w:right="113" w:firstLine="0"/>
              <w:rPr>
                <w:i w:val="0"/>
              </w:rPr>
            </w:pPr>
            <w:r w:rsidRPr="00A530E1">
              <w:rPr>
                <w:i w:val="0"/>
              </w:rPr>
              <w:t>A draft amendment to articles in the Civil Code dealing with the freedom of disabled persons to determine their civil status is being studied.</w:t>
            </w:r>
          </w:p>
          <w:p w:rsidR="007349CA" w:rsidRPr="00A530E1" w:rsidRDefault="007349CA" w:rsidP="00BC241B">
            <w:pPr>
              <w:keepNext w:val="0"/>
              <w:keepLines w:val="0"/>
              <w:tabs>
                <w:tab w:val="clear" w:pos="851"/>
              </w:tabs>
              <w:suppressAutoHyphens w:val="0"/>
              <w:spacing w:before="40"/>
              <w:ind w:left="0" w:right="113" w:firstLine="0"/>
              <w:rPr>
                <w:i w:val="0"/>
              </w:rPr>
            </w:pPr>
            <w:r w:rsidRPr="00A530E1">
              <w:rPr>
                <w:i w:val="0"/>
              </w:rPr>
              <w:t>A digital version of the 2009 annual report of CONADIS,</w:t>
            </w:r>
            <w:r w:rsidRPr="00A530E1">
              <w:rPr>
                <w:rStyle w:val="FootnoteReference"/>
                <w:i w:val="0"/>
              </w:rPr>
              <w:footnoteReference w:id="9"/>
            </w:r>
            <w:r w:rsidRPr="00A530E1">
              <w:rPr>
                <w:i w:val="0"/>
              </w:rPr>
              <w:t xml:space="preserve"> which discusses the work of this lead agency in the field, is attached. It recounts some of the Council’s principal achievements, which include: the dissolution of the committee that had been established in a public university to assess the degree of disability of students applying for places reserved for the disabled; representations to Congress in support of the employment of a person with disabilities in the judiciary; and intercession with a local government that was blocking the registration of a marriage between two deaf persons.</w:t>
            </w:r>
          </w:p>
        </w:tc>
      </w:tr>
      <w:tr w:rsidR="007349CA" w:rsidRPr="00A530E1" w:rsidTr="00AF645F">
        <w:trPr>
          <w:trHeight w:val="240"/>
        </w:trPr>
        <w:tc>
          <w:tcPr>
            <w:tcW w:w="4494" w:type="dxa"/>
            <w:tcBorders>
              <w:bottom w:val="nil"/>
            </w:tcBorders>
            <w:shd w:val="clear" w:color="auto" w:fill="auto"/>
          </w:tcPr>
          <w:p w:rsidR="007349CA" w:rsidRPr="00A530E1" w:rsidRDefault="007349CA" w:rsidP="00BC241B">
            <w:pPr>
              <w:keepNext w:val="0"/>
              <w:keepLines w:val="0"/>
              <w:tabs>
                <w:tab w:val="clear" w:pos="851"/>
              </w:tabs>
              <w:suppressAutoHyphens w:val="0"/>
              <w:spacing w:before="40"/>
              <w:ind w:left="0" w:right="113" w:firstLine="0"/>
              <w:rPr>
                <w:i w:val="0"/>
              </w:rPr>
            </w:pPr>
            <w:r w:rsidRPr="00A530E1">
              <w:rPr>
                <w:i w:val="0"/>
              </w:rPr>
              <w:t>Disaggregated and comparative statistical data on the effectiveness of specific anti-discrimination measures and the progress achieved towards ensuring equal realization of each of the Convention rights by persons with disabilities including a gender- and age-based perspective</w:t>
            </w:r>
          </w:p>
        </w:tc>
        <w:tc>
          <w:tcPr>
            <w:tcW w:w="5145" w:type="dxa"/>
            <w:gridSpan w:val="2"/>
            <w:tcBorders>
              <w:bottom w:val="nil"/>
            </w:tcBorders>
            <w:shd w:val="clear" w:color="auto" w:fill="auto"/>
          </w:tcPr>
          <w:p w:rsidR="007349CA" w:rsidRPr="00A530E1" w:rsidRDefault="007349CA" w:rsidP="00BC241B">
            <w:pPr>
              <w:keepNext w:val="0"/>
              <w:keepLines w:val="0"/>
              <w:tabs>
                <w:tab w:val="clear" w:pos="851"/>
              </w:tabs>
              <w:suppressAutoHyphens w:val="0"/>
              <w:spacing w:before="40"/>
              <w:ind w:left="0" w:right="113" w:firstLine="0"/>
              <w:rPr>
                <w:i w:val="0"/>
              </w:rPr>
            </w:pPr>
            <w:r w:rsidRPr="00A530E1">
              <w:rPr>
                <w:i w:val="0"/>
              </w:rPr>
              <w:t>The work being done in this area has yet to be completed and is discussed above under the heading “Statistical review”.</w:t>
            </w:r>
          </w:p>
        </w:tc>
      </w:tr>
      <w:tr w:rsidR="007349CA" w:rsidRPr="00A530E1" w:rsidTr="00AF645F">
        <w:trPr>
          <w:trHeight w:val="240"/>
        </w:trPr>
        <w:tc>
          <w:tcPr>
            <w:tcW w:w="4494" w:type="dxa"/>
            <w:tcBorders>
              <w:top w:val="nil"/>
              <w:bottom w:val="nil"/>
            </w:tcBorders>
            <w:shd w:val="clear" w:color="auto" w:fill="auto"/>
          </w:tcPr>
          <w:p w:rsidR="007349CA" w:rsidRPr="00A530E1" w:rsidRDefault="007349CA" w:rsidP="00BC241B">
            <w:pPr>
              <w:keepNext w:val="0"/>
              <w:keepLines w:val="0"/>
              <w:tabs>
                <w:tab w:val="clear" w:pos="851"/>
              </w:tabs>
              <w:suppressAutoHyphens w:val="0"/>
              <w:spacing w:before="40"/>
              <w:ind w:left="0" w:right="113" w:firstLine="0"/>
              <w:rPr>
                <w:i w:val="0"/>
              </w:rPr>
            </w:pPr>
            <w:r w:rsidRPr="00A530E1">
              <w:rPr>
                <w:i w:val="0"/>
              </w:rPr>
              <w:t xml:space="preserve">Which Convention rights the </w:t>
            </w:r>
            <w:r w:rsidR="00973E76">
              <w:rPr>
                <w:i w:val="0"/>
              </w:rPr>
              <w:t>State party</w:t>
            </w:r>
            <w:r w:rsidRPr="00A530E1">
              <w:rPr>
                <w:i w:val="0"/>
              </w:rPr>
              <w:t xml:space="preserve"> has endeavoured to implement progressively and which it has committed to implement immediately. Describe the impact of the latter measures </w:t>
            </w:r>
          </w:p>
        </w:tc>
        <w:tc>
          <w:tcPr>
            <w:tcW w:w="5145" w:type="dxa"/>
            <w:gridSpan w:val="2"/>
            <w:tcBorders>
              <w:top w:val="nil"/>
              <w:bottom w:val="nil"/>
            </w:tcBorders>
            <w:shd w:val="clear" w:color="auto" w:fill="auto"/>
          </w:tcPr>
          <w:p w:rsidR="007349CA" w:rsidRPr="00A530E1" w:rsidRDefault="007349CA" w:rsidP="001833B8">
            <w:pPr>
              <w:keepNext w:val="0"/>
              <w:keepLines w:val="0"/>
              <w:tabs>
                <w:tab w:val="clear" w:pos="851"/>
              </w:tabs>
              <w:suppressAutoHyphens w:val="0"/>
              <w:spacing w:before="40"/>
              <w:ind w:left="0" w:right="113" w:firstLine="0"/>
              <w:rPr>
                <w:i w:val="0"/>
              </w:rPr>
            </w:pPr>
            <w:r w:rsidRPr="00A530E1">
              <w:rPr>
                <w:i w:val="0"/>
              </w:rPr>
              <w:t>All of these rights are covered by legislation enacted in the past two years, but the State gives priority to the articles on women and children with disabilities. These provisions, in turn, form part — albeit in cross-cutting fashion — of the strategic food network and prenatal care programmes, which, along with efforts to reduce levels of violence against women, are accorded particular attention in the budget and are monitored exhaustively.</w:t>
            </w:r>
          </w:p>
          <w:p w:rsidR="007349CA" w:rsidRPr="00A530E1" w:rsidRDefault="007349CA" w:rsidP="00BC241B">
            <w:pPr>
              <w:keepNext w:val="0"/>
              <w:keepLines w:val="0"/>
              <w:tabs>
                <w:tab w:val="clear" w:pos="851"/>
              </w:tabs>
              <w:suppressAutoHyphens w:val="0"/>
              <w:spacing w:before="40"/>
              <w:ind w:left="0" w:right="113" w:firstLine="0"/>
              <w:rPr>
                <w:i w:val="0"/>
              </w:rPr>
            </w:pPr>
            <w:r w:rsidRPr="00A530E1">
              <w:rPr>
                <w:i w:val="0"/>
              </w:rPr>
              <w:t>An awareness-raising event regarding women and disability was held in Lima in March of this year in the framework of article 6 of the Convention. The event was attended by representatives of regional associations and Ms. Eneida Ferrer of the Organization of American States Technical Secretariat for the Implementation of the Program of Action for the Decade of the Americas for the Rights and Dignity of Persons with Disabilities. The possibility of holding an Ibero-American congress in December 2010 on women and children with disabilities is under consideration; increasing attention is also being focused on the remaining articles of the Convention, as mentioned earlier.</w:t>
            </w:r>
          </w:p>
        </w:tc>
      </w:tr>
      <w:tr w:rsidR="007349CA" w:rsidRPr="00A530E1" w:rsidTr="00AF645F">
        <w:trPr>
          <w:trHeight w:val="240"/>
        </w:trPr>
        <w:tc>
          <w:tcPr>
            <w:tcW w:w="4494" w:type="dxa"/>
            <w:tcBorders>
              <w:top w:val="nil"/>
            </w:tcBorders>
            <w:shd w:val="clear" w:color="auto" w:fill="auto"/>
          </w:tcPr>
          <w:p w:rsidR="007349CA" w:rsidRPr="00A530E1" w:rsidRDefault="007349CA" w:rsidP="00BC241B">
            <w:pPr>
              <w:keepNext w:val="0"/>
              <w:keepLines w:val="0"/>
              <w:tabs>
                <w:tab w:val="clear" w:pos="851"/>
              </w:tabs>
              <w:suppressAutoHyphens w:val="0"/>
              <w:spacing w:before="40"/>
              <w:ind w:left="0" w:right="113" w:firstLine="0"/>
              <w:rPr>
                <w:i w:val="0"/>
              </w:rPr>
            </w:pPr>
            <w:r w:rsidRPr="00A530E1">
              <w:rPr>
                <w:i w:val="0"/>
              </w:rPr>
              <w:t>The degree of involvement of persons with disabilities including women, boys and girls with disabilities in the development, implementation and evaluation of legislation and policies to introduce the Convention. It should also be indicated the diversity of persons with disabilities who have been involved in these processes with a gender</w:t>
            </w:r>
            <w:r w:rsidR="00D87FEC">
              <w:rPr>
                <w:i w:val="0"/>
              </w:rPr>
              <w:t xml:space="preserve">, and age </w:t>
            </w:r>
            <w:r w:rsidRPr="00A530E1">
              <w:rPr>
                <w:i w:val="0"/>
              </w:rPr>
              <w:t>based perspective</w:t>
            </w:r>
          </w:p>
        </w:tc>
        <w:tc>
          <w:tcPr>
            <w:tcW w:w="5145" w:type="dxa"/>
            <w:gridSpan w:val="2"/>
            <w:tcBorders>
              <w:top w:val="nil"/>
            </w:tcBorders>
            <w:shd w:val="clear" w:color="auto" w:fill="auto"/>
          </w:tcPr>
          <w:p w:rsidR="007349CA" w:rsidRPr="00A530E1" w:rsidRDefault="007349CA" w:rsidP="00BC241B">
            <w:pPr>
              <w:keepNext w:val="0"/>
              <w:keepLines w:val="0"/>
              <w:tabs>
                <w:tab w:val="clear" w:pos="851"/>
              </w:tabs>
              <w:suppressAutoHyphens w:val="0"/>
              <w:spacing w:before="40"/>
              <w:ind w:left="0" w:right="113" w:firstLine="0"/>
              <w:rPr>
                <w:i w:val="0"/>
              </w:rPr>
            </w:pPr>
            <w:r w:rsidRPr="00A530E1">
              <w:rPr>
                <w:i w:val="0"/>
              </w:rPr>
              <w:t>As noted earlier, specific data on the extent to which children and women with disabilities have been involved in the progress made in this area are not yet available.</w:t>
            </w:r>
          </w:p>
          <w:p w:rsidR="007349CA" w:rsidRPr="00A530E1" w:rsidRDefault="007349CA" w:rsidP="00BC241B">
            <w:pPr>
              <w:keepNext w:val="0"/>
              <w:keepLines w:val="0"/>
              <w:tabs>
                <w:tab w:val="clear" w:pos="851"/>
              </w:tabs>
              <w:suppressAutoHyphens w:val="0"/>
              <w:spacing w:before="40"/>
              <w:ind w:left="0" w:right="113" w:firstLine="0"/>
              <w:rPr>
                <w:i w:val="0"/>
              </w:rPr>
            </w:pPr>
            <w:r w:rsidRPr="00A530E1">
              <w:rPr>
                <w:i w:val="0"/>
              </w:rPr>
              <w:t>In 2009, Peru organized an Ibero-American congress on children and youth. The Government has yet to accurately identify the segments of the population composed of women and children with disabilities with a view to facilitating follow-up to the Convention.</w:t>
            </w:r>
          </w:p>
          <w:p w:rsidR="007349CA" w:rsidRPr="00A530E1" w:rsidRDefault="007349CA" w:rsidP="00BC241B">
            <w:pPr>
              <w:keepNext w:val="0"/>
              <w:keepLines w:val="0"/>
              <w:tabs>
                <w:tab w:val="clear" w:pos="851"/>
              </w:tabs>
              <w:suppressAutoHyphens w:val="0"/>
              <w:spacing w:before="40"/>
              <w:ind w:left="0" w:right="113" w:firstLine="0"/>
              <w:rPr>
                <w:i w:val="0"/>
              </w:rPr>
            </w:pPr>
            <w:r w:rsidRPr="00A530E1">
              <w:rPr>
                <w:i w:val="0"/>
              </w:rPr>
              <w:t>The gender perspective is taken into account in the assessment of Peru’s 12 high-priority national policies as set forth in Supreme Decree No. 27-2007-PCM. The main innovation in this respect lies in the system of assessment and the extension of the reporting procedure to regional and local levels of government.</w:t>
            </w:r>
          </w:p>
        </w:tc>
      </w:tr>
      <w:tr w:rsidR="007349CA" w:rsidRPr="00A530E1" w:rsidTr="00AF645F">
        <w:trPr>
          <w:trHeight w:val="240"/>
        </w:trPr>
        <w:tc>
          <w:tcPr>
            <w:tcW w:w="4494" w:type="dxa"/>
            <w:tcBorders>
              <w:bottom w:val="nil"/>
            </w:tcBorders>
            <w:shd w:val="clear" w:color="auto" w:fill="auto"/>
          </w:tcPr>
          <w:p w:rsidR="007349CA" w:rsidRPr="00A530E1" w:rsidRDefault="007349CA" w:rsidP="00BC241B">
            <w:pPr>
              <w:keepNext w:val="0"/>
              <w:keepLines w:val="0"/>
              <w:tabs>
                <w:tab w:val="clear" w:pos="851"/>
              </w:tabs>
              <w:suppressAutoHyphens w:val="0"/>
              <w:spacing w:before="40"/>
              <w:ind w:left="0" w:right="113" w:firstLine="0"/>
              <w:rPr>
                <w:i w:val="0"/>
              </w:rPr>
            </w:pPr>
            <w:r w:rsidRPr="00A530E1">
              <w:rPr>
                <w:i w:val="0"/>
              </w:rPr>
              <w:t>Whether the State has measures that provide higher levels of protection of the rights of persons with disabilities than those included in the Convention, in line with paragraph 4 of article 4</w:t>
            </w:r>
          </w:p>
        </w:tc>
        <w:tc>
          <w:tcPr>
            <w:tcW w:w="5145" w:type="dxa"/>
            <w:gridSpan w:val="2"/>
            <w:tcBorders>
              <w:bottom w:val="nil"/>
            </w:tcBorders>
            <w:shd w:val="clear" w:color="auto" w:fill="auto"/>
          </w:tcPr>
          <w:p w:rsidR="007349CA" w:rsidRPr="00A530E1" w:rsidRDefault="007349CA" w:rsidP="00BC241B">
            <w:pPr>
              <w:keepNext w:val="0"/>
              <w:keepLines w:val="0"/>
              <w:tabs>
                <w:tab w:val="clear" w:pos="851"/>
              </w:tabs>
              <w:suppressAutoHyphens w:val="0"/>
              <w:spacing w:before="40"/>
              <w:ind w:left="0" w:right="113" w:firstLine="0"/>
              <w:rPr>
                <w:i w:val="0"/>
              </w:rPr>
            </w:pPr>
            <w:r w:rsidRPr="00A530E1">
              <w:rPr>
                <w:i w:val="0"/>
              </w:rPr>
              <w:t>The Convention complements and injects greater coherence into the disparate pieces of legislation enacted in Peru in recent years in the light of ongoing developments in international and national human rights legislation.</w:t>
            </w:r>
          </w:p>
          <w:p w:rsidR="007349CA" w:rsidRPr="00A530E1" w:rsidRDefault="007349CA" w:rsidP="00BC241B">
            <w:pPr>
              <w:keepNext w:val="0"/>
              <w:keepLines w:val="0"/>
              <w:tabs>
                <w:tab w:val="clear" w:pos="851"/>
              </w:tabs>
              <w:suppressAutoHyphens w:val="0"/>
              <w:spacing w:before="40"/>
              <w:ind w:left="0" w:right="113" w:firstLine="0"/>
              <w:rPr>
                <w:i w:val="0"/>
              </w:rPr>
            </w:pPr>
            <w:r w:rsidRPr="00A530E1">
              <w:rPr>
                <w:i w:val="0"/>
              </w:rPr>
              <w:t>Congress and CONADIS are planning to work together to draft a proposal in 2010 on harmonizing Peruvian disability laws with the Convention.</w:t>
            </w:r>
          </w:p>
        </w:tc>
      </w:tr>
      <w:tr w:rsidR="007349CA" w:rsidRPr="00A530E1" w:rsidTr="00AF645F">
        <w:trPr>
          <w:trHeight w:val="240"/>
        </w:trPr>
        <w:tc>
          <w:tcPr>
            <w:tcW w:w="4494" w:type="dxa"/>
            <w:tcBorders>
              <w:top w:val="nil"/>
              <w:bottom w:val="nil"/>
            </w:tcBorders>
            <w:shd w:val="clear" w:color="auto" w:fill="auto"/>
          </w:tcPr>
          <w:p w:rsidR="007349CA" w:rsidRPr="00A530E1" w:rsidRDefault="007349CA" w:rsidP="00BC241B">
            <w:pPr>
              <w:keepNext w:val="0"/>
              <w:keepLines w:val="0"/>
              <w:tabs>
                <w:tab w:val="clear" w:pos="851"/>
              </w:tabs>
              <w:suppressAutoHyphens w:val="0"/>
              <w:spacing w:before="40"/>
              <w:ind w:left="0" w:right="113" w:firstLine="0"/>
              <w:rPr>
                <w:i w:val="0"/>
              </w:rPr>
            </w:pPr>
            <w:r w:rsidRPr="00A530E1">
              <w:rPr>
                <w:i w:val="0"/>
              </w:rPr>
              <w:t>How it has been ensured that the provisions of the Convention extend to all parts of the States, without any limitation or exception, in the case of federal or very decentralized States.</w:t>
            </w:r>
          </w:p>
        </w:tc>
        <w:tc>
          <w:tcPr>
            <w:tcW w:w="5145" w:type="dxa"/>
            <w:gridSpan w:val="2"/>
            <w:tcBorders>
              <w:top w:val="nil"/>
              <w:bottom w:val="nil"/>
            </w:tcBorders>
            <w:shd w:val="clear" w:color="auto" w:fill="auto"/>
          </w:tcPr>
          <w:p w:rsidR="007349CA" w:rsidRPr="00A530E1" w:rsidRDefault="007349CA" w:rsidP="00BC241B">
            <w:pPr>
              <w:keepNext w:val="0"/>
              <w:keepLines w:val="0"/>
              <w:tabs>
                <w:tab w:val="clear" w:pos="851"/>
              </w:tabs>
              <w:suppressAutoHyphens w:val="0"/>
              <w:spacing w:before="40"/>
              <w:ind w:left="0" w:right="113" w:firstLine="0"/>
              <w:rPr>
                <w:i w:val="0"/>
              </w:rPr>
            </w:pPr>
            <w:r w:rsidRPr="00A530E1">
              <w:rPr>
                <w:i w:val="0"/>
              </w:rPr>
              <w:t>Under the Constitution, the Republic of Peru has a unitary, representative and decentralized government. Legislation and treaties, which have the status of laws in Peru, are applicable throughout the country.</w:t>
            </w:r>
          </w:p>
          <w:p w:rsidR="007349CA" w:rsidRPr="00A530E1" w:rsidRDefault="007349CA" w:rsidP="00F26741">
            <w:pPr>
              <w:keepNext w:val="0"/>
              <w:keepLines w:val="0"/>
              <w:tabs>
                <w:tab w:val="clear" w:pos="851"/>
              </w:tabs>
              <w:suppressAutoHyphens w:val="0"/>
              <w:spacing w:before="40" w:after="360"/>
              <w:ind w:left="0" w:right="113" w:firstLine="0"/>
              <w:rPr>
                <w:i w:val="0"/>
              </w:rPr>
            </w:pPr>
            <w:r w:rsidRPr="00A530E1">
              <w:rPr>
                <w:i w:val="0"/>
              </w:rPr>
              <w:t>For this reason and in accordance with the Convention, the Act on Offences and Penalties of August 2009 is applicable throughout the country; the provisions set out in the implementing regulations adopted in March 2010 concerning the investigation and penalization of violations of the Act are being adapted by CONADIS and the Ministry of Women and Social Development for application on a decentralized basis.</w:t>
            </w:r>
          </w:p>
          <w:p w:rsidR="007349CA" w:rsidRPr="00A530E1" w:rsidRDefault="007349CA" w:rsidP="00BC241B">
            <w:pPr>
              <w:keepNext w:val="0"/>
              <w:keepLines w:val="0"/>
              <w:tabs>
                <w:tab w:val="clear" w:pos="851"/>
              </w:tabs>
              <w:suppressAutoHyphens w:val="0"/>
              <w:spacing w:before="40"/>
              <w:ind w:left="0" w:right="113" w:firstLine="0"/>
              <w:rPr>
                <w:i w:val="0"/>
              </w:rPr>
            </w:pPr>
            <w:r w:rsidRPr="00A530E1">
              <w:rPr>
                <w:i w:val="0"/>
              </w:rPr>
              <w:t>Regional and municipal offices for persons with disabilities are not yet in full compliance with the Convention, however, and this situation must be evaluated in the course of the process involved in harmonizing the relevant provisions with the Convention.</w:t>
            </w:r>
          </w:p>
          <w:p w:rsidR="007349CA" w:rsidRPr="00A530E1" w:rsidRDefault="007349CA" w:rsidP="00BC241B">
            <w:pPr>
              <w:keepNext w:val="0"/>
              <w:keepLines w:val="0"/>
              <w:tabs>
                <w:tab w:val="clear" w:pos="851"/>
              </w:tabs>
              <w:suppressAutoHyphens w:val="0"/>
              <w:spacing w:before="40"/>
              <w:ind w:left="0" w:right="113" w:firstLine="0"/>
              <w:rPr>
                <w:i w:val="0"/>
              </w:rPr>
            </w:pPr>
            <w:r w:rsidRPr="00A530E1">
              <w:rPr>
                <w:i w:val="0"/>
              </w:rPr>
              <w:t>As the issue of disability is incorporated into the strategic budgetary planning process of the Ministry of Economic Affairs and Finance, the matter of administrative, budgetary and operational autonomy will need to be resolved.</w:t>
            </w:r>
          </w:p>
        </w:tc>
      </w:tr>
      <w:tr w:rsidR="001D28F4" w:rsidRPr="00A530E1" w:rsidTr="00AF645F">
        <w:trPr>
          <w:trHeight w:val="240"/>
        </w:trPr>
        <w:tc>
          <w:tcPr>
            <w:tcW w:w="4494" w:type="dxa"/>
            <w:tcBorders>
              <w:top w:val="nil"/>
            </w:tcBorders>
            <w:shd w:val="clear" w:color="auto" w:fill="auto"/>
          </w:tcPr>
          <w:p w:rsidR="001D28F4" w:rsidRPr="00A530E1" w:rsidRDefault="001D28F4" w:rsidP="00BC241B">
            <w:pPr>
              <w:suppressAutoHyphens w:val="0"/>
              <w:spacing w:before="40"/>
              <w:ind w:right="113"/>
              <w:rPr>
                <w:i w:val="0"/>
              </w:rPr>
            </w:pPr>
          </w:p>
        </w:tc>
        <w:tc>
          <w:tcPr>
            <w:tcW w:w="5145" w:type="dxa"/>
            <w:gridSpan w:val="2"/>
            <w:tcBorders>
              <w:top w:val="nil"/>
            </w:tcBorders>
            <w:shd w:val="clear" w:color="auto" w:fill="auto"/>
          </w:tcPr>
          <w:p w:rsidR="001D28F4" w:rsidRPr="00A530E1" w:rsidRDefault="001D28F4" w:rsidP="00BC241B">
            <w:pPr>
              <w:suppressAutoHyphens w:val="0"/>
              <w:spacing w:before="40"/>
              <w:ind w:left="0" w:right="113" w:firstLine="0"/>
              <w:rPr>
                <w:i w:val="0"/>
              </w:rPr>
            </w:pPr>
            <w:r w:rsidRPr="00A530E1">
              <w:rPr>
                <w:i w:val="0"/>
              </w:rPr>
              <w:t>Steps in this direction were taken this year, and Congress is working with the executive to secure passage of an emergency decree that would lead to undertakings in specific sectors at, inter alia, the regional and local government levels.</w:t>
            </w:r>
          </w:p>
        </w:tc>
      </w:tr>
    </w:tbl>
    <w:p w:rsidR="00D84B53" w:rsidRPr="00A530E1" w:rsidRDefault="00D84B53" w:rsidP="00D84B53">
      <w:pPr>
        <w:pStyle w:val="H1G"/>
      </w:pPr>
      <w:r w:rsidRPr="00A530E1">
        <w:tab/>
      </w:r>
      <w:bookmarkStart w:id="1" w:name="_Toc283209938"/>
      <w:r w:rsidRPr="00A530E1">
        <w:t>C.</w:t>
      </w:r>
      <w:r w:rsidRPr="00A530E1">
        <w:tab/>
        <w:t>Specific rights</w:t>
      </w:r>
      <w:bookmarkEnd w:id="1"/>
    </w:p>
    <w:p w:rsidR="00D84B53" w:rsidRPr="00A530E1" w:rsidRDefault="00D84B53" w:rsidP="00D84B53">
      <w:pPr>
        <w:pStyle w:val="H23G"/>
      </w:pPr>
      <w:r w:rsidRPr="00A530E1">
        <w:tab/>
      </w:r>
      <w:bookmarkStart w:id="2" w:name="_Toc283209939"/>
      <w:r w:rsidRPr="00A530E1">
        <w:t>1.</w:t>
      </w:r>
      <w:r w:rsidRPr="00A530E1">
        <w:tab/>
        <w:t>Article 5: Equality and non-discrimination</w:t>
      </w:r>
      <w:bookmarkEnd w:id="2"/>
    </w:p>
    <w:p w:rsidR="00D84B53" w:rsidRPr="00A530E1" w:rsidRDefault="00D84B53" w:rsidP="00D84B53">
      <w:pPr>
        <w:pStyle w:val="SingleTxtG"/>
      </w:pPr>
      <w:r w:rsidRPr="00A530E1">
        <w:t>59.</w:t>
      </w:r>
      <w:r w:rsidRPr="00A530E1">
        <w:tab/>
        <w:t>This article recognizes that all persons are equal before the law and are entitled to equal protection and benefit under the law without discrimination.</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500"/>
        <w:gridCol w:w="5139"/>
      </w:tblGrid>
      <w:tr w:rsidR="00D84B53" w:rsidRPr="00A530E1" w:rsidTr="00AF645F">
        <w:trPr>
          <w:tblHeader/>
        </w:trPr>
        <w:tc>
          <w:tcPr>
            <w:tcW w:w="4500" w:type="dxa"/>
            <w:tcBorders>
              <w:top w:val="single" w:sz="4" w:space="0" w:color="auto"/>
              <w:bottom w:val="single" w:sz="12" w:space="0" w:color="auto"/>
            </w:tcBorders>
            <w:shd w:val="clear" w:color="auto" w:fill="auto"/>
            <w:vAlign w:val="bottom"/>
          </w:tcPr>
          <w:p w:rsidR="00D84B53" w:rsidRPr="00A530E1" w:rsidRDefault="00D84B53" w:rsidP="00F063C5">
            <w:pPr>
              <w:spacing w:before="80" w:after="80" w:line="200" w:lineRule="exact"/>
              <w:ind w:right="113"/>
              <w:rPr>
                <w:i/>
                <w:sz w:val="16"/>
              </w:rPr>
            </w:pPr>
            <w:r w:rsidRPr="00A530E1">
              <w:rPr>
                <w:i/>
                <w:sz w:val="16"/>
              </w:rPr>
              <w:t>Report on</w:t>
            </w:r>
          </w:p>
        </w:tc>
        <w:tc>
          <w:tcPr>
            <w:tcW w:w="5139" w:type="dxa"/>
            <w:tcBorders>
              <w:top w:val="single" w:sz="4" w:space="0" w:color="auto"/>
              <w:bottom w:val="single" w:sz="12" w:space="0" w:color="auto"/>
            </w:tcBorders>
            <w:shd w:val="clear" w:color="auto" w:fill="auto"/>
            <w:vAlign w:val="bottom"/>
          </w:tcPr>
          <w:p w:rsidR="00D84B53" w:rsidRPr="00A530E1" w:rsidRDefault="00D84B53" w:rsidP="00F063C5">
            <w:pPr>
              <w:spacing w:before="80" w:after="80" w:line="200" w:lineRule="exact"/>
              <w:ind w:right="113"/>
              <w:rPr>
                <w:i/>
                <w:sz w:val="16"/>
              </w:rPr>
            </w:pPr>
            <w:r w:rsidRPr="00A530E1">
              <w:rPr>
                <w:i/>
                <w:sz w:val="16"/>
              </w:rPr>
              <w:t>Progress</w:t>
            </w:r>
          </w:p>
        </w:tc>
      </w:tr>
      <w:tr w:rsidR="00D84B53" w:rsidRPr="00A530E1" w:rsidTr="00AF645F">
        <w:trPr>
          <w:trHeight w:hRule="exact" w:val="113"/>
          <w:tblHeader/>
        </w:trPr>
        <w:tc>
          <w:tcPr>
            <w:tcW w:w="4500" w:type="dxa"/>
            <w:tcBorders>
              <w:top w:val="single" w:sz="12" w:space="0" w:color="auto"/>
            </w:tcBorders>
            <w:shd w:val="clear" w:color="auto" w:fill="auto"/>
          </w:tcPr>
          <w:p w:rsidR="00D84B53" w:rsidRPr="00A530E1" w:rsidRDefault="00D84B53" w:rsidP="00F063C5">
            <w:pPr>
              <w:spacing w:before="40" w:after="120"/>
              <w:ind w:right="113"/>
            </w:pPr>
          </w:p>
        </w:tc>
        <w:tc>
          <w:tcPr>
            <w:tcW w:w="5139" w:type="dxa"/>
            <w:tcBorders>
              <w:top w:val="single" w:sz="12" w:space="0" w:color="auto"/>
            </w:tcBorders>
            <w:shd w:val="clear" w:color="auto" w:fill="auto"/>
          </w:tcPr>
          <w:p w:rsidR="00D84B53" w:rsidRPr="00A530E1" w:rsidRDefault="00D84B53" w:rsidP="00F063C5">
            <w:pPr>
              <w:spacing w:before="40" w:after="120"/>
              <w:ind w:right="113"/>
            </w:pPr>
          </w:p>
        </w:tc>
      </w:tr>
      <w:tr w:rsidR="00D84B53" w:rsidRPr="00A530E1" w:rsidTr="00AF645F">
        <w:tc>
          <w:tcPr>
            <w:tcW w:w="4500" w:type="dxa"/>
            <w:shd w:val="clear" w:color="auto" w:fill="auto"/>
          </w:tcPr>
          <w:p w:rsidR="00D84B53" w:rsidRPr="00A530E1" w:rsidRDefault="00D84B53" w:rsidP="00F063C5">
            <w:pPr>
              <w:spacing w:before="40" w:after="120"/>
              <w:ind w:right="113"/>
            </w:pPr>
            <w:r w:rsidRPr="00A530E1">
              <w:t>Whether persons with disabilities are able to use the law to protect or pursue their interests on an equal basis to others</w:t>
            </w:r>
          </w:p>
        </w:tc>
        <w:tc>
          <w:tcPr>
            <w:tcW w:w="5139" w:type="dxa"/>
            <w:shd w:val="clear" w:color="auto" w:fill="auto"/>
          </w:tcPr>
          <w:p w:rsidR="00D84B53" w:rsidRPr="00A530E1" w:rsidRDefault="00D84B53" w:rsidP="00F063C5">
            <w:pPr>
              <w:spacing w:before="40" w:after="120"/>
              <w:ind w:right="113"/>
            </w:pPr>
            <w:r w:rsidRPr="00A530E1">
              <w:t>The Constitution establishes that all persons are equal before the law. No one is to be discriminated against on the basis of origin, race, sex, language, religion, beliefs, or their economic or any other status.</w:t>
            </w:r>
          </w:p>
        </w:tc>
      </w:tr>
      <w:tr w:rsidR="00D84B53" w:rsidRPr="00A530E1" w:rsidTr="00AF645F">
        <w:tc>
          <w:tcPr>
            <w:tcW w:w="4500" w:type="dxa"/>
            <w:shd w:val="clear" w:color="auto" w:fill="auto"/>
          </w:tcPr>
          <w:p w:rsidR="00D84B53" w:rsidRPr="00A530E1" w:rsidRDefault="00D84B53" w:rsidP="00F063C5">
            <w:pPr>
              <w:spacing w:before="40" w:after="120"/>
              <w:ind w:right="113"/>
            </w:pPr>
          </w:p>
        </w:tc>
        <w:tc>
          <w:tcPr>
            <w:tcW w:w="5139" w:type="dxa"/>
            <w:shd w:val="clear" w:color="auto" w:fill="auto"/>
          </w:tcPr>
          <w:p w:rsidR="00D84B53" w:rsidRPr="00A530E1" w:rsidRDefault="00D84B53" w:rsidP="00F063C5">
            <w:pPr>
              <w:spacing w:before="40" w:after="120"/>
              <w:ind w:right="113"/>
            </w:pPr>
            <w:r w:rsidRPr="00A530E1">
              <w:t>It also provides that all persons who are unable to look after themselves due to a physical or mental disability have the right to have their dignity respected and to enjoy a legal order that provides for their protection, care, readaptation and security.</w:t>
            </w:r>
          </w:p>
        </w:tc>
      </w:tr>
      <w:tr w:rsidR="00D84B53" w:rsidRPr="00A530E1" w:rsidTr="00AF645F">
        <w:tc>
          <w:tcPr>
            <w:tcW w:w="4500" w:type="dxa"/>
            <w:shd w:val="clear" w:color="auto" w:fill="auto"/>
          </w:tcPr>
          <w:p w:rsidR="00D84B53" w:rsidRPr="00A530E1" w:rsidRDefault="00D84B53" w:rsidP="00F063C5">
            <w:pPr>
              <w:spacing w:before="40" w:after="120"/>
              <w:ind w:right="113"/>
            </w:pPr>
          </w:p>
        </w:tc>
        <w:tc>
          <w:tcPr>
            <w:tcW w:w="5139" w:type="dxa"/>
            <w:shd w:val="clear" w:color="auto" w:fill="auto"/>
          </w:tcPr>
          <w:p w:rsidR="00D84B53" w:rsidRPr="00A530E1" w:rsidRDefault="00D84B53" w:rsidP="00F063C5">
            <w:pPr>
              <w:spacing w:before="40" w:after="120"/>
              <w:ind w:right="113"/>
            </w:pPr>
            <w:r w:rsidRPr="00A530E1">
              <w:t>In order to ensure the exercise of these rights, the State encourages private institutions to act in the public interest. It also coordinates the provision of services by the offices of the Ombudsman, the Ministry of Women and Social Development and the national police force. Three ministries are directly involved in providing services to persons with disabilities: the Ministry of Health, the Ministry of Education and the Ministry of Labour.</w:t>
            </w:r>
          </w:p>
        </w:tc>
      </w:tr>
      <w:tr w:rsidR="00D84B53" w:rsidRPr="00A530E1" w:rsidTr="00AF645F">
        <w:tc>
          <w:tcPr>
            <w:tcW w:w="4500" w:type="dxa"/>
            <w:shd w:val="clear" w:color="auto" w:fill="auto"/>
          </w:tcPr>
          <w:p w:rsidR="00D84B53" w:rsidRPr="00A530E1" w:rsidRDefault="00D84B53" w:rsidP="00F063C5">
            <w:pPr>
              <w:spacing w:before="40" w:after="120"/>
              <w:ind w:right="113"/>
            </w:pPr>
            <w:r w:rsidRPr="00A530E1">
              <w:t>Effective measures taken to guarantee persons with disabilities equal and effective legal protection against all types of discrimination, including the provision of reasonable accommodation</w:t>
            </w:r>
          </w:p>
        </w:tc>
        <w:tc>
          <w:tcPr>
            <w:tcW w:w="5139" w:type="dxa"/>
            <w:shd w:val="clear" w:color="auto" w:fill="auto"/>
          </w:tcPr>
          <w:p w:rsidR="00D84B53" w:rsidRPr="00A530E1" w:rsidRDefault="00D84B53" w:rsidP="00F063C5">
            <w:pPr>
              <w:spacing w:before="40" w:after="120"/>
              <w:ind w:right="113"/>
            </w:pPr>
            <w:r w:rsidRPr="00A530E1">
              <w:t>The public budget acts that were passed for the 2009 and 2010 fiscal years contained two crucial articles under which local and regional governments can make budget allocations for actions to address disability issues. Under these articles, governments at those levels are authorized to use 0.5 per cent of their budgets to improve or provide accessibility features for urban infrastructure and municipal buildings that are open to all persons, and especially persons with disabilities and older adults, and are authorized to undertake expenditures equivalent to up to one taxation unit (UIT) for the purpose of opening municipal and regional offices to serve persons with disabilities.</w:t>
            </w:r>
          </w:p>
        </w:tc>
      </w:tr>
      <w:tr w:rsidR="00D84B53" w:rsidRPr="00A530E1" w:rsidTr="0085533F">
        <w:tc>
          <w:tcPr>
            <w:tcW w:w="4500" w:type="dxa"/>
            <w:shd w:val="clear" w:color="auto" w:fill="auto"/>
          </w:tcPr>
          <w:p w:rsidR="00D84B53" w:rsidRPr="00A530E1" w:rsidRDefault="00D84B53" w:rsidP="00F063C5">
            <w:pPr>
              <w:spacing w:before="40" w:after="120"/>
              <w:ind w:right="113"/>
            </w:pPr>
            <w:r w:rsidRPr="00A530E1">
              <w:t>Policies and programmes, including affirmative action measures, to achieve the de facto equality of persons with disabilities, taking into account their diversity</w:t>
            </w:r>
          </w:p>
        </w:tc>
        <w:tc>
          <w:tcPr>
            <w:tcW w:w="5139" w:type="dxa"/>
            <w:shd w:val="clear" w:color="auto" w:fill="auto"/>
          </w:tcPr>
          <w:p w:rsidR="00D84B53" w:rsidRPr="00A530E1" w:rsidRDefault="00D84B53" w:rsidP="00F063C5">
            <w:pPr>
              <w:spacing w:before="40" w:after="120"/>
              <w:ind w:right="113"/>
            </w:pPr>
            <w:r w:rsidRPr="00A530E1">
              <w:t xml:space="preserve">The establishment and operation of round tables focusing on different capacities are being promoted by Congress and CONADIS as a way of providing greater opportunities for the integration and involvement of persons with disabilities and their families. Town hall meetings have also been held in </w:t>
            </w:r>
          </w:p>
        </w:tc>
      </w:tr>
      <w:tr w:rsidR="0085533F" w:rsidRPr="00A530E1" w:rsidTr="00AF645F">
        <w:tc>
          <w:tcPr>
            <w:tcW w:w="4500" w:type="dxa"/>
            <w:tcBorders>
              <w:bottom w:val="single" w:sz="12" w:space="0" w:color="auto"/>
            </w:tcBorders>
            <w:shd w:val="clear" w:color="auto" w:fill="auto"/>
          </w:tcPr>
          <w:p w:rsidR="0085533F" w:rsidRPr="00A530E1" w:rsidRDefault="0085533F" w:rsidP="00F063C5">
            <w:pPr>
              <w:spacing w:before="40" w:after="120"/>
              <w:ind w:right="113"/>
            </w:pPr>
          </w:p>
        </w:tc>
        <w:tc>
          <w:tcPr>
            <w:tcW w:w="5139" w:type="dxa"/>
            <w:tcBorders>
              <w:bottom w:val="single" w:sz="12" w:space="0" w:color="auto"/>
            </w:tcBorders>
            <w:shd w:val="clear" w:color="auto" w:fill="auto"/>
          </w:tcPr>
          <w:p w:rsidR="0085533F" w:rsidRPr="00A530E1" w:rsidRDefault="0085533F" w:rsidP="00F063C5">
            <w:pPr>
              <w:spacing w:before="40" w:after="120"/>
              <w:ind w:right="113"/>
            </w:pPr>
            <w:r w:rsidRPr="00A530E1">
              <w:t>locations away from the capital city in order to obtain inputs from members of civil society and engage with public servants who work in the field of disability.</w:t>
            </w:r>
          </w:p>
        </w:tc>
      </w:tr>
    </w:tbl>
    <w:p w:rsidR="00D84B53" w:rsidRPr="00A530E1" w:rsidRDefault="00D84B53" w:rsidP="00D84B53">
      <w:pPr>
        <w:pStyle w:val="H23G"/>
      </w:pPr>
      <w:r w:rsidRPr="00A530E1">
        <w:tab/>
      </w:r>
      <w:bookmarkStart w:id="3" w:name="_Toc283209940"/>
      <w:r w:rsidRPr="00A530E1">
        <w:t>2.</w:t>
      </w:r>
      <w:r w:rsidRPr="00A530E1">
        <w:tab/>
        <w:t>Article 8: Awareness-raising</w:t>
      </w:r>
      <w:bookmarkEnd w:id="3"/>
    </w:p>
    <w:p w:rsidR="00D84B53" w:rsidRPr="00A530E1" w:rsidRDefault="00D84B53" w:rsidP="00D84B53">
      <w:pPr>
        <w:pStyle w:val="SingleTxtG"/>
      </w:pPr>
      <w:r w:rsidRPr="00A530E1">
        <w:t>60.</w:t>
      </w:r>
      <w:r w:rsidRPr="00A530E1">
        <w:tab/>
        <w:t>This article establishes the obligation of States parties to apply effective awareness-raising policies to promote a positive perception of persons with disabilities. The report should contain information on the measures taken to raise awareness about persons with disabilities, to foster respect for their rights and dignity, their capabilities and contributions, and to combat stereotypes and prejudices relating to them.</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494"/>
        <w:gridCol w:w="5145"/>
      </w:tblGrid>
      <w:tr w:rsidR="00D84B53" w:rsidRPr="00A530E1" w:rsidTr="00AF645F">
        <w:trPr>
          <w:tblHeader/>
        </w:trPr>
        <w:tc>
          <w:tcPr>
            <w:tcW w:w="4494" w:type="dxa"/>
            <w:tcBorders>
              <w:top w:val="single" w:sz="4" w:space="0" w:color="auto"/>
              <w:bottom w:val="single" w:sz="12" w:space="0" w:color="auto"/>
            </w:tcBorders>
            <w:shd w:val="clear" w:color="auto" w:fill="auto"/>
            <w:vAlign w:val="bottom"/>
          </w:tcPr>
          <w:p w:rsidR="00D84B53" w:rsidRPr="00A530E1" w:rsidRDefault="00D84B53" w:rsidP="00F063C5">
            <w:pPr>
              <w:spacing w:before="80" w:after="80" w:line="200" w:lineRule="exact"/>
              <w:ind w:right="113"/>
              <w:rPr>
                <w:i/>
                <w:sz w:val="16"/>
              </w:rPr>
            </w:pPr>
            <w:r w:rsidRPr="00A530E1">
              <w:rPr>
                <w:i/>
                <w:sz w:val="16"/>
              </w:rPr>
              <w:t>Report on</w:t>
            </w:r>
          </w:p>
        </w:tc>
        <w:tc>
          <w:tcPr>
            <w:tcW w:w="5145" w:type="dxa"/>
            <w:tcBorders>
              <w:top w:val="single" w:sz="4" w:space="0" w:color="auto"/>
              <w:bottom w:val="single" w:sz="12" w:space="0" w:color="auto"/>
            </w:tcBorders>
            <w:shd w:val="clear" w:color="auto" w:fill="auto"/>
            <w:vAlign w:val="bottom"/>
          </w:tcPr>
          <w:p w:rsidR="00D84B53" w:rsidRPr="00A530E1" w:rsidRDefault="00D84B53" w:rsidP="00F063C5">
            <w:pPr>
              <w:spacing w:before="80" w:after="80" w:line="200" w:lineRule="exact"/>
              <w:ind w:right="113"/>
              <w:rPr>
                <w:i/>
                <w:sz w:val="16"/>
              </w:rPr>
            </w:pPr>
            <w:r w:rsidRPr="00A530E1">
              <w:rPr>
                <w:i/>
                <w:sz w:val="16"/>
              </w:rPr>
              <w:t>Progress</w:t>
            </w:r>
          </w:p>
        </w:tc>
      </w:tr>
      <w:tr w:rsidR="00D84B53" w:rsidRPr="00A530E1" w:rsidTr="00AF645F">
        <w:trPr>
          <w:trHeight w:hRule="exact" w:val="113"/>
          <w:tblHeader/>
        </w:trPr>
        <w:tc>
          <w:tcPr>
            <w:tcW w:w="4494" w:type="dxa"/>
            <w:tcBorders>
              <w:top w:val="single" w:sz="12" w:space="0" w:color="auto"/>
            </w:tcBorders>
            <w:shd w:val="clear" w:color="auto" w:fill="auto"/>
          </w:tcPr>
          <w:p w:rsidR="00D84B53" w:rsidRPr="00A530E1" w:rsidRDefault="00D84B53" w:rsidP="00F063C5">
            <w:pPr>
              <w:spacing w:before="40" w:after="120"/>
              <w:ind w:right="113"/>
            </w:pPr>
          </w:p>
        </w:tc>
        <w:tc>
          <w:tcPr>
            <w:tcW w:w="5145" w:type="dxa"/>
            <w:tcBorders>
              <w:top w:val="single" w:sz="12" w:space="0" w:color="auto"/>
            </w:tcBorders>
            <w:shd w:val="clear" w:color="auto" w:fill="auto"/>
          </w:tcPr>
          <w:p w:rsidR="00D84B53" w:rsidRPr="00A530E1" w:rsidRDefault="00D84B53" w:rsidP="00F063C5">
            <w:pPr>
              <w:spacing w:before="40" w:after="120"/>
              <w:ind w:right="113"/>
            </w:pPr>
          </w:p>
        </w:tc>
      </w:tr>
      <w:tr w:rsidR="00D84B53" w:rsidRPr="00A530E1" w:rsidTr="00AF645F">
        <w:tc>
          <w:tcPr>
            <w:tcW w:w="4494" w:type="dxa"/>
            <w:shd w:val="clear" w:color="auto" w:fill="auto"/>
          </w:tcPr>
          <w:p w:rsidR="00D84B53" w:rsidRPr="00A530E1" w:rsidRDefault="00D84B53" w:rsidP="00F063C5">
            <w:pPr>
              <w:spacing w:before="40" w:after="120"/>
              <w:ind w:right="113"/>
            </w:pPr>
            <w:r w:rsidRPr="00A530E1">
              <w:t>Public-awareness campaigns directed to general society, within the education system and actions undertaken through mainstream media</w:t>
            </w:r>
          </w:p>
        </w:tc>
        <w:tc>
          <w:tcPr>
            <w:tcW w:w="5145" w:type="dxa"/>
            <w:shd w:val="clear" w:color="auto" w:fill="auto"/>
          </w:tcPr>
          <w:p w:rsidR="00D84B53" w:rsidRPr="00A530E1" w:rsidRDefault="00D84B53" w:rsidP="00D06987">
            <w:pPr>
              <w:pStyle w:val="Bullet1G"/>
              <w:tabs>
                <w:tab w:val="clear" w:pos="1701"/>
              </w:tabs>
              <w:spacing w:before="40"/>
              <w:ind w:left="170" w:right="113"/>
              <w:jc w:val="left"/>
            </w:pPr>
            <w:r w:rsidRPr="00A530E1">
              <w:t>Creation of a first virtual tiflotechnology library of Congress, which has published a work on the history of Peru in Braille; congressional approval and funding for the country’s first school for the deaf (the Ludwig Van Beethoven School); start-up of the national “Mi Silla” (my chair) campaign, through which 50,000 wheelchairs will be donated to poor and extremely poor persons with disabilities; launch of the national “Ver para Creer” (seeing is believing) campaign, which made it possible for 1,500 persons to have cataract operations; and implementation of the first “Una Sonrisa Especial” (a special smile) oral health campaign, which provides services free of charge</w:t>
            </w:r>
            <w:r w:rsidR="00CF5F69">
              <w:t xml:space="preserve"> </w:t>
            </w:r>
            <w:r w:rsidRPr="00A530E1">
              <w:t xml:space="preserve">and gives priority to children with slight or </w:t>
            </w:r>
            <w:r w:rsidR="00261F5B" w:rsidRPr="00A530E1">
              <w:t>se</w:t>
            </w:r>
            <w:r w:rsidR="00261F5B">
              <w:t>v</w:t>
            </w:r>
            <w:r w:rsidR="00261F5B" w:rsidRPr="00A530E1">
              <w:t>ere</w:t>
            </w:r>
            <w:r w:rsidRPr="00A530E1">
              <w:t xml:space="preserve"> mental retardation and children with Down’s Syndrome. In addition, “Mentes Brillantes” (brilliant minds) project competitions have been held as joint public/private initiatives with support from the Special Commission on Disability, and the Mephibosheth Resource Centre was established to facilitate access to information technologies for persons with disabilities.</w:t>
            </w:r>
          </w:p>
        </w:tc>
      </w:tr>
      <w:tr w:rsidR="00D84B53" w:rsidRPr="00A530E1" w:rsidTr="00F26741">
        <w:tc>
          <w:tcPr>
            <w:tcW w:w="4494" w:type="dxa"/>
            <w:shd w:val="clear" w:color="auto" w:fill="auto"/>
          </w:tcPr>
          <w:p w:rsidR="00D84B53" w:rsidRPr="00A530E1" w:rsidRDefault="00D84B53" w:rsidP="00F063C5">
            <w:pPr>
              <w:spacing w:before="40" w:after="120"/>
              <w:ind w:right="113"/>
            </w:pPr>
          </w:p>
        </w:tc>
        <w:tc>
          <w:tcPr>
            <w:tcW w:w="5145" w:type="dxa"/>
            <w:shd w:val="clear" w:color="auto" w:fill="auto"/>
          </w:tcPr>
          <w:p w:rsidR="00D84B53" w:rsidRPr="00A530E1" w:rsidRDefault="00D84B53" w:rsidP="00D06987">
            <w:pPr>
              <w:pStyle w:val="Bullet1G"/>
              <w:tabs>
                <w:tab w:val="clear" w:pos="1701"/>
              </w:tabs>
              <w:spacing w:before="40"/>
              <w:ind w:left="170" w:right="113"/>
              <w:jc w:val="left"/>
            </w:pPr>
            <w:r w:rsidRPr="00A530E1">
              <w:t>The national radio station broadcasts a weekly programme entitled “Sin Barreras” (without barriers), which educates the public and provides guidance concerning compliance with disability-related regulations. The programme also encourages members of the public to employ good practices for engendering a more inclusive society. It provides information on the activities sponsored by CONADIS, interviews medical experts, leaders of relevant associations and other persons from the public and private sectors, and answers questions phoned in from all parts of the country by private individuals. Activities organized by public and private agencies are also publicized.</w:t>
            </w:r>
          </w:p>
        </w:tc>
      </w:tr>
      <w:tr w:rsidR="00D84B53" w:rsidRPr="00A530E1" w:rsidTr="00F26741">
        <w:tc>
          <w:tcPr>
            <w:tcW w:w="4494" w:type="dxa"/>
            <w:tcBorders>
              <w:bottom w:val="single" w:sz="12" w:space="0" w:color="auto"/>
            </w:tcBorders>
            <w:shd w:val="clear" w:color="auto" w:fill="auto"/>
          </w:tcPr>
          <w:p w:rsidR="00D84B53" w:rsidRPr="00A530E1" w:rsidRDefault="00D84B53" w:rsidP="00F063C5">
            <w:pPr>
              <w:spacing w:before="40" w:after="120"/>
              <w:ind w:right="113"/>
            </w:pPr>
            <w:r w:rsidRPr="00A530E1">
              <w:t>Actions undertaken to raise awareness and inform persons with disabilities and other parts of society on the Convention and the rights it includes</w:t>
            </w:r>
          </w:p>
        </w:tc>
        <w:tc>
          <w:tcPr>
            <w:tcW w:w="5145" w:type="dxa"/>
            <w:tcBorders>
              <w:bottom w:val="single" w:sz="12" w:space="0" w:color="auto"/>
            </w:tcBorders>
            <w:shd w:val="clear" w:color="auto" w:fill="auto"/>
          </w:tcPr>
          <w:p w:rsidR="00D84B53" w:rsidRPr="00A530E1" w:rsidRDefault="00D84B53" w:rsidP="00F063C5">
            <w:pPr>
              <w:spacing w:before="40" w:after="120"/>
              <w:ind w:right="113"/>
            </w:pPr>
            <w:r w:rsidRPr="00A530E1">
              <w:t xml:space="preserve">Channel 56, which is broadcast by one of the largest cable television companies, leads the vanguard of inclusive communication by transmitting plenary sessions of </w:t>
            </w:r>
            <w:r w:rsidR="00F26741" w:rsidRPr="00A530E1">
              <w:t>congressional committees and other activities of Congress in sign language. It is the first and only channel in Peru with a staff of sign-language interpreters.</w:t>
            </w:r>
          </w:p>
        </w:tc>
      </w:tr>
    </w:tbl>
    <w:p w:rsidR="00D84B53" w:rsidRPr="00A530E1" w:rsidRDefault="00D84B53" w:rsidP="00D84B53">
      <w:pPr>
        <w:pStyle w:val="H23G"/>
      </w:pPr>
      <w:r w:rsidRPr="00A530E1">
        <w:tab/>
      </w:r>
      <w:bookmarkStart w:id="4" w:name="_Toc283209941"/>
      <w:r w:rsidRPr="00A530E1">
        <w:t>3.</w:t>
      </w:r>
      <w:r w:rsidRPr="00A530E1">
        <w:tab/>
        <w:t xml:space="preserve">Article 9: </w:t>
      </w:r>
      <w:bookmarkEnd w:id="4"/>
      <w:r w:rsidRPr="00A530E1">
        <w:t>Accessibility</w:t>
      </w:r>
    </w:p>
    <w:p w:rsidR="00D84B53" w:rsidRPr="00A530E1" w:rsidRDefault="00D84B53" w:rsidP="00D84B53">
      <w:pPr>
        <w:pStyle w:val="SingleTxtG"/>
      </w:pPr>
      <w:r w:rsidRPr="00A530E1">
        <w:t>61.</w:t>
      </w:r>
      <w:r w:rsidRPr="00A530E1">
        <w:tab/>
        <w:t>This article establishes the obligation of States parties to take appropriate measures to enable persons with disabilities to live as independently as possible and to participate fully in all aspects of life.</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494"/>
        <w:gridCol w:w="5145"/>
      </w:tblGrid>
      <w:tr w:rsidR="00D84B53" w:rsidRPr="00A530E1" w:rsidTr="00AF645F">
        <w:trPr>
          <w:tblHeader/>
        </w:trPr>
        <w:tc>
          <w:tcPr>
            <w:tcW w:w="4494" w:type="dxa"/>
            <w:tcBorders>
              <w:top w:val="single" w:sz="4" w:space="0" w:color="auto"/>
              <w:bottom w:val="single" w:sz="12" w:space="0" w:color="auto"/>
            </w:tcBorders>
            <w:shd w:val="clear" w:color="auto" w:fill="auto"/>
            <w:vAlign w:val="bottom"/>
          </w:tcPr>
          <w:p w:rsidR="00D84B53" w:rsidRPr="00A530E1" w:rsidRDefault="00D84B53" w:rsidP="00F063C5">
            <w:pPr>
              <w:spacing w:before="80" w:after="80" w:line="200" w:lineRule="exact"/>
              <w:ind w:right="113"/>
              <w:rPr>
                <w:i/>
                <w:sz w:val="16"/>
              </w:rPr>
            </w:pPr>
            <w:r w:rsidRPr="00A530E1">
              <w:rPr>
                <w:i/>
                <w:sz w:val="16"/>
              </w:rPr>
              <w:t>Report on</w:t>
            </w:r>
          </w:p>
        </w:tc>
        <w:tc>
          <w:tcPr>
            <w:tcW w:w="5145" w:type="dxa"/>
            <w:tcBorders>
              <w:top w:val="single" w:sz="4" w:space="0" w:color="auto"/>
              <w:bottom w:val="single" w:sz="12" w:space="0" w:color="auto"/>
            </w:tcBorders>
            <w:shd w:val="clear" w:color="auto" w:fill="auto"/>
            <w:vAlign w:val="bottom"/>
          </w:tcPr>
          <w:p w:rsidR="00D84B53" w:rsidRPr="00A530E1" w:rsidRDefault="00D84B53" w:rsidP="00F063C5">
            <w:pPr>
              <w:spacing w:before="80" w:after="80" w:line="200" w:lineRule="exact"/>
              <w:ind w:right="113"/>
              <w:rPr>
                <w:i/>
                <w:sz w:val="16"/>
              </w:rPr>
            </w:pPr>
            <w:r w:rsidRPr="00A530E1">
              <w:rPr>
                <w:i/>
                <w:sz w:val="16"/>
              </w:rPr>
              <w:t>Progress</w:t>
            </w:r>
          </w:p>
        </w:tc>
      </w:tr>
      <w:tr w:rsidR="00D84B53" w:rsidRPr="00A530E1" w:rsidTr="00AF645F">
        <w:trPr>
          <w:trHeight w:hRule="exact" w:val="113"/>
          <w:tblHeader/>
        </w:trPr>
        <w:tc>
          <w:tcPr>
            <w:tcW w:w="4494" w:type="dxa"/>
            <w:tcBorders>
              <w:top w:val="single" w:sz="12" w:space="0" w:color="auto"/>
            </w:tcBorders>
            <w:shd w:val="clear" w:color="auto" w:fill="auto"/>
          </w:tcPr>
          <w:p w:rsidR="00D84B53" w:rsidRPr="00A530E1" w:rsidRDefault="00D84B53" w:rsidP="00F063C5">
            <w:pPr>
              <w:spacing w:before="40" w:after="120"/>
              <w:ind w:right="113"/>
            </w:pPr>
          </w:p>
        </w:tc>
        <w:tc>
          <w:tcPr>
            <w:tcW w:w="5145" w:type="dxa"/>
            <w:tcBorders>
              <w:top w:val="single" w:sz="12" w:space="0" w:color="auto"/>
            </w:tcBorders>
            <w:shd w:val="clear" w:color="auto" w:fill="auto"/>
          </w:tcPr>
          <w:p w:rsidR="00D84B53" w:rsidRPr="00A530E1" w:rsidRDefault="00D84B53" w:rsidP="00F063C5">
            <w:pPr>
              <w:spacing w:before="40" w:after="120"/>
              <w:ind w:right="113"/>
            </w:pPr>
          </w:p>
        </w:tc>
      </w:tr>
      <w:tr w:rsidR="00D84B53" w:rsidRPr="00A530E1" w:rsidTr="00AF645F">
        <w:tc>
          <w:tcPr>
            <w:tcW w:w="4494" w:type="dxa"/>
            <w:shd w:val="clear" w:color="auto" w:fill="auto"/>
          </w:tcPr>
          <w:p w:rsidR="00D84B53" w:rsidRPr="00A530E1" w:rsidRDefault="00D84B53" w:rsidP="00F063C5">
            <w:pPr>
              <w:spacing w:before="40" w:after="120"/>
              <w:ind w:right="113"/>
            </w:pPr>
            <w:r w:rsidRPr="00A530E1">
              <w:t>Legislative and other measures taken to ensure to persons with disabilities, access on an equal basis with others to the physical environment (including the use of signal indicators and street signs), to transportation, information and communications, (including information and communications technologies and systems) and to other facilities and services provided to the public including by private entities, both in urban and in rural areas according to article 9, paragraphs 2 (b) to (h), of the Convention</w:t>
            </w:r>
          </w:p>
        </w:tc>
        <w:tc>
          <w:tcPr>
            <w:tcW w:w="5145" w:type="dxa"/>
            <w:shd w:val="clear" w:color="auto" w:fill="auto"/>
          </w:tcPr>
          <w:p w:rsidR="00291CCA" w:rsidRDefault="00D84B53" w:rsidP="00F063C5">
            <w:pPr>
              <w:spacing w:before="40" w:after="120"/>
              <w:ind w:right="113"/>
            </w:pPr>
            <w:r w:rsidRPr="00A530E1">
              <w:t>The technical standards approved by means of Supreme Decree No. 011-2006-VIVIENDA for inclusion in the national buildings regulations include Regulation A.120 on Accessibility for Persons with Disabilities, which incorporates the provisions set out in NTE A.060 and NTE U.190.</w:t>
            </w:r>
            <w:r w:rsidR="00291CCA" w:rsidRPr="00A530E1">
              <w:t xml:space="preserve"> </w:t>
            </w:r>
          </w:p>
          <w:p w:rsidR="00D84B53" w:rsidRPr="00A530E1" w:rsidRDefault="00291CCA" w:rsidP="00F063C5">
            <w:pPr>
              <w:spacing w:before="40" w:after="120"/>
              <w:ind w:right="113"/>
            </w:pPr>
            <w:r w:rsidRPr="00A530E1">
              <w:t>This standard establishes technical design specifications and requirements for the preparation of plans, the construction of buildings and the adaptation of existing structures, where possible, in order to make them accessible to persons with disabilities.</w:t>
            </w:r>
          </w:p>
        </w:tc>
      </w:tr>
      <w:tr w:rsidR="00D84B53" w:rsidRPr="00A530E1" w:rsidTr="00AF645F">
        <w:tc>
          <w:tcPr>
            <w:tcW w:w="4494" w:type="dxa"/>
            <w:shd w:val="clear" w:color="auto" w:fill="auto"/>
          </w:tcPr>
          <w:p w:rsidR="00D84B53" w:rsidRPr="00A530E1" w:rsidRDefault="00D84B53" w:rsidP="00F063C5">
            <w:pPr>
              <w:spacing w:before="40" w:after="120"/>
              <w:ind w:right="113"/>
            </w:pPr>
          </w:p>
        </w:tc>
        <w:tc>
          <w:tcPr>
            <w:tcW w:w="5145" w:type="dxa"/>
            <w:shd w:val="clear" w:color="auto" w:fill="auto"/>
          </w:tcPr>
          <w:p w:rsidR="00D84B53" w:rsidRPr="00A530E1" w:rsidRDefault="00D84B53" w:rsidP="00F063C5">
            <w:pPr>
              <w:spacing w:before="40" w:after="120"/>
              <w:ind w:right="113"/>
            </w:pPr>
            <w:r w:rsidRPr="00A530E1">
              <w:t>This regulation was published in 2006, but information concerning its provisions are disseminated at the national level on an ongoing basis. Technical building standards are also reviewed on a continuing basis to ensure that they are kept up to date. As part of this effort, in 2009 a portion of Regulation A.120 was modified, as was its title, which was changed to Accessibility for Persons with Disabilities and Older Adults, by Supreme Decree No. 010-2009-VIVIENDA.</w:t>
            </w:r>
          </w:p>
        </w:tc>
      </w:tr>
      <w:tr w:rsidR="00D84B53" w:rsidRPr="00A530E1" w:rsidTr="00AF645F">
        <w:tc>
          <w:tcPr>
            <w:tcW w:w="4494" w:type="dxa"/>
            <w:shd w:val="clear" w:color="auto" w:fill="auto"/>
          </w:tcPr>
          <w:p w:rsidR="00D84B53" w:rsidRPr="00A530E1" w:rsidRDefault="00D84B53" w:rsidP="00F063C5">
            <w:pPr>
              <w:spacing w:before="40" w:after="120"/>
              <w:ind w:right="113"/>
            </w:pPr>
          </w:p>
        </w:tc>
        <w:tc>
          <w:tcPr>
            <w:tcW w:w="5145" w:type="dxa"/>
            <w:shd w:val="clear" w:color="auto" w:fill="auto"/>
          </w:tcPr>
          <w:p w:rsidR="00D84B53" w:rsidRPr="00A530E1" w:rsidRDefault="00D84B53" w:rsidP="00D06987">
            <w:pPr>
              <w:pStyle w:val="Bullet1G"/>
              <w:tabs>
                <w:tab w:val="clear" w:pos="1701"/>
              </w:tabs>
              <w:spacing w:before="40"/>
              <w:ind w:left="170" w:right="113"/>
              <w:jc w:val="left"/>
            </w:pPr>
            <w:r w:rsidRPr="00A530E1">
              <w:t>The Technical Committee for the Regulation of Physical Accessibility was established. This committee, which includes representatives of various public and private institutions, will refer to international codes as a basis for drawing up technical standards to ensure that architectural structures and urban buildings are accessible to persons with disabilities.</w:t>
            </w:r>
          </w:p>
        </w:tc>
      </w:tr>
      <w:tr w:rsidR="00D84B53" w:rsidRPr="00A530E1" w:rsidTr="00AF645F">
        <w:tc>
          <w:tcPr>
            <w:tcW w:w="4494" w:type="dxa"/>
            <w:shd w:val="clear" w:color="auto" w:fill="auto"/>
          </w:tcPr>
          <w:p w:rsidR="00D84B53" w:rsidRPr="00A530E1" w:rsidRDefault="00D84B53" w:rsidP="00F063C5">
            <w:pPr>
              <w:spacing w:before="40" w:after="120"/>
              <w:ind w:right="113"/>
            </w:pPr>
          </w:p>
        </w:tc>
        <w:tc>
          <w:tcPr>
            <w:tcW w:w="5145" w:type="dxa"/>
            <w:shd w:val="clear" w:color="auto" w:fill="auto"/>
          </w:tcPr>
          <w:p w:rsidR="00D84B53" w:rsidRPr="00A530E1" w:rsidRDefault="00D84B53" w:rsidP="00F063C5">
            <w:pPr>
              <w:spacing w:before="40" w:after="120"/>
              <w:ind w:right="113"/>
            </w:pPr>
            <w:r w:rsidRPr="00A530E1">
              <w:t>It will be the committee’s job to establish the minimum design requirements for all means of transportation, the associated facilities and areas, and furnishings and equipment in order to ensure that they are suitable for use by persons with disabilities and that such persons will not encounter obstacles or barriers when engaging in individual or collective activities.</w:t>
            </w:r>
          </w:p>
        </w:tc>
      </w:tr>
      <w:tr w:rsidR="00D84B53" w:rsidRPr="00A530E1" w:rsidTr="00AF645F">
        <w:tc>
          <w:tcPr>
            <w:tcW w:w="4494" w:type="dxa"/>
            <w:shd w:val="clear" w:color="auto" w:fill="auto"/>
          </w:tcPr>
          <w:p w:rsidR="00D84B53" w:rsidRPr="00A530E1" w:rsidRDefault="00D84B53" w:rsidP="00F063C5">
            <w:pPr>
              <w:spacing w:before="40" w:after="120"/>
              <w:ind w:right="113"/>
            </w:pPr>
            <w:r w:rsidRPr="00A530E1">
              <w:t>Technical standards and guidelines for accessibility; as well as on the auditing of their fulfilment and sanctions for non-compliance; and whether resources obtained by means of money sanctions are applied to encourage accessibility actions</w:t>
            </w:r>
          </w:p>
        </w:tc>
        <w:tc>
          <w:tcPr>
            <w:tcW w:w="5145" w:type="dxa"/>
            <w:shd w:val="clear" w:color="auto" w:fill="auto"/>
          </w:tcPr>
          <w:p w:rsidR="00D84B53" w:rsidRPr="00A530E1" w:rsidRDefault="00D84B53" w:rsidP="00F063C5">
            <w:pPr>
              <w:spacing w:before="40" w:after="120"/>
              <w:ind w:right="113"/>
            </w:pPr>
            <w:r w:rsidRPr="00A530E1">
              <w:t>Contravention of the accessibility regulations applying to urban buildings and other infrastructure, with due consideration for the surrounding conditions, is classified as a serious breach of the Act on Offences and Penalties. This law also provides that the revenues from fines are to be used by CONADIS to fund the dissemination and furtherance of regulations on behalf of persons with disabilities.</w:t>
            </w:r>
          </w:p>
        </w:tc>
      </w:tr>
      <w:tr w:rsidR="00D84B53" w:rsidRPr="00A530E1" w:rsidTr="00AF645F">
        <w:tc>
          <w:tcPr>
            <w:tcW w:w="4494" w:type="dxa"/>
            <w:shd w:val="clear" w:color="auto" w:fill="auto"/>
          </w:tcPr>
          <w:p w:rsidR="00D84B53" w:rsidRPr="00A530E1" w:rsidRDefault="00D84B53" w:rsidP="00F063C5">
            <w:pPr>
              <w:spacing w:before="40" w:after="120"/>
              <w:ind w:right="113"/>
            </w:pPr>
            <w:r w:rsidRPr="00A530E1">
              <w:t>The use of public procurement provisions and other measures that establish compulsory accessibility requirements</w:t>
            </w:r>
          </w:p>
        </w:tc>
        <w:tc>
          <w:tcPr>
            <w:tcW w:w="5145" w:type="dxa"/>
            <w:shd w:val="clear" w:color="auto" w:fill="auto"/>
          </w:tcPr>
          <w:p w:rsidR="00D84B53" w:rsidRPr="00A530E1" w:rsidRDefault="00D84B53" w:rsidP="00F063C5">
            <w:pPr>
              <w:spacing w:before="40" w:after="120"/>
              <w:ind w:right="113"/>
            </w:pPr>
            <w:r w:rsidRPr="00A530E1">
              <w:t>The entry into force of the Act on Offences and Penalties will provide a suitable legal instrument for requiring construction works to meet disability accessibility standards.</w:t>
            </w:r>
          </w:p>
        </w:tc>
      </w:tr>
      <w:tr w:rsidR="00D84B53" w:rsidRPr="00A530E1" w:rsidTr="00AF645F">
        <w:tc>
          <w:tcPr>
            <w:tcW w:w="4494" w:type="dxa"/>
            <w:tcBorders>
              <w:bottom w:val="single" w:sz="12" w:space="0" w:color="auto"/>
            </w:tcBorders>
            <w:shd w:val="clear" w:color="auto" w:fill="auto"/>
          </w:tcPr>
          <w:p w:rsidR="00D84B53" w:rsidRPr="00A530E1" w:rsidRDefault="00D84B53" w:rsidP="00F063C5">
            <w:pPr>
              <w:spacing w:before="40" w:after="120"/>
              <w:ind w:right="113"/>
            </w:pPr>
            <w:r w:rsidRPr="00A530E1">
              <w:t>The identification and elimination of obstacles and barriers to accessibility including from both within the public and the private sector, and national accessibility plans established with clear targets and deadlines</w:t>
            </w:r>
          </w:p>
        </w:tc>
        <w:tc>
          <w:tcPr>
            <w:tcW w:w="5145" w:type="dxa"/>
            <w:tcBorders>
              <w:bottom w:val="single" w:sz="12" w:space="0" w:color="auto"/>
            </w:tcBorders>
            <w:shd w:val="clear" w:color="auto" w:fill="auto"/>
          </w:tcPr>
          <w:p w:rsidR="00D84B53" w:rsidRPr="00A530E1" w:rsidRDefault="00D84B53" w:rsidP="00F063C5">
            <w:pPr>
              <w:spacing w:before="40" w:after="120"/>
              <w:ind w:right="113"/>
            </w:pPr>
            <w:r w:rsidRPr="00A530E1">
              <w:t>Supreme Decree No. 027-2007-PCM set 30 per cent of all public buildings as the target figure for accessibility (one of three national policies on disability); that target was met during the first half of 2009. This year, the target was raised to 60 per cent.</w:t>
            </w:r>
          </w:p>
        </w:tc>
      </w:tr>
    </w:tbl>
    <w:p w:rsidR="00D84B53" w:rsidRPr="00A530E1" w:rsidRDefault="00D84B53" w:rsidP="00D84B53">
      <w:pPr>
        <w:pStyle w:val="H23G"/>
      </w:pPr>
      <w:bookmarkStart w:id="5" w:name="_Toc283209942"/>
      <w:r w:rsidRPr="00A530E1">
        <w:tab/>
        <w:t>4.</w:t>
      </w:r>
      <w:r w:rsidRPr="00A530E1">
        <w:tab/>
        <w:t>Article 10: Right to life</w:t>
      </w:r>
    </w:p>
    <w:bookmarkEnd w:id="5"/>
    <w:p w:rsidR="00D84B53" w:rsidRPr="00A530E1" w:rsidRDefault="00D84B53" w:rsidP="00D84B53">
      <w:pPr>
        <w:pStyle w:val="SingleTxtG"/>
      </w:pPr>
      <w:r w:rsidRPr="00A530E1">
        <w:t>62.</w:t>
      </w:r>
      <w:r w:rsidRPr="00A530E1">
        <w:tab/>
        <w:t>This article reaffirms that persons with disabilities enjoy the inherent right to life on an equal footing with other persons.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819"/>
        <w:gridCol w:w="4820"/>
      </w:tblGrid>
      <w:tr w:rsidR="00D84B53" w:rsidRPr="00A530E1" w:rsidTr="00F063C5">
        <w:trPr>
          <w:tblHeader/>
        </w:trPr>
        <w:tc>
          <w:tcPr>
            <w:tcW w:w="4819" w:type="dxa"/>
            <w:tcBorders>
              <w:top w:val="single" w:sz="4" w:space="0" w:color="auto"/>
              <w:bottom w:val="single" w:sz="12" w:space="0" w:color="auto"/>
            </w:tcBorders>
            <w:shd w:val="clear" w:color="auto" w:fill="auto"/>
            <w:vAlign w:val="bottom"/>
          </w:tcPr>
          <w:p w:rsidR="00D84B53" w:rsidRPr="00A530E1" w:rsidRDefault="00D84B53" w:rsidP="00F063C5">
            <w:pPr>
              <w:spacing w:before="80" w:after="80" w:line="200" w:lineRule="exact"/>
              <w:ind w:right="113"/>
              <w:rPr>
                <w:i/>
                <w:sz w:val="16"/>
              </w:rPr>
            </w:pPr>
            <w:r w:rsidRPr="00A530E1">
              <w:rPr>
                <w:i/>
                <w:sz w:val="16"/>
              </w:rPr>
              <w:t>Report on</w:t>
            </w:r>
          </w:p>
        </w:tc>
        <w:tc>
          <w:tcPr>
            <w:tcW w:w="4820" w:type="dxa"/>
            <w:tcBorders>
              <w:top w:val="single" w:sz="4" w:space="0" w:color="auto"/>
              <w:bottom w:val="single" w:sz="12" w:space="0" w:color="auto"/>
            </w:tcBorders>
            <w:shd w:val="clear" w:color="auto" w:fill="auto"/>
            <w:vAlign w:val="bottom"/>
          </w:tcPr>
          <w:p w:rsidR="00D84B53" w:rsidRPr="00A530E1" w:rsidRDefault="00D84B53" w:rsidP="00F063C5">
            <w:pPr>
              <w:spacing w:before="80" w:after="80" w:line="200" w:lineRule="exact"/>
              <w:ind w:right="113"/>
              <w:rPr>
                <w:i/>
                <w:sz w:val="16"/>
              </w:rPr>
            </w:pPr>
            <w:r w:rsidRPr="00A530E1">
              <w:rPr>
                <w:i/>
                <w:sz w:val="16"/>
              </w:rPr>
              <w:t>Progress</w:t>
            </w:r>
          </w:p>
        </w:tc>
      </w:tr>
      <w:tr w:rsidR="00D84B53" w:rsidRPr="00A530E1" w:rsidTr="00F063C5">
        <w:trPr>
          <w:trHeight w:hRule="exact" w:val="113"/>
          <w:tblHeader/>
        </w:trPr>
        <w:tc>
          <w:tcPr>
            <w:tcW w:w="4819" w:type="dxa"/>
            <w:tcBorders>
              <w:top w:val="single" w:sz="12" w:space="0" w:color="auto"/>
            </w:tcBorders>
            <w:shd w:val="clear" w:color="auto" w:fill="auto"/>
          </w:tcPr>
          <w:p w:rsidR="00D84B53" w:rsidRPr="00A530E1" w:rsidRDefault="00D84B53" w:rsidP="00F063C5">
            <w:pPr>
              <w:spacing w:before="40" w:after="120"/>
              <w:ind w:right="113"/>
            </w:pPr>
          </w:p>
        </w:tc>
        <w:tc>
          <w:tcPr>
            <w:tcW w:w="4820" w:type="dxa"/>
            <w:tcBorders>
              <w:top w:val="single" w:sz="12" w:space="0" w:color="auto"/>
            </w:tcBorders>
            <w:shd w:val="clear" w:color="auto" w:fill="auto"/>
          </w:tcPr>
          <w:p w:rsidR="00D84B53" w:rsidRPr="00A530E1" w:rsidRDefault="00D84B53" w:rsidP="00F063C5">
            <w:pPr>
              <w:spacing w:before="40" w:after="120"/>
              <w:ind w:right="113"/>
            </w:pPr>
          </w:p>
        </w:tc>
      </w:tr>
      <w:tr w:rsidR="00D84B53" w:rsidRPr="00A530E1" w:rsidTr="00F063C5">
        <w:tc>
          <w:tcPr>
            <w:tcW w:w="4819" w:type="dxa"/>
            <w:shd w:val="clear" w:color="auto" w:fill="auto"/>
          </w:tcPr>
          <w:p w:rsidR="00D84B53" w:rsidRPr="00A530E1" w:rsidRDefault="00D84B53" w:rsidP="00F063C5">
            <w:pPr>
              <w:spacing w:before="40" w:after="120"/>
              <w:ind w:right="113"/>
            </w:pPr>
            <w:r w:rsidRPr="00A530E1">
              <w:t>Whether the legislation recognizes and protects the right to life and survival of persons with disabilities on an equal basis with others</w:t>
            </w:r>
          </w:p>
        </w:tc>
        <w:tc>
          <w:tcPr>
            <w:tcW w:w="4820" w:type="dxa"/>
            <w:shd w:val="clear" w:color="auto" w:fill="auto"/>
          </w:tcPr>
          <w:p w:rsidR="00D84B53" w:rsidRPr="00A530E1" w:rsidRDefault="00D84B53" w:rsidP="00F063C5">
            <w:pPr>
              <w:spacing w:before="40" w:after="120"/>
              <w:ind w:right="113"/>
            </w:pPr>
            <w:r w:rsidRPr="00A530E1">
              <w:t>The Constitution of Peru establishes the fundamental rights of the person, which include the right of all persons to life, to their identity, to moral, physical and psychological integrity, and to their unrestricted development and well-being. The unborn child is a legal person insofar as that status is in his or her interest.</w:t>
            </w:r>
          </w:p>
        </w:tc>
      </w:tr>
      <w:tr w:rsidR="00D84B53" w:rsidRPr="00A530E1" w:rsidTr="006C2894">
        <w:tc>
          <w:tcPr>
            <w:tcW w:w="4819" w:type="dxa"/>
            <w:shd w:val="clear" w:color="auto" w:fill="auto"/>
          </w:tcPr>
          <w:p w:rsidR="00D84B53" w:rsidRPr="00A530E1" w:rsidRDefault="00D84B53" w:rsidP="00F063C5">
            <w:pPr>
              <w:spacing w:before="40" w:after="120"/>
              <w:ind w:right="113"/>
            </w:pPr>
            <w:r w:rsidRPr="00A530E1">
              <w:t>Whether persons with disabilities are being subject to arbitrary deprivation of life</w:t>
            </w:r>
          </w:p>
        </w:tc>
        <w:tc>
          <w:tcPr>
            <w:tcW w:w="4820" w:type="dxa"/>
            <w:shd w:val="clear" w:color="auto" w:fill="auto"/>
          </w:tcPr>
          <w:p w:rsidR="00D84B53" w:rsidRPr="00A530E1" w:rsidRDefault="00D84B53" w:rsidP="00F063C5">
            <w:pPr>
              <w:spacing w:before="40" w:after="120"/>
              <w:ind w:right="113"/>
            </w:pPr>
            <w:r w:rsidRPr="00A530E1">
              <w:t>With regard to all persons’ equality before the law, article 1 of the Constitution states that the defence of the human person and respect for the human person’s dignity are the supreme objective of society and the State.</w:t>
            </w:r>
          </w:p>
        </w:tc>
      </w:tr>
      <w:tr w:rsidR="003838CC" w:rsidRPr="00A530E1" w:rsidTr="006C2894">
        <w:trPr>
          <w:trHeight w:val="661"/>
        </w:trPr>
        <w:tc>
          <w:tcPr>
            <w:tcW w:w="4819" w:type="dxa"/>
            <w:tcBorders>
              <w:bottom w:val="single" w:sz="12" w:space="0" w:color="auto"/>
            </w:tcBorders>
            <w:shd w:val="clear" w:color="auto" w:fill="auto"/>
          </w:tcPr>
          <w:p w:rsidR="003838CC" w:rsidRPr="00A530E1" w:rsidRDefault="003838CC" w:rsidP="00F063C5">
            <w:pPr>
              <w:spacing w:before="40" w:after="120"/>
              <w:ind w:right="113"/>
            </w:pPr>
          </w:p>
        </w:tc>
        <w:tc>
          <w:tcPr>
            <w:tcW w:w="4820" w:type="dxa"/>
            <w:tcBorders>
              <w:bottom w:val="single" w:sz="12" w:space="0" w:color="auto"/>
            </w:tcBorders>
            <w:shd w:val="clear" w:color="auto" w:fill="auto"/>
          </w:tcPr>
          <w:p w:rsidR="003838CC" w:rsidRPr="00A530E1" w:rsidRDefault="003838CC" w:rsidP="00F063C5">
            <w:pPr>
              <w:spacing w:before="40" w:after="120"/>
              <w:ind w:right="113"/>
            </w:pPr>
            <w:r w:rsidRPr="00A530E1">
              <w:t xml:space="preserve">The independent agency that monitors compliance with the constitutional mandate of persons with disabilities is CONADIS. Within the legislature, the Special </w:t>
            </w:r>
            <w:r w:rsidR="006C2894" w:rsidRPr="00A530E1">
              <w:t>Commission on Disability is responsible for proposing legislation and monitoring its application throughout the country.</w:t>
            </w:r>
          </w:p>
        </w:tc>
      </w:tr>
    </w:tbl>
    <w:p w:rsidR="00901378" w:rsidRDefault="00901378" w:rsidP="00D84B53">
      <w:pPr>
        <w:pStyle w:val="H23G"/>
      </w:pPr>
    </w:p>
    <w:p w:rsidR="00D84B53" w:rsidRPr="00A530E1" w:rsidRDefault="00901378" w:rsidP="00D84B53">
      <w:pPr>
        <w:pStyle w:val="H23G"/>
      </w:pPr>
      <w:r>
        <w:br w:type="page"/>
      </w:r>
      <w:r w:rsidR="00D84B53" w:rsidRPr="00A530E1">
        <w:tab/>
      </w:r>
      <w:bookmarkStart w:id="6" w:name="_Toc283209943"/>
      <w:r w:rsidR="00D84B53" w:rsidRPr="00A530E1">
        <w:t>5.</w:t>
      </w:r>
      <w:r w:rsidR="00D84B53" w:rsidRPr="00A530E1">
        <w:tab/>
        <w:t xml:space="preserve">Article 11: </w:t>
      </w:r>
      <w:bookmarkEnd w:id="6"/>
      <w:r w:rsidR="00D84B53" w:rsidRPr="00A530E1">
        <w:t>Situations of risk and humanitarian emergencies</w:t>
      </w:r>
    </w:p>
    <w:p w:rsidR="00D84B53" w:rsidRPr="00A530E1" w:rsidRDefault="00D84B53" w:rsidP="00D84B53">
      <w:pPr>
        <w:pStyle w:val="SingleTxtG"/>
      </w:pPr>
      <w:r w:rsidRPr="00A530E1">
        <w:t>63.</w:t>
      </w:r>
      <w:r w:rsidRPr="00A530E1">
        <w:tab/>
        <w:t>States parties undertake to ensure the protection and safety of persons with disabilities in situations of risk, including situations of armed conflict, humanitarian emergencies and natural disasters.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819"/>
        <w:gridCol w:w="4820"/>
      </w:tblGrid>
      <w:tr w:rsidR="00D84B53" w:rsidRPr="00A530E1" w:rsidTr="00F063C5">
        <w:trPr>
          <w:tblHeader/>
        </w:trPr>
        <w:tc>
          <w:tcPr>
            <w:tcW w:w="4819" w:type="dxa"/>
            <w:tcBorders>
              <w:top w:val="single" w:sz="4" w:space="0" w:color="auto"/>
              <w:bottom w:val="single" w:sz="12" w:space="0" w:color="auto"/>
            </w:tcBorders>
            <w:shd w:val="clear" w:color="auto" w:fill="auto"/>
            <w:vAlign w:val="bottom"/>
          </w:tcPr>
          <w:p w:rsidR="00D84B53" w:rsidRPr="00A530E1" w:rsidRDefault="00D84B53" w:rsidP="00F063C5">
            <w:pPr>
              <w:spacing w:before="80" w:after="80" w:line="200" w:lineRule="exact"/>
              <w:ind w:right="113"/>
              <w:rPr>
                <w:i/>
                <w:sz w:val="16"/>
              </w:rPr>
            </w:pPr>
            <w:r w:rsidRPr="00A530E1">
              <w:rPr>
                <w:i/>
                <w:sz w:val="16"/>
              </w:rPr>
              <w:t>Report on</w:t>
            </w:r>
          </w:p>
        </w:tc>
        <w:tc>
          <w:tcPr>
            <w:tcW w:w="4820" w:type="dxa"/>
            <w:tcBorders>
              <w:top w:val="single" w:sz="4" w:space="0" w:color="auto"/>
              <w:bottom w:val="single" w:sz="12" w:space="0" w:color="auto"/>
            </w:tcBorders>
            <w:shd w:val="clear" w:color="auto" w:fill="auto"/>
            <w:vAlign w:val="bottom"/>
          </w:tcPr>
          <w:p w:rsidR="00D84B53" w:rsidRPr="00A530E1" w:rsidRDefault="00D84B53" w:rsidP="00F063C5">
            <w:pPr>
              <w:spacing w:before="80" w:after="80" w:line="200" w:lineRule="exact"/>
              <w:ind w:right="113"/>
              <w:rPr>
                <w:i/>
                <w:sz w:val="16"/>
              </w:rPr>
            </w:pPr>
            <w:r w:rsidRPr="00A530E1">
              <w:rPr>
                <w:i/>
                <w:sz w:val="16"/>
              </w:rPr>
              <w:t>Progress</w:t>
            </w:r>
          </w:p>
        </w:tc>
      </w:tr>
      <w:tr w:rsidR="00D84B53" w:rsidRPr="00A530E1" w:rsidTr="00F063C5">
        <w:trPr>
          <w:trHeight w:hRule="exact" w:val="113"/>
          <w:tblHeader/>
        </w:trPr>
        <w:tc>
          <w:tcPr>
            <w:tcW w:w="4819" w:type="dxa"/>
            <w:tcBorders>
              <w:top w:val="single" w:sz="12" w:space="0" w:color="auto"/>
            </w:tcBorders>
            <w:shd w:val="clear" w:color="auto" w:fill="auto"/>
          </w:tcPr>
          <w:p w:rsidR="00D84B53" w:rsidRPr="00A530E1" w:rsidRDefault="00D84B53" w:rsidP="00F063C5">
            <w:pPr>
              <w:spacing w:before="40" w:after="120"/>
              <w:ind w:right="113"/>
            </w:pPr>
          </w:p>
        </w:tc>
        <w:tc>
          <w:tcPr>
            <w:tcW w:w="4820" w:type="dxa"/>
            <w:tcBorders>
              <w:top w:val="single" w:sz="12" w:space="0" w:color="auto"/>
            </w:tcBorders>
            <w:shd w:val="clear" w:color="auto" w:fill="auto"/>
          </w:tcPr>
          <w:p w:rsidR="00D84B53" w:rsidRPr="00A530E1" w:rsidRDefault="00D84B53" w:rsidP="00F063C5">
            <w:pPr>
              <w:spacing w:before="40" w:after="120"/>
              <w:ind w:right="113"/>
            </w:pPr>
          </w:p>
        </w:tc>
      </w:tr>
      <w:tr w:rsidR="00D84B53" w:rsidRPr="00A530E1" w:rsidTr="004B717F">
        <w:tc>
          <w:tcPr>
            <w:tcW w:w="4819" w:type="dxa"/>
            <w:shd w:val="clear" w:color="auto" w:fill="auto"/>
          </w:tcPr>
          <w:p w:rsidR="00D84B53" w:rsidRPr="00A530E1" w:rsidRDefault="00D84B53" w:rsidP="00F063C5">
            <w:pPr>
              <w:spacing w:before="40" w:after="120"/>
              <w:ind w:right="113"/>
            </w:pPr>
            <w:r w:rsidRPr="00A530E1">
              <w:t>Any measures taken to ensure their protection and safety including measures taken to include persons with disabilities in national emergency protocols</w:t>
            </w:r>
          </w:p>
        </w:tc>
        <w:tc>
          <w:tcPr>
            <w:tcW w:w="4820" w:type="dxa"/>
            <w:shd w:val="clear" w:color="auto" w:fill="auto"/>
          </w:tcPr>
          <w:p w:rsidR="00D84B53" w:rsidRPr="00A530E1" w:rsidRDefault="00D84B53" w:rsidP="00F063C5">
            <w:pPr>
              <w:spacing w:before="40" w:after="120"/>
              <w:ind w:right="113"/>
            </w:pPr>
            <w:r w:rsidRPr="00A530E1">
              <w:t>The National Institute for Civil Defence (INDECI) issued Directive No. 002-2010-INDECI on provisions for persons with disabilities.</w:t>
            </w:r>
          </w:p>
        </w:tc>
      </w:tr>
      <w:tr w:rsidR="00D84B53" w:rsidRPr="00A530E1" w:rsidTr="004B717F">
        <w:tc>
          <w:tcPr>
            <w:tcW w:w="4819" w:type="dxa"/>
            <w:tcBorders>
              <w:bottom w:val="single" w:sz="12" w:space="0" w:color="auto"/>
            </w:tcBorders>
            <w:shd w:val="clear" w:color="auto" w:fill="auto"/>
          </w:tcPr>
          <w:p w:rsidR="00D84B53" w:rsidRPr="00A530E1" w:rsidRDefault="00D84B53" w:rsidP="00F063C5">
            <w:pPr>
              <w:spacing w:before="40" w:after="120"/>
              <w:ind w:right="113"/>
            </w:pPr>
            <w:r w:rsidRPr="00A530E1">
              <w:t>Measures taken to ensure that humanitarian aid relief is distributed in an accessible way to persons with disabilities caught in humanitarian emergency, in particular measures taken to ensure that sanitation and latrine facilities in emergency shelters and refugee camps are available and accessible for persons with disabilities</w:t>
            </w:r>
          </w:p>
        </w:tc>
        <w:tc>
          <w:tcPr>
            <w:tcW w:w="4820" w:type="dxa"/>
            <w:tcBorders>
              <w:bottom w:val="single" w:sz="12" w:space="0" w:color="auto"/>
            </w:tcBorders>
            <w:shd w:val="clear" w:color="auto" w:fill="auto"/>
          </w:tcPr>
          <w:p w:rsidR="00D84B53" w:rsidRDefault="00D84B53" w:rsidP="00D06987">
            <w:pPr>
              <w:pStyle w:val="Bullet1G"/>
              <w:tabs>
                <w:tab w:val="clear" w:pos="1701"/>
              </w:tabs>
              <w:spacing w:before="40"/>
              <w:ind w:left="170" w:right="113"/>
              <w:jc w:val="left"/>
            </w:pPr>
            <w:r w:rsidRPr="00A530E1">
              <w:t>As from this year, local governments have a budget line equivalent to one monthly UIT (approximately US$ 1,200) for the operation of offices to serve persons with disabilities; additional funds are to be made available during national emergencies.</w:t>
            </w:r>
          </w:p>
          <w:p w:rsidR="004B717F" w:rsidRPr="00A530E1" w:rsidRDefault="004B717F" w:rsidP="00D06987">
            <w:pPr>
              <w:pStyle w:val="Bullet1G"/>
              <w:tabs>
                <w:tab w:val="clear" w:pos="1701"/>
              </w:tabs>
              <w:spacing w:before="40"/>
              <w:ind w:left="170" w:right="113"/>
              <w:jc w:val="left"/>
            </w:pPr>
            <w:r w:rsidRPr="00A530E1">
              <w:t>A training event organized by the Ministry of Foreign Affairs entitled “International Forum: White Helmet Volunteers in Peru”, focused on the experiences of Peru and Argentina in this area. The Argentine White Helmets Initiative was used as a disaster management model. The subject matter covered during the event was “Gender, older adults and persons with disabilities in risk and disaster management”.</w:t>
            </w:r>
          </w:p>
        </w:tc>
      </w:tr>
    </w:tbl>
    <w:p w:rsidR="00D84B53" w:rsidRPr="00A530E1" w:rsidRDefault="00D84B53" w:rsidP="00D84B53">
      <w:pPr>
        <w:pStyle w:val="H23G"/>
      </w:pPr>
      <w:r w:rsidRPr="00A530E1">
        <w:tab/>
      </w:r>
      <w:bookmarkStart w:id="7" w:name="_Toc283209944"/>
      <w:r w:rsidRPr="00A530E1">
        <w:t>6.</w:t>
      </w:r>
      <w:r w:rsidRPr="00A530E1">
        <w:tab/>
        <w:t xml:space="preserve">Article 12: </w:t>
      </w:r>
      <w:bookmarkEnd w:id="7"/>
      <w:r w:rsidRPr="00A530E1">
        <w:t>Equal recognition before the law</w:t>
      </w:r>
    </w:p>
    <w:p w:rsidR="00D84B53" w:rsidRPr="00A530E1" w:rsidRDefault="00D84B53" w:rsidP="00D84B53">
      <w:pPr>
        <w:pStyle w:val="SingleTxtG"/>
      </w:pPr>
      <w:r w:rsidRPr="00A530E1">
        <w:t>64.</w:t>
      </w:r>
      <w:r w:rsidRPr="00A530E1">
        <w:tab/>
        <w:t>This article reaffirms that persons with disabilities have the right to recognition as persons before the law.</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819"/>
        <w:gridCol w:w="4820"/>
      </w:tblGrid>
      <w:tr w:rsidR="00D84B53" w:rsidRPr="00A530E1" w:rsidTr="00F063C5">
        <w:trPr>
          <w:tblHeader/>
        </w:trPr>
        <w:tc>
          <w:tcPr>
            <w:tcW w:w="4819" w:type="dxa"/>
            <w:tcBorders>
              <w:top w:val="single" w:sz="4" w:space="0" w:color="auto"/>
              <w:bottom w:val="single" w:sz="12" w:space="0" w:color="auto"/>
            </w:tcBorders>
            <w:shd w:val="clear" w:color="auto" w:fill="auto"/>
            <w:vAlign w:val="bottom"/>
          </w:tcPr>
          <w:p w:rsidR="00D84B53" w:rsidRPr="00A530E1" w:rsidRDefault="00D84B53" w:rsidP="00F063C5">
            <w:pPr>
              <w:spacing w:before="80" w:after="80" w:line="200" w:lineRule="exact"/>
              <w:ind w:right="113"/>
              <w:rPr>
                <w:i/>
                <w:sz w:val="16"/>
              </w:rPr>
            </w:pPr>
            <w:r w:rsidRPr="00A530E1">
              <w:rPr>
                <w:i/>
                <w:sz w:val="16"/>
              </w:rPr>
              <w:t>Report on</w:t>
            </w:r>
          </w:p>
        </w:tc>
        <w:tc>
          <w:tcPr>
            <w:tcW w:w="4820" w:type="dxa"/>
            <w:tcBorders>
              <w:top w:val="single" w:sz="4" w:space="0" w:color="auto"/>
              <w:bottom w:val="single" w:sz="12" w:space="0" w:color="auto"/>
            </w:tcBorders>
            <w:shd w:val="clear" w:color="auto" w:fill="auto"/>
            <w:vAlign w:val="bottom"/>
          </w:tcPr>
          <w:p w:rsidR="00D84B53" w:rsidRPr="00A530E1" w:rsidRDefault="00D84B53" w:rsidP="00F063C5">
            <w:pPr>
              <w:spacing w:before="80" w:after="80" w:line="200" w:lineRule="exact"/>
              <w:ind w:right="113"/>
              <w:rPr>
                <w:i/>
                <w:sz w:val="16"/>
              </w:rPr>
            </w:pPr>
            <w:r w:rsidRPr="00A530E1">
              <w:rPr>
                <w:i/>
                <w:sz w:val="16"/>
              </w:rPr>
              <w:t>Progress</w:t>
            </w:r>
          </w:p>
        </w:tc>
      </w:tr>
      <w:tr w:rsidR="00D84B53" w:rsidRPr="00A530E1" w:rsidTr="00F063C5">
        <w:trPr>
          <w:trHeight w:hRule="exact" w:val="113"/>
          <w:tblHeader/>
        </w:trPr>
        <w:tc>
          <w:tcPr>
            <w:tcW w:w="4819" w:type="dxa"/>
            <w:tcBorders>
              <w:top w:val="single" w:sz="12" w:space="0" w:color="auto"/>
            </w:tcBorders>
            <w:shd w:val="clear" w:color="auto" w:fill="auto"/>
          </w:tcPr>
          <w:p w:rsidR="00D84B53" w:rsidRPr="00A530E1" w:rsidRDefault="00D84B53" w:rsidP="00F063C5">
            <w:pPr>
              <w:spacing w:before="40" w:after="120"/>
              <w:ind w:right="113"/>
            </w:pPr>
          </w:p>
        </w:tc>
        <w:tc>
          <w:tcPr>
            <w:tcW w:w="4820" w:type="dxa"/>
            <w:tcBorders>
              <w:top w:val="single" w:sz="12" w:space="0" w:color="auto"/>
            </w:tcBorders>
            <w:shd w:val="clear" w:color="auto" w:fill="auto"/>
          </w:tcPr>
          <w:p w:rsidR="00D84B53" w:rsidRPr="00A530E1" w:rsidRDefault="00D84B53" w:rsidP="00F063C5">
            <w:pPr>
              <w:spacing w:before="40" w:after="120"/>
              <w:ind w:right="113"/>
            </w:pPr>
          </w:p>
        </w:tc>
      </w:tr>
      <w:tr w:rsidR="00D84B53" w:rsidRPr="00A530E1" w:rsidTr="00F063C5">
        <w:tc>
          <w:tcPr>
            <w:tcW w:w="4819" w:type="dxa"/>
            <w:shd w:val="clear" w:color="auto" w:fill="auto"/>
          </w:tcPr>
          <w:p w:rsidR="00D84B53" w:rsidRPr="00A530E1" w:rsidRDefault="00D84B53" w:rsidP="00F063C5">
            <w:pPr>
              <w:spacing w:before="40" w:after="120"/>
              <w:ind w:right="113"/>
            </w:pPr>
            <w:r w:rsidRPr="00A530E1">
              <w:t>Measures taken by the State party to ensure that persons with disabilities enjoy legal capacity on an equal basis with others in all aspects of life, in particular such measures as to ensure the equal right of persons with disabilities to maintain their physical and mental integrity, full participation as citizens, own or inherit property, to control their own financial affairs and to have equal access to bank loans, mortgages and other forms of financial credit, and their right not to be arbitrarily deprived of their property</w:t>
            </w:r>
          </w:p>
        </w:tc>
        <w:tc>
          <w:tcPr>
            <w:tcW w:w="4820" w:type="dxa"/>
            <w:shd w:val="clear" w:color="auto" w:fill="auto"/>
          </w:tcPr>
          <w:p w:rsidR="00D84B53" w:rsidRDefault="00D84B53" w:rsidP="00F063C5">
            <w:pPr>
              <w:spacing w:before="40" w:after="120"/>
              <w:ind w:right="113"/>
            </w:pPr>
            <w:r w:rsidRPr="00A530E1">
              <w:t>In order to ensure respect for the fundamental rights of deaf and deaf-blind persons and the full and unhindered exercise of those rights, CONADIS has submitted a bill that would amend articles 43, 241 and 274 of the Civil Code as they relate to the ability of persons with disabilities to express their will unequivocally. The bill is currently under consideration.</w:t>
            </w:r>
          </w:p>
          <w:p w:rsidR="004B717F" w:rsidRPr="00A530E1" w:rsidRDefault="004B717F" w:rsidP="00F063C5">
            <w:pPr>
              <w:spacing w:before="40" w:after="120"/>
              <w:ind w:right="113"/>
            </w:pPr>
            <w:r w:rsidRPr="00A530E1">
              <w:t>The above articles of the Civil Code provide that deaf mutes, the deaf-blind and blind-mute persons that are absolutely incapable of expressing their will unequivocally because of their disability may not marry and that such an inability constitutes grounds for annulment</w:t>
            </w:r>
          </w:p>
        </w:tc>
      </w:tr>
      <w:tr w:rsidR="00D84B53" w:rsidRPr="00A530E1" w:rsidTr="00F063C5">
        <w:tc>
          <w:tcPr>
            <w:tcW w:w="4819" w:type="dxa"/>
            <w:shd w:val="clear" w:color="auto" w:fill="auto"/>
          </w:tcPr>
          <w:p w:rsidR="00D84B53" w:rsidRPr="00A530E1" w:rsidRDefault="00D84B53" w:rsidP="00F063C5">
            <w:pPr>
              <w:spacing w:before="40" w:after="120"/>
              <w:ind w:right="113"/>
            </w:pPr>
            <w:r w:rsidRPr="00A530E1">
              <w:t>Whether legislation does or does not exist which restricts the full legal capacity on the basis of disability, as well as actions being taken towards conformity with article 12 of the Convention</w:t>
            </w:r>
          </w:p>
        </w:tc>
        <w:tc>
          <w:tcPr>
            <w:tcW w:w="4820" w:type="dxa"/>
            <w:shd w:val="clear" w:color="auto" w:fill="auto"/>
          </w:tcPr>
          <w:p w:rsidR="00D84B53" w:rsidRPr="00A530E1" w:rsidRDefault="00D84B53" w:rsidP="00F063C5">
            <w:pPr>
              <w:spacing w:before="40" w:after="120"/>
              <w:ind w:right="113"/>
            </w:pPr>
            <w:r w:rsidRPr="00A530E1">
              <w:t>Initiatives such as those described in the preceding entry are aimed at making the necessary amendments to domestic laws to ensure the effective inclusion of persons with disabilities in society. They are undertaken in the light of international recommendations concerning changes in legislation, social affairs, education, labour and any other measure required to do away with discrimination of any kind.</w:t>
            </w:r>
          </w:p>
        </w:tc>
      </w:tr>
      <w:tr w:rsidR="00D84B53" w:rsidRPr="00A530E1" w:rsidTr="00F063C5">
        <w:tc>
          <w:tcPr>
            <w:tcW w:w="4819" w:type="dxa"/>
            <w:shd w:val="clear" w:color="auto" w:fill="auto"/>
          </w:tcPr>
          <w:p w:rsidR="00D84B53" w:rsidRPr="00A530E1" w:rsidRDefault="00D84B53" w:rsidP="00F063C5">
            <w:pPr>
              <w:spacing w:before="40" w:after="120"/>
              <w:ind w:right="113"/>
            </w:pPr>
            <w:r w:rsidRPr="00A530E1">
              <w:t>The support available to persons with disabilities to exercise their legal capacity and manage their financial affairs</w:t>
            </w:r>
          </w:p>
        </w:tc>
        <w:tc>
          <w:tcPr>
            <w:tcW w:w="4820" w:type="dxa"/>
            <w:shd w:val="clear" w:color="auto" w:fill="auto"/>
          </w:tcPr>
          <w:p w:rsidR="00D84B53" w:rsidRPr="00A530E1" w:rsidRDefault="00D84B53" w:rsidP="00F063C5">
            <w:pPr>
              <w:spacing w:before="40" w:after="120"/>
              <w:ind w:right="113"/>
            </w:pPr>
            <w:r w:rsidRPr="00A530E1">
              <w:t>The Banco de la Nación has launched its new web portal [www.bn.com.pe]. This is the only Peruvian bank website that meets international standards for accessible navigation by persons with visual disabilities. The Banco de la Nación is thus the first public-sector institution at the national level to be in compliance with Act No. 28530 and Ministerial Decision No. 126-2009-PCM, which establish that the web pages of State institutions should be fully accessible.</w:t>
            </w:r>
          </w:p>
        </w:tc>
      </w:tr>
      <w:tr w:rsidR="00D84B53" w:rsidRPr="00A530E1" w:rsidTr="00F063C5">
        <w:tc>
          <w:tcPr>
            <w:tcW w:w="4819" w:type="dxa"/>
            <w:shd w:val="clear" w:color="auto" w:fill="auto"/>
          </w:tcPr>
          <w:p w:rsidR="00D84B53" w:rsidRPr="00A530E1" w:rsidRDefault="00D84B53" w:rsidP="00F063C5">
            <w:pPr>
              <w:spacing w:before="40" w:after="120"/>
              <w:ind w:right="113"/>
            </w:pPr>
          </w:p>
        </w:tc>
        <w:tc>
          <w:tcPr>
            <w:tcW w:w="4820" w:type="dxa"/>
            <w:shd w:val="clear" w:color="auto" w:fill="auto"/>
          </w:tcPr>
          <w:p w:rsidR="00D84B53" w:rsidRPr="00A530E1" w:rsidRDefault="00D84B53" w:rsidP="00F063C5">
            <w:pPr>
              <w:spacing w:before="40" w:after="120"/>
              <w:ind w:right="113"/>
            </w:pPr>
            <w:r w:rsidRPr="00A530E1">
              <w:t>The new institutional web portal of the Banco de la Nación permits non-sighted persons, low-vision persons and older adults to use personal computers, mobile telephones, Blackberries, PDAs and other such devices to access products and services, procedures and operations more easily and quickly using sight- or hearing aided screen-reading software.</w:t>
            </w:r>
          </w:p>
        </w:tc>
      </w:tr>
      <w:tr w:rsidR="00D84B53" w:rsidRPr="00A530E1" w:rsidTr="00F063C5">
        <w:tc>
          <w:tcPr>
            <w:tcW w:w="4819" w:type="dxa"/>
            <w:shd w:val="clear" w:color="auto" w:fill="auto"/>
          </w:tcPr>
          <w:p w:rsidR="00D84B53" w:rsidRPr="00A530E1" w:rsidRDefault="00D84B53" w:rsidP="00F063C5">
            <w:pPr>
              <w:spacing w:before="40" w:after="120"/>
              <w:ind w:right="113"/>
            </w:pPr>
            <w:r w:rsidRPr="00A530E1">
              <w:t>The existence of safeguards against abuse of supported decision-making models</w:t>
            </w:r>
          </w:p>
        </w:tc>
        <w:tc>
          <w:tcPr>
            <w:tcW w:w="4820" w:type="dxa"/>
            <w:shd w:val="clear" w:color="auto" w:fill="auto"/>
          </w:tcPr>
          <w:p w:rsidR="00D84B53" w:rsidRPr="00A530E1" w:rsidRDefault="00D84B53" w:rsidP="00F063C5">
            <w:pPr>
              <w:spacing w:before="40" w:after="120"/>
              <w:ind w:right="113"/>
            </w:pPr>
            <w:r w:rsidRPr="00A530E1">
              <w:t>Such measures have been incorporated into the process of aligning national laws and regulations with the Convention; this process has been programmed as part of the CONADIS institutional operating plan for 2010.</w:t>
            </w:r>
          </w:p>
        </w:tc>
      </w:tr>
      <w:tr w:rsidR="00D84B53" w:rsidRPr="00A530E1" w:rsidTr="00F063C5">
        <w:tc>
          <w:tcPr>
            <w:tcW w:w="4819" w:type="dxa"/>
            <w:shd w:val="clear" w:color="auto" w:fill="auto"/>
          </w:tcPr>
          <w:p w:rsidR="00D84B53" w:rsidRPr="00A530E1" w:rsidRDefault="00D84B53" w:rsidP="00F063C5">
            <w:pPr>
              <w:spacing w:before="40" w:after="120"/>
              <w:ind w:right="113"/>
            </w:pPr>
            <w:r w:rsidRPr="00A530E1">
              <w:t>Awareness-raising, and education campaigns in relation to equal recognition of all persons with disabilities before the law</w:t>
            </w:r>
          </w:p>
        </w:tc>
        <w:tc>
          <w:tcPr>
            <w:tcW w:w="4820" w:type="dxa"/>
            <w:shd w:val="clear" w:color="auto" w:fill="auto"/>
          </w:tcPr>
          <w:p w:rsidR="00D84B53" w:rsidRPr="00A530E1" w:rsidRDefault="00D84B53" w:rsidP="00F063C5">
            <w:pPr>
              <w:spacing w:before="40" w:after="120"/>
              <w:ind w:right="113"/>
            </w:pPr>
            <w:r w:rsidRPr="00A530E1">
              <w:t>In its 2009 human development report on Peru, UNDP suggests that an analysis of the effectiveness of the State in terms of basic service delivery should be supplemented with an analysis of other services, such as those connected with the justice system, with a view to arriving at an assessment of more advanced stages of State service delivery, which, once reached, would contribute to a more inclusive and equitable form of development for the country as a whole.</w:t>
            </w:r>
          </w:p>
        </w:tc>
      </w:tr>
      <w:tr w:rsidR="00D84B53" w:rsidRPr="00A530E1" w:rsidTr="00F063C5">
        <w:tc>
          <w:tcPr>
            <w:tcW w:w="4819" w:type="dxa"/>
            <w:tcBorders>
              <w:bottom w:val="single" w:sz="12" w:space="0" w:color="auto"/>
            </w:tcBorders>
            <w:shd w:val="clear" w:color="auto" w:fill="auto"/>
          </w:tcPr>
          <w:p w:rsidR="00D84B53" w:rsidRPr="00A530E1" w:rsidRDefault="00D84B53" w:rsidP="00F063C5">
            <w:pPr>
              <w:spacing w:before="40" w:after="120"/>
              <w:ind w:right="113"/>
            </w:pPr>
          </w:p>
        </w:tc>
        <w:tc>
          <w:tcPr>
            <w:tcW w:w="4820" w:type="dxa"/>
            <w:tcBorders>
              <w:bottom w:val="single" w:sz="12" w:space="0" w:color="auto"/>
            </w:tcBorders>
            <w:shd w:val="clear" w:color="auto" w:fill="auto"/>
          </w:tcPr>
          <w:p w:rsidR="00D84B53" w:rsidRPr="00A530E1" w:rsidRDefault="00D84B53" w:rsidP="00F063C5">
            <w:pPr>
              <w:spacing w:before="40" w:after="120"/>
              <w:ind w:right="113"/>
            </w:pPr>
            <w:r w:rsidRPr="00A530E1">
              <w:t>We would add that, in line with the modest but nonetheless valuable contribution made by this report, these services will have to be incorporated into a budget structure that provides for the monitoring of outcomes using cross-sectoral benchmarks.</w:t>
            </w:r>
          </w:p>
        </w:tc>
      </w:tr>
    </w:tbl>
    <w:p w:rsidR="00901378" w:rsidRDefault="00901378" w:rsidP="00D84B53">
      <w:pPr>
        <w:pStyle w:val="H23G"/>
      </w:pPr>
    </w:p>
    <w:p w:rsidR="00D84B53" w:rsidRPr="00A530E1" w:rsidRDefault="00901378" w:rsidP="00D84B53">
      <w:pPr>
        <w:pStyle w:val="H23G"/>
      </w:pPr>
      <w:r>
        <w:br w:type="page"/>
      </w:r>
      <w:r w:rsidR="00D84B53" w:rsidRPr="00A530E1">
        <w:tab/>
      </w:r>
      <w:bookmarkStart w:id="8" w:name="_Toc283209945"/>
      <w:r w:rsidR="00D84B53" w:rsidRPr="00A530E1">
        <w:t>7.</w:t>
      </w:r>
      <w:r w:rsidR="00D84B53" w:rsidRPr="00A530E1">
        <w:tab/>
        <w:t xml:space="preserve">Article 13: </w:t>
      </w:r>
      <w:bookmarkEnd w:id="8"/>
      <w:r w:rsidR="00D84B53" w:rsidRPr="00A530E1">
        <w:t>Access to justice</w:t>
      </w:r>
    </w:p>
    <w:p w:rsidR="00D84B53" w:rsidRPr="00A530E1" w:rsidRDefault="00D84B53" w:rsidP="00D84B53">
      <w:pPr>
        <w:pStyle w:val="SingleTxtG"/>
      </w:pPr>
      <w:r w:rsidRPr="00A530E1">
        <w:t>65.</w:t>
      </w:r>
      <w:r w:rsidRPr="00A530E1">
        <w:tab/>
        <w:t>This article recognizes the right of persons with disabilities to have effective access to justice on an equal basis with others and to not be excluded from legal proceedings.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819"/>
        <w:gridCol w:w="4820"/>
      </w:tblGrid>
      <w:tr w:rsidR="00D84B53" w:rsidRPr="00A530E1" w:rsidTr="00F063C5">
        <w:trPr>
          <w:tblHeader/>
        </w:trPr>
        <w:tc>
          <w:tcPr>
            <w:tcW w:w="4819" w:type="dxa"/>
            <w:tcBorders>
              <w:top w:val="single" w:sz="4" w:space="0" w:color="auto"/>
              <w:bottom w:val="single" w:sz="12" w:space="0" w:color="auto"/>
            </w:tcBorders>
            <w:shd w:val="clear" w:color="auto" w:fill="auto"/>
            <w:vAlign w:val="bottom"/>
          </w:tcPr>
          <w:p w:rsidR="00D84B53" w:rsidRPr="00A530E1" w:rsidRDefault="00D84B53" w:rsidP="00F063C5">
            <w:pPr>
              <w:spacing w:before="80" w:after="80" w:line="200" w:lineRule="exact"/>
              <w:ind w:right="113"/>
              <w:rPr>
                <w:i/>
                <w:sz w:val="16"/>
              </w:rPr>
            </w:pPr>
            <w:r w:rsidRPr="00A530E1">
              <w:rPr>
                <w:i/>
                <w:sz w:val="16"/>
              </w:rPr>
              <w:t>Report on</w:t>
            </w:r>
          </w:p>
        </w:tc>
        <w:tc>
          <w:tcPr>
            <w:tcW w:w="4820" w:type="dxa"/>
            <w:tcBorders>
              <w:top w:val="single" w:sz="4" w:space="0" w:color="auto"/>
              <w:bottom w:val="single" w:sz="12" w:space="0" w:color="auto"/>
            </w:tcBorders>
            <w:shd w:val="clear" w:color="auto" w:fill="auto"/>
            <w:vAlign w:val="bottom"/>
          </w:tcPr>
          <w:p w:rsidR="00D84B53" w:rsidRPr="00A530E1" w:rsidRDefault="00D84B53" w:rsidP="00F063C5">
            <w:pPr>
              <w:spacing w:before="80" w:after="80" w:line="200" w:lineRule="exact"/>
              <w:ind w:right="113"/>
              <w:rPr>
                <w:i/>
                <w:sz w:val="16"/>
              </w:rPr>
            </w:pPr>
            <w:r w:rsidRPr="00A530E1">
              <w:rPr>
                <w:i/>
                <w:sz w:val="16"/>
              </w:rPr>
              <w:t>Progress</w:t>
            </w:r>
          </w:p>
        </w:tc>
      </w:tr>
      <w:tr w:rsidR="00D84B53" w:rsidRPr="00A530E1" w:rsidTr="00F063C5">
        <w:trPr>
          <w:trHeight w:hRule="exact" w:val="113"/>
          <w:tblHeader/>
        </w:trPr>
        <w:tc>
          <w:tcPr>
            <w:tcW w:w="4819" w:type="dxa"/>
            <w:tcBorders>
              <w:top w:val="single" w:sz="12" w:space="0" w:color="auto"/>
            </w:tcBorders>
            <w:shd w:val="clear" w:color="auto" w:fill="auto"/>
          </w:tcPr>
          <w:p w:rsidR="00D84B53" w:rsidRPr="00A530E1" w:rsidRDefault="00D84B53" w:rsidP="00F063C5">
            <w:pPr>
              <w:spacing w:before="40" w:after="120"/>
              <w:ind w:right="113"/>
            </w:pPr>
          </w:p>
        </w:tc>
        <w:tc>
          <w:tcPr>
            <w:tcW w:w="4820" w:type="dxa"/>
            <w:tcBorders>
              <w:top w:val="single" w:sz="12" w:space="0" w:color="auto"/>
            </w:tcBorders>
            <w:shd w:val="clear" w:color="auto" w:fill="auto"/>
          </w:tcPr>
          <w:p w:rsidR="00D84B53" w:rsidRPr="00A530E1" w:rsidRDefault="00D84B53" w:rsidP="00F063C5">
            <w:pPr>
              <w:spacing w:before="40" w:after="120"/>
              <w:ind w:right="113"/>
            </w:pPr>
          </w:p>
        </w:tc>
      </w:tr>
      <w:tr w:rsidR="00D84B53" w:rsidRPr="00A530E1" w:rsidTr="00F063C5">
        <w:tc>
          <w:tcPr>
            <w:tcW w:w="4819" w:type="dxa"/>
            <w:shd w:val="clear" w:color="auto" w:fill="auto"/>
          </w:tcPr>
          <w:p w:rsidR="00D84B53" w:rsidRPr="00A530E1" w:rsidRDefault="00D84B53" w:rsidP="00F063C5">
            <w:pPr>
              <w:spacing w:before="40" w:after="120"/>
              <w:ind w:right="113"/>
            </w:pPr>
            <w:r w:rsidRPr="00A530E1">
              <w:t>Measures taken to ensure the effective access to justice at all stages of the legal process, including investigative and other preliminary stages, by all persons with disabilities</w:t>
            </w:r>
          </w:p>
        </w:tc>
        <w:tc>
          <w:tcPr>
            <w:tcW w:w="4820" w:type="dxa"/>
            <w:shd w:val="clear" w:color="auto" w:fill="auto"/>
          </w:tcPr>
          <w:p w:rsidR="00D84B53" w:rsidRPr="00A530E1" w:rsidRDefault="00D84B53" w:rsidP="00D06987">
            <w:pPr>
              <w:pStyle w:val="Bullet1G"/>
              <w:tabs>
                <w:tab w:val="clear" w:pos="1701"/>
              </w:tabs>
              <w:spacing w:before="40"/>
              <w:ind w:left="170" w:right="113"/>
              <w:jc w:val="left"/>
            </w:pPr>
            <w:r w:rsidRPr="00A530E1">
              <w:t>The new Code of Criminal Procedure is designed to make legal proceedings less costly and to expedite them, which will work to the benefit of the State, defendants, aggrieved parties and court officials.</w:t>
            </w:r>
          </w:p>
        </w:tc>
      </w:tr>
      <w:tr w:rsidR="00D84B53" w:rsidRPr="00A530E1" w:rsidTr="00F063C5">
        <w:tc>
          <w:tcPr>
            <w:tcW w:w="4819" w:type="dxa"/>
            <w:shd w:val="clear" w:color="auto" w:fill="auto"/>
          </w:tcPr>
          <w:p w:rsidR="00D84B53" w:rsidRPr="00A530E1" w:rsidRDefault="00D84B53" w:rsidP="00F063C5">
            <w:pPr>
              <w:spacing w:before="40" w:after="120"/>
              <w:ind w:right="113"/>
            </w:pPr>
          </w:p>
        </w:tc>
        <w:tc>
          <w:tcPr>
            <w:tcW w:w="4820" w:type="dxa"/>
            <w:shd w:val="clear" w:color="auto" w:fill="auto"/>
          </w:tcPr>
          <w:p w:rsidR="00D84B53" w:rsidRPr="00A530E1" w:rsidRDefault="00D84B53" w:rsidP="00D06987">
            <w:pPr>
              <w:pStyle w:val="Bullet1G"/>
              <w:tabs>
                <w:tab w:val="clear" w:pos="1701"/>
              </w:tabs>
              <w:spacing w:before="40"/>
              <w:ind w:left="170" w:right="113"/>
              <w:jc w:val="left"/>
            </w:pPr>
            <w:r w:rsidRPr="00A530E1">
              <w:t>Act No. 29392 on Offences and Penalties for Non-Compliance with the Omnibus Act on Persons with Disabilities sets fines for public agencies that infringe accessibility regulations. The purpose of these fines is to promote the unhindered physical movement of persons with disabilities who make use of the services of the Peruvian judicial system.</w:t>
            </w:r>
          </w:p>
        </w:tc>
      </w:tr>
      <w:tr w:rsidR="00D84B53" w:rsidRPr="00A530E1" w:rsidTr="00F063C5">
        <w:tc>
          <w:tcPr>
            <w:tcW w:w="4819" w:type="dxa"/>
            <w:shd w:val="clear" w:color="auto" w:fill="auto"/>
          </w:tcPr>
          <w:p w:rsidR="00D84B53" w:rsidRPr="00A530E1" w:rsidRDefault="00D84B53" w:rsidP="00F063C5">
            <w:pPr>
              <w:spacing w:before="40" w:after="120"/>
              <w:ind w:right="113"/>
            </w:pPr>
            <w:r w:rsidRPr="00A530E1">
              <w:t>Measures taken to ensure effective training of personnel in the national justice and prison system, in the respect for the rights of persons with disabilities</w:t>
            </w:r>
          </w:p>
        </w:tc>
        <w:tc>
          <w:tcPr>
            <w:tcW w:w="4820" w:type="dxa"/>
            <w:shd w:val="clear" w:color="auto" w:fill="auto"/>
          </w:tcPr>
          <w:p w:rsidR="00D84B53" w:rsidRPr="00A530E1" w:rsidRDefault="00D84B53" w:rsidP="00D06987">
            <w:pPr>
              <w:pStyle w:val="Bullet1G"/>
              <w:tabs>
                <w:tab w:val="clear" w:pos="1701"/>
              </w:tabs>
              <w:spacing w:before="40"/>
              <w:ind w:left="170" w:right="113"/>
              <w:jc w:val="left"/>
            </w:pPr>
            <w:r w:rsidRPr="00A530E1">
              <w:t>In order to ensure the proper identification of persons with disabilities, CONADIS needs to organize free disability certification campaigns in the country’s prisons. These campaigns help to raise the awareness of the administrative and security staff of these institutions, as well as facilitating access and the regularization of personal identification records for persons with disabilities, since a person must possess a national identity document in order to be entered in the National Register of Persons with Disabilities.</w:t>
            </w:r>
          </w:p>
        </w:tc>
      </w:tr>
      <w:tr w:rsidR="00D84B53" w:rsidRPr="00A530E1" w:rsidTr="00F063C5">
        <w:tc>
          <w:tcPr>
            <w:tcW w:w="4819" w:type="dxa"/>
            <w:shd w:val="clear" w:color="auto" w:fill="auto"/>
          </w:tcPr>
          <w:p w:rsidR="00D84B53" w:rsidRPr="00A530E1" w:rsidRDefault="00D84B53" w:rsidP="00F063C5">
            <w:pPr>
              <w:spacing w:before="40" w:after="120"/>
              <w:ind w:right="113"/>
            </w:pPr>
            <w:r w:rsidRPr="00A530E1">
              <w:t>The availability of reasonable accommodations, including procedural accommodations that are made in the legal process to ensure effective participation of all types of persons with disabilities in the justice system, whatever the role which they find themselves in (for example as victims, perpetrators, witness or member of jury, etc.)</w:t>
            </w:r>
          </w:p>
        </w:tc>
        <w:tc>
          <w:tcPr>
            <w:tcW w:w="4820" w:type="dxa"/>
            <w:shd w:val="clear" w:color="auto" w:fill="auto"/>
          </w:tcPr>
          <w:p w:rsidR="00D84B53" w:rsidRPr="00A530E1" w:rsidRDefault="00D84B53" w:rsidP="00F063C5">
            <w:pPr>
              <w:spacing w:before="40" w:after="120"/>
              <w:ind w:right="113"/>
            </w:pPr>
            <w:r w:rsidRPr="00A530E1">
              <w:t>In order to permit closer monitoring, and as part of the work that it is doing to introduce a results-based budget methodology at the sectoral level, the Ministry of Economic Affairs and Finance has adopted a strategic programme on crime prevention within the framework of the new Code of Criminal Procedure. This makes it possible to evaluate budget execution more accurately, which is the best indicator for ensuring that public funds are being properly used to implement high-priority State policies on, inter alia, the administration of justice.</w:t>
            </w:r>
          </w:p>
        </w:tc>
      </w:tr>
      <w:tr w:rsidR="00D84B53" w:rsidRPr="00A530E1" w:rsidTr="00F063C5">
        <w:tc>
          <w:tcPr>
            <w:tcW w:w="4819" w:type="dxa"/>
            <w:tcBorders>
              <w:bottom w:val="single" w:sz="12" w:space="0" w:color="auto"/>
            </w:tcBorders>
            <w:shd w:val="clear" w:color="auto" w:fill="auto"/>
          </w:tcPr>
          <w:p w:rsidR="00D84B53" w:rsidRPr="00A530E1" w:rsidRDefault="00D84B53" w:rsidP="00F063C5">
            <w:pPr>
              <w:spacing w:before="40" w:after="120"/>
              <w:ind w:right="113"/>
            </w:pPr>
            <w:r w:rsidRPr="00A530E1">
              <w:t>Age-related accommodations to ensure effective participation of children and young persons with disabilities</w:t>
            </w:r>
          </w:p>
        </w:tc>
        <w:tc>
          <w:tcPr>
            <w:tcW w:w="4820" w:type="dxa"/>
            <w:tcBorders>
              <w:bottom w:val="single" w:sz="12" w:space="0" w:color="auto"/>
            </w:tcBorders>
            <w:shd w:val="clear" w:color="auto" w:fill="auto"/>
          </w:tcPr>
          <w:p w:rsidR="00D84B53" w:rsidRPr="00A530E1" w:rsidRDefault="00D84B53" w:rsidP="00F063C5">
            <w:pPr>
              <w:spacing w:before="40" w:after="120"/>
              <w:ind w:right="113"/>
            </w:pPr>
            <w:r w:rsidRPr="00A530E1">
              <w:t>The Ministry of Women and Social Development is working at the sectoral level to measure the impact of public policies on at-risk groups more accurately; to that end, it is requiring all of its national programmes to upgrade their indicators and to compile data on each group within the population that they serve.</w:t>
            </w:r>
          </w:p>
        </w:tc>
      </w:tr>
    </w:tbl>
    <w:p w:rsidR="00901378" w:rsidRDefault="00901378" w:rsidP="00D84B53">
      <w:pPr>
        <w:pStyle w:val="H23G"/>
      </w:pPr>
    </w:p>
    <w:p w:rsidR="00D84B53" w:rsidRPr="00A530E1" w:rsidRDefault="00901378" w:rsidP="00D84B53">
      <w:pPr>
        <w:pStyle w:val="H23G"/>
      </w:pPr>
      <w:r>
        <w:br w:type="page"/>
      </w:r>
      <w:r w:rsidR="00D84B53" w:rsidRPr="00A530E1">
        <w:tab/>
        <w:t>8.</w:t>
      </w:r>
      <w:r w:rsidR="00D84B53" w:rsidRPr="00A530E1">
        <w:tab/>
        <w:t>Article 14: Liberty and security of the person</w:t>
      </w:r>
    </w:p>
    <w:p w:rsidR="00AF645F" w:rsidRDefault="00D84B53" w:rsidP="00D84B53">
      <w:pPr>
        <w:pStyle w:val="SingleTxtG"/>
      </w:pPr>
      <w:r w:rsidRPr="00A530E1">
        <w:t>66.</w:t>
      </w:r>
      <w:r w:rsidRPr="00A530E1">
        <w:tab/>
        <w:t>This article ensures that persons with disabilities enjoy the right to liberty and personal security and that they are not deprived of their liberty unlawfully or arbitrarily on the basis of the existence of a disability.</w:t>
      </w:r>
      <w:r w:rsidR="00AF645F">
        <w:t xml:space="preserve"> </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819"/>
        <w:gridCol w:w="4820"/>
      </w:tblGrid>
      <w:tr w:rsidR="00D84B53" w:rsidRPr="00A530E1" w:rsidTr="00F063C5">
        <w:trPr>
          <w:tblHeader/>
        </w:trPr>
        <w:tc>
          <w:tcPr>
            <w:tcW w:w="4819" w:type="dxa"/>
            <w:tcBorders>
              <w:top w:val="single" w:sz="4" w:space="0" w:color="auto"/>
              <w:bottom w:val="single" w:sz="12" w:space="0" w:color="auto"/>
            </w:tcBorders>
            <w:shd w:val="clear" w:color="auto" w:fill="auto"/>
            <w:vAlign w:val="bottom"/>
          </w:tcPr>
          <w:p w:rsidR="00D84B53" w:rsidRPr="00A530E1" w:rsidRDefault="00D84B53" w:rsidP="00F063C5">
            <w:pPr>
              <w:spacing w:before="80" w:after="80" w:line="200" w:lineRule="exact"/>
              <w:ind w:right="113"/>
              <w:rPr>
                <w:i/>
                <w:sz w:val="16"/>
              </w:rPr>
            </w:pPr>
            <w:r w:rsidRPr="00A530E1">
              <w:rPr>
                <w:i/>
                <w:sz w:val="16"/>
              </w:rPr>
              <w:t>Report on</w:t>
            </w:r>
          </w:p>
        </w:tc>
        <w:tc>
          <w:tcPr>
            <w:tcW w:w="4820" w:type="dxa"/>
            <w:tcBorders>
              <w:top w:val="single" w:sz="4" w:space="0" w:color="auto"/>
              <w:bottom w:val="single" w:sz="12" w:space="0" w:color="auto"/>
            </w:tcBorders>
            <w:shd w:val="clear" w:color="auto" w:fill="auto"/>
            <w:vAlign w:val="bottom"/>
          </w:tcPr>
          <w:p w:rsidR="00D84B53" w:rsidRPr="00A530E1" w:rsidRDefault="00D84B53" w:rsidP="00F063C5">
            <w:pPr>
              <w:spacing w:before="80" w:after="80" w:line="200" w:lineRule="exact"/>
              <w:ind w:right="113"/>
              <w:rPr>
                <w:i/>
                <w:sz w:val="16"/>
              </w:rPr>
            </w:pPr>
            <w:r w:rsidRPr="00A530E1">
              <w:rPr>
                <w:i/>
                <w:sz w:val="16"/>
              </w:rPr>
              <w:t>Progress</w:t>
            </w:r>
          </w:p>
        </w:tc>
      </w:tr>
      <w:tr w:rsidR="00D84B53" w:rsidRPr="00A530E1" w:rsidTr="00F063C5">
        <w:trPr>
          <w:trHeight w:hRule="exact" w:val="113"/>
          <w:tblHeader/>
        </w:trPr>
        <w:tc>
          <w:tcPr>
            <w:tcW w:w="4819" w:type="dxa"/>
            <w:tcBorders>
              <w:top w:val="single" w:sz="12" w:space="0" w:color="auto"/>
            </w:tcBorders>
            <w:shd w:val="clear" w:color="auto" w:fill="auto"/>
          </w:tcPr>
          <w:p w:rsidR="00D84B53" w:rsidRPr="00A530E1" w:rsidRDefault="00D84B53" w:rsidP="00F063C5">
            <w:pPr>
              <w:spacing w:before="40" w:after="120"/>
              <w:ind w:right="113"/>
            </w:pPr>
          </w:p>
        </w:tc>
        <w:tc>
          <w:tcPr>
            <w:tcW w:w="4820" w:type="dxa"/>
            <w:tcBorders>
              <w:top w:val="single" w:sz="12" w:space="0" w:color="auto"/>
            </w:tcBorders>
            <w:shd w:val="clear" w:color="auto" w:fill="auto"/>
          </w:tcPr>
          <w:p w:rsidR="00D84B53" w:rsidRPr="00A530E1" w:rsidRDefault="00D84B53" w:rsidP="00F063C5">
            <w:pPr>
              <w:spacing w:before="40" w:after="120"/>
              <w:ind w:right="113"/>
            </w:pPr>
          </w:p>
        </w:tc>
      </w:tr>
      <w:tr w:rsidR="00D84B53" w:rsidRPr="00A530E1" w:rsidTr="00F063C5">
        <w:tc>
          <w:tcPr>
            <w:tcW w:w="4819" w:type="dxa"/>
            <w:shd w:val="clear" w:color="auto" w:fill="auto"/>
          </w:tcPr>
          <w:p w:rsidR="00D84B53" w:rsidRPr="00A530E1" w:rsidRDefault="00D84B53" w:rsidP="00F063C5">
            <w:pPr>
              <w:spacing w:before="40" w:after="120"/>
              <w:ind w:right="113"/>
            </w:pPr>
            <w:r w:rsidRPr="00A530E1">
              <w:t>Measures taken by the State party to ensure that all persons with all forms of disabilities enjoy the right to liberty and security of person and that no person is deprived of her/his liberty on the basis of her/his disability</w:t>
            </w:r>
          </w:p>
        </w:tc>
        <w:tc>
          <w:tcPr>
            <w:tcW w:w="4820" w:type="dxa"/>
            <w:vMerge w:val="restart"/>
            <w:shd w:val="clear" w:color="auto" w:fill="auto"/>
          </w:tcPr>
          <w:p w:rsidR="00D84B53" w:rsidRPr="00A530E1" w:rsidRDefault="00D84B53" w:rsidP="00F063C5">
            <w:pPr>
              <w:spacing w:before="40" w:after="120"/>
              <w:ind w:right="113"/>
            </w:pPr>
            <w:r w:rsidRPr="00A530E1">
              <w:t>Peru’s Civil Code and new Code of Criminal Procedure are in full effect. These codes guarantee the right of any person who feels that his or her human rights have been violated to bring legal action in the courts under either of those codes or the Constitution.</w:t>
            </w:r>
          </w:p>
          <w:p w:rsidR="00D84B53" w:rsidRPr="00A530E1" w:rsidRDefault="00D84B53" w:rsidP="00F063C5">
            <w:pPr>
              <w:spacing w:before="40" w:after="120"/>
              <w:ind w:right="113"/>
            </w:pPr>
            <w:r w:rsidRPr="00A530E1">
              <w:t>The Ministry of Women and Social Development and other agencies responsible for protecting and safeguarding citizens’ rights, such as the Office of the Ombudsman, the Office of the Attorney General and the Constitutional Court, promote and disseminate existing laws and regulations on behalf of the State of Peru.</w:t>
            </w:r>
          </w:p>
        </w:tc>
      </w:tr>
      <w:tr w:rsidR="00D84B53" w:rsidRPr="00A530E1" w:rsidTr="00F063C5">
        <w:tc>
          <w:tcPr>
            <w:tcW w:w="4819" w:type="dxa"/>
            <w:shd w:val="clear" w:color="auto" w:fill="auto"/>
          </w:tcPr>
          <w:p w:rsidR="00D84B53" w:rsidRPr="00A530E1" w:rsidRDefault="00D84B53" w:rsidP="00F063C5">
            <w:pPr>
              <w:spacing w:before="40" w:after="120"/>
              <w:ind w:right="113"/>
            </w:pPr>
            <w:r w:rsidRPr="00A530E1">
              <w:t>Actions being taken to abolish any legislation that permits the institutionalization or the deprivation of liberty of all persons with all forms of disabilities</w:t>
            </w:r>
          </w:p>
        </w:tc>
        <w:tc>
          <w:tcPr>
            <w:tcW w:w="4820" w:type="dxa"/>
            <w:vMerge/>
            <w:shd w:val="clear" w:color="auto" w:fill="auto"/>
          </w:tcPr>
          <w:p w:rsidR="00D84B53" w:rsidRPr="00A530E1" w:rsidRDefault="00D84B53" w:rsidP="00F063C5">
            <w:pPr>
              <w:spacing w:before="40" w:after="120"/>
              <w:ind w:right="113"/>
            </w:pPr>
          </w:p>
        </w:tc>
      </w:tr>
      <w:tr w:rsidR="00D84B53" w:rsidRPr="00A530E1" w:rsidTr="00DC5315">
        <w:tc>
          <w:tcPr>
            <w:tcW w:w="4819" w:type="dxa"/>
            <w:shd w:val="clear" w:color="auto" w:fill="auto"/>
          </w:tcPr>
          <w:p w:rsidR="00D84B53" w:rsidRPr="00A530E1" w:rsidRDefault="00D84B53" w:rsidP="00F063C5">
            <w:pPr>
              <w:spacing w:before="40" w:after="120"/>
              <w:ind w:right="113"/>
            </w:pPr>
            <w:r w:rsidRPr="00A530E1">
              <w:t>Legislative and other measures put in place to ensure that persons with disabilities who have been deprived of their liberty are provided with the required reasonable accommodation, and benefit from the same procedural guarantees as all other persons to enjoy fully their remaining human rights</w:t>
            </w:r>
          </w:p>
        </w:tc>
        <w:tc>
          <w:tcPr>
            <w:tcW w:w="4820" w:type="dxa"/>
            <w:vMerge/>
            <w:shd w:val="clear" w:color="auto" w:fill="auto"/>
          </w:tcPr>
          <w:p w:rsidR="00D84B53" w:rsidRPr="00A530E1" w:rsidRDefault="00D84B53" w:rsidP="00F063C5">
            <w:pPr>
              <w:spacing w:before="40" w:after="120"/>
              <w:ind w:right="113"/>
            </w:pPr>
          </w:p>
        </w:tc>
      </w:tr>
      <w:tr w:rsidR="00DC5315" w:rsidRPr="00A530E1" w:rsidTr="00F063C5">
        <w:tc>
          <w:tcPr>
            <w:tcW w:w="4819" w:type="dxa"/>
            <w:tcBorders>
              <w:bottom w:val="single" w:sz="12" w:space="0" w:color="auto"/>
            </w:tcBorders>
            <w:shd w:val="clear" w:color="auto" w:fill="auto"/>
          </w:tcPr>
          <w:p w:rsidR="00DC5315" w:rsidRPr="00A530E1" w:rsidRDefault="00DC5315" w:rsidP="00DC5315">
            <w:pPr>
              <w:spacing w:line="14" w:lineRule="exact"/>
              <w:ind w:right="113"/>
            </w:pPr>
          </w:p>
        </w:tc>
        <w:tc>
          <w:tcPr>
            <w:tcW w:w="4820" w:type="dxa"/>
            <w:tcBorders>
              <w:bottom w:val="single" w:sz="12" w:space="0" w:color="auto"/>
            </w:tcBorders>
            <w:shd w:val="clear" w:color="auto" w:fill="auto"/>
          </w:tcPr>
          <w:p w:rsidR="00DC5315" w:rsidRPr="00A530E1" w:rsidRDefault="00DC5315" w:rsidP="00DC5315">
            <w:pPr>
              <w:spacing w:line="14" w:lineRule="exact"/>
              <w:ind w:right="113"/>
            </w:pPr>
          </w:p>
        </w:tc>
      </w:tr>
    </w:tbl>
    <w:p w:rsidR="00D84B53" w:rsidRPr="00A530E1" w:rsidRDefault="00D84B53" w:rsidP="00D84B53">
      <w:pPr>
        <w:pStyle w:val="H23G"/>
      </w:pPr>
      <w:r w:rsidRPr="00A530E1">
        <w:tab/>
        <w:t>9.</w:t>
      </w:r>
      <w:r w:rsidRPr="00A530E1">
        <w:tab/>
        <w:t>Article 15: Freedom from torture or cruel, inhuman or degrading treatment or punishment</w:t>
      </w:r>
    </w:p>
    <w:p w:rsidR="00D84B53" w:rsidRPr="00A530E1" w:rsidRDefault="00D84B53" w:rsidP="00D84B53">
      <w:pPr>
        <w:pStyle w:val="SingleTxtG"/>
      </w:pPr>
      <w:r w:rsidRPr="00A530E1">
        <w:t>67.</w:t>
      </w:r>
      <w:r w:rsidRPr="00A530E1">
        <w:tab/>
        <w:t>This article establishes that persons with disabilities shall not be subjected to torture or to cruel, inhuman or degrading treatment or punishment.</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819"/>
        <w:gridCol w:w="4820"/>
      </w:tblGrid>
      <w:tr w:rsidR="00D84B53" w:rsidRPr="00A530E1" w:rsidTr="00F063C5">
        <w:trPr>
          <w:tblHeader/>
        </w:trPr>
        <w:tc>
          <w:tcPr>
            <w:tcW w:w="4819" w:type="dxa"/>
            <w:tcBorders>
              <w:top w:val="single" w:sz="4" w:space="0" w:color="auto"/>
              <w:bottom w:val="single" w:sz="12" w:space="0" w:color="auto"/>
            </w:tcBorders>
            <w:shd w:val="clear" w:color="auto" w:fill="auto"/>
            <w:vAlign w:val="bottom"/>
          </w:tcPr>
          <w:p w:rsidR="00D84B53" w:rsidRPr="00A530E1" w:rsidRDefault="00D84B53" w:rsidP="00F063C5">
            <w:pPr>
              <w:spacing w:before="80" w:after="80" w:line="200" w:lineRule="exact"/>
              <w:ind w:right="113"/>
              <w:rPr>
                <w:i/>
                <w:sz w:val="16"/>
              </w:rPr>
            </w:pPr>
            <w:r w:rsidRPr="00A530E1">
              <w:rPr>
                <w:i/>
                <w:sz w:val="16"/>
              </w:rPr>
              <w:t>Report on</w:t>
            </w:r>
          </w:p>
        </w:tc>
        <w:tc>
          <w:tcPr>
            <w:tcW w:w="4820" w:type="dxa"/>
            <w:tcBorders>
              <w:top w:val="single" w:sz="4" w:space="0" w:color="auto"/>
              <w:bottom w:val="single" w:sz="12" w:space="0" w:color="auto"/>
            </w:tcBorders>
            <w:shd w:val="clear" w:color="auto" w:fill="auto"/>
            <w:vAlign w:val="bottom"/>
          </w:tcPr>
          <w:p w:rsidR="00D84B53" w:rsidRPr="00A530E1" w:rsidRDefault="00D84B53" w:rsidP="00F063C5">
            <w:pPr>
              <w:spacing w:before="80" w:after="80" w:line="200" w:lineRule="exact"/>
              <w:ind w:right="113"/>
              <w:rPr>
                <w:i/>
                <w:sz w:val="16"/>
              </w:rPr>
            </w:pPr>
            <w:r w:rsidRPr="00A530E1">
              <w:rPr>
                <w:i/>
                <w:sz w:val="16"/>
              </w:rPr>
              <w:t>Progress</w:t>
            </w:r>
          </w:p>
        </w:tc>
      </w:tr>
      <w:tr w:rsidR="00D84B53" w:rsidRPr="00A530E1" w:rsidTr="00F063C5">
        <w:trPr>
          <w:trHeight w:hRule="exact" w:val="113"/>
          <w:tblHeader/>
        </w:trPr>
        <w:tc>
          <w:tcPr>
            <w:tcW w:w="4819" w:type="dxa"/>
            <w:tcBorders>
              <w:top w:val="single" w:sz="12" w:space="0" w:color="auto"/>
            </w:tcBorders>
            <w:shd w:val="clear" w:color="auto" w:fill="auto"/>
          </w:tcPr>
          <w:p w:rsidR="00D84B53" w:rsidRPr="00A530E1" w:rsidRDefault="00D84B53" w:rsidP="00F063C5">
            <w:pPr>
              <w:spacing w:before="40" w:after="120"/>
              <w:ind w:right="113"/>
            </w:pPr>
          </w:p>
        </w:tc>
        <w:tc>
          <w:tcPr>
            <w:tcW w:w="4820" w:type="dxa"/>
            <w:tcBorders>
              <w:top w:val="single" w:sz="12" w:space="0" w:color="auto"/>
            </w:tcBorders>
            <w:shd w:val="clear" w:color="auto" w:fill="auto"/>
          </w:tcPr>
          <w:p w:rsidR="00D84B53" w:rsidRPr="00A530E1" w:rsidRDefault="00D84B53" w:rsidP="00F063C5">
            <w:pPr>
              <w:spacing w:before="40" w:after="120"/>
              <w:ind w:right="113"/>
            </w:pPr>
          </w:p>
        </w:tc>
      </w:tr>
      <w:tr w:rsidR="00D84B53" w:rsidRPr="00A530E1" w:rsidTr="00F063C5">
        <w:tc>
          <w:tcPr>
            <w:tcW w:w="4819" w:type="dxa"/>
            <w:shd w:val="clear" w:color="auto" w:fill="auto"/>
          </w:tcPr>
          <w:p w:rsidR="00D84B53" w:rsidRPr="00A530E1" w:rsidRDefault="00D84B53" w:rsidP="00F063C5">
            <w:pPr>
              <w:spacing w:before="40" w:after="120"/>
              <w:ind w:right="113"/>
            </w:pPr>
            <w:r w:rsidRPr="00A530E1">
              <w:t>Measures taken to protect effectively persons with disabilities from medical or scientific experimentation without their free and informed consent, including persons with disabilities who need support in exercising their legal capacity</w:t>
            </w:r>
          </w:p>
        </w:tc>
        <w:tc>
          <w:tcPr>
            <w:tcW w:w="4820" w:type="dxa"/>
            <w:shd w:val="clear" w:color="auto" w:fill="auto"/>
          </w:tcPr>
          <w:p w:rsidR="00D84B53" w:rsidRPr="00A530E1" w:rsidRDefault="00D84B53" w:rsidP="00F063C5">
            <w:pPr>
              <w:spacing w:before="40" w:after="120"/>
              <w:ind w:right="113"/>
            </w:pPr>
            <w:r w:rsidRPr="00A530E1">
              <w:t>The Civil Code protects the right to self-determination of persons with disabilities and governs the procedures for the establishment of wardships and disqualifications.</w:t>
            </w:r>
          </w:p>
        </w:tc>
      </w:tr>
      <w:tr w:rsidR="00D84B53" w:rsidRPr="00A530E1" w:rsidTr="00F063C5">
        <w:tc>
          <w:tcPr>
            <w:tcW w:w="4819" w:type="dxa"/>
            <w:tcBorders>
              <w:bottom w:val="single" w:sz="12" w:space="0" w:color="auto"/>
            </w:tcBorders>
            <w:shd w:val="clear" w:color="auto" w:fill="auto"/>
          </w:tcPr>
          <w:p w:rsidR="00D84B53" w:rsidRPr="00A530E1" w:rsidRDefault="00D84B53" w:rsidP="00F063C5">
            <w:pPr>
              <w:spacing w:before="40" w:after="120"/>
              <w:ind w:right="113"/>
            </w:pPr>
            <w:r w:rsidRPr="00A530E1">
              <w:t>The inclusion of persons with disabilities in national strategies and mechanisms to prevent torture</w:t>
            </w:r>
          </w:p>
        </w:tc>
        <w:tc>
          <w:tcPr>
            <w:tcW w:w="4820" w:type="dxa"/>
            <w:tcBorders>
              <w:bottom w:val="single" w:sz="12" w:space="0" w:color="auto"/>
            </w:tcBorders>
            <w:shd w:val="clear" w:color="auto" w:fill="auto"/>
          </w:tcPr>
          <w:p w:rsidR="00D84B53" w:rsidRPr="00A530E1" w:rsidRDefault="00D84B53" w:rsidP="00F063C5">
            <w:pPr>
              <w:spacing w:before="40" w:after="120"/>
              <w:ind w:right="113"/>
            </w:pPr>
            <w:r w:rsidRPr="00A530E1">
              <w:t>With regard to the prevention of torture, the Ministry of Women and Social Development has a programme to combat domestic and sexual violence, and a national plan has been drafted on that basis; a strategic programme to address the issue is to be put in place in 2011.</w:t>
            </w:r>
          </w:p>
        </w:tc>
      </w:tr>
    </w:tbl>
    <w:p w:rsidR="00396CCE" w:rsidRPr="00A530E1" w:rsidRDefault="00396CCE" w:rsidP="00396CCE">
      <w:pPr>
        <w:pStyle w:val="H23G"/>
      </w:pPr>
      <w:r w:rsidRPr="00A530E1">
        <w:tab/>
        <w:t>10.</w:t>
      </w:r>
      <w:r w:rsidRPr="00A530E1">
        <w:tab/>
        <w:t>Article 16: Freedom from exploitation, violence and abuse</w:t>
      </w:r>
    </w:p>
    <w:p w:rsidR="00396CCE" w:rsidRPr="00A530E1" w:rsidRDefault="00396CCE" w:rsidP="00396CCE">
      <w:pPr>
        <w:pStyle w:val="SingleTxtG"/>
      </w:pPr>
      <w:r w:rsidRPr="00A530E1">
        <w:t>68.</w:t>
      </w:r>
      <w:r w:rsidRPr="00A530E1">
        <w:tab/>
        <w:t>This article provides for the protection of all persons with disabilities, especially children and women, from all forms of exploitation, violence and abuse, both within and outside the home.</w:t>
      </w:r>
    </w:p>
    <w:tbl>
      <w:tblPr>
        <w:tblStyle w:val="H4G"/>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816"/>
        <w:gridCol w:w="4823"/>
      </w:tblGrid>
      <w:tr w:rsidR="00396CCE" w:rsidRPr="00A530E1" w:rsidTr="00AF645F">
        <w:trPr>
          <w:tblHeader/>
        </w:trPr>
        <w:tc>
          <w:tcPr>
            <w:tcW w:w="4816" w:type="dxa"/>
            <w:tcBorders>
              <w:top w:val="single" w:sz="4" w:space="0" w:color="auto"/>
              <w:bottom w:val="single" w:sz="12" w:space="0" w:color="auto"/>
            </w:tcBorders>
            <w:shd w:val="clear" w:color="auto" w:fill="auto"/>
            <w:vAlign w:val="bottom"/>
          </w:tcPr>
          <w:p w:rsidR="00396CCE" w:rsidRPr="00A530E1" w:rsidRDefault="00396CCE" w:rsidP="00F063C5">
            <w:pPr>
              <w:keepNext w:val="0"/>
              <w:keepLines w:val="0"/>
              <w:tabs>
                <w:tab w:val="clear" w:pos="851"/>
              </w:tabs>
              <w:suppressAutoHyphens w:val="0"/>
              <w:spacing w:before="80" w:after="80" w:line="200" w:lineRule="exact"/>
              <w:ind w:left="0" w:right="113" w:firstLine="0"/>
              <w:rPr>
                <w:sz w:val="16"/>
              </w:rPr>
            </w:pPr>
            <w:r w:rsidRPr="00A530E1">
              <w:rPr>
                <w:sz w:val="16"/>
              </w:rPr>
              <w:t>Report on</w:t>
            </w:r>
          </w:p>
        </w:tc>
        <w:tc>
          <w:tcPr>
            <w:tcW w:w="4823" w:type="dxa"/>
            <w:tcBorders>
              <w:top w:val="single" w:sz="4" w:space="0" w:color="auto"/>
              <w:bottom w:val="single" w:sz="12" w:space="0" w:color="auto"/>
            </w:tcBorders>
            <w:shd w:val="clear" w:color="auto" w:fill="auto"/>
            <w:vAlign w:val="bottom"/>
          </w:tcPr>
          <w:p w:rsidR="00396CCE" w:rsidRPr="00A530E1" w:rsidRDefault="00396CCE" w:rsidP="00F063C5">
            <w:pPr>
              <w:keepNext w:val="0"/>
              <w:keepLines w:val="0"/>
              <w:tabs>
                <w:tab w:val="clear" w:pos="851"/>
              </w:tabs>
              <w:suppressAutoHyphens w:val="0"/>
              <w:spacing w:before="80" w:after="80" w:line="200" w:lineRule="exact"/>
              <w:ind w:left="0" w:right="113" w:firstLine="0"/>
              <w:rPr>
                <w:sz w:val="16"/>
              </w:rPr>
            </w:pPr>
            <w:r w:rsidRPr="00A530E1">
              <w:rPr>
                <w:sz w:val="16"/>
              </w:rPr>
              <w:t>Progress</w:t>
            </w:r>
          </w:p>
        </w:tc>
      </w:tr>
      <w:tr w:rsidR="00396CCE" w:rsidRPr="00A530E1" w:rsidTr="00F40911">
        <w:trPr>
          <w:trHeight w:hRule="exact" w:val="113"/>
          <w:tblHeader/>
        </w:trPr>
        <w:tc>
          <w:tcPr>
            <w:tcW w:w="4816" w:type="dxa"/>
            <w:tcBorders>
              <w:top w:val="single" w:sz="12" w:space="0" w:color="auto"/>
              <w:bottom w:val="nil"/>
            </w:tcBorders>
            <w:shd w:val="clear" w:color="auto" w:fill="auto"/>
          </w:tcPr>
          <w:p w:rsidR="00396CCE" w:rsidRPr="00A530E1" w:rsidRDefault="00396CCE" w:rsidP="00F063C5">
            <w:pPr>
              <w:keepNext w:val="0"/>
              <w:keepLines w:val="0"/>
              <w:tabs>
                <w:tab w:val="clear" w:pos="851"/>
              </w:tabs>
              <w:suppressAutoHyphens w:val="0"/>
              <w:spacing w:before="40" w:line="220" w:lineRule="exact"/>
              <w:ind w:left="0" w:right="113" w:firstLine="0"/>
            </w:pPr>
          </w:p>
        </w:tc>
        <w:tc>
          <w:tcPr>
            <w:tcW w:w="4823" w:type="dxa"/>
            <w:tcBorders>
              <w:top w:val="single" w:sz="12" w:space="0" w:color="auto"/>
              <w:bottom w:val="nil"/>
            </w:tcBorders>
            <w:shd w:val="clear" w:color="auto" w:fill="auto"/>
          </w:tcPr>
          <w:p w:rsidR="00396CCE" w:rsidRPr="00A530E1" w:rsidRDefault="00396CCE" w:rsidP="00F063C5">
            <w:pPr>
              <w:keepNext w:val="0"/>
              <w:keepLines w:val="0"/>
              <w:tabs>
                <w:tab w:val="clear" w:pos="851"/>
              </w:tabs>
              <w:suppressAutoHyphens w:val="0"/>
              <w:spacing w:before="40" w:line="220" w:lineRule="exact"/>
              <w:ind w:left="0" w:right="113" w:firstLine="0"/>
            </w:pPr>
          </w:p>
        </w:tc>
      </w:tr>
      <w:tr w:rsidR="00396CCE" w:rsidRPr="00A530E1" w:rsidTr="00DA2769">
        <w:tc>
          <w:tcPr>
            <w:tcW w:w="4816" w:type="dxa"/>
            <w:tcBorders>
              <w:top w:val="nil"/>
              <w:bottom w:val="nil"/>
            </w:tcBorders>
            <w:shd w:val="clear" w:color="auto" w:fill="auto"/>
          </w:tcPr>
          <w:p w:rsidR="00396CCE" w:rsidRPr="00A530E1" w:rsidRDefault="00396CCE" w:rsidP="00F063C5">
            <w:pPr>
              <w:keepNext w:val="0"/>
              <w:keepLines w:val="0"/>
              <w:tabs>
                <w:tab w:val="clear" w:pos="851"/>
              </w:tabs>
              <w:spacing w:before="40"/>
              <w:ind w:left="0" w:right="113" w:firstLine="0"/>
              <w:rPr>
                <w:i w:val="0"/>
              </w:rPr>
            </w:pPr>
            <w:r w:rsidRPr="00A530E1">
              <w:rPr>
                <w:i w:val="0"/>
              </w:rPr>
              <w:t>Legislative, administrative, social, educational and other measures taken to protect persons with disabilities, both within and outside the home, from all forms of exploitation, violence and abuse,</w:t>
            </w:r>
            <w:r w:rsidR="00C25AD6">
              <w:rPr>
                <w:i w:val="0"/>
              </w:rPr>
              <w:t xml:space="preserve"> including the gender and child-</w:t>
            </w:r>
            <w:r w:rsidRPr="00A530E1">
              <w:rPr>
                <w:i w:val="0"/>
              </w:rPr>
              <w:t>based aspects</w:t>
            </w:r>
          </w:p>
        </w:tc>
        <w:tc>
          <w:tcPr>
            <w:tcW w:w="4823" w:type="dxa"/>
            <w:tcBorders>
              <w:top w:val="nil"/>
              <w:bottom w:val="nil"/>
            </w:tcBorders>
            <w:shd w:val="clear" w:color="auto" w:fill="auto"/>
          </w:tcPr>
          <w:p w:rsidR="00396CCE" w:rsidRPr="00A530E1" w:rsidRDefault="00396CCE" w:rsidP="00BE1B8E">
            <w:pPr>
              <w:pStyle w:val="Bullet1G"/>
              <w:tabs>
                <w:tab w:val="clear" w:pos="851"/>
                <w:tab w:val="clear" w:pos="1701"/>
              </w:tabs>
              <w:spacing w:before="40"/>
              <w:ind w:left="170" w:right="113"/>
              <w:jc w:val="left"/>
            </w:pPr>
            <w:r w:rsidRPr="00A530E1">
              <w:rPr>
                <w:i w:val="0"/>
              </w:rPr>
              <w:t>The Ministry of Justice has submitted legislative proposals for the inclusion of provisions in the Children and Adolescents Code and the Criminal Code to prohibit the recruitment and enlistment of minors in the armed forces and armed groups</w:t>
            </w:r>
            <w:r w:rsidRPr="00A530E1">
              <w:t>.</w:t>
            </w:r>
          </w:p>
          <w:p w:rsidR="00396CCE" w:rsidRPr="00A530E1" w:rsidRDefault="00396CCE" w:rsidP="00096945">
            <w:pPr>
              <w:pStyle w:val="Bullet1G"/>
              <w:tabs>
                <w:tab w:val="clear" w:pos="851"/>
                <w:tab w:val="clear" w:pos="1701"/>
              </w:tabs>
              <w:spacing w:before="40"/>
              <w:ind w:left="170" w:right="113"/>
              <w:jc w:val="left"/>
              <w:rPr>
                <w:i w:val="0"/>
              </w:rPr>
            </w:pPr>
            <w:r w:rsidRPr="00A530E1">
              <w:rPr>
                <w:i w:val="0"/>
              </w:rPr>
              <w:t>In an effort to prevent persons from being disabled and avert the dissolution of families as a result of the death of the father or mother, the Ministry of Transport and Communications issued a supreme decree which stiffened the penalties for driving offences. This is one of the measures that has been taken to reduce road accidents. The need for this became particularly apparent in April 2009 with the publication of the National Plan for Implementation of the 2009–2012 Strategy to Combat Road Accidents, which shows that, over the past four years, 117,900 people were permanently disabled as a result of road accidents on urban roadways and highways.</w:t>
            </w:r>
          </w:p>
        </w:tc>
      </w:tr>
      <w:tr w:rsidR="00396CCE" w:rsidRPr="00A530E1" w:rsidTr="00DA2769">
        <w:tc>
          <w:tcPr>
            <w:tcW w:w="4816" w:type="dxa"/>
            <w:tcBorders>
              <w:top w:val="nil"/>
              <w:bottom w:val="nil"/>
            </w:tcBorders>
            <w:shd w:val="clear" w:color="auto" w:fill="auto"/>
          </w:tcPr>
          <w:p w:rsidR="00396CCE" w:rsidRPr="00A530E1" w:rsidRDefault="00396CCE" w:rsidP="00F063C5">
            <w:pPr>
              <w:keepNext w:val="0"/>
              <w:keepLines w:val="0"/>
              <w:tabs>
                <w:tab w:val="clear" w:pos="851"/>
              </w:tabs>
              <w:spacing w:before="40"/>
              <w:ind w:left="0" w:right="113" w:firstLine="0"/>
              <w:rPr>
                <w:i w:val="0"/>
              </w:rPr>
            </w:pPr>
            <w:r w:rsidRPr="00A530E1">
              <w:rPr>
                <w:i w:val="0"/>
              </w:rPr>
              <w:t>Social protection measures to assist and support persons with disabilities, including their families and caregivers, and to prevent, recognize and report instances of exploitation, violence and abuse, including the gender- and child-based aspects</w:t>
            </w:r>
          </w:p>
        </w:tc>
        <w:tc>
          <w:tcPr>
            <w:tcW w:w="4823" w:type="dxa"/>
            <w:tcBorders>
              <w:top w:val="nil"/>
              <w:bottom w:val="nil"/>
            </w:tcBorders>
            <w:shd w:val="clear" w:color="auto" w:fill="auto"/>
          </w:tcPr>
          <w:p w:rsidR="00396CCE" w:rsidRPr="00A530E1" w:rsidRDefault="00396CCE" w:rsidP="00F063C5">
            <w:pPr>
              <w:keepNext w:val="0"/>
              <w:keepLines w:val="0"/>
              <w:tabs>
                <w:tab w:val="clear" w:pos="851"/>
              </w:tabs>
              <w:spacing w:before="40"/>
              <w:ind w:left="0" w:right="113" w:firstLine="0"/>
              <w:rPr>
                <w:i w:val="0"/>
              </w:rPr>
            </w:pPr>
            <w:r w:rsidRPr="00A530E1">
              <w:rPr>
                <w:i w:val="0"/>
              </w:rPr>
              <w:t>The “Crecer Juntos” social programme targets the most vulnerable sectors of the population, whose members are living under the worst conditions in terms of poverty, risk levels and exclusion.</w:t>
            </w:r>
          </w:p>
          <w:p w:rsidR="00396CCE" w:rsidRPr="00A530E1" w:rsidRDefault="00396CCE" w:rsidP="00F063C5">
            <w:pPr>
              <w:keepNext w:val="0"/>
              <w:keepLines w:val="0"/>
              <w:tabs>
                <w:tab w:val="clear" w:pos="851"/>
              </w:tabs>
              <w:spacing w:before="40"/>
              <w:ind w:left="0" w:right="113" w:firstLine="0"/>
              <w:rPr>
                <w:i w:val="0"/>
              </w:rPr>
            </w:pPr>
            <w:r w:rsidRPr="00A530E1">
              <w:rPr>
                <w:i w:val="0"/>
              </w:rPr>
              <w:t>Its implementation will increase the availability, accessibility and use of a package of health, nutrition and education services which is tailored to programme beneficiaries’ current stage in the life cycle.</w:t>
            </w:r>
          </w:p>
        </w:tc>
      </w:tr>
      <w:tr w:rsidR="00396CCE" w:rsidRPr="00A530E1" w:rsidTr="00DA2769">
        <w:tc>
          <w:tcPr>
            <w:tcW w:w="4816" w:type="dxa"/>
            <w:tcBorders>
              <w:top w:val="nil"/>
              <w:bottom w:val="nil"/>
            </w:tcBorders>
            <w:shd w:val="clear" w:color="auto" w:fill="auto"/>
          </w:tcPr>
          <w:p w:rsidR="00396CCE" w:rsidRPr="00A530E1" w:rsidRDefault="00396CCE" w:rsidP="00F063C5">
            <w:pPr>
              <w:keepNext w:val="0"/>
              <w:keepLines w:val="0"/>
              <w:tabs>
                <w:tab w:val="clear" w:pos="851"/>
              </w:tabs>
              <w:spacing w:before="40"/>
              <w:ind w:left="0" w:right="113" w:firstLine="0"/>
              <w:rPr>
                <w:i w:val="0"/>
              </w:rPr>
            </w:pPr>
            <w:r w:rsidRPr="00A530E1">
              <w:rPr>
                <w:i w:val="0"/>
              </w:rPr>
              <w:t>Measures taken to ensure that all services and programmes designed to serve persons with disabilities are effectively monitored by independent authorities</w:t>
            </w:r>
          </w:p>
        </w:tc>
        <w:tc>
          <w:tcPr>
            <w:tcW w:w="4823" w:type="dxa"/>
            <w:tcBorders>
              <w:top w:val="nil"/>
              <w:bottom w:val="nil"/>
            </w:tcBorders>
            <w:shd w:val="clear" w:color="auto" w:fill="auto"/>
          </w:tcPr>
          <w:p w:rsidR="00396CCE" w:rsidRPr="00A530E1" w:rsidRDefault="00396CCE" w:rsidP="00F063C5">
            <w:pPr>
              <w:keepNext w:val="0"/>
              <w:keepLines w:val="0"/>
              <w:tabs>
                <w:tab w:val="clear" w:pos="851"/>
              </w:tabs>
              <w:spacing w:before="40"/>
              <w:ind w:left="0" w:right="113" w:firstLine="0"/>
              <w:rPr>
                <w:i w:val="0"/>
              </w:rPr>
            </w:pPr>
            <w:r w:rsidRPr="00A530E1">
              <w:rPr>
                <w:i w:val="0"/>
              </w:rPr>
              <w:t xml:space="preserve">Although the cross-cutting approach (under which persons with disabilities are included within the sector of the population classified as “vulnerable”) is still the preferred means of addressing these issues, noteworthy progress has been made by the strategic “Articulación Nutricional” (food network) Programme of the Ministry of Economic Affairs and Finance, which links human development with children’s healthy growth and the health of mothers during pregnancy. </w:t>
            </w:r>
          </w:p>
        </w:tc>
      </w:tr>
      <w:tr w:rsidR="00396CCE" w:rsidRPr="00A530E1" w:rsidTr="003F0F01">
        <w:tc>
          <w:tcPr>
            <w:tcW w:w="4816" w:type="dxa"/>
            <w:tcBorders>
              <w:top w:val="nil"/>
              <w:bottom w:val="nil"/>
            </w:tcBorders>
            <w:shd w:val="clear" w:color="auto" w:fill="auto"/>
          </w:tcPr>
          <w:p w:rsidR="00396CCE" w:rsidRPr="00A530E1" w:rsidRDefault="00396CCE" w:rsidP="00F063C5">
            <w:pPr>
              <w:keepNext w:val="0"/>
              <w:keepLines w:val="0"/>
              <w:tabs>
                <w:tab w:val="clear" w:pos="851"/>
              </w:tabs>
              <w:spacing w:before="40"/>
              <w:ind w:left="0" w:right="113" w:firstLine="0"/>
              <w:rPr>
                <w:i w:val="0"/>
              </w:rPr>
            </w:pPr>
            <w:r w:rsidRPr="00A530E1">
              <w:rPr>
                <w:i w:val="0"/>
              </w:rPr>
              <w:t>Measures taken to ensure that all persons with disabilities who are victims of violence have access to effective recovery, rehabilitation and social reintegration services and programmes</w:t>
            </w:r>
          </w:p>
        </w:tc>
        <w:tc>
          <w:tcPr>
            <w:tcW w:w="4823" w:type="dxa"/>
            <w:tcBorders>
              <w:top w:val="nil"/>
              <w:bottom w:val="nil"/>
            </w:tcBorders>
            <w:shd w:val="clear" w:color="auto" w:fill="auto"/>
          </w:tcPr>
          <w:p w:rsidR="00396CCE" w:rsidRPr="00A530E1" w:rsidRDefault="00396CCE" w:rsidP="006D2C75">
            <w:pPr>
              <w:pStyle w:val="Bullet1G"/>
              <w:tabs>
                <w:tab w:val="clear" w:pos="851"/>
                <w:tab w:val="clear" w:pos="1701"/>
              </w:tabs>
              <w:spacing w:before="40"/>
              <w:ind w:left="170" w:right="113"/>
              <w:jc w:val="left"/>
              <w:rPr>
                <w:i w:val="0"/>
              </w:rPr>
            </w:pPr>
            <w:r w:rsidRPr="00A530E1">
              <w:rPr>
                <w:i w:val="0"/>
              </w:rPr>
              <w:t>Implementing regulations for the Comprehensive Health-Care Act were approved this year</w:t>
            </w:r>
          </w:p>
          <w:p w:rsidR="00396CCE" w:rsidRPr="00A530E1" w:rsidRDefault="00396CCE" w:rsidP="006D2C75">
            <w:pPr>
              <w:pStyle w:val="Bullet1G"/>
              <w:tabs>
                <w:tab w:val="clear" w:pos="851"/>
                <w:tab w:val="clear" w:pos="1701"/>
              </w:tabs>
              <w:spacing w:before="40"/>
              <w:ind w:left="170" w:right="113"/>
              <w:jc w:val="left"/>
              <w:rPr>
                <w:i w:val="0"/>
              </w:rPr>
            </w:pPr>
            <w:r w:rsidRPr="00A530E1">
              <w:rPr>
                <w:i w:val="0"/>
              </w:rPr>
              <w:t>One of the foundations for the “Crecer Juntos” social programme is the report of the Truth and Reconciliation Commission on the consequences of the political violence that took place in Peru up until the early 1990s</w:t>
            </w:r>
          </w:p>
          <w:p w:rsidR="00396CCE" w:rsidRPr="00A530E1" w:rsidRDefault="00396CCE" w:rsidP="00F063C5">
            <w:pPr>
              <w:keepNext w:val="0"/>
              <w:keepLines w:val="0"/>
              <w:tabs>
                <w:tab w:val="clear" w:pos="851"/>
              </w:tabs>
              <w:spacing w:before="40"/>
              <w:ind w:left="0" w:right="113" w:firstLine="0"/>
              <w:rPr>
                <w:i w:val="0"/>
              </w:rPr>
            </w:pPr>
            <w:r w:rsidRPr="00A530E1">
              <w:rPr>
                <w:i w:val="0"/>
              </w:rPr>
              <w:t xml:space="preserve">The Ministry of Women and Social Development is also implementing the National Programme to Combat Domestic and Sexual Violence and is adapting the methodologies used at its Emergency Women’s Centres (CEM) to assist persons with disabilities who are victims of domestic or sexual violence. Since 2008, there has been </w:t>
            </w:r>
          </w:p>
        </w:tc>
      </w:tr>
      <w:tr w:rsidR="00F40911" w:rsidRPr="00A530E1" w:rsidTr="003F0F01">
        <w:tc>
          <w:tcPr>
            <w:tcW w:w="4816" w:type="dxa"/>
            <w:tcBorders>
              <w:top w:val="nil"/>
            </w:tcBorders>
            <w:shd w:val="clear" w:color="auto" w:fill="auto"/>
          </w:tcPr>
          <w:p w:rsidR="00F40911" w:rsidRPr="00A530E1" w:rsidRDefault="00F40911" w:rsidP="00F063C5">
            <w:pPr>
              <w:spacing w:before="40"/>
              <w:ind w:right="113"/>
              <w:rPr>
                <w:i w:val="0"/>
              </w:rPr>
            </w:pPr>
          </w:p>
        </w:tc>
        <w:tc>
          <w:tcPr>
            <w:tcW w:w="4823" w:type="dxa"/>
            <w:tcBorders>
              <w:top w:val="nil"/>
            </w:tcBorders>
            <w:shd w:val="clear" w:color="auto" w:fill="auto"/>
          </w:tcPr>
          <w:p w:rsidR="00F40911" w:rsidRPr="00A530E1" w:rsidRDefault="00F40911" w:rsidP="00F40911">
            <w:pPr>
              <w:spacing w:before="40"/>
              <w:ind w:left="0" w:right="113" w:firstLine="0"/>
              <w:rPr>
                <w:i w:val="0"/>
              </w:rPr>
            </w:pPr>
            <w:r w:rsidRPr="00A530E1">
              <w:rPr>
                <w:i w:val="0"/>
              </w:rPr>
              <w:t>a box on the case registration forms for the identification of persons with disabilities, and CEM staff have been instructed to give them preferential treatment. Between January 2008 and December 2009, a total of 1,030 victims with disabilities (1.2 per cent of the total number of cases) were assisted at these centres.</w:t>
            </w:r>
          </w:p>
        </w:tc>
      </w:tr>
    </w:tbl>
    <w:p w:rsidR="00396CCE" w:rsidRPr="00A530E1" w:rsidRDefault="00396CCE" w:rsidP="00396CCE">
      <w:pPr>
        <w:pStyle w:val="H23G"/>
      </w:pPr>
      <w:r w:rsidRPr="00A530E1">
        <w:tab/>
        <w:t>11.</w:t>
      </w:r>
      <w:r w:rsidRPr="00A530E1">
        <w:tab/>
        <w:t>Article 17: Protecting the integrity of the person</w:t>
      </w:r>
    </w:p>
    <w:p w:rsidR="00396CCE" w:rsidRPr="00A530E1" w:rsidRDefault="00396CCE" w:rsidP="00396CCE">
      <w:pPr>
        <w:pStyle w:val="SingleTxtG"/>
      </w:pPr>
      <w:r w:rsidRPr="00A530E1">
        <w:t>69.</w:t>
      </w:r>
      <w:r w:rsidRPr="00A530E1">
        <w:tab/>
        <w:t>This article establishes the right to respect for the physical and mental integrity of persons with disabilities.</w:t>
      </w:r>
    </w:p>
    <w:tbl>
      <w:tblPr>
        <w:tblStyle w:val="H4G"/>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816"/>
        <w:gridCol w:w="4823"/>
      </w:tblGrid>
      <w:tr w:rsidR="00396CCE" w:rsidRPr="00A530E1" w:rsidTr="00AF645F">
        <w:trPr>
          <w:tblHeader/>
        </w:trPr>
        <w:tc>
          <w:tcPr>
            <w:tcW w:w="4816" w:type="dxa"/>
            <w:tcBorders>
              <w:top w:val="single" w:sz="4" w:space="0" w:color="auto"/>
              <w:bottom w:val="single" w:sz="12" w:space="0" w:color="auto"/>
            </w:tcBorders>
            <w:shd w:val="clear" w:color="auto" w:fill="auto"/>
            <w:vAlign w:val="bottom"/>
          </w:tcPr>
          <w:p w:rsidR="00396CCE" w:rsidRPr="00A530E1" w:rsidRDefault="00396CCE" w:rsidP="00F063C5">
            <w:pPr>
              <w:keepNext w:val="0"/>
              <w:keepLines w:val="0"/>
              <w:tabs>
                <w:tab w:val="clear" w:pos="851"/>
              </w:tabs>
              <w:suppressAutoHyphens w:val="0"/>
              <w:spacing w:before="40"/>
              <w:ind w:left="0" w:right="113" w:firstLine="0"/>
              <w:rPr>
                <w:sz w:val="16"/>
              </w:rPr>
            </w:pPr>
            <w:r w:rsidRPr="00A530E1">
              <w:rPr>
                <w:sz w:val="16"/>
              </w:rPr>
              <w:t>Report on</w:t>
            </w:r>
          </w:p>
        </w:tc>
        <w:tc>
          <w:tcPr>
            <w:tcW w:w="4823" w:type="dxa"/>
            <w:tcBorders>
              <w:top w:val="single" w:sz="4" w:space="0" w:color="auto"/>
              <w:bottom w:val="single" w:sz="12" w:space="0" w:color="auto"/>
            </w:tcBorders>
            <w:shd w:val="clear" w:color="auto" w:fill="auto"/>
            <w:vAlign w:val="bottom"/>
          </w:tcPr>
          <w:p w:rsidR="00396CCE" w:rsidRPr="00A530E1" w:rsidRDefault="00396CCE" w:rsidP="00F063C5">
            <w:pPr>
              <w:keepNext w:val="0"/>
              <w:keepLines w:val="0"/>
              <w:tabs>
                <w:tab w:val="clear" w:pos="851"/>
              </w:tabs>
              <w:suppressAutoHyphens w:val="0"/>
              <w:spacing w:before="40"/>
              <w:ind w:left="0" w:right="113" w:firstLine="0"/>
              <w:rPr>
                <w:sz w:val="16"/>
              </w:rPr>
            </w:pPr>
            <w:r w:rsidRPr="00A530E1">
              <w:rPr>
                <w:sz w:val="16"/>
              </w:rPr>
              <w:t>Progress</w:t>
            </w:r>
          </w:p>
        </w:tc>
      </w:tr>
      <w:tr w:rsidR="00396CCE" w:rsidRPr="00A530E1" w:rsidTr="00FA343E">
        <w:trPr>
          <w:trHeight w:hRule="exact" w:val="113"/>
          <w:tblHeader/>
        </w:trPr>
        <w:tc>
          <w:tcPr>
            <w:tcW w:w="4816" w:type="dxa"/>
            <w:tcBorders>
              <w:top w:val="single" w:sz="12" w:space="0" w:color="auto"/>
              <w:bottom w:val="nil"/>
            </w:tcBorders>
            <w:shd w:val="clear" w:color="auto" w:fill="auto"/>
          </w:tcPr>
          <w:p w:rsidR="00396CCE" w:rsidRPr="00A530E1" w:rsidRDefault="00396CCE" w:rsidP="00F063C5">
            <w:pPr>
              <w:keepNext w:val="0"/>
              <w:keepLines w:val="0"/>
              <w:tabs>
                <w:tab w:val="clear" w:pos="851"/>
              </w:tabs>
              <w:suppressAutoHyphens w:val="0"/>
              <w:spacing w:before="40"/>
              <w:ind w:left="0" w:right="113" w:firstLine="0"/>
            </w:pPr>
          </w:p>
        </w:tc>
        <w:tc>
          <w:tcPr>
            <w:tcW w:w="4823" w:type="dxa"/>
            <w:tcBorders>
              <w:top w:val="single" w:sz="12" w:space="0" w:color="auto"/>
              <w:bottom w:val="nil"/>
            </w:tcBorders>
            <w:shd w:val="clear" w:color="auto" w:fill="auto"/>
          </w:tcPr>
          <w:p w:rsidR="00396CCE" w:rsidRPr="00A530E1" w:rsidRDefault="00396CCE" w:rsidP="00F063C5">
            <w:pPr>
              <w:keepNext w:val="0"/>
              <w:keepLines w:val="0"/>
              <w:tabs>
                <w:tab w:val="clear" w:pos="851"/>
              </w:tabs>
              <w:suppressAutoHyphens w:val="0"/>
              <w:spacing w:before="40"/>
              <w:ind w:left="0" w:right="113" w:firstLine="0"/>
            </w:pPr>
          </w:p>
        </w:tc>
      </w:tr>
      <w:tr w:rsidR="00396CCE" w:rsidRPr="00A530E1" w:rsidTr="00FA343E">
        <w:tc>
          <w:tcPr>
            <w:tcW w:w="4816" w:type="dxa"/>
            <w:tcBorders>
              <w:top w:val="nil"/>
              <w:bottom w:val="nil"/>
            </w:tcBorders>
            <w:shd w:val="clear" w:color="auto" w:fill="auto"/>
          </w:tcPr>
          <w:p w:rsidR="00396CCE" w:rsidRPr="00A530E1" w:rsidRDefault="00396CCE" w:rsidP="00F063C5">
            <w:pPr>
              <w:keepNext w:val="0"/>
              <w:keepLines w:val="0"/>
              <w:tabs>
                <w:tab w:val="clear" w:pos="851"/>
              </w:tabs>
              <w:suppressAutoHyphens w:val="0"/>
              <w:spacing w:before="40"/>
              <w:ind w:left="0" w:right="113" w:firstLine="0"/>
              <w:rPr>
                <w:i w:val="0"/>
              </w:rPr>
            </w:pPr>
            <w:r w:rsidRPr="00A530E1">
              <w:rPr>
                <w:i w:val="0"/>
              </w:rPr>
              <w:t>Measures taken to protect persons with disabilities from medical (or other) treatment given without the free and informed consent of the person</w:t>
            </w:r>
          </w:p>
        </w:tc>
        <w:tc>
          <w:tcPr>
            <w:tcW w:w="4823" w:type="dxa"/>
            <w:tcBorders>
              <w:top w:val="nil"/>
              <w:bottom w:val="nil"/>
            </w:tcBorders>
            <w:shd w:val="clear" w:color="auto" w:fill="auto"/>
          </w:tcPr>
          <w:p w:rsidR="00396CCE" w:rsidRPr="00A530E1" w:rsidRDefault="00396CCE" w:rsidP="00F063C5">
            <w:pPr>
              <w:keepNext w:val="0"/>
              <w:keepLines w:val="0"/>
              <w:tabs>
                <w:tab w:val="clear" w:pos="851"/>
              </w:tabs>
              <w:suppressAutoHyphens w:val="0"/>
              <w:spacing w:before="40"/>
              <w:ind w:left="0" w:right="113" w:firstLine="0"/>
              <w:rPr>
                <w:i w:val="0"/>
              </w:rPr>
            </w:pPr>
            <w:r w:rsidRPr="00A530E1">
              <w:rPr>
                <w:i w:val="0"/>
              </w:rPr>
              <w:t xml:space="preserve">The Civil Code and the new Code of Criminal Procedure are fully in effect for all groups within the population, as are policies to combat torture and inhuman or cruel treatment of persons with disabilities. The Constitution and the implementation of international treaties provide the framework for the steps taken by the Government of Peru to improve existing legislation. </w:t>
            </w:r>
          </w:p>
        </w:tc>
      </w:tr>
      <w:tr w:rsidR="00396CCE" w:rsidRPr="00A530E1" w:rsidTr="00FA343E">
        <w:tc>
          <w:tcPr>
            <w:tcW w:w="4816" w:type="dxa"/>
            <w:tcBorders>
              <w:top w:val="nil"/>
            </w:tcBorders>
            <w:shd w:val="clear" w:color="auto" w:fill="auto"/>
          </w:tcPr>
          <w:p w:rsidR="00396CCE" w:rsidRPr="00A530E1" w:rsidRDefault="00396CCE" w:rsidP="00F063C5">
            <w:pPr>
              <w:keepNext w:val="0"/>
              <w:keepLines w:val="0"/>
              <w:tabs>
                <w:tab w:val="clear" w:pos="851"/>
              </w:tabs>
              <w:suppressAutoHyphens w:val="0"/>
              <w:spacing w:before="40"/>
              <w:ind w:left="0" w:right="113" w:firstLine="0"/>
              <w:rPr>
                <w:i w:val="0"/>
              </w:rPr>
            </w:pPr>
            <w:r w:rsidRPr="00A530E1">
              <w:rPr>
                <w:i w:val="0"/>
              </w:rPr>
              <w:t>Measures taken to protect all persons with disabilities from forced sterilization, and girls and women from forced abortions</w:t>
            </w:r>
          </w:p>
        </w:tc>
        <w:tc>
          <w:tcPr>
            <w:tcW w:w="4823" w:type="dxa"/>
            <w:tcBorders>
              <w:top w:val="nil"/>
            </w:tcBorders>
            <w:shd w:val="clear" w:color="auto" w:fill="auto"/>
          </w:tcPr>
          <w:p w:rsidR="00396CCE" w:rsidRPr="00A530E1" w:rsidRDefault="00396CCE" w:rsidP="00F063C5">
            <w:pPr>
              <w:keepNext w:val="0"/>
              <w:keepLines w:val="0"/>
              <w:tabs>
                <w:tab w:val="clear" w:pos="851"/>
              </w:tabs>
              <w:suppressAutoHyphens w:val="0"/>
              <w:spacing w:before="40"/>
              <w:ind w:left="0" w:right="113" w:firstLine="0"/>
              <w:rPr>
                <w:i w:val="0"/>
              </w:rPr>
            </w:pPr>
            <w:r w:rsidRPr="00A530E1">
              <w:rPr>
                <w:i w:val="0"/>
              </w:rPr>
              <w:t>The Ministry of Women and Social Development handles complaints of this type. The municipal offices of the Ombudsman for Children and Adolescents and NGOs also coordinate their work with State action in an effort to reduce and eliminate the occurrence of such cases.</w:t>
            </w:r>
          </w:p>
        </w:tc>
      </w:tr>
      <w:tr w:rsidR="00396CCE" w:rsidRPr="00A530E1" w:rsidTr="00AF645F">
        <w:tc>
          <w:tcPr>
            <w:tcW w:w="4816" w:type="dxa"/>
            <w:shd w:val="clear" w:color="auto" w:fill="auto"/>
          </w:tcPr>
          <w:p w:rsidR="00396CCE" w:rsidRPr="00A530E1" w:rsidRDefault="00396CCE" w:rsidP="00F063C5">
            <w:pPr>
              <w:keepNext w:val="0"/>
              <w:keepLines w:val="0"/>
              <w:tabs>
                <w:tab w:val="clear" w:pos="851"/>
              </w:tabs>
              <w:suppressAutoHyphens w:val="0"/>
              <w:spacing w:before="40"/>
              <w:ind w:left="0" w:right="113" w:firstLine="0"/>
              <w:rPr>
                <w:i w:val="0"/>
              </w:rPr>
            </w:pPr>
            <w:r w:rsidRPr="00A530E1">
              <w:rPr>
                <w:i w:val="0"/>
              </w:rPr>
              <w:t>The existence, composition and role of independent review organizations to ensure the fulfilment of this right, as well as the programmes and measures adopted by these bodies</w:t>
            </w:r>
          </w:p>
        </w:tc>
        <w:tc>
          <w:tcPr>
            <w:tcW w:w="4823" w:type="dxa"/>
            <w:shd w:val="clear" w:color="auto" w:fill="auto"/>
          </w:tcPr>
          <w:p w:rsidR="00396CCE" w:rsidRPr="00A530E1" w:rsidRDefault="00396CCE" w:rsidP="00F063C5">
            <w:pPr>
              <w:keepNext w:val="0"/>
              <w:keepLines w:val="0"/>
              <w:tabs>
                <w:tab w:val="clear" w:pos="851"/>
              </w:tabs>
              <w:suppressAutoHyphens w:val="0"/>
              <w:spacing w:before="40"/>
              <w:ind w:left="0" w:right="113" w:firstLine="0"/>
              <w:rPr>
                <w:i w:val="0"/>
              </w:rPr>
            </w:pPr>
            <w:r w:rsidRPr="00A530E1">
              <w:rPr>
                <w:i w:val="0"/>
              </w:rPr>
              <w:t>There are a number of independent institutions in Peru operating under the rule of law that has been in place for almost 18 years now (ever since the last anti-democratic decision was taken to dissolve Congress, which was immediately followed — thanks in large part to international pressure — by a call for elections to choose the members of the Constituent Assembly that framed the Peruvian Constitution of 1993).</w:t>
            </w:r>
          </w:p>
          <w:p w:rsidR="00396CCE" w:rsidRPr="00A530E1" w:rsidRDefault="00396CCE" w:rsidP="00F063C5">
            <w:pPr>
              <w:keepNext w:val="0"/>
              <w:keepLines w:val="0"/>
              <w:tabs>
                <w:tab w:val="clear" w:pos="851"/>
              </w:tabs>
              <w:suppressAutoHyphens w:val="0"/>
              <w:spacing w:before="40"/>
              <w:ind w:left="0" w:right="113" w:firstLine="0"/>
              <w:rPr>
                <w:i w:val="0"/>
              </w:rPr>
            </w:pPr>
            <w:r w:rsidRPr="00A530E1">
              <w:rPr>
                <w:i w:val="0"/>
              </w:rPr>
              <w:t>The Constitutional Court is fully operational and is the highest instance for the resolution of conflicting interpretations and infringements of the Constitution of Peru.</w:t>
            </w:r>
          </w:p>
        </w:tc>
      </w:tr>
    </w:tbl>
    <w:p w:rsidR="00396CCE" w:rsidRPr="00A530E1" w:rsidRDefault="00396CCE" w:rsidP="00396CCE">
      <w:pPr>
        <w:pStyle w:val="H23G"/>
      </w:pPr>
      <w:r w:rsidRPr="00A530E1">
        <w:tab/>
        <w:t>12.</w:t>
      </w:r>
      <w:r w:rsidRPr="00A530E1">
        <w:tab/>
        <w:t>Article 18: Liberty of movement and nationality</w:t>
      </w:r>
    </w:p>
    <w:p w:rsidR="00396CCE" w:rsidRPr="00A530E1" w:rsidRDefault="00396CCE" w:rsidP="00396CCE">
      <w:pPr>
        <w:pStyle w:val="SingleTxtG"/>
      </w:pPr>
      <w:r w:rsidRPr="00A530E1">
        <w:t>70.</w:t>
      </w:r>
      <w:r w:rsidRPr="00A530E1">
        <w:tab/>
        <w:t>This article recognizes the rights of persons with disabilities to liberty of movement, to freedom to choose their residence and to a nationality.</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816"/>
        <w:gridCol w:w="4823"/>
      </w:tblGrid>
      <w:tr w:rsidR="00396CCE" w:rsidRPr="00A530E1" w:rsidTr="00167501">
        <w:trPr>
          <w:tblHeader/>
        </w:trPr>
        <w:tc>
          <w:tcPr>
            <w:tcW w:w="4816" w:type="dxa"/>
            <w:tcBorders>
              <w:top w:val="single" w:sz="4" w:space="0" w:color="auto"/>
              <w:bottom w:val="single" w:sz="12" w:space="0" w:color="auto"/>
            </w:tcBorders>
            <w:shd w:val="clear" w:color="auto" w:fill="auto"/>
            <w:vAlign w:val="bottom"/>
          </w:tcPr>
          <w:p w:rsidR="00396CCE" w:rsidRPr="00A530E1" w:rsidRDefault="00396CCE" w:rsidP="00F063C5">
            <w:pPr>
              <w:spacing w:before="80" w:after="80" w:line="200" w:lineRule="exact"/>
              <w:ind w:right="113"/>
              <w:rPr>
                <w:i/>
                <w:sz w:val="16"/>
              </w:rPr>
            </w:pPr>
            <w:r w:rsidRPr="00A530E1">
              <w:rPr>
                <w:i/>
                <w:sz w:val="16"/>
              </w:rPr>
              <w:t>Report on</w:t>
            </w:r>
          </w:p>
        </w:tc>
        <w:tc>
          <w:tcPr>
            <w:tcW w:w="4823" w:type="dxa"/>
            <w:tcBorders>
              <w:top w:val="single" w:sz="4" w:space="0" w:color="auto"/>
              <w:bottom w:val="single" w:sz="12" w:space="0" w:color="auto"/>
            </w:tcBorders>
            <w:shd w:val="clear" w:color="auto" w:fill="auto"/>
            <w:vAlign w:val="bottom"/>
          </w:tcPr>
          <w:p w:rsidR="00396CCE" w:rsidRPr="00A530E1" w:rsidRDefault="00396CCE" w:rsidP="00F063C5">
            <w:pPr>
              <w:spacing w:before="80" w:after="80" w:line="200" w:lineRule="exact"/>
              <w:ind w:right="113"/>
              <w:rPr>
                <w:i/>
                <w:sz w:val="16"/>
              </w:rPr>
            </w:pPr>
            <w:r w:rsidRPr="00A530E1">
              <w:rPr>
                <w:i/>
                <w:sz w:val="16"/>
              </w:rPr>
              <w:t>Progress</w:t>
            </w:r>
          </w:p>
        </w:tc>
      </w:tr>
      <w:tr w:rsidR="00396CCE" w:rsidRPr="00A530E1" w:rsidTr="00167501">
        <w:trPr>
          <w:trHeight w:hRule="exact" w:val="113"/>
          <w:tblHeader/>
        </w:trPr>
        <w:tc>
          <w:tcPr>
            <w:tcW w:w="4816" w:type="dxa"/>
            <w:tcBorders>
              <w:top w:val="single" w:sz="12" w:space="0" w:color="auto"/>
            </w:tcBorders>
            <w:shd w:val="clear" w:color="auto" w:fill="auto"/>
          </w:tcPr>
          <w:p w:rsidR="00396CCE" w:rsidRPr="00A530E1" w:rsidRDefault="00396CCE" w:rsidP="00F063C5">
            <w:pPr>
              <w:suppressAutoHyphens w:val="0"/>
              <w:spacing w:before="40" w:after="120"/>
              <w:ind w:right="113"/>
            </w:pPr>
          </w:p>
        </w:tc>
        <w:tc>
          <w:tcPr>
            <w:tcW w:w="4823" w:type="dxa"/>
            <w:tcBorders>
              <w:top w:val="single" w:sz="12" w:space="0" w:color="auto"/>
            </w:tcBorders>
            <w:shd w:val="clear" w:color="auto" w:fill="auto"/>
          </w:tcPr>
          <w:p w:rsidR="00396CCE" w:rsidRPr="00A530E1" w:rsidRDefault="00396CCE" w:rsidP="00F063C5">
            <w:pPr>
              <w:suppressAutoHyphens w:val="0"/>
              <w:spacing w:before="40" w:after="120"/>
              <w:ind w:right="113"/>
            </w:pPr>
          </w:p>
        </w:tc>
      </w:tr>
      <w:tr w:rsidR="00396CCE" w:rsidRPr="00A530E1" w:rsidTr="00167501">
        <w:tc>
          <w:tcPr>
            <w:tcW w:w="4816" w:type="dxa"/>
            <w:shd w:val="clear" w:color="auto" w:fill="auto"/>
          </w:tcPr>
          <w:p w:rsidR="00396CCE" w:rsidRPr="00A530E1" w:rsidRDefault="00396CCE" w:rsidP="00F063C5">
            <w:pPr>
              <w:spacing w:before="40" w:after="120"/>
              <w:ind w:right="113"/>
            </w:pPr>
            <w:r w:rsidRPr="00A530E1">
              <w:t>Legislative or administrative measures taken to ensure the right of persons with disabilities to acquire a nationality and to not be deprived of it, as well as to ensure the right of persons with disabilities to enter or leave the country arbitrarily</w:t>
            </w:r>
          </w:p>
        </w:tc>
        <w:tc>
          <w:tcPr>
            <w:tcW w:w="4823" w:type="dxa"/>
            <w:shd w:val="clear" w:color="auto" w:fill="auto"/>
          </w:tcPr>
          <w:p w:rsidR="00396CCE" w:rsidRPr="00A530E1" w:rsidRDefault="00396CCE" w:rsidP="00F063C5">
            <w:pPr>
              <w:spacing w:before="40" w:after="120"/>
              <w:ind w:right="113"/>
            </w:pPr>
            <w:r w:rsidRPr="00A530E1">
              <w:t>In the chapter on the fundamental rights of the person, the Constitution establishes that every person has the right to choose his or her place of residence, to move freely throughout the national territory and to leave the country and return, unless he or she is subject to restrictions by reason of health considerations, a judicial order or the application of the Aliens Act. It further establishes that no one shall be divested of the right to nationality or the right to obtain or renew his or her passport within or outside the territory of the Republic.</w:t>
            </w:r>
          </w:p>
          <w:p w:rsidR="00396CCE" w:rsidRPr="00A530E1" w:rsidRDefault="00396CCE" w:rsidP="006214FF">
            <w:pPr>
              <w:spacing w:before="40" w:after="120"/>
              <w:ind w:right="113"/>
            </w:pPr>
            <w:r w:rsidRPr="00A530E1">
              <w:t>The Ministry of the Interior, through its Directorate-General of Migration and Naturalization, is responsible for implementing migration policy and for managing, coordinating and monitoring migration and naturalization. It also issues travel documents and identification documents to non-nationals.</w:t>
            </w:r>
          </w:p>
        </w:tc>
      </w:tr>
      <w:tr w:rsidR="00396CCE" w:rsidRPr="00A530E1" w:rsidTr="00167501">
        <w:tc>
          <w:tcPr>
            <w:tcW w:w="4816" w:type="dxa"/>
            <w:tcBorders>
              <w:bottom w:val="single" w:sz="12" w:space="0" w:color="auto"/>
            </w:tcBorders>
            <w:shd w:val="clear" w:color="auto" w:fill="auto"/>
          </w:tcPr>
          <w:p w:rsidR="00396CCE" w:rsidRPr="00A530E1" w:rsidRDefault="00396CCE" w:rsidP="00F063C5">
            <w:pPr>
              <w:spacing w:before="40" w:after="120"/>
              <w:ind w:right="113"/>
            </w:pPr>
            <w:r w:rsidRPr="00A530E1">
              <w:t>Measures taken to ensure that every newborn child with a disability be registered upon birth and given a name and a nationality</w:t>
            </w:r>
          </w:p>
        </w:tc>
        <w:tc>
          <w:tcPr>
            <w:tcW w:w="4823" w:type="dxa"/>
            <w:tcBorders>
              <w:bottom w:val="single" w:sz="12" w:space="0" w:color="auto"/>
            </w:tcBorders>
            <w:shd w:val="clear" w:color="auto" w:fill="auto"/>
          </w:tcPr>
          <w:p w:rsidR="00396CCE" w:rsidRPr="00A530E1" w:rsidRDefault="00396CCE" w:rsidP="00F063C5">
            <w:pPr>
              <w:spacing w:before="40" w:after="120"/>
              <w:ind w:right="113"/>
            </w:pPr>
            <w:r w:rsidRPr="00A530E1">
              <w:t>Birth certificates and national identity documents are produced for these persons free of charge. This special service is provided under an agreement between the Ministry of Health and the EsSalud national health insurance system in nearly 40 hospitals nationwide in which National Identity and Civil Status Registry offices are located.</w:t>
            </w:r>
          </w:p>
          <w:p w:rsidR="00396CCE" w:rsidRPr="00A530E1" w:rsidRDefault="00396CCE" w:rsidP="00F063C5">
            <w:pPr>
              <w:spacing w:before="40" w:after="120"/>
              <w:ind w:right="113"/>
            </w:pPr>
            <w:r w:rsidRPr="00A530E1">
              <w:t>Newborn children are issued a unique identification code (the national identity document number) which is valid throughout their life.</w:t>
            </w:r>
          </w:p>
          <w:p w:rsidR="00396CCE" w:rsidRPr="00A530E1" w:rsidRDefault="00396CCE" w:rsidP="00F063C5">
            <w:pPr>
              <w:spacing w:before="40" w:after="120"/>
              <w:ind w:right="113"/>
            </w:pPr>
            <w:r w:rsidRPr="00A530E1">
              <w:t>The fact that minors with disabilities are issued national identity documents contributes directly to the prevention and reduction of potential cases of abuse and exploitation. It also facilitates the monitoring of their medical care and/or access to social programmes. In addition, it helps to counter the trafficking of organs and the national and international abduction and trafficking of minors, which can be encouraged by a lack of effective controls, especially given the potential ease with which judicial decisions authorizing national and international travel can be falsified or forged.</w:t>
            </w:r>
          </w:p>
          <w:p w:rsidR="00396CCE" w:rsidRPr="00A530E1" w:rsidRDefault="00396CCE" w:rsidP="00F063C5">
            <w:pPr>
              <w:spacing w:before="40" w:after="120"/>
              <w:ind w:right="113"/>
            </w:pPr>
            <w:r w:rsidRPr="00A530E1">
              <w:t>In this respect, through the National Register of Minors’ Travel Authorizations and Prohibitions (RENAVIM),</w:t>
            </w:r>
            <w:r w:rsidRPr="00A530E1">
              <w:rPr>
                <w:rStyle w:val="FootnoteReference"/>
              </w:rPr>
              <w:footnoteReference w:id="10"/>
            </w:r>
            <w:r w:rsidRPr="00A530E1">
              <w:t xml:space="preserve"> detailed information on missing children can be distributed, as appropriate, by accessing the RENIEC database and retrieving data on the child’s parents.</w:t>
            </w:r>
          </w:p>
        </w:tc>
      </w:tr>
    </w:tbl>
    <w:p w:rsidR="00096945" w:rsidRDefault="00096945" w:rsidP="00396CCE">
      <w:pPr>
        <w:pStyle w:val="H23G"/>
      </w:pPr>
    </w:p>
    <w:p w:rsidR="00396CCE" w:rsidRPr="00A530E1" w:rsidRDefault="00096945" w:rsidP="00396CCE">
      <w:pPr>
        <w:pStyle w:val="H23G"/>
      </w:pPr>
      <w:r>
        <w:br w:type="page"/>
      </w:r>
      <w:r w:rsidR="00396CCE" w:rsidRPr="00A530E1">
        <w:tab/>
        <w:t>13.</w:t>
      </w:r>
      <w:r w:rsidR="00396CCE" w:rsidRPr="00A530E1">
        <w:tab/>
        <w:t>Article 19: Living independently and being included in the community</w:t>
      </w:r>
    </w:p>
    <w:p w:rsidR="00396CCE" w:rsidRPr="00A530E1" w:rsidRDefault="00396CCE" w:rsidP="00396CCE">
      <w:pPr>
        <w:pStyle w:val="SingleTxtG"/>
      </w:pPr>
      <w:r w:rsidRPr="00A530E1">
        <w:t>71.</w:t>
      </w:r>
      <w:r w:rsidRPr="00A530E1">
        <w:tab/>
        <w:t>This article recognizes the rights of persons with disabilities to live independently and to participate in the community.</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816"/>
        <w:gridCol w:w="4823"/>
      </w:tblGrid>
      <w:tr w:rsidR="00396CCE" w:rsidRPr="00A530E1" w:rsidTr="00167501">
        <w:trPr>
          <w:tblHeader/>
        </w:trPr>
        <w:tc>
          <w:tcPr>
            <w:tcW w:w="4816" w:type="dxa"/>
            <w:tcBorders>
              <w:top w:val="single" w:sz="4" w:space="0" w:color="auto"/>
              <w:bottom w:val="single" w:sz="12" w:space="0" w:color="auto"/>
            </w:tcBorders>
            <w:shd w:val="clear" w:color="auto" w:fill="auto"/>
            <w:vAlign w:val="bottom"/>
          </w:tcPr>
          <w:p w:rsidR="00396CCE" w:rsidRPr="00A530E1" w:rsidRDefault="00396CCE" w:rsidP="00F063C5">
            <w:pPr>
              <w:spacing w:before="80" w:after="80" w:line="200" w:lineRule="exact"/>
              <w:ind w:right="113"/>
              <w:rPr>
                <w:i/>
                <w:sz w:val="16"/>
              </w:rPr>
            </w:pPr>
            <w:r w:rsidRPr="00A530E1">
              <w:rPr>
                <w:i/>
                <w:sz w:val="16"/>
              </w:rPr>
              <w:t>Report on</w:t>
            </w:r>
          </w:p>
        </w:tc>
        <w:tc>
          <w:tcPr>
            <w:tcW w:w="4823" w:type="dxa"/>
            <w:tcBorders>
              <w:top w:val="single" w:sz="4" w:space="0" w:color="auto"/>
              <w:bottom w:val="single" w:sz="12" w:space="0" w:color="auto"/>
            </w:tcBorders>
            <w:shd w:val="clear" w:color="auto" w:fill="auto"/>
            <w:vAlign w:val="bottom"/>
          </w:tcPr>
          <w:p w:rsidR="00396CCE" w:rsidRPr="00A530E1" w:rsidRDefault="00396CCE" w:rsidP="00F063C5">
            <w:pPr>
              <w:spacing w:before="80" w:after="80" w:line="200" w:lineRule="exact"/>
              <w:ind w:right="113"/>
              <w:rPr>
                <w:i/>
                <w:sz w:val="16"/>
              </w:rPr>
            </w:pPr>
            <w:r w:rsidRPr="00A530E1">
              <w:rPr>
                <w:i/>
                <w:sz w:val="16"/>
              </w:rPr>
              <w:t>Progress</w:t>
            </w:r>
          </w:p>
        </w:tc>
      </w:tr>
      <w:tr w:rsidR="00396CCE" w:rsidRPr="00A530E1" w:rsidTr="00167501">
        <w:trPr>
          <w:trHeight w:hRule="exact" w:val="113"/>
          <w:tblHeader/>
        </w:trPr>
        <w:tc>
          <w:tcPr>
            <w:tcW w:w="4816" w:type="dxa"/>
            <w:tcBorders>
              <w:top w:val="single" w:sz="12" w:space="0" w:color="auto"/>
            </w:tcBorders>
            <w:shd w:val="clear" w:color="auto" w:fill="auto"/>
          </w:tcPr>
          <w:p w:rsidR="00396CCE" w:rsidRPr="00A530E1" w:rsidRDefault="00396CCE" w:rsidP="00F063C5">
            <w:pPr>
              <w:spacing w:before="40" w:after="120"/>
              <w:ind w:right="113"/>
            </w:pPr>
          </w:p>
        </w:tc>
        <w:tc>
          <w:tcPr>
            <w:tcW w:w="4823" w:type="dxa"/>
            <w:tcBorders>
              <w:top w:val="single" w:sz="12" w:space="0" w:color="auto"/>
            </w:tcBorders>
            <w:shd w:val="clear" w:color="auto" w:fill="auto"/>
          </w:tcPr>
          <w:p w:rsidR="00396CCE" w:rsidRPr="00A530E1" w:rsidRDefault="00396CCE" w:rsidP="00F063C5">
            <w:pPr>
              <w:spacing w:before="40" w:after="120"/>
              <w:ind w:right="113"/>
            </w:pPr>
          </w:p>
        </w:tc>
      </w:tr>
      <w:tr w:rsidR="00396CCE" w:rsidRPr="00A530E1" w:rsidTr="00167501">
        <w:tc>
          <w:tcPr>
            <w:tcW w:w="4816" w:type="dxa"/>
            <w:shd w:val="clear" w:color="auto" w:fill="auto"/>
          </w:tcPr>
          <w:p w:rsidR="00396CCE" w:rsidRPr="00A530E1" w:rsidRDefault="00396CCE" w:rsidP="00F063C5">
            <w:pPr>
              <w:spacing w:before="40" w:after="120"/>
              <w:ind w:right="113"/>
            </w:pPr>
            <w:r w:rsidRPr="00A530E1">
              <w:t>The existence of available independent living schemes, including the provision of personal assistants for persons who so require</w:t>
            </w:r>
          </w:p>
        </w:tc>
        <w:tc>
          <w:tcPr>
            <w:tcW w:w="4823" w:type="dxa"/>
            <w:shd w:val="clear" w:color="auto" w:fill="auto"/>
          </w:tcPr>
          <w:p w:rsidR="00396CCE" w:rsidRPr="00A530E1" w:rsidRDefault="00396CCE" w:rsidP="00096945">
            <w:pPr>
              <w:spacing w:before="40" w:after="120"/>
              <w:ind w:right="113"/>
            </w:pPr>
            <w:r w:rsidRPr="00A530E1">
              <w:t>A law has been adopted that classifies deaf-blindness as a single disability, and the State therefore recognizes sign language, dactylology and Braille as official communication systems; persons with that disability are free to choose the system of communication which they wish to use. This law covers the accreditation and registration of specialized guides and interpreters for persons with the disability and stipulates that the State and private companies that provide public services must employ them for the benefit of deaf-blind persons.</w:t>
            </w:r>
          </w:p>
          <w:p w:rsidR="00396CCE" w:rsidRPr="00A530E1" w:rsidRDefault="00396CCE" w:rsidP="00F063C5">
            <w:pPr>
              <w:spacing w:before="40" w:after="120"/>
              <w:ind w:right="113"/>
            </w:pPr>
            <w:r w:rsidRPr="00A530E1">
              <w:t>In accordance with the Convention’s provisions on special care for children with disabilities, this year CONADIS arranged for and began distributing 700 wheelchairs adapted for use by children.</w:t>
            </w:r>
          </w:p>
        </w:tc>
      </w:tr>
      <w:tr w:rsidR="00396CCE" w:rsidRPr="00A530E1" w:rsidTr="00167501">
        <w:tc>
          <w:tcPr>
            <w:tcW w:w="4816" w:type="dxa"/>
            <w:shd w:val="clear" w:color="auto" w:fill="auto"/>
          </w:tcPr>
          <w:p w:rsidR="00396CCE" w:rsidRPr="00A530E1" w:rsidRDefault="00396CCE" w:rsidP="00F063C5">
            <w:pPr>
              <w:spacing w:before="40" w:after="120"/>
              <w:ind w:right="113"/>
            </w:pPr>
            <w:r w:rsidRPr="00A530E1">
              <w:t>The existence of in-house support services allowing persons with disabilities to live in their community</w:t>
            </w:r>
          </w:p>
        </w:tc>
        <w:tc>
          <w:tcPr>
            <w:tcW w:w="4823" w:type="dxa"/>
            <w:shd w:val="clear" w:color="auto" w:fill="auto"/>
          </w:tcPr>
          <w:p w:rsidR="00396CCE" w:rsidRPr="00A530E1" w:rsidRDefault="00396CCE" w:rsidP="00F063C5">
            <w:pPr>
              <w:spacing w:before="40" w:after="120"/>
              <w:ind w:right="113"/>
            </w:pPr>
            <w:r w:rsidRPr="00A530E1">
              <w:t>The “Crecer Juntos” National Direct Assistance Programme for the Very Poor is one of the most important social protection initiatives in Peru. Its objective is to promote the exercise of fundamental rights by coordinating the supply of nutrition, health, education and identification services. In addition, financial incentives (US$ 35) are offered to mothers or guardians on the condition that they participate actively in the programme.</w:t>
            </w:r>
          </w:p>
          <w:p w:rsidR="00396CCE" w:rsidRPr="00A530E1" w:rsidRDefault="00396CCE" w:rsidP="00F063C5">
            <w:pPr>
              <w:spacing w:before="40" w:after="120"/>
              <w:ind w:right="113"/>
            </w:pPr>
            <w:r w:rsidRPr="00A530E1">
              <w:t>To date, its coverage extends to 1,110 districts whose populations live in extreme poverty. Beneficiary households are those whose members include expectant mothers, widowed parents, older people or guardians of children up to the age of 14 years.</w:t>
            </w:r>
          </w:p>
          <w:p w:rsidR="00396CCE" w:rsidRPr="00A530E1" w:rsidRDefault="00396CCE" w:rsidP="00F063C5">
            <w:pPr>
              <w:spacing w:before="40" w:after="120"/>
              <w:ind w:right="113"/>
            </w:pPr>
            <w:r w:rsidRPr="00A530E1">
              <w:t>Although the programme is a cross-cutting initiative, this year arrangements have been made to place priority on serving persons with disabilities.</w:t>
            </w:r>
          </w:p>
        </w:tc>
      </w:tr>
      <w:tr w:rsidR="00396CCE" w:rsidRPr="00A530E1" w:rsidTr="003F0F01">
        <w:tc>
          <w:tcPr>
            <w:tcW w:w="4816" w:type="dxa"/>
            <w:shd w:val="clear" w:color="auto" w:fill="auto"/>
          </w:tcPr>
          <w:p w:rsidR="00396CCE" w:rsidRPr="00A530E1" w:rsidRDefault="00396CCE" w:rsidP="00F063C5">
            <w:pPr>
              <w:spacing w:before="40" w:after="120"/>
              <w:ind w:right="113"/>
            </w:pPr>
            <w:r w:rsidRPr="00A530E1">
              <w:t>The existence and range of options of residential services for living arrangements, including shared and sheltered accommodation which take into account the form of disability</w:t>
            </w:r>
          </w:p>
        </w:tc>
        <w:tc>
          <w:tcPr>
            <w:tcW w:w="4823" w:type="dxa"/>
            <w:shd w:val="clear" w:color="auto" w:fill="auto"/>
          </w:tcPr>
          <w:p w:rsidR="00396CCE" w:rsidRPr="00A530E1" w:rsidRDefault="00396CCE" w:rsidP="00F063C5">
            <w:pPr>
              <w:spacing w:before="40" w:after="120"/>
              <w:ind w:right="113"/>
            </w:pPr>
            <w:r w:rsidRPr="00A530E1">
              <w:t>A shelter has been opened for soldiers who have been left with a disability.</w:t>
            </w:r>
          </w:p>
          <w:p w:rsidR="00396CCE" w:rsidRPr="00A530E1" w:rsidRDefault="00396CCE" w:rsidP="00F063C5">
            <w:pPr>
              <w:spacing w:before="40" w:after="120"/>
              <w:ind w:right="113"/>
            </w:pPr>
            <w:r w:rsidRPr="00A530E1">
              <w:t>The premises consist of five buildings with a total of 80 beds, a fully-equipped kitchen, dining room, living room, bathrooms and administrative offices. These facilities have been transferred to the Peruvian Association of Army Officers and Soldiers with Disabilities.</w:t>
            </w:r>
          </w:p>
          <w:p w:rsidR="00396CCE" w:rsidRPr="00A530E1" w:rsidRDefault="00396CCE" w:rsidP="00F063C5">
            <w:pPr>
              <w:spacing w:before="40" w:after="120"/>
              <w:ind w:right="113"/>
            </w:pPr>
            <w:r w:rsidRPr="00A530E1">
              <w:t>This congressional initiative is part of the national plan to rehabilitate members of the armed forces and national police force whose participation in the fight against narcoterrorist criminals has left them with disabilities.</w:t>
            </w:r>
          </w:p>
        </w:tc>
      </w:tr>
      <w:tr w:rsidR="00096945" w:rsidRPr="00A530E1" w:rsidTr="003F0F01">
        <w:tc>
          <w:tcPr>
            <w:tcW w:w="4816" w:type="dxa"/>
            <w:shd w:val="clear" w:color="auto" w:fill="auto"/>
          </w:tcPr>
          <w:p w:rsidR="00096945" w:rsidRPr="00A530E1" w:rsidRDefault="00096945" w:rsidP="00096945">
            <w:pPr>
              <w:spacing w:before="40"/>
              <w:ind w:right="113"/>
            </w:pPr>
          </w:p>
        </w:tc>
        <w:tc>
          <w:tcPr>
            <w:tcW w:w="4823" w:type="dxa"/>
            <w:shd w:val="clear" w:color="auto" w:fill="auto"/>
          </w:tcPr>
          <w:p w:rsidR="00096945" w:rsidRPr="00A530E1" w:rsidRDefault="00096945" w:rsidP="00096945">
            <w:pPr>
              <w:spacing w:before="40"/>
              <w:ind w:right="113"/>
            </w:pPr>
          </w:p>
        </w:tc>
      </w:tr>
      <w:tr w:rsidR="00396CCE" w:rsidRPr="00A530E1" w:rsidTr="008D1014">
        <w:tc>
          <w:tcPr>
            <w:tcW w:w="4816" w:type="dxa"/>
            <w:shd w:val="clear" w:color="auto" w:fill="auto"/>
          </w:tcPr>
          <w:p w:rsidR="00396CCE" w:rsidRPr="00A530E1" w:rsidRDefault="00396CCE" w:rsidP="00F063C5">
            <w:pPr>
              <w:spacing w:before="40" w:after="120"/>
              <w:ind w:right="113"/>
            </w:pPr>
            <w:r w:rsidRPr="00A530E1">
              <w:t>The degree of accessibility for persons with disabilities to community services and facilities provided to the general population</w:t>
            </w:r>
          </w:p>
        </w:tc>
        <w:tc>
          <w:tcPr>
            <w:tcW w:w="4823" w:type="dxa"/>
            <w:shd w:val="clear" w:color="auto" w:fill="auto"/>
          </w:tcPr>
          <w:p w:rsidR="00396CCE" w:rsidRPr="00A530E1" w:rsidRDefault="00396CCE" w:rsidP="00F063C5">
            <w:pPr>
              <w:spacing w:before="40" w:after="120"/>
              <w:ind w:right="113"/>
            </w:pPr>
            <w:r w:rsidRPr="00A530E1">
              <w:t>Although the State Service Density Index used in the report on Peru prepared by UNDP</w:t>
            </w:r>
            <w:r w:rsidRPr="00A530E1">
              <w:rPr>
                <w:rStyle w:val="FootnoteReference"/>
              </w:rPr>
              <w:footnoteReference w:id="11"/>
            </w:r>
            <w:r w:rsidRPr="00A530E1">
              <w:t xml:space="preserve"> shows that inequalities between rural and urban areas remain, the Human Development Index indicates that there has been an increase in the proportion of households with access to the water distribution and sewerage systems (within and outside the home) and to the electricity grid.</w:t>
            </w:r>
          </w:p>
          <w:p w:rsidR="00396CCE" w:rsidRPr="00A530E1" w:rsidRDefault="00396CCE" w:rsidP="00F063C5">
            <w:pPr>
              <w:spacing w:before="40" w:after="120"/>
              <w:ind w:right="113"/>
            </w:pPr>
            <w:r w:rsidRPr="00A530E1">
              <w:t>Under the subsidiarity principle, as soon as a construction project is begun, it becomes the responsibility of the 1,834 local and 25 regional governments to monitor compliance with accessibility standards. The initiative to harmonize national legislation with the Convention has been undertaken for that purpose, and the adoption of the Offences and Penalties Act is the best example of progress in that respect.</w:t>
            </w:r>
          </w:p>
        </w:tc>
      </w:tr>
      <w:tr w:rsidR="008D1014" w:rsidRPr="00A530E1" w:rsidTr="003F0F01">
        <w:tc>
          <w:tcPr>
            <w:tcW w:w="4816" w:type="dxa"/>
            <w:tcBorders>
              <w:bottom w:val="single" w:sz="12" w:space="0" w:color="auto"/>
            </w:tcBorders>
            <w:shd w:val="clear" w:color="auto" w:fill="auto"/>
          </w:tcPr>
          <w:p w:rsidR="008D1014" w:rsidRPr="00A530E1" w:rsidRDefault="008D1014" w:rsidP="00F063C5">
            <w:pPr>
              <w:spacing w:before="40" w:after="120"/>
              <w:ind w:right="113"/>
            </w:pPr>
          </w:p>
        </w:tc>
        <w:tc>
          <w:tcPr>
            <w:tcW w:w="4823" w:type="dxa"/>
            <w:tcBorders>
              <w:bottom w:val="single" w:sz="12" w:space="0" w:color="auto"/>
            </w:tcBorders>
            <w:shd w:val="clear" w:color="auto" w:fill="auto"/>
          </w:tcPr>
          <w:p w:rsidR="008D1014" w:rsidRPr="00A530E1" w:rsidRDefault="008D1014" w:rsidP="00F063C5">
            <w:pPr>
              <w:spacing w:before="40" w:after="120"/>
              <w:ind w:right="113"/>
            </w:pPr>
            <w:r w:rsidRPr="00A530E1">
              <w:t>In Lima Province, a metropolitan public transport project has been implemented. In compliance with standards on universal accessibility, it provides modes of transport that are accessible to persons with disabilities, older people, expectant mothers and persons with small children. These transportation services are socially inclusive and safe and reduce air pollution.</w:t>
            </w:r>
          </w:p>
        </w:tc>
      </w:tr>
    </w:tbl>
    <w:p w:rsidR="00396CCE" w:rsidRPr="00A530E1" w:rsidRDefault="00396CCE" w:rsidP="00396CCE">
      <w:pPr>
        <w:pStyle w:val="H23G"/>
      </w:pPr>
      <w:r w:rsidRPr="00A530E1">
        <w:tab/>
        <w:t>14.</w:t>
      </w:r>
      <w:r w:rsidRPr="00A530E1">
        <w:tab/>
        <w:t>Article 20: Personal mobility</w:t>
      </w:r>
    </w:p>
    <w:p w:rsidR="00396CCE" w:rsidRPr="00A530E1" w:rsidRDefault="00396CCE" w:rsidP="00396CCE">
      <w:pPr>
        <w:pStyle w:val="SingleTxtG"/>
      </w:pPr>
      <w:r w:rsidRPr="00A530E1">
        <w:t>72.</w:t>
      </w:r>
      <w:r w:rsidRPr="00A530E1">
        <w:tab/>
        <w:t>This article recognizes the right of persons with disabilities to move freely with the greatest possible independence.</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816"/>
        <w:gridCol w:w="4823"/>
      </w:tblGrid>
      <w:tr w:rsidR="00396CCE" w:rsidRPr="00A530E1" w:rsidTr="00641155">
        <w:trPr>
          <w:tblHeader/>
        </w:trPr>
        <w:tc>
          <w:tcPr>
            <w:tcW w:w="4816" w:type="dxa"/>
            <w:tcBorders>
              <w:top w:val="single" w:sz="4" w:space="0" w:color="auto"/>
              <w:bottom w:val="single" w:sz="12" w:space="0" w:color="auto"/>
            </w:tcBorders>
            <w:shd w:val="clear" w:color="auto" w:fill="auto"/>
            <w:vAlign w:val="bottom"/>
          </w:tcPr>
          <w:p w:rsidR="00396CCE" w:rsidRPr="00A530E1" w:rsidRDefault="00396CCE" w:rsidP="00F063C5">
            <w:pPr>
              <w:spacing w:before="80" w:after="80" w:line="200" w:lineRule="exact"/>
              <w:ind w:right="113"/>
              <w:rPr>
                <w:i/>
                <w:sz w:val="16"/>
              </w:rPr>
            </w:pPr>
            <w:r w:rsidRPr="00A530E1">
              <w:rPr>
                <w:i/>
                <w:sz w:val="16"/>
              </w:rPr>
              <w:t>Report on</w:t>
            </w:r>
          </w:p>
        </w:tc>
        <w:tc>
          <w:tcPr>
            <w:tcW w:w="4823" w:type="dxa"/>
            <w:tcBorders>
              <w:top w:val="single" w:sz="4" w:space="0" w:color="auto"/>
              <w:bottom w:val="single" w:sz="12" w:space="0" w:color="auto"/>
            </w:tcBorders>
            <w:shd w:val="clear" w:color="auto" w:fill="auto"/>
            <w:vAlign w:val="bottom"/>
          </w:tcPr>
          <w:p w:rsidR="00396CCE" w:rsidRPr="00A530E1" w:rsidRDefault="00396CCE" w:rsidP="00F063C5">
            <w:pPr>
              <w:spacing w:before="80" w:after="80" w:line="200" w:lineRule="exact"/>
              <w:ind w:right="113"/>
              <w:rPr>
                <w:i/>
                <w:sz w:val="16"/>
              </w:rPr>
            </w:pPr>
            <w:r w:rsidRPr="00A530E1">
              <w:rPr>
                <w:i/>
                <w:sz w:val="16"/>
              </w:rPr>
              <w:t>Progress</w:t>
            </w:r>
          </w:p>
        </w:tc>
      </w:tr>
      <w:tr w:rsidR="001F223A" w:rsidRPr="00A530E1" w:rsidTr="00641155">
        <w:trPr>
          <w:trHeight w:hRule="exact" w:val="113"/>
          <w:tblHeader/>
        </w:trPr>
        <w:tc>
          <w:tcPr>
            <w:tcW w:w="4816" w:type="dxa"/>
            <w:tcBorders>
              <w:top w:val="single" w:sz="12" w:space="0" w:color="auto"/>
            </w:tcBorders>
            <w:shd w:val="clear" w:color="auto" w:fill="auto"/>
            <w:vAlign w:val="bottom"/>
          </w:tcPr>
          <w:p w:rsidR="001F223A" w:rsidRPr="00A530E1" w:rsidRDefault="001F223A" w:rsidP="001F223A">
            <w:pPr>
              <w:spacing w:before="40" w:after="120"/>
              <w:ind w:right="113"/>
              <w:rPr>
                <w:i/>
                <w:sz w:val="16"/>
              </w:rPr>
            </w:pPr>
          </w:p>
        </w:tc>
        <w:tc>
          <w:tcPr>
            <w:tcW w:w="4823" w:type="dxa"/>
            <w:tcBorders>
              <w:top w:val="single" w:sz="12" w:space="0" w:color="auto"/>
            </w:tcBorders>
            <w:shd w:val="clear" w:color="auto" w:fill="auto"/>
            <w:vAlign w:val="bottom"/>
          </w:tcPr>
          <w:p w:rsidR="001F223A" w:rsidRPr="00A530E1" w:rsidRDefault="001F223A" w:rsidP="001F223A">
            <w:pPr>
              <w:spacing w:before="40" w:after="120"/>
              <w:ind w:right="113"/>
              <w:rPr>
                <w:i/>
                <w:sz w:val="16"/>
              </w:rPr>
            </w:pPr>
          </w:p>
        </w:tc>
      </w:tr>
      <w:tr w:rsidR="00396CCE" w:rsidRPr="00A530E1" w:rsidTr="001F223A">
        <w:tc>
          <w:tcPr>
            <w:tcW w:w="4816" w:type="dxa"/>
            <w:shd w:val="clear" w:color="auto" w:fill="auto"/>
          </w:tcPr>
          <w:p w:rsidR="00396CCE" w:rsidRPr="00A530E1" w:rsidRDefault="00396CCE" w:rsidP="00F063C5">
            <w:pPr>
              <w:spacing w:before="40" w:after="120"/>
              <w:ind w:right="113"/>
            </w:pPr>
            <w:r w:rsidRPr="00A530E1">
              <w:t>Measures to facilitate the personal mobility of persons with disabilities, including the use of signal indicators and street signs for accessibility, in the manner and the time of their choice, as well as their access to forms of assistance (human, animal, or assistive technologies and devices), at an affordable cost</w:t>
            </w:r>
          </w:p>
        </w:tc>
        <w:tc>
          <w:tcPr>
            <w:tcW w:w="4823" w:type="dxa"/>
            <w:shd w:val="clear" w:color="auto" w:fill="auto"/>
          </w:tcPr>
          <w:p w:rsidR="00396CCE" w:rsidRPr="00A530E1" w:rsidRDefault="00396CCE" w:rsidP="00F063C5">
            <w:pPr>
              <w:spacing w:before="40" w:after="120"/>
              <w:ind w:right="113"/>
            </w:pPr>
            <w:r w:rsidRPr="00A530E1">
              <w:t>The full entry into force of the Offences and Penalties Act this year will encourage appropriate budget management by municipalities, regional governments and ministries in order to redress and improve accessibility conditions for the free movement of persons with disabilities.</w:t>
            </w:r>
          </w:p>
          <w:p w:rsidR="00396CCE" w:rsidRPr="00A530E1" w:rsidRDefault="00396CCE" w:rsidP="00F063C5">
            <w:pPr>
              <w:spacing w:before="40" w:after="120"/>
              <w:ind w:right="113"/>
            </w:pPr>
            <w:r w:rsidRPr="00A530E1">
              <w:t>The Traffic Code adopted in July 2009 establishes penalties for the improper use of parking areas reserved for vehicles driven by or carrying persons with disabilities. To the same end, CONADIS began issuing vehicle stickers in December 2009.</w:t>
            </w:r>
          </w:p>
          <w:p w:rsidR="00396CCE" w:rsidRPr="00A530E1" w:rsidRDefault="00396CCE" w:rsidP="00F063C5">
            <w:pPr>
              <w:spacing w:before="40" w:after="120"/>
              <w:ind w:right="113"/>
            </w:pPr>
            <w:r w:rsidRPr="00A530E1">
              <w:t>In the Metropolitan Municipality of Lima, under an ordinance governing the urban public transport system, a fine of 720 nuevos soles (nearly US$ 250) is imposed on public transport companies that refuse to pick up schoolchildren, elderly people, children, pregnant women or persons with disabilities from bus stops when there is room in the vehicle.</w:t>
            </w:r>
          </w:p>
        </w:tc>
      </w:tr>
      <w:tr w:rsidR="00396CCE" w:rsidRPr="00A530E1" w:rsidTr="00167501">
        <w:tc>
          <w:tcPr>
            <w:tcW w:w="4816" w:type="dxa"/>
            <w:shd w:val="clear" w:color="auto" w:fill="auto"/>
          </w:tcPr>
          <w:p w:rsidR="00396CCE" w:rsidRPr="00A530E1" w:rsidRDefault="00396CCE" w:rsidP="00F063C5">
            <w:pPr>
              <w:spacing w:before="40" w:after="120"/>
              <w:ind w:right="113"/>
            </w:pPr>
            <w:r w:rsidRPr="00A530E1">
              <w:t>Measures taken to ensure that the technologies are high quality, affordable and user-friendly</w:t>
            </w:r>
          </w:p>
        </w:tc>
        <w:tc>
          <w:tcPr>
            <w:tcW w:w="4823" w:type="dxa"/>
            <w:shd w:val="clear" w:color="auto" w:fill="auto"/>
          </w:tcPr>
          <w:p w:rsidR="00396CCE" w:rsidRPr="00A530E1" w:rsidRDefault="00396CCE" w:rsidP="00F063C5">
            <w:pPr>
              <w:spacing w:before="40" w:after="120"/>
              <w:ind w:right="113"/>
            </w:pPr>
            <w:r w:rsidRPr="00A530E1">
              <w:t>Ministerial Decision No. 126-2009-PCM sets out guidelines for public institutions belonging to the National Information Technology System concerning the accessibility of web pages and mobile telephone applications. These agencies have 30 months in which to implement that decision and, to that end, are expected to include the necessary activities in their informatics operating plans.</w:t>
            </w:r>
          </w:p>
        </w:tc>
      </w:tr>
      <w:tr w:rsidR="00396CCE" w:rsidRPr="00A530E1" w:rsidTr="00167501">
        <w:tc>
          <w:tcPr>
            <w:tcW w:w="4816" w:type="dxa"/>
            <w:shd w:val="clear" w:color="auto" w:fill="auto"/>
          </w:tcPr>
          <w:p w:rsidR="00396CCE" w:rsidRPr="00A530E1" w:rsidRDefault="00396CCE" w:rsidP="00F063C5">
            <w:pPr>
              <w:spacing w:before="40" w:after="120"/>
              <w:ind w:right="113"/>
            </w:pPr>
            <w:r w:rsidRPr="00A530E1">
              <w:t>Measures taken to give training in mobility skills to persons with disabilities and specialist staff</w:t>
            </w:r>
          </w:p>
        </w:tc>
        <w:tc>
          <w:tcPr>
            <w:tcW w:w="4823" w:type="dxa"/>
            <w:shd w:val="clear" w:color="auto" w:fill="auto"/>
          </w:tcPr>
          <w:p w:rsidR="00396CCE" w:rsidRPr="00A530E1" w:rsidRDefault="00396CCE" w:rsidP="00F063C5">
            <w:pPr>
              <w:spacing w:before="40" w:after="120"/>
              <w:ind w:right="113"/>
            </w:pPr>
            <w:r w:rsidRPr="00A530E1">
              <w:t>Preparation of the draft implementing regulations for Act No. 28735, which governs the provision of services to persons with disabilities, pregnant women and older people in airports</w:t>
            </w:r>
            <w:r w:rsidR="00763228">
              <w:t>;</w:t>
            </w:r>
            <w:r w:rsidRPr="00A530E1">
              <w:t xml:space="preserve"> airfields, land, rail, sea and river terminals</w:t>
            </w:r>
            <w:r w:rsidR="00763228">
              <w:t>;</w:t>
            </w:r>
            <w:r w:rsidRPr="00A530E1">
              <w:t xml:space="preserve"> and public transport facilities.</w:t>
            </w:r>
          </w:p>
        </w:tc>
      </w:tr>
      <w:tr w:rsidR="00396CCE" w:rsidRPr="00A530E1" w:rsidTr="00167501">
        <w:tc>
          <w:tcPr>
            <w:tcW w:w="4816" w:type="dxa"/>
            <w:tcBorders>
              <w:bottom w:val="single" w:sz="12" w:space="0" w:color="auto"/>
            </w:tcBorders>
            <w:shd w:val="clear" w:color="auto" w:fill="auto"/>
          </w:tcPr>
          <w:p w:rsidR="00396CCE" w:rsidRPr="00A530E1" w:rsidRDefault="00396CCE" w:rsidP="00F063C5">
            <w:pPr>
              <w:spacing w:before="40" w:after="120"/>
              <w:ind w:right="113"/>
            </w:pPr>
            <w:r w:rsidRPr="00A530E1">
              <w:t>Measures taken to encourage entities that produce mobility aids, devices and assistive technologies to take into account all aspects of mobility for persons with disabilities</w:t>
            </w:r>
          </w:p>
        </w:tc>
        <w:tc>
          <w:tcPr>
            <w:tcW w:w="4823" w:type="dxa"/>
            <w:tcBorders>
              <w:bottom w:val="single" w:sz="12" w:space="0" w:color="auto"/>
            </w:tcBorders>
            <w:shd w:val="clear" w:color="auto" w:fill="auto"/>
          </w:tcPr>
          <w:p w:rsidR="00396CCE" w:rsidRPr="00A530E1" w:rsidRDefault="00396CCE" w:rsidP="00F063C5">
            <w:pPr>
              <w:spacing w:before="40" w:after="120"/>
              <w:ind w:right="113"/>
            </w:pPr>
            <w:r w:rsidRPr="00A530E1">
              <w:t>A draft supreme decree has been prepared for the issuance of regulations under which tax exemptions will be granted for the importation of special vehicles and prosthesis for the exclusive use of persons with disabilities.</w:t>
            </w:r>
          </w:p>
          <w:p w:rsidR="00396CCE" w:rsidRPr="00A530E1" w:rsidRDefault="00396CCE" w:rsidP="00F063C5">
            <w:pPr>
              <w:spacing w:before="40" w:after="120"/>
              <w:ind w:right="113"/>
            </w:pPr>
            <w:r w:rsidRPr="00A530E1">
              <w:t>In the strategic programme on disability, which is currently in the design phase under the supervision of the Ministry of Economic Affairs and Finance, provision has been made for the creation of a programme on biomechanical and compensatory aids that will include national workshops for the production and repair of such devices.</w:t>
            </w:r>
          </w:p>
        </w:tc>
      </w:tr>
    </w:tbl>
    <w:p w:rsidR="00396CCE" w:rsidRPr="00A530E1" w:rsidRDefault="00396CCE" w:rsidP="00396CCE">
      <w:pPr>
        <w:pStyle w:val="H23G"/>
      </w:pPr>
      <w:r w:rsidRPr="00A530E1">
        <w:tab/>
        <w:t>15.</w:t>
      </w:r>
      <w:r w:rsidRPr="00A530E1">
        <w:tab/>
        <w:t>Article 21: Freedom of expression and opinion, and access to information</w:t>
      </w:r>
    </w:p>
    <w:p w:rsidR="00396CCE" w:rsidRPr="00A530E1" w:rsidRDefault="00396CCE" w:rsidP="00396CCE">
      <w:pPr>
        <w:pStyle w:val="SingleTxtG"/>
      </w:pPr>
      <w:r w:rsidRPr="00A530E1">
        <w:t>73.</w:t>
      </w:r>
      <w:r w:rsidRPr="00A530E1">
        <w:tab/>
        <w:t>This article recognizes the right of persons with disabilities to freedom of expression and opinion, including the freedom to seek, receive and impart information and ideas through all forms of communication of their choice.</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816"/>
        <w:gridCol w:w="4823"/>
      </w:tblGrid>
      <w:tr w:rsidR="00396CCE" w:rsidRPr="00A530E1" w:rsidTr="00167501">
        <w:trPr>
          <w:tblHeader/>
        </w:trPr>
        <w:tc>
          <w:tcPr>
            <w:tcW w:w="4816" w:type="dxa"/>
            <w:tcBorders>
              <w:top w:val="single" w:sz="4" w:space="0" w:color="auto"/>
              <w:bottom w:val="single" w:sz="12" w:space="0" w:color="auto"/>
            </w:tcBorders>
            <w:shd w:val="clear" w:color="auto" w:fill="auto"/>
            <w:vAlign w:val="bottom"/>
          </w:tcPr>
          <w:p w:rsidR="00396CCE" w:rsidRPr="00A530E1" w:rsidRDefault="00396CCE" w:rsidP="00F063C5">
            <w:pPr>
              <w:spacing w:before="80" w:after="80" w:line="200" w:lineRule="exact"/>
              <w:ind w:right="113"/>
              <w:rPr>
                <w:i/>
                <w:sz w:val="16"/>
              </w:rPr>
            </w:pPr>
            <w:r w:rsidRPr="00A530E1">
              <w:rPr>
                <w:i/>
                <w:sz w:val="16"/>
              </w:rPr>
              <w:t>Report on</w:t>
            </w:r>
          </w:p>
        </w:tc>
        <w:tc>
          <w:tcPr>
            <w:tcW w:w="4823" w:type="dxa"/>
            <w:tcBorders>
              <w:top w:val="single" w:sz="4" w:space="0" w:color="auto"/>
              <w:bottom w:val="single" w:sz="12" w:space="0" w:color="auto"/>
            </w:tcBorders>
            <w:shd w:val="clear" w:color="auto" w:fill="auto"/>
            <w:vAlign w:val="bottom"/>
          </w:tcPr>
          <w:p w:rsidR="00396CCE" w:rsidRPr="00A530E1" w:rsidRDefault="00396CCE" w:rsidP="00F063C5">
            <w:pPr>
              <w:spacing w:before="80" w:after="80" w:line="200" w:lineRule="exact"/>
              <w:ind w:right="113"/>
              <w:rPr>
                <w:i/>
                <w:sz w:val="16"/>
              </w:rPr>
            </w:pPr>
            <w:r w:rsidRPr="00A530E1">
              <w:rPr>
                <w:i/>
                <w:sz w:val="16"/>
              </w:rPr>
              <w:t>Progress</w:t>
            </w:r>
          </w:p>
        </w:tc>
      </w:tr>
      <w:tr w:rsidR="00396CCE" w:rsidRPr="00A530E1" w:rsidTr="00167501">
        <w:trPr>
          <w:trHeight w:hRule="exact" w:val="113"/>
          <w:tblHeader/>
        </w:trPr>
        <w:tc>
          <w:tcPr>
            <w:tcW w:w="4816" w:type="dxa"/>
            <w:tcBorders>
              <w:top w:val="single" w:sz="12" w:space="0" w:color="auto"/>
            </w:tcBorders>
            <w:shd w:val="clear" w:color="auto" w:fill="auto"/>
          </w:tcPr>
          <w:p w:rsidR="00396CCE" w:rsidRPr="00A530E1" w:rsidRDefault="00396CCE" w:rsidP="00F063C5">
            <w:pPr>
              <w:spacing w:before="40" w:after="120"/>
              <w:ind w:right="113"/>
            </w:pPr>
          </w:p>
        </w:tc>
        <w:tc>
          <w:tcPr>
            <w:tcW w:w="4823" w:type="dxa"/>
            <w:tcBorders>
              <w:top w:val="single" w:sz="12" w:space="0" w:color="auto"/>
            </w:tcBorders>
            <w:shd w:val="clear" w:color="auto" w:fill="auto"/>
          </w:tcPr>
          <w:p w:rsidR="00396CCE" w:rsidRPr="00A530E1" w:rsidRDefault="00396CCE" w:rsidP="00F063C5">
            <w:pPr>
              <w:spacing w:before="40" w:after="120"/>
              <w:ind w:right="113"/>
            </w:pPr>
          </w:p>
        </w:tc>
      </w:tr>
      <w:tr w:rsidR="00396CCE" w:rsidRPr="00A530E1" w:rsidTr="00167501">
        <w:tc>
          <w:tcPr>
            <w:tcW w:w="4816" w:type="dxa"/>
            <w:shd w:val="clear" w:color="auto" w:fill="auto"/>
          </w:tcPr>
          <w:p w:rsidR="00396CCE" w:rsidRPr="00A530E1" w:rsidRDefault="00396CCE" w:rsidP="00F063C5">
            <w:pPr>
              <w:spacing w:before="40" w:after="120"/>
              <w:ind w:right="113"/>
            </w:pPr>
            <w:r w:rsidRPr="00A530E1">
              <w:t>Legislative and other measures taken to ensure that information provided to the general public is accessible to persons with disabilities in a timely manner and without additional cost</w:t>
            </w:r>
          </w:p>
        </w:tc>
        <w:tc>
          <w:tcPr>
            <w:tcW w:w="4823" w:type="dxa"/>
            <w:shd w:val="clear" w:color="auto" w:fill="auto"/>
          </w:tcPr>
          <w:p w:rsidR="00396CCE" w:rsidRPr="00A530E1" w:rsidRDefault="00396CCE" w:rsidP="00F063C5">
            <w:pPr>
              <w:spacing w:before="40" w:after="120"/>
              <w:ind w:right="113"/>
            </w:pPr>
            <w:r w:rsidRPr="00A530E1">
              <w:t>The General Act on Persons with Disabilities regulates broadcasts of subtitled television programmes to facilitate access to information.</w:t>
            </w:r>
          </w:p>
          <w:p w:rsidR="00396CCE" w:rsidRPr="00A530E1" w:rsidRDefault="00396CCE" w:rsidP="00F063C5">
            <w:pPr>
              <w:spacing w:before="40" w:after="120"/>
              <w:ind w:right="113"/>
            </w:pPr>
            <w:r w:rsidRPr="00A530E1">
              <w:t>Adoption of the implementing regulations for Act No. 28530, which deals with the promotion of Internet access for persons with disabilities and the modification of public Internet booths.</w:t>
            </w:r>
          </w:p>
        </w:tc>
      </w:tr>
      <w:tr w:rsidR="00396CCE" w:rsidRPr="00A530E1" w:rsidTr="00167501">
        <w:tc>
          <w:tcPr>
            <w:tcW w:w="4816" w:type="dxa"/>
            <w:shd w:val="clear" w:color="auto" w:fill="auto"/>
          </w:tcPr>
          <w:p w:rsidR="00396CCE" w:rsidRPr="00A530E1" w:rsidRDefault="00396CCE" w:rsidP="00F063C5">
            <w:pPr>
              <w:spacing w:before="40" w:after="120"/>
              <w:ind w:right="113"/>
            </w:pPr>
            <w:r w:rsidRPr="00A530E1">
              <w:t>Legislative and other measures taken to ensure that persons with disabilities can use their preferred means of communication in all forms of official interaction and access to information, such as sign language, Braille, augmentative and alternative communication, and all other accessible means</w:t>
            </w:r>
          </w:p>
        </w:tc>
        <w:tc>
          <w:tcPr>
            <w:tcW w:w="4823" w:type="dxa"/>
            <w:shd w:val="clear" w:color="auto" w:fill="auto"/>
          </w:tcPr>
          <w:p w:rsidR="00396CCE" w:rsidRPr="00A530E1" w:rsidRDefault="00396CCE" w:rsidP="00F063C5">
            <w:pPr>
              <w:spacing w:before="40" w:after="120"/>
              <w:ind w:right="113"/>
            </w:pPr>
            <w:r w:rsidRPr="00A530E1">
              <w:t>Congress adopted in plenary a law that defines deaf-blindness as a single disability, and the State therefore recognizes sign language, dactylology and Braille as official communication systems; persons with that disability are free to choose the system of communication which they wish to use. This law further establishes that public and private bodies and institutions that supply public services or serve the public must provide deaf-blind persons with a guide or interpreter, free of charge and on a progressive basis, whenever required. Such bodies and institutions must allow deaf-blind persons to be accompanied by officially recognized guides or interpreters.</w:t>
            </w:r>
          </w:p>
        </w:tc>
      </w:tr>
      <w:tr w:rsidR="00396CCE" w:rsidRPr="00A530E1" w:rsidTr="00167501">
        <w:tc>
          <w:tcPr>
            <w:tcW w:w="4816" w:type="dxa"/>
            <w:shd w:val="clear" w:color="auto" w:fill="auto"/>
          </w:tcPr>
          <w:p w:rsidR="00396CCE" w:rsidRPr="00A530E1" w:rsidRDefault="00396CCE" w:rsidP="00F063C5">
            <w:pPr>
              <w:spacing w:before="40" w:after="120"/>
              <w:ind w:right="113"/>
            </w:pPr>
            <w:r w:rsidRPr="00A530E1">
              <w:t>Measures taken to urge private entities and mass media to provide their information and services in an accessible form for persons with disabilities, including measures taken to prevent the blocking or restriction of access to information in alternative formats by the private sector</w:t>
            </w:r>
          </w:p>
        </w:tc>
        <w:tc>
          <w:tcPr>
            <w:tcW w:w="4823" w:type="dxa"/>
            <w:shd w:val="clear" w:color="auto" w:fill="auto"/>
          </w:tcPr>
          <w:p w:rsidR="00396CCE" w:rsidRPr="00A530E1" w:rsidRDefault="00396CCE" w:rsidP="00F063C5">
            <w:pPr>
              <w:spacing w:before="40" w:after="120"/>
              <w:ind w:right="113"/>
            </w:pPr>
            <w:r w:rsidRPr="00A530E1">
              <w:t>Act No. 28530, adopted in December 2009, declares that it is in the interest of society to promote access to the Internet and to the technologies required for integration into the information society and re-entry into the labour market.</w:t>
            </w:r>
          </w:p>
        </w:tc>
      </w:tr>
      <w:tr w:rsidR="00396CCE" w:rsidRPr="00A530E1" w:rsidTr="00167501">
        <w:tc>
          <w:tcPr>
            <w:tcW w:w="4816" w:type="dxa"/>
            <w:shd w:val="clear" w:color="auto" w:fill="auto"/>
          </w:tcPr>
          <w:p w:rsidR="00396CCE" w:rsidRPr="00A530E1" w:rsidRDefault="00396CCE" w:rsidP="00F063C5">
            <w:pPr>
              <w:spacing w:before="40" w:after="120"/>
              <w:ind w:right="113"/>
            </w:pPr>
            <w:r w:rsidRPr="00A530E1">
              <w:t>Degree of accessibility of mass media and percentage of public websites that comply with the Web Accessibility Initiative (WAI) standards</w:t>
            </w:r>
          </w:p>
        </w:tc>
        <w:tc>
          <w:tcPr>
            <w:tcW w:w="4823" w:type="dxa"/>
            <w:shd w:val="clear" w:color="auto" w:fill="auto"/>
          </w:tcPr>
          <w:p w:rsidR="00396CCE" w:rsidRPr="00A530E1" w:rsidRDefault="00396CCE" w:rsidP="006214FF">
            <w:pPr>
              <w:spacing w:before="40" w:after="120"/>
              <w:ind w:right="113"/>
            </w:pPr>
            <w:r w:rsidRPr="00A530E1">
              <w:t>Act No. 28530 has recently entered into force but no relevant data have yet been recorded, as the system is still being set up under the supervision of the National e-Government Office of the Office of the President of the Council of Ministers.</w:t>
            </w:r>
          </w:p>
        </w:tc>
      </w:tr>
      <w:tr w:rsidR="00396CCE" w:rsidRPr="00A530E1" w:rsidTr="00167501">
        <w:tc>
          <w:tcPr>
            <w:tcW w:w="4816" w:type="dxa"/>
            <w:tcBorders>
              <w:bottom w:val="single" w:sz="12" w:space="0" w:color="auto"/>
            </w:tcBorders>
            <w:shd w:val="clear" w:color="auto" w:fill="auto"/>
          </w:tcPr>
          <w:p w:rsidR="00396CCE" w:rsidRPr="00A530E1" w:rsidRDefault="00396CCE" w:rsidP="00F063C5">
            <w:pPr>
              <w:spacing w:before="40" w:after="120"/>
              <w:ind w:right="113"/>
            </w:pPr>
            <w:r w:rsidRPr="00A530E1">
              <w:t>Legislative and other measures taken linked to the official recognition of sign language(s)</w:t>
            </w:r>
          </w:p>
        </w:tc>
        <w:tc>
          <w:tcPr>
            <w:tcW w:w="4823" w:type="dxa"/>
            <w:tcBorders>
              <w:bottom w:val="single" w:sz="12" w:space="0" w:color="auto"/>
            </w:tcBorders>
            <w:shd w:val="clear" w:color="auto" w:fill="auto"/>
          </w:tcPr>
          <w:p w:rsidR="00396CCE" w:rsidRPr="00A530E1" w:rsidRDefault="00396CCE" w:rsidP="00F063C5">
            <w:pPr>
              <w:spacing w:before="40" w:after="120"/>
              <w:ind w:right="113"/>
            </w:pPr>
            <w:r w:rsidRPr="00A530E1">
              <w:t>Adoption of the law under which deaf-blindness is recognized as a single disability.</w:t>
            </w:r>
          </w:p>
          <w:p w:rsidR="00396CCE" w:rsidRPr="00A530E1" w:rsidRDefault="00396CCE" w:rsidP="00F063C5">
            <w:pPr>
              <w:spacing w:before="40" w:after="120"/>
              <w:ind w:right="113"/>
            </w:pPr>
            <w:r w:rsidRPr="00A530E1">
              <w:t>The Congressional Health Commission unanimously approved a decision under which sign language is officially recognized as a means of communication for persons with hearing impairments.</w:t>
            </w:r>
          </w:p>
        </w:tc>
      </w:tr>
    </w:tbl>
    <w:p w:rsidR="00396CCE" w:rsidRPr="00A530E1" w:rsidRDefault="00396CCE" w:rsidP="00396CCE">
      <w:pPr>
        <w:pStyle w:val="H23G"/>
      </w:pPr>
      <w:r w:rsidRPr="00A530E1">
        <w:tab/>
        <w:t>16.</w:t>
      </w:r>
      <w:r w:rsidRPr="00A530E1">
        <w:tab/>
        <w:t>Article 22: Respect for privacy</w:t>
      </w:r>
    </w:p>
    <w:p w:rsidR="00396CCE" w:rsidRPr="00A530E1" w:rsidRDefault="00396CCE" w:rsidP="00396CCE">
      <w:pPr>
        <w:pStyle w:val="SingleTxtG"/>
      </w:pPr>
      <w:r w:rsidRPr="00A530E1">
        <w:t>74.</w:t>
      </w:r>
      <w:r w:rsidRPr="00A530E1">
        <w:tab/>
        <w:t>This article recognizes the right of all persons with disabilities to protection of their privacy, honour and reputation.</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816"/>
        <w:gridCol w:w="4823"/>
      </w:tblGrid>
      <w:tr w:rsidR="00396CCE" w:rsidRPr="00A530E1" w:rsidTr="003F0F01">
        <w:trPr>
          <w:tblHeader/>
        </w:trPr>
        <w:tc>
          <w:tcPr>
            <w:tcW w:w="4816" w:type="dxa"/>
            <w:tcBorders>
              <w:top w:val="single" w:sz="4" w:space="0" w:color="auto"/>
              <w:bottom w:val="single" w:sz="12" w:space="0" w:color="auto"/>
            </w:tcBorders>
            <w:shd w:val="clear" w:color="auto" w:fill="auto"/>
            <w:vAlign w:val="bottom"/>
          </w:tcPr>
          <w:p w:rsidR="00396CCE" w:rsidRPr="00A530E1" w:rsidRDefault="00396CCE" w:rsidP="00F063C5">
            <w:pPr>
              <w:spacing w:before="80" w:after="80" w:line="200" w:lineRule="exact"/>
              <w:ind w:right="113"/>
              <w:rPr>
                <w:i/>
                <w:sz w:val="16"/>
              </w:rPr>
            </w:pPr>
            <w:r w:rsidRPr="00A530E1">
              <w:rPr>
                <w:i/>
                <w:sz w:val="16"/>
              </w:rPr>
              <w:t>Report on</w:t>
            </w:r>
          </w:p>
        </w:tc>
        <w:tc>
          <w:tcPr>
            <w:tcW w:w="4823" w:type="dxa"/>
            <w:tcBorders>
              <w:top w:val="single" w:sz="4" w:space="0" w:color="auto"/>
              <w:bottom w:val="single" w:sz="12" w:space="0" w:color="auto"/>
            </w:tcBorders>
            <w:shd w:val="clear" w:color="auto" w:fill="auto"/>
            <w:vAlign w:val="bottom"/>
          </w:tcPr>
          <w:p w:rsidR="00396CCE" w:rsidRPr="00A530E1" w:rsidRDefault="00396CCE" w:rsidP="00F063C5">
            <w:pPr>
              <w:spacing w:before="80" w:after="80" w:line="200" w:lineRule="exact"/>
              <w:ind w:right="113"/>
              <w:rPr>
                <w:i/>
                <w:sz w:val="16"/>
              </w:rPr>
            </w:pPr>
            <w:r w:rsidRPr="00A530E1">
              <w:rPr>
                <w:i/>
                <w:sz w:val="16"/>
              </w:rPr>
              <w:t>Progress</w:t>
            </w:r>
          </w:p>
        </w:tc>
      </w:tr>
      <w:tr w:rsidR="00396CCE" w:rsidRPr="00A530E1" w:rsidTr="003F0F01">
        <w:trPr>
          <w:trHeight w:hRule="exact" w:val="113"/>
          <w:tblHeader/>
        </w:trPr>
        <w:tc>
          <w:tcPr>
            <w:tcW w:w="4816" w:type="dxa"/>
            <w:tcBorders>
              <w:top w:val="single" w:sz="12" w:space="0" w:color="auto"/>
            </w:tcBorders>
            <w:shd w:val="clear" w:color="auto" w:fill="auto"/>
          </w:tcPr>
          <w:p w:rsidR="00396CCE" w:rsidRPr="00A530E1" w:rsidRDefault="00396CCE" w:rsidP="00F063C5">
            <w:pPr>
              <w:spacing w:before="40" w:after="120"/>
              <w:ind w:right="113"/>
            </w:pPr>
          </w:p>
        </w:tc>
        <w:tc>
          <w:tcPr>
            <w:tcW w:w="4823" w:type="dxa"/>
            <w:tcBorders>
              <w:top w:val="single" w:sz="12" w:space="0" w:color="auto"/>
            </w:tcBorders>
            <w:shd w:val="clear" w:color="auto" w:fill="auto"/>
          </w:tcPr>
          <w:p w:rsidR="00396CCE" w:rsidRPr="00A530E1" w:rsidRDefault="00396CCE" w:rsidP="00F063C5">
            <w:pPr>
              <w:spacing w:before="40" w:after="120"/>
              <w:ind w:right="113"/>
            </w:pPr>
          </w:p>
        </w:tc>
      </w:tr>
      <w:tr w:rsidR="00396CCE" w:rsidRPr="00A530E1" w:rsidTr="003F0F01">
        <w:tc>
          <w:tcPr>
            <w:tcW w:w="4816" w:type="dxa"/>
            <w:shd w:val="clear" w:color="auto" w:fill="auto"/>
          </w:tcPr>
          <w:p w:rsidR="00396CCE" w:rsidRPr="00A530E1" w:rsidRDefault="00396CCE" w:rsidP="00F063C5">
            <w:pPr>
              <w:spacing w:before="40" w:after="120"/>
              <w:ind w:right="113"/>
            </w:pPr>
            <w:r w:rsidRPr="00A530E1">
              <w:t>Measures taken to protect the privacy of personal, health and rehabilitation related information of persons with disabilities</w:t>
            </w:r>
          </w:p>
        </w:tc>
        <w:tc>
          <w:tcPr>
            <w:tcW w:w="4823" w:type="dxa"/>
            <w:shd w:val="clear" w:color="auto" w:fill="auto"/>
          </w:tcPr>
          <w:p w:rsidR="00396CCE" w:rsidRPr="00A530E1" w:rsidRDefault="00396CCE" w:rsidP="00F063C5">
            <w:pPr>
              <w:spacing w:before="40" w:after="120"/>
              <w:ind w:right="113"/>
            </w:pPr>
            <w:r w:rsidRPr="00A530E1">
              <w:t>The General Act on Persons with Disabilities authorizes CONADIS to compile a national register of persons with disabilities. That register currently contains entries on 71,000 individuals. All such information is confidential and may be disclosed only under court order.</w:t>
            </w:r>
          </w:p>
        </w:tc>
      </w:tr>
      <w:tr w:rsidR="00396CCE" w:rsidRPr="00A530E1" w:rsidTr="003F0F01">
        <w:tc>
          <w:tcPr>
            <w:tcW w:w="4816" w:type="dxa"/>
            <w:tcBorders>
              <w:bottom w:val="single" w:sz="12" w:space="0" w:color="auto"/>
            </w:tcBorders>
            <w:shd w:val="clear" w:color="auto" w:fill="auto"/>
          </w:tcPr>
          <w:p w:rsidR="00396CCE" w:rsidRPr="00A530E1" w:rsidRDefault="00396CCE" w:rsidP="00F063C5">
            <w:pPr>
              <w:spacing w:before="40" w:after="120"/>
              <w:ind w:right="113"/>
            </w:pPr>
            <w:r w:rsidRPr="00A530E1">
              <w:t>Measures taken so that persons with disabilities not be concealed on the pretext of protection of privacy</w:t>
            </w:r>
          </w:p>
        </w:tc>
        <w:tc>
          <w:tcPr>
            <w:tcW w:w="4823" w:type="dxa"/>
            <w:tcBorders>
              <w:bottom w:val="single" w:sz="12" w:space="0" w:color="auto"/>
            </w:tcBorders>
            <w:shd w:val="clear" w:color="auto" w:fill="auto"/>
          </w:tcPr>
          <w:p w:rsidR="00396CCE" w:rsidRPr="00A530E1" w:rsidRDefault="00396CCE" w:rsidP="00F063C5">
            <w:pPr>
              <w:spacing w:before="40" w:after="120"/>
              <w:ind w:right="113"/>
            </w:pPr>
            <w:r w:rsidRPr="00A530E1">
              <w:t>The 2009 UNDP report on the level of human development in Peru highlights the important role played by RENIEC in converting the documentation process (issuance of national identity documents) into a matter of public policy and in countering sociocultural patterns associated with the tendency to keep relatives with disabilities out of sight.</w:t>
            </w:r>
          </w:p>
        </w:tc>
      </w:tr>
    </w:tbl>
    <w:p w:rsidR="00396CCE" w:rsidRPr="00A530E1" w:rsidRDefault="00396CCE" w:rsidP="00396CCE">
      <w:pPr>
        <w:pStyle w:val="H23G"/>
      </w:pPr>
      <w:r w:rsidRPr="00A530E1">
        <w:tab/>
        <w:t>17.</w:t>
      </w:r>
      <w:r w:rsidRPr="00A530E1">
        <w:tab/>
        <w:t>Article 23: Respect for home and the family</w:t>
      </w:r>
    </w:p>
    <w:p w:rsidR="00396CCE" w:rsidRPr="00A530E1" w:rsidRDefault="00396CCE" w:rsidP="00396CCE">
      <w:pPr>
        <w:pStyle w:val="SingleTxtG"/>
      </w:pPr>
      <w:r w:rsidRPr="00A530E1">
        <w:t>75.</w:t>
      </w:r>
      <w:r w:rsidRPr="00A530E1">
        <w:tab/>
        <w:t>This article recognizes the rights of persons with disabilities to marry and to found a family, to decide freely on the number of children to have and to retain their fertility on an equal basis with others.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816"/>
        <w:gridCol w:w="4823"/>
      </w:tblGrid>
      <w:tr w:rsidR="00396CCE" w:rsidRPr="00A530E1" w:rsidTr="003F0F01">
        <w:trPr>
          <w:tblHeader/>
        </w:trPr>
        <w:tc>
          <w:tcPr>
            <w:tcW w:w="4816" w:type="dxa"/>
            <w:tcBorders>
              <w:top w:val="single" w:sz="4" w:space="0" w:color="auto"/>
              <w:bottom w:val="single" w:sz="12" w:space="0" w:color="auto"/>
            </w:tcBorders>
            <w:shd w:val="clear" w:color="auto" w:fill="auto"/>
            <w:vAlign w:val="bottom"/>
          </w:tcPr>
          <w:p w:rsidR="00396CCE" w:rsidRPr="00A530E1" w:rsidRDefault="00396CCE" w:rsidP="00F063C5">
            <w:pPr>
              <w:spacing w:before="80" w:after="80" w:line="200" w:lineRule="exact"/>
              <w:ind w:right="113"/>
              <w:rPr>
                <w:i/>
                <w:sz w:val="16"/>
              </w:rPr>
            </w:pPr>
            <w:r w:rsidRPr="00A530E1">
              <w:rPr>
                <w:i/>
                <w:sz w:val="16"/>
              </w:rPr>
              <w:t xml:space="preserve">Report on </w:t>
            </w:r>
          </w:p>
        </w:tc>
        <w:tc>
          <w:tcPr>
            <w:tcW w:w="4823" w:type="dxa"/>
            <w:tcBorders>
              <w:top w:val="single" w:sz="4" w:space="0" w:color="auto"/>
              <w:bottom w:val="single" w:sz="12" w:space="0" w:color="auto"/>
            </w:tcBorders>
            <w:shd w:val="clear" w:color="auto" w:fill="auto"/>
            <w:vAlign w:val="bottom"/>
          </w:tcPr>
          <w:p w:rsidR="00396CCE" w:rsidRPr="00A530E1" w:rsidRDefault="00396CCE" w:rsidP="00F063C5">
            <w:pPr>
              <w:spacing w:before="80" w:after="80" w:line="200" w:lineRule="exact"/>
              <w:ind w:right="113"/>
              <w:rPr>
                <w:i/>
                <w:sz w:val="16"/>
              </w:rPr>
            </w:pPr>
            <w:r w:rsidRPr="00A530E1">
              <w:rPr>
                <w:i/>
                <w:sz w:val="16"/>
              </w:rPr>
              <w:t>Progress</w:t>
            </w:r>
          </w:p>
        </w:tc>
      </w:tr>
      <w:tr w:rsidR="00396CCE" w:rsidRPr="00A530E1" w:rsidTr="003F0F01">
        <w:trPr>
          <w:trHeight w:hRule="exact" w:val="113"/>
          <w:tblHeader/>
        </w:trPr>
        <w:tc>
          <w:tcPr>
            <w:tcW w:w="4816" w:type="dxa"/>
            <w:tcBorders>
              <w:top w:val="single" w:sz="12" w:space="0" w:color="auto"/>
            </w:tcBorders>
            <w:shd w:val="clear" w:color="auto" w:fill="auto"/>
          </w:tcPr>
          <w:p w:rsidR="00396CCE" w:rsidRPr="00A530E1" w:rsidRDefault="00396CCE" w:rsidP="00F063C5">
            <w:pPr>
              <w:spacing w:before="40" w:after="120"/>
              <w:ind w:right="113"/>
            </w:pPr>
          </w:p>
        </w:tc>
        <w:tc>
          <w:tcPr>
            <w:tcW w:w="4823" w:type="dxa"/>
            <w:tcBorders>
              <w:top w:val="single" w:sz="12" w:space="0" w:color="auto"/>
            </w:tcBorders>
            <w:shd w:val="clear" w:color="auto" w:fill="auto"/>
          </w:tcPr>
          <w:p w:rsidR="00396CCE" w:rsidRPr="00A530E1" w:rsidRDefault="00396CCE" w:rsidP="00F063C5">
            <w:pPr>
              <w:spacing w:before="40" w:after="120"/>
              <w:ind w:right="113"/>
            </w:pPr>
          </w:p>
        </w:tc>
      </w:tr>
      <w:tr w:rsidR="00396CCE" w:rsidRPr="00A530E1" w:rsidTr="003F0F01">
        <w:tc>
          <w:tcPr>
            <w:tcW w:w="4816" w:type="dxa"/>
            <w:shd w:val="clear" w:color="auto" w:fill="auto"/>
          </w:tcPr>
          <w:p w:rsidR="00396CCE" w:rsidRPr="00A530E1" w:rsidRDefault="00396CCE" w:rsidP="00F063C5">
            <w:pPr>
              <w:spacing w:before="40" w:after="120"/>
              <w:ind w:right="113"/>
            </w:pPr>
            <w:r w:rsidRPr="00A530E1">
              <w:t>Measures taken to ensure that persons with disabilities may exercise the right to marry and to found a family on the basis of full and free consent</w:t>
            </w:r>
          </w:p>
        </w:tc>
        <w:tc>
          <w:tcPr>
            <w:tcW w:w="4823" w:type="dxa"/>
            <w:shd w:val="clear" w:color="auto" w:fill="auto"/>
          </w:tcPr>
          <w:p w:rsidR="00396CCE" w:rsidRPr="00A530E1" w:rsidRDefault="00396CCE" w:rsidP="00F063C5">
            <w:pPr>
              <w:spacing w:before="40" w:after="120"/>
              <w:ind w:right="113"/>
            </w:pPr>
            <w:r w:rsidRPr="00A530E1">
              <w:t>A bill has been submitted to amend articles 43, 241 and 274 of the Civil Code, which currently state that persons who are deaf</w:t>
            </w:r>
            <w:r w:rsidR="006F3DD8">
              <w:t xml:space="preserve"> </w:t>
            </w:r>
            <w:r w:rsidRPr="00A530E1">
              <w:t>mutes, deaf-blind or blind-mutes and who are unable to unequivocally express their will as a result of their absolute legal disability may not marry and that this situation constitutes grounds for annulment.</w:t>
            </w:r>
          </w:p>
        </w:tc>
      </w:tr>
      <w:tr w:rsidR="00396CCE" w:rsidRPr="00A530E1" w:rsidTr="003F0F01">
        <w:tc>
          <w:tcPr>
            <w:tcW w:w="4816" w:type="dxa"/>
            <w:shd w:val="clear" w:color="auto" w:fill="auto"/>
          </w:tcPr>
          <w:p w:rsidR="00396CCE" w:rsidRPr="00A530E1" w:rsidRDefault="00396CCE" w:rsidP="00F063C5">
            <w:pPr>
              <w:spacing w:before="40" w:after="120"/>
              <w:ind w:right="113"/>
            </w:pPr>
            <w:r w:rsidRPr="00A530E1">
              <w:t>Measures taken so that persons with disabilities have access to family planning, assistive reproduction and adoption or fostering programmes</w:t>
            </w:r>
          </w:p>
        </w:tc>
        <w:tc>
          <w:tcPr>
            <w:tcW w:w="4823" w:type="dxa"/>
            <w:shd w:val="clear" w:color="auto" w:fill="auto"/>
          </w:tcPr>
          <w:p w:rsidR="00396CCE" w:rsidRPr="00A530E1" w:rsidRDefault="00396CCE" w:rsidP="00F063C5">
            <w:pPr>
              <w:spacing w:before="40" w:after="120"/>
              <w:ind w:right="113"/>
            </w:pPr>
            <w:r w:rsidRPr="00A530E1">
              <w:t>At the National Adoption Secretariat within the Ministry of Women and Social Development, applicants for adoption are given information and made aware of the priority adoption programme. In order to promote the adoption of children, the register and its respective files are constantly being updated.</w:t>
            </w:r>
          </w:p>
          <w:p w:rsidR="00396CCE" w:rsidRPr="00A530E1" w:rsidRDefault="00396CCE" w:rsidP="00F063C5">
            <w:pPr>
              <w:spacing w:before="40" w:after="120"/>
              <w:ind w:right="113"/>
            </w:pPr>
            <w:r w:rsidRPr="00A530E1">
              <w:t>Information on the “Ángeles que aguardan” (angels in waiting) priority adoption initiative has been posted on the Ministry’s website since 2008 with the aim of promoting the adoption of boys and girls over the age of 8 years, adolescents and groups of siblings with disabilities or health problems.</w:t>
            </w:r>
          </w:p>
          <w:p w:rsidR="00396CCE" w:rsidRPr="00A530E1" w:rsidRDefault="00396CCE" w:rsidP="00F063C5">
            <w:pPr>
              <w:spacing w:before="40" w:after="120"/>
              <w:ind w:right="113"/>
            </w:pPr>
            <w:r w:rsidRPr="00A530E1">
              <w:t>The National Adoption Secretariat conducts monthly updates of statistics on children and adolescents with disabilities who have been abandoned. As of 8 April 2010, there were 142 such persons.</w:t>
            </w:r>
          </w:p>
        </w:tc>
      </w:tr>
      <w:tr w:rsidR="00396CCE" w:rsidRPr="00A530E1" w:rsidTr="003F0F01">
        <w:trPr>
          <w:trHeight w:val="85"/>
        </w:trPr>
        <w:tc>
          <w:tcPr>
            <w:tcW w:w="4816" w:type="dxa"/>
            <w:shd w:val="clear" w:color="auto" w:fill="auto"/>
          </w:tcPr>
          <w:p w:rsidR="00D95BFB" w:rsidRDefault="00396CCE" w:rsidP="00F063C5">
            <w:pPr>
              <w:spacing w:before="40" w:after="120"/>
              <w:ind w:right="113"/>
            </w:pPr>
            <w:r w:rsidRPr="00A530E1">
              <w:t>Measures taken to ensure that parents with disabilities, who so require, are provided with the adequate support in their child-rearing responsibilities, ensuring the parent-child relationship</w:t>
            </w:r>
          </w:p>
          <w:p w:rsidR="00A8461C" w:rsidRPr="00A530E1" w:rsidRDefault="00A8461C" w:rsidP="00F063C5">
            <w:pPr>
              <w:spacing w:before="40" w:after="120"/>
              <w:ind w:right="113"/>
            </w:pPr>
            <w:r w:rsidRPr="00A530E1">
              <w:t>Measures taken to ensure that no child is separated from her/his parents because of the disability of either the child or one or both of the parents</w:t>
            </w:r>
          </w:p>
        </w:tc>
        <w:tc>
          <w:tcPr>
            <w:tcW w:w="4823" w:type="dxa"/>
            <w:shd w:val="clear" w:color="auto" w:fill="auto"/>
          </w:tcPr>
          <w:p w:rsidR="00396CCE" w:rsidRPr="00A530E1" w:rsidRDefault="00396CCE" w:rsidP="00763228">
            <w:pPr>
              <w:pStyle w:val="Bullet1G"/>
              <w:keepNext/>
              <w:keepLines/>
              <w:tabs>
                <w:tab w:val="clear" w:pos="1701"/>
              </w:tabs>
              <w:spacing w:before="40"/>
              <w:ind w:left="170" w:right="113"/>
              <w:jc w:val="left"/>
            </w:pPr>
            <w:r w:rsidRPr="00A530E1">
              <w:t>The Children and Adolescents Code contains an article on the right of children and adolescents with disabilities to receive care, specialized education and vocational training and ongoing assisted health care.</w:t>
            </w:r>
          </w:p>
          <w:p w:rsidR="00396CCE" w:rsidRPr="00A530E1" w:rsidRDefault="00396CCE" w:rsidP="00763228">
            <w:pPr>
              <w:pStyle w:val="Bullet1G"/>
              <w:keepNext/>
              <w:keepLines/>
              <w:tabs>
                <w:tab w:val="clear" w:pos="1701"/>
              </w:tabs>
              <w:spacing w:before="40"/>
              <w:ind w:left="170" w:right="113"/>
              <w:jc w:val="left"/>
            </w:pPr>
            <w:r w:rsidRPr="00A530E1">
              <w:t>In view of the contribution that having an adequate food supply can make to family integration, the Ministry of Women and Social Development issued Ministerial Decision No. 034-2010-MIMDES, which formalizes the 2010 management agreement between the Ministry and local and provincial governments concerning the Food Supplement Programme (clause 5.22 on priority service for persons with disabilities under the Food Supplement Programme).</w:t>
            </w:r>
          </w:p>
        </w:tc>
      </w:tr>
      <w:tr w:rsidR="00396CCE" w:rsidRPr="00A530E1" w:rsidTr="003F0F01">
        <w:tc>
          <w:tcPr>
            <w:tcW w:w="4816" w:type="dxa"/>
            <w:shd w:val="clear" w:color="auto" w:fill="auto"/>
          </w:tcPr>
          <w:p w:rsidR="00396CCE" w:rsidRPr="00A530E1" w:rsidRDefault="00396CCE" w:rsidP="00F063C5">
            <w:pPr>
              <w:spacing w:before="40" w:after="120"/>
              <w:ind w:right="113"/>
            </w:pPr>
            <w:r w:rsidRPr="00A530E1">
              <w:t>Measures taken to support fathers and mothers, and the families of boys and girls with disabilities, in order to prevent concealment, abandonment, neglect or segregation of the boy or girl with a disability</w:t>
            </w:r>
          </w:p>
        </w:tc>
        <w:tc>
          <w:tcPr>
            <w:tcW w:w="4823" w:type="dxa"/>
            <w:shd w:val="clear" w:color="auto" w:fill="auto"/>
          </w:tcPr>
          <w:p w:rsidR="00396CCE" w:rsidRPr="00A530E1" w:rsidRDefault="00396CCE" w:rsidP="00F063C5">
            <w:pPr>
              <w:spacing w:before="40" w:after="120"/>
              <w:ind w:right="113"/>
            </w:pPr>
            <w:r w:rsidRPr="00A530E1">
              <w:t>The “Crecer Juntos” conditional cash transfer programme includes a component on identity and citizenship which encourages families to participate in the “Mi Nombre” (my name) programme for children and adults who lack birth certificates or national identity documents. The continuation of this policy is, in the State’s view, essential.</w:t>
            </w:r>
          </w:p>
          <w:p w:rsidR="00396CCE" w:rsidRPr="00A530E1" w:rsidRDefault="00396CCE" w:rsidP="00F063C5">
            <w:pPr>
              <w:spacing w:before="40" w:after="120"/>
              <w:ind w:right="113"/>
            </w:pPr>
            <w:r w:rsidRPr="00A530E1">
              <w:t>The issue of identity is also addressed by strategic programmes administered by the Ministry of Economic Affairs and Finance, which ensures appropriate funding for RENIEC.</w:t>
            </w:r>
          </w:p>
        </w:tc>
      </w:tr>
      <w:tr w:rsidR="00396CCE" w:rsidRPr="00A530E1" w:rsidTr="003F0F01">
        <w:tc>
          <w:tcPr>
            <w:tcW w:w="4816" w:type="dxa"/>
            <w:tcBorders>
              <w:bottom w:val="single" w:sz="12" w:space="0" w:color="auto"/>
            </w:tcBorders>
            <w:shd w:val="clear" w:color="auto" w:fill="auto"/>
          </w:tcPr>
          <w:p w:rsidR="00396CCE" w:rsidRPr="00A530E1" w:rsidRDefault="00396CCE" w:rsidP="00F063C5">
            <w:pPr>
              <w:spacing w:before="40" w:after="120"/>
              <w:ind w:right="113"/>
            </w:pPr>
            <w:r w:rsidRPr="00A530E1">
              <w:t>Measures taken to avoid institutionalization of boys and girls with disabilities whose parents are unable to care for them, and ensure that they are provided with alternative care from the wider family, or when this is not possible, in a family setting in the wider community</w:t>
            </w:r>
          </w:p>
        </w:tc>
        <w:tc>
          <w:tcPr>
            <w:tcW w:w="4823" w:type="dxa"/>
            <w:tcBorders>
              <w:bottom w:val="single" w:sz="12" w:space="0" w:color="auto"/>
            </w:tcBorders>
            <w:shd w:val="clear" w:color="auto" w:fill="auto"/>
          </w:tcPr>
          <w:p w:rsidR="00396CCE" w:rsidRPr="00A530E1" w:rsidRDefault="00396CCE" w:rsidP="00F063C5">
            <w:pPr>
              <w:spacing w:before="40" w:after="120"/>
              <w:ind w:right="113"/>
            </w:pPr>
            <w:r w:rsidRPr="00A530E1">
              <w:t>The Children and Adolescents Code Special Review Commission has approved title II of book III of the Code, which includes provisions designed to ensure that court proceedings involving children and adolescents take account of their best interests and rights.</w:t>
            </w:r>
          </w:p>
          <w:p w:rsidR="00396CCE" w:rsidRPr="00A530E1" w:rsidRDefault="00396CCE" w:rsidP="00F063C5">
            <w:pPr>
              <w:spacing w:before="40" w:after="120"/>
              <w:ind w:right="113"/>
            </w:pPr>
            <w:r w:rsidRPr="00A530E1">
              <w:t>The Commission has been informed that 246 children were declared abandoned and were adopted in 2009, over half of them by foreign couples. With a view to increasing the number of adoptions, it has directed that particular attention must be paid to conducting guardianship investigations, which play a fundamental role in expediting the adoption process.</w:t>
            </w:r>
          </w:p>
        </w:tc>
      </w:tr>
    </w:tbl>
    <w:p w:rsidR="00396CCE" w:rsidRPr="00A530E1" w:rsidRDefault="00396CCE" w:rsidP="00396CCE">
      <w:pPr>
        <w:pStyle w:val="H23G"/>
      </w:pPr>
      <w:r w:rsidRPr="00A530E1">
        <w:tab/>
        <w:t>18.</w:t>
      </w:r>
      <w:r w:rsidRPr="00A530E1">
        <w:tab/>
        <w:t>Article 24: Education</w:t>
      </w:r>
    </w:p>
    <w:p w:rsidR="00396CCE" w:rsidRPr="00A530E1" w:rsidRDefault="00396CCE" w:rsidP="00396CCE">
      <w:pPr>
        <w:pStyle w:val="SingleTxtG"/>
      </w:pPr>
      <w:r w:rsidRPr="00A530E1">
        <w:t>76.</w:t>
      </w:r>
      <w:r w:rsidRPr="00A530E1">
        <w:tab/>
        <w:t>This article recognizes the right of persons with disabilities to education on the basis of equal opportunity through an inclusive education system at all levels and access to lifelong learning.</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00"/>
        <w:gridCol w:w="7139"/>
      </w:tblGrid>
      <w:tr w:rsidR="00396CCE" w:rsidRPr="00A530E1" w:rsidTr="00096945">
        <w:trPr>
          <w:tblHeader/>
        </w:trPr>
        <w:tc>
          <w:tcPr>
            <w:tcW w:w="2500" w:type="dxa"/>
            <w:tcBorders>
              <w:top w:val="single" w:sz="4" w:space="0" w:color="auto"/>
              <w:bottom w:val="single" w:sz="12" w:space="0" w:color="auto"/>
            </w:tcBorders>
            <w:shd w:val="clear" w:color="auto" w:fill="auto"/>
            <w:vAlign w:val="bottom"/>
          </w:tcPr>
          <w:p w:rsidR="00396CCE" w:rsidRPr="00A530E1" w:rsidRDefault="00396CCE" w:rsidP="00F063C5">
            <w:pPr>
              <w:spacing w:before="80" w:after="80" w:line="200" w:lineRule="exact"/>
              <w:ind w:right="113"/>
              <w:rPr>
                <w:i/>
                <w:sz w:val="16"/>
              </w:rPr>
            </w:pPr>
            <w:r w:rsidRPr="00A530E1">
              <w:rPr>
                <w:i/>
                <w:sz w:val="16"/>
              </w:rPr>
              <w:t>Report on</w:t>
            </w:r>
          </w:p>
        </w:tc>
        <w:tc>
          <w:tcPr>
            <w:tcW w:w="7139" w:type="dxa"/>
            <w:tcBorders>
              <w:top w:val="single" w:sz="4" w:space="0" w:color="auto"/>
              <w:bottom w:val="single" w:sz="12" w:space="0" w:color="auto"/>
            </w:tcBorders>
            <w:shd w:val="clear" w:color="auto" w:fill="auto"/>
            <w:vAlign w:val="bottom"/>
          </w:tcPr>
          <w:p w:rsidR="00396CCE" w:rsidRPr="00A530E1" w:rsidRDefault="00396CCE" w:rsidP="00F063C5">
            <w:pPr>
              <w:spacing w:before="80" w:after="80" w:line="200" w:lineRule="exact"/>
              <w:ind w:right="113"/>
              <w:rPr>
                <w:i/>
                <w:sz w:val="16"/>
              </w:rPr>
            </w:pPr>
            <w:r w:rsidRPr="00A530E1">
              <w:rPr>
                <w:i/>
                <w:sz w:val="16"/>
              </w:rPr>
              <w:t>Progress</w:t>
            </w:r>
          </w:p>
        </w:tc>
      </w:tr>
      <w:tr w:rsidR="00396CCE" w:rsidRPr="00A530E1" w:rsidTr="00096945">
        <w:trPr>
          <w:trHeight w:hRule="exact" w:val="113"/>
          <w:tblHeader/>
        </w:trPr>
        <w:tc>
          <w:tcPr>
            <w:tcW w:w="2500" w:type="dxa"/>
            <w:tcBorders>
              <w:top w:val="single" w:sz="12" w:space="0" w:color="auto"/>
            </w:tcBorders>
            <w:shd w:val="clear" w:color="auto" w:fill="auto"/>
          </w:tcPr>
          <w:p w:rsidR="00396CCE" w:rsidRPr="00A530E1" w:rsidRDefault="00396CCE" w:rsidP="00F063C5">
            <w:pPr>
              <w:spacing w:before="40" w:after="120"/>
              <w:ind w:right="113"/>
            </w:pPr>
          </w:p>
        </w:tc>
        <w:tc>
          <w:tcPr>
            <w:tcW w:w="7139" w:type="dxa"/>
            <w:tcBorders>
              <w:top w:val="single" w:sz="12" w:space="0" w:color="auto"/>
            </w:tcBorders>
            <w:shd w:val="clear" w:color="auto" w:fill="auto"/>
          </w:tcPr>
          <w:p w:rsidR="00396CCE" w:rsidRPr="00A530E1" w:rsidRDefault="00396CCE" w:rsidP="00F063C5">
            <w:pPr>
              <w:spacing w:before="40" w:after="120"/>
              <w:ind w:right="113"/>
            </w:pPr>
          </w:p>
        </w:tc>
      </w:tr>
      <w:tr w:rsidR="00396CCE" w:rsidRPr="00A530E1" w:rsidTr="00096945">
        <w:tc>
          <w:tcPr>
            <w:tcW w:w="2500" w:type="dxa"/>
            <w:shd w:val="clear" w:color="auto" w:fill="auto"/>
          </w:tcPr>
          <w:p w:rsidR="00396CCE" w:rsidRPr="00A530E1" w:rsidRDefault="00396CCE" w:rsidP="00F063C5">
            <w:pPr>
              <w:spacing w:before="40" w:after="120"/>
              <w:ind w:right="113"/>
            </w:pPr>
            <w:r w:rsidRPr="00A530E1">
              <w:t>Measures taken to ensure that every child with disabilities has access to early-stage education, and mandatory primary, secondary and higher education</w:t>
            </w:r>
          </w:p>
        </w:tc>
        <w:tc>
          <w:tcPr>
            <w:tcW w:w="7139" w:type="dxa"/>
            <w:shd w:val="clear" w:color="auto" w:fill="auto"/>
          </w:tcPr>
          <w:p w:rsidR="00396CCE" w:rsidRPr="00A530E1" w:rsidRDefault="00396CCE" w:rsidP="00821B21">
            <w:pPr>
              <w:pStyle w:val="Bullet1G"/>
              <w:keepNext/>
              <w:keepLines/>
              <w:tabs>
                <w:tab w:val="clear" w:pos="1701"/>
              </w:tabs>
              <w:spacing w:before="40"/>
              <w:ind w:left="284" w:right="113" w:hanging="284"/>
              <w:jc w:val="left"/>
            </w:pPr>
            <w:r w:rsidRPr="00A530E1">
              <w:t>Ministerial Decision No. 069-2008-ED to issue Directive No. 01-2008-VMGP-DIGEBE on regulations for enrolling children and young persons with disabilities in the various levels and modalities of the education system within the framework of an inclusive education system</w:t>
            </w:r>
          </w:p>
          <w:p w:rsidR="00396CCE" w:rsidRPr="00A530E1" w:rsidRDefault="00396CCE" w:rsidP="00821B21">
            <w:pPr>
              <w:pStyle w:val="Bullet1G"/>
              <w:keepNext/>
              <w:keepLines/>
              <w:tabs>
                <w:tab w:val="clear" w:pos="1701"/>
              </w:tabs>
              <w:spacing w:before="40"/>
              <w:ind w:left="284" w:right="113" w:hanging="284"/>
              <w:jc w:val="left"/>
            </w:pPr>
            <w:r w:rsidRPr="00A530E1">
              <w:t>Ministerial Decision No. 440-2008-ED to adopt the national curriculum design for regular basic education</w:t>
            </w:r>
          </w:p>
          <w:p w:rsidR="00396CCE" w:rsidRPr="00A530E1" w:rsidRDefault="00396CCE" w:rsidP="00821B21">
            <w:pPr>
              <w:pStyle w:val="Bullet1G"/>
              <w:keepNext/>
              <w:keepLines/>
              <w:tabs>
                <w:tab w:val="clear" w:pos="1701"/>
              </w:tabs>
              <w:spacing w:before="40"/>
              <w:ind w:left="284" w:right="113" w:hanging="284"/>
              <w:jc w:val="left"/>
            </w:pPr>
            <w:r w:rsidRPr="00A530E1">
              <w:t>Directorate Decision No. 650-2008-ED to adopt supplementary regulations for opening, organizing and running Special Basic Education Resources Centres (CREBE)</w:t>
            </w:r>
          </w:p>
          <w:p w:rsidR="00396CCE" w:rsidRPr="00A530E1" w:rsidRDefault="00396CCE" w:rsidP="00821B21">
            <w:pPr>
              <w:pStyle w:val="Bullet1G"/>
              <w:keepNext/>
              <w:keepLines/>
              <w:tabs>
                <w:tab w:val="clear" w:pos="1701"/>
              </w:tabs>
              <w:spacing w:before="40"/>
              <w:ind w:left="284" w:right="113" w:hanging="284"/>
              <w:jc w:val="left"/>
            </w:pPr>
            <w:r w:rsidRPr="00A530E1">
              <w:t>Vice-Ministerial Decision No. 025-2008-ED to adopt Directive No. 069-2008-VMGP-DIGEBE, which establishes regulations for planning, organizing, implementing, monitoring and evaluating activities under the National Campaign to Promote and Raise Awareness of Inclusive Education</w:t>
            </w:r>
          </w:p>
          <w:p w:rsidR="00396CCE" w:rsidRPr="00A530E1" w:rsidRDefault="00396CCE" w:rsidP="00821B21">
            <w:pPr>
              <w:pStyle w:val="Bullet1G"/>
              <w:keepNext/>
              <w:keepLines/>
              <w:tabs>
                <w:tab w:val="clear" w:pos="1701"/>
              </w:tabs>
              <w:spacing w:before="40"/>
              <w:ind w:left="284" w:right="113" w:hanging="284"/>
              <w:jc w:val="left"/>
            </w:pPr>
            <w:r w:rsidRPr="00A530E1">
              <w:t>Ministerial Decision No. 298-2008-ED to adopt supplementary regulations for implementation of the 2008 teacher-training programme for the special basic education system</w:t>
            </w:r>
          </w:p>
          <w:p w:rsidR="00396CCE" w:rsidRPr="00A530E1" w:rsidRDefault="00396CCE" w:rsidP="00821B21">
            <w:pPr>
              <w:pStyle w:val="Bullet1G"/>
              <w:keepNext/>
              <w:keepLines/>
              <w:tabs>
                <w:tab w:val="clear" w:pos="1701"/>
              </w:tabs>
              <w:spacing w:before="40"/>
              <w:ind w:left="284" w:right="113" w:hanging="284"/>
              <w:jc w:val="left"/>
            </w:pPr>
            <w:r w:rsidRPr="00A530E1">
              <w:t>Vice-Ministerial Decision No. 037-2008-ED to constitute the Round Table for Dialogue and Joint Action to Promote Inclusive Education</w:t>
            </w:r>
          </w:p>
          <w:p w:rsidR="00396CCE" w:rsidRPr="00A530E1" w:rsidRDefault="00396CCE" w:rsidP="00096945">
            <w:pPr>
              <w:pStyle w:val="Bullet1G"/>
              <w:keepNext/>
              <w:keepLines/>
              <w:tabs>
                <w:tab w:val="clear" w:pos="1701"/>
              </w:tabs>
              <w:spacing w:before="40"/>
              <w:ind w:left="284" w:right="113" w:hanging="284"/>
              <w:jc w:val="left"/>
            </w:pPr>
            <w:r w:rsidRPr="00A530E1">
              <w:t>Provisions for the development of technical teaching and institutional activities in institutions providing basic instruction and technical/vocational education in the 2008, 2009 and 2010 academic years (Ministerial Decision No. 494-2007-ED, Ministerial Decision No. 441-2008-ED and Ministerial Decision No. 341-2009-ED)</w:t>
            </w:r>
          </w:p>
          <w:p w:rsidR="00396CCE" w:rsidRPr="00A530E1" w:rsidRDefault="00396CCE" w:rsidP="00821B21">
            <w:pPr>
              <w:pStyle w:val="Bullet1G"/>
              <w:keepNext/>
              <w:keepLines/>
              <w:tabs>
                <w:tab w:val="clear" w:pos="1701"/>
              </w:tabs>
              <w:spacing w:before="40"/>
              <w:ind w:left="284" w:right="113" w:hanging="284"/>
              <w:jc w:val="left"/>
            </w:pPr>
            <w:r w:rsidRPr="00A530E1">
              <w:t>Directorate Decision No. 0236-2010-ED establishes that the psychopedagogical management teams working out of Special Basic Education Centres should provide care for students with severe disabilities and multiple disabilities at the post-primary education level</w:t>
            </w:r>
          </w:p>
          <w:p w:rsidR="00396CCE" w:rsidRPr="00A530E1" w:rsidRDefault="00396CCE" w:rsidP="006214FF">
            <w:pPr>
              <w:pStyle w:val="Bullet1G"/>
              <w:keepNext/>
              <w:keepLines/>
              <w:tabs>
                <w:tab w:val="clear" w:pos="1701"/>
              </w:tabs>
              <w:spacing w:before="40"/>
              <w:ind w:left="284" w:right="113" w:hanging="284"/>
              <w:jc w:val="left"/>
            </w:pPr>
            <w:r w:rsidRPr="00A530E1">
              <w:t>Vice-Ministerial Decision No. 0020-2010-ED to adopt Directive No. 026-2010-VMGP-DIGEBE concerning the organization and implementation of the Third Competition on Successful Experiences in Inclusive Education; the directive also sets out the rules for that event</w:t>
            </w:r>
          </w:p>
        </w:tc>
      </w:tr>
      <w:tr w:rsidR="00396CCE" w:rsidRPr="00A530E1" w:rsidTr="00096945">
        <w:tc>
          <w:tcPr>
            <w:tcW w:w="2500" w:type="dxa"/>
            <w:shd w:val="clear" w:color="auto" w:fill="auto"/>
          </w:tcPr>
          <w:p w:rsidR="00396CCE" w:rsidRPr="00A530E1" w:rsidRDefault="00396CCE" w:rsidP="00F063C5">
            <w:pPr>
              <w:spacing w:before="40" w:after="120"/>
              <w:ind w:right="113"/>
            </w:pPr>
            <w:r w:rsidRPr="00A530E1">
              <w:t>Information on the number of boys and girls with disabilities in early-stage education</w:t>
            </w:r>
          </w:p>
        </w:tc>
        <w:tc>
          <w:tcPr>
            <w:tcW w:w="7139" w:type="dxa"/>
            <w:shd w:val="clear" w:color="auto" w:fill="auto"/>
          </w:tcPr>
          <w:p w:rsidR="00396CCE" w:rsidRPr="00A530E1" w:rsidRDefault="00396CCE" w:rsidP="00F063C5">
            <w:pPr>
              <w:spacing w:before="40" w:after="120"/>
              <w:ind w:right="113"/>
            </w:pPr>
            <w:r w:rsidRPr="00A530E1">
              <w:t>The Ministry of Education, through the Early Intervention Programmes (PRITE), has provided care as follows:</w:t>
            </w:r>
          </w:p>
          <w:tbl>
            <w:tblPr>
              <w:tblW w:w="3837" w:type="dxa"/>
              <w:tblInd w:w="567" w:type="dxa"/>
              <w:tblBorders>
                <w:top w:val="single" w:sz="4" w:space="0" w:color="auto"/>
              </w:tblBorders>
              <w:tblLayout w:type="fixed"/>
              <w:tblCellMar>
                <w:left w:w="0" w:type="dxa"/>
                <w:right w:w="0" w:type="dxa"/>
              </w:tblCellMar>
              <w:tblLook w:val="04A0" w:firstRow="1" w:lastRow="0" w:firstColumn="1" w:lastColumn="0" w:noHBand="0" w:noVBand="1"/>
            </w:tblPr>
            <w:tblGrid>
              <w:gridCol w:w="1470"/>
              <w:gridCol w:w="2367"/>
            </w:tblGrid>
            <w:tr w:rsidR="00396CCE" w:rsidRPr="00A530E1" w:rsidTr="00F063C5">
              <w:trPr>
                <w:trHeight w:val="240"/>
                <w:tblHeader/>
              </w:trPr>
              <w:tc>
                <w:tcPr>
                  <w:tcW w:w="1470" w:type="dxa"/>
                  <w:tcBorders>
                    <w:top w:val="single" w:sz="4" w:space="0" w:color="auto"/>
                    <w:bottom w:val="single" w:sz="12" w:space="0" w:color="auto"/>
                  </w:tcBorders>
                  <w:shd w:val="clear" w:color="auto" w:fill="auto"/>
                  <w:vAlign w:val="bottom"/>
                </w:tcPr>
                <w:p w:rsidR="00396CCE" w:rsidRPr="00A530E1" w:rsidRDefault="00396CCE" w:rsidP="00F063C5">
                  <w:pPr>
                    <w:spacing w:before="80" w:after="80" w:line="200" w:lineRule="exact"/>
                    <w:rPr>
                      <w:i/>
                      <w:sz w:val="16"/>
                    </w:rPr>
                  </w:pPr>
                  <w:r w:rsidRPr="00A530E1">
                    <w:rPr>
                      <w:i/>
                      <w:sz w:val="16"/>
                    </w:rPr>
                    <w:t>Year</w:t>
                  </w:r>
                </w:p>
              </w:tc>
              <w:tc>
                <w:tcPr>
                  <w:tcW w:w="2367" w:type="dxa"/>
                  <w:tcBorders>
                    <w:top w:val="single" w:sz="4" w:space="0" w:color="auto"/>
                    <w:bottom w:val="single" w:sz="12" w:space="0" w:color="auto"/>
                  </w:tcBorders>
                  <w:shd w:val="clear" w:color="auto" w:fill="auto"/>
                  <w:vAlign w:val="bottom"/>
                </w:tcPr>
                <w:p w:rsidR="00396CCE" w:rsidRPr="00A530E1" w:rsidRDefault="00396CCE" w:rsidP="00F063C5">
                  <w:pPr>
                    <w:spacing w:before="80" w:after="80" w:line="200" w:lineRule="exact"/>
                    <w:jc w:val="right"/>
                    <w:rPr>
                      <w:i/>
                      <w:sz w:val="16"/>
                    </w:rPr>
                  </w:pPr>
                  <w:r w:rsidRPr="00A530E1">
                    <w:rPr>
                      <w:i/>
                      <w:sz w:val="16"/>
                    </w:rPr>
                    <w:t>Number of children</w:t>
                  </w:r>
                </w:p>
              </w:tc>
            </w:tr>
            <w:tr w:rsidR="00396CCE" w:rsidRPr="00A530E1" w:rsidTr="00F063C5">
              <w:trPr>
                <w:trHeight w:val="240"/>
              </w:trPr>
              <w:tc>
                <w:tcPr>
                  <w:tcW w:w="1470" w:type="dxa"/>
                  <w:tcBorders>
                    <w:top w:val="single" w:sz="12" w:space="0" w:color="auto"/>
                  </w:tcBorders>
                  <w:shd w:val="clear" w:color="auto" w:fill="auto"/>
                </w:tcPr>
                <w:p w:rsidR="00396CCE" w:rsidRPr="00A530E1" w:rsidRDefault="00396CCE" w:rsidP="00F063C5">
                  <w:pPr>
                    <w:spacing w:before="40" w:after="40" w:line="220" w:lineRule="exact"/>
                    <w:rPr>
                      <w:sz w:val="18"/>
                    </w:rPr>
                  </w:pPr>
                  <w:r w:rsidRPr="00A530E1">
                    <w:rPr>
                      <w:sz w:val="18"/>
                    </w:rPr>
                    <w:t>2008</w:t>
                  </w:r>
                </w:p>
              </w:tc>
              <w:tc>
                <w:tcPr>
                  <w:tcW w:w="2367" w:type="dxa"/>
                  <w:tcBorders>
                    <w:top w:val="single" w:sz="12" w:space="0" w:color="auto"/>
                  </w:tcBorders>
                  <w:shd w:val="clear" w:color="auto" w:fill="auto"/>
                  <w:tcMar>
                    <w:right w:w="11" w:type="dxa"/>
                  </w:tcMar>
                  <w:vAlign w:val="bottom"/>
                </w:tcPr>
                <w:p w:rsidR="00396CCE" w:rsidRPr="00A530E1" w:rsidRDefault="00396CCE" w:rsidP="004727C8">
                  <w:pPr>
                    <w:spacing w:before="40" w:after="40" w:line="220" w:lineRule="exact"/>
                    <w:ind w:right="113"/>
                    <w:jc w:val="right"/>
                    <w:rPr>
                      <w:sz w:val="18"/>
                    </w:rPr>
                  </w:pPr>
                  <w:r w:rsidRPr="00A530E1">
                    <w:rPr>
                      <w:sz w:val="18"/>
                    </w:rPr>
                    <w:t>1 976</w:t>
                  </w:r>
                </w:p>
              </w:tc>
            </w:tr>
            <w:tr w:rsidR="00396CCE" w:rsidRPr="00A530E1" w:rsidTr="00F063C5">
              <w:trPr>
                <w:trHeight w:val="240"/>
              </w:trPr>
              <w:tc>
                <w:tcPr>
                  <w:tcW w:w="1470" w:type="dxa"/>
                  <w:tcBorders>
                    <w:bottom w:val="single" w:sz="12" w:space="0" w:color="auto"/>
                  </w:tcBorders>
                  <w:shd w:val="clear" w:color="auto" w:fill="auto"/>
                </w:tcPr>
                <w:p w:rsidR="00396CCE" w:rsidRPr="00A530E1" w:rsidRDefault="00396CCE" w:rsidP="00F063C5">
                  <w:pPr>
                    <w:spacing w:before="40" w:after="40" w:line="220" w:lineRule="exact"/>
                    <w:rPr>
                      <w:sz w:val="18"/>
                    </w:rPr>
                  </w:pPr>
                  <w:r w:rsidRPr="00A530E1">
                    <w:rPr>
                      <w:sz w:val="18"/>
                    </w:rPr>
                    <w:t>2009</w:t>
                  </w:r>
                </w:p>
              </w:tc>
              <w:tc>
                <w:tcPr>
                  <w:tcW w:w="2367" w:type="dxa"/>
                  <w:tcBorders>
                    <w:bottom w:val="single" w:sz="12" w:space="0" w:color="auto"/>
                  </w:tcBorders>
                  <w:shd w:val="clear" w:color="auto" w:fill="auto"/>
                  <w:vAlign w:val="bottom"/>
                </w:tcPr>
                <w:p w:rsidR="00396CCE" w:rsidRPr="00A530E1" w:rsidRDefault="00396CCE" w:rsidP="00F063C5">
                  <w:pPr>
                    <w:spacing w:before="40" w:after="40" w:line="220" w:lineRule="exact"/>
                    <w:ind w:left="113" w:right="113"/>
                    <w:jc w:val="right"/>
                    <w:rPr>
                      <w:sz w:val="18"/>
                    </w:rPr>
                  </w:pPr>
                  <w:r w:rsidRPr="00A530E1">
                    <w:rPr>
                      <w:sz w:val="18"/>
                    </w:rPr>
                    <w:t>2 053</w:t>
                  </w:r>
                </w:p>
              </w:tc>
            </w:tr>
          </w:tbl>
          <w:p w:rsidR="00396CCE" w:rsidRPr="00A530E1" w:rsidRDefault="00396CCE" w:rsidP="00F063C5">
            <w:pPr>
              <w:spacing w:before="40" w:after="120"/>
              <w:ind w:right="113"/>
            </w:pPr>
          </w:p>
        </w:tc>
      </w:tr>
      <w:tr w:rsidR="00396CCE" w:rsidRPr="00A530E1" w:rsidTr="00096945">
        <w:tc>
          <w:tcPr>
            <w:tcW w:w="2500" w:type="dxa"/>
            <w:shd w:val="clear" w:color="auto" w:fill="auto"/>
          </w:tcPr>
          <w:p w:rsidR="00396CCE" w:rsidRPr="00A530E1" w:rsidRDefault="00396CCE" w:rsidP="00F063C5">
            <w:pPr>
              <w:spacing w:before="240" w:after="120"/>
              <w:ind w:right="113"/>
            </w:pPr>
            <w:r w:rsidRPr="00A530E1">
              <w:t>Information on the existing significant differences in the education of boys and girls in the different education levels and whether there are policies and legislation to cater for these differences</w:t>
            </w:r>
          </w:p>
        </w:tc>
        <w:tc>
          <w:tcPr>
            <w:tcW w:w="7139" w:type="dxa"/>
            <w:shd w:val="clear" w:color="auto" w:fill="auto"/>
          </w:tcPr>
          <w:p w:rsidR="00396CCE" w:rsidRPr="00A530E1" w:rsidRDefault="00396CCE" w:rsidP="00F063C5">
            <w:pPr>
              <w:spacing w:before="240" w:after="120"/>
              <w:ind w:right="113"/>
            </w:pPr>
            <w:r w:rsidRPr="00A530E1">
              <w:t>Act No. 27558 on the promotion of girls’ education in rural areas is being implemented. Its objectives are as follows:</w:t>
            </w:r>
          </w:p>
          <w:p w:rsidR="00396CCE" w:rsidRPr="00A530E1" w:rsidRDefault="00396CCE" w:rsidP="00F063C5">
            <w:pPr>
              <w:spacing w:before="40" w:after="120"/>
              <w:ind w:right="113"/>
            </w:pPr>
            <w:r w:rsidRPr="00A530E1">
              <w:t>1.</w:t>
            </w:r>
            <w:r w:rsidRPr="00A530E1">
              <w:tab/>
              <w:t>In order to provide diversified services to meet the needs of girls in rural areas, the following activities have been undertaken:</w:t>
            </w:r>
          </w:p>
          <w:p w:rsidR="00396CCE" w:rsidRPr="00A530E1" w:rsidRDefault="00396CCE" w:rsidP="00A8461C">
            <w:pPr>
              <w:pStyle w:val="Bullet1G"/>
              <w:keepNext/>
              <w:keepLines/>
              <w:tabs>
                <w:tab w:val="clear" w:pos="1701"/>
              </w:tabs>
              <w:spacing w:before="40"/>
              <w:ind w:left="170" w:right="113"/>
            </w:pPr>
            <w:r w:rsidRPr="00A530E1">
              <w:t>Interactive learning days focusing on actions to be taken as part of a cross-cutting approach to the provision of services to children and adolescents with disabilities. Through these events, which have taken place in both face-to-face and virtual settings, 1,082 teaching and non-teaching staff have received training in the following areas:</w:t>
            </w:r>
          </w:p>
          <w:p w:rsidR="00396CCE" w:rsidRPr="00A530E1" w:rsidRDefault="00396CCE" w:rsidP="00513B04">
            <w:pPr>
              <w:pStyle w:val="Bullet2G"/>
              <w:numPr>
                <w:ilvl w:val="0"/>
                <w:numId w:val="0"/>
              </w:numPr>
              <w:spacing w:before="40" w:after="60"/>
              <w:ind w:left="170"/>
              <w:jc w:val="left"/>
            </w:pPr>
            <w:r w:rsidRPr="00A530E1">
              <w:t>Approaches to and strategies for inclusive education (virtual)</w:t>
            </w:r>
          </w:p>
          <w:p w:rsidR="00396CCE" w:rsidRPr="00A530E1" w:rsidRDefault="00396CCE" w:rsidP="00513B04">
            <w:pPr>
              <w:pStyle w:val="Bullet2G"/>
              <w:numPr>
                <w:ilvl w:val="0"/>
                <w:numId w:val="0"/>
              </w:numPr>
              <w:spacing w:before="40" w:after="60"/>
              <w:ind w:left="170"/>
              <w:jc w:val="left"/>
            </w:pPr>
            <w:r w:rsidRPr="00A530E1">
              <w:t>“Lee Todo” (read all) educational software</w:t>
            </w:r>
          </w:p>
          <w:p w:rsidR="00396CCE" w:rsidRPr="00A530E1" w:rsidRDefault="00396CCE" w:rsidP="00513B04">
            <w:pPr>
              <w:pStyle w:val="Bullet2G"/>
              <w:numPr>
                <w:ilvl w:val="0"/>
                <w:numId w:val="0"/>
              </w:numPr>
              <w:spacing w:before="40" w:after="60"/>
              <w:ind w:left="170"/>
              <w:jc w:val="left"/>
            </w:pPr>
            <w:r w:rsidRPr="00A530E1">
              <w:t>Progress and perspectives in inclusive education in 2009</w:t>
            </w:r>
          </w:p>
          <w:p w:rsidR="00396CCE" w:rsidRPr="00A530E1" w:rsidRDefault="00396CCE" w:rsidP="00513B04">
            <w:pPr>
              <w:pStyle w:val="Bullet2G"/>
              <w:numPr>
                <w:ilvl w:val="0"/>
                <w:numId w:val="0"/>
              </w:numPr>
              <w:spacing w:before="40" w:after="60"/>
              <w:ind w:left="170"/>
              <w:jc w:val="left"/>
            </w:pPr>
            <w:r w:rsidRPr="00A530E1">
              <w:t>Review and inputs for the psychological profile and guide for gifted and talented education</w:t>
            </w:r>
          </w:p>
          <w:p w:rsidR="00396CCE" w:rsidRPr="00A530E1" w:rsidRDefault="00396CCE" w:rsidP="00A8461C">
            <w:pPr>
              <w:pStyle w:val="Bullet1G"/>
              <w:keepNext/>
              <w:keepLines/>
              <w:tabs>
                <w:tab w:val="clear" w:pos="1701"/>
              </w:tabs>
              <w:spacing w:before="40"/>
              <w:ind w:left="170" w:right="113"/>
            </w:pPr>
            <w:r w:rsidRPr="00A530E1">
              <w:t>Institutionalization and strengthening of the Support and Advisory Service for Students with Special Educational Needs (SAANEE); (211) the decision concerning SAANEE conversion is up to date.</w:t>
            </w:r>
          </w:p>
          <w:p w:rsidR="00396CCE" w:rsidRPr="00A530E1" w:rsidRDefault="00396CCE" w:rsidP="00F063C5">
            <w:pPr>
              <w:spacing w:before="40" w:after="120"/>
              <w:ind w:right="113"/>
            </w:pPr>
            <w:r w:rsidRPr="00A530E1">
              <w:t>2.</w:t>
            </w:r>
            <w:r w:rsidRPr="00A530E1">
              <w:tab/>
              <w:t>Enrolment coverage:</w:t>
            </w:r>
          </w:p>
          <w:p w:rsidR="00396CCE" w:rsidRPr="00A530E1" w:rsidRDefault="00396CCE" w:rsidP="00A8461C">
            <w:pPr>
              <w:pStyle w:val="Bullet1G"/>
              <w:keepNext/>
              <w:keepLines/>
              <w:tabs>
                <w:tab w:val="clear" w:pos="1701"/>
              </w:tabs>
              <w:spacing w:before="40"/>
              <w:ind w:left="170" w:right="113"/>
            </w:pPr>
            <w:r w:rsidRPr="00A530E1">
              <w:t xml:space="preserve">Activities have included campaigns and round tables aimed at increasing the enrolment of students with disabilities in rural areas (Round Table for Dialogue and Joint Action to Promote Inclusive Education). In addition, annual targets have been set for local education management units (UGELs) and regional education directorates (DREs) working towards providing universal coverage for children and adolescents with disabilities in the regular basic education system. </w:t>
            </w:r>
          </w:p>
          <w:p w:rsidR="00396CCE" w:rsidRPr="00A530E1" w:rsidRDefault="00396CCE" w:rsidP="00F063C5">
            <w:pPr>
              <w:spacing w:before="40" w:after="120"/>
              <w:ind w:right="113"/>
            </w:pPr>
            <w:r w:rsidRPr="00A530E1">
              <w:t>3.</w:t>
            </w:r>
            <w:r w:rsidRPr="00A530E1">
              <w:tab/>
              <w:t>With respect to gender equality, the following activities have been undertaken:</w:t>
            </w:r>
          </w:p>
          <w:p w:rsidR="00396CCE" w:rsidRPr="00A530E1" w:rsidRDefault="00396CCE" w:rsidP="00957984">
            <w:pPr>
              <w:pStyle w:val="Bullet1G"/>
              <w:keepNext/>
              <w:keepLines/>
              <w:tabs>
                <w:tab w:val="clear" w:pos="1701"/>
              </w:tabs>
              <w:spacing w:before="40"/>
              <w:ind w:left="170" w:right="113"/>
            </w:pPr>
            <w:r w:rsidRPr="00A530E1">
              <w:t>Incorporation of gender-sensitive language as a cross-cutting component of all legislation and documents issued</w:t>
            </w:r>
          </w:p>
          <w:p w:rsidR="00396CCE" w:rsidRPr="00A530E1" w:rsidRDefault="00396CCE" w:rsidP="00A8461C">
            <w:pPr>
              <w:pStyle w:val="Bullet1G"/>
              <w:keepNext/>
              <w:keepLines/>
              <w:tabs>
                <w:tab w:val="clear" w:pos="1701"/>
              </w:tabs>
              <w:spacing w:before="40"/>
              <w:ind w:left="170" w:right="113"/>
            </w:pPr>
            <w:r w:rsidRPr="00A530E1">
              <w:t>Directive No. 0341-2009, issued early in the year, on shared access to standard basic education, alternative basic education and education for all</w:t>
            </w:r>
          </w:p>
          <w:p w:rsidR="00396CCE" w:rsidRPr="00A530E1" w:rsidRDefault="00396CCE" w:rsidP="00A8461C">
            <w:pPr>
              <w:pStyle w:val="Bullet1G"/>
              <w:keepNext/>
              <w:keepLines/>
              <w:tabs>
                <w:tab w:val="clear" w:pos="1701"/>
              </w:tabs>
              <w:spacing w:before="40"/>
              <w:ind w:left="170" w:right="113"/>
            </w:pPr>
            <w:r w:rsidRPr="00A530E1">
              <w:t>Adaptation to accommodate the special educational needs associated with disabilities</w:t>
            </w:r>
          </w:p>
          <w:p w:rsidR="00396CCE" w:rsidRPr="00A530E1" w:rsidRDefault="00396CCE" w:rsidP="00A8461C">
            <w:pPr>
              <w:pStyle w:val="Bullet1G"/>
              <w:keepNext/>
              <w:keepLines/>
              <w:tabs>
                <w:tab w:val="clear" w:pos="1701"/>
              </w:tabs>
              <w:spacing w:before="40"/>
              <w:ind w:left="170" w:right="113"/>
            </w:pPr>
            <w:r w:rsidRPr="00A530E1">
              <w:t>Campaigns to promote respect for children and adolescents with disabilities in rural areas</w:t>
            </w:r>
          </w:p>
          <w:p w:rsidR="00396CCE" w:rsidRPr="00A530E1" w:rsidRDefault="00396CCE" w:rsidP="00CA284F">
            <w:pPr>
              <w:pStyle w:val="Bullet1G"/>
              <w:keepNext/>
              <w:keepLines/>
              <w:numPr>
                <w:ilvl w:val="0"/>
                <w:numId w:val="0"/>
              </w:numPr>
              <w:spacing w:before="40" w:after="60"/>
              <w:ind w:left="170" w:right="113"/>
            </w:pPr>
            <w:r w:rsidRPr="00A530E1">
              <w:t>National competition on successful experiences in inclusive education, 2009</w:t>
            </w:r>
          </w:p>
          <w:p w:rsidR="00396CCE" w:rsidRPr="00A530E1" w:rsidRDefault="00396CCE" w:rsidP="00CA284F">
            <w:pPr>
              <w:pStyle w:val="Bullet1G"/>
              <w:keepNext/>
              <w:keepLines/>
              <w:numPr>
                <w:ilvl w:val="0"/>
                <w:numId w:val="0"/>
              </w:numPr>
              <w:spacing w:before="40"/>
              <w:ind w:left="170" w:right="113"/>
            </w:pPr>
            <w:r w:rsidRPr="00A530E1">
              <w:t>First International Conference on Inclusive and Social Education</w:t>
            </w:r>
          </w:p>
          <w:p w:rsidR="00396CCE" w:rsidRPr="00A530E1" w:rsidRDefault="00396CCE" w:rsidP="00CA284F">
            <w:pPr>
              <w:pStyle w:val="Bullet1G"/>
              <w:keepNext/>
              <w:keepLines/>
              <w:tabs>
                <w:tab w:val="clear" w:pos="1701"/>
              </w:tabs>
              <w:spacing w:before="40"/>
              <w:ind w:left="170" w:right="113"/>
            </w:pPr>
            <w:r w:rsidRPr="00A530E1">
              <w:t>A training day to raise awareness about inclusive education as a component of initial teacher-training activities was attended by the directors of 55 teacher-training institutes in 15 regions: Amazonas, Ancash, Arequipa, Ayacucho, Cajamarca, Cusco, Huancavelica, Huánuco, Junín, La Libertad, Lambayeque, Lima, Puno and Tacna.</w:t>
            </w:r>
          </w:p>
        </w:tc>
      </w:tr>
      <w:tr w:rsidR="00396CCE" w:rsidRPr="00A530E1" w:rsidTr="00096945">
        <w:tc>
          <w:tcPr>
            <w:tcW w:w="2500" w:type="dxa"/>
            <w:shd w:val="clear" w:color="auto" w:fill="auto"/>
          </w:tcPr>
          <w:p w:rsidR="00396CCE" w:rsidRPr="00A530E1" w:rsidRDefault="00396CCE" w:rsidP="00F063C5">
            <w:pPr>
              <w:spacing w:before="40" w:after="120"/>
              <w:ind w:right="113"/>
            </w:pPr>
            <w:r w:rsidRPr="00A530E1">
              <w:t>Legislative and other measures that ensure that schools and materials are accessible and that individualized reasonable accommodation and support required by persons with disabilities is provided to ensure effective education and full inclusion</w:t>
            </w:r>
          </w:p>
        </w:tc>
        <w:tc>
          <w:tcPr>
            <w:tcW w:w="7139" w:type="dxa"/>
            <w:shd w:val="clear" w:color="auto" w:fill="auto"/>
          </w:tcPr>
          <w:p w:rsidR="00396CCE" w:rsidRPr="00A530E1" w:rsidRDefault="00396CCE" w:rsidP="00031F2F">
            <w:pPr>
              <w:pStyle w:val="Bullet1G"/>
              <w:keepNext/>
              <w:keepLines/>
              <w:tabs>
                <w:tab w:val="clear" w:pos="1701"/>
              </w:tabs>
              <w:spacing w:before="40"/>
              <w:ind w:left="170" w:right="113"/>
            </w:pPr>
            <w:r w:rsidRPr="00A530E1">
              <w:t>Distribution of Perkins Braillers to 25 institutions in 16 regions: Ica, San Martín, Tumbes, Madre de Dios, Loreto, Pasco, Arequipa, Cajamarca, Cusco, Huancavelica, Huánuco, Junín, Lambayeque, Lima and Ancash</w:t>
            </w:r>
          </w:p>
          <w:p w:rsidR="00396CCE" w:rsidRPr="00A530E1" w:rsidRDefault="00396CCE" w:rsidP="00031F2F">
            <w:pPr>
              <w:pStyle w:val="Bullet1G"/>
              <w:keepNext/>
              <w:keepLines/>
              <w:tabs>
                <w:tab w:val="clear" w:pos="1701"/>
              </w:tabs>
              <w:spacing w:before="40"/>
              <w:ind w:left="170" w:right="113"/>
            </w:pPr>
            <w:r w:rsidRPr="00A530E1">
              <w:t>Distribution of 305 kits of materials for persons with visual impairments, including Braille frames, styluses, set squares and protractors, in 17 regions: Ica, San Martín, Tumbes, Madre de Dios, Loreto, Pasco, Arequipa, Cajamarca, Cusco, Huancavelica, Huánuco, Junín, Lambayeque, Lima, Moquegua and Ancash</w:t>
            </w:r>
          </w:p>
          <w:p w:rsidR="00396CCE" w:rsidRPr="00A530E1" w:rsidRDefault="00396CCE" w:rsidP="00031F2F">
            <w:pPr>
              <w:pStyle w:val="Bullet1G"/>
              <w:keepNext/>
              <w:keepLines/>
              <w:tabs>
                <w:tab w:val="clear" w:pos="1701"/>
              </w:tabs>
              <w:spacing w:before="40"/>
              <w:ind w:left="170" w:right="113"/>
            </w:pPr>
            <w:r w:rsidRPr="00A530E1">
              <w:t>Distribution at the national level of the following:</w:t>
            </w:r>
          </w:p>
          <w:p w:rsidR="00396CCE" w:rsidRPr="00A530E1" w:rsidRDefault="00396CCE" w:rsidP="00031F2F">
            <w:pPr>
              <w:pStyle w:val="Bullet2G"/>
              <w:numPr>
                <w:ilvl w:val="0"/>
                <w:numId w:val="0"/>
              </w:numPr>
              <w:tabs>
                <w:tab w:val="left" w:pos="738"/>
              </w:tabs>
              <w:spacing w:before="40" w:after="60"/>
              <w:ind w:left="284"/>
            </w:pPr>
            <w:r w:rsidRPr="00A530E1">
              <w:t>3,991 curriculum adaptation manuals</w:t>
            </w:r>
          </w:p>
          <w:p w:rsidR="00396CCE" w:rsidRPr="00A530E1" w:rsidRDefault="00396CCE" w:rsidP="00031F2F">
            <w:pPr>
              <w:pStyle w:val="Bullet2G"/>
              <w:numPr>
                <w:ilvl w:val="0"/>
                <w:numId w:val="0"/>
              </w:numPr>
              <w:tabs>
                <w:tab w:val="left" w:pos="738"/>
              </w:tabs>
              <w:spacing w:before="40" w:after="60"/>
              <w:ind w:left="284"/>
            </w:pPr>
            <w:r w:rsidRPr="00A530E1">
              <w:t>1,983 psychopedagogical tests</w:t>
            </w:r>
          </w:p>
          <w:p w:rsidR="00396CCE" w:rsidRPr="00A530E1" w:rsidRDefault="00396CCE" w:rsidP="00031F2F">
            <w:pPr>
              <w:pStyle w:val="Bullet2G"/>
              <w:numPr>
                <w:ilvl w:val="0"/>
                <w:numId w:val="0"/>
              </w:numPr>
              <w:tabs>
                <w:tab w:val="left" w:pos="738"/>
              </w:tabs>
              <w:spacing w:before="40" w:after="60"/>
              <w:ind w:left="284"/>
            </w:pPr>
            <w:r w:rsidRPr="00A530E1">
              <w:t xml:space="preserve">800 copies of the regulations on special basic education </w:t>
            </w:r>
          </w:p>
          <w:p w:rsidR="00396CCE" w:rsidRPr="00A530E1" w:rsidRDefault="00396CCE" w:rsidP="00031F2F">
            <w:pPr>
              <w:pStyle w:val="Bullet2G"/>
              <w:numPr>
                <w:ilvl w:val="0"/>
                <w:numId w:val="0"/>
              </w:numPr>
              <w:tabs>
                <w:tab w:val="left" w:pos="738"/>
              </w:tabs>
              <w:spacing w:before="40" w:after="60"/>
              <w:ind w:left="284"/>
            </w:pPr>
            <w:r w:rsidRPr="00A530E1">
              <w:t>824 manuals on inclusive education</w:t>
            </w:r>
          </w:p>
          <w:p w:rsidR="00396CCE" w:rsidRPr="00A530E1" w:rsidRDefault="00396CCE" w:rsidP="00031F2F">
            <w:pPr>
              <w:pStyle w:val="Bullet2G"/>
              <w:numPr>
                <w:ilvl w:val="0"/>
                <w:numId w:val="0"/>
              </w:numPr>
              <w:tabs>
                <w:tab w:val="left" w:pos="738"/>
              </w:tabs>
              <w:spacing w:before="40"/>
              <w:ind w:left="284"/>
            </w:pPr>
            <w:r w:rsidRPr="00A530E1">
              <w:t>260 kits of various materials for the Special Basic Education Centres</w:t>
            </w:r>
          </w:p>
          <w:p w:rsidR="00396CCE" w:rsidRPr="00A530E1" w:rsidRDefault="00396CCE" w:rsidP="008D404D">
            <w:pPr>
              <w:pStyle w:val="Bullet1G"/>
              <w:keepNext/>
              <w:keepLines/>
              <w:tabs>
                <w:tab w:val="clear" w:pos="1701"/>
              </w:tabs>
              <w:spacing w:before="40"/>
              <w:ind w:left="170" w:right="113"/>
              <w:jc w:val="left"/>
            </w:pPr>
            <w:r w:rsidRPr="00A530E1">
              <w:t>Implementation, in cooperation with Caritas-Peru, of a project entitled “Inclusive Education: Education for all in the south-west region of Peru” targeting the Tacna, Moquegua and Arequipa regions</w:t>
            </w:r>
          </w:p>
          <w:p w:rsidR="00396CCE" w:rsidRPr="00A530E1" w:rsidRDefault="00396CCE" w:rsidP="008D404D">
            <w:pPr>
              <w:pStyle w:val="Bullet1G"/>
              <w:keepNext/>
              <w:keepLines/>
              <w:tabs>
                <w:tab w:val="clear" w:pos="1701"/>
              </w:tabs>
              <w:spacing w:before="40"/>
              <w:ind w:left="170" w:right="113"/>
              <w:jc w:val="left"/>
            </w:pPr>
            <w:r w:rsidRPr="00A530E1">
              <w:t>Activities to strengthen special basic education services within the framework of the Educational and Social Inclusion Development Programme (PRODIES) in the regions of Piura, Cajamarca, Ica, La Libertad, and the city and province of Lima</w:t>
            </w:r>
          </w:p>
          <w:p w:rsidR="00396CCE" w:rsidRPr="00A530E1" w:rsidRDefault="00396CCE" w:rsidP="008D404D">
            <w:pPr>
              <w:pStyle w:val="Bullet1G"/>
              <w:keepNext/>
              <w:keepLines/>
              <w:tabs>
                <w:tab w:val="clear" w:pos="1701"/>
              </w:tabs>
              <w:spacing w:before="40"/>
              <w:ind w:left="170" w:right="113"/>
              <w:jc w:val="left"/>
            </w:pPr>
            <w:r w:rsidRPr="00A530E1">
              <w:t>Support for civil society organizations in improving the accessibility of the premises of special basic education institutions through the modification of sanitation facilities and the construction of ramps</w:t>
            </w:r>
          </w:p>
          <w:p w:rsidR="00396CCE" w:rsidRPr="00A530E1" w:rsidRDefault="00396CCE" w:rsidP="008D404D">
            <w:pPr>
              <w:pStyle w:val="Bullet1G"/>
              <w:keepNext/>
              <w:keepLines/>
              <w:tabs>
                <w:tab w:val="clear" w:pos="1701"/>
              </w:tabs>
              <w:spacing w:before="40"/>
              <w:ind w:left="170" w:right="113"/>
              <w:jc w:val="left"/>
            </w:pPr>
            <w:r w:rsidRPr="00A530E1">
              <w:t>Formulation of a project profile for promoting the inclusion of students with disabilities in basic education institutions as part of a pilot study in the Apurímac, Ayacucho, Cusco, Huancavelica and Huánuco regions</w:t>
            </w:r>
          </w:p>
          <w:p w:rsidR="00396CCE" w:rsidRPr="00A530E1" w:rsidRDefault="00396CCE" w:rsidP="008D404D">
            <w:pPr>
              <w:pStyle w:val="Bullet1G"/>
              <w:keepNext/>
              <w:keepLines/>
              <w:tabs>
                <w:tab w:val="clear" w:pos="1701"/>
              </w:tabs>
              <w:spacing w:before="40"/>
              <w:ind w:left="170" w:right="113"/>
              <w:jc w:val="left"/>
            </w:pPr>
            <w:r w:rsidRPr="00A530E1">
              <w:t>Establishment of the Round Table for Dialogue and Joint Action to Promote Inclusive Education</w:t>
            </w:r>
          </w:p>
        </w:tc>
      </w:tr>
      <w:tr w:rsidR="00440B9D" w:rsidRPr="00A530E1" w:rsidTr="00096945">
        <w:tc>
          <w:tcPr>
            <w:tcW w:w="2500" w:type="dxa"/>
            <w:shd w:val="clear" w:color="auto" w:fill="auto"/>
          </w:tcPr>
          <w:p w:rsidR="00440B9D" w:rsidRPr="00A530E1" w:rsidRDefault="00440B9D" w:rsidP="00440B9D">
            <w:pPr>
              <w:spacing w:before="40" w:after="120"/>
              <w:ind w:right="113"/>
            </w:pPr>
          </w:p>
        </w:tc>
        <w:tc>
          <w:tcPr>
            <w:tcW w:w="7139" w:type="dxa"/>
            <w:shd w:val="clear" w:color="auto" w:fill="auto"/>
          </w:tcPr>
          <w:p w:rsidR="00440B9D" w:rsidRPr="00A530E1" w:rsidRDefault="00440B9D" w:rsidP="00440B9D">
            <w:pPr>
              <w:pStyle w:val="Bullet1G"/>
              <w:keepNext/>
              <w:keepLines/>
              <w:numPr>
                <w:ilvl w:val="0"/>
                <w:numId w:val="0"/>
              </w:numPr>
              <w:spacing w:before="40"/>
              <w:ind w:right="113"/>
            </w:pPr>
          </w:p>
        </w:tc>
      </w:tr>
      <w:tr w:rsidR="00440B9D" w:rsidRPr="00A530E1" w:rsidTr="00096945">
        <w:tc>
          <w:tcPr>
            <w:tcW w:w="2500" w:type="dxa"/>
            <w:shd w:val="clear" w:color="auto" w:fill="auto"/>
          </w:tcPr>
          <w:p w:rsidR="00440B9D" w:rsidRPr="00A530E1" w:rsidRDefault="00440B9D" w:rsidP="00440B9D">
            <w:pPr>
              <w:spacing w:before="40" w:after="120"/>
              <w:ind w:right="113"/>
            </w:pPr>
          </w:p>
        </w:tc>
        <w:tc>
          <w:tcPr>
            <w:tcW w:w="7139" w:type="dxa"/>
            <w:shd w:val="clear" w:color="auto" w:fill="auto"/>
          </w:tcPr>
          <w:p w:rsidR="00440B9D" w:rsidRPr="00A530E1" w:rsidRDefault="00440B9D" w:rsidP="00440B9D">
            <w:pPr>
              <w:pStyle w:val="Bullet1G"/>
              <w:keepNext/>
              <w:keepLines/>
              <w:numPr>
                <w:ilvl w:val="0"/>
                <w:numId w:val="0"/>
              </w:numPr>
              <w:spacing w:before="40"/>
              <w:ind w:right="113"/>
            </w:pPr>
          </w:p>
        </w:tc>
      </w:tr>
      <w:tr w:rsidR="00440B9D" w:rsidRPr="00A530E1" w:rsidTr="00096945">
        <w:tc>
          <w:tcPr>
            <w:tcW w:w="2500" w:type="dxa"/>
            <w:shd w:val="clear" w:color="auto" w:fill="auto"/>
          </w:tcPr>
          <w:p w:rsidR="00440B9D" w:rsidRPr="00A530E1" w:rsidRDefault="00440B9D" w:rsidP="00440B9D">
            <w:pPr>
              <w:spacing w:before="40" w:after="120"/>
              <w:ind w:right="113"/>
            </w:pPr>
          </w:p>
        </w:tc>
        <w:tc>
          <w:tcPr>
            <w:tcW w:w="7139" w:type="dxa"/>
            <w:shd w:val="clear" w:color="auto" w:fill="auto"/>
          </w:tcPr>
          <w:p w:rsidR="00440B9D" w:rsidRPr="00A530E1" w:rsidRDefault="00440B9D" w:rsidP="00440B9D">
            <w:pPr>
              <w:pStyle w:val="Bullet1G"/>
              <w:keepNext/>
              <w:keepLines/>
              <w:numPr>
                <w:ilvl w:val="0"/>
                <w:numId w:val="0"/>
              </w:numPr>
              <w:spacing w:before="40"/>
              <w:ind w:right="113"/>
            </w:pPr>
          </w:p>
        </w:tc>
      </w:tr>
      <w:tr w:rsidR="00440B9D" w:rsidRPr="00A530E1" w:rsidTr="00096945">
        <w:tc>
          <w:tcPr>
            <w:tcW w:w="2500" w:type="dxa"/>
            <w:shd w:val="clear" w:color="auto" w:fill="auto"/>
          </w:tcPr>
          <w:p w:rsidR="00440B9D" w:rsidRPr="00A530E1" w:rsidRDefault="00440B9D" w:rsidP="00440B9D">
            <w:pPr>
              <w:spacing w:before="40" w:after="120"/>
              <w:ind w:right="113"/>
            </w:pPr>
          </w:p>
        </w:tc>
        <w:tc>
          <w:tcPr>
            <w:tcW w:w="7139" w:type="dxa"/>
            <w:shd w:val="clear" w:color="auto" w:fill="auto"/>
          </w:tcPr>
          <w:p w:rsidR="00440B9D" w:rsidRPr="00A530E1" w:rsidRDefault="00440B9D" w:rsidP="00440B9D">
            <w:pPr>
              <w:pStyle w:val="Bullet1G"/>
              <w:keepNext/>
              <w:keepLines/>
              <w:numPr>
                <w:ilvl w:val="0"/>
                <w:numId w:val="0"/>
              </w:numPr>
              <w:spacing w:before="40"/>
              <w:ind w:right="113"/>
            </w:pPr>
          </w:p>
        </w:tc>
      </w:tr>
      <w:tr w:rsidR="00396CCE" w:rsidRPr="00A530E1" w:rsidTr="00096945">
        <w:tc>
          <w:tcPr>
            <w:tcW w:w="2500" w:type="dxa"/>
            <w:shd w:val="clear" w:color="auto" w:fill="auto"/>
          </w:tcPr>
          <w:p w:rsidR="00396CCE" w:rsidRPr="00A530E1" w:rsidRDefault="00396CCE" w:rsidP="00F063C5">
            <w:pPr>
              <w:spacing w:before="40" w:after="120"/>
              <w:ind w:right="113"/>
            </w:pPr>
            <w:r w:rsidRPr="00A530E1">
              <w:t>Availability of specific skills-development services for children, adults or teachers who so require in Braille, sign languages, augmentative and alternative communic</w:t>
            </w:r>
            <w:r w:rsidR="008D404D">
              <w:t>ation, mobility and other areas</w:t>
            </w:r>
          </w:p>
        </w:tc>
        <w:tc>
          <w:tcPr>
            <w:tcW w:w="7139" w:type="dxa"/>
            <w:shd w:val="clear" w:color="auto" w:fill="auto"/>
          </w:tcPr>
          <w:p w:rsidR="00396CCE" w:rsidRPr="00A530E1" w:rsidRDefault="00396CCE" w:rsidP="008D404D">
            <w:pPr>
              <w:pStyle w:val="Bullet1G"/>
              <w:keepNext/>
              <w:keepLines/>
              <w:tabs>
                <w:tab w:val="clear" w:pos="1701"/>
              </w:tabs>
              <w:spacing w:before="40"/>
              <w:ind w:left="170" w:right="113"/>
            </w:pPr>
            <w:r w:rsidRPr="00A530E1">
              <w:t>Workshop on Peruvian Sign Language for teachers involved in SAANEE; 40 participants were trained in the city of Huacho in August 2009</w:t>
            </w:r>
          </w:p>
          <w:p w:rsidR="00396CCE" w:rsidRPr="00A530E1" w:rsidRDefault="00396CCE" w:rsidP="008D404D">
            <w:pPr>
              <w:pStyle w:val="Bullet1G"/>
              <w:keepNext/>
              <w:keepLines/>
              <w:tabs>
                <w:tab w:val="clear" w:pos="1701"/>
              </w:tabs>
              <w:spacing w:before="40"/>
              <w:ind w:left="170" w:right="113"/>
            </w:pPr>
            <w:r w:rsidRPr="00A530E1">
              <w:t>Organization of a training event, based on an inclusive approach that promoted participation by persons with visual impairments, under the National Programme for the Promotion of Literacy (PRONOMA) and distribution of Braille frames and styluses to facilitate achievement of learning goals under the Programme</w:t>
            </w:r>
          </w:p>
          <w:p w:rsidR="00396CCE" w:rsidRPr="00A530E1" w:rsidRDefault="00396CCE" w:rsidP="008D404D">
            <w:pPr>
              <w:pStyle w:val="Bullet1G"/>
              <w:keepNext/>
              <w:keepLines/>
              <w:tabs>
                <w:tab w:val="clear" w:pos="1701"/>
              </w:tabs>
              <w:spacing w:before="40"/>
              <w:ind w:left="170" w:right="113"/>
            </w:pPr>
            <w:r w:rsidRPr="00A530E1">
              <w:t>A training workshop on techniques for meeting the educational needs of persons with visual impairments which focused on definitions, characteristics and educational responses, as well as covering specific aspects such as the Braille system, abacuses, skills for daily life, orientation and mobility, and visual stimulation. A total of 40 teachers were trained in Huacho in August 2009</w:t>
            </w:r>
          </w:p>
          <w:p w:rsidR="00396CCE" w:rsidRPr="00A530E1" w:rsidRDefault="00396CCE" w:rsidP="008D404D">
            <w:pPr>
              <w:pStyle w:val="Bullet1G"/>
              <w:keepNext/>
              <w:keepLines/>
              <w:tabs>
                <w:tab w:val="clear" w:pos="1701"/>
              </w:tabs>
              <w:spacing w:before="40"/>
              <w:ind w:left="170" w:right="113"/>
            </w:pPr>
            <w:r w:rsidRPr="00A530E1">
              <w:t>Workshop on strategies and resources for the inclusion of students with hearing impairments in the classroom, held at the Universidad Feminina del Sagrado Corazón (Sacred Heart Women’s University (UNIFE)) in August 2009</w:t>
            </w:r>
          </w:p>
        </w:tc>
      </w:tr>
      <w:tr w:rsidR="00396CCE" w:rsidRPr="00A530E1" w:rsidTr="00096945">
        <w:tc>
          <w:tcPr>
            <w:tcW w:w="2500" w:type="dxa"/>
            <w:shd w:val="clear" w:color="auto" w:fill="auto"/>
          </w:tcPr>
          <w:p w:rsidR="00396CCE" w:rsidRPr="00A530E1" w:rsidRDefault="00396CCE" w:rsidP="00F063C5">
            <w:pPr>
              <w:spacing w:before="40" w:after="120"/>
              <w:ind w:right="113"/>
            </w:pPr>
            <w:r w:rsidRPr="00A530E1">
              <w:t>Measures taken for the promotion of the linguistic identity of deaf persons</w:t>
            </w:r>
          </w:p>
        </w:tc>
        <w:tc>
          <w:tcPr>
            <w:tcW w:w="7139" w:type="dxa"/>
            <w:shd w:val="clear" w:color="auto" w:fill="auto"/>
          </w:tcPr>
          <w:p w:rsidR="00396CCE" w:rsidRPr="00A530E1" w:rsidRDefault="00396CCE" w:rsidP="000F38ED">
            <w:pPr>
              <w:pStyle w:val="Bullet1G"/>
              <w:keepNext/>
              <w:keepLines/>
              <w:tabs>
                <w:tab w:val="clear" w:pos="1701"/>
              </w:tabs>
              <w:spacing w:before="40"/>
              <w:ind w:left="170" w:right="113"/>
            </w:pPr>
            <w:r w:rsidRPr="00A530E1">
              <w:t>Issuance of a favourable finding by the Congressional Health Commission concerning bill No. 02752/2008-CR, which proposes that Peruvian Sign Language be officially recognized as a medium of communication for persons with hearing impairments throughout the country.</w:t>
            </w:r>
          </w:p>
          <w:p w:rsidR="00396CCE" w:rsidRPr="00A530E1" w:rsidRDefault="00396CCE" w:rsidP="008D404D">
            <w:pPr>
              <w:pStyle w:val="Bullet1G"/>
              <w:keepNext/>
              <w:keepLines/>
              <w:tabs>
                <w:tab w:val="clear" w:pos="1701"/>
              </w:tabs>
              <w:spacing w:before="40"/>
              <w:ind w:left="170" w:right="113"/>
            </w:pPr>
            <w:r w:rsidRPr="00A530E1">
              <w:t>Updating of a document entitled “Lengua de Señas Peruanas 2009” (Peruvian sign language 2009) to produce an expanded second edition that incorporates a chapter on information technology.</w:t>
            </w:r>
          </w:p>
          <w:p w:rsidR="00396CCE" w:rsidRPr="00A530E1" w:rsidRDefault="00396CCE" w:rsidP="008D404D">
            <w:pPr>
              <w:pStyle w:val="Bullet1G"/>
              <w:keepNext/>
              <w:keepLines/>
              <w:tabs>
                <w:tab w:val="clear" w:pos="1701"/>
              </w:tabs>
              <w:spacing w:before="40"/>
              <w:ind w:left="170" w:right="113"/>
            </w:pPr>
            <w:r w:rsidRPr="00A530E1">
              <w:t>Preparation of a handbook on teaching sign language that includes guidelines for teachers on the organization of Peruvian Sign Language classes.</w:t>
            </w:r>
          </w:p>
          <w:p w:rsidR="00396CCE" w:rsidRPr="00A530E1" w:rsidRDefault="00396CCE" w:rsidP="008D404D">
            <w:pPr>
              <w:pStyle w:val="Bullet1G"/>
              <w:keepNext/>
              <w:keepLines/>
              <w:tabs>
                <w:tab w:val="clear" w:pos="1701"/>
              </w:tabs>
              <w:spacing w:before="40"/>
              <w:ind w:left="170" w:right="113"/>
            </w:pPr>
            <w:r w:rsidRPr="00A530E1">
              <w:t>Preparation of a second edition of the Quechua-Spanish bilingual manual on sign language. This manual is aimed at persons with hearing impairments from Quechua-speaking areas (Cusco, Apurímac, Puno, Arequipa and Moquegua) and is understandable for speakers of Chanca, a dialectal variant of Quechua spoken in Ayacucho. The print run of 1,000 copies was distributed to 650 teachers in bilingual schools.</w:t>
            </w:r>
          </w:p>
          <w:p w:rsidR="00396CCE" w:rsidRPr="00A530E1" w:rsidRDefault="00396CCE" w:rsidP="008D404D">
            <w:pPr>
              <w:pStyle w:val="Bullet1G"/>
              <w:keepNext/>
              <w:keepLines/>
              <w:tabs>
                <w:tab w:val="clear" w:pos="1701"/>
              </w:tabs>
              <w:spacing w:before="40"/>
              <w:ind w:left="170" w:right="113"/>
            </w:pPr>
            <w:r w:rsidRPr="00A530E1">
              <w:t>The inclusive Ludwig Van Beethoven School has been opened for children with hearing impairments. This school, which is the first of its kind, will help to reduce illiteracy among deaf persons.</w:t>
            </w:r>
          </w:p>
        </w:tc>
      </w:tr>
      <w:tr w:rsidR="00396CCE" w:rsidRPr="00A530E1" w:rsidTr="00096945">
        <w:tc>
          <w:tcPr>
            <w:tcW w:w="2500" w:type="dxa"/>
            <w:shd w:val="clear" w:color="auto" w:fill="auto"/>
          </w:tcPr>
          <w:p w:rsidR="00396CCE" w:rsidRPr="00A530E1" w:rsidRDefault="00396CCE" w:rsidP="00F063C5">
            <w:pPr>
              <w:spacing w:before="40" w:after="120"/>
              <w:ind w:right="113"/>
            </w:pPr>
            <w:r w:rsidRPr="00A530E1">
              <w:t>Measures taken to ensure education is delivered in the most appropriate languages, modes, means of communication, and environments for the individual</w:t>
            </w:r>
          </w:p>
        </w:tc>
        <w:tc>
          <w:tcPr>
            <w:tcW w:w="7139" w:type="dxa"/>
            <w:shd w:val="clear" w:color="auto" w:fill="auto"/>
          </w:tcPr>
          <w:p w:rsidR="00396CCE" w:rsidRPr="00A530E1" w:rsidRDefault="00396CCE" w:rsidP="000B59B5">
            <w:pPr>
              <w:pStyle w:val="Bullet1G"/>
              <w:keepNext/>
              <w:keepLines/>
              <w:tabs>
                <w:tab w:val="clear" w:pos="1701"/>
              </w:tabs>
              <w:spacing w:before="40"/>
              <w:ind w:left="170" w:right="113"/>
            </w:pPr>
            <w:r w:rsidRPr="00A530E1">
              <w:t>Preparation and printing of the Quechua-Spanish bilingual sign-language manual for students with hearing impairments.</w:t>
            </w:r>
          </w:p>
          <w:p w:rsidR="00396CCE" w:rsidRPr="00A530E1" w:rsidRDefault="00396CCE" w:rsidP="008926C2">
            <w:pPr>
              <w:pStyle w:val="Bullet1G"/>
              <w:keepNext/>
              <w:keepLines/>
              <w:tabs>
                <w:tab w:val="clear" w:pos="1701"/>
              </w:tabs>
              <w:spacing w:before="40"/>
              <w:ind w:left="170" w:right="113"/>
            </w:pPr>
            <w:r w:rsidRPr="00A530E1">
              <w:t>Through Supreme Decree No. 008-2009-ED, the National Training Programme on Road-Safety Education has been created. Article 2 establishes that the Ministry of Education, through the Directorate for Tutoring and Educational Guidance, which is attached to the Office of the Deputy Minister for Pedagogical Management, is responsible for conducting the Programme.</w:t>
            </w:r>
          </w:p>
          <w:p w:rsidR="00396CCE" w:rsidRPr="00A530E1" w:rsidRDefault="00396CCE" w:rsidP="008926C2">
            <w:pPr>
              <w:pStyle w:val="Bullet1G"/>
              <w:keepNext/>
              <w:keepLines/>
              <w:numPr>
                <w:ilvl w:val="0"/>
                <w:numId w:val="0"/>
              </w:numPr>
              <w:spacing w:before="40"/>
              <w:ind w:right="113"/>
            </w:pPr>
            <w:r w:rsidRPr="00A530E1">
              <w:t>The aim is to teach children about the importance of values such as respect for life, established rules and legitimate authority, as well as about other aspects related to the functions of the traffic police, traffic lights, and the rights and duties of persons with disabilities in the area of road safety.</w:t>
            </w:r>
          </w:p>
        </w:tc>
      </w:tr>
      <w:tr w:rsidR="00715734" w:rsidRPr="00A530E1" w:rsidTr="00096945">
        <w:tc>
          <w:tcPr>
            <w:tcW w:w="2500" w:type="dxa"/>
            <w:shd w:val="clear" w:color="auto" w:fill="auto"/>
          </w:tcPr>
          <w:p w:rsidR="00715734" w:rsidRPr="00A530E1" w:rsidRDefault="00715734" w:rsidP="00715734">
            <w:pPr>
              <w:spacing w:before="40" w:after="120"/>
              <w:ind w:right="113"/>
            </w:pPr>
          </w:p>
        </w:tc>
        <w:tc>
          <w:tcPr>
            <w:tcW w:w="7139" w:type="dxa"/>
            <w:shd w:val="clear" w:color="auto" w:fill="auto"/>
          </w:tcPr>
          <w:p w:rsidR="00715734" w:rsidRPr="00A530E1" w:rsidRDefault="00715734" w:rsidP="00715734">
            <w:pPr>
              <w:pStyle w:val="Bullet1G"/>
              <w:keepNext/>
              <w:keepLines/>
              <w:numPr>
                <w:ilvl w:val="0"/>
                <w:numId w:val="0"/>
              </w:numPr>
              <w:spacing w:before="40"/>
              <w:ind w:right="113"/>
            </w:pPr>
          </w:p>
        </w:tc>
      </w:tr>
      <w:tr w:rsidR="00396CCE" w:rsidRPr="00A530E1" w:rsidTr="00096945">
        <w:tc>
          <w:tcPr>
            <w:tcW w:w="2500" w:type="dxa"/>
            <w:shd w:val="clear" w:color="auto" w:fill="auto"/>
          </w:tcPr>
          <w:p w:rsidR="00396CCE" w:rsidRPr="00A530E1" w:rsidRDefault="00396CCE" w:rsidP="00F063C5">
            <w:pPr>
              <w:spacing w:before="40" w:after="120"/>
              <w:ind w:right="113"/>
            </w:pPr>
            <w:r w:rsidRPr="00A530E1">
              <w:t>Measures to ensure an adequate training on disability for professionals in the education system, as well as measures to incorporate persons with disabilities in the education team</w:t>
            </w:r>
          </w:p>
        </w:tc>
        <w:tc>
          <w:tcPr>
            <w:tcW w:w="7139" w:type="dxa"/>
            <w:shd w:val="clear" w:color="auto" w:fill="auto"/>
          </w:tcPr>
          <w:p w:rsidR="00396CCE" w:rsidRPr="00A530E1" w:rsidRDefault="00396CCE" w:rsidP="00DD1AF0">
            <w:pPr>
              <w:pStyle w:val="Bullet1G"/>
              <w:keepNext/>
              <w:keepLines/>
              <w:tabs>
                <w:tab w:val="clear" w:pos="1701"/>
              </w:tabs>
              <w:spacing w:before="40"/>
              <w:ind w:left="170" w:right="113"/>
            </w:pPr>
            <w:r w:rsidRPr="00A530E1">
              <w:t>Ministerial Decision No. 298-2008-ED to adopt supplementary regulations on the implementation of the 2008 special basic education teacher-training programme</w:t>
            </w:r>
          </w:p>
          <w:p w:rsidR="00396CCE" w:rsidRPr="00A530E1" w:rsidRDefault="00396CCE" w:rsidP="00FE0869">
            <w:pPr>
              <w:pStyle w:val="Bullet1G"/>
              <w:keepNext/>
              <w:keepLines/>
              <w:tabs>
                <w:tab w:val="clear" w:pos="1701"/>
                <w:tab w:val="num" w:pos="283"/>
                <w:tab w:val="right" w:pos="851"/>
              </w:tabs>
              <w:spacing w:before="40"/>
              <w:ind w:left="284" w:right="113" w:hanging="284"/>
              <w:jc w:val="left"/>
            </w:pPr>
            <w:r w:rsidRPr="00A530E1">
              <w:tab/>
              <w:t>National competition on successful experiences in inclusive education</w:t>
            </w:r>
          </w:p>
          <w:p w:rsidR="00396CCE" w:rsidRPr="00A530E1" w:rsidRDefault="00396CCE" w:rsidP="00FE0869">
            <w:pPr>
              <w:pStyle w:val="Bullet1G"/>
              <w:keepNext/>
              <w:keepLines/>
              <w:tabs>
                <w:tab w:val="clear" w:pos="1701"/>
                <w:tab w:val="num" w:pos="283"/>
                <w:tab w:val="right" w:pos="851"/>
              </w:tabs>
              <w:spacing w:before="40"/>
              <w:ind w:left="284" w:right="113" w:hanging="284"/>
              <w:jc w:val="left"/>
            </w:pPr>
            <w:r w:rsidRPr="00A530E1">
              <w:tab/>
              <w:t>Online training for teaching and non-teaching professionals on approaches to gifted and talented education, strengthening of SAANEE and training for professionals involved in early intervention programmes</w:t>
            </w:r>
          </w:p>
          <w:p w:rsidR="00396CCE" w:rsidRPr="00A530E1" w:rsidRDefault="00396CCE" w:rsidP="00FE0869">
            <w:pPr>
              <w:pStyle w:val="Bullet1G"/>
              <w:keepNext/>
              <w:keepLines/>
              <w:tabs>
                <w:tab w:val="clear" w:pos="1701"/>
                <w:tab w:val="num" w:pos="283"/>
                <w:tab w:val="right" w:pos="851"/>
              </w:tabs>
              <w:spacing w:before="40"/>
              <w:ind w:left="284" w:right="113" w:hanging="284"/>
              <w:jc w:val="left"/>
            </w:pPr>
            <w:r w:rsidRPr="00A530E1">
              <w:tab/>
              <w:t>An international conference was held on inclusive education for persons with disabilities as a way forward towards educational and social inclusion. The conference was attended by representatives of Brazil, Mexico, Canada and the office of the United Nations Educational, Scientific and Cultural Organization (UNESCO) in Chile</w:t>
            </w:r>
          </w:p>
          <w:p w:rsidR="00396CCE" w:rsidRPr="00A530E1" w:rsidRDefault="00396CCE" w:rsidP="00FE0869">
            <w:pPr>
              <w:pStyle w:val="Bullet1G"/>
              <w:keepNext/>
              <w:keepLines/>
              <w:tabs>
                <w:tab w:val="clear" w:pos="1701"/>
                <w:tab w:val="num" w:pos="283"/>
                <w:tab w:val="right" w:pos="851"/>
              </w:tabs>
              <w:spacing w:before="40"/>
              <w:ind w:left="284" w:right="113" w:hanging="284"/>
              <w:jc w:val="left"/>
            </w:pPr>
            <w:r w:rsidRPr="00A530E1">
              <w:tab/>
              <w:t>Strengthening services for children with disabilities in areas covered by the “Proniño” (pro-child) Programme run by the Telefónica Foundation</w:t>
            </w:r>
          </w:p>
          <w:p w:rsidR="00396CCE" w:rsidRPr="00A530E1" w:rsidRDefault="00396CCE" w:rsidP="00FE0869">
            <w:pPr>
              <w:pStyle w:val="Bullet1G"/>
              <w:keepNext/>
              <w:keepLines/>
              <w:tabs>
                <w:tab w:val="clear" w:pos="1701"/>
                <w:tab w:val="num" w:pos="283"/>
                <w:tab w:val="right" w:pos="851"/>
              </w:tabs>
              <w:spacing w:before="40"/>
              <w:ind w:left="284" w:right="113" w:hanging="284"/>
              <w:jc w:val="left"/>
            </w:pPr>
            <w:r w:rsidRPr="00A530E1">
              <w:tab/>
              <w:t>Under the National Training and Skills Programme, 300 hours of training were provided in 2010, in cooperation with the Pontifical Catholic University of Peru, to 365 special basic education teachers</w:t>
            </w:r>
          </w:p>
          <w:p w:rsidR="00396CCE" w:rsidRPr="00A530E1" w:rsidRDefault="00396CCE" w:rsidP="00FE0869">
            <w:pPr>
              <w:pStyle w:val="Bullet1G"/>
              <w:keepNext/>
              <w:keepLines/>
              <w:tabs>
                <w:tab w:val="clear" w:pos="1701"/>
                <w:tab w:val="num" w:pos="283"/>
                <w:tab w:val="right" w:pos="851"/>
              </w:tabs>
              <w:spacing w:before="40"/>
              <w:ind w:left="284" w:right="113" w:hanging="284"/>
              <w:jc w:val="left"/>
            </w:pPr>
            <w:r w:rsidRPr="00A530E1">
              <w:tab/>
              <w:t>Specialized teaching materials designed to promote the inclusion of persons with disabilities in the education system have been distributed across the country to teachers and SAANEE personnel</w:t>
            </w:r>
          </w:p>
        </w:tc>
      </w:tr>
      <w:tr w:rsidR="00396CCE" w:rsidRPr="00A530E1" w:rsidTr="00096945">
        <w:tc>
          <w:tcPr>
            <w:tcW w:w="2500" w:type="dxa"/>
            <w:shd w:val="clear" w:color="auto" w:fill="auto"/>
          </w:tcPr>
          <w:p w:rsidR="00396CCE" w:rsidRPr="00A530E1" w:rsidRDefault="00396CCE" w:rsidP="00F063C5">
            <w:pPr>
              <w:spacing w:before="40" w:after="120"/>
              <w:ind w:right="113"/>
            </w:pPr>
            <w:r w:rsidRPr="00A530E1">
              <w:t>Number and percentage of students with disabilities in tertiary education</w:t>
            </w:r>
          </w:p>
        </w:tc>
        <w:tc>
          <w:tcPr>
            <w:tcW w:w="7139" w:type="dxa"/>
            <w:shd w:val="clear" w:color="auto" w:fill="auto"/>
          </w:tcPr>
          <w:p w:rsidR="00396CCE" w:rsidRPr="00A530E1" w:rsidRDefault="00396CCE" w:rsidP="00F063C5">
            <w:pPr>
              <w:spacing w:before="40" w:after="120"/>
              <w:ind w:right="113"/>
            </w:pPr>
            <w:r w:rsidRPr="00A530E1">
              <w:t>In the Peruvian education system, tertiary education includes technical/vocational education, non-university higher-education institutions or schools, and universities.</w:t>
            </w:r>
          </w:p>
        </w:tc>
      </w:tr>
      <w:tr w:rsidR="00396CCE" w:rsidRPr="00A530E1" w:rsidTr="00096945">
        <w:trPr>
          <w:trHeight w:val="1567"/>
        </w:trPr>
        <w:tc>
          <w:tcPr>
            <w:tcW w:w="2500" w:type="dxa"/>
            <w:shd w:val="clear" w:color="auto" w:fill="auto"/>
          </w:tcPr>
          <w:p w:rsidR="00396CCE" w:rsidRPr="00A530E1" w:rsidRDefault="00396CCE" w:rsidP="00F063C5">
            <w:pPr>
              <w:spacing w:before="40" w:after="120"/>
              <w:ind w:right="113"/>
            </w:pPr>
          </w:p>
        </w:tc>
        <w:tc>
          <w:tcPr>
            <w:tcW w:w="7139" w:type="dxa"/>
            <w:shd w:val="clear" w:color="auto" w:fill="auto"/>
          </w:tcPr>
          <w:p w:rsidR="00396CCE" w:rsidRPr="00A530E1" w:rsidRDefault="00396CCE" w:rsidP="00F063C5">
            <w:pPr>
              <w:spacing w:before="40" w:after="120"/>
              <w:ind w:right="113"/>
              <w:rPr>
                <w:b/>
              </w:rPr>
            </w:pPr>
            <w:r w:rsidRPr="00A530E1">
              <w:rPr>
                <w:b/>
              </w:rPr>
              <w:tab/>
              <w:t>Technical/vocational education</w:t>
            </w:r>
          </w:p>
          <w:tbl>
            <w:tblPr>
              <w:tblW w:w="3837" w:type="dxa"/>
              <w:tblInd w:w="567" w:type="dxa"/>
              <w:tblBorders>
                <w:top w:val="single" w:sz="4" w:space="0" w:color="auto"/>
              </w:tblBorders>
              <w:tblLayout w:type="fixed"/>
              <w:tblCellMar>
                <w:left w:w="0" w:type="dxa"/>
                <w:right w:w="0" w:type="dxa"/>
              </w:tblCellMar>
              <w:tblLook w:val="04A0" w:firstRow="1" w:lastRow="0" w:firstColumn="1" w:lastColumn="0" w:noHBand="0" w:noVBand="1"/>
            </w:tblPr>
            <w:tblGrid>
              <w:gridCol w:w="1470"/>
              <w:gridCol w:w="2367"/>
            </w:tblGrid>
            <w:tr w:rsidR="00396CCE" w:rsidRPr="00A530E1" w:rsidTr="00F063C5">
              <w:trPr>
                <w:trHeight w:val="240"/>
                <w:tblHeader/>
              </w:trPr>
              <w:tc>
                <w:tcPr>
                  <w:tcW w:w="1470" w:type="dxa"/>
                  <w:tcBorders>
                    <w:top w:val="single" w:sz="4" w:space="0" w:color="auto"/>
                    <w:bottom w:val="single" w:sz="12" w:space="0" w:color="auto"/>
                  </w:tcBorders>
                  <w:shd w:val="clear" w:color="auto" w:fill="auto"/>
                  <w:vAlign w:val="bottom"/>
                </w:tcPr>
                <w:p w:rsidR="00396CCE" w:rsidRPr="00A530E1" w:rsidRDefault="00396CCE" w:rsidP="00F063C5">
                  <w:pPr>
                    <w:spacing w:before="80" w:after="80" w:line="200" w:lineRule="exact"/>
                    <w:rPr>
                      <w:i/>
                      <w:sz w:val="16"/>
                    </w:rPr>
                  </w:pPr>
                  <w:r w:rsidRPr="00A530E1">
                    <w:rPr>
                      <w:i/>
                      <w:sz w:val="16"/>
                    </w:rPr>
                    <w:t>Year</w:t>
                  </w:r>
                </w:p>
              </w:tc>
              <w:tc>
                <w:tcPr>
                  <w:tcW w:w="2367" w:type="dxa"/>
                  <w:tcBorders>
                    <w:top w:val="single" w:sz="4" w:space="0" w:color="auto"/>
                    <w:bottom w:val="single" w:sz="12" w:space="0" w:color="auto"/>
                  </w:tcBorders>
                  <w:shd w:val="clear" w:color="auto" w:fill="auto"/>
                  <w:vAlign w:val="bottom"/>
                </w:tcPr>
                <w:p w:rsidR="00396CCE" w:rsidRPr="00A530E1" w:rsidRDefault="00396CCE" w:rsidP="00F063C5">
                  <w:pPr>
                    <w:spacing w:before="80" w:after="80" w:line="200" w:lineRule="exact"/>
                    <w:jc w:val="right"/>
                    <w:rPr>
                      <w:i/>
                      <w:sz w:val="16"/>
                    </w:rPr>
                  </w:pPr>
                  <w:r w:rsidRPr="00A530E1">
                    <w:rPr>
                      <w:i/>
                      <w:sz w:val="16"/>
                    </w:rPr>
                    <w:t>Number of students</w:t>
                  </w:r>
                </w:p>
              </w:tc>
            </w:tr>
            <w:tr w:rsidR="00396CCE" w:rsidRPr="00A530E1" w:rsidTr="00F063C5">
              <w:trPr>
                <w:trHeight w:val="240"/>
              </w:trPr>
              <w:tc>
                <w:tcPr>
                  <w:tcW w:w="1470" w:type="dxa"/>
                  <w:tcBorders>
                    <w:top w:val="single" w:sz="12" w:space="0" w:color="auto"/>
                  </w:tcBorders>
                  <w:shd w:val="clear" w:color="auto" w:fill="auto"/>
                </w:tcPr>
                <w:p w:rsidR="00396CCE" w:rsidRPr="00A530E1" w:rsidRDefault="00396CCE" w:rsidP="00F063C5">
                  <w:pPr>
                    <w:spacing w:before="40" w:after="40" w:line="220" w:lineRule="exact"/>
                    <w:rPr>
                      <w:sz w:val="18"/>
                    </w:rPr>
                  </w:pPr>
                  <w:r w:rsidRPr="00A530E1">
                    <w:rPr>
                      <w:sz w:val="18"/>
                    </w:rPr>
                    <w:t>2008</w:t>
                  </w:r>
                </w:p>
              </w:tc>
              <w:tc>
                <w:tcPr>
                  <w:tcW w:w="2367" w:type="dxa"/>
                  <w:tcBorders>
                    <w:top w:val="single" w:sz="12" w:space="0" w:color="auto"/>
                  </w:tcBorders>
                  <w:shd w:val="clear" w:color="auto" w:fill="auto"/>
                  <w:vAlign w:val="bottom"/>
                </w:tcPr>
                <w:p w:rsidR="00396CCE" w:rsidRPr="00A530E1" w:rsidRDefault="00396CCE" w:rsidP="00F063C5">
                  <w:pPr>
                    <w:spacing w:before="40" w:after="40" w:line="220" w:lineRule="exact"/>
                    <w:ind w:left="113"/>
                    <w:jc w:val="right"/>
                    <w:rPr>
                      <w:sz w:val="18"/>
                    </w:rPr>
                  </w:pPr>
                  <w:r w:rsidRPr="00A530E1">
                    <w:rPr>
                      <w:sz w:val="18"/>
                    </w:rPr>
                    <w:t>678</w:t>
                  </w:r>
                </w:p>
              </w:tc>
            </w:tr>
            <w:tr w:rsidR="00396CCE" w:rsidRPr="00A530E1" w:rsidTr="00F063C5">
              <w:trPr>
                <w:trHeight w:val="240"/>
              </w:trPr>
              <w:tc>
                <w:tcPr>
                  <w:tcW w:w="1470" w:type="dxa"/>
                  <w:tcBorders>
                    <w:bottom w:val="single" w:sz="12" w:space="0" w:color="auto"/>
                  </w:tcBorders>
                  <w:shd w:val="clear" w:color="auto" w:fill="auto"/>
                </w:tcPr>
                <w:p w:rsidR="00396CCE" w:rsidRPr="00A530E1" w:rsidRDefault="00396CCE" w:rsidP="00F063C5">
                  <w:pPr>
                    <w:spacing w:before="40" w:after="40" w:line="220" w:lineRule="exact"/>
                    <w:rPr>
                      <w:sz w:val="18"/>
                    </w:rPr>
                  </w:pPr>
                  <w:r w:rsidRPr="00A530E1">
                    <w:rPr>
                      <w:sz w:val="18"/>
                    </w:rPr>
                    <w:t>2009</w:t>
                  </w:r>
                </w:p>
              </w:tc>
              <w:tc>
                <w:tcPr>
                  <w:tcW w:w="2367" w:type="dxa"/>
                  <w:tcBorders>
                    <w:bottom w:val="single" w:sz="12" w:space="0" w:color="auto"/>
                  </w:tcBorders>
                  <w:shd w:val="clear" w:color="auto" w:fill="auto"/>
                  <w:vAlign w:val="bottom"/>
                </w:tcPr>
                <w:p w:rsidR="00396CCE" w:rsidRPr="00A530E1" w:rsidRDefault="00396CCE" w:rsidP="00F063C5">
                  <w:pPr>
                    <w:spacing w:before="40" w:after="40" w:line="220" w:lineRule="exact"/>
                    <w:ind w:left="113"/>
                    <w:jc w:val="right"/>
                    <w:rPr>
                      <w:sz w:val="18"/>
                    </w:rPr>
                  </w:pPr>
                  <w:r w:rsidRPr="00A530E1">
                    <w:rPr>
                      <w:sz w:val="18"/>
                    </w:rPr>
                    <w:t>663</w:t>
                  </w:r>
                </w:p>
              </w:tc>
            </w:tr>
          </w:tbl>
          <w:p w:rsidR="0067597D" w:rsidRPr="00A530E1" w:rsidRDefault="0067597D" w:rsidP="0067597D">
            <w:pPr>
              <w:spacing w:before="40" w:after="120"/>
              <w:ind w:right="113"/>
            </w:pPr>
          </w:p>
        </w:tc>
      </w:tr>
      <w:tr w:rsidR="00396CCE" w:rsidRPr="00A530E1" w:rsidTr="00096945">
        <w:trPr>
          <w:trHeight w:val="1134"/>
        </w:trPr>
        <w:tc>
          <w:tcPr>
            <w:tcW w:w="2500" w:type="dxa"/>
            <w:shd w:val="clear" w:color="auto" w:fill="auto"/>
          </w:tcPr>
          <w:p w:rsidR="00396CCE" w:rsidRPr="00A530E1" w:rsidRDefault="00396CCE" w:rsidP="00F063C5">
            <w:pPr>
              <w:spacing w:before="40" w:after="120"/>
              <w:ind w:right="113"/>
            </w:pPr>
          </w:p>
        </w:tc>
        <w:tc>
          <w:tcPr>
            <w:tcW w:w="7139" w:type="dxa"/>
            <w:shd w:val="clear" w:color="auto" w:fill="auto"/>
          </w:tcPr>
          <w:p w:rsidR="00396CCE" w:rsidRPr="00A530E1" w:rsidRDefault="00396CCE" w:rsidP="00F063C5">
            <w:pPr>
              <w:spacing w:before="40" w:after="120"/>
              <w:ind w:right="113"/>
              <w:rPr>
                <w:b/>
              </w:rPr>
            </w:pPr>
            <w:r w:rsidRPr="00A530E1">
              <w:rPr>
                <w:b/>
              </w:rPr>
              <w:tab/>
              <w:t>Non-university higher education</w:t>
            </w:r>
          </w:p>
          <w:tbl>
            <w:tblPr>
              <w:tblW w:w="3837" w:type="dxa"/>
              <w:tblInd w:w="567" w:type="dxa"/>
              <w:tblBorders>
                <w:top w:val="single" w:sz="4" w:space="0" w:color="auto"/>
              </w:tblBorders>
              <w:tblLayout w:type="fixed"/>
              <w:tblCellMar>
                <w:left w:w="0" w:type="dxa"/>
                <w:right w:w="0" w:type="dxa"/>
              </w:tblCellMar>
              <w:tblLook w:val="04A0" w:firstRow="1" w:lastRow="0" w:firstColumn="1" w:lastColumn="0" w:noHBand="0" w:noVBand="1"/>
            </w:tblPr>
            <w:tblGrid>
              <w:gridCol w:w="1470"/>
              <w:gridCol w:w="2367"/>
            </w:tblGrid>
            <w:tr w:rsidR="00396CCE" w:rsidRPr="00A530E1" w:rsidTr="00F063C5">
              <w:trPr>
                <w:trHeight w:val="240"/>
                <w:tblHeader/>
              </w:trPr>
              <w:tc>
                <w:tcPr>
                  <w:tcW w:w="1470" w:type="dxa"/>
                  <w:tcBorders>
                    <w:top w:val="single" w:sz="4" w:space="0" w:color="auto"/>
                    <w:bottom w:val="single" w:sz="12" w:space="0" w:color="auto"/>
                  </w:tcBorders>
                  <w:shd w:val="clear" w:color="auto" w:fill="auto"/>
                  <w:vAlign w:val="bottom"/>
                </w:tcPr>
                <w:p w:rsidR="00396CCE" w:rsidRPr="00A530E1" w:rsidRDefault="00396CCE" w:rsidP="00F063C5">
                  <w:pPr>
                    <w:spacing w:before="80" w:after="80" w:line="200" w:lineRule="exact"/>
                    <w:rPr>
                      <w:i/>
                      <w:sz w:val="16"/>
                    </w:rPr>
                  </w:pPr>
                  <w:r w:rsidRPr="00A530E1">
                    <w:rPr>
                      <w:i/>
                      <w:sz w:val="16"/>
                    </w:rPr>
                    <w:t>Year</w:t>
                  </w:r>
                </w:p>
              </w:tc>
              <w:tc>
                <w:tcPr>
                  <w:tcW w:w="2367" w:type="dxa"/>
                  <w:tcBorders>
                    <w:top w:val="single" w:sz="4" w:space="0" w:color="auto"/>
                    <w:bottom w:val="single" w:sz="12" w:space="0" w:color="auto"/>
                  </w:tcBorders>
                  <w:shd w:val="clear" w:color="auto" w:fill="auto"/>
                  <w:vAlign w:val="bottom"/>
                </w:tcPr>
                <w:p w:rsidR="00396CCE" w:rsidRPr="00A530E1" w:rsidRDefault="00396CCE" w:rsidP="00F063C5">
                  <w:pPr>
                    <w:spacing w:before="80" w:after="80" w:line="200" w:lineRule="exact"/>
                    <w:jc w:val="right"/>
                    <w:rPr>
                      <w:i/>
                      <w:sz w:val="16"/>
                    </w:rPr>
                  </w:pPr>
                  <w:r w:rsidRPr="00A530E1">
                    <w:rPr>
                      <w:i/>
                      <w:sz w:val="16"/>
                    </w:rPr>
                    <w:t>Number of students</w:t>
                  </w:r>
                </w:p>
              </w:tc>
            </w:tr>
            <w:tr w:rsidR="00396CCE" w:rsidRPr="00A530E1" w:rsidTr="00F063C5">
              <w:trPr>
                <w:trHeight w:val="240"/>
              </w:trPr>
              <w:tc>
                <w:tcPr>
                  <w:tcW w:w="1470" w:type="dxa"/>
                  <w:tcBorders>
                    <w:top w:val="single" w:sz="12" w:space="0" w:color="auto"/>
                  </w:tcBorders>
                  <w:shd w:val="clear" w:color="auto" w:fill="auto"/>
                </w:tcPr>
                <w:p w:rsidR="00396CCE" w:rsidRPr="00A530E1" w:rsidRDefault="00396CCE" w:rsidP="00F063C5">
                  <w:pPr>
                    <w:spacing w:before="40" w:after="40" w:line="220" w:lineRule="exact"/>
                    <w:rPr>
                      <w:sz w:val="18"/>
                    </w:rPr>
                  </w:pPr>
                  <w:r w:rsidRPr="00A530E1">
                    <w:rPr>
                      <w:sz w:val="18"/>
                    </w:rPr>
                    <w:t>2008</w:t>
                  </w:r>
                </w:p>
              </w:tc>
              <w:tc>
                <w:tcPr>
                  <w:tcW w:w="2367" w:type="dxa"/>
                  <w:tcBorders>
                    <w:top w:val="single" w:sz="12" w:space="0" w:color="auto"/>
                  </w:tcBorders>
                  <w:shd w:val="clear" w:color="auto" w:fill="auto"/>
                  <w:vAlign w:val="bottom"/>
                </w:tcPr>
                <w:p w:rsidR="00396CCE" w:rsidRPr="00A530E1" w:rsidRDefault="00396CCE" w:rsidP="00F063C5">
                  <w:pPr>
                    <w:spacing w:before="40" w:after="40" w:line="220" w:lineRule="exact"/>
                    <w:ind w:left="113"/>
                    <w:jc w:val="right"/>
                    <w:rPr>
                      <w:sz w:val="18"/>
                    </w:rPr>
                  </w:pPr>
                  <w:r w:rsidRPr="00A530E1">
                    <w:rPr>
                      <w:sz w:val="18"/>
                    </w:rPr>
                    <w:t>183</w:t>
                  </w:r>
                </w:p>
              </w:tc>
            </w:tr>
            <w:tr w:rsidR="00396CCE" w:rsidRPr="00A530E1" w:rsidTr="00F063C5">
              <w:trPr>
                <w:trHeight w:val="240"/>
              </w:trPr>
              <w:tc>
                <w:tcPr>
                  <w:tcW w:w="1470" w:type="dxa"/>
                  <w:tcBorders>
                    <w:bottom w:val="single" w:sz="12" w:space="0" w:color="auto"/>
                  </w:tcBorders>
                  <w:shd w:val="clear" w:color="auto" w:fill="auto"/>
                </w:tcPr>
                <w:p w:rsidR="00396CCE" w:rsidRPr="00A530E1" w:rsidRDefault="00396CCE" w:rsidP="00F063C5">
                  <w:pPr>
                    <w:spacing w:before="40" w:after="40" w:line="220" w:lineRule="exact"/>
                    <w:rPr>
                      <w:sz w:val="18"/>
                    </w:rPr>
                  </w:pPr>
                  <w:r w:rsidRPr="00A530E1">
                    <w:rPr>
                      <w:sz w:val="18"/>
                    </w:rPr>
                    <w:t>2009</w:t>
                  </w:r>
                </w:p>
              </w:tc>
              <w:tc>
                <w:tcPr>
                  <w:tcW w:w="2367" w:type="dxa"/>
                  <w:tcBorders>
                    <w:bottom w:val="single" w:sz="12" w:space="0" w:color="auto"/>
                  </w:tcBorders>
                  <w:shd w:val="clear" w:color="auto" w:fill="auto"/>
                  <w:vAlign w:val="bottom"/>
                </w:tcPr>
                <w:p w:rsidR="00396CCE" w:rsidRPr="00A530E1" w:rsidRDefault="00396CCE" w:rsidP="00F063C5">
                  <w:pPr>
                    <w:spacing w:before="40" w:after="40" w:line="220" w:lineRule="exact"/>
                    <w:ind w:left="113"/>
                    <w:jc w:val="right"/>
                    <w:rPr>
                      <w:sz w:val="18"/>
                    </w:rPr>
                  </w:pPr>
                  <w:r w:rsidRPr="00A530E1">
                    <w:rPr>
                      <w:sz w:val="18"/>
                    </w:rPr>
                    <w:t>209</w:t>
                  </w:r>
                </w:p>
              </w:tc>
            </w:tr>
          </w:tbl>
          <w:p w:rsidR="00396CCE" w:rsidRPr="00A530E1" w:rsidRDefault="00396CCE" w:rsidP="00F063C5">
            <w:pPr>
              <w:spacing w:before="40" w:after="120"/>
              <w:ind w:right="113"/>
            </w:pPr>
          </w:p>
        </w:tc>
      </w:tr>
      <w:tr w:rsidR="00715734" w:rsidRPr="00A530E1" w:rsidTr="00096945">
        <w:tc>
          <w:tcPr>
            <w:tcW w:w="2500" w:type="dxa"/>
            <w:shd w:val="clear" w:color="auto" w:fill="auto"/>
          </w:tcPr>
          <w:p w:rsidR="00715734" w:rsidRPr="00A530E1" w:rsidRDefault="00715734" w:rsidP="00F063C5">
            <w:pPr>
              <w:spacing w:before="40" w:after="120"/>
              <w:ind w:right="113"/>
            </w:pPr>
          </w:p>
        </w:tc>
        <w:tc>
          <w:tcPr>
            <w:tcW w:w="7139" w:type="dxa"/>
            <w:shd w:val="clear" w:color="auto" w:fill="auto"/>
          </w:tcPr>
          <w:p w:rsidR="00715734" w:rsidRPr="00A530E1" w:rsidRDefault="00715734" w:rsidP="00F063C5">
            <w:pPr>
              <w:spacing w:before="40" w:after="120"/>
              <w:ind w:right="113"/>
            </w:pPr>
          </w:p>
        </w:tc>
      </w:tr>
      <w:tr w:rsidR="00715734" w:rsidRPr="00A530E1" w:rsidTr="00096945">
        <w:tc>
          <w:tcPr>
            <w:tcW w:w="2500" w:type="dxa"/>
            <w:shd w:val="clear" w:color="auto" w:fill="auto"/>
          </w:tcPr>
          <w:p w:rsidR="00715734" w:rsidRPr="00A530E1" w:rsidRDefault="00715734" w:rsidP="00F063C5">
            <w:pPr>
              <w:spacing w:before="40" w:after="120"/>
              <w:ind w:right="113"/>
            </w:pPr>
          </w:p>
        </w:tc>
        <w:tc>
          <w:tcPr>
            <w:tcW w:w="7139" w:type="dxa"/>
            <w:shd w:val="clear" w:color="auto" w:fill="auto"/>
          </w:tcPr>
          <w:p w:rsidR="00715734" w:rsidRPr="00A530E1" w:rsidRDefault="00715734" w:rsidP="00F063C5">
            <w:pPr>
              <w:spacing w:before="40" w:after="120"/>
              <w:ind w:right="113"/>
            </w:pPr>
          </w:p>
        </w:tc>
      </w:tr>
      <w:tr w:rsidR="00715734" w:rsidRPr="00A530E1" w:rsidTr="00096945">
        <w:tc>
          <w:tcPr>
            <w:tcW w:w="2500" w:type="dxa"/>
            <w:shd w:val="clear" w:color="auto" w:fill="auto"/>
          </w:tcPr>
          <w:p w:rsidR="00715734" w:rsidRPr="00A530E1" w:rsidRDefault="00715734" w:rsidP="00F063C5">
            <w:pPr>
              <w:spacing w:before="40" w:after="120"/>
              <w:ind w:right="113"/>
            </w:pPr>
          </w:p>
        </w:tc>
        <w:tc>
          <w:tcPr>
            <w:tcW w:w="7139" w:type="dxa"/>
            <w:shd w:val="clear" w:color="auto" w:fill="auto"/>
          </w:tcPr>
          <w:p w:rsidR="00715734" w:rsidRPr="00A530E1" w:rsidRDefault="00715734" w:rsidP="00F063C5">
            <w:pPr>
              <w:spacing w:before="40" w:after="120"/>
              <w:ind w:right="113"/>
            </w:pPr>
          </w:p>
        </w:tc>
      </w:tr>
      <w:tr w:rsidR="00715734" w:rsidRPr="00A530E1" w:rsidTr="00096945">
        <w:tc>
          <w:tcPr>
            <w:tcW w:w="2500" w:type="dxa"/>
            <w:shd w:val="clear" w:color="auto" w:fill="auto"/>
          </w:tcPr>
          <w:p w:rsidR="00715734" w:rsidRPr="00A530E1" w:rsidRDefault="00715734" w:rsidP="00F063C5">
            <w:pPr>
              <w:spacing w:before="40" w:after="120"/>
              <w:ind w:right="113"/>
            </w:pPr>
          </w:p>
        </w:tc>
        <w:tc>
          <w:tcPr>
            <w:tcW w:w="7139" w:type="dxa"/>
            <w:shd w:val="clear" w:color="auto" w:fill="auto"/>
          </w:tcPr>
          <w:p w:rsidR="00715734" w:rsidRPr="00A530E1" w:rsidRDefault="00715734" w:rsidP="00F063C5">
            <w:pPr>
              <w:spacing w:before="40" w:after="120"/>
              <w:ind w:right="113"/>
            </w:pPr>
          </w:p>
        </w:tc>
      </w:tr>
      <w:tr w:rsidR="00715734" w:rsidRPr="00A530E1" w:rsidTr="00096945">
        <w:tc>
          <w:tcPr>
            <w:tcW w:w="2500" w:type="dxa"/>
            <w:shd w:val="clear" w:color="auto" w:fill="auto"/>
          </w:tcPr>
          <w:p w:rsidR="00715734" w:rsidRPr="00A530E1" w:rsidRDefault="00715734" w:rsidP="00F063C5">
            <w:pPr>
              <w:spacing w:before="40" w:after="120"/>
              <w:ind w:right="113"/>
            </w:pPr>
          </w:p>
        </w:tc>
        <w:tc>
          <w:tcPr>
            <w:tcW w:w="7139" w:type="dxa"/>
            <w:shd w:val="clear" w:color="auto" w:fill="auto"/>
          </w:tcPr>
          <w:p w:rsidR="00715734" w:rsidRPr="00A530E1" w:rsidRDefault="00715734" w:rsidP="00F063C5">
            <w:pPr>
              <w:spacing w:before="40" w:after="120"/>
              <w:ind w:right="113"/>
            </w:pPr>
          </w:p>
        </w:tc>
      </w:tr>
      <w:tr w:rsidR="00715734" w:rsidRPr="00A530E1" w:rsidTr="00096945">
        <w:tc>
          <w:tcPr>
            <w:tcW w:w="2500" w:type="dxa"/>
            <w:shd w:val="clear" w:color="auto" w:fill="auto"/>
          </w:tcPr>
          <w:p w:rsidR="00715734" w:rsidRPr="00A530E1" w:rsidRDefault="00715734" w:rsidP="00F063C5">
            <w:pPr>
              <w:spacing w:before="40" w:after="120"/>
              <w:ind w:right="113"/>
            </w:pPr>
          </w:p>
        </w:tc>
        <w:tc>
          <w:tcPr>
            <w:tcW w:w="7139" w:type="dxa"/>
            <w:shd w:val="clear" w:color="auto" w:fill="auto"/>
          </w:tcPr>
          <w:p w:rsidR="00715734" w:rsidRPr="00A530E1" w:rsidRDefault="00715734" w:rsidP="00F063C5">
            <w:pPr>
              <w:spacing w:before="40" w:after="120"/>
              <w:ind w:right="113"/>
            </w:pPr>
          </w:p>
        </w:tc>
      </w:tr>
      <w:tr w:rsidR="00715734" w:rsidRPr="00A530E1" w:rsidTr="00096945">
        <w:tc>
          <w:tcPr>
            <w:tcW w:w="2500" w:type="dxa"/>
            <w:shd w:val="clear" w:color="auto" w:fill="auto"/>
          </w:tcPr>
          <w:p w:rsidR="00715734" w:rsidRPr="00A530E1" w:rsidRDefault="00715734" w:rsidP="00F063C5">
            <w:pPr>
              <w:spacing w:before="40" w:after="120"/>
              <w:ind w:right="113"/>
            </w:pPr>
          </w:p>
        </w:tc>
        <w:tc>
          <w:tcPr>
            <w:tcW w:w="7139" w:type="dxa"/>
            <w:shd w:val="clear" w:color="auto" w:fill="auto"/>
          </w:tcPr>
          <w:p w:rsidR="00715734" w:rsidRPr="00A530E1" w:rsidRDefault="00715734" w:rsidP="00F063C5">
            <w:pPr>
              <w:spacing w:before="40" w:after="120"/>
              <w:ind w:right="113"/>
            </w:pPr>
          </w:p>
        </w:tc>
      </w:tr>
      <w:tr w:rsidR="00396CCE" w:rsidRPr="00A530E1" w:rsidTr="00096945">
        <w:tc>
          <w:tcPr>
            <w:tcW w:w="2500" w:type="dxa"/>
            <w:shd w:val="clear" w:color="auto" w:fill="auto"/>
          </w:tcPr>
          <w:p w:rsidR="00396CCE" w:rsidRPr="00A530E1" w:rsidRDefault="00396CCE" w:rsidP="00F063C5">
            <w:pPr>
              <w:spacing w:before="40" w:after="120"/>
              <w:ind w:right="113"/>
            </w:pPr>
            <w:r w:rsidRPr="00A530E1">
              <w:t>Number and percentage of students with disabilities, by gender and field of study</w:t>
            </w:r>
          </w:p>
        </w:tc>
        <w:tc>
          <w:tcPr>
            <w:tcW w:w="7139" w:type="dxa"/>
            <w:shd w:val="clear" w:color="auto" w:fill="auto"/>
          </w:tcPr>
          <w:p w:rsidR="00396CCE" w:rsidRPr="00A530E1" w:rsidRDefault="00396CCE" w:rsidP="00F063C5">
            <w:pPr>
              <w:spacing w:before="40" w:after="120"/>
              <w:ind w:right="113"/>
            </w:pPr>
            <w:r w:rsidRPr="00A530E1">
              <w:t>Peru: Enrolment in the education system, by sector and geographical area, stage, modality and education level, 2009</w:t>
            </w:r>
          </w:p>
        </w:tc>
      </w:tr>
      <w:tr w:rsidR="00396CCE" w:rsidRPr="00A530E1" w:rsidTr="00096945">
        <w:tc>
          <w:tcPr>
            <w:tcW w:w="2500" w:type="dxa"/>
            <w:shd w:val="clear" w:color="auto" w:fill="auto"/>
          </w:tcPr>
          <w:p w:rsidR="00396CCE" w:rsidRPr="00A530E1" w:rsidRDefault="00396CCE" w:rsidP="00F063C5">
            <w:pPr>
              <w:spacing w:before="40" w:after="120"/>
              <w:ind w:right="113"/>
            </w:pPr>
          </w:p>
        </w:tc>
        <w:tc>
          <w:tcPr>
            <w:tcW w:w="7139" w:type="dxa"/>
            <w:shd w:val="clear" w:color="auto" w:fill="auto"/>
          </w:tcPr>
          <w:tbl>
            <w:tblPr>
              <w:tblStyle w:val="TableGrid"/>
              <w:tblW w:w="7002" w:type="dxa"/>
              <w:tblLayout w:type="fixed"/>
              <w:tblLook w:val="01E0" w:firstRow="1" w:lastRow="1" w:firstColumn="1" w:lastColumn="1" w:noHBand="0" w:noVBand="0"/>
            </w:tblPr>
            <w:tblGrid>
              <w:gridCol w:w="1134"/>
              <w:gridCol w:w="850"/>
              <w:gridCol w:w="851"/>
              <w:gridCol w:w="850"/>
              <w:gridCol w:w="830"/>
              <w:gridCol w:w="729"/>
              <w:gridCol w:w="851"/>
              <w:gridCol w:w="907"/>
            </w:tblGrid>
            <w:tr w:rsidR="00396CCE" w:rsidRPr="00A530E1" w:rsidTr="00F063C5">
              <w:trPr>
                <w:tblHeader/>
              </w:trPr>
              <w:tc>
                <w:tcPr>
                  <w:tcW w:w="1134" w:type="dxa"/>
                  <w:vMerge w:val="restart"/>
                  <w:tcBorders>
                    <w:left w:val="nil"/>
                    <w:right w:val="nil"/>
                  </w:tcBorders>
                  <w:vAlign w:val="bottom"/>
                </w:tcPr>
                <w:p w:rsidR="00396CCE" w:rsidRPr="00A530E1" w:rsidRDefault="00396CCE" w:rsidP="00B55EB7">
                  <w:pPr>
                    <w:spacing w:before="80" w:after="80" w:line="200" w:lineRule="exact"/>
                    <w:rPr>
                      <w:i/>
                      <w:sz w:val="14"/>
                      <w:szCs w:val="14"/>
                    </w:rPr>
                  </w:pPr>
                  <w:r w:rsidRPr="00A530E1">
                    <w:rPr>
                      <w:i/>
                      <w:sz w:val="14"/>
                      <w:szCs w:val="14"/>
                    </w:rPr>
                    <w:t>Stage, modality and educational level</w:t>
                  </w:r>
                </w:p>
              </w:tc>
              <w:tc>
                <w:tcPr>
                  <w:tcW w:w="850" w:type="dxa"/>
                  <w:tcBorders>
                    <w:left w:val="nil"/>
                    <w:bottom w:val="nil"/>
                    <w:right w:val="nil"/>
                  </w:tcBorders>
                  <w:tcMar>
                    <w:left w:w="0" w:type="dxa"/>
                    <w:right w:w="11" w:type="dxa"/>
                  </w:tcMar>
                  <w:vAlign w:val="bottom"/>
                </w:tcPr>
                <w:p w:rsidR="00396CCE" w:rsidRPr="00E978F3" w:rsidRDefault="00396CCE" w:rsidP="00B55EB7">
                  <w:pPr>
                    <w:spacing w:before="80" w:after="80" w:line="200" w:lineRule="exact"/>
                    <w:jc w:val="right"/>
                    <w:rPr>
                      <w:b/>
                      <w:i/>
                      <w:sz w:val="14"/>
                      <w:szCs w:val="14"/>
                    </w:rPr>
                  </w:pPr>
                  <w:r w:rsidRPr="00E978F3">
                    <w:rPr>
                      <w:b/>
                      <w:i/>
                      <w:sz w:val="14"/>
                      <w:szCs w:val="14"/>
                    </w:rPr>
                    <w:t>Total</w:t>
                  </w:r>
                </w:p>
              </w:tc>
              <w:tc>
                <w:tcPr>
                  <w:tcW w:w="1701" w:type="dxa"/>
                  <w:gridSpan w:val="2"/>
                  <w:tcBorders>
                    <w:left w:val="nil"/>
                    <w:bottom w:val="single" w:sz="4" w:space="0" w:color="auto"/>
                    <w:right w:val="single" w:sz="24" w:space="0" w:color="FFFFFF"/>
                  </w:tcBorders>
                  <w:tcMar>
                    <w:left w:w="0" w:type="dxa"/>
                  </w:tcMar>
                  <w:vAlign w:val="bottom"/>
                </w:tcPr>
                <w:p w:rsidR="00396CCE" w:rsidRPr="00A530E1" w:rsidRDefault="00396CCE" w:rsidP="00B55EB7">
                  <w:pPr>
                    <w:spacing w:before="80" w:after="80" w:line="200" w:lineRule="exact"/>
                    <w:jc w:val="center"/>
                    <w:rPr>
                      <w:i/>
                      <w:sz w:val="14"/>
                      <w:szCs w:val="14"/>
                    </w:rPr>
                  </w:pPr>
                  <w:r w:rsidRPr="00A530E1">
                    <w:rPr>
                      <w:i/>
                      <w:sz w:val="14"/>
                      <w:szCs w:val="14"/>
                    </w:rPr>
                    <w:t>Sector</w:t>
                  </w:r>
                </w:p>
              </w:tc>
              <w:tc>
                <w:tcPr>
                  <w:tcW w:w="1559" w:type="dxa"/>
                  <w:gridSpan w:val="2"/>
                  <w:tcBorders>
                    <w:left w:val="single" w:sz="24" w:space="0" w:color="FFFFFF"/>
                    <w:bottom w:val="single" w:sz="4" w:space="0" w:color="auto"/>
                    <w:right w:val="single" w:sz="24" w:space="0" w:color="FFFFFF"/>
                  </w:tcBorders>
                  <w:vAlign w:val="bottom"/>
                </w:tcPr>
                <w:p w:rsidR="00396CCE" w:rsidRPr="00A530E1" w:rsidRDefault="00396CCE" w:rsidP="00B55EB7">
                  <w:pPr>
                    <w:spacing w:before="80" w:after="80" w:line="200" w:lineRule="exact"/>
                    <w:jc w:val="center"/>
                    <w:rPr>
                      <w:i/>
                      <w:sz w:val="14"/>
                      <w:szCs w:val="14"/>
                    </w:rPr>
                  </w:pPr>
                  <w:r w:rsidRPr="00A530E1">
                    <w:rPr>
                      <w:i/>
                      <w:sz w:val="14"/>
                      <w:szCs w:val="14"/>
                    </w:rPr>
                    <w:t>Area</w:t>
                  </w:r>
                </w:p>
              </w:tc>
              <w:tc>
                <w:tcPr>
                  <w:tcW w:w="1758" w:type="dxa"/>
                  <w:gridSpan w:val="2"/>
                  <w:tcBorders>
                    <w:left w:val="single" w:sz="24" w:space="0" w:color="FFFFFF"/>
                    <w:bottom w:val="single" w:sz="4" w:space="0" w:color="auto"/>
                    <w:right w:val="nil"/>
                  </w:tcBorders>
                  <w:vAlign w:val="bottom"/>
                </w:tcPr>
                <w:p w:rsidR="00396CCE" w:rsidRPr="00A530E1" w:rsidRDefault="00396CCE" w:rsidP="00B55EB7">
                  <w:pPr>
                    <w:spacing w:before="80" w:after="80" w:line="200" w:lineRule="exact"/>
                    <w:jc w:val="center"/>
                    <w:rPr>
                      <w:i/>
                      <w:sz w:val="14"/>
                      <w:szCs w:val="14"/>
                    </w:rPr>
                  </w:pPr>
                  <w:r w:rsidRPr="00A530E1">
                    <w:rPr>
                      <w:i/>
                      <w:sz w:val="14"/>
                      <w:szCs w:val="14"/>
                    </w:rPr>
                    <w:t>Sex</w:t>
                  </w:r>
                </w:p>
              </w:tc>
            </w:tr>
            <w:tr w:rsidR="00396CCE" w:rsidRPr="00A530E1" w:rsidTr="00B55EB7">
              <w:trPr>
                <w:tblHeader/>
              </w:trPr>
              <w:tc>
                <w:tcPr>
                  <w:tcW w:w="1134" w:type="dxa"/>
                  <w:vMerge/>
                  <w:tcBorders>
                    <w:left w:val="nil"/>
                    <w:bottom w:val="single" w:sz="12" w:space="0" w:color="auto"/>
                    <w:right w:val="nil"/>
                  </w:tcBorders>
                  <w:vAlign w:val="bottom"/>
                </w:tcPr>
                <w:p w:rsidR="00396CCE" w:rsidRPr="00A530E1" w:rsidRDefault="00396CCE" w:rsidP="00B55EB7">
                  <w:pPr>
                    <w:spacing w:before="80" w:after="80" w:line="200" w:lineRule="exact"/>
                    <w:rPr>
                      <w:i/>
                      <w:sz w:val="16"/>
                    </w:rPr>
                  </w:pPr>
                </w:p>
              </w:tc>
              <w:tc>
                <w:tcPr>
                  <w:tcW w:w="850" w:type="dxa"/>
                  <w:tcBorders>
                    <w:top w:val="nil"/>
                    <w:left w:val="nil"/>
                    <w:bottom w:val="single" w:sz="12" w:space="0" w:color="auto"/>
                    <w:right w:val="nil"/>
                  </w:tcBorders>
                  <w:tcMar>
                    <w:left w:w="0" w:type="dxa"/>
                    <w:right w:w="11" w:type="dxa"/>
                  </w:tcMar>
                  <w:vAlign w:val="bottom"/>
                </w:tcPr>
                <w:p w:rsidR="00396CCE" w:rsidRPr="00A530E1" w:rsidRDefault="00396CCE" w:rsidP="00B55EB7">
                  <w:pPr>
                    <w:spacing w:before="80" w:after="80" w:line="200" w:lineRule="exact"/>
                    <w:jc w:val="right"/>
                    <w:rPr>
                      <w:i/>
                      <w:sz w:val="14"/>
                      <w:szCs w:val="14"/>
                    </w:rPr>
                  </w:pPr>
                </w:p>
              </w:tc>
              <w:tc>
                <w:tcPr>
                  <w:tcW w:w="851" w:type="dxa"/>
                  <w:tcBorders>
                    <w:left w:val="nil"/>
                    <w:bottom w:val="single" w:sz="12" w:space="0" w:color="auto"/>
                    <w:right w:val="nil"/>
                  </w:tcBorders>
                  <w:tcMar>
                    <w:left w:w="0" w:type="dxa"/>
                    <w:right w:w="11" w:type="dxa"/>
                  </w:tcMar>
                  <w:vAlign w:val="bottom"/>
                </w:tcPr>
                <w:p w:rsidR="00396CCE" w:rsidRPr="00A530E1" w:rsidRDefault="00396CCE" w:rsidP="00B55EB7">
                  <w:pPr>
                    <w:spacing w:before="80" w:after="80" w:line="200" w:lineRule="exact"/>
                    <w:jc w:val="right"/>
                    <w:rPr>
                      <w:i/>
                      <w:sz w:val="14"/>
                      <w:szCs w:val="14"/>
                    </w:rPr>
                  </w:pPr>
                  <w:r w:rsidRPr="00A530E1">
                    <w:rPr>
                      <w:i/>
                      <w:sz w:val="14"/>
                      <w:szCs w:val="14"/>
                    </w:rPr>
                    <w:t>Public</w:t>
                  </w:r>
                </w:p>
              </w:tc>
              <w:tc>
                <w:tcPr>
                  <w:tcW w:w="850" w:type="dxa"/>
                  <w:tcBorders>
                    <w:left w:val="nil"/>
                    <w:bottom w:val="single" w:sz="12" w:space="0" w:color="auto"/>
                    <w:right w:val="single" w:sz="24" w:space="0" w:color="FFFFFF"/>
                  </w:tcBorders>
                  <w:tcMar>
                    <w:left w:w="0" w:type="dxa"/>
                    <w:right w:w="11" w:type="dxa"/>
                  </w:tcMar>
                  <w:vAlign w:val="bottom"/>
                </w:tcPr>
                <w:p w:rsidR="00396CCE" w:rsidRPr="00A530E1" w:rsidRDefault="00396CCE" w:rsidP="00B55EB7">
                  <w:pPr>
                    <w:spacing w:before="80" w:after="80" w:line="200" w:lineRule="exact"/>
                    <w:jc w:val="right"/>
                    <w:rPr>
                      <w:i/>
                      <w:sz w:val="14"/>
                      <w:szCs w:val="14"/>
                    </w:rPr>
                  </w:pPr>
                  <w:r w:rsidRPr="00A530E1">
                    <w:rPr>
                      <w:i/>
                      <w:sz w:val="14"/>
                      <w:szCs w:val="14"/>
                    </w:rPr>
                    <w:t>Private</w:t>
                  </w:r>
                </w:p>
              </w:tc>
              <w:tc>
                <w:tcPr>
                  <w:tcW w:w="830" w:type="dxa"/>
                  <w:tcBorders>
                    <w:left w:val="single" w:sz="24" w:space="0" w:color="FFFFFF"/>
                    <w:bottom w:val="single" w:sz="12" w:space="0" w:color="auto"/>
                    <w:right w:val="nil"/>
                  </w:tcBorders>
                  <w:tcMar>
                    <w:left w:w="0" w:type="dxa"/>
                    <w:right w:w="11" w:type="dxa"/>
                  </w:tcMar>
                  <w:vAlign w:val="bottom"/>
                </w:tcPr>
                <w:p w:rsidR="00396CCE" w:rsidRPr="00A530E1" w:rsidRDefault="00396CCE" w:rsidP="00B55EB7">
                  <w:pPr>
                    <w:spacing w:before="80" w:after="80" w:line="200" w:lineRule="exact"/>
                    <w:jc w:val="right"/>
                    <w:rPr>
                      <w:i/>
                      <w:sz w:val="14"/>
                      <w:szCs w:val="14"/>
                    </w:rPr>
                  </w:pPr>
                  <w:r w:rsidRPr="00A530E1">
                    <w:rPr>
                      <w:i/>
                      <w:sz w:val="14"/>
                      <w:szCs w:val="14"/>
                    </w:rPr>
                    <w:t>Urban</w:t>
                  </w:r>
                </w:p>
              </w:tc>
              <w:tc>
                <w:tcPr>
                  <w:tcW w:w="729" w:type="dxa"/>
                  <w:tcBorders>
                    <w:left w:val="nil"/>
                    <w:bottom w:val="single" w:sz="12" w:space="0" w:color="auto"/>
                    <w:right w:val="single" w:sz="24" w:space="0" w:color="FFFFFF"/>
                  </w:tcBorders>
                  <w:tcMar>
                    <w:left w:w="0" w:type="dxa"/>
                    <w:right w:w="11" w:type="dxa"/>
                  </w:tcMar>
                  <w:vAlign w:val="bottom"/>
                </w:tcPr>
                <w:p w:rsidR="00396CCE" w:rsidRPr="00A530E1" w:rsidRDefault="00396CCE" w:rsidP="00B55EB7">
                  <w:pPr>
                    <w:spacing w:before="80" w:after="80" w:line="200" w:lineRule="exact"/>
                    <w:jc w:val="right"/>
                    <w:rPr>
                      <w:i/>
                      <w:sz w:val="14"/>
                      <w:szCs w:val="14"/>
                    </w:rPr>
                  </w:pPr>
                  <w:r w:rsidRPr="00A530E1">
                    <w:rPr>
                      <w:i/>
                      <w:sz w:val="14"/>
                      <w:szCs w:val="14"/>
                    </w:rPr>
                    <w:t>Rural</w:t>
                  </w:r>
                </w:p>
              </w:tc>
              <w:tc>
                <w:tcPr>
                  <w:tcW w:w="851" w:type="dxa"/>
                  <w:tcBorders>
                    <w:left w:val="single" w:sz="24" w:space="0" w:color="FFFFFF"/>
                    <w:bottom w:val="single" w:sz="12" w:space="0" w:color="auto"/>
                    <w:right w:val="nil"/>
                  </w:tcBorders>
                  <w:tcMar>
                    <w:left w:w="0" w:type="dxa"/>
                    <w:right w:w="11" w:type="dxa"/>
                  </w:tcMar>
                  <w:vAlign w:val="bottom"/>
                </w:tcPr>
                <w:p w:rsidR="00396CCE" w:rsidRPr="00A530E1" w:rsidRDefault="00396CCE" w:rsidP="00B55EB7">
                  <w:pPr>
                    <w:spacing w:before="80" w:after="80" w:line="200" w:lineRule="exact"/>
                    <w:jc w:val="right"/>
                    <w:rPr>
                      <w:i/>
                      <w:sz w:val="14"/>
                      <w:szCs w:val="14"/>
                    </w:rPr>
                  </w:pPr>
                  <w:r w:rsidRPr="00A530E1">
                    <w:rPr>
                      <w:i/>
                      <w:sz w:val="14"/>
                      <w:szCs w:val="14"/>
                    </w:rPr>
                    <w:t>Male</w:t>
                  </w:r>
                </w:p>
              </w:tc>
              <w:tc>
                <w:tcPr>
                  <w:tcW w:w="907" w:type="dxa"/>
                  <w:tcBorders>
                    <w:left w:val="nil"/>
                    <w:bottom w:val="single" w:sz="12" w:space="0" w:color="auto"/>
                    <w:right w:val="nil"/>
                  </w:tcBorders>
                  <w:vAlign w:val="bottom"/>
                </w:tcPr>
                <w:p w:rsidR="00396CCE" w:rsidRPr="00A530E1" w:rsidRDefault="00396CCE" w:rsidP="00B55EB7">
                  <w:pPr>
                    <w:spacing w:before="80" w:after="80" w:line="200" w:lineRule="exact"/>
                    <w:jc w:val="right"/>
                    <w:rPr>
                      <w:i/>
                      <w:sz w:val="14"/>
                      <w:szCs w:val="14"/>
                    </w:rPr>
                  </w:pPr>
                  <w:r w:rsidRPr="00A530E1">
                    <w:rPr>
                      <w:i/>
                      <w:sz w:val="14"/>
                      <w:szCs w:val="14"/>
                    </w:rPr>
                    <w:t>Female</w:t>
                  </w:r>
                </w:p>
              </w:tc>
            </w:tr>
            <w:tr w:rsidR="00396CCE" w:rsidRPr="00A530E1" w:rsidTr="00B55EB7">
              <w:tc>
                <w:tcPr>
                  <w:tcW w:w="1134" w:type="dxa"/>
                  <w:tcBorders>
                    <w:top w:val="single" w:sz="4" w:space="0" w:color="auto"/>
                    <w:left w:val="nil"/>
                    <w:bottom w:val="nil"/>
                    <w:right w:val="nil"/>
                  </w:tcBorders>
                  <w:tcMar>
                    <w:right w:w="11" w:type="dxa"/>
                  </w:tcMar>
                  <w:vAlign w:val="bottom"/>
                </w:tcPr>
                <w:p w:rsidR="00396CCE" w:rsidRPr="00A530E1" w:rsidRDefault="00396CCE" w:rsidP="00B55EB7">
                  <w:pPr>
                    <w:suppressAutoHyphens w:val="0"/>
                    <w:spacing w:before="40" w:after="40" w:line="220" w:lineRule="exact"/>
                    <w:rPr>
                      <w:sz w:val="14"/>
                      <w:szCs w:val="14"/>
                    </w:rPr>
                  </w:pPr>
                  <w:r w:rsidRPr="00A530E1">
                    <w:rPr>
                      <w:sz w:val="14"/>
                      <w:szCs w:val="14"/>
                    </w:rPr>
                    <w:t>Standard basic</w:t>
                  </w:r>
                </w:p>
              </w:tc>
              <w:tc>
                <w:tcPr>
                  <w:tcW w:w="850" w:type="dxa"/>
                  <w:tcBorders>
                    <w:top w:val="single" w:sz="4" w:space="0" w:color="auto"/>
                    <w:left w:val="nil"/>
                    <w:bottom w:val="nil"/>
                    <w:right w:val="nil"/>
                  </w:tcBorders>
                  <w:tcMar>
                    <w:left w:w="0" w:type="dxa"/>
                    <w:right w:w="11" w:type="dxa"/>
                  </w:tcMar>
                  <w:vAlign w:val="bottom"/>
                </w:tcPr>
                <w:p w:rsidR="00396CCE" w:rsidRPr="00A530E1" w:rsidRDefault="00396CCE" w:rsidP="00B55EB7">
                  <w:pPr>
                    <w:suppressAutoHyphens w:val="0"/>
                    <w:spacing w:before="40" w:after="40" w:line="220" w:lineRule="exact"/>
                    <w:jc w:val="right"/>
                    <w:rPr>
                      <w:b/>
                      <w:sz w:val="14"/>
                      <w:szCs w:val="14"/>
                    </w:rPr>
                  </w:pPr>
                  <w:r w:rsidRPr="00A530E1">
                    <w:rPr>
                      <w:b/>
                      <w:sz w:val="14"/>
                      <w:szCs w:val="14"/>
                    </w:rPr>
                    <w:t>7 633 102</w:t>
                  </w:r>
                </w:p>
              </w:tc>
              <w:tc>
                <w:tcPr>
                  <w:tcW w:w="851" w:type="dxa"/>
                  <w:tcBorders>
                    <w:top w:val="single" w:sz="4" w:space="0" w:color="auto"/>
                    <w:left w:val="nil"/>
                    <w:bottom w:val="nil"/>
                    <w:right w:val="nil"/>
                  </w:tcBorders>
                  <w:tcMar>
                    <w:right w:w="11" w:type="dxa"/>
                  </w:tcMar>
                  <w:vAlign w:val="bottom"/>
                </w:tcPr>
                <w:p w:rsidR="00396CCE" w:rsidRPr="00A530E1" w:rsidRDefault="00396CCE" w:rsidP="00B55EB7">
                  <w:pPr>
                    <w:suppressAutoHyphens w:val="0"/>
                    <w:spacing w:before="40" w:after="40" w:line="220" w:lineRule="exact"/>
                    <w:jc w:val="right"/>
                    <w:rPr>
                      <w:sz w:val="14"/>
                      <w:szCs w:val="14"/>
                    </w:rPr>
                  </w:pPr>
                  <w:r w:rsidRPr="00A530E1">
                    <w:rPr>
                      <w:sz w:val="14"/>
                      <w:szCs w:val="14"/>
                    </w:rPr>
                    <w:t>6 049 021</w:t>
                  </w:r>
                </w:p>
              </w:tc>
              <w:tc>
                <w:tcPr>
                  <w:tcW w:w="850" w:type="dxa"/>
                  <w:tcBorders>
                    <w:top w:val="single" w:sz="4" w:space="0" w:color="auto"/>
                    <w:left w:val="nil"/>
                    <w:bottom w:val="nil"/>
                    <w:right w:val="nil"/>
                  </w:tcBorders>
                  <w:tcMar>
                    <w:right w:w="11" w:type="dxa"/>
                  </w:tcMar>
                  <w:vAlign w:val="bottom"/>
                </w:tcPr>
                <w:p w:rsidR="00396CCE" w:rsidRPr="00A530E1" w:rsidRDefault="00396CCE" w:rsidP="00B55EB7">
                  <w:pPr>
                    <w:suppressAutoHyphens w:val="0"/>
                    <w:spacing w:before="40" w:after="40" w:line="220" w:lineRule="exact"/>
                    <w:jc w:val="right"/>
                    <w:rPr>
                      <w:sz w:val="14"/>
                      <w:szCs w:val="14"/>
                    </w:rPr>
                  </w:pPr>
                  <w:r w:rsidRPr="00A530E1">
                    <w:rPr>
                      <w:sz w:val="14"/>
                      <w:szCs w:val="14"/>
                    </w:rPr>
                    <w:t>1 584 081</w:t>
                  </w:r>
                </w:p>
              </w:tc>
              <w:tc>
                <w:tcPr>
                  <w:tcW w:w="830" w:type="dxa"/>
                  <w:tcBorders>
                    <w:top w:val="single" w:sz="4" w:space="0" w:color="auto"/>
                    <w:left w:val="nil"/>
                    <w:bottom w:val="nil"/>
                    <w:right w:val="nil"/>
                  </w:tcBorders>
                  <w:tcMar>
                    <w:right w:w="11" w:type="dxa"/>
                  </w:tcMar>
                  <w:vAlign w:val="bottom"/>
                </w:tcPr>
                <w:p w:rsidR="00396CCE" w:rsidRPr="00A530E1" w:rsidRDefault="00396CCE" w:rsidP="00B55EB7">
                  <w:pPr>
                    <w:suppressAutoHyphens w:val="0"/>
                    <w:spacing w:before="40" w:after="40" w:line="220" w:lineRule="exact"/>
                    <w:jc w:val="right"/>
                    <w:rPr>
                      <w:sz w:val="14"/>
                      <w:szCs w:val="14"/>
                    </w:rPr>
                  </w:pPr>
                  <w:r w:rsidRPr="00A530E1">
                    <w:rPr>
                      <w:sz w:val="14"/>
                      <w:szCs w:val="14"/>
                    </w:rPr>
                    <w:t>5 664 196</w:t>
                  </w:r>
                </w:p>
              </w:tc>
              <w:tc>
                <w:tcPr>
                  <w:tcW w:w="729" w:type="dxa"/>
                  <w:tcBorders>
                    <w:top w:val="single" w:sz="4" w:space="0" w:color="auto"/>
                    <w:left w:val="nil"/>
                    <w:bottom w:val="nil"/>
                    <w:right w:val="nil"/>
                  </w:tcBorders>
                  <w:tcMar>
                    <w:right w:w="11" w:type="dxa"/>
                  </w:tcMar>
                  <w:vAlign w:val="bottom"/>
                </w:tcPr>
                <w:p w:rsidR="00396CCE" w:rsidRPr="00A530E1" w:rsidRDefault="00396CCE" w:rsidP="00B55EB7">
                  <w:pPr>
                    <w:suppressAutoHyphens w:val="0"/>
                    <w:spacing w:before="40" w:after="40" w:line="220" w:lineRule="exact"/>
                    <w:jc w:val="right"/>
                    <w:rPr>
                      <w:sz w:val="14"/>
                      <w:szCs w:val="14"/>
                    </w:rPr>
                  </w:pPr>
                  <w:r w:rsidRPr="00A530E1">
                    <w:rPr>
                      <w:sz w:val="14"/>
                      <w:szCs w:val="14"/>
                    </w:rPr>
                    <w:t>1 968 906</w:t>
                  </w:r>
                </w:p>
              </w:tc>
              <w:tc>
                <w:tcPr>
                  <w:tcW w:w="851" w:type="dxa"/>
                  <w:tcBorders>
                    <w:top w:val="single" w:sz="4" w:space="0" w:color="auto"/>
                    <w:left w:val="nil"/>
                    <w:bottom w:val="nil"/>
                    <w:right w:val="nil"/>
                  </w:tcBorders>
                  <w:tcMar>
                    <w:right w:w="11" w:type="dxa"/>
                  </w:tcMar>
                  <w:vAlign w:val="bottom"/>
                </w:tcPr>
                <w:p w:rsidR="00396CCE" w:rsidRPr="00A530E1" w:rsidRDefault="00396CCE" w:rsidP="00B55EB7">
                  <w:pPr>
                    <w:suppressAutoHyphens w:val="0"/>
                    <w:spacing w:before="40" w:after="40" w:line="220" w:lineRule="exact"/>
                    <w:jc w:val="right"/>
                    <w:rPr>
                      <w:sz w:val="14"/>
                      <w:szCs w:val="14"/>
                    </w:rPr>
                  </w:pPr>
                  <w:r w:rsidRPr="00A530E1">
                    <w:rPr>
                      <w:sz w:val="14"/>
                      <w:szCs w:val="14"/>
                    </w:rPr>
                    <w:t>3 891 661</w:t>
                  </w:r>
                </w:p>
              </w:tc>
              <w:tc>
                <w:tcPr>
                  <w:tcW w:w="907" w:type="dxa"/>
                  <w:tcBorders>
                    <w:top w:val="single" w:sz="4" w:space="0" w:color="auto"/>
                    <w:left w:val="nil"/>
                    <w:bottom w:val="nil"/>
                    <w:right w:val="nil"/>
                  </w:tcBorders>
                  <w:tcMar>
                    <w:right w:w="11" w:type="dxa"/>
                  </w:tcMar>
                  <w:vAlign w:val="bottom"/>
                </w:tcPr>
                <w:p w:rsidR="00396CCE" w:rsidRPr="00A530E1" w:rsidRDefault="00396CCE" w:rsidP="00B55EB7">
                  <w:pPr>
                    <w:suppressAutoHyphens w:val="0"/>
                    <w:spacing w:before="40" w:after="40" w:line="220" w:lineRule="exact"/>
                    <w:jc w:val="right"/>
                    <w:rPr>
                      <w:sz w:val="14"/>
                      <w:szCs w:val="14"/>
                    </w:rPr>
                  </w:pPr>
                  <w:r w:rsidRPr="00A530E1">
                    <w:rPr>
                      <w:sz w:val="14"/>
                      <w:szCs w:val="14"/>
                    </w:rPr>
                    <w:t>3 741 441</w:t>
                  </w:r>
                </w:p>
              </w:tc>
            </w:tr>
            <w:tr w:rsidR="00396CCE" w:rsidRPr="00A530E1" w:rsidTr="00B55EB7">
              <w:tc>
                <w:tcPr>
                  <w:tcW w:w="1134" w:type="dxa"/>
                  <w:tcBorders>
                    <w:top w:val="nil"/>
                    <w:left w:val="nil"/>
                    <w:bottom w:val="nil"/>
                    <w:right w:val="nil"/>
                  </w:tcBorders>
                  <w:tcMar>
                    <w:right w:w="11" w:type="dxa"/>
                  </w:tcMar>
                  <w:vAlign w:val="bottom"/>
                </w:tcPr>
                <w:p w:rsidR="00396CCE" w:rsidRPr="00A530E1" w:rsidRDefault="00396CCE" w:rsidP="00B55EB7">
                  <w:pPr>
                    <w:suppressAutoHyphens w:val="0"/>
                    <w:spacing w:before="40" w:after="40" w:line="220" w:lineRule="exact"/>
                    <w:rPr>
                      <w:sz w:val="14"/>
                      <w:szCs w:val="14"/>
                    </w:rPr>
                  </w:pPr>
                  <w:r w:rsidRPr="00A530E1">
                    <w:rPr>
                      <w:sz w:val="14"/>
                      <w:szCs w:val="14"/>
                    </w:rPr>
                    <w:t>Initial</w:t>
                  </w:r>
                </w:p>
              </w:tc>
              <w:tc>
                <w:tcPr>
                  <w:tcW w:w="850" w:type="dxa"/>
                  <w:tcBorders>
                    <w:top w:val="nil"/>
                    <w:left w:val="nil"/>
                    <w:bottom w:val="nil"/>
                    <w:right w:val="nil"/>
                  </w:tcBorders>
                  <w:tcMar>
                    <w:right w:w="11" w:type="dxa"/>
                  </w:tcMar>
                  <w:vAlign w:val="bottom"/>
                </w:tcPr>
                <w:p w:rsidR="00396CCE" w:rsidRPr="00A530E1" w:rsidRDefault="00396CCE" w:rsidP="00B55EB7">
                  <w:pPr>
                    <w:suppressAutoHyphens w:val="0"/>
                    <w:spacing w:before="40" w:after="40" w:line="220" w:lineRule="exact"/>
                    <w:jc w:val="right"/>
                    <w:rPr>
                      <w:b/>
                      <w:sz w:val="14"/>
                      <w:szCs w:val="14"/>
                    </w:rPr>
                  </w:pPr>
                  <w:r w:rsidRPr="00A530E1">
                    <w:rPr>
                      <w:b/>
                      <w:sz w:val="14"/>
                      <w:szCs w:val="14"/>
                    </w:rPr>
                    <w:t>1 324 542</w:t>
                  </w:r>
                </w:p>
              </w:tc>
              <w:tc>
                <w:tcPr>
                  <w:tcW w:w="851" w:type="dxa"/>
                  <w:tcBorders>
                    <w:top w:val="nil"/>
                    <w:left w:val="nil"/>
                    <w:bottom w:val="nil"/>
                    <w:right w:val="nil"/>
                  </w:tcBorders>
                  <w:tcMar>
                    <w:right w:w="11" w:type="dxa"/>
                  </w:tcMar>
                  <w:vAlign w:val="bottom"/>
                </w:tcPr>
                <w:p w:rsidR="00396CCE" w:rsidRPr="00A530E1" w:rsidRDefault="00396CCE" w:rsidP="00B55EB7">
                  <w:pPr>
                    <w:suppressAutoHyphens w:val="0"/>
                    <w:spacing w:before="40" w:after="40" w:line="220" w:lineRule="exact"/>
                    <w:jc w:val="right"/>
                    <w:rPr>
                      <w:sz w:val="14"/>
                      <w:szCs w:val="14"/>
                    </w:rPr>
                  </w:pPr>
                  <w:r w:rsidRPr="00A530E1">
                    <w:rPr>
                      <w:sz w:val="14"/>
                      <w:szCs w:val="14"/>
                    </w:rPr>
                    <w:t>996 043</w:t>
                  </w:r>
                </w:p>
              </w:tc>
              <w:tc>
                <w:tcPr>
                  <w:tcW w:w="850" w:type="dxa"/>
                  <w:tcBorders>
                    <w:top w:val="nil"/>
                    <w:left w:val="nil"/>
                    <w:bottom w:val="nil"/>
                    <w:right w:val="nil"/>
                  </w:tcBorders>
                  <w:tcMar>
                    <w:right w:w="11" w:type="dxa"/>
                  </w:tcMar>
                  <w:vAlign w:val="bottom"/>
                </w:tcPr>
                <w:p w:rsidR="00396CCE" w:rsidRPr="00A530E1" w:rsidRDefault="00396CCE" w:rsidP="00B55EB7">
                  <w:pPr>
                    <w:suppressAutoHyphens w:val="0"/>
                    <w:spacing w:before="40" w:after="40" w:line="220" w:lineRule="exact"/>
                    <w:jc w:val="right"/>
                    <w:rPr>
                      <w:sz w:val="14"/>
                      <w:szCs w:val="14"/>
                    </w:rPr>
                  </w:pPr>
                  <w:r w:rsidRPr="00A530E1">
                    <w:rPr>
                      <w:sz w:val="14"/>
                      <w:szCs w:val="14"/>
                    </w:rPr>
                    <w:t>328 499</w:t>
                  </w:r>
                </w:p>
              </w:tc>
              <w:tc>
                <w:tcPr>
                  <w:tcW w:w="830" w:type="dxa"/>
                  <w:tcBorders>
                    <w:top w:val="nil"/>
                    <w:left w:val="nil"/>
                    <w:bottom w:val="nil"/>
                    <w:right w:val="nil"/>
                  </w:tcBorders>
                  <w:tcMar>
                    <w:right w:w="11" w:type="dxa"/>
                  </w:tcMar>
                  <w:vAlign w:val="bottom"/>
                </w:tcPr>
                <w:p w:rsidR="00396CCE" w:rsidRPr="00A530E1" w:rsidRDefault="00396CCE" w:rsidP="00B55EB7">
                  <w:pPr>
                    <w:suppressAutoHyphens w:val="0"/>
                    <w:spacing w:before="40" w:after="40" w:line="220" w:lineRule="exact"/>
                    <w:jc w:val="right"/>
                    <w:rPr>
                      <w:sz w:val="14"/>
                      <w:szCs w:val="14"/>
                    </w:rPr>
                  </w:pPr>
                  <w:r w:rsidRPr="00A530E1">
                    <w:rPr>
                      <w:sz w:val="14"/>
                      <w:szCs w:val="14"/>
                    </w:rPr>
                    <w:t>967 319</w:t>
                  </w:r>
                </w:p>
              </w:tc>
              <w:tc>
                <w:tcPr>
                  <w:tcW w:w="729" w:type="dxa"/>
                  <w:tcBorders>
                    <w:top w:val="nil"/>
                    <w:left w:val="nil"/>
                    <w:bottom w:val="nil"/>
                    <w:right w:val="nil"/>
                  </w:tcBorders>
                  <w:tcMar>
                    <w:right w:w="11" w:type="dxa"/>
                  </w:tcMar>
                  <w:vAlign w:val="bottom"/>
                </w:tcPr>
                <w:p w:rsidR="00396CCE" w:rsidRPr="00A530E1" w:rsidRDefault="00396CCE" w:rsidP="00B55EB7">
                  <w:pPr>
                    <w:suppressAutoHyphens w:val="0"/>
                    <w:spacing w:before="40" w:after="40" w:line="220" w:lineRule="exact"/>
                    <w:jc w:val="right"/>
                    <w:rPr>
                      <w:sz w:val="14"/>
                      <w:szCs w:val="14"/>
                    </w:rPr>
                  </w:pPr>
                  <w:r w:rsidRPr="00A530E1">
                    <w:rPr>
                      <w:sz w:val="14"/>
                      <w:szCs w:val="14"/>
                    </w:rPr>
                    <w:t>357 223</w:t>
                  </w:r>
                </w:p>
              </w:tc>
              <w:tc>
                <w:tcPr>
                  <w:tcW w:w="851" w:type="dxa"/>
                  <w:tcBorders>
                    <w:top w:val="nil"/>
                    <w:left w:val="nil"/>
                    <w:bottom w:val="nil"/>
                    <w:right w:val="nil"/>
                  </w:tcBorders>
                  <w:tcMar>
                    <w:right w:w="11" w:type="dxa"/>
                  </w:tcMar>
                  <w:vAlign w:val="bottom"/>
                </w:tcPr>
                <w:p w:rsidR="00396CCE" w:rsidRPr="00A530E1" w:rsidRDefault="00396CCE" w:rsidP="00B55EB7">
                  <w:pPr>
                    <w:suppressAutoHyphens w:val="0"/>
                    <w:spacing w:before="40" w:after="40" w:line="220" w:lineRule="exact"/>
                    <w:jc w:val="right"/>
                    <w:rPr>
                      <w:sz w:val="14"/>
                      <w:szCs w:val="14"/>
                    </w:rPr>
                  </w:pPr>
                  <w:r w:rsidRPr="00A530E1">
                    <w:rPr>
                      <w:sz w:val="14"/>
                      <w:szCs w:val="14"/>
                    </w:rPr>
                    <w:t>672 004</w:t>
                  </w:r>
                </w:p>
              </w:tc>
              <w:tc>
                <w:tcPr>
                  <w:tcW w:w="907" w:type="dxa"/>
                  <w:tcBorders>
                    <w:top w:val="nil"/>
                    <w:left w:val="nil"/>
                    <w:bottom w:val="nil"/>
                    <w:right w:val="nil"/>
                  </w:tcBorders>
                  <w:tcMar>
                    <w:right w:w="11" w:type="dxa"/>
                  </w:tcMar>
                  <w:vAlign w:val="bottom"/>
                </w:tcPr>
                <w:p w:rsidR="00396CCE" w:rsidRPr="00A530E1" w:rsidRDefault="00396CCE" w:rsidP="00B55EB7">
                  <w:pPr>
                    <w:suppressAutoHyphens w:val="0"/>
                    <w:spacing w:before="40" w:after="40" w:line="220" w:lineRule="exact"/>
                    <w:jc w:val="right"/>
                    <w:rPr>
                      <w:sz w:val="14"/>
                      <w:szCs w:val="14"/>
                    </w:rPr>
                  </w:pPr>
                  <w:r w:rsidRPr="00A530E1">
                    <w:rPr>
                      <w:sz w:val="14"/>
                      <w:szCs w:val="14"/>
                    </w:rPr>
                    <w:t>652 538</w:t>
                  </w:r>
                </w:p>
              </w:tc>
            </w:tr>
            <w:tr w:rsidR="00396CCE" w:rsidRPr="00A530E1" w:rsidTr="00B55EB7">
              <w:tc>
                <w:tcPr>
                  <w:tcW w:w="1134" w:type="dxa"/>
                  <w:tcBorders>
                    <w:top w:val="nil"/>
                    <w:left w:val="nil"/>
                    <w:bottom w:val="nil"/>
                    <w:right w:val="nil"/>
                  </w:tcBorders>
                  <w:tcMar>
                    <w:right w:w="11" w:type="dxa"/>
                  </w:tcMar>
                  <w:vAlign w:val="bottom"/>
                </w:tcPr>
                <w:p w:rsidR="00396CCE" w:rsidRPr="00A530E1" w:rsidRDefault="00396CCE" w:rsidP="00B55EB7">
                  <w:pPr>
                    <w:suppressAutoHyphens w:val="0"/>
                    <w:spacing w:before="40" w:after="40" w:line="220" w:lineRule="exact"/>
                    <w:rPr>
                      <w:sz w:val="14"/>
                      <w:szCs w:val="14"/>
                    </w:rPr>
                  </w:pPr>
                  <w:r w:rsidRPr="00A530E1">
                    <w:rPr>
                      <w:sz w:val="14"/>
                      <w:szCs w:val="14"/>
                    </w:rPr>
                    <w:t>Primary</w:t>
                  </w:r>
                </w:p>
              </w:tc>
              <w:tc>
                <w:tcPr>
                  <w:tcW w:w="850" w:type="dxa"/>
                  <w:tcBorders>
                    <w:top w:val="nil"/>
                    <w:left w:val="nil"/>
                    <w:bottom w:val="nil"/>
                    <w:right w:val="nil"/>
                  </w:tcBorders>
                  <w:tcMar>
                    <w:right w:w="11" w:type="dxa"/>
                  </w:tcMar>
                  <w:vAlign w:val="bottom"/>
                </w:tcPr>
                <w:p w:rsidR="00396CCE" w:rsidRPr="00A530E1" w:rsidRDefault="00396CCE" w:rsidP="00B55EB7">
                  <w:pPr>
                    <w:suppressAutoHyphens w:val="0"/>
                    <w:spacing w:before="40" w:after="40" w:line="220" w:lineRule="exact"/>
                    <w:jc w:val="right"/>
                    <w:rPr>
                      <w:b/>
                      <w:sz w:val="14"/>
                      <w:szCs w:val="14"/>
                    </w:rPr>
                  </w:pPr>
                  <w:r w:rsidRPr="00A530E1">
                    <w:rPr>
                      <w:b/>
                      <w:sz w:val="14"/>
                      <w:szCs w:val="14"/>
                    </w:rPr>
                    <w:t>3 747 562</w:t>
                  </w:r>
                </w:p>
              </w:tc>
              <w:tc>
                <w:tcPr>
                  <w:tcW w:w="851" w:type="dxa"/>
                  <w:tcBorders>
                    <w:top w:val="nil"/>
                    <w:left w:val="nil"/>
                    <w:bottom w:val="nil"/>
                    <w:right w:val="nil"/>
                  </w:tcBorders>
                  <w:tcMar>
                    <w:right w:w="11" w:type="dxa"/>
                  </w:tcMar>
                  <w:vAlign w:val="bottom"/>
                </w:tcPr>
                <w:p w:rsidR="00396CCE" w:rsidRPr="00A530E1" w:rsidRDefault="00396CCE" w:rsidP="00B55EB7">
                  <w:pPr>
                    <w:suppressAutoHyphens w:val="0"/>
                    <w:spacing w:before="40" w:after="40" w:line="220" w:lineRule="exact"/>
                    <w:jc w:val="right"/>
                    <w:rPr>
                      <w:sz w:val="14"/>
                      <w:szCs w:val="14"/>
                    </w:rPr>
                  </w:pPr>
                  <w:r w:rsidRPr="00A530E1">
                    <w:rPr>
                      <w:sz w:val="14"/>
                      <w:szCs w:val="14"/>
                    </w:rPr>
                    <w:t>3 019 815</w:t>
                  </w:r>
                </w:p>
              </w:tc>
              <w:tc>
                <w:tcPr>
                  <w:tcW w:w="850" w:type="dxa"/>
                  <w:tcBorders>
                    <w:top w:val="nil"/>
                    <w:left w:val="nil"/>
                    <w:bottom w:val="nil"/>
                    <w:right w:val="nil"/>
                  </w:tcBorders>
                  <w:tcMar>
                    <w:right w:w="11" w:type="dxa"/>
                  </w:tcMar>
                  <w:vAlign w:val="bottom"/>
                </w:tcPr>
                <w:p w:rsidR="00396CCE" w:rsidRPr="00A530E1" w:rsidRDefault="00396CCE" w:rsidP="00B55EB7">
                  <w:pPr>
                    <w:suppressAutoHyphens w:val="0"/>
                    <w:spacing w:before="40" w:after="40" w:line="220" w:lineRule="exact"/>
                    <w:jc w:val="right"/>
                    <w:rPr>
                      <w:sz w:val="14"/>
                      <w:szCs w:val="14"/>
                    </w:rPr>
                  </w:pPr>
                  <w:r w:rsidRPr="00A530E1">
                    <w:rPr>
                      <w:sz w:val="14"/>
                      <w:szCs w:val="14"/>
                    </w:rPr>
                    <w:t>727 747</w:t>
                  </w:r>
                </w:p>
              </w:tc>
              <w:tc>
                <w:tcPr>
                  <w:tcW w:w="830" w:type="dxa"/>
                  <w:tcBorders>
                    <w:top w:val="nil"/>
                    <w:left w:val="nil"/>
                    <w:bottom w:val="nil"/>
                    <w:right w:val="nil"/>
                  </w:tcBorders>
                  <w:tcMar>
                    <w:right w:w="11" w:type="dxa"/>
                  </w:tcMar>
                  <w:vAlign w:val="bottom"/>
                </w:tcPr>
                <w:p w:rsidR="00396CCE" w:rsidRPr="00A530E1" w:rsidRDefault="00396CCE" w:rsidP="00B55EB7">
                  <w:pPr>
                    <w:suppressAutoHyphens w:val="0"/>
                    <w:spacing w:before="40" w:after="40" w:line="220" w:lineRule="exact"/>
                    <w:jc w:val="right"/>
                    <w:rPr>
                      <w:sz w:val="14"/>
                      <w:szCs w:val="14"/>
                    </w:rPr>
                  </w:pPr>
                  <w:r w:rsidRPr="00A530E1">
                    <w:rPr>
                      <w:sz w:val="14"/>
                      <w:szCs w:val="14"/>
                    </w:rPr>
                    <w:t>2 547 531</w:t>
                  </w:r>
                </w:p>
              </w:tc>
              <w:tc>
                <w:tcPr>
                  <w:tcW w:w="729" w:type="dxa"/>
                  <w:tcBorders>
                    <w:top w:val="nil"/>
                    <w:left w:val="nil"/>
                    <w:bottom w:val="nil"/>
                    <w:right w:val="nil"/>
                  </w:tcBorders>
                  <w:tcMar>
                    <w:right w:w="11" w:type="dxa"/>
                  </w:tcMar>
                  <w:vAlign w:val="bottom"/>
                </w:tcPr>
                <w:p w:rsidR="00396CCE" w:rsidRPr="00A530E1" w:rsidRDefault="00396CCE" w:rsidP="00B55EB7">
                  <w:pPr>
                    <w:suppressAutoHyphens w:val="0"/>
                    <w:spacing w:before="40" w:after="40" w:line="220" w:lineRule="exact"/>
                    <w:jc w:val="right"/>
                    <w:rPr>
                      <w:sz w:val="14"/>
                      <w:szCs w:val="14"/>
                    </w:rPr>
                  </w:pPr>
                  <w:r w:rsidRPr="00A530E1">
                    <w:rPr>
                      <w:sz w:val="14"/>
                      <w:szCs w:val="14"/>
                    </w:rPr>
                    <w:t>1 200 031</w:t>
                  </w:r>
                </w:p>
              </w:tc>
              <w:tc>
                <w:tcPr>
                  <w:tcW w:w="851" w:type="dxa"/>
                  <w:tcBorders>
                    <w:top w:val="nil"/>
                    <w:left w:val="nil"/>
                    <w:bottom w:val="nil"/>
                    <w:right w:val="nil"/>
                  </w:tcBorders>
                  <w:tcMar>
                    <w:right w:w="11" w:type="dxa"/>
                  </w:tcMar>
                  <w:vAlign w:val="bottom"/>
                </w:tcPr>
                <w:p w:rsidR="00396CCE" w:rsidRPr="00A530E1" w:rsidRDefault="00396CCE" w:rsidP="00B55EB7">
                  <w:pPr>
                    <w:suppressAutoHyphens w:val="0"/>
                    <w:spacing w:before="40" w:after="40" w:line="220" w:lineRule="exact"/>
                    <w:jc w:val="right"/>
                    <w:rPr>
                      <w:sz w:val="14"/>
                      <w:szCs w:val="14"/>
                    </w:rPr>
                  </w:pPr>
                  <w:r w:rsidRPr="00A530E1">
                    <w:rPr>
                      <w:sz w:val="14"/>
                      <w:szCs w:val="14"/>
                    </w:rPr>
                    <w:t>1 910 644</w:t>
                  </w:r>
                </w:p>
              </w:tc>
              <w:tc>
                <w:tcPr>
                  <w:tcW w:w="907" w:type="dxa"/>
                  <w:tcBorders>
                    <w:top w:val="nil"/>
                    <w:left w:val="nil"/>
                    <w:bottom w:val="nil"/>
                    <w:right w:val="nil"/>
                  </w:tcBorders>
                  <w:tcMar>
                    <w:right w:w="11" w:type="dxa"/>
                  </w:tcMar>
                  <w:vAlign w:val="bottom"/>
                </w:tcPr>
                <w:p w:rsidR="00396CCE" w:rsidRPr="00A530E1" w:rsidRDefault="00396CCE" w:rsidP="00B55EB7">
                  <w:pPr>
                    <w:suppressAutoHyphens w:val="0"/>
                    <w:spacing w:before="40" w:after="40" w:line="220" w:lineRule="exact"/>
                    <w:jc w:val="right"/>
                    <w:rPr>
                      <w:sz w:val="14"/>
                      <w:szCs w:val="14"/>
                    </w:rPr>
                  </w:pPr>
                  <w:r w:rsidRPr="00A530E1">
                    <w:rPr>
                      <w:sz w:val="14"/>
                      <w:szCs w:val="14"/>
                    </w:rPr>
                    <w:t>1 836 918</w:t>
                  </w:r>
                </w:p>
              </w:tc>
            </w:tr>
            <w:tr w:rsidR="00396CCE" w:rsidRPr="00A530E1" w:rsidTr="00B55EB7">
              <w:tc>
                <w:tcPr>
                  <w:tcW w:w="1134" w:type="dxa"/>
                  <w:tcBorders>
                    <w:top w:val="nil"/>
                    <w:left w:val="nil"/>
                    <w:bottom w:val="nil"/>
                    <w:right w:val="nil"/>
                  </w:tcBorders>
                  <w:tcMar>
                    <w:right w:w="11" w:type="dxa"/>
                  </w:tcMar>
                  <w:vAlign w:val="bottom"/>
                </w:tcPr>
                <w:p w:rsidR="00396CCE" w:rsidRPr="00A530E1" w:rsidRDefault="00396CCE" w:rsidP="00B55EB7">
                  <w:pPr>
                    <w:suppressAutoHyphens w:val="0"/>
                    <w:spacing w:before="40" w:after="40" w:line="220" w:lineRule="exact"/>
                    <w:rPr>
                      <w:sz w:val="14"/>
                      <w:szCs w:val="14"/>
                    </w:rPr>
                  </w:pPr>
                  <w:r w:rsidRPr="00A530E1">
                    <w:rPr>
                      <w:sz w:val="14"/>
                      <w:szCs w:val="14"/>
                    </w:rPr>
                    <w:t>Secondary</w:t>
                  </w:r>
                </w:p>
              </w:tc>
              <w:tc>
                <w:tcPr>
                  <w:tcW w:w="850" w:type="dxa"/>
                  <w:tcBorders>
                    <w:top w:val="nil"/>
                    <w:left w:val="nil"/>
                    <w:bottom w:val="nil"/>
                    <w:right w:val="nil"/>
                  </w:tcBorders>
                  <w:tcMar>
                    <w:right w:w="11" w:type="dxa"/>
                  </w:tcMar>
                  <w:vAlign w:val="bottom"/>
                </w:tcPr>
                <w:p w:rsidR="00396CCE" w:rsidRPr="00A530E1" w:rsidRDefault="00396CCE" w:rsidP="00B55EB7">
                  <w:pPr>
                    <w:suppressAutoHyphens w:val="0"/>
                    <w:spacing w:before="40" w:after="40" w:line="220" w:lineRule="exact"/>
                    <w:jc w:val="right"/>
                    <w:rPr>
                      <w:b/>
                      <w:sz w:val="14"/>
                      <w:szCs w:val="14"/>
                    </w:rPr>
                  </w:pPr>
                  <w:r w:rsidRPr="00A530E1">
                    <w:rPr>
                      <w:b/>
                      <w:sz w:val="14"/>
                      <w:szCs w:val="14"/>
                    </w:rPr>
                    <w:t>2 560 998</w:t>
                  </w:r>
                </w:p>
              </w:tc>
              <w:tc>
                <w:tcPr>
                  <w:tcW w:w="851" w:type="dxa"/>
                  <w:tcBorders>
                    <w:top w:val="nil"/>
                    <w:left w:val="nil"/>
                    <w:bottom w:val="nil"/>
                    <w:right w:val="nil"/>
                  </w:tcBorders>
                  <w:tcMar>
                    <w:right w:w="11" w:type="dxa"/>
                  </w:tcMar>
                  <w:vAlign w:val="bottom"/>
                </w:tcPr>
                <w:p w:rsidR="00396CCE" w:rsidRPr="00A530E1" w:rsidRDefault="00396CCE" w:rsidP="00B55EB7">
                  <w:pPr>
                    <w:suppressAutoHyphens w:val="0"/>
                    <w:spacing w:before="40" w:after="40" w:line="220" w:lineRule="exact"/>
                    <w:jc w:val="right"/>
                    <w:rPr>
                      <w:sz w:val="14"/>
                      <w:szCs w:val="14"/>
                    </w:rPr>
                  </w:pPr>
                  <w:r w:rsidRPr="00A530E1">
                    <w:rPr>
                      <w:sz w:val="14"/>
                      <w:szCs w:val="14"/>
                    </w:rPr>
                    <w:t>2 033 163</w:t>
                  </w:r>
                </w:p>
              </w:tc>
              <w:tc>
                <w:tcPr>
                  <w:tcW w:w="850" w:type="dxa"/>
                  <w:tcBorders>
                    <w:top w:val="nil"/>
                    <w:left w:val="nil"/>
                    <w:bottom w:val="nil"/>
                    <w:right w:val="nil"/>
                  </w:tcBorders>
                  <w:tcMar>
                    <w:right w:w="11" w:type="dxa"/>
                  </w:tcMar>
                  <w:vAlign w:val="bottom"/>
                </w:tcPr>
                <w:p w:rsidR="00396CCE" w:rsidRPr="00A530E1" w:rsidRDefault="00396CCE" w:rsidP="00B55EB7">
                  <w:pPr>
                    <w:suppressAutoHyphens w:val="0"/>
                    <w:spacing w:before="40" w:after="40" w:line="220" w:lineRule="exact"/>
                    <w:jc w:val="right"/>
                    <w:rPr>
                      <w:sz w:val="14"/>
                      <w:szCs w:val="14"/>
                    </w:rPr>
                  </w:pPr>
                  <w:r w:rsidRPr="00A530E1">
                    <w:rPr>
                      <w:sz w:val="14"/>
                      <w:szCs w:val="14"/>
                    </w:rPr>
                    <w:t>527 835</w:t>
                  </w:r>
                </w:p>
              </w:tc>
              <w:tc>
                <w:tcPr>
                  <w:tcW w:w="830" w:type="dxa"/>
                  <w:tcBorders>
                    <w:top w:val="nil"/>
                    <w:left w:val="nil"/>
                    <w:bottom w:val="nil"/>
                    <w:right w:val="nil"/>
                  </w:tcBorders>
                  <w:tcMar>
                    <w:right w:w="11" w:type="dxa"/>
                  </w:tcMar>
                  <w:vAlign w:val="bottom"/>
                </w:tcPr>
                <w:p w:rsidR="00396CCE" w:rsidRPr="00A530E1" w:rsidRDefault="00396CCE" w:rsidP="00B55EB7">
                  <w:pPr>
                    <w:suppressAutoHyphens w:val="0"/>
                    <w:spacing w:before="40" w:after="40" w:line="220" w:lineRule="exact"/>
                    <w:jc w:val="right"/>
                    <w:rPr>
                      <w:sz w:val="14"/>
                      <w:szCs w:val="14"/>
                    </w:rPr>
                  </w:pPr>
                  <w:r w:rsidRPr="00A530E1">
                    <w:rPr>
                      <w:sz w:val="14"/>
                      <w:szCs w:val="14"/>
                    </w:rPr>
                    <w:t>2 149 346</w:t>
                  </w:r>
                </w:p>
              </w:tc>
              <w:tc>
                <w:tcPr>
                  <w:tcW w:w="729" w:type="dxa"/>
                  <w:tcBorders>
                    <w:top w:val="nil"/>
                    <w:left w:val="nil"/>
                    <w:bottom w:val="nil"/>
                    <w:right w:val="nil"/>
                  </w:tcBorders>
                  <w:tcMar>
                    <w:right w:w="11" w:type="dxa"/>
                  </w:tcMar>
                  <w:vAlign w:val="bottom"/>
                </w:tcPr>
                <w:p w:rsidR="00396CCE" w:rsidRPr="00A530E1" w:rsidRDefault="00396CCE" w:rsidP="00B55EB7">
                  <w:pPr>
                    <w:suppressAutoHyphens w:val="0"/>
                    <w:spacing w:before="40" w:after="40" w:line="220" w:lineRule="exact"/>
                    <w:jc w:val="right"/>
                    <w:rPr>
                      <w:sz w:val="14"/>
                      <w:szCs w:val="14"/>
                    </w:rPr>
                  </w:pPr>
                  <w:r w:rsidRPr="00A530E1">
                    <w:rPr>
                      <w:sz w:val="14"/>
                      <w:szCs w:val="14"/>
                    </w:rPr>
                    <w:t>411 652</w:t>
                  </w:r>
                </w:p>
              </w:tc>
              <w:tc>
                <w:tcPr>
                  <w:tcW w:w="851" w:type="dxa"/>
                  <w:tcBorders>
                    <w:top w:val="nil"/>
                    <w:left w:val="nil"/>
                    <w:bottom w:val="nil"/>
                    <w:right w:val="nil"/>
                  </w:tcBorders>
                  <w:tcMar>
                    <w:right w:w="11" w:type="dxa"/>
                  </w:tcMar>
                  <w:vAlign w:val="bottom"/>
                </w:tcPr>
                <w:p w:rsidR="00396CCE" w:rsidRPr="00A530E1" w:rsidRDefault="00396CCE" w:rsidP="00B55EB7">
                  <w:pPr>
                    <w:suppressAutoHyphens w:val="0"/>
                    <w:spacing w:before="40" w:after="40" w:line="220" w:lineRule="exact"/>
                    <w:jc w:val="right"/>
                    <w:rPr>
                      <w:sz w:val="14"/>
                      <w:szCs w:val="14"/>
                    </w:rPr>
                  </w:pPr>
                  <w:r w:rsidRPr="00A530E1">
                    <w:rPr>
                      <w:sz w:val="14"/>
                      <w:szCs w:val="14"/>
                    </w:rPr>
                    <w:t>1 309 013</w:t>
                  </w:r>
                </w:p>
              </w:tc>
              <w:tc>
                <w:tcPr>
                  <w:tcW w:w="907" w:type="dxa"/>
                  <w:tcBorders>
                    <w:top w:val="nil"/>
                    <w:left w:val="nil"/>
                    <w:bottom w:val="nil"/>
                    <w:right w:val="nil"/>
                  </w:tcBorders>
                  <w:tcMar>
                    <w:right w:w="11" w:type="dxa"/>
                  </w:tcMar>
                  <w:vAlign w:val="bottom"/>
                </w:tcPr>
                <w:p w:rsidR="00396CCE" w:rsidRPr="00A530E1" w:rsidRDefault="00396CCE" w:rsidP="00B55EB7">
                  <w:pPr>
                    <w:suppressAutoHyphens w:val="0"/>
                    <w:spacing w:before="40" w:after="40" w:line="220" w:lineRule="exact"/>
                    <w:jc w:val="right"/>
                    <w:rPr>
                      <w:sz w:val="14"/>
                      <w:szCs w:val="14"/>
                    </w:rPr>
                  </w:pPr>
                  <w:r w:rsidRPr="00A530E1">
                    <w:rPr>
                      <w:sz w:val="14"/>
                      <w:szCs w:val="14"/>
                    </w:rPr>
                    <w:t>1 251 985</w:t>
                  </w:r>
                </w:p>
              </w:tc>
            </w:tr>
            <w:tr w:rsidR="00396CCE" w:rsidRPr="00A530E1" w:rsidTr="00B55EB7">
              <w:tc>
                <w:tcPr>
                  <w:tcW w:w="1134" w:type="dxa"/>
                  <w:tcBorders>
                    <w:top w:val="nil"/>
                    <w:left w:val="nil"/>
                    <w:bottom w:val="nil"/>
                    <w:right w:val="nil"/>
                  </w:tcBorders>
                  <w:tcMar>
                    <w:right w:w="11" w:type="dxa"/>
                  </w:tcMar>
                  <w:vAlign w:val="bottom"/>
                </w:tcPr>
                <w:p w:rsidR="00396CCE" w:rsidRPr="00A530E1" w:rsidRDefault="00396CCE" w:rsidP="00B55EB7">
                  <w:pPr>
                    <w:suppressAutoHyphens w:val="0"/>
                    <w:spacing w:before="40" w:after="40" w:line="220" w:lineRule="exact"/>
                    <w:rPr>
                      <w:sz w:val="14"/>
                      <w:szCs w:val="14"/>
                    </w:rPr>
                  </w:pPr>
                  <w:r w:rsidRPr="00A530E1">
                    <w:rPr>
                      <w:sz w:val="14"/>
                      <w:szCs w:val="14"/>
                    </w:rPr>
                    <w:t>Alternative basic</w:t>
                  </w:r>
                  <w:r w:rsidRPr="00A530E1">
                    <w:rPr>
                      <w:i/>
                      <w:sz w:val="14"/>
                      <w:szCs w:val="14"/>
                      <w:vertAlign w:val="superscript"/>
                    </w:rPr>
                    <w:t>1</w:t>
                  </w:r>
                </w:p>
              </w:tc>
              <w:tc>
                <w:tcPr>
                  <w:tcW w:w="850" w:type="dxa"/>
                  <w:tcBorders>
                    <w:top w:val="nil"/>
                    <w:left w:val="nil"/>
                    <w:bottom w:val="nil"/>
                    <w:right w:val="nil"/>
                  </w:tcBorders>
                  <w:tcMar>
                    <w:right w:w="11" w:type="dxa"/>
                  </w:tcMar>
                  <w:vAlign w:val="bottom"/>
                </w:tcPr>
                <w:p w:rsidR="00396CCE" w:rsidRPr="00A530E1" w:rsidRDefault="00396CCE" w:rsidP="00B55EB7">
                  <w:pPr>
                    <w:suppressAutoHyphens w:val="0"/>
                    <w:spacing w:before="40" w:after="40" w:line="220" w:lineRule="exact"/>
                    <w:jc w:val="right"/>
                    <w:rPr>
                      <w:b/>
                      <w:sz w:val="14"/>
                      <w:szCs w:val="14"/>
                    </w:rPr>
                  </w:pPr>
                  <w:r w:rsidRPr="00A530E1">
                    <w:rPr>
                      <w:b/>
                      <w:sz w:val="14"/>
                      <w:szCs w:val="14"/>
                    </w:rPr>
                    <w:t>184 420</w:t>
                  </w:r>
                </w:p>
              </w:tc>
              <w:tc>
                <w:tcPr>
                  <w:tcW w:w="851" w:type="dxa"/>
                  <w:tcBorders>
                    <w:top w:val="nil"/>
                    <w:left w:val="nil"/>
                    <w:bottom w:val="nil"/>
                    <w:right w:val="nil"/>
                  </w:tcBorders>
                  <w:tcMar>
                    <w:right w:w="11" w:type="dxa"/>
                  </w:tcMar>
                  <w:vAlign w:val="bottom"/>
                </w:tcPr>
                <w:p w:rsidR="00396CCE" w:rsidRPr="00A530E1" w:rsidRDefault="00396CCE" w:rsidP="00B55EB7">
                  <w:pPr>
                    <w:suppressAutoHyphens w:val="0"/>
                    <w:spacing w:before="40" w:after="40" w:line="220" w:lineRule="exact"/>
                    <w:jc w:val="right"/>
                    <w:rPr>
                      <w:sz w:val="14"/>
                      <w:szCs w:val="14"/>
                    </w:rPr>
                  </w:pPr>
                  <w:r w:rsidRPr="00A530E1">
                    <w:rPr>
                      <w:sz w:val="14"/>
                      <w:szCs w:val="14"/>
                    </w:rPr>
                    <w:t>112 061</w:t>
                  </w:r>
                </w:p>
              </w:tc>
              <w:tc>
                <w:tcPr>
                  <w:tcW w:w="850" w:type="dxa"/>
                  <w:tcBorders>
                    <w:top w:val="nil"/>
                    <w:left w:val="nil"/>
                    <w:bottom w:val="nil"/>
                    <w:right w:val="nil"/>
                  </w:tcBorders>
                  <w:tcMar>
                    <w:right w:w="11" w:type="dxa"/>
                  </w:tcMar>
                  <w:vAlign w:val="bottom"/>
                </w:tcPr>
                <w:p w:rsidR="00396CCE" w:rsidRPr="00A530E1" w:rsidRDefault="00396CCE" w:rsidP="00B55EB7">
                  <w:pPr>
                    <w:suppressAutoHyphens w:val="0"/>
                    <w:spacing w:before="40" w:after="40" w:line="220" w:lineRule="exact"/>
                    <w:jc w:val="right"/>
                    <w:rPr>
                      <w:sz w:val="14"/>
                      <w:szCs w:val="14"/>
                    </w:rPr>
                  </w:pPr>
                  <w:r w:rsidRPr="00A530E1">
                    <w:rPr>
                      <w:sz w:val="14"/>
                      <w:szCs w:val="14"/>
                    </w:rPr>
                    <w:t>72 359</w:t>
                  </w:r>
                </w:p>
              </w:tc>
              <w:tc>
                <w:tcPr>
                  <w:tcW w:w="830" w:type="dxa"/>
                  <w:tcBorders>
                    <w:top w:val="nil"/>
                    <w:left w:val="nil"/>
                    <w:bottom w:val="nil"/>
                    <w:right w:val="nil"/>
                  </w:tcBorders>
                  <w:tcMar>
                    <w:right w:w="11" w:type="dxa"/>
                  </w:tcMar>
                  <w:vAlign w:val="bottom"/>
                </w:tcPr>
                <w:p w:rsidR="00396CCE" w:rsidRPr="00A530E1" w:rsidRDefault="00396CCE" w:rsidP="00B55EB7">
                  <w:pPr>
                    <w:suppressAutoHyphens w:val="0"/>
                    <w:spacing w:before="40" w:after="40" w:line="220" w:lineRule="exact"/>
                    <w:jc w:val="right"/>
                    <w:rPr>
                      <w:sz w:val="14"/>
                      <w:szCs w:val="14"/>
                    </w:rPr>
                  </w:pPr>
                  <w:r w:rsidRPr="00A530E1">
                    <w:rPr>
                      <w:sz w:val="14"/>
                      <w:szCs w:val="14"/>
                    </w:rPr>
                    <w:t>179 550</w:t>
                  </w:r>
                </w:p>
              </w:tc>
              <w:tc>
                <w:tcPr>
                  <w:tcW w:w="729" w:type="dxa"/>
                  <w:tcBorders>
                    <w:top w:val="nil"/>
                    <w:left w:val="nil"/>
                    <w:bottom w:val="nil"/>
                    <w:right w:val="nil"/>
                  </w:tcBorders>
                  <w:tcMar>
                    <w:right w:w="11" w:type="dxa"/>
                  </w:tcMar>
                  <w:vAlign w:val="bottom"/>
                </w:tcPr>
                <w:p w:rsidR="00396CCE" w:rsidRPr="00A530E1" w:rsidRDefault="00396CCE" w:rsidP="00B55EB7">
                  <w:pPr>
                    <w:suppressAutoHyphens w:val="0"/>
                    <w:spacing w:before="40" w:after="40" w:line="220" w:lineRule="exact"/>
                    <w:jc w:val="right"/>
                    <w:rPr>
                      <w:sz w:val="14"/>
                      <w:szCs w:val="14"/>
                    </w:rPr>
                  </w:pPr>
                  <w:r w:rsidRPr="00A530E1">
                    <w:rPr>
                      <w:sz w:val="14"/>
                      <w:szCs w:val="14"/>
                    </w:rPr>
                    <w:t>4 870</w:t>
                  </w:r>
                </w:p>
              </w:tc>
              <w:tc>
                <w:tcPr>
                  <w:tcW w:w="851" w:type="dxa"/>
                  <w:tcBorders>
                    <w:top w:val="nil"/>
                    <w:left w:val="nil"/>
                    <w:bottom w:val="nil"/>
                    <w:right w:val="nil"/>
                  </w:tcBorders>
                  <w:tcMar>
                    <w:right w:w="11" w:type="dxa"/>
                  </w:tcMar>
                  <w:vAlign w:val="bottom"/>
                </w:tcPr>
                <w:p w:rsidR="00396CCE" w:rsidRPr="00A530E1" w:rsidRDefault="00396CCE" w:rsidP="00B55EB7">
                  <w:pPr>
                    <w:suppressAutoHyphens w:val="0"/>
                    <w:spacing w:before="40" w:after="40" w:line="220" w:lineRule="exact"/>
                    <w:jc w:val="right"/>
                    <w:rPr>
                      <w:sz w:val="14"/>
                      <w:szCs w:val="14"/>
                    </w:rPr>
                  </w:pPr>
                  <w:r w:rsidRPr="00A530E1">
                    <w:rPr>
                      <w:sz w:val="14"/>
                      <w:szCs w:val="14"/>
                    </w:rPr>
                    <w:t>96 623</w:t>
                  </w:r>
                </w:p>
              </w:tc>
              <w:tc>
                <w:tcPr>
                  <w:tcW w:w="907" w:type="dxa"/>
                  <w:tcBorders>
                    <w:top w:val="nil"/>
                    <w:left w:val="nil"/>
                    <w:bottom w:val="nil"/>
                    <w:right w:val="nil"/>
                  </w:tcBorders>
                  <w:tcMar>
                    <w:right w:w="11" w:type="dxa"/>
                  </w:tcMar>
                  <w:vAlign w:val="bottom"/>
                </w:tcPr>
                <w:p w:rsidR="00396CCE" w:rsidRPr="00A530E1" w:rsidRDefault="00396CCE" w:rsidP="00B55EB7">
                  <w:pPr>
                    <w:suppressAutoHyphens w:val="0"/>
                    <w:spacing w:before="40" w:after="40" w:line="220" w:lineRule="exact"/>
                    <w:jc w:val="right"/>
                    <w:rPr>
                      <w:sz w:val="14"/>
                      <w:szCs w:val="14"/>
                    </w:rPr>
                  </w:pPr>
                  <w:r w:rsidRPr="00A530E1">
                    <w:rPr>
                      <w:sz w:val="14"/>
                      <w:szCs w:val="14"/>
                    </w:rPr>
                    <w:t>87 797</w:t>
                  </w:r>
                </w:p>
              </w:tc>
            </w:tr>
            <w:tr w:rsidR="00396CCE" w:rsidRPr="00A530E1" w:rsidTr="00B55EB7">
              <w:tc>
                <w:tcPr>
                  <w:tcW w:w="1134" w:type="dxa"/>
                  <w:tcBorders>
                    <w:top w:val="nil"/>
                    <w:left w:val="nil"/>
                    <w:bottom w:val="nil"/>
                    <w:right w:val="nil"/>
                  </w:tcBorders>
                  <w:tcMar>
                    <w:right w:w="11" w:type="dxa"/>
                  </w:tcMar>
                  <w:vAlign w:val="bottom"/>
                </w:tcPr>
                <w:p w:rsidR="00396CCE" w:rsidRPr="00A530E1" w:rsidRDefault="00396CCE" w:rsidP="00B55EB7">
                  <w:pPr>
                    <w:suppressAutoHyphens w:val="0"/>
                    <w:spacing w:before="40" w:after="40" w:line="220" w:lineRule="exact"/>
                    <w:rPr>
                      <w:sz w:val="14"/>
                      <w:szCs w:val="14"/>
                    </w:rPr>
                  </w:pPr>
                  <w:r w:rsidRPr="00A530E1">
                    <w:rPr>
                      <w:sz w:val="14"/>
                      <w:szCs w:val="14"/>
                    </w:rPr>
                    <w:t>Special basic</w:t>
                  </w:r>
                </w:p>
              </w:tc>
              <w:tc>
                <w:tcPr>
                  <w:tcW w:w="850" w:type="dxa"/>
                  <w:tcBorders>
                    <w:top w:val="nil"/>
                    <w:left w:val="nil"/>
                    <w:bottom w:val="nil"/>
                    <w:right w:val="nil"/>
                  </w:tcBorders>
                  <w:tcMar>
                    <w:right w:w="11" w:type="dxa"/>
                  </w:tcMar>
                  <w:vAlign w:val="bottom"/>
                </w:tcPr>
                <w:p w:rsidR="00396CCE" w:rsidRPr="00A530E1" w:rsidRDefault="00396CCE" w:rsidP="00B55EB7">
                  <w:pPr>
                    <w:suppressAutoHyphens w:val="0"/>
                    <w:spacing w:before="40" w:after="40" w:line="220" w:lineRule="exact"/>
                    <w:jc w:val="right"/>
                    <w:rPr>
                      <w:b/>
                      <w:sz w:val="14"/>
                      <w:szCs w:val="14"/>
                    </w:rPr>
                  </w:pPr>
                  <w:r w:rsidRPr="00A530E1">
                    <w:rPr>
                      <w:b/>
                      <w:sz w:val="14"/>
                      <w:szCs w:val="14"/>
                    </w:rPr>
                    <w:t>20 862</w:t>
                  </w:r>
                </w:p>
              </w:tc>
              <w:tc>
                <w:tcPr>
                  <w:tcW w:w="851" w:type="dxa"/>
                  <w:tcBorders>
                    <w:top w:val="nil"/>
                    <w:left w:val="nil"/>
                    <w:bottom w:val="nil"/>
                    <w:right w:val="nil"/>
                  </w:tcBorders>
                  <w:tcMar>
                    <w:right w:w="11" w:type="dxa"/>
                  </w:tcMar>
                  <w:vAlign w:val="bottom"/>
                </w:tcPr>
                <w:p w:rsidR="00396CCE" w:rsidRPr="00A530E1" w:rsidRDefault="00396CCE" w:rsidP="00B55EB7">
                  <w:pPr>
                    <w:suppressAutoHyphens w:val="0"/>
                    <w:spacing w:before="40" w:after="40" w:line="220" w:lineRule="exact"/>
                    <w:jc w:val="right"/>
                    <w:rPr>
                      <w:sz w:val="14"/>
                      <w:szCs w:val="14"/>
                    </w:rPr>
                  </w:pPr>
                  <w:r w:rsidRPr="00A530E1">
                    <w:rPr>
                      <w:sz w:val="14"/>
                      <w:szCs w:val="14"/>
                    </w:rPr>
                    <w:t>16 897</w:t>
                  </w:r>
                </w:p>
              </w:tc>
              <w:tc>
                <w:tcPr>
                  <w:tcW w:w="850" w:type="dxa"/>
                  <w:tcBorders>
                    <w:top w:val="nil"/>
                    <w:left w:val="nil"/>
                    <w:bottom w:val="nil"/>
                    <w:right w:val="nil"/>
                  </w:tcBorders>
                  <w:tcMar>
                    <w:right w:w="11" w:type="dxa"/>
                  </w:tcMar>
                  <w:vAlign w:val="bottom"/>
                </w:tcPr>
                <w:p w:rsidR="00396CCE" w:rsidRPr="00A530E1" w:rsidRDefault="00396CCE" w:rsidP="00B55EB7">
                  <w:pPr>
                    <w:suppressAutoHyphens w:val="0"/>
                    <w:spacing w:before="40" w:after="40" w:line="220" w:lineRule="exact"/>
                    <w:jc w:val="right"/>
                    <w:rPr>
                      <w:sz w:val="14"/>
                      <w:szCs w:val="14"/>
                    </w:rPr>
                  </w:pPr>
                  <w:r w:rsidRPr="00A530E1">
                    <w:rPr>
                      <w:sz w:val="14"/>
                      <w:szCs w:val="14"/>
                    </w:rPr>
                    <w:t>3 965</w:t>
                  </w:r>
                </w:p>
              </w:tc>
              <w:tc>
                <w:tcPr>
                  <w:tcW w:w="830" w:type="dxa"/>
                  <w:tcBorders>
                    <w:top w:val="nil"/>
                    <w:left w:val="nil"/>
                    <w:bottom w:val="nil"/>
                    <w:right w:val="nil"/>
                  </w:tcBorders>
                  <w:tcMar>
                    <w:right w:w="11" w:type="dxa"/>
                  </w:tcMar>
                  <w:vAlign w:val="bottom"/>
                </w:tcPr>
                <w:p w:rsidR="00396CCE" w:rsidRPr="00A530E1" w:rsidRDefault="00396CCE" w:rsidP="00B55EB7">
                  <w:pPr>
                    <w:suppressAutoHyphens w:val="0"/>
                    <w:spacing w:before="40" w:after="40" w:line="220" w:lineRule="exact"/>
                    <w:jc w:val="right"/>
                    <w:rPr>
                      <w:sz w:val="14"/>
                      <w:szCs w:val="14"/>
                    </w:rPr>
                  </w:pPr>
                  <w:r w:rsidRPr="00A530E1">
                    <w:rPr>
                      <w:sz w:val="14"/>
                      <w:szCs w:val="14"/>
                    </w:rPr>
                    <w:t>19 904</w:t>
                  </w:r>
                </w:p>
              </w:tc>
              <w:tc>
                <w:tcPr>
                  <w:tcW w:w="729" w:type="dxa"/>
                  <w:tcBorders>
                    <w:top w:val="nil"/>
                    <w:left w:val="nil"/>
                    <w:bottom w:val="nil"/>
                    <w:right w:val="nil"/>
                  </w:tcBorders>
                  <w:tcMar>
                    <w:right w:w="11" w:type="dxa"/>
                  </w:tcMar>
                  <w:vAlign w:val="bottom"/>
                </w:tcPr>
                <w:p w:rsidR="00396CCE" w:rsidRPr="00A530E1" w:rsidRDefault="00396CCE" w:rsidP="00B55EB7">
                  <w:pPr>
                    <w:suppressAutoHyphens w:val="0"/>
                    <w:spacing w:before="40" w:after="40" w:line="220" w:lineRule="exact"/>
                    <w:jc w:val="right"/>
                    <w:rPr>
                      <w:sz w:val="14"/>
                      <w:szCs w:val="14"/>
                    </w:rPr>
                  </w:pPr>
                  <w:r w:rsidRPr="00A530E1">
                    <w:rPr>
                      <w:sz w:val="14"/>
                      <w:szCs w:val="14"/>
                    </w:rPr>
                    <w:t>958</w:t>
                  </w:r>
                </w:p>
              </w:tc>
              <w:tc>
                <w:tcPr>
                  <w:tcW w:w="851" w:type="dxa"/>
                  <w:tcBorders>
                    <w:top w:val="nil"/>
                    <w:left w:val="nil"/>
                    <w:bottom w:val="nil"/>
                    <w:right w:val="nil"/>
                  </w:tcBorders>
                  <w:tcMar>
                    <w:right w:w="11" w:type="dxa"/>
                  </w:tcMar>
                  <w:vAlign w:val="bottom"/>
                </w:tcPr>
                <w:p w:rsidR="00396CCE" w:rsidRPr="00A530E1" w:rsidRDefault="00396CCE" w:rsidP="00B55EB7">
                  <w:pPr>
                    <w:suppressAutoHyphens w:val="0"/>
                    <w:spacing w:before="40" w:after="40" w:line="220" w:lineRule="exact"/>
                    <w:jc w:val="right"/>
                    <w:rPr>
                      <w:sz w:val="14"/>
                      <w:szCs w:val="14"/>
                    </w:rPr>
                  </w:pPr>
                  <w:r w:rsidRPr="00A530E1">
                    <w:rPr>
                      <w:sz w:val="14"/>
                      <w:szCs w:val="14"/>
                    </w:rPr>
                    <w:t>12 240</w:t>
                  </w:r>
                </w:p>
              </w:tc>
              <w:tc>
                <w:tcPr>
                  <w:tcW w:w="907" w:type="dxa"/>
                  <w:tcBorders>
                    <w:top w:val="nil"/>
                    <w:left w:val="nil"/>
                    <w:bottom w:val="nil"/>
                    <w:right w:val="nil"/>
                  </w:tcBorders>
                  <w:tcMar>
                    <w:right w:w="11" w:type="dxa"/>
                  </w:tcMar>
                  <w:vAlign w:val="bottom"/>
                </w:tcPr>
                <w:p w:rsidR="00396CCE" w:rsidRPr="00A530E1" w:rsidRDefault="00396CCE" w:rsidP="00B55EB7">
                  <w:pPr>
                    <w:suppressAutoHyphens w:val="0"/>
                    <w:spacing w:before="40" w:after="40" w:line="220" w:lineRule="exact"/>
                    <w:jc w:val="right"/>
                    <w:rPr>
                      <w:sz w:val="14"/>
                      <w:szCs w:val="14"/>
                    </w:rPr>
                  </w:pPr>
                  <w:r w:rsidRPr="00A530E1">
                    <w:rPr>
                      <w:sz w:val="14"/>
                      <w:szCs w:val="14"/>
                    </w:rPr>
                    <w:t>8 622</w:t>
                  </w:r>
                </w:p>
              </w:tc>
            </w:tr>
            <w:tr w:rsidR="00396CCE" w:rsidRPr="00A530E1" w:rsidTr="00B55EB7">
              <w:tc>
                <w:tcPr>
                  <w:tcW w:w="1134" w:type="dxa"/>
                  <w:tcBorders>
                    <w:top w:val="nil"/>
                    <w:left w:val="nil"/>
                    <w:bottom w:val="nil"/>
                    <w:right w:val="nil"/>
                  </w:tcBorders>
                  <w:tcMar>
                    <w:right w:w="11" w:type="dxa"/>
                  </w:tcMar>
                  <w:vAlign w:val="bottom"/>
                </w:tcPr>
                <w:p w:rsidR="00396CCE" w:rsidRPr="00A530E1" w:rsidRDefault="00396CCE" w:rsidP="00B55EB7">
                  <w:pPr>
                    <w:suppressAutoHyphens w:val="0"/>
                    <w:spacing w:before="40" w:after="40" w:line="220" w:lineRule="exact"/>
                    <w:rPr>
                      <w:sz w:val="14"/>
                      <w:szCs w:val="14"/>
                    </w:rPr>
                  </w:pPr>
                  <w:r w:rsidRPr="00A530E1">
                    <w:rPr>
                      <w:sz w:val="14"/>
                      <w:szCs w:val="14"/>
                    </w:rPr>
                    <w:t>Technical/</w:t>
                  </w:r>
                  <w:r w:rsidRPr="00A530E1">
                    <w:rPr>
                      <w:sz w:val="14"/>
                      <w:szCs w:val="14"/>
                    </w:rPr>
                    <w:br/>
                    <w:t>vocational</w:t>
                  </w:r>
                  <w:r w:rsidRPr="00A530E1">
                    <w:rPr>
                      <w:i/>
                      <w:sz w:val="14"/>
                      <w:szCs w:val="14"/>
                      <w:vertAlign w:val="superscript"/>
                    </w:rPr>
                    <w:t>2</w:t>
                  </w:r>
                </w:p>
              </w:tc>
              <w:tc>
                <w:tcPr>
                  <w:tcW w:w="850" w:type="dxa"/>
                  <w:tcBorders>
                    <w:top w:val="nil"/>
                    <w:left w:val="nil"/>
                    <w:bottom w:val="nil"/>
                    <w:right w:val="nil"/>
                  </w:tcBorders>
                  <w:tcMar>
                    <w:right w:w="11" w:type="dxa"/>
                  </w:tcMar>
                  <w:vAlign w:val="bottom"/>
                </w:tcPr>
                <w:p w:rsidR="00396CCE" w:rsidRPr="00A530E1" w:rsidRDefault="00396CCE" w:rsidP="00B55EB7">
                  <w:pPr>
                    <w:suppressAutoHyphens w:val="0"/>
                    <w:spacing w:before="40" w:after="40" w:line="220" w:lineRule="exact"/>
                    <w:jc w:val="right"/>
                    <w:rPr>
                      <w:b/>
                      <w:sz w:val="14"/>
                      <w:szCs w:val="14"/>
                    </w:rPr>
                  </w:pPr>
                  <w:r w:rsidRPr="00A530E1">
                    <w:rPr>
                      <w:b/>
                      <w:sz w:val="14"/>
                      <w:szCs w:val="14"/>
                    </w:rPr>
                    <w:t>251 667</w:t>
                  </w:r>
                </w:p>
              </w:tc>
              <w:tc>
                <w:tcPr>
                  <w:tcW w:w="851" w:type="dxa"/>
                  <w:tcBorders>
                    <w:top w:val="nil"/>
                    <w:left w:val="nil"/>
                    <w:bottom w:val="nil"/>
                    <w:right w:val="nil"/>
                  </w:tcBorders>
                  <w:tcMar>
                    <w:right w:w="11" w:type="dxa"/>
                  </w:tcMar>
                  <w:vAlign w:val="bottom"/>
                </w:tcPr>
                <w:p w:rsidR="00396CCE" w:rsidRPr="00A530E1" w:rsidRDefault="00396CCE" w:rsidP="00B55EB7">
                  <w:pPr>
                    <w:suppressAutoHyphens w:val="0"/>
                    <w:spacing w:before="40" w:after="40" w:line="220" w:lineRule="exact"/>
                    <w:jc w:val="right"/>
                    <w:rPr>
                      <w:sz w:val="14"/>
                      <w:szCs w:val="14"/>
                    </w:rPr>
                  </w:pPr>
                  <w:r w:rsidRPr="00A530E1">
                    <w:rPr>
                      <w:sz w:val="14"/>
                      <w:szCs w:val="14"/>
                    </w:rPr>
                    <w:t>119 163</w:t>
                  </w:r>
                </w:p>
              </w:tc>
              <w:tc>
                <w:tcPr>
                  <w:tcW w:w="850" w:type="dxa"/>
                  <w:tcBorders>
                    <w:top w:val="nil"/>
                    <w:left w:val="nil"/>
                    <w:bottom w:val="nil"/>
                    <w:right w:val="nil"/>
                  </w:tcBorders>
                  <w:tcMar>
                    <w:right w:w="11" w:type="dxa"/>
                  </w:tcMar>
                  <w:vAlign w:val="bottom"/>
                </w:tcPr>
                <w:p w:rsidR="00396CCE" w:rsidRPr="00A530E1" w:rsidRDefault="00396CCE" w:rsidP="00B55EB7">
                  <w:pPr>
                    <w:suppressAutoHyphens w:val="0"/>
                    <w:spacing w:before="40" w:after="40" w:line="220" w:lineRule="exact"/>
                    <w:jc w:val="right"/>
                    <w:rPr>
                      <w:sz w:val="14"/>
                      <w:szCs w:val="14"/>
                    </w:rPr>
                  </w:pPr>
                  <w:r w:rsidRPr="00A530E1">
                    <w:rPr>
                      <w:sz w:val="14"/>
                      <w:szCs w:val="14"/>
                    </w:rPr>
                    <w:t>132 504</w:t>
                  </w:r>
                </w:p>
              </w:tc>
              <w:tc>
                <w:tcPr>
                  <w:tcW w:w="830" w:type="dxa"/>
                  <w:tcBorders>
                    <w:top w:val="nil"/>
                    <w:left w:val="nil"/>
                    <w:bottom w:val="nil"/>
                    <w:right w:val="nil"/>
                  </w:tcBorders>
                  <w:tcMar>
                    <w:right w:w="11" w:type="dxa"/>
                  </w:tcMar>
                  <w:vAlign w:val="bottom"/>
                </w:tcPr>
                <w:p w:rsidR="00396CCE" w:rsidRPr="00A530E1" w:rsidRDefault="00396CCE" w:rsidP="00B55EB7">
                  <w:pPr>
                    <w:suppressAutoHyphens w:val="0"/>
                    <w:spacing w:before="40" w:after="40" w:line="220" w:lineRule="exact"/>
                    <w:jc w:val="right"/>
                    <w:rPr>
                      <w:sz w:val="14"/>
                      <w:szCs w:val="14"/>
                    </w:rPr>
                  </w:pPr>
                  <w:r w:rsidRPr="00A530E1">
                    <w:rPr>
                      <w:sz w:val="14"/>
                      <w:szCs w:val="14"/>
                    </w:rPr>
                    <w:t>243 757</w:t>
                  </w:r>
                </w:p>
              </w:tc>
              <w:tc>
                <w:tcPr>
                  <w:tcW w:w="729" w:type="dxa"/>
                  <w:tcBorders>
                    <w:top w:val="nil"/>
                    <w:left w:val="nil"/>
                    <w:bottom w:val="nil"/>
                    <w:right w:val="nil"/>
                  </w:tcBorders>
                  <w:tcMar>
                    <w:right w:w="11" w:type="dxa"/>
                  </w:tcMar>
                  <w:vAlign w:val="bottom"/>
                </w:tcPr>
                <w:p w:rsidR="00396CCE" w:rsidRPr="00A530E1" w:rsidRDefault="00396CCE" w:rsidP="00B55EB7">
                  <w:pPr>
                    <w:suppressAutoHyphens w:val="0"/>
                    <w:spacing w:before="40" w:after="40" w:line="220" w:lineRule="exact"/>
                    <w:jc w:val="right"/>
                    <w:rPr>
                      <w:sz w:val="14"/>
                      <w:szCs w:val="14"/>
                    </w:rPr>
                  </w:pPr>
                  <w:r w:rsidRPr="00A530E1">
                    <w:rPr>
                      <w:sz w:val="14"/>
                      <w:szCs w:val="14"/>
                    </w:rPr>
                    <w:t>7 910</w:t>
                  </w:r>
                </w:p>
              </w:tc>
              <w:tc>
                <w:tcPr>
                  <w:tcW w:w="851" w:type="dxa"/>
                  <w:tcBorders>
                    <w:top w:val="nil"/>
                    <w:left w:val="nil"/>
                    <w:bottom w:val="nil"/>
                    <w:right w:val="nil"/>
                  </w:tcBorders>
                  <w:tcMar>
                    <w:right w:w="11" w:type="dxa"/>
                  </w:tcMar>
                  <w:vAlign w:val="bottom"/>
                </w:tcPr>
                <w:p w:rsidR="00396CCE" w:rsidRPr="00A530E1" w:rsidRDefault="00396CCE" w:rsidP="00B55EB7">
                  <w:pPr>
                    <w:suppressAutoHyphens w:val="0"/>
                    <w:spacing w:before="40" w:after="40" w:line="220" w:lineRule="exact"/>
                    <w:jc w:val="right"/>
                    <w:rPr>
                      <w:sz w:val="14"/>
                      <w:szCs w:val="14"/>
                    </w:rPr>
                  </w:pPr>
                  <w:r w:rsidRPr="00A530E1">
                    <w:rPr>
                      <w:sz w:val="14"/>
                      <w:szCs w:val="14"/>
                    </w:rPr>
                    <w:t>95 265</w:t>
                  </w:r>
                </w:p>
              </w:tc>
              <w:tc>
                <w:tcPr>
                  <w:tcW w:w="907" w:type="dxa"/>
                  <w:tcBorders>
                    <w:top w:val="nil"/>
                    <w:left w:val="nil"/>
                    <w:bottom w:val="nil"/>
                    <w:right w:val="nil"/>
                  </w:tcBorders>
                  <w:tcMar>
                    <w:right w:w="11" w:type="dxa"/>
                  </w:tcMar>
                  <w:vAlign w:val="bottom"/>
                </w:tcPr>
                <w:p w:rsidR="00396CCE" w:rsidRPr="00A530E1" w:rsidRDefault="00396CCE" w:rsidP="00B55EB7">
                  <w:pPr>
                    <w:suppressAutoHyphens w:val="0"/>
                    <w:spacing w:before="40" w:after="40" w:line="220" w:lineRule="exact"/>
                    <w:jc w:val="right"/>
                    <w:rPr>
                      <w:sz w:val="14"/>
                      <w:szCs w:val="14"/>
                    </w:rPr>
                  </w:pPr>
                  <w:r w:rsidRPr="00A530E1">
                    <w:rPr>
                      <w:sz w:val="14"/>
                      <w:szCs w:val="14"/>
                    </w:rPr>
                    <w:t>156 402</w:t>
                  </w:r>
                </w:p>
              </w:tc>
            </w:tr>
            <w:tr w:rsidR="00396CCE" w:rsidRPr="00A530E1" w:rsidTr="00B55EB7">
              <w:tc>
                <w:tcPr>
                  <w:tcW w:w="1134" w:type="dxa"/>
                  <w:tcBorders>
                    <w:top w:val="nil"/>
                    <w:left w:val="nil"/>
                    <w:bottom w:val="nil"/>
                    <w:right w:val="nil"/>
                  </w:tcBorders>
                  <w:tcMar>
                    <w:right w:w="11" w:type="dxa"/>
                  </w:tcMar>
                  <w:vAlign w:val="bottom"/>
                </w:tcPr>
                <w:p w:rsidR="00396CCE" w:rsidRPr="00A530E1" w:rsidRDefault="00396CCE" w:rsidP="00B55EB7">
                  <w:pPr>
                    <w:suppressAutoHyphens w:val="0"/>
                    <w:spacing w:before="40" w:after="40" w:line="220" w:lineRule="exact"/>
                    <w:rPr>
                      <w:sz w:val="14"/>
                      <w:szCs w:val="14"/>
                    </w:rPr>
                  </w:pPr>
                  <w:r w:rsidRPr="00A530E1">
                    <w:rPr>
                      <w:sz w:val="14"/>
                      <w:szCs w:val="14"/>
                    </w:rPr>
                    <w:t>Non-university higher education</w:t>
                  </w:r>
                </w:p>
              </w:tc>
              <w:tc>
                <w:tcPr>
                  <w:tcW w:w="850" w:type="dxa"/>
                  <w:tcBorders>
                    <w:top w:val="nil"/>
                    <w:left w:val="nil"/>
                    <w:bottom w:val="nil"/>
                    <w:right w:val="nil"/>
                  </w:tcBorders>
                  <w:tcMar>
                    <w:right w:w="11" w:type="dxa"/>
                  </w:tcMar>
                  <w:vAlign w:val="bottom"/>
                </w:tcPr>
                <w:p w:rsidR="00396CCE" w:rsidRPr="00A530E1" w:rsidRDefault="00396CCE" w:rsidP="00B55EB7">
                  <w:pPr>
                    <w:suppressAutoHyphens w:val="0"/>
                    <w:spacing w:before="40" w:after="40" w:line="220" w:lineRule="exact"/>
                    <w:jc w:val="right"/>
                    <w:rPr>
                      <w:b/>
                      <w:sz w:val="14"/>
                      <w:szCs w:val="14"/>
                    </w:rPr>
                  </w:pPr>
                  <w:r w:rsidRPr="00A530E1">
                    <w:rPr>
                      <w:b/>
                      <w:sz w:val="14"/>
                      <w:szCs w:val="14"/>
                    </w:rPr>
                    <w:t>361 278</w:t>
                  </w:r>
                </w:p>
              </w:tc>
              <w:tc>
                <w:tcPr>
                  <w:tcW w:w="851" w:type="dxa"/>
                  <w:tcBorders>
                    <w:top w:val="nil"/>
                    <w:left w:val="nil"/>
                    <w:bottom w:val="nil"/>
                    <w:right w:val="nil"/>
                  </w:tcBorders>
                  <w:tcMar>
                    <w:right w:w="11" w:type="dxa"/>
                  </w:tcMar>
                  <w:vAlign w:val="bottom"/>
                </w:tcPr>
                <w:p w:rsidR="00396CCE" w:rsidRPr="00A530E1" w:rsidRDefault="00396CCE" w:rsidP="00B55EB7">
                  <w:pPr>
                    <w:suppressAutoHyphens w:val="0"/>
                    <w:spacing w:before="40" w:after="40" w:line="220" w:lineRule="exact"/>
                    <w:jc w:val="right"/>
                    <w:rPr>
                      <w:sz w:val="14"/>
                      <w:szCs w:val="14"/>
                    </w:rPr>
                  </w:pPr>
                  <w:r w:rsidRPr="00A530E1">
                    <w:rPr>
                      <w:sz w:val="14"/>
                      <w:szCs w:val="14"/>
                    </w:rPr>
                    <w:t>125 704</w:t>
                  </w:r>
                </w:p>
              </w:tc>
              <w:tc>
                <w:tcPr>
                  <w:tcW w:w="850" w:type="dxa"/>
                  <w:tcBorders>
                    <w:top w:val="nil"/>
                    <w:left w:val="nil"/>
                    <w:bottom w:val="nil"/>
                    <w:right w:val="nil"/>
                  </w:tcBorders>
                  <w:tcMar>
                    <w:right w:w="11" w:type="dxa"/>
                  </w:tcMar>
                  <w:vAlign w:val="bottom"/>
                </w:tcPr>
                <w:p w:rsidR="00396CCE" w:rsidRPr="00A530E1" w:rsidRDefault="00396CCE" w:rsidP="00B55EB7">
                  <w:pPr>
                    <w:suppressAutoHyphens w:val="0"/>
                    <w:spacing w:before="40" w:after="40" w:line="220" w:lineRule="exact"/>
                    <w:jc w:val="right"/>
                    <w:rPr>
                      <w:sz w:val="14"/>
                      <w:szCs w:val="14"/>
                    </w:rPr>
                  </w:pPr>
                  <w:r w:rsidRPr="00A530E1">
                    <w:rPr>
                      <w:sz w:val="14"/>
                      <w:szCs w:val="14"/>
                    </w:rPr>
                    <w:t>235 574</w:t>
                  </w:r>
                </w:p>
              </w:tc>
              <w:tc>
                <w:tcPr>
                  <w:tcW w:w="830" w:type="dxa"/>
                  <w:tcBorders>
                    <w:top w:val="nil"/>
                    <w:left w:val="nil"/>
                    <w:bottom w:val="nil"/>
                    <w:right w:val="nil"/>
                  </w:tcBorders>
                  <w:tcMar>
                    <w:right w:w="11" w:type="dxa"/>
                  </w:tcMar>
                  <w:vAlign w:val="bottom"/>
                </w:tcPr>
                <w:p w:rsidR="00396CCE" w:rsidRPr="00A530E1" w:rsidRDefault="00396CCE" w:rsidP="00B55EB7">
                  <w:pPr>
                    <w:suppressAutoHyphens w:val="0"/>
                    <w:spacing w:before="40" w:after="40" w:line="220" w:lineRule="exact"/>
                    <w:jc w:val="right"/>
                    <w:rPr>
                      <w:sz w:val="14"/>
                      <w:szCs w:val="14"/>
                    </w:rPr>
                  </w:pPr>
                  <w:r w:rsidRPr="00A530E1">
                    <w:rPr>
                      <w:sz w:val="14"/>
                      <w:szCs w:val="14"/>
                    </w:rPr>
                    <w:t>343 052</w:t>
                  </w:r>
                </w:p>
              </w:tc>
              <w:tc>
                <w:tcPr>
                  <w:tcW w:w="729" w:type="dxa"/>
                  <w:tcBorders>
                    <w:top w:val="nil"/>
                    <w:left w:val="nil"/>
                    <w:bottom w:val="nil"/>
                    <w:right w:val="nil"/>
                  </w:tcBorders>
                  <w:tcMar>
                    <w:right w:w="11" w:type="dxa"/>
                  </w:tcMar>
                  <w:vAlign w:val="bottom"/>
                </w:tcPr>
                <w:p w:rsidR="00396CCE" w:rsidRPr="00A530E1" w:rsidRDefault="00396CCE" w:rsidP="00B55EB7">
                  <w:pPr>
                    <w:suppressAutoHyphens w:val="0"/>
                    <w:spacing w:before="40" w:after="40" w:line="220" w:lineRule="exact"/>
                    <w:jc w:val="right"/>
                    <w:rPr>
                      <w:sz w:val="14"/>
                      <w:szCs w:val="14"/>
                    </w:rPr>
                  </w:pPr>
                  <w:r w:rsidRPr="00A530E1">
                    <w:rPr>
                      <w:sz w:val="14"/>
                      <w:szCs w:val="14"/>
                    </w:rPr>
                    <w:t>18 226</w:t>
                  </w:r>
                </w:p>
              </w:tc>
              <w:tc>
                <w:tcPr>
                  <w:tcW w:w="851" w:type="dxa"/>
                  <w:tcBorders>
                    <w:top w:val="nil"/>
                    <w:left w:val="nil"/>
                    <w:bottom w:val="nil"/>
                    <w:right w:val="nil"/>
                  </w:tcBorders>
                  <w:tcMar>
                    <w:right w:w="11" w:type="dxa"/>
                  </w:tcMar>
                  <w:vAlign w:val="bottom"/>
                </w:tcPr>
                <w:p w:rsidR="00396CCE" w:rsidRPr="00A530E1" w:rsidRDefault="00396CCE" w:rsidP="00B55EB7">
                  <w:pPr>
                    <w:suppressAutoHyphens w:val="0"/>
                    <w:spacing w:before="40" w:after="40" w:line="220" w:lineRule="exact"/>
                    <w:jc w:val="right"/>
                    <w:rPr>
                      <w:sz w:val="14"/>
                      <w:szCs w:val="14"/>
                    </w:rPr>
                  </w:pPr>
                  <w:r w:rsidRPr="00A530E1">
                    <w:rPr>
                      <w:sz w:val="14"/>
                      <w:szCs w:val="14"/>
                    </w:rPr>
                    <w:t>157 153</w:t>
                  </w:r>
                </w:p>
              </w:tc>
              <w:tc>
                <w:tcPr>
                  <w:tcW w:w="907" w:type="dxa"/>
                  <w:tcBorders>
                    <w:top w:val="nil"/>
                    <w:left w:val="nil"/>
                    <w:bottom w:val="nil"/>
                    <w:right w:val="nil"/>
                  </w:tcBorders>
                  <w:tcMar>
                    <w:right w:w="11" w:type="dxa"/>
                  </w:tcMar>
                  <w:vAlign w:val="bottom"/>
                </w:tcPr>
                <w:p w:rsidR="00396CCE" w:rsidRPr="00A530E1" w:rsidRDefault="00396CCE" w:rsidP="00B55EB7">
                  <w:pPr>
                    <w:suppressAutoHyphens w:val="0"/>
                    <w:spacing w:before="40" w:after="40" w:line="220" w:lineRule="exact"/>
                    <w:jc w:val="right"/>
                    <w:rPr>
                      <w:sz w:val="14"/>
                      <w:szCs w:val="14"/>
                    </w:rPr>
                  </w:pPr>
                  <w:r w:rsidRPr="00A530E1">
                    <w:rPr>
                      <w:sz w:val="14"/>
                      <w:szCs w:val="14"/>
                    </w:rPr>
                    <w:t>204 125</w:t>
                  </w:r>
                </w:p>
              </w:tc>
            </w:tr>
            <w:tr w:rsidR="00396CCE" w:rsidRPr="00A530E1" w:rsidTr="00B55EB7">
              <w:tc>
                <w:tcPr>
                  <w:tcW w:w="1134" w:type="dxa"/>
                  <w:tcBorders>
                    <w:top w:val="nil"/>
                    <w:left w:val="nil"/>
                    <w:bottom w:val="nil"/>
                    <w:right w:val="nil"/>
                  </w:tcBorders>
                  <w:tcMar>
                    <w:right w:w="11" w:type="dxa"/>
                  </w:tcMar>
                  <w:vAlign w:val="bottom"/>
                </w:tcPr>
                <w:p w:rsidR="00396CCE" w:rsidRPr="00A530E1" w:rsidRDefault="00396CCE" w:rsidP="00B55EB7">
                  <w:pPr>
                    <w:suppressAutoHyphens w:val="0"/>
                    <w:spacing w:before="40" w:after="40" w:line="220" w:lineRule="exact"/>
                    <w:rPr>
                      <w:sz w:val="14"/>
                      <w:szCs w:val="14"/>
                    </w:rPr>
                  </w:pPr>
                  <w:r w:rsidRPr="00A530E1">
                    <w:rPr>
                      <w:sz w:val="14"/>
                      <w:szCs w:val="14"/>
                    </w:rPr>
                    <w:t>Teacher training</w:t>
                  </w:r>
                </w:p>
              </w:tc>
              <w:tc>
                <w:tcPr>
                  <w:tcW w:w="850" w:type="dxa"/>
                  <w:tcBorders>
                    <w:top w:val="nil"/>
                    <w:left w:val="nil"/>
                    <w:bottom w:val="nil"/>
                    <w:right w:val="nil"/>
                  </w:tcBorders>
                  <w:tcMar>
                    <w:right w:w="11" w:type="dxa"/>
                  </w:tcMar>
                  <w:vAlign w:val="bottom"/>
                </w:tcPr>
                <w:p w:rsidR="00396CCE" w:rsidRPr="00A530E1" w:rsidRDefault="00396CCE" w:rsidP="00B55EB7">
                  <w:pPr>
                    <w:suppressAutoHyphens w:val="0"/>
                    <w:spacing w:before="40" w:after="40" w:line="220" w:lineRule="exact"/>
                    <w:jc w:val="right"/>
                    <w:rPr>
                      <w:b/>
                      <w:sz w:val="14"/>
                      <w:szCs w:val="14"/>
                    </w:rPr>
                  </w:pPr>
                  <w:r w:rsidRPr="00A530E1">
                    <w:rPr>
                      <w:b/>
                      <w:sz w:val="14"/>
                      <w:szCs w:val="14"/>
                    </w:rPr>
                    <w:t>33 751</w:t>
                  </w:r>
                </w:p>
              </w:tc>
              <w:tc>
                <w:tcPr>
                  <w:tcW w:w="851" w:type="dxa"/>
                  <w:tcBorders>
                    <w:top w:val="nil"/>
                    <w:left w:val="nil"/>
                    <w:bottom w:val="nil"/>
                    <w:right w:val="nil"/>
                  </w:tcBorders>
                  <w:tcMar>
                    <w:right w:w="11" w:type="dxa"/>
                  </w:tcMar>
                  <w:vAlign w:val="bottom"/>
                </w:tcPr>
                <w:p w:rsidR="00396CCE" w:rsidRPr="00A530E1" w:rsidRDefault="00396CCE" w:rsidP="00B55EB7">
                  <w:pPr>
                    <w:suppressAutoHyphens w:val="0"/>
                    <w:spacing w:before="40" w:after="40" w:line="220" w:lineRule="exact"/>
                    <w:jc w:val="right"/>
                    <w:rPr>
                      <w:sz w:val="14"/>
                      <w:szCs w:val="14"/>
                    </w:rPr>
                  </w:pPr>
                  <w:r w:rsidRPr="00A530E1">
                    <w:rPr>
                      <w:sz w:val="14"/>
                      <w:szCs w:val="14"/>
                    </w:rPr>
                    <w:t>18 141</w:t>
                  </w:r>
                </w:p>
              </w:tc>
              <w:tc>
                <w:tcPr>
                  <w:tcW w:w="850" w:type="dxa"/>
                  <w:tcBorders>
                    <w:top w:val="nil"/>
                    <w:left w:val="nil"/>
                    <w:bottom w:val="nil"/>
                    <w:right w:val="nil"/>
                  </w:tcBorders>
                  <w:tcMar>
                    <w:right w:w="11" w:type="dxa"/>
                  </w:tcMar>
                  <w:vAlign w:val="bottom"/>
                </w:tcPr>
                <w:p w:rsidR="00396CCE" w:rsidRPr="00A530E1" w:rsidRDefault="00396CCE" w:rsidP="00B55EB7">
                  <w:pPr>
                    <w:suppressAutoHyphens w:val="0"/>
                    <w:spacing w:before="40" w:after="40" w:line="220" w:lineRule="exact"/>
                    <w:jc w:val="right"/>
                    <w:rPr>
                      <w:sz w:val="14"/>
                      <w:szCs w:val="14"/>
                    </w:rPr>
                  </w:pPr>
                  <w:r w:rsidRPr="00A530E1">
                    <w:rPr>
                      <w:sz w:val="14"/>
                      <w:szCs w:val="14"/>
                    </w:rPr>
                    <w:t>15 610</w:t>
                  </w:r>
                </w:p>
              </w:tc>
              <w:tc>
                <w:tcPr>
                  <w:tcW w:w="830" w:type="dxa"/>
                  <w:tcBorders>
                    <w:top w:val="nil"/>
                    <w:left w:val="nil"/>
                    <w:bottom w:val="nil"/>
                    <w:right w:val="nil"/>
                  </w:tcBorders>
                  <w:tcMar>
                    <w:right w:w="11" w:type="dxa"/>
                  </w:tcMar>
                  <w:vAlign w:val="bottom"/>
                </w:tcPr>
                <w:p w:rsidR="00396CCE" w:rsidRPr="00A530E1" w:rsidRDefault="00396CCE" w:rsidP="00B55EB7">
                  <w:pPr>
                    <w:suppressAutoHyphens w:val="0"/>
                    <w:spacing w:before="40" w:after="40" w:line="220" w:lineRule="exact"/>
                    <w:jc w:val="right"/>
                    <w:rPr>
                      <w:sz w:val="14"/>
                      <w:szCs w:val="14"/>
                    </w:rPr>
                  </w:pPr>
                  <w:r w:rsidRPr="00A530E1">
                    <w:rPr>
                      <w:sz w:val="14"/>
                      <w:szCs w:val="14"/>
                    </w:rPr>
                    <w:t>30 543</w:t>
                  </w:r>
                </w:p>
              </w:tc>
              <w:tc>
                <w:tcPr>
                  <w:tcW w:w="729" w:type="dxa"/>
                  <w:tcBorders>
                    <w:top w:val="nil"/>
                    <w:left w:val="nil"/>
                    <w:bottom w:val="nil"/>
                    <w:right w:val="nil"/>
                  </w:tcBorders>
                  <w:tcMar>
                    <w:right w:w="11" w:type="dxa"/>
                  </w:tcMar>
                  <w:vAlign w:val="bottom"/>
                </w:tcPr>
                <w:p w:rsidR="00396CCE" w:rsidRPr="00A530E1" w:rsidRDefault="00396CCE" w:rsidP="00B55EB7">
                  <w:pPr>
                    <w:suppressAutoHyphens w:val="0"/>
                    <w:spacing w:before="40" w:after="40" w:line="220" w:lineRule="exact"/>
                    <w:jc w:val="right"/>
                    <w:rPr>
                      <w:sz w:val="14"/>
                      <w:szCs w:val="14"/>
                    </w:rPr>
                  </w:pPr>
                  <w:r w:rsidRPr="00A530E1">
                    <w:rPr>
                      <w:sz w:val="14"/>
                      <w:szCs w:val="14"/>
                    </w:rPr>
                    <w:t>3 208</w:t>
                  </w:r>
                </w:p>
              </w:tc>
              <w:tc>
                <w:tcPr>
                  <w:tcW w:w="851" w:type="dxa"/>
                  <w:tcBorders>
                    <w:top w:val="nil"/>
                    <w:left w:val="nil"/>
                    <w:bottom w:val="nil"/>
                    <w:right w:val="nil"/>
                  </w:tcBorders>
                  <w:tcMar>
                    <w:right w:w="11" w:type="dxa"/>
                  </w:tcMar>
                  <w:vAlign w:val="bottom"/>
                </w:tcPr>
                <w:p w:rsidR="00396CCE" w:rsidRPr="00A530E1" w:rsidRDefault="00396CCE" w:rsidP="00B55EB7">
                  <w:pPr>
                    <w:suppressAutoHyphens w:val="0"/>
                    <w:spacing w:before="40" w:after="40" w:line="220" w:lineRule="exact"/>
                    <w:jc w:val="right"/>
                    <w:rPr>
                      <w:sz w:val="14"/>
                      <w:szCs w:val="14"/>
                    </w:rPr>
                  </w:pPr>
                  <w:r w:rsidRPr="00A530E1">
                    <w:rPr>
                      <w:sz w:val="14"/>
                      <w:szCs w:val="14"/>
                    </w:rPr>
                    <w:t>11 673</w:t>
                  </w:r>
                </w:p>
              </w:tc>
              <w:tc>
                <w:tcPr>
                  <w:tcW w:w="907" w:type="dxa"/>
                  <w:tcBorders>
                    <w:top w:val="nil"/>
                    <w:left w:val="nil"/>
                    <w:bottom w:val="nil"/>
                    <w:right w:val="nil"/>
                  </w:tcBorders>
                  <w:tcMar>
                    <w:right w:w="11" w:type="dxa"/>
                  </w:tcMar>
                  <w:vAlign w:val="bottom"/>
                </w:tcPr>
                <w:p w:rsidR="00396CCE" w:rsidRPr="00A530E1" w:rsidRDefault="00396CCE" w:rsidP="00B55EB7">
                  <w:pPr>
                    <w:suppressAutoHyphens w:val="0"/>
                    <w:spacing w:before="40" w:after="40" w:line="220" w:lineRule="exact"/>
                    <w:jc w:val="right"/>
                    <w:rPr>
                      <w:sz w:val="14"/>
                      <w:szCs w:val="14"/>
                    </w:rPr>
                  </w:pPr>
                  <w:r w:rsidRPr="00A530E1">
                    <w:rPr>
                      <w:sz w:val="14"/>
                      <w:szCs w:val="14"/>
                    </w:rPr>
                    <w:t>22 078</w:t>
                  </w:r>
                </w:p>
              </w:tc>
            </w:tr>
            <w:tr w:rsidR="00396CCE" w:rsidRPr="00A530E1" w:rsidTr="00B55EB7">
              <w:tc>
                <w:tcPr>
                  <w:tcW w:w="1134" w:type="dxa"/>
                  <w:tcBorders>
                    <w:top w:val="nil"/>
                    <w:left w:val="nil"/>
                    <w:bottom w:val="nil"/>
                    <w:right w:val="nil"/>
                  </w:tcBorders>
                  <w:tcMar>
                    <w:right w:w="11" w:type="dxa"/>
                  </w:tcMar>
                  <w:vAlign w:val="bottom"/>
                </w:tcPr>
                <w:p w:rsidR="00396CCE" w:rsidRPr="00A530E1" w:rsidRDefault="00396CCE" w:rsidP="00B55EB7">
                  <w:pPr>
                    <w:suppressAutoHyphens w:val="0"/>
                    <w:spacing w:before="40" w:after="40" w:line="220" w:lineRule="exact"/>
                    <w:rPr>
                      <w:sz w:val="14"/>
                      <w:szCs w:val="14"/>
                    </w:rPr>
                  </w:pPr>
                  <w:r w:rsidRPr="00A530E1">
                    <w:rPr>
                      <w:sz w:val="14"/>
                      <w:szCs w:val="14"/>
                    </w:rPr>
                    <w:t>Technological</w:t>
                  </w:r>
                </w:p>
              </w:tc>
              <w:tc>
                <w:tcPr>
                  <w:tcW w:w="850" w:type="dxa"/>
                  <w:tcBorders>
                    <w:top w:val="nil"/>
                    <w:left w:val="nil"/>
                    <w:bottom w:val="nil"/>
                    <w:right w:val="nil"/>
                  </w:tcBorders>
                  <w:tcMar>
                    <w:right w:w="11" w:type="dxa"/>
                  </w:tcMar>
                  <w:vAlign w:val="bottom"/>
                </w:tcPr>
                <w:p w:rsidR="00396CCE" w:rsidRPr="00A530E1" w:rsidRDefault="00396CCE" w:rsidP="00B55EB7">
                  <w:pPr>
                    <w:suppressAutoHyphens w:val="0"/>
                    <w:spacing w:before="40" w:after="40" w:line="220" w:lineRule="exact"/>
                    <w:jc w:val="right"/>
                    <w:rPr>
                      <w:b/>
                      <w:sz w:val="14"/>
                      <w:szCs w:val="14"/>
                    </w:rPr>
                  </w:pPr>
                  <w:r w:rsidRPr="00A530E1">
                    <w:rPr>
                      <w:b/>
                      <w:sz w:val="14"/>
                      <w:szCs w:val="14"/>
                    </w:rPr>
                    <w:t>321 747</w:t>
                  </w:r>
                </w:p>
              </w:tc>
              <w:tc>
                <w:tcPr>
                  <w:tcW w:w="851" w:type="dxa"/>
                  <w:tcBorders>
                    <w:top w:val="nil"/>
                    <w:left w:val="nil"/>
                    <w:bottom w:val="nil"/>
                    <w:right w:val="nil"/>
                  </w:tcBorders>
                  <w:tcMar>
                    <w:right w:w="11" w:type="dxa"/>
                  </w:tcMar>
                  <w:vAlign w:val="bottom"/>
                </w:tcPr>
                <w:p w:rsidR="00396CCE" w:rsidRPr="00A530E1" w:rsidRDefault="00396CCE" w:rsidP="00B55EB7">
                  <w:pPr>
                    <w:suppressAutoHyphens w:val="0"/>
                    <w:spacing w:before="40" w:after="40" w:line="220" w:lineRule="exact"/>
                    <w:jc w:val="right"/>
                    <w:rPr>
                      <w:sz w:val="14"/>
                      <w:szCs w:val="14"/>
                    </w:rPr>
                  </w:pPr>
                  <w:r w:rsidRPr="00A530E1">
                    <w:rPr>
                      <w:sz w:val="14"/>
                      <w:szCs w:val="14"/>
                    </w:rPr>
                    <w:t>102 234</w:t>
                  </w:r>
                </w:p>
              </w:tc>
              <w:tc>
                <w:tcPr>
                  <w:tcW w:w="850" w:type="dxa"/>
                  <w:tcBorders>
                    <w:top w:val="nil"/>
                    <w:left w:val="nil"/>
                    <w:bottom w:val="nil"/>
                    <w:right w:val="nil"/>
                  </w:tcBorders>
                  <w:tcMar>
                    <w:right w:w="11" w:type="dxa"/>
                  </w:tcMar>
                  <w:vAlign w:val="bottom"/>
                </w:tcPr>
                <w:p w:rsidR="00396CCE" w:rsidRPr="00A530E1" w:rsidRDefault="00396CCE" w:rsidP="00B55EB7">
                  <w:pPr>
                    <w:suppressAutoHyphens w:val="0"/>
                    <w:spacing w:before="40" w:after="40" w:line="220" w:lineRule="exact"/>
                    <w:jc w:val="right"/>
                    <w:rPr>
                      <w:sz w:val="14"/>
                      <w:szCs w:val="14"/>
                    </w:rPr>
                  </w:pPr>
                  <w:r w:rsidRPr="00A530E1">
                    <w:rPr>
                      <w:sz w:val="14"/>
                      <w:szCs w:val="14"/>
                    </w:rPr>
                    <w:t>219 513</w:t>
                  </w:r>
                </w:p>
              </w:tc>
              <w:tc>
                <w:tcPr>
                  <w:tcW w:w="830" w:type="dxa"/>
                  <w:tcBorders>
                    <w:top w:val="nil"/>
                    <w:left w:val="nil"/>
                    <w:bottom w:val="nil"/>
                    <w:right w:val="nil"/>
                  </w:tcBorders>
                  <w:tcMar>
                    <w:right w:w="11" w:type="dxa"/>
                  </w:tcMar>
                  <w:vAlign w:val="bottom"/>
                </w:tcPr>
                <w:p w:rsidR="00396CCE" w:rsidRPr="00A530E1" w:rsidRDefault="00396CCE" w:rsidP="00B55EB7">
                  <w:pPr>
                    <w:suppressAutoHyphens w:val="0"/>
                    <w:spacing w:before="40" w:after="40" w:line="220" w:lineRule="exact"/>
                    <w:jc w:val="right"/>
                    <w:rPr>
                      <w:sz w:val="14"/>
                      <w:szCs w:val="14"/>
                    </w:rPr>
                  </w:pPr>
                  <w:r w:rsidRPr="00A530E1">
                    <w:rPr>
                      <w:sz w:val="14"/>
                      <w:szCs w:val="14"/>
                    </w:rPr>
                    <w:t>306 964</w:t>
                  </w:r>
                </w:p>
              </w:tc>
              <w:tc>
                <w:tcPr>
                  <w:tcW w:w="729" w:type="dxa"/>
                  <w:tcBorders>
                    <w:top w:val="nil"/>
                    <w:left w:val="nil"/>
                    <w:bottom w:val="nil"/>
                    <w:right w:val="nil"/>
                  </w:tcBorders>
                  <w:tcMar>
                    <w:right w:w="11" w:type="dxa"/>
                  </w:tcMar>
                  <w:vAlign w:val="bottom"/>
                </w:tcPr>
                <w:p w:rsidR="00396CCE" w:rsidRPr="00A530E1" w:rsidRDefault="00396CCE" w:rsidP="00B55EB7">
                  <w:pPr>
                    <w:suppressAutoHyphens w:val="0"/>
                    <w:spacing w:before="40" w:after="40" w:line="220" w:lineRule="exact"/>
                    <w:jc w:val="right"/>
                    <w:rPr>
                      <w:sz w:val="14"/>
                      <w:szCs w:val="14"/>
                    </w:rPr>
                  </w:pPr>
                  <w:r w:rsidRPr="00A530E1">
                    <w:rPr>
                      <w:sz w:val="14"/>
                      <w:szCs w:val="14"/>
                    </w:rPr>
                    <w:t>14 783</w:t>
                  </w:r>
                </w:p>
              </w:tc>
              <w:tc>
                <w:tcPr>
                  <w:tcW w:w="851" w:type="dxa"/>
                  <w:tcBorders>
                    <w:top w:val="nil"/>
                    <w:left w:val="nil"/>
                    <w:bottom w:val="nil"/>
                    <w:right w:val="nil"/>
                  </w:tcBorders>
                  <w:tcMar>
                    <w:right w:w="11" w:type="dxa"/>
                  </w:tcMar>
                  <w:vAlign w:val="bottom"/>
                </w:tcPr>
                <w:p w:rsidR="00396CCE" w:rsidRPr="00A530E1" w:rsidRDefault="00396CCE" w:rsidP="00B55EB7">
                  <w:pPr>
                    <w:suppressAutoHyphens w:val="0"/>
                    <w:spacing w:before="40" w:after="40" w:line="220" w:lineRule="exact"/>
                    <w:jc w:val="right"/>
                    <w:rPr>
                      <w:sz w:val="14"/>
                      <w:szCs w:val="14"/>
                    </w:rPr>
                  </w:pPr>
                  <w:r w:rsidRPr="00A530E1">
                    <w:rPr>
                      <w:sz w:val="14"/>
                      <w:szCs w:val="14"/>
                    </w:rPr>
                    <w:t>141 659</w:t>
                  </w:r>
                </w:p>
              </w:tc>
              <w:tc>
                <w:tcPr>
                  <w:tcW w:w="907" w:type="dxa"/>
                  <w:tcBorders>
                    <w:top w:val="nil"/>
                    <w:left w:val="nil"/>
                    <w:bottom w:val="nil"/>
                    <w:right w:val="nil"/>
                  </w:tcBorders>
                  <w:tcMar>
                    <w:right w:w="11" w:type="dxa"/>
                  </w:tcMar>
                  <w:vAlign w:val="bottom"/>
                </w:tcPr>
                <w:p w:rsidR="00396CCE" w:rsidRPr="00A530E1" w:rsidRDefault="00396CCE" w:rsidP="00B55EB7">
                  <w:pPr>
                    <w:suppressAutoHyphens w:val="0"/>
                    <w:spacing w:before="40" w:after="40" w:line="220" w:lineRule="exact"/>
                    <w:jc w:val="right"/>
                    <w:rPr>
                      <w:sz w:val="14"/>
                      <w:szCs w:val="14"/>
                    </w:rPr>
                  </w:pPr>
                  <w:r w:rsidRPr="00A530E1">
                    <w:rPr>
                      <w:sz w:val="14"/>
                      <w:szCs w:val="14"/>
                    </w:rPr>
                    <w:t>180 088</w:t>
                  </w:r>
                </w:p>
              </w:tc>
            </w:tr>
            <w:tr w:rsidR="00396CCE" w:rsidRPr="00A530E1" w:rsidTr="00B55EB7">
              <w:tc>
                <w:tcPr>
                  <w:tcW w:w="1134" w:type="dxa"/>
                  <w:tcBorders>
                    <w:top w:val="nil"/>
                    <w:left w:val="nil"/>
                    <w:bottom w:val="single" w:sz="4" w:space="0" w:color="auto"/>
                    <w:right w:val="nil"/>
                  </w:tcBorders>
                  <w:tcMar>
                    <w:right w:w="11" w:type="dxa"/>
                  </w:tcMar>
                  <w:vAlign w:val="bottom"/>
                </w:tcPr>
                <w:p w:rsidR="00396CCE" w:rsidRPr="00A530E1" w:rsidRDefault="00396CCE" w:rsidP="00B55EB7">
                  <w:pPr>
                    <w:suppressAutoHyphens w:val="0"/>
                    <w:spacing w:before="40" w:after="40" w:line="220" w:lineRule="exact"/>
                    <w:rPr>
                      <w:sz w:val="14"/>
                      <w:szCs w:val="14"/>
                    </w:rPr>
                  </w:pPr>
                  <w:r w:rsidRPr="00A530E1">
                    <w:rPr>
                      <w:sz w:val="14"/>
                      <w:szCs w:val="14"/>
                    </w:rPr>
                    <w:t>Artistic</w:t>
                  </w:r>
                </w:p>
              </w:tc>
              <w:tc>
                <w:tcPr>
                  <w:tcW w:w="850" w:type="dxa"/>
                  <w:tcBorders>
                    <w:top w:val="nil"/>
                    <w:left w:val="nil"/>
                    <w:bottom w:val="single" w:sz="4" w:space="0" w:color="auto"/>
                    <w:right w:val="nil"/>
                  </w:tcBorders>
                  <w:tcMar>
                    <w:right w:w="11" w:type="dxa"/>
                  </w:tcMar>
                  <w:vAlign w:val="bottom"/>
                </w:tcPr>
                <w:p w:rsidR="00396CCE" w:rsidRPr="00A530E1" w:rsidRDefault="00396CCE" w:rsidP="00B55EB7">
                  <w:pPr>
                    <w:suppressAutoHyphens w:val="0"/>
                    <w:spacing w:before="40" w:after="40" w:line="220" w:lineRule="exact"/>
                    <w:jc w:val="right"/>
                    <w:rPr>
                      <w:b/>
                      <w:sz w:val="14"/>
                      <w:szCs w:val="14"/>
                    </w:rPr>
                  </w:pPr>
                  <w:r w:rsidRPr="00A530E1">
                    <w:rPr>
                      <w:b/>
                      <w:sz w:val="14"/>
                      <w:szCs w:val="14"/>
                    </w:rPr>
                    <w:t>5 780</w:t>
                  </w:r>
                </w:p>
              </w:tc>
              <w:tc>
                <w:tcPr>
                  <w:tcW w:w="851" w:type="dxa"/>
                  <w:tcBorders>
                    <w:top w:val="nil"/>
                    <w:left w:val="nil"/>
                    <w:bottom w:val="single" w:sz="4" w:space="0" w:color="auto"/>
                    <w:right w:val="nil"/>
                  </w:tcBorders>
                  <w:tcMar>
                    <w:right w:w="11" w:type="dxa"/>
                  </w:tcMar>
                  <w:vAlign w:val="bottom"/>
                </w:tcPr>
                <w:p w:rsidR="00396CCE" w:rsidRPr="00A530E1" w:rsidRDefault="00396CCE" w:rsidP="00B55EB7">
                  <w:pPr>
                    <w:suppressAutoHyphens w:val="0"/>
                    <w:spacing w:before="40" w:after="40" w:line="220" w:lineRule="exact"/>
                    <w:jc w:val="right"/>
                    <w:rPr>
                      <w:sz w:val="14"/>
                      <w:szCs w:val="14"/>
                    </w:rPr>
                  </w:pPr>
                  <w:r w:rsidRPr="00A530E1">
                    <w:rPr>
                      <w:sz w:val="14"/>
                      <w:szCs w:val="14"/>
                    </w:rPr>
                    <w:t>5329</w:t>
                  </w:r>
                </w:p>
              </w:tc>
              <w:tc>
                <w:tcPr>
                  <w:tcW w:w="850" w:type="dxa"/>
                  <w:tcBorders>
                    <w:top w:val="nil"/>
                    <w:left w:val="nil"/>
                    <w:bottom w:val="single" w:sz="4" w:space="0" w:color="auto"/>
                    <w:right w:val="nil"/>
                  </w:tcBorders>
                  <w:tcMar>
                    <w:right w:w="11" w:type="dxa"/>
                  </w:tcMar>
                  <w:vAlign w:val="bottom"/>
                </w:tcPr>
                <w:p w:rsidR="00396CCE" w:rsidRPr="00A530E1" w:rsidRDefault="00396CCE" w:rsidP="00B55EB7">
                  <w:pPr>
                    <w:suppressAutoHyphens w:val="0"/>
                    <w:spacing w:before="40" w:after="40" w:line="220" w:lineRule="exact"/>
                    <w:jc w:val="right"/>
                    <w:rPr>
                      <w:sz w:val="14"/>
                      <w:szCs w:val="14"/>
                    </w:rPr>
                  </w:pPr>
                  <w:r w:rsidRPr="00A530E1">
                    <w:rPr>
                      <w:sz w:val="14"/>
                      <w:szCs w:val="14"/>
                    </w:rPr>
                    <w:t>451</w:t>
                  </w:r>
                </w:p>
              </w:tc>
              <w:tc>
                <w:tcPr>
                  <w:tcW w:w="830" w:type="dxa"/>
                  <w:tcBorders>
                    <w:top w:val="nil"/>
                    <w:left w:val="nil"/>
                    <w:bottom w:val="single" w:sz="4" w:space="0" w:color="auto"/>
                    <w:right w:val="nil"/>
                  </w:tcBorders>
                  <w:tcMar>
                    <w:right w:w="11" w:type="dxa"/>
                  </w:tcMar>
                  <w:vAlign w:val="bottom"/>
                </w:tcPr>
                <w:p w:rsidR="00396CCE" w:rsidRPr="00A530E1" w:rsidRDefault="00396CCE" w:rsidP="00B55EB7">
                  <w:pPr>
                    <w:suppressAutoHyphens w:val="0"/>
                    <w:spacing w:before="40" w:after="40" w:line="220" w:lineRule="exact"/>
                    <w:jc w:val="right"/>
                    <w:rPr>
                      <w:sz w:val="14"/>
                      <w:szCs w:val="14"/>
                    </w:rPr>
                  </w:pPr>
                  <w:r w:rsidRPr="00A530E1">
                    <w:rPr>
                      <w:sz w:val="14"/>
                      <w:szCs w:val="14"/>
                    </w:rPr>
                    <w:t>5 545</w:t>
                  </w:r>
                </w:p>
              </w:tc>
              <w:tc>
                <w:tcPr>
                  <w:tcW w:w="729" w:type="dxa"/>
                  <w:tcBorders>
                    <w:top w:val="nil"/>
                    <w:left w:val="nil"/>
                    <w:bottom w:val="single" w:sz="4" w:space="0" w:color="auto"/>
                    <w:right w:val="nil"/>
                  </w:tcBorders>
                  <w:tcMar>
                    <w:right w:w="11" w:type="dxa"/>
                  </w:tcMar>
                  <w:vAlign w:val="bottom"/>
                </w:tcPr>
                <w:p w:rsidR="00396CCE" w:rsidRPr="00A530E1" w:rsidRDefault="00396CCE" w:rsidP="00B55EB7">
                  <w:pPr>
                    <w:suppressAutoHyphens w:val="0"/>
                    <w:spacing w:before="40" w:after="40" w:line="220" w:lineRule="exact"/>
                    <w:jc w:val="right"/>
                    <w:rPr>
                      <w:sz w:val="14"/>
                      <w:szCs w:val="14"/>
                    </w:rPr>
                  </w:pPr>
                  <w:r w:rsidRPr="00A530E1">
                    <w:rPr>
                      <w:sz w:val="14"/>
                      <w:szCs w:val="14"/>
                    </w:rPr>
                    <w:t>235</w:t>
                  </w:r>
                </w:p>
              </w:tc>
              <w:tc>
                <w:tcPr>
                  <w:tcW w:w="851" w:type="dxa"/>
                  <w:tcBorders>
                    <w:top w:val="nil"/>
                    <w:left w:val="nil"/>
                    <w:bottom w:val="single" w:sz="4" w:space="0" w:color="auto"/>
                    <w:right w:val="nil"/>
                  </w:tcBorders>
                  <w:tcMar>
                    <w:right w:w="11" w:type="dxa"/>
                  </w:tcMar>
                  <w:vAlign w:val="bottom"/>
                </w:tcPr>
                <w:p w:rsidR="00396CCE" w:rsidRPr="00A530E1" w:rsidRDefault="00396CCE" w:rsidP="00B55EB7">
                  <w:pPr>
                    <w:suppressAutoHyphens w:val="0"/>
                    <w:spacing w:before="40" w:after="40" w:line="220" w:lineRule="exact"/>
                    <w:jc w:val="right"/>
                    <w:rPr>
                      <w:sz w:val="14"/>
                      <w:szCs w:val="14"/>
                    </w:rPr>
                  </w:pPr>
                  <w:r w:rsidRPr="00A530E1">
                    <w:rPr>
                      <w:sz w:val="14"/>
                      <w:szCs w:val="14"/>
                    </w:rPr>
                    <w:t>3 821</w:t>
                  </w:r>
                </w:p>
              </w:tc>
              <w:tc>
                <w:tcPr>
                  <w:tcW w:w="907" w:type="dxa"/>
                  <w:tcBorders>
                    <w:top w:val="nil"/>
                    <w:left w:val="nil"/>
                    <w:bottom w:val="single" w:sz="4" w:space="0" w:color="auto"/>
                    <w:right w:val="nil"/>
                  </w:tcBorders>
                  <w:tcMar>
                    <w:right w:w="11" w:type="dxa"/>
                  </w:tcMar>
                  <w:vAlign w:val="bottom"/>
                </w:tcPr>
                <w:p w:rsidR="00396CCE" w:rsidRPr="00A530E1" w:rsidRDefault="00396CCE" w:rsidP="00B55EB7">
                  <w:pPr>
                    <w:suppressAutoHyphens w:val="0"/>
                    <w:spacing w:before="40" w:after="40" w:line="220" w:lineRule="exact"/>
                    <w:jc w:val="right"/>
                    <w:rPr>
                      <w:sz w:val="14"/>
                      <w:szCs w:val="14"/>
                    </w:rPr>
                  </w:pPr>
                  <w:r w:rsidRPr="00A530E1">
                    <w:rPr>
                      <w:sz w:val="14"/>
                      <w:szCs w:val="14"/>
                    </w:rPr>
                    <w:t>1 959</w:t>
                  </w:r>
                </w:p>
              </w:tc>
            </w:tr>
            <w:tr w:rsidR="00396CCE" w:rsidRPr="00A530E1" w:rsidTr="00B55EB7">
              <w:tc>
                <w:tcPr>
                  <w:tcW w:w="1134" w:type="dxa"/>
                  <w:tcBorders>
                    <w:top w:val="single" w:sz="4" w:space="0" w:color="auto"/>
                    <w:left w:val="nil"/>
                    <w:bottom w:val="single" w:sz="4" w:space="0" w:color="auto"/>
                    <w:right w:val="nil"/>
                  </w:tcBorders>
                  <w:tcMar>
                    <w:right w:w="11" w:type="dxa"/>
                  </w:tcMar>
                </w:tcPr>
                <w:p w:rsidR="00396CCE" w:rsidRPr="00A530E1" w:rsidRDefault="00396CCE" w:rsidP="00B55EB7">
                  <w:pPr>
                    <w:suppressAutoHyphens w:val="0"/>
                    <w:spacing w:before="80" w:after="80" w:line="220" w:lineRule="exact"/>
                    <w:ind w:firstLine="170"/>
                    <w:rPr>
                      <w:b/>
                      <w:sz w:val="14"/>
                      <w:szCs w:val="14"/>
                    </w:rPr>
                  </w:pPr>
                  <w:r w:rsidRPr="00A530E1">
                    <w:rPr>
                      <w:b/>
                      <w:sz w:val="14"/>
                      <w:szCs w:val="14"/>
                    </w:rPr>
                    <w:t>Total</w:t>
                  </w:r>
                </w:p>
              </w:tc>
              <w:tc>
                <w:tcPr>
                  <w:tcW w:w="850" w:type="dxa"/>
                  <w:tcBorders>
                    <w:top w:val="single" w:sz="4" w:space="0" w:color="auto"/>
                    <w:left w:val="nil"/>
                    <w:bottom w:val="single" w:sz="4" w:space="0" w:color="auto"/>
                    <w:right w:val="nil"/>
                  </w:tcBorders>
                  <w:tcMar>
                    <w:right w:w="11" w:type="dxa"/>
                  </w:tcMar>
                  <w:vAlign w:val="bottom"/>
                </w:tcPr>
                <w:p w:rsidR="00396CCE" w:rsidRPr="00A530E1" w:rsidRDefault="00396CCE" w:rsidP="00B55EB7">
                  <w:pPr>
                    <w:spacing w:before="80" w:after="80" w:line="200" w:lineRule="exact"/>
                    <w:jc w:val="right"/>
                    <w:rPr>
                      <w:b/>
                      <w:sz w:val="14"/>
                      <w:szCs w:val="14"/>
                    </w:rPr>
                  </w:pPr>
                  <w:r w:rsidRPr="00A530E1">
                    <w:rPr>
                      <w:b/>
                      <w:sz w:val="14"/>
                      <w:szCs w:val="14"/>
                    </w:rPr>
                    <w:t>8 451 329</w:t>
                  </w:r>
                </w:p>
              </w:tc>
              <w:tc>
                <w:tcPr>
                  <w:tcW w:w="851" w:type="dxa"/>
                  <w:tcBorders>
                    <w:top w:val="single" w:sz="4" w:space="0" w:color="auto"/>
                    <w:left w:val="nil"/>
                    <w:bottom w:val="single" w:sz="4" w:space="0" w:color="auto"/>
                    <w:right w:val="nil"/>
                  </w:tcBorders>
                  <w:tcMar>
                    <w:right w:w="11" w:type="dxa"/>
                  </w:tcMar>
                  <w:vAlign w:val="bottom"/>
                </w:tcPr>
                <w:p w:rsidR="00396CCE" w:rsidRPr="00A530E1" w:rsidRDefault="00396CCE" w:rsidP="00B55EB7">
                  <w:pPr>
                    <w:suppressAutoHyphens w:val="0"/>
                    <w:spacing w:before="80" w:after="80" w:line="220" w:lineRule="exact"/>
                    <w:jc w:val="right"/>
                    <w:rPr>
                      <w:b/>
                      <w:sz w:val="14"/>
                      <w:szCs w:val="14"/>
                    </w:rPr>
                  </w:pPr>
                  <w:r w:rsidRPr="00A530E1">
                    <w:rPr>
                      <w:b/>
                      <w:sz w:val="14"/>
                      <w:szCs w:val="14"/>
                    </w:rPr>
                    <w:t>6 422 846</w:t>
                  </w:r>
                </w:p>
              </w:tc>
              <w:tc>
                <w:tcPr>
                  <w:tcW w:w="850" w:type="dxa"/>
                  <w:tcBorders>
                    <w:top w:val="single" w:sz="4" w:space="0" w:color="auto"/>
                    <w:left w:val="nil"/>
                    <w:bottom w:val="single" w:sz="4" w:space="0" w:color="auto"/>
                    <w:right w:val="nil"/>
                  </w:tcBorders>
                  <w:tcMar>
                    <w:right w:w="11" w:type="dxa"/>
                  </w:tcMar>
                  <w:vAlign w:val="bottom"/>
                </w:tcPr>
                <w:p w:rsidR="00396CCE" w:rsidRPr="00A530E1" w:rsidRDefault="00396CCE" w:rsidP="00B55EB7">
                  <w:pPr>
                    <w:suppressAutoHyphens w:val="0"/>
                    <w:spacing w:before="80" w:after="80" w:line="220" w:lineRule="exact"/>
                    <w:jc w:val="right"/>
                    <w:rPr>
                      <w:b/>
                      <w:sz w:val="14"/>
                      <w:szCs w:val="14"/>
                    </w:rPr>
                  </w:pPr>
                  <w:r w:rsidRPr="00A530E1">
                    <w:rPr>
                      <w:b/>
                      <w:sz w:val="14"/>
                      <w:szCs w:val="14"/>
                    </w:rPr>
                    <w:t>2 028 483</w:t>
                  </w:r>
                </w:p>
              </w:tc>
              <w:tc>
                <w:tcPr>
                  <w:tcW w:w="830" w:type="dxa"/>
                  <w:tcBorders>
                    <w:top w:val="single" w:sz="4" w:space="0" w:color="auto"/>
                    <w:left w:val="nil"/>
                    <w:bottom w:val="single" w:sz="4" w:space="0" w:color="auto"/>
                    <w:right w:val="nil"/>
                  </w:tcBorders>
                  <w:tcMar>
                    <w:right w:w="11" w:type="dxa"/>
                  </w:tcMar>
                  <w:vAlign w:val="bottom"/>
                </w:tcPr>
                <w:p w:rsidR="00396CCE" w:rsidRPr="00A530E1" w:rsidRDefault="00396CCE" w:rsidP="00B55EB7">
                  <w:pPr>
                    <w:suppressAutoHyphens w:val="0"/>
                    <w:spacing w:before="80" w:after="80" w:line="220" w:lineRule="exact"/>
                    <w:jc w:val="right"/>
                    <w:rPr>
                      <w:b/>
                      <w:sz w:val="14"/>
                      <w:szCs w:val="14"/>
                    </w:rPr>
                  </w:pPr>
                  <w:r w:rsidRPr="00A530E1">
                    <w:rPr>
                      <w:b/>
                      <w:sz w:val="14"/>
                      <w:szCs w:val="14"/>
                    </w:rPr>
                    <w:t>6 450 459</w:t>
                  </w:r>
                </w:p>
              </w:tc>
              <w:tc>
                <w:tcPr>
                  <w:tcW w:w="729" w:type="dxa"/>
                  <w:tcBorders>
                    <w:top w:val="single" w:sz="4" w:space="0" w:color="auto"/>
                    <w:left w:val="nil"/>
                    <w:bottom w:val="single" w:sz="4" w:space="0" w:color="auto"/>
                    <w:right w:val="nil"/>
                  </w:tcBorders>
                  <w:tcMar>
                    <w:right w:w="11" w:type="dxa"/>
                  </w:tcMar>
                  <w:vAlign w:val="bottom"/>
                </w:tcPr>
                <w:p w:rsidR="00396CCE" w:rsidRPr="00A530E1" w:rsidRDefault="00396CCE" w:rsidP="00B55EB7">
                  <w:pPr>
                    <w:suppressAutoHyphens w:val="0"/>
                    <w:spacing w:before="80" w:after="80" w:line="220" w:lineRule="exact"/>
                    <w:jc w:val="right"/>
                    <w:rPr>
                      <w:b/>
                      <w:sz w:val="14"/>
                      <w:szCs w:val="14"/>
                    </w:rPr>
                  </w:pPr>
                  <w:r w:rsidRPr="00A530E1">
                    <w:rPr>
                      <w:b/>
                      <w:sz w:val="14"/>
                      <w:szCs w:val="14"/>
                    </w:rPr>
                    <w:t>2 000 870</w:t>
                  </w:r>
                </w:p>
              </w:tc>
              <w:tc>
                <w:tcPr>
                  <w:tcW w:w="851" w:type="dxa"/>
                  <w:tcBorders>
                    <w:top w:val="single" w:sz="4" w:space="0" w:color="auto"/>
                    <w:left w:val="nil"/>
                    <w:bottom w:val="single" w:sz="4" w:space="0" w:color="auto"/>
                    <w:right w:val="nil"/>
                  </w:tcBorders>
                  <w:tcMar>
                    <w:right w:w="11" w:type="dxa"/>
                  </w:tcMar>
                  <w:vAlign w:val="bottom"/>
                </w:tcPr>
                <w:p w:rsidR="00396CCE" w:rsidRPr="00A530E1" w:rsidRDefault="00396CCE" w:rsidP="00B55EB7">
                  <w:pPr>
                    <w:suppressAutoHyphens w:val="0"/>
                    <w:spacing w:before="80" w:after="80" w:line="220" w:lineRule="exact"/>
                    <w:jc w:val="right"/>
                    <w:rPr>
                      <w:b/>
                      <w:sz w:val="14"/>
                      <w:szCs w:val="14"/>
                    </w:rPr>
                  </w:pPr>
                  <w:r w:rsidRPr="00A530E1">
                    <w:rPr>
                      <w:b/>
                      <w:sz w:val="14"/>
                      <w:szCs w:val="14"/>
                    </w:rPr>
                    <w:t>4 252 942</w:t>
                  </w:r>
                </w:p>
              </w:tc>
              <w:tc>
                <w:tcPr>
                  <w:tcW w:w="907" w:type="dxa"/>
                  <w:tcBorders>
                    <w:top w:val="single" w:sz="4" w:space="0" w:color="auto"/>
                    <w:left w:val="nil"/>
                    <w:bottom w:val="single" w:sz="4" w:space="0" w:color="auto"/>
                    <w:right w:val="nil"/>
                  </w:tcBorders>
                  <w:tcMar>
                    <w:right w:w="11" w:type="dxa"/>
                  </w:tcMar>
                  <w:vAlign w:val="bottom"/>
                </w:tcPr>
                <w:p w:rsidR="00396CCE" w:rsidRPr="00A530E1" w:rsidRDefault="00396CCE" w:rsidP="00B55EB7">
                  <w:pPr>
                    <w:suppressAutoHyphens w:val="0"/>
                    <w:spacing w:before="80" w:after="80" w:line="220" w:lineRule="exact"/>
                    <w:jc w:val="right"/>
                    <w:rPr>
                      <w:b/>
                      <w:sz w:val="14"/>
                      <w:szCs w:val="14"/>
                    </w:rPr>
                  </w:pPr>
                  <w:r w:rsidRPr="00A530E1">
                    <w:rPr>
                      <w:b/>
                      <w:sz w:val="14"/>
                      <w:szCs w:val="14"/>
                    </w:rPr>
                    <w:t>4 198 387</w:t>
                  </w:r>
                </w:p>
              </w:tc>
            </w:tr>
          </w:tbl>
          <w:p w:rsidR="00E978F3" w:rsidRDefault="00396CCE" w:rsidP="00F063C5">
            <w:pPr>
              <w:tabs>
                <w:tab w:val="left" w:pos="843"/>
              </w:tabs>
              <w:spacing w:before="120"/>
              <w:ind w:right="113" w:firstLine="170"/>
              <w:rPr>
                <w:sz w:val="18"/>
                <w:szCs w:val="18"/>
              </w:rPr>
            </w:pPr>
            <w:r w:rsidRPr="00A530E1">
              <w:rPr>
                <w:i/>
                <w:sz w:val="18"/>
                <w:szCs w:val="18"/>
              </w:rPr>
              <w:t>Source</w:t>
            </w:r>
            <w:r w:rsidRPr="00A530E1">
              <w:rPr>
                <w:sz w:val="18"/>
                <w:szCs w:val="18"/>
              </w:rPr>
              <w:t>:  Basic statistics of the Ministry of Education.</w:t>
            </w:r>
            <w:r w:rsidR="00B55EB7" w:rsidRPr="00A530E1">
              <w:rPr>
                <w:sz w:val="18"/>
                <w:szCs w:val="18"/>
              </w:rPr>
              <w:t xml:space="preserve"> </w:t>
            </w:r>
          </w:p>
          <w:p w:rsidR="00396CCE" w:rsidRPr="00A530E1" w:rsidRDefault="00E978F3" w:rsidP="00E978F3">
            <w:pPr>
              <w:tabs>
                <w:tab w:val="left" w:pos="843"/>
              </w:tabs>
              <w:ind w:right="113" w:firstLine="170"/>
              <w:rPr>
                <w:sz w:val="18"/>
                <w:szCs w:val="18"/>
              </w:rPr>
            </w:pPr>
            <w:r w:rsidRPr="00A530E1">
              <w:rPr>
                <w:i/>
                <w:sz w:val="18"/>
                <w:szCs w:val="18"/>
              </w:rPr>
              <w:t>Source</w:t>
            </w:r>
            <w:r w:rsidRPr="00A530E1">
              <w:rPr>
                <w:sz w:val="18"/>
                <w:szCs w:val="18"/>
              </w:rPr>
              <w:t xml:space="preserve">:  </w:t>
            </w:r>
            <w:r w:rsidR="00396CCE" w:rsidRPr="00A530E1">
              <w:rPr>
                <w:sz w:val="18"/>
                <w:szCs w:val="18"/>
              </w:rPr>
              <w:t>ESCALE-MED 2009.</w:t>
            </w:r>
          </w:p>
          <w:p w:rsidR="00396CCE" w:rsidRPr="00A530E1" w:rsidRDefault="00396CCE" w:rsidP="00F063C5">
            <w:pPr>
              <w:ind w:right="113" w:firstLine="170"/>
              <w:rPr>
                <w:sz w:val="18"/>
                <w:szCs w:val="18"/>
              </w:rPr>
            </w:pPr>
            <w:r w:rsidRPr="00A530E1">
              <w:rPr>
                <w:i/>
                <w:sz w:val="18"/>
                <w:szCs w:val="18"/>
                <w:vertAlign w:val="superscript"/>
              </w:rPr>
              <w:t>1</w:t>
            </w:r>
            <w:r w:rsidRPr="00A530E1">
              <w:rPr>
                <w:sz w:val="18"/>
                <w:szCs w:val="18"/>
              </w:rPr>
              <w:t xml:space="preserve">  Includes adult education.</w:t>
            </w:r>
          </w:p>
          <w:p w:rsidR="00396CCE" w:rsidRPr="00A530E1" w:rsidRDefault="00396CCE" w:rsidP="00F063C5">
            <w:pPr>
              <w:spacing w:after="240"/>
              <w:ind w:right="113" w:firstLine="170"/>
            </w:pPr>
            <w:r w:rsidRPr="00A530E1">
              <w:rPr>
                <w:i/>
                <w:sz w:val="18"/>
                <w:szCs w:val="18"/>
                <w:vertAlign w:val="superscript"/>
              </w:rPr>
              <w:t>2</w:t>
            </w:r>
            <w:r w:rsidRPr="00A530E1">
              <w:rPr>
                <w:sz w:val="18"/>
                <w:szCs w:val="18"/>
              </w:rPr>
              <w:t xml:space="preserve">  Includes occupationally specific education</w:t>
            </w:r>
            <w:r w:rsidRPr="00A530E1">
              <w:t>.</w:t>
            </w:r>
          </w:p>
        </w:tc>
      </w:tr>
      <w:tr w:rsidR="00396CCE" w:rsidRPr="00A530E1" w:rsidTr="00096945">
        <w:tc>
          <w:tcPr>
            <w:tcW w:w="2500" w:type="dxa"/>
            <w:shd w:val="clear" w:color="auto" w:fill="auto"/>
          </w:tcPr>
          <w:p w:rsidR="00396CCE" w:rsidRPr="00A530E1" w:rsidRDefault="00396CCE" w:rsidP="00F063C5">
            <w:pPr>
              <w:spacing w:before="40" w:after="120"/>
              <w:ind w:right="113"/>
            </w:pPr>
            <w:r w:rsidRPr="00A530E1">
              <w:t>Reasonable accommodation provisions and other measures to ensure access to lifelong learning education</w:t>
            </w:r>
          </w:p>
        </w:tc>
        <w:tc>
          <w:tcPr>
            <w:tcW w:w="7139" w:type="dxa"/>
            <w:shd w:val="clear" w:color="auto" w:fill="auto"/>
          </w:tcPr>
          <w:p w:rsidR="00396CCE" w:rsidRPr="00A530E1" w:rsidRDefault="00396CCE" w:rsidP="00A63097">
            <w:pPr>
              <w:pStyle w:val="Bullet1G"/>
              <w:keepNext/>
              <w:keepLines/>
              <w:tabs>
                <w:tab w:val="clear" w:pos="1701"/>
              </w:tabs>
              <w:spacing w:before="40"/>
              <w:ind w:left="170" w:right="113"/>
              <w:jc w:val="left"/>
            </w:pPr>
            <w:r w:rsidRPr="00A530E1">
              <w:t>The Directorate-General of Special Basic Education issued Directive No. 236-2010-ED, which provides for activities to help ensure that students with severe and multiple disabilities in Special Basic Education Centres subsequently move on to post-primary educational institutions</w:t>
            </w:r>
          </w:p>
          <w:p w:rsidR="00396CCE" w:rsidRPr="00A530E1" w:rsidRDefault="00396CCE" w:rsidP="00A63097">
            <w:pPr>
              <w:pStyle w:val="Bullet1G"/>
              <w:keepNext/>
              <w:keepLines/>
              <w:tabs>
                <w:tab w:val="clear" w:pos="1701"/>
              </w:tabs>
              <w:spacing w:before="40"/>
              <w:ind w:left="170" w:right="113"/>
              <w:jc w:val="left"/>
            </w:pPr>
            <w:r w:rsidRPr="00A530E1">
              <w:t>Training workshop on the design of non-school programmes for persons with disabilities over the age of 20</w:t>
            </w:r>
          </w:p>
        </w:tc>
      </w:tr>
      <w:tr w:rsidR="00396CCE" w:rsidRPr="00A530E1" w:rsidTr="00096945">
        <w:tc>
          <w:tcPr>
            <w:tcW w:w="2500" w:type="dxa"/>
            <w:tcBorders>
              <w:bottom w:val="single" w:sz="12" w:space="0" w:color="auto"/>
            </w:tcBorders>
            <w:shd w:val="clear" w:color="auto" w:fill="auto"/>
          </w:tcPr>
          <w:p w:rsidR="00396CCE" w:rsidRPr="00A530E1" w:rsidRDefault="00396CCE" w:rsidP="00F063C5">
            <w:pPr>
              <w:spacing w:before="40" w:after="120"/>
              <w:ind w:right="113"/>
            </w:pPr>
            <w:r w:rsidRPr="00A530E1">
              <w:t>Measures taken by the State to ensure early identification of persons with disabilities and their education needs</w:t>
            </w:r>
          </w:p>
        </w:tc>
        <w:tc>
          <w:tcPr>
            <w:tcW w:w="7139" w:type="dxa"/>
            <w:tcBorders>
              <w:bottom w:val="single" w:sz="12" w:space="0" w:color="auto"/>
            </w:tcBorders>
            <w:shd w:val="clear" w:color="auto" w:fill="auto"/>
          </w:tcPr>
          <w:p w:rsidR="00396CCE" w:rsidRPr="00A530E1" w:rsidRDefault="00396CCE" w:rsidP="00A63097">
            <w:pPr>
              <w:pStyle w:val="Bullet1G"/>
              <w:keepNext/>
              <w:keepLines/>
              <w:tabs>
                <w:tab w:val="clear" w:pos="1701"/>
              </w:tabs>
              <w:spacing w:before="40"/>
              <w:ind w:left="170" w:right="113"/>
              <w:jc w:val="left"/>
            </w:pPr>
            <w:r w:rsidRPr="00A530E1">
              <w:t>Implementation of a national intersectoral plan to identify children up to 5 years of age who have disabilities or who are at risk of acquiring a disability. (This initiative involves the education and health sectors.)</w:t>
            </w:r>
          </w:p>
          <w:p w:rsidR="00396CCE" w:rsidRPr="00A530E1" w:rsidRDefault="00396CCE" w:rsidP="00A63097">
            <w:pPr>
              <w:pStyle w:val="Bullet1G"/>
              <w:keepNext/>
              <w:keepLines/>
              <w:tabs>
                <w:tab w:val="clear" w:pos="1701"/>
              </w:tabs>
              <w:spacing w:before="40"/>
              <w:ind w:left="170" w:right="113"/>
              <w:jc w:val="left"/>
            </w:pPr>
            <w:r w:rsidRPr="00A530E1">
              <w:t>Training workshop for teaching and non-teaching professionals on the reorientation of early intervention programmes within the framework of Directive No. 081-VMGP-DINEBE-2006</w:t>
            </w:r>
          </w:p>
        </w:tc>
      </w:tr>
    </w:tbl>
    <w:p w:rsidR="007F32AD" w:rsidRDefault="007F32AD" w:rsidP="00396CCE">
      <w:pPr>
        <w:pStyle w:val="H23G"/>
      </w:pPr>
    </w:p>
    <w:p w:rsidR="00BA0168" w:rsidRPr="00A530E1" w:rsidRDefault="007F32AD" w:rsidP="00396CCE">
      <w:pPr>
        <w:pStyle w:val="H23G"/>
      </w:pPr>
      <w:r>
        <w:br w:type="page"/>
      </w:r>
      <w:r w:rsidR="00396CCE" w:rsidRPr="00A530E1">
        <w:tab/>
        <w:t>19.</w:t>
      </w:r>
      <w:r w:rsidR="00396CCE" w:rsidRPr="00A530E1">
        <w:tab/>
        <w:t>Article 25: Health</w:t>
      </w:r>
    </w:p>
    <w:p w:rsidR="00C015BD" w:rsidRPr="00A530E1" w:rsidRDefault="00C015BD" w:rsidP="00C015BD">
      <w:pPr>
        <w:pStyle w:val="SingleTxtG"/>
      </w:pPr>
      <w:r w:rsidRPr="00A530E1">
        <w:t>77.</w:t>
      </w:r>
      <w:r w:rsidRPr="00A530E1">
        <w:tab/>
        <w:t>This article recognizes the right of persons with disabilities to the enjoyment of the highest attainable standard of health and the duty of States parties to ensure access for persons with disabilities to health services that are gender-sensitive, including health-related rehabilitation, in their community and without financial cost.</w:t>
      </w:r>
    </w:p>
    <w:tbl>
      <w:tblPr>
        <w:tblW w:w="9639" w:type="dxa"/>
        <w:tblLayout w:type="fixed"/>
        <w:tblCellMar>
          <w:left w:w="0" w:type="dxa"/>
          <w:right w:w="0" w:type="dxa"/>
        </w:tblCellMar>
        <w:tblLook w:val="01E0" w:firstRow="1" w:lastRow="1" w:firstColumn="1" w:lastColumn="1" w:noHBand="0" w:noVBand="0"/>
      </w:tblPr>
      <w:tblGrid>
        <w:gridCol w:w="4816"/>
        <w:gridCol w:w="4823"/>
      </w:tblGrid>
      <w:tr w:rsidR="00C015BD" w:rsidRPr="00A530E1" w:rsidTr="003F0F01">
        <w:trPr>
          <w:tblHeader/>
        </w:trPr>
        <w:tc>
          <w:tcPr>
            <w:tcW w:w="4816" w:type="dxa"/>
            <w:tcBorders>
              <w:top w:val="single" w:sz="4" w:space="0" w:color="auto"/>
              <w:bottom w:val="single" w:sz="12" w:space="0" w:color="auto"/>
            </w:tcBorders>
            <w:shd w:val="clear" w:color="auto" w:fill="auto"/>
            <w:vAlign w:val="bottom"/>
          </w:tcPr>
          <w:p w:rsidR="00C015BD" w:rsidRPr="00A530E1" w:rsidRDefault="00C015BD" w:rsidP="00F063C5">
            <w:pPr>
              <w:spacing w:before="80" w:after="80" w:line="200" w:lineRule="exact"/>
              <w:ind w:right="113"/>
              <w:rPr>
                <w:i/>
                <w:sz w:val="16"/>
              </w:rPr>
            </w:pPr>
            <w:r w:rsidRPr="00A530E1">
              <w:rPr>
                <w:i/>
                <w:sz w:val="16"/>
              </w:rPr>
              <w:t>Report on</w:t>
            </w:r>
          </w:p>
        </w:tc>
        <w:tc>
          <w:tcPr>
            <w:tcW w:w="4823" w:type="dxa"/>
            <w:tcBorders>
              <w:top w:val="single" w:sz="4" w:space="0" w:color="auto"/>
              <w:bottom w:val="single" w:sz="12" w:space="0" w:color="auto"/>
            </w:tcBorders>
            <w:shd w:val="clear" w:color="auto" w:fill="auto"/>
            <w:vAlign w:val="bottom"/>
          </w:tcPr>
          <w:p w:rsidR="00C015BD" w:rsidRPr="00A530E1" w:rsidRDefault="00C015BD" w:rsidP="00F063C5">
            <w:pPr>
              <w:spacing w:before="80" w:after="80" w:line="200" w:lineRule="exact"/>
              <w:ind w:right="113"/>
              <w:rPr>
                <w:i/>
                <w:sz w:val="16"/>
              </w:rPr>
            </w:pPr>
            <w:r w:rsidRPr="00A530E1">
              <w:rPr>
                <w:i/>
                <w:sz w:val="16"/>
              </w:rPr>
              <w:t>Progress</w:t>
            </w:r>
          </w:p>
        </w:tc>
      </w:tr>
      <w:tr w:rsidR="00C015BD" w:rsidRPr="00A530E1" w:rsidTr="003F0F01">
        <w:trPr>
          <w:trHeight w:hRule="exact" w:val="113"/>
          <w:tblHeader/>
        </w:trPr>
        <w:tc>
          <w:tcPr>
            <w:tcW w:w="4816" w:type="dxa"/>
            <w:tcBorders>
              <w:top w:val="single" w:sz="12" w:space="0" w:color="auto"/>
            </w:tcBorders>
            <w:shd w:val="clear" w:color="auto" w:fill="auto"/>
          </w:tcPr>
          <w:p w:rsidR="00C015BD" w:rsidRPr="00A530E1" w:rsidRDefault="00C015BD" w:rsidP="00F063C5">
            <w:pPr>
              <w:spacing w:before="40" w:after="120"/>
              <w:ind w:right="113"/>
            </w:pPr>
          </w:p>
        </w:tc>
        <w:tc>
          <w:tcPr>
            <w:tcW w:w="4823" w:type="dxa"/>
            <w:tcBorders>
              <w:top w:val="single" w:sz="12" w:space="0" w:color="auto"/>
            </w:tcBorders>
            <w:shd w:val="clear" w:color="auto" w:fill="auto"/>
          </w:tcPr>
          <w:p w:rsidR="00C015BD" w:rsidRPr="00A530E1" w:rsidRDefault="00C015BD" w:rsidP="00F063C5">
            <w:pPr>
              <w:spacing w:before="40" w:after="120"/>
              <w:ind w:right="113"/>
            </w:pPr>
          </w:p>
        </w:tc>
      </w:tr>
      <w:tr w:rsidR="00C015BD" w:rsidRPr="00A530E1" w:rsidTr="003F0F01">
        <w:tc>
          <w:tcPr>
            <w:tcW w:w="4816" w:type="dxa"/>
            <w:shd w:val="clear" w:color="auto" w:fill="auto"/>
          </w:tcPr>
          <w:p w:rsidR="00C015BD" w:rsidRPr="00A530E1" w:rsidRDefault="00C015BD" w:rsidP="00F063C5">
            <w:pPr>
              <w:spacing w:before="40" w:after="120"/>
              <w:ind w:right="113"/>
            </w:pPr>
            <w:r w:rsidRPr="00A530E1">
              <w:t>Legislative and other measures that protect against discrimination and ensure that persons with disabilities have the same access to quality health services, including in the area of sexual and reproductive health</w:t>
            </w:r>
          </w:p>
        </w:tc>
        <w:tc>
          <w:tcPr>
            <w:tcW w:w="4823" w:type="dxa"/>
            <w:shd w:val="clear" w:color="auto" w:fill="auto"/>
          </w:tcPr>
          <w:p w:rsidR="00C015BD" w:rsidRPr="00A530E1" w:rsidRDefault="00C015BD" w:rsidP="00F063C5">
            <w:pPr>
              <w:spacing w:before="40" w:after="120"/>
              <w:ind w:right="113"/>
            </w:pPr>
            <w:r w:rsidRPr="00A530E1">
              <w:t>Ministerial Decision No. 587-2009-MINSA established the National Family Health Strategy under the authority of the Directorate-General of Public Health. The Strategy will focus on deploying basic health-care teams to strengthen primary health care for persons living in poverty and extreme poverty. As part of this strategy, all the necessary types of health professionals will be brought in to bring about an improvement in preventive care and health promotion within the family unit in the most remote parts of the country.</w:t>
            </w:r>
          </w:p>
        </w:tc>
      </w:tr>
      <w:tr w:rsidR="00C015BD" w:rsidRPr="00A530E1" w:rsidTr="003F0F01">
        <w:tc>
          <w:tcPr>
            <w:tcW w:w="4816" w:type="dxa"/>
            <w:shd w:val="clear" w:color="auto" w:fill="auto"/>
          </w:tcPr>
          <w:p w:rsidR="00C015BD" w:rsidRPr="00A530E1" w:rsidRDefault="00C015BD" w:rsidP="00F063C5">
            <w:pPr>
              <w:spacing w:before="40" w:after="120"/>
              <w:ind w:right="113"/>
            </w:pPr>
            <w:r w:rsidRPr="00A530E1">
              <w:t>Measures taken to ensure that persons with disabilities have access to disability-related health rehabilitation in their community freely and without financial cost</w:t>
            </w:r>
          </w:p>
        </w:tc>
        <w:tc>
          <w:tcPr>
            <w:tcW w:w="4823" w:type="dxa"/>
            <w:shd w:val="clear" w:color="auto" w:fill="auto"/>
          </w:tcPr>
          <w:p w:rsidR="00C015BD" w:rsidRPr="00A530E1" w:rsidRDefault="00C015BD" w:rsidP="00F063C5">
            <w:pPr>
              <w:spacing w:before="40" w:after="120"/>
              <w:ind w:right="113"/>
            </w:pPr>
            <w:r w:rsidRPr="00A530E1">
              <w:t>The 2009–2018 Equal Opportunities Plan for Persons with Disabilities has been adopted under Supreme Decree No. 007-2001-MIMDES. The second strategic line of action in that plan covers access to health services. The first evaluation of the effectiveness of this plan in meeting intersectoral commitments will take place in July 2010. (A table providing information on these commitments is included in the attached compact disc.)</w:t>
            </w:r>
          </w:p>
        </w:tc>
      </w:tr>
      <w:tr w:rsidR="00C015BD" w:rsidRPr="00A530E1" w:rsidTr="003F0F01">
        <w:tc>
          <w:tcPr>
            <w:tcW w:w="4816" w:type="dxa"/>
            <w:shd w:val="clear" w:color="auto" w:fill="auto"/>
          </w:tcPr>
          <w:p w:rsidR="00C015BD" w:rsidRPr="00A530E1" w:rsidRDefault="00C015BD" w:rsidP="00F063C5">
            <w:pPr>
              <w:spacing w:before="40" w:after="120"/>
              <w:ind w:right="113"/>
            </w:pPr>
            <w:r w:rsidRPr="00A530E1">
              <w:t>Health services, early detection and intervention programmes, as appropriate, to prevent and minimize the emergence of secondary disabilities, paying attention to children, women and the elderly, including in rural areas</w:t>
            </w:r>
          </w:p>
        </w:tc>
        <w:tc>
          <w:tcPr>
            <w:tcW w:w="4823" w:type="dxa"/>
            <w:shd w:val="clear" w:color="auto" w:fill="auto"/>
          </w:tcPr>
          <w:p w:rsidR="00C015BD" w:rsidRPr="00A530E1" w:rsidRDefault="00C015BD" w:rsidP="00F063C5">
            <w:pPr>
              <w:spacing w:before="40" w:after="120"/>
              <w:ind w:right="113"/>
            </w:pPr>
            <w:r w:rsidRPr="00A530E1">
              <w:t>Ministerial Decision No. 148-2007-TR establishes the regulations governing the establishment and work of the Occupational Health and Safety Committee and the functions of the Occupational Health and Safety Supervisor, as well as approving documents such as a basic guide to occupational health and safety management systems and a technical guide on record-keeping.</w:t>
            </w:r>
          </w:p>
        </w:tc>
      </w:tr>
      <w:tr w:rsidR="00C015BD" w:rsidRPr="00A530E1" w:rsidTr="003F0F01">
        <w:tc>
          <w:tcPr>
            <w:tcW w:w="4816" w:type="dxa"/>
            <w:shd w:val="clear" w:color="auto" w:fill="auto"/>
          </w:tcPr>
          <w:p w:rsidR="00C015BD" w:rsidRPr="00A530E1" w:rsidRDefault="00C015BD" w:rsidP="00F063C5">
            <w:pPr>
              <w:spacing w:before="40" w:after="120"/>
              <w:ind w:right="113"/>
            </w:pPr>
            <w:r w:rsidRPr="00A530E1">
              <w:t>Legislative and other measures to ensure that public health campaigns are accessible for persons with disabilities</w:t>
            </w:r>
          </w:p>
        </w:tc>
        <w:tc>
          <w:tcPr>
            <w:tcW w:w="4823" w:type="dxa"/>
            <w:shd w:val="clear" w:color="auto" w:fill="auto"/>
          </w:tcPr>
          <w:p w:rsidR="00C015BD" w:rsidRPr="00A530E1" w:rsidRDefault="00C015BD" w:rsidP="00F063C5">
            <w:pPr>
              <w:spacing w:before="40" w:after="120"/>
              <w:ind w:right="113"/>
            </w:pPr>
            <w:r w:rsidRPr="00A530E1">
              <w:t>Under Ombudsman Decision No. 011-2009-DP, the Office of the Ombudsman created the Programme for the Defence and Promotion of the Rights of Persons with Disabilities. This programme, which deals with accessibility, health, education and employment, is administered by the Office of the Deputy Ombudsman for Human Rights and Persons with Disabilities of the Office of the Ombudsman.</w:t>
            </w:r>
          </w:p>
        </w:tc>
      </w:tr>
      <w:tr w:rsidR="00C015BD" w:rsidRPr="00A530E1" w:rsidTr="003F0F01">
        <w:tc>
          <w:tcPr>
            <w:tcW w:w="4816" w:type="dxa"/>
            <w:shd w:val="clear" w:color="auto" w:fill="auto"/>
          </w:tcPr>
          <w:p w:rsidR="00C015BD" w:rsidRPr="00A530E1" w:rsidRDefault="00C015BD" w:rsidP="00F063C5">
            <w:pPr>
              <w:spacing w:before="40" w:after="120"/>
              <w:ind w:right="113"/>
            </w:pPr>
            <w:r w:rsidRPr="00A530E1">
              <w:t>Measures put in place to train doctors and other health professionals on the rights of persons with disabilities, including in rural areas</w:t>
            </w:r>
          </w:p>
        </w:tc>
        <w:tc>
          <w:tcPr>
            <w:tcW w:w="4823" w:type="dxa"/>
            <w:shd w:val="clear" w:color="auto" w:fill="auto"/>
          </w:tcPr>
          <w:p w:rsidR="00C015BD" w:rsidRPr="00A530E1" w:rsidRDefault="00C015BD" w:rsidP="00F063C5">
            <w:pPr>
              <w:spacing w:before="40" w:after="120"/>
              <w:ind w:right="113"/>
            </w:pPr>
            <w:r w:rsidRPr="00A530E1">
              <w:t>The Ministry of Health issued Ministerial Decision No. 308-2009-MINSA, by which it adopted the technical health regulations of the Rehabilitative Medical Service Production Unit. The objective is to improve the quality of care throughout the country for persons with disabilities and/or at risk of acquiring disabilities.</w:t>
            </w:r>
          </w:p>
          <w:p w:rsidR="00C015BD" w:rsidRPr="00A530E1" w:rsidRDefault="00C015BD" w:rsidP="00F063C5">
            <w:pPr>
              <w:spacing w:before="40" w:after="120"/>
              <w:ind w:right="113"/>
            </w:pPr>
            <w:r w:rsidRPr="00A530E1">
              <w:t>The component on medical training forms part of the “Crecer Juntos” social programme and the strategic programmes on neonatal and maternal health and nutrition. This initiative has helped Peru make progress towards the Millennium Development Goals, according to a 2008 report.</w:t>
            </w:r>
            <w:r w:rsidRPr="00A530E1">
              <w:rPr>
                <w:rStyle w:val="FootnoteReference"/>
              </w:rPr>
              <w:footnoteReference w:id="12"/>
            </w:r>
          </w:p>
        </w:tc>
      </w:tr>
      <w:tr w:rsidR="00C015BD" w:rsidRPr="00A530E1" w:rsidTr="003F0F01">
        <w:tc>
          <w:tcPr>
            <w:tcW w:w="4816" w:type="dxa"/>
            <w:shd w:val="clear" w:color="auto" w:fill="auto"/>
          </w:tcPr>
          <w:p w:rsidR="00C015BD" w:rsidRPr="00A530E1" w:rsidRDefault="00C015BD" w:rsidP="00F063C5">
            <w:pPr>
              <w:spacing w:before="40" w:after="120"/>
              <w:ind w:right="113"/>
            </w:pPr>
            <w:r w:rsidRPr="00A530E1">
              <w:t>Legislative and other measures taken to ensure protection against discrimination in the access to health insurance and other insurance, when t</w:t>
            </w:r>
            <w:r w:rsidR="00547199">
              <w:t>hese are required by law</w:t>
            </w:r>
          </w:p>
        </w:tc>
        <w:tc>
          <w:tcPr>
            <w:tcW w:w="4823" w:type="dxa"/>
            <w:shd w:val="clear" w:color="auto" w:fill="auto"/>
          </w:tcPr>
          <w:p w:rsidR="00801483" w:rsidRDefault="00C015BD" w:rsidP="00F063C5">
            <w:pPr>
              <w:suppressAutoHyphens w:val="0"/>
              <w:spacing w:after="120" w:line="240" w:lineRule="auto"/>
            </w:pPr>
            <w:r w:rsidRPr="00A530E1">
              <w:t>Supreme Decree No. 027-2007-PCM establishes national policies that are binding on the public sector, including Policy 5.3 on the Eradication of All Forms of Discrimination against Persons with Disabilities.</w:t>
            </w:r>
            <w:r w:rsidR="00801483" w:rsidRPr="00A530E1">
              <w:t xml:space="preserve"> </w:t>
            </w:r>
          </w:p>
          <w:p w:rsidR="00C015BD" w:rsidRPr="00A530E1" w:rsidRDefault="00801483" w:rsidP="00F063C5">
            <w:pPr>
              <w:suppressAutoHyphens w:val="0"/>
              <w:spacing w:after="120" w:line="240" w:lineRule="auto"/>
            </w:pPr>
            <w:r w:rsidRPr="00A530E1">
              <w:t>The Code of Criminal Procedure establishes penalties for acts of discrimination.</w:t>
            </w:r>
          </w:p>
        </w:tc>
      </w:tr>
      <w:tr w:rsidR="00C015BD" w:rsidRPr="00A530E1" w:rsidTr="003F0F01">
        <w:tc>
          <w:tcPr>
            <w:tcW w:w="4816" w:type="dxa"/>
            <w:shd w:val="clear" w:color="auto" w:fill="auto"/>
          </w:tcPr>
          <w:p w:rsidR="00C015BD" w:rsidRPr="00A530E1" w:rsidRDefault="00C015BD" w:rsidP="00F063C5">
            <w:pPr>
              <w:spacing w:before="40" w:after="120"/>
              <w:ind w:right="113"/>
            </w:pPr>
            <w:r w:rsidRPr="00A530E1">
              <w:t>Measures taken to ensure that sanitation facilities are not simply available, but fully accessible</w:t>
            </w:r>
          </w:p>
        </w:tc>
        <w:tc>
          <w:tcPr>
            <w:tcW w:w="4823" w:type="dxa"/>
            <w:shd w:val="clear" w:color="auto" w:fill="auto"/>
          </w:tcPr>
          <w:p w:rsidR="00C015BD" w:rsidRPr="00A530E1" w:rsidRDefault="00C015BD" w:rsidP="00F063C5">
            <w:pPr>
              <w:spacing w:before="40" w:after="120"/>
              <w:ind w:right="113"/>
            </w:pPr>
            <w:r w:rsidRPr="00A530E1">
              <w:t>With respect to the classification of penalties, under the recently passed Act on Offences and Penalties for Non-Compliance with the Omnibus Act on Persons with Disabilities (Act No. 29392), the contravention of provisions relating to the accessibility of public spaces and buildings to persons with disabilities, taking into account the surrounding conditions, is categorized as a very serious offence.</w:t>
            </w:r>
          </w:p>
        </w:tc>
      </w:tr>
      <w:tr w:rsidR="00C015BD" w:rsidRPr="00A530E1" w:rsidTr="003F0F01">
        <w:tc>
          <w:tcPr>
            <w:tcW w:w="4816" w:type="dxa"/>
            <w:tcBorders>
              <w:bottom w:val="single" w:sz="12" w:space="0" w:color="auto"/>
            </w:tcBorders>
            <w:shd w:val="clear" w:color="auto" w:fill="auto"/>
          </w:tcPr>
          <w:p w:rsidR="00C015BD" w:rsidRPr="00A530E1" w:rsidRDefault="00C015BD" w:rsidP="00F063C5">
            <w:pPr>
              <w:spacing w:before="40" w:after="120"/>
              <w:ind w:right="113"/>
            </w:pPr>
            <w:r w:rsidRPr="00A530E1">
              <w:t>Measures taken to increase awareness and information in various accessible formats, including in Braille, for HIV/AIDS and malaria prevention</w:t>
            </w:r>
          </w:p>
        </w:tc>
        <w:tc>
          <w:tcPr>
            <w:tcW w:w="4823" w:type="dxa"/>
            <w:tcBorders>
              <w:bottom w:val="single" w:sz="12" w:space="0" w:color="auto"/>
            </w:tcBorders>
            <w:shd w:val="clear" w:color="auto" w:fill="auto"/>
          </w:tcPr>
          <w:p w:rsidR="00C015BD" w:rsidRPr="00A530E1" w:rsidRDefault="00C015BD" w:rsidP="00F063C5">
            <w:pPr>
              <w:spacing w:before="40" w:after="120"/>
              <w:ind w:right="113"/>
            </w:pPr>
            <w:r w:rsidRPr="00A530E1">
              <w:t>Based on the conviction that the sole antidote for the spread of HIV/AIDS and of the stigmatization of persons affected by HIV/AIDS is the provision of relevant, appropriate information, in November 2009 the President of the Peruvian Press Council, the Resident Representative of UNDP in Peru and the Coordinator of the Joint United Nations Programme on HIV/AIDS (UNAIDS) for Peru, Ecuador and Bolivia launched the second round of the very special campaign entitled “Pictures to Combat Stigmatization and Discrimination against Persons Living with HIV/AIDS”.</w:t>
            </w:r>
          </w:p>
        </w:tc>
      </w:tr>
    </w:tbl>
    <w:p w:rsidR="00C015BD" w:rsidRPr="00A530E1" w:rsidRDefault="00C015BD" w:rsidP="00C015BD">
      <w:pPr>
        <w:pStyle w:val="H23G"/>
      </w:pPr>
      <w:r w:rsidRPr="00A530E1">
        <w:tab/>
        <w:t>20.</w:t>
      </w:r>
      <w:r w:rsidRPr="00A530E1">
        <w:tab/>
        <w:t>Article 26</w:t>
      </w:r>
      <w:r w:rsidR="00235233" w:rsidRPr="00A530E1">
        <w:t xml:space="preserve">: </w:t>
      </w:r>
      <w:r w:rsidRPr="00A530E1">
        <w:t>Habilitation and rehabilitation</w:t>
      </w:r>
    </w:p>
    <w:p w:rsidR="00C015BD" w:rsidRPr="00A530E1" w:rsidRDefault="00C015BD" w:rsidP="00C015BD">
      <w:pPr>
        <w:pStyle w:val="SingleTxtG"/>
      </w:pPr>
      <w:r w:rsidRPr="00A530E1">
        <w:t>78.</w:t>
      </w:r>
      <w:r w:rsidRPr="00A530E1">
        <w:tab/>
        <w:t>This article establishes the measures to be taken to enable persons with disabilities to attain and maintain maximum independence, full physical, mental, social and vocational ability, and full inclusion and participation in all aspects of life through comprehensive habilitation and rehabilitation programmes in the areas of health, employment, education and social services.</w:t>
      </w:r>
    </w:p>
    <w:tbl>
      <w:tblPr>
        <w:tblW w:w="9639" w:type="dxa"/>
        <w:tblLayout w:type="fixed"/>
        <w:tblCellMar>
          <w:left w:w="0" w:type="dxa"/>
          <w:right w:w="0" w:type="dxa"/>
        </w:tblCellMar>
        <w:tblLook w:val="01E0" w:firstRow="1" w:lastRow="1" w:firstColumn="1" w:lastColumn="1" w:noHBand="0" w:noVBand="0"/>
      </w:tblPr>
      <w:tblGrid>
        <w:gridCol w:w="4816"/>
        <w:gridCol w:w="4823"/>
      </w:tblGrid>
      <w:tr w:rsidR="00C015BD" w:rsidRPr="00A530E1" w:rsidTr="00235233">
        <w:trPr>
          <w:tblHeader/>
        </w:trPr>
        <w:tc>
          <w:tcPr>
            <w:tcW w:w="4816" w:type="dxa"/>
            <w:tcBorders>
              <w:top w:val="single" w:sz="4" w:space="0" w:color="auto"/>
              <w:bottom w:val="single" w:sz="12" w:space="0" w:color="auto"/>
            </w:tcBorders>
            <w:shd w:val="clear" w:color="auto" w:fill="auto"/>
            <w:vAlign w:val="bottom"/>
          </w:tcPr>
          <w:p w:rsidR="00C015BD" w:rsidRPr="00A530E1" w:rsidRDefault="00C015BD" w:rsidP="00F063C5">
            <w:pPr>
              <w:spacing w:before="80" w:after="80" w:line="200" w:lineRule="exact"/>
              <w:ind w:right="113"/>
              <w:rPr>
                <w:i/>
                <w:sz w:val="16"/>
              </w:rPr>
            </w:pPr>
            <w:r w:rsidRPr="00A530E1">
              <w:rPr>
                <w:i/>
                <w:sz w:val="16"/>
              </w:rPr>
              <w:t>Report on</w:t>
            </w:r>
          </w:p>
        </w:tc>
        <w:tc>
          <w:tcPr>
            <w:tcW w:w="4823" w:type="dxa"/>
            <w:tcBorders>
              <w:top w:val="single" w:sz="4" w:space="0" w:color="auto"/>
              <w:bottom w:val="single" w:sz="12" w:space="0" w:color="auto"/>
            </w:tcBorders>
            <w:shd w:val="clear" w:color="auto" w:fill="auto"/>
            <w:vAlign w:val="bottom"/>
          </w:tcPr>
          <w:p w:rsidR="00C015BD" w:rsidRPr="00A530E1" w:rsidRDefault="00C015BD" w:rsidP="00F063C5">
            <w:pPr>
              <w:spacing w:before="80" w:after="80" w:line="200" w:lineRule="exact"/>
              <w:ind w:right="113"/>
              <w:rPr>
                <w:i/>
                <w:sz w:val="16"/>
              </w:rPr>
            </w:pPr>
            <w:r w:rsidRPr="00A530E1">
              <w:rPr>
                <w:i/>
                <w:sz w:val="16"/>
              </w:rPr>
              <w:t>Progress</w:t>
            </w:r>
          </w:p>
        </w:tc>
      </w:tr>
      <w:tr w:rsidR="00C015BD" w:rsidRPr="00A530E1" w:rsidTr="00235233">
        <w:trPr>
          <w:trHeight w:hRule="exact" w:val="113"/>
          <w:tblHeader/>
        </w:trPr>
        <w:tc>
          <w:tcPr>
            <w:tcW w:w="4816" w:type="dxa"/>
            <w:tcBorders>
              <w:top w:val="single" w:sz="12" w:space="0" w:color="auto"/>
            </w:tcBorders>
            <w:shd w:val="clear" w:color="auto" w:fill="auto"/>
          </w:tcPr>
          <w:p w:rsidR="00C015BD" w:rsidRPr="00A530E1" w:rsidRDefault="00C015BD" w:rsidP="00F063C5">
            <w:pPr>
              <w:spacing w:before="40" w:after="120"/>
              <w:ind w:right="113"/>
            </w:pPr>
          </w:p>
        </w:tc>
        <w:tc>
          <w:tcPr>
            <w:tcW w:w="4823" w:type="dxa"/>
            <w:tcBorders>
              <w:top w:val="single" w:sz="12" w:space="0" w:color="auto"/>
            </w:tcBorders>
            <w:shd w:val="clear" w:color="auto" w:fill="auto"/>
          </w:tcPr>
          <w:p w:rsidR="00C015BD" w:rsidRPr="00A530E1" w:rsidRDefault="00C015BD" w:rsidP="00F063C5">
            <w:pPr>
              <w:spacing w:before="40" w:after="120"/>
              <w:ind w:right="113"/>
            </w:pPr>
          </w:p>
        </w:tc>
      </w:tr>
      <w:tr w:rsidR="00C015BD" w:rsidRPr="00A530E1" w:rsidTr="00235233">
        <w:tc>
          <w:tcPr>
            <w:tcW w:w="4816" w:type="dxa"/>
            <w:shd w:val="clear" w:color="auto" w:fill="auto"/>
          </w:tcPr>
          <w:p w:rsidR="00C015BD" w:rsidRPr="00A530E1" w:rsidRDefault="00C015BD" w:rsidP="00F063C5">
            <w:pPr>
              <w:spacing w:before="40" w:after="120"/>
              <w:ind w:right="113"/>
            </w:pPr>
            <w:r w:rsidRPr="00A530E1">
              <w:t>General habilitation and rehabilitation programmes for persons with disabilities in the areas of health, employment, education and social services, including early intervention, peer support, and the availability of these services and programmes in rural areas</w:t>
            </w:r>
          </w:p>
        </w:tc>
        <w:tc>
          <w:tcPr>
            <w:tcW w:w="4823" w:type="dxa"/>
            <w:shd w:val="clear" w:color="auto" w:fill="auto"/>
          </w:tcPr>
          <w:p w:rsidR="00527DE1" w:rsidRDefault="00C015BD" w:rsidP="00F063C5">
            <w:pPr>
              <w:spacing w:before="40" w:after="120"/>
              <w:ind w:right="113"/>
            </w:pPr>
            <w:r w:rsidRPr="00A530E1">
              <w:t xml:space="preserve">The Ministry of Health and the Japan International Cooperation Agency (JICA) signed a grant agreement for the construction of new premises for the Adriana Rebaza Flores National Rehabilitation Institute. The US$ 20 million grant is intended to provide better quality and </w:t>
            </w:r>
          </w:p>
          <w:p w:rsidR="00C015BD" w:rsidRPr="00A530E1" w:rsidRDefault="00C015BD" w:rsidP="00F063C5">
            <w:pPr>
              <w:spacing w:before="40" w:after="120"/>
              <w:ind w:right="113"/>
            </w:pPr>
            <w:r w:rsidRPr="00A530E1">
              <w:t>more accessible comprehensive health care for persons with disabilities.</w:t>
            </w:r>
          </w:p>
        </w:tc>
      </w:tr>
      <w:tr w:rsidR="00C015BD" w:rsidRPr="00A530E1" w:rsidTr="00235233">
        <w:tc>
          <w:tcPr>
            <w:tcW w:w="4816" w:type="dxa"/>
            <w:shd w:val="clear" w:color="auto" w:fill="auto"/>
          </w:tcPr>
          <w:p w:rsidR="00C015BD" w:rsidRPr="00A530E1" w:rsidRDefault="00C015BD" w:rsidP="00F063C5">
            <w:pPr>
              <w:spacing w:before="40" w:after="120"/>
              <w:ind w:right="113"/>
            </w:pPr>
            <w:r w:rsidRPr="00A530E1">
              <w:t>Measures taken to ensure that participation in habilitation and rehabilitation services and programmes is voluntary</w:t>
            </w:r>
          </w:p>
        </w:tc>
        <w:tc>
          <w:tcPr>
            <w:tcW w:w="4823" w:type="dxa"/>
            <w:shd w:val="clear" w:color="auto" w:fill="auto"/>
          </w:tcPr>
          <w:p w:rsidR="00C015BD" w:rsidRPr="00A530E1" w:rsidRDefault="00C015BD" w:rsidP="00F063C5">
            <w:pPr>
              <w:spacing w:before="40" w:after="120"/>
              <w:ind w:right="113"/>
            </w:pPr>
            <w:r w:rsidRPr="00A530E1">
              <w:t>The Metropolitan Municipality of Lima is running a community-based rehabilitation programme which includes training for community workers or advocates:</w:t>
            </w:r>
          </w:p>
          <w:p w:rsidR="00C015BD" w:rsidRPr="00A530E1" w:rsidRDefault="00C015BD" w:rsidP="008453E4">
            <w:pPr>
              <w:spacing w:before="40" w:after="120"/>
              <w:ind w:left="284" w:right="113" w:hanging="284"/>
            </w:pPr>
            <w:r w:rsidRPr="00A530E1">
              <w:t>•</w:t>
            </w:r>
            <w:r w:rsidRPr="00A530E1">
              <w:tab/>
              <w:t>Training modules have been held for 30 community-based rehabilitation workers. The target group was composed of coordinators and volunteers who sit on the committees of the “Vasos de Leche” (glasses of milk) Programme in the Lima area.</w:t>
            </w:r>
          </w:p>
          <w:p w:rsidR="00C015BD" w:rsidRPr="00A530E1" w:rsidRDefault="00C015BD" w:rsidP="008453E4">
            <w:pPr>
              <w:spacing w:before="40" w:after="120"/>
              <w:ind w:left="284" w:right="113" w:hanging="284"/>
            </w:pPr>
            <w:r w:rsidRPr="00A530E1">
              <w:t>•</w:t>
            </w:r>
            <w:r w:rsidRPr="00A530E1">
              <w:tab/>
              <w:t>Health promoters and the community-based rehabilitation team have canvassed the 1 de Mayo and 2 de Mayo areas of Lima, visiting 180 families and identifying 95 persons with disabilities.</w:t>
            </w:r>
          </w:p>
        </w:tc>
      </w:tr>
      <w:tr w:rsidR="00C015BD" w:rsidRPr="00A530E1" w:rsidTr="00235233">
        <w:tc>
          <w:tcPr>
            <w:tcW w:w="4816" w:type="dxa"/>
            <w:shd w:val="clear" w:color="auto" w:fill="auto"/>
          </w:tcPr>
          <w:p w:rsidR="00C015BD" w:rsidRPr="00A530E1" w:rsidRDefault="00C015BD" w:rsidP="00F063C5">
            <w:pPr>
              <w:spacing w:before="40" w:after="120"/>
              <w:ind w:right="113"/>
            </w:pPr>
            <w:r w:rsidRPr="00A530E1">
              <w:t>The promotion of initial and continuous training for professionals and staff working in habilitation and rehabilitation programmes</w:t>
            </w:r>
          </w:p>
        </w:tc>
        <w:tc>
          <w:tcPr>
            <w:tcW w:w="4823" w:type="dxa"/>
            <w:shd w:val="clear" w:color="auto" w:fill="auto"/>
          </w:tcPr>
          <w:p w:rsidR="00C015BD" w:rsidRPr="00A530E1" w:rsidRDefault="00C015BD" w:rsidP="00F063C5">
            <w:pPr>
              <w:spacing w:before="40" w:after="120"/>
              <w:ind w:right="113"/>
            </w:pPr>
            <w:r w:rsidRPr="00A530E1">
              <w:t>Ministerial Decision No. 308-2009-MINSA to adopt technical health standards for the Rehabilitative Medical Service Production Unit is designed to improve the quality of care throughout the country for persons with disabilities and/or at risk of acquiring disabilities.</w:t>
            </w:r>
          </w:p>
        </w:tc>
      </w:tr>
      <w:tr w:rsidR="00C015BD" w:rsidRPr="00A530E1" w:rsidTr="00235233">
        <w:tc>
          <w:tcPr>
            <w:tcW w:w="4816" w:type="dxa"/>
            <w:shd w:val="clear" w:color="auto" w:fill="auto"/>
          </w:tcPr>
          <w:p w:rsidR="00C015BD" w:rsidRPr="00A530E1" w:rsidRDefault="00C015BD" w:rsidP="00F063C5">
            <w:pPr>
              <w:spacing w:before="40" w:after="120"/>
              <w:ind w:right="113"/>
            </w:pPr>
            <w:r w:rsidRPr="00A530E1">
              <w:t>Measures taken for the promotion, availability, knowledge and use of assistive devices and technologies, designed for persons with disabilities, as they relate to habilitation and rehabilitation</w:t>
            </w:r>
          </w:p>
        </w:tc>
        <w:tc>
          <w:tcPr>
            <w:tcW w:w="4823" w:type="dxa"/>
            <w:shd w:val="clear" w:color="auto" w:fill="auto"/>
          </w:tcPr>
          <w:p w:rsidR="00C015BD" w:rsidRPr="00A530E1" w:rsidRDefault="00C015BD" w:rsidP="00F063C5">
            <w:pPr>
              <w:spacing w:before="40" w:after="120"/>
              <w:ind w:right="113"/>
            </w:pPr>
            <w:r w:rsidRPr="00A530E1">
              <w:t>EsSalud has set up inter-institutional cooperation networks with a view to the formulation of strategies for the integration of persons with disabilities into society and the labour market. These networks are led by the director of the corresponding Specialized Professional Rehabilitation Centre (CERP) or, in cases where the network includes one of the Basic Professional Rehabilitation Modules (MBRP) or Basic Professional Rehabilitation Units (UBARP), the chief of the relevant Social Benefits Unit.</w:t>
            </w:r>
          </w:p>
          <w:p w:rsidR="00C015BD" w:rsidRPr="00A530E1" w:rsidRDefault="00C015BD" w:rsidP="00F063C5">
            <w:pPr>
              <w:spacing w:before="40" w:after="120"/>
              <w:ind w:right="113"/>
            </w:pPr>
            <w:r w:rsidRPr="00A530E1">
              <w:t>This strategy is aimed at increasing the opportunities for persons with disabilities to become integrated into society and the labour market through the provision of prior training, familiarization with rehabilitation technologies, psychological counselling and social skills-building.</w:t>
            </w:r>
          </w:p>
        </w:tc>
      </w:tr>
      <w:tr w:rsidR="00C015BD" w:rsidRPr="00A530E1" w:rsidTr="00235233">
        <w:tc>
          <w:tcPr>
            <w:tcW w:w="4816" w:type="dxa"/>
            <w:tcBorders>
              <w:bottom w:val="single" w:sz="12" w:space="0" w:color="auto"/>
            </w:tcBorders>
            <w:shd w:val="clear" w:color="auto" w:fill="auto"/>
          </w:tcPr>
          <w:p w:rsidR="00C015BD" w:rsidRPr="00A530E1" w:rsidRDefault="00C015BD" w:rsidP="00F063C5">
            <w:pPr>
              <w:spacing w:before="40" w:after="120"/>
              <w:ind w:right="113"/>
            </w:pPr>
            <w:r w:rsidRPr="00A530E1">
              <w:t>Measures taken for the promotion of international cooperation in the exchange of assistive technologies, in particular with Third World countries</w:t>
            </w:r>
          </w:p>
        </w:tc>
        <w:tc>
          <w:tcPr>
            <w:tcW w:w="4823" w:type="dxa"/>
            <w:tcBorders>
              <w:bottom w:val="single" w:sz="12" w:space="0" w:color="auto"/>
            </w:tcBorders>
            <w:shd w:val="clear" w:color="auto" w:fill="auto"/>
          </w:tcPr>
          <w:p w:rsidR="00C015BD" w:rsidRPr="00A530E1" w:rsidRDefault="00C015BD" w:rsidP="00F063C5">
            <w:pPr>
              <w:spacing w:before="40" w:after="120"/>
              <w:ind w:right="113"/>
            </w:pPr>
            <w:r w:rsidRPr="00A530E1">
              <w:t>In a recent meeting with representatives of international cooperation agencies working in Peru, the National Centre for Strategic Planning (CEPLAN) proposed that US$ 450 million in non-refundable international aid should be used to combat and alleviate poverty in Peru. This proposal met with a favourable response from the agencies.</w:t>
            </w:r>
          </w:p>
          <w:p w:rsidR="00C015BD" w:rsidRPr="00A530E1" w:rsidRDefault="00C015BD" w:rsidP="00F063C5">
            <w:pPr>
              <w:spacing w:before="40" w:after="120"/>
              <w:ind w:right="113"/>
            </w:pPr>
            <w:r w:rsidRPr="00A530E1">
              <w:t>The proposal came in response to the need to coordinate financial aid from international cooperation agencies through social programmes such as the “Crecer Juntos” initiative.</w:t>
            </w:r>
          </w:p>
        </w:tc>
      </w:tr>
    </w:tbl>
    <w:p w:rsidR="00C015BD" w:rsidRPr="00A530E1" w:rsidRDefault="00C015BD" w:rsidP="00C015BD">
      <w:pPr>
        <w:pStyle w:val="H23G"/>
      </w:pPr>
      <w:r w:rsidRPr="00A530E1">
        <w:tab/>
        <w:t>21.</w:t>
      </w:r>
      <w:r w:rsidRPr="00A530E1">
        <w:tab/>
        <w:t>Article 27</w:t>
      </w:r>
      <w:r w:rsidR="00167501">
        <w:t xml:space="preserve">: </w:t>
      </w:r>
      <w:r w:rsidRPr="00A530E1">
        <w:t>Work and employment</w:t>
      </w:r>
    </w:p>
    <w:p w:rsidR="00C015BD" w:rsidRPr="00A530E1" w:rsidRDefault="00C015BD" w:rsidP="00C015BD">
      <w:pPr>
        <w:pStyle w:val="SingleTxtG"/>
      </w:pPr>
      <w:r w:rsidRPr="00A530E1">
        <w:t>79.</w:t>
      </w:r>
      <w:r w:rsidRPr="00A530E1">
        <w:tab/>
        <w:t>This article recognizes the right of persons with disabilities to work and to gain a living in a labour market and work environment that is open, inclusive and accessible, including in the case of those who acquire a disability during the course of employment.</w:t>
      </w:r>
    </w:p>
    <w:tbl>
      <w:tblPr>
        <w:tblW w:w="9639" w:type="dxa"/>
        <w:tblLayout w:type="fixed"/>
        <w:tblCellMar>
          <w:left w:w="0" w:type="dxa"/>
          <w:right w:w="0" w:type="dxa"/>
        </w:tblCellMar>
        <w:tblLook w:val="01E0" w:firstRow="1" w:lastRow="1" w:firstColumn="1" w:lastColumn="1" w:noHBand="0" w:noVBand="0"/>
      </w:tblPr>
      <w:tblGrid>
        <w:gridCol w:w="4819"/>
        <w:gridCol w:w="4820"/>
      </w:tblGrid>
      <w:tr w:rsidR="00C015BD" w:rsidRPr="00A530E1" w:rsidTr="00F36F80">
        <w:trPr>
          <w:tblHeader/>
        </w:trPr>
        <w:tc>
          <w:tcPr>
            <w:tcW w:w="4819" w:type="dxa"/>
            <w:tcBorders>
              <w:top w:val="single" w:sz="4" w:space="0" w:color="auto"/>
              <w:bottom w:val="single" w:sz="12" w:space="0" w:color="auto"/>
            </w:tcBorders>
            <w:shd w:val="clear" w:color="auto" w:fill="auto"/>
            <w:vAlign w:val="bottom"/>
          </w:tcPr>
          <w:p w:rsidR="00C015BD" w:rsidRPr="00A530E1" w:rsidRDefault="00C015BD" w:rsidP="00F063C5">
            <w:pPr>
              <w:spacing w:before="80" w:after="80" w:line="200" w:lineRule="exact"/>
              <w:ind w:right="113"/>
              <w:rPr>
                <w:i/>
                <w:sz w:val="16"/>
              </w:rPr>
            </w:pPr>
            <w:r w:rsidRPr="00A530E1">
              <w:rPr>
                <w:i/>
                <w:sz w:val="16"/>
              </w:rPr>
              <w:t>Report on</w:t>
            </w:r>
          </w:p>
        </w:tc>
        <w:tc>
          <w:tcPr>
            <w:tcW w:w="4820" w:type="dxa"/>
            <w:tcBorders>
              <w:top w:val="single" w:sz="4" w:space="0" w:color="auto"/>
              <w:bottom w:val="single" w:sz="12" w:space="0" w:color="auto"/>
            </w:tcBorders>
            <w:shd w:val="clear" w:color="auto" w:fill="auto"/>
            <w:vAlign w:val="bottom"/>
          </w:tcPr>
          <w:p w:rsidR="00C015BD" w:rsidRPr="00A530E1" w:rsidRDefault="00C015BD" w:rsidP="00F063C5">
            <w:pPr>
              <w:spacing w:before="80" w:after="80" w:line="200" w:lineRule="exact"/>
              <w:ind w:right="113"/>
              <w:rPr>
                <w:i/>
                <w:sz w:val="16"/>
              </w:rPr>
            </w:pPr>
            <w:r w:rsidRPr="00A530E1">
              <w:rPr>
                <w:i/>
                <w:sz w:val="16"/>
              </w:rPr>
              <w:t>Progress</w:t>
            </w:r>
          </w:p>
        </w:tc>
      </w:tr>
      <w:tr w:rsidR="00C015BD" w:rsidRPr="00A530E1" w:rsidTr="00F36F80">
        <w:trPr>
          <w:trHeight w:hRule="exact" w:val="113"/>
          <w:tblHeader/>
        </w:trPr>
        <w:tc>
          <w:tcPr>
            <w:tcW w:w="4819" w:type="dxa"/>
            <w:tcBorders>
              <w:top w:val="single" w:sz="12" w:space="0" w:color="auto"/>
            </w:tcBorders>
            <w:shd w:val="clear" w:color="auto" w:fill="auto"/>
          </w:tcPr>
          <w:p w:rsidR="00C015BD" w:rsidRPr="00A530E1" w:rsidRDefault="00C015BD" w:rsidP="00F063C5">
            <w:pPr>
              <w:spacing w:before="40" w:after="120"/>
              <w:ind w:right="113"/>
            </w:pPr>
          </w:p>
        </w:tc>
        <w:tc>
          <w:tcPr>
            <w:tcW w:w="4820" w:type="dxa"/>
            <w:tcBorders>
              <w:top w:val="single" w:sz="12" w:space="0" w:color="auto"/>
            </w:tcBorders>
            <w:shd w:val="clear" w:color="auto" w:fill="auto"/>
          </w:tcPr>
          <w:p w:rsidR="00C015BD" w:rsidRPr="00A530E1" w:rsidRDefault="00C015BD" w:rsidP="00F063C5">
            <w:pPr>
              <w:spacing w:before="40" w:after="120"/>
              <w:ind w:right="113"/>
            </w:pPr>
          </w:p>
        </w:tc>
      </w:tr>
      <w:tr w:rsidR="00C015BD" w:rsidRPr="00A530E1" w:rsidTr="00F36F80">
        <w:tc>
          <w:tcPr>
            <w:tcW w:w="4819" w:type="dxa"/>
            <w:shd w:val="clear" w:color="auto" w:fill="auto"/>
          </w:tcPr>
          <w:p w:rsidR="00C015BD" w:rsidRPr="00A530E1" w:rsidRDefault="00C015BD" w:rsidP="00F063C5">
            <w:pPr>
              <w:spacing w:before="40" w:after="120"/>
              <w:ind w:right="113"/>
            </w:pPr>
            <w:r w:rsidRPr="00A530E1">
              <w:t>The legislative measures taken to ensure protection against discrimination in all stages of employment and in any form of employment and to recognize the right of persons with disabilities to work on a basis of equality with others, in particular the right to equal pay for equal work</w:t>
            </w:r>
          </w:p>
        </w:tc>
        <w:tc>
          <w:tcPr>
            <w:tcW w:w="4820" w:type="dxa"/>
            <w:shd w:val="clear" w:color="auto" w:fill="auto"/>
          </w:tcPr>
          <w:p w:rsidR="00C015BD" w:rsidRPr="00A530E1" w:rsidRDefault="00C015BD" w:rsidP="00F063C5">
            <w:pPr>
              <w:spacing w:before="40" w:after="120"/>
              <w:ind w:right="113"/>
            </w:pPr>
            <w:r w:rsidRPr="00A530E1">
              <w:t>Supreme Decree No. 027-2007-PCM establishes that the Omnibus Act on Persons with Disabilities (Act No. 27050) reflects a national policy and requires all institutions within the public sector to abide by the provisions of that law under which at least 3 per cent of the total workforce of each public body must be composed of workers with disabilities. As mentioned earlier, failure to achieve this quota is punishable with a fine under the new Offences and Penalties Act.</w:t>
            </w:r>
          </w:p>
          <w:p w:rsidR="00C015BD" w:rsidRPr="00A530E1" w:rsidRDefault="00C015BD" w:rsidP="00F063C5">
            <w:pPr>
              <w:spacing w:before="40" w:after="120"/>
              <w:ind w:right="113"/>
            </w:pPr>
            <w:r w:rsidRPr="00A530E1">
              <w:t>An important component of the supreme decree concerns the access of persons with disabilities to management positions, provided that they meet the appropriate occupational profile.</w:t>
            </w:r>
          </w:p>
          <w:p w:rsidR="00C015BD" w:rsidRPr="00A530E1" w:rsidRDefault="00C015BD" w:rsidP="00F063C5">
            <w:pPr>
              <w:spacing w:before="40" w:after="120"/>
              <w:ind w:right="113"/>
            </w:pPr>
            <w:r w:rsidRPr="00A530E1">
              <w:t>Legislative proposals that would extend this recruitment system to the private sector have been submitted but have not yet been adopted by Congress.</w:t>
            </w:r>
          </w:p>
        </w:tc>
      </w:tr>
      <w:tr w:rsidR="00C015BD" w:rsidRPr="00A530E1" w:rsidTr="00F36F80">
        <w:tc>
          <w:tcPr>
            <w:tcW w:w="4819" w:type="dxa"/>
            <w:shd w:val="clear" w:color="auto" w:fill="auto"/>
          </w:tcPr>
          <w:p w:rsidR="00C015BD" w:rsidRPr="00A530E1" w:rsidRDefault="00C015BD" w:rsidP="00F063C5">
            <w:pPr>
              <w:spacing w:before="40" w:after="120"/>
              <w:ind w:right="113"/>
            </w:pPr>
            <w:r w:rsidRPr="00A530E1">
              <w:t>The impact of targeted employment programmes and policies in place to achieve full and productive employment among persons with disabilities according to paragraphs 1 (a to g) of article 27 of the Convention</w:t>
            </w:r>
          </w:p>
        </w:tc>
        <w:tc>
          <w:tcPr>
            <w:tcW w:w="4820" w:type="dxa"/>
            <w:shd w:val="clear" w:color="auto" w:fill="auto"/>
          </w:tcPr>
          <w:p w:rsidR="00C015BD" w:rsidRPr="00A530E1" w:rsidRDefault="00C015BD" w:rsidP="00F063C5">
            <w:pPr>
              <w:spacing w:before="40" w:after="120"/>
              <w:ind w:right="113"/>
            </w:pPr>
            <w:r w:rsidRPr="00A530E1">
              <w:t>In accordance with the implementing regulations of the Public Tenders Act (Supreme Decree No. 184-2008-EF), if the bids of two businesses are ranked equally, preference is to be given to the enterprise that employs staff with disabilities.</w:t>
            </w:r>
          </w:p>
        </w:tc>
      </w:tr>
      <w:tr w:rsidR="00C015BD" w:rsidRPr="00A530E1" w:rsidTr="00F36F80">
        <w:tc>
          <w:tcPr>
            <w:tcW w:w="4819" w:type="dxa"/>
            <w:shd w:val="clear" w:color="auto" w:fill="auto"/>
          </w:tcPr>
          <w:p w:rsidR="00C015BD" w:rsidRPr="00A530E1" w:rsidRDefault="00C015BD" w:rsidP="00F063C5">
            <w:pPr>
              <w:spacing w:before="40" w:after="120"/>
              <w:ind w:right="113"/>
            </w:pPr>
            <w:r w:rsidRPr="00A530E1">
              <w:t>The impact of measures to facilitate re-employment of persons with disabilities, who are made redundant as a result of privatization, downsizing and economic restructuring of public and private enterprises according to paragraph 1 (e) of the Convention</w:t>
            </w:r>
          </w:p>
        </w:tc>
        <w:tc>
          <w:tcPr>
            <w:tcW w:w="4820" w:type="dxa"/>
            <w:shd w:val="clear" w:color="auto" w:fill="auto"/>
          </w:tcPr>
          <w:p w:rsidR="00C015BD" w:rsidRPr="00A530E1" w:rsidRDefault="00C015BD" w:rsidP="00F063C5">
            <w:pPr>
              <w:spacing w:before="40" w:after="120"/>
              <w:ind w:right="113"/>
            </w:pPr>
            <w:r w:rsidRPr="00A530E1">
              <w:t>Ministerial Decision No. 027-2010-TR to adopt a methodological guide for the organization of events for persons with disabilities.</w:t>
            </w:r>
          </w:p>
        </w:tc>
      </w:tr>
      <w:tr w:rsidR="00C015BD" w:rsidRPr="00A530E1" w:rsidTr="00F36F80">
        <w:tc>
          <w:tcPr>
            <w:tcW w:w="4819" w:type="dxa"/>
            <w:shd w:val="clear" w:color="auto" w:fill="auto"/>
          </w:tcPr>
          <w:p w:rsidR="00C015BD" w:rsidRPr="00A530E1" w:rsidRDefault="00C015BD" w:rsidP="00F063C5">
            <w:pPr>
              <w:spacing w:before="40" w:after="120"/>
              <w:ind w:right="113"/>
            </w:pPr>
            <w:r w:rsidRPr="00A530E1">
              <w:t>Availability of technical and financial assistance for the provision of reasonable accommodations, including promotion of the establishment of cooperatives and start-ups in order to encourage entrepreneurialism</w:t>
            </w:r>
          </w:p>
        </w:tc>
        <w:tc>
          <w:tcPr>
            <w:tcW w:w="4820" w:type="dxa"/>
            <w:shd w:val="clear" w:color="auto" w:fill="auto"/>
          </w:tcPr>
          <w:p w:rsidR="00C015BD" w:rsidRPr="00A530E1" w:rsidRDefault="00C015BD" w:rsidP="00F063C5">
            <w:pPr>
              <w:spacing w:before="40" w:after="120"/>
              <w:ind w:right="113"/>
            </w:pPr>
            <w:r w:rsidRPr="00A530E1">
              <w:t>A system is in place to finance microenterprises and business ventures run by persons with disabilities through the COFIDE Development Bank. COFIDE operates as a second-tier bank in managing funds that are provided at promotional rates to bodies such as the Trujillo Municipal Fund, which administers strategies for the promotion of self-employment among persons with disabilities (e.g., the “CrediAmigo” (friendly credit) strategy.</w:t>
            </w:r>
          </w:p>
        </w:tc>
      </w:tr>
      <w:tr w:rsidR="00C015BD" w:rsidRPr="00A530E1" w:rsidTr="00F36F80">
        <w:tc>
          <w:tcPr>
            <w:tcW w:w="4819" w:type="dxa"/>
            <w:shd w:val="clear" w:color="auto" w:fill="auto"/>
          </w:tcPr>
          <w:p w:rsidR="00C015BD" w:rsidRPr="00A530E1" w:rsidRDefault="00C015BD" w:rsidP="00F063C5">
            <w:pPr>
              <w:spacing w:before="40" w:after="120"/>
              <w:ind w:right="113"/>
            </w:pPr>
            <w:r w:rsidRPr="00A530E1">
              <w:t>Affirmative and effective action measures for the employment of persons with disabilities in the regular labour market</w:t>
            </w:r>
          </w:p>
        </w:tc>
        <w:tc>
          <w:tcPr>
            <w:tcW w:w="4820" w:type="dxa"/>
            <w:shd w:val="clear" w:color="auto" w:fill="auto"/>
          </w:tcPr>
          <w:p w:rsidR="00C015BD" w:rsidRPr="00A530E1" w:rsidRDefault="00C015BD" w:rsidP="00F063C5">
            <w:pPr>
              <w:spacing w:before="40" w:after="120"/>
              <w:ind w:right="113"/>
            </w:pPr>
            <w:r w:rsidRPr="00A530E1">
              <w:t>The Ministry of Labour devotes particular attention to persons with disabilities through such programmes as “Construyendo Perú” (building Peru), “ProJoven” (pro-youth) and “Revalora Perú” (adding value to Peru), which provide opportunities for temporary work but also for vocational skills-building; in the case of “Revalora Perú”, a vocational retraining programme created in response to the economic crisis, participants are taught skills that are in high demand in the labour market in courses held at top-level technical centres.</w:t>
            </w:r>
          </w:p>
        </w:tc>
      </w:tr>
      <w:tr w:rsidR="00C015BD" w:rsidRPr="00A530E1" w:rsidTr="00F36F80">
        <w:tc>
          <w:tcPr>
            <w:tcW w:w="4819" w:type="dxa"/>
            <w:shd w:val="clear" w:color="auto" w:fill="auto"/>
          </w:tcPr>
          <w:p w:rsidR="00C015BD" w:rsidRPr="00A530E1" w:rsidRDefault="00C015BD" w:rsidP="00F063C5">
            <w:pPr>
              <w:spacing w:before="40" w:after="120"/>
              <w:ind w:right="113"/>
            </w:pPr>
            <w:r w:rsidRPr="00A530E1">
              <w:t>Positive and effective action measures for the prevention of harassment of persons with disabilities in the workplace</w:t>
            </w:r>
          </w:p>
        </w:tc>
        <w:tc>
          <w:tcPr>
            <w:tcW w:w="4820" w:type="dxa"/>
            <w:shd w:val="clear" w:color="auto" w:fill="auto"/>
          </w:tcPr>
          <w:p w:rsidR="00C015BD" w:rsidRPr="00A530E1" w:rsidRDefault="00C015BD" w:rsidP="00F063C5">
            <w:pPr>
              <w:spacing w:before="40" w:after="120"/>
              <w:ind w:right="113"/>
            </w:pPr>
            <w:r w:rsidRPr="00A530E1">
              <w:t>All public bodies have adopted directives on the application of Act No. 27942 on the Prevention and Punishment of Sexual Harassment.</w:t>
            </w:r>
          </w:p>
          <w:p w:rsidR="00C015BD" w:rsidRPr="00A530E1" w:rsidRDefault="00C015BD" w:rsidP="00F063C5">
            <w:pPr>
              <w:spacing w:before="40" w:after="120"/>
              <w:ind w:right="113"/>
            </w:pPr>
            <w:r w:rsidRPr="00A530E1">
              <w:t>Acts of discrimination are punishable under the Code of Criminal Procedure.</w:t>
            </w:r>
          </w:p>
          <w:p w:rsidR="00C015BD" w:rsidRPr="00A530E1" w:rsidRDefault="00C015BD" w:rsidP="00F063C5">
            <w:pPr>
              <w:spacing w:before="40" w:after="120"/>
              <w:ind w:right="113"/>
            </w:pPr>
            <w:r w:rsidRPr="00A530E1">
              <w:t>Public officials must conduct their work in accordance with the Framework Act on Public Employment: “Principle of probity and public ethics: public employees shall act in accordance with the ethical principles and values established in the Constitution and legislation, as is required for public service.”</w:t>
            </w:r>
          </w:p>
        </w:tc>
      </w:tr>
      <w:tr w:rsidR="00C015BD" w:rsidRPr="00A530E1" w:rsidTr="00F36F80">
        <w:tc>
          <w:tcPr>
            <w:tcW w:w="4819" w:type="dxa"/>
            <w:shd w:val="clear" w:color="auto" w:fill="auto"/>
          </w:tcPr>
          <w:p w:rsidR="00C015BD" w:rsidRPr="00A530E1" w:rsidRDefault="00C015BD" w:rsidP="00F063C5">
            <w:pPr>
              <w:spacing w:before="40" w:after="120"/>
              <w:ind w:right="113"/>
            </w:pPr>
            <w:r w:rsidRPr="00A530E1">
              <w:t xml:space="preserve">Accessibility of persons with disabilities to open employment and vocational training services, including </w:t>
            </w:r>
            <w:r w:rsidR="00BA1EA1">
              <w:t>those for the promotion of self-</w:t>
            </w:r>
            <w:r w:rsidRPr="00A530E1">
              <w:t>employment</w:t>
            </w:r>
          </w:p>
        </w:tc>
        <w:tc>
          <w:tcPr>
            <w:tcW w:w="4820" w:type="dxa"/>
            <w:shd w:val="clear" w:color="auto" w:fill="auto"/>
          </w:tcPr>
          <w:p w:rsidR="00C015BD" w:rsidRPr="00A530E1" w:rsidRDefault="00C015BD" w:rsidP="00F063C5">
            <w:pPr>
              <w:spacing w:before="40" w:after="120"/>
              <w:ind w:right="113"/>
            </w:pPr>
            <w:r w:rsidRPr="00A530E1">
              <w:t>Under Supreme Decree No. 001-2003-TR creating the Register of Firms that Promote the Interests of Persons with Disabilities, the Ministry of Labour established a sectoral policy which includes a set of actions aimed at informing firms on the Register and businesses in general about the benefits provided for by law for firms that hire persons with disabilities</w:t>
            </w:r>
            <w:r w:rsidR="00CF5F69">
              <w:t xml:space="preserve"> </w:t>
            </w:r>
            <w:r w:rsidRPr="00A530E1">
              <w:t>and at raising managers’ awareness of the need to promote the interests of this vulnerable group and the integration of its members into the labour market.</w:t>
            </w:r>
          </w:p>
        </w:tc>
      </w:tr>
      <w:tr w:rsidR="00C015BD" w:rsidRPr="00A530E1" w:rsidTr="00F36F80">
        <w:tc>
          <w:tcPr>
            <w:tcW w:w="4819" w:type="dxa"/>
            <w:shd w:val="clear" w:color="auto" w:fill="auto"/>
          </w:tcPr>
          <w:p w:rsidR="00C015BD" w:rsidRPr="00A530E1" w:rsidRDefault="00C015BD" w:rsidP="00F063C5">
            <w:pPr>
              <w:spacing w:before="40" w:after="120"/>
              <w:ind w:right="113"/>
            </w:pPr>
            <w:r w:rsidRPr="00A530E1">
              <w:t>Information on existing significant differences in employment between men and women with disabilities and whether there are policies and legislation to cater for these differences in order to promote the advancement of women with disabilities</w:t>
            </w:r>
          </w:p>
        </w:tc>
        <w:tc>
          <w:tcPr>
            <w:tcW w:w="4820" w:type="dxa"/>
            <w:shd w:val="clear" w:color="auto" w:fill="auto"/>
          </w:tcPr>
          <w:p w:rsidR="00C015BD" w:rsidRPr="00A530E1" w:rsidRDefault="00C015BD" w:rsidP="00F063C5">
            <w:pPr>
              <w:spacing w:before="40" w:after="120"/>
              <w:ind w:right="113"/>
            </w:pPr>
            <w:r w:rsidRPr="00A530E1">
              <w:t>The eradication of all forms of discrimination against persons with disabilities is a State policy with which all public-sector bodies must comply, as stipulated by the Office of the President of the Council of Ministers in 2007 in Supreme Decree No. 027.</w:t>
            </w:r>
          </w:p>
        </w:tc>
      </w:tr>
      <w:tr w:rsidR="00C015BD" w:rsidRPr="00A530E1" w:rsidTr="00F36F80">
        <w:tc>
          <w:tcPr>
            <w:tcW w:w="4819" w:type="dxa"/>
            <w:shd w:val="clear" w:color="auto" w:fill="auto"/>
          </w:tcPr>
          <w:p w:rsidR="00C015BD" w:rsidRPr="00A530E1" w:rsidRDefault="00C015BD" w:rsidP="00F063C5">
            <w:pPr>
              <w:spacing w:before="40" w:after="120"/>
              <w:ind w:right="113"/>
            </w:pPr>
            <w:r w:rsidRPr="00A530E1">
              <w:t>Identification of the most vulnerable groups among persons with disabilities (including by providing examples) and policies and legislation in place for their inclusion in the labour market</w:t>
            </w:r>
          </w:p>
        </w:tc>
        <w:tc>
          <w:tcPr>
            <w:tcW w:w="4820" w:type="dxa"/>
            <w:shd w:val="clear" w:color="auto" w:fill="auto"/>
          </w:tcPr>
          <w:p w:rsidR="00C015BD" w:rsidRPr="00A530E1" w:rsidRDefault="00C015BD" w:rsidP="00D63C5F">
            <w:pPr>
              <w:spacing w:before="40" w:after="120"/>
              <w:ind w:right="113"/>
            </w:pPr>
            <w:r w:rsidRPr="00A530E1">
              <w:t>Bill No. 03112/2008/CR contains proposed amendments to article 65 of National Pensions System Decree-Law No. 19990 which would provide for the employment of disabled recipients of orphan’s benefits.</w:t>
            </w:r>
          </w:p>
        </w:tc>
      </w:tr>
      <w:tr w:rsidR="00C015BD" w:rsidRPr="00A530E1" w:rsidTr="00F36F80">
        <w:tc>
          <w:tcPr>
            <w:tcW w:w="4819" w:type="dxa"/>
            <w:shd w:val="clear" w:color="auto" w:fill="auto"/>
          </w:tcPr>
          <w:p w:rsidR="00C015BD" w:rsidRPr="00A530E1" w:rsidRDefault="00C015BD" w:rsidP="00F063C5">
            <w:pPr>
              <w:spacing w:before="40" w:after="120"/>
              <w:ind w:right="113"/>
            </w:pPr>
            <w:r w:rsidRPr="00A530E1">
              <w:t>Measures taken for the promotion of the trade union rights of persons with disabilities</w:t>
            </w:r>
          </w:p>
        </w:tc>
        <w:tc>
          <w:tcPr>
            <w:tcW w:w="4820" w:type="dxa"/>
            <w:shd w:val="clear" w:color="auto" w:fill="auto"/>
          </w:tcPr>
          <w:p w:rsidR="00C015BD" w:rsidRPr="00A530E1" w:rsidRDefault="00C015BD" w:rsidP="00F063C5">
            <w:pPr>
              <w:spacing w:before="40" w:after="120"/>
              <w:ind w:right="113"/>
            </w:pPr>
            <w:r w:rsidRPr="00A530E1">
              <w:t>Peruvian labour legislation protects the trade-union rights of all workers.</w:t>
            </w:r>
          </w:p>
        </w:tc>
      </w:tr>
      <w:tr w:rsidR="00C015BD" w:rsidRPr="00A530E1" w:rsidTr="00F36F80">
        <w:tc>
          <w:tcPr>
            <w:tcW w:w="4819" w:type="dxa"/>
            <w:shd w:val="clear" w:color="auto" w:fill="auto"/>
          </w:tcPr>
          <w:p w:rsidR="00C015BD" w:rsidRPr="00A530E1" w:rsidRDefault="00C015BD" w:rsidP="00F063C5">
            <w:pPr>
              <w:spacing w:before="40" w:after="120"/>
              <w:ind w:right="113"/>
            </w:pPr>
            <w:r w:rsidRPr="00A530E1">
              <w:t>Measures taken to assure the retention and retraining of workers who suffer a workplace injury resulting in a disability preventing them from performing their previous tasks</w:t>
            </w:r>
          </w:p>
        </w:tc>
        <w:tc>
          <w:tcPr>
            <w:tcW w:w="4820" w:type="dxa"/>
            <w:shd w:val="clear" w:color="auto" w:fill="auto"/>
          </w:tcPr>
          <w:p w:rsidR="00C015BD" w:rsidRPr="00A530E1" w:rsidRDefault="00C015BD" w:rsidP="00F063C5">
            <w:pPr>
              <w:spacing w:before="40" w:after="120"/>
              <w:ind w:right="113"/>
            </w:pPr>
            <w:r w:rsidRPr="00A530E1">
              <w:t>Congressional bill No. 03113/2008 proposes the addition of a twenty-third provision to Legislative Decree No. 816 (the Tax Code) and amendments to articles 37 and 46 of Legislative Decree No. 774 (the Income Tax Act) and articles 17, 19, 28 and 37 of Legislative Decree No. 776 (the Municipal Taxation Act), which regulate the payment of taxes by persons with disabilities.</w:t>
            </w:r>
          </w:p>
          <w:p w:rsidR="00C015BD" w:rsidRPr="00A530E1" w:rsidRDefault="00C015BD" w:rsidP="00D63C5F">
            <w:pPr>
              <w:spacing w:before="40" w:after="480"/>
              <w:ind w:right="113"/>
            </w:pPr>
            <w:r w:rsidRPr="00A530E1">
              <w:t>Adoption of the Comprehensive Health Insurance Act, which covers temporary unemployment.</w:t>
            </w:r>
          </w:p>
        </w:tc>
      </w:tr>
      <w:tr w:rsidR="00C015BD" w:rsidRPr="00A530E1" w:rsidTr="00F36F80">
        <w:tc>
          <w:tcPr>
            <w:tcW w:w="4819" w:type="dxa"/>
            <w:shd w:val="clear" w:color="auto" w:fill="auto"/>
          </w:tcPr>
          <w:p w:rsidR="00C015BD" w:rsidRPr="00A530E1" w:rsidRDefault="00C015BD" w:rsidP="00F063C5">
            <w:pPr>
              <w:spacing w:before="40" w:after="120"/>
              <w:ind w:right="113"/>
            </w:pPr>
            <w:r w:rsidRPr="00A530E1">
              <w:t>Information on the work of persons with disabilities in the informal economy in the State party, and the measures taken to enable them to move out of the informal economy, as well as on measures taken to ensure their access to basic services and social protection</w:t>
            </w:r>
          </w:p>
        </w:tc>
        <w:tc>
          <w:tcPr>
            <w:tcW w:w="4820" w:type="dxa"/>
            <w:shd w:val="clear" w:color="auto" w:fill="auto"/>
          </w:tcPr>
          <w:p w:rsidR="00C015BD" w:rsidRPr="00A530E1" w:rsidRDefault="00C015BD" w:rsidP="00F063C5">
            <w:pPr>
              <w:spacing w:before="40" w:after="120"/>
              <w:ind w:right="113"/>
            </w:pPr>
            <w:r w:rsidRPr="00A530E1">
              <w:t>The Ministry of Women and Social Development and CONADIS published a baseline study on labour demand for persons with disabilities in Peruvian businesses. This study identifies the professional attributes that businesses seek in persons with disabilities. Financial support was provided by JICA.</w:t>
            </w:r>
          </w:p>
        </w:tc>
      </w:tr>
      <w:tr w:rsidR="00C015BD" w:rsidRPr="00A530E1" w:rsidTr="00F36F80">
        <w:tc>
          <w:tcPr>
            <w:tcW w:w="4819" w:type="dxa"/>
            <w:shd w:val="clear" w:color="auto" w:fill="auto"/>
          </w:tcPr>
          <w:p w:rsidR="00C015BD" w:rsidRPr="00A530E1" w:rsidRDefault="00C015BD" w:rsidP="00F063C5">
            <w:pPr>
              <w:spacing w:before="40" w:after="120"/>
              <w:ind w:right="113"/>
            </w:pPr>
            <w:r w:rsidRPr="00A530E1">
              <w:t>Legal safeguards in place to protect workers with disabilities from unfair dismissal, and forced or compulsory labour according to article 27, paragraph 2</w:t>
            </w:r>
          </w:p>
        </w:tc>
        <w:tc>
          <w:tcPr>
            <w:tcW w:w="4820" w:type="dxa"/>
            <w:shd w:val="clear" w:color="auto" w:fill="auto"/>
          </w:tcPr>
          <w:p w:rsidR="00C015BD" w:rsidRPr="00A530E1" w:rsidRDefault="00C015BD" w:rsidP="00F063C5">
            <w:pPr>
              <w:spacing w:before="40" w:after="120"/>
              <w:ind w:right="113"/>
            </w:pPr>
            <w:r w:rsidRPr="00A530E1">
              <w:t>Supreme Decree No. 018-2006-TR establishes the functions of the National Office for the Promotion of Employment of Persons with Disabilities within the Ministry of Labour. This office is responsible for promoting the rights of workers with disabilities, as well as providing and facilitating advisory, legal defence, mediation and conciliation services free of charge on a non-discriminatory and equal opportunity basis.</w:t>
            </w:r>
          </w:p>
        </w:tc>
      </w:tr>
      <w:tr w:rsidR="00C015BD" w:rsidRPr="00A530E1" w:rsidTr="00F36F80">
        <w:tc>
          <w:tcPr>
            <w:tcW w:w="4819" w:type="dxa"/>
            <w:shd w:val="clear" w:color="auto" w:fill="auto"/>
          </w:tcPr>
          <w:p w:rsidR="00C015BD" w:rsidRPr="00A530E1" w:rsidRDefault="00C015BD" w:rsidP="00F063C5">
            <w:pPr>
              <w:spacing w:before="40" w:after="120"/>
              <w:ind w:right="113"/>
            </w:pPr>
            <w:r w:rsidRPr="00A530E1">
              <w:t>Measures taken to ensure persons with disabilities who have technical and vocational skills are empowered with the support needed for their entry and re-entry to the labour market according to paragraph 1 (k)</w:t>
            </w:r>
          </w:p>
        </w:tc>
        <w:tc>
          <w:tcPr>
            <w:tcW w:w="4820" w:type="dxa"/>
            <w:shd w:val="clear" w:color="auto" w:fill="auto"/>
          </w:tcPr>
          <w:p w:rsidR="00C015BD" w:rsidRPr="00A530E1" w:rsidRDefault="00C015BD" w:rsidP="00F063C5">
            <w:pPr>
              <w:spacing w:before="40" w:after="120"/>
              <w:ind w:right="113"/>
            </w:pPr>
            <w:r w:rsidRPr="00A530E1">
              <w:t>The “Red CIL Proempleo” (CIL pro-employment network) programme works as a national labour exchange that seeks to match up job-seekers with businesses that have job openings.</w:t>
            </w:r>
          </w:p>
        </w:tc>
      </w:tr>
      <w:tr w:rsidR="00C015BD" w:rsidRPr="00A530E1" w:rsidTr="00F36F80">
        <w:tc>
          <w:tcPr>
            <w:tcW w:w="4819" w:type="dxa"/>
            <w:shd w:val="clear" w:color="auto" w:fill="auto"/>
          </w:tcPr>
          <w:p w:rsidR="00C015BD" w:rsidRPr="00A530E1" w:rsidRDefault="00C015BD" w:rsidP="00F063C5">
            <w:pPr>
              <w:spacing w:before="40" w:after="120"/>
              <w:ind w:right="113"/>
            </w:pPr>
            <w:r w:rsidRPr="00A530E1">
              <w:t>Measures taken to ensure students with disabilities the same access to the general labour market</w:t>
            </w:r>
          </w:p>
        </w:tc>
        <w:tc>
          <w:tcPr>
            <w:tcW w:w="4820" w:type="dxa"/>
            <w:shd w:val="clear" w:color="auto" w:fill="auto"/>
          </w:tcPr>
          <w:p w:rsidR="00C015BD" w:rsidRPr="00A530E1" w:rsidRDefault="00C015BD" w:rsidP="00F063C5">
            <w:pPr>
              <w:spacing w:before="40" w:after="120"/>
              <w:ind w:right="113"/>
            </w:pPr>
            <w:r w:rsidRPr="00A530E1">
              <w:t>CONADIS runs the Alcides Salomón Zorilla Technical/Vocational Education Centre, which provides training to persons with disabilities in areas such as carpentry, gardening, bread-making, sewing and computer sciences. Several fairs have been organized in which goods produced at the Centre are exhibited and sold.</w:t>
            </w:r>
          </w:p>
        </w:tc>
      </w:tr>
      <w:tr w:rsidR="00C015BD" w:rsidRPr="00A530E1" w:rsidTr="00F36F80">
        <w:tc>
          <w:tcPr>
            <w:tcW w:w="4819" w:type="dxa"/>
            <w:shd w:val="clear" w:color="auto" w:fill="auto"/>
          </w:tcPr>
          <w:p w:rsidR="00C015BD" w:rsidRPr="00A530E1" w:rsidRDefault="00C015BD" w:rsidP="00F063C5">
            <w:pPr>
              <w:spacing w:before="40" w:after="120"/>
              <w:ind w:right="113"/>
            </w:pPr>
            <w:r w:rsidRPr="00A530E1">
              <w:t>Measures taken to ensure various forms of work, such as work on location, telecommuting (off-site/at home) and subcontracting, and work opportunities offered by new communication technologies</w:t>
            </w:r>
          </w:p>
        </w:tc>
        <w:tc>
          <w:tcPr>
            <w:tcW w:w="4820" w:type="dxa"/>
            <w:shd w:val="clear" w:color="auto" w:fill="auto"/>
          </w:tcPr>
          <w:p w:rsidR="00C015BD" w:rsidRPr="00A530E1" w:rsidRDefault="00C015BD" w:rsidP="00F063C5">
            <w:pPr>
              <w:spacing w:before="40" w:after="120"/>
              <w:ind w:right="113"/>
            </w:pPr>
            <w:r w:rsidRPr="00A530E1">
              <w:t>The National University of Engineering, through its National Institute for Telecommunications Research and Training (INICTEL), offers training courses in information and communications technologies. The achievements of this initiative can be viewed at http://cetic.inictel.net (in Spanish). The courses are approved for persons with disabilities.</w:t>
            </w:r>
          </w:p>
        </w:tc>
      </w:tr>
      <w:tr w:rsidR="00011DC2" w:rsidRPr="00A530E1" w:rsidTr="00F36F80">
        <w:tc>
          <w:tcPr>
            <w:tcW w:w="4819" w:type="dxa"/>
            <w:tcBorders>
              <w:bottom w:val="single" w:sz="12" w:space="0" w:color="auto"/>
            </w:tcBorders>
            <w:shd w:val="clear" w:color="auto" w:fill="auto"/>
          </w:tcPr>
          <w:p w:rsidR="00011DC2" w:rsidRPr="00A530E1" w:rsidRDefault="00011DC2" w:rsidP="00F063C5">
            <w:pPr>
              <w:spacing w:before="40" w:after="120"/>
              <w:ind w:right="113"/>
            </w:pPr>
          </w:p>
        </w:tc>
        <w:tc>
          <w:tcPr>
            <w:tcW w:w="4820" w:type="dxa"/>
            <w:tcBorders>
              <w:bottom w:val="single" w:sz="12" w:space="0" w:color="auto"/>
            </w:tcBorders>
            <w:shd w:val="clear" w:color="auto" w:fill="auto"/>
          </w:tcPr>
          <w:p w:rsidR="00011DC2" w:rsidRPr="00A530E1" w:rsidRDefault="00011DC2" w:rsidP="00F063C5">
            <w:pPr>
              <w:spacing w:before="40" w:after="120"/>
              <w:ind w:right="113"/>
            </w:pPr>
            <w:r w:rsidRPr="00A530E1">
              <w:t>Peru is part of the Partnership in Opportunities for Employment through Technology in the Americas (POETA), under the auspices of the Organization of American States (OAS), which promotes opportunities for training in information and communications technologies for persons with disabilities. CONADIS is in the process of joining the National Advisory Committee.</w:t>
            </w:r>
          </w:p>
        </w:tc>
      </w:tr>
    </w:tbl>
    <w:p w:rsidR="007F32AD" w:rsidRDefault="007F32AD" w:rsidP="00C015BD">
      <w:pPr>
        <w:pStyle w:val="H23G"/>
      </w:pPr>
    </w:p>
    <w:p w:rsidR="00C015BD" w:rsidRPr="00A530E1" w:rsidRDefault="007F32AD" w:rsidP="00C015BD">
      <w:pPr>
        <w:pStyle w:val="H23G"/>
      </w:pPr>
      <w:r>
        <w:br w:type="page"/>
      </w:r>
      <w:r w:rsidR="00C015BD" w:rsidRPr="00A530E1">
        <w:tab/>
        <w:t>22.</w:t>
      </w:r>
      <w:r w:rsidR="00C015BD" w:rsidRPr="00A530E1">
        <w:tab/>
        <w:t>Article 28</w:t>
      </w:r>
      <w:r w:rsidR="00AC6911" w:rsidRPr="00A530E1">
        <w:t xml:space="preserve">: </w:t>
      </w:r>
      <w:r w:rsidR="00C015BD" w:rsidRPr="00A530E1">
        <w:t>Adequate standard of living and social protection</w:t>
      </w:r>
    </w:p>
    <w:p w:rsidR="00C015BD" w:rsidRPr="00A530E1" w:rsidRDefault="00C015BD" w:rsidP="00C015BD">
      <w:pPr>
        <w:pStyle w:val="SingleTxtG"/>
      </w:pPr>
      <w:r w:rsidRPr="00A530E1">
        <w:t>80.</w:t>
      </w:r>
      <w:r w:rsidRPr="00A530E1">
        <w:tab/>
        <w:t>This article recognizes the right of persons with disabilities to an adequate standard of living and to social protection.</w:t>
      </w:r>
    </w:p>
    <w:tbl>
      <w:tblPr>
        <w:tblW w:w="9639" w:type="dxa"/>
        <w:tblLayout w:type="fixed"/>
        <w:tblCellMar>
          <w:left w:w="0" w:type="dxa"/>
          <w:right w:w="0" w:type="dxa"/>
        </w:tblCellMar>
        <w:tblLook w:val="01E0" w:firstRow="1" w:lastRow="1" w:firstColumn="1" w:lastColumn="1" w:noHBand="0" w:noVBand="0"/>
      </w:tblPr>
      <w:tblGrid>
        <w:gridCol w:w="4816"/>
        <w:gridCol w:w="4823"/>
      </w:tblGrid>
      <w:tr w:rsidR="00C015BD" w:rsidRPr="00A530E1" w:rsidTr="000F3F22">
        <w:trPr>
          <w:tblHeader/>
        </w:trPr>
        <w:tc>
          <w:tcPr>
            <w:tcW w:w="4816" w:type="dxa"/>
            <w:tcBorders>
              <w:top w:val="single" w:sz="4" w:space="0" w:color="auto"/>
              <w:bottom w:val="single" w:sz="12" w:space="0" w:color="auto"/>
            </w:tcBorders>
            <w:shd w:val="clear" w:color="auto" w:fill="auto"/>
            <w:vAlign w:val="bottom"/>
          </w:tcPr>
          <w:p w:rsidR="00C015BD" w:rsidRPr="00A530E1" w:rsidRDefault="00C015BD" w:rsidP="00F063C5">
            <w:pPr>
              <w:spacing w:before="80" w:after="80" w:line="200" w:lineRule="exact"/>
              <w:ind w:right="113"/>
              <w:rPr>
                <w:i/>
                <w:sz w:val="16"/>
              </w:rPr>
            </w:pPr>
            <w:r w:rsidRPr="00A530E1">
              <w:rPr>
                <w:i/>
                <w:sz w:val="16"/>
              </w:rPr>
              <w:t>Report on</w:t>
            </w:r>
          </w:p>
        </w:tc>
        <w:tc>
          <w:tcPr>
            <w:tcW w:w="4823" w:type="dxa"/>
            <w:tcBorders>
              <w:top w:val="single" w:sz="4" w:space="0" w:color="auto"/>
              <w:bottom w:val="single" w:sz="12" w:space="0" w:color="auto"/>
            </w:tcBorders>
            <w:shd w:val="clear" w:color="auto" w:fill="auto"/>
            <w:vAlign w:val="bottom"/>
          </w:tcPr>
          <w:p w:rsidR="00C015BD" w:rsidRPr="00A530E1" w:rsidRDefault="00C015BD" w:rsidP="00F063C5">
            <w:pPr>
              <w:spacing w:before="80" w:after="80" w:line="200" w:lineRule="exact"/>
              <w:ind w:right="113"/>
              <w:rPr>
                <w:i/>
                <w:sz w:val="16"/>
              </w:rPr>
            </w:pPr>
            <w:r w:rsidRPr="00A530E1">
              <w:rPr>
                <w:i/>
                <w:sz w:val="16"/>
              </w:rPr>
              <w:t>Progress</w:t>
            </w:r>
          </w:p>
        </w:tc>
      </w:tr>
      <w:tr w:rsidR="00C015BD" w:rsidRPr="00A530E1" w:rsidTr="000F3F22">
        <w:trPr>
          <w:trHeight w:hRule="exact" w:val="113"/>
          <w:tblHeader/>
        </w:trPr>
        <w:tc>
          <w:tcPr>
            <w:tcW w:w="4816" w:type="dxa"/>
            <w:tcBorders>
              <w:top w:val="single" w:sz="12" w:space="0" w:color="auto"/>
            </w:tcBorders>
            <w:shd w:val="clear" w:color="auto" w:fill="auto"/>
          </w:tcPr>
          <w:p w:rsidR="00C015BD" w:rsidRPr="00A530E1" w:rsidRDefault="00C015BD" w:rsidP="00F063C5">
            <w:pPr>
              <w:spacing w:before="40" w:after="120"/>
              <w:ind w:right="113"/>
            </w:pPr>
          </w:p>
        </w:tc>
        <w:tc>
          <w:tcPr>
            <w:tcW w:w="4823" w:type="dxa"/>
            <w:tcBorders>
              <w:top w:val="single" w:sz="12" w:space="0" w:color="auto"/>
            </w:tcBorders>
            <w:shd w:val="clear" w:color="auto" w:fill="auto"/>
          </w:tcPr>
          <w:p w:rsidR="00C015BD" w:rsidRPr="00A530E1" w:rsidRDefault="00C015BD" w:rsidP="00F063C5">
            <w:pPr>
              <w:pStyle w:val="Bullet1G"/>
              <w:numPr>
                <w:ilvl w:val="0"/>
                <w:numId w:val="0"/>
              </w:numPr>
              <w:ind w:left="114" w:right="282"/>
            </w:pPr>
          </w:p>
        </w:tc>
      </w:tr>
      <w:tr w:rsidR="00C015BD" w:rsidRPr="00A530E1" w:rsidTr="000F3F22">
        <w:tc>
          <w:tcPr>
            <w:tcW w:w="4816" w:type="dxa"/>
            <w:shd w:val="clear" w:color="auto" w:fill="auto"/>
          </w:tcPr>
          <w:p w:rsidR="00C015BD" w:rsidRPr="00A530E1" w:rsidRDefault="00C015BD" w:rsidP="00F063C5">
            <w:pPr>
              <w:spacing w:before="40" w:after="120"/>
              <w:ind w:right="113"/>
            </w:pPr>
            <w:r w:rsidRPr="00A530E1">
              <w:t>Measures taken to ensure availability and access by persons with disabilities to clean water, adequate food, clothing and housing and provide examples</w:t>
            </w:r>
          </w:p>
        </w:tc>
        <w:tc>
          <w:tcPr>
            <w:tcW w:w="4823" w:type="dxa"/>
            <w:shd w:val="clear" w:color="auto" w:fill="auto"/>
          </w:tcPr>
          <w:p w:rsidR="00C015BD" w:rsidRPr="00A530E1" w:rsidRDefault="00C015BD" w:rsidP="00466501">
            <w:pPr>
              <w:pStyle w:val="Bullet1G"/>
              <w:tabs>
                <w:tab w:val="clear" w:pos="1701"/>
              </w:tabs>
              <w:ind w:left="170" w:right="284"/>
              <w:jc w:val="left"/>
            </w:pPr>
            <w:r w:rsidRPr="00A530E1">
              <w:t>Ministerial Decision No. 453-2007-VIVIENDA to approve the operating regulations for the family housing subsidy programme for new home purchases (one-time grant). The decision defines “disability” and establishes that a household can be defined as a head of household and children and/or grandchildren with disabilities who are over 25 years of age.</w:t>
            </w:r>
          </w:p>
          <w:p w:rsidR="00C015BD" w:rsidRPr="00A530E1" w:rsidRDefault="00C015BD" w:rsidP="00466501">
            <w:pPr>
              <w:pStyle w:val="Bullet1G"/>
              <w:tabs>
                <w:tab w:val="clear" w:pos="1701"/>
              </w:tabs>
              <w:ind w:left="170" w:right="284"/>
              <w:jc w:val="left"/>
            </w:pPr>
            <w:r w:rsidRPr="00A530E1">
              <w:t>Ministerial Decision No. 733-2008-VIVIENDA to approve the operating regulations on eligibility for the family housing subsidy for new home purchases. The decision defines “disability” and establishes that social housing must comply with national building regulations, which include technical standard A.120: “Accessibility for persons with disabilities” (currently “Accessibility for persons with disabilities and older persons”). It also extends the definition of a household to include a head of household and his or her own children or those of the spouse who are over 25 years of age and have disabilities.</w:t>
            </w:r>
            <w:r w:rsidR="007421F2" w:rsidRPr="00A530E1">
              <w:t xml:space="preserve"> </w:t>
            </w:r>
            <w:r w:rsidRPr="00A530E1">
              <w:t>The family housing subsidy is allocated using a points system when the number of applicant households exceeds the number of available grants. The points system takes into account applicants’ economic and social situation. A certain number of points are allocated for each household member with disabilities, and extra points are assigned for heads of households with disabilities.</w:t>
            </w:r>
          </w:p>
        </w:tc>
      </w:tr>
      <w:tr w:rsidR="00C015BD" w:rsidRPr="00A530E1" w:rsidTr="000F3F22">
        <w:tc>
          <w:tcPr>
            <w:tcW w:w="4816" w:type="dxa"/>
            <w:shd w:val="clear" w:color="auto" w:fill="auto"/>
          </w:tcPr>
          <w:p w:rsidR="00C015BD" w:rsidRPr="00A530E1" w:rsidRDefault="00C015BD" w:rsidP="00F063C5">
            <w:pPr>
              <w:spacing w:before="40" w:after="120"/>
              <w:ind w:right="113"/>
            </w:pPr>
            <w:r w:rsidRPr="00A530E1">
              <w:t>Measures taken to ensure access by persons with disabilities to services, devices and other appropriate assistance at affordable prices, including the availability of programmes that cover disability-related extra financial costs</w:t>
            </w:r>
          </w:p>
        </w:tc>
        <w:tc>
          <w:tcPr>
            <w:tcW w:w="4823" w:type="dxa"/>
            <w:shd w:val="clear" w:color="auto" w:fill="auto"/>
          </w:tcPr>
          <w:p w:rsidR="00C015BD" w:rsidRPr="00A530E1" w:rsidRDefault="00C015BD" w:rsidP="00F063C5">
            <w:pPr>
              <w:spacing w:before="40" w:after="120"/>
              <w:ind w:right="113"/>
            </w:pPr>
            <w:r w:rsidRPr="00A530E1">
              <w:t>The Ministry of Housing and the Ministry of Defence have been working to conclude agreements for the implementation of housing projects on designated tracts of land used and owned by the Ministry of Defence or its agencies. These projects are aimed at facilitating access to housing for the general population, with priority access for armed forces personnel in the different regions of the country. The projects will include a certain number of homes under the “Techo Propio” (roof over my head) Programme, which will be allocated to relatives of deceased members of the armed forces and to personnel with total and permanent disabilities resulting from injuries sustained in the line of duty.</w:t>
            </w:r>
          </w:p>
        </w:tc>
      </w:tr>
      <w:tr w:rsidR="00C015BD" w:rsidRPr="00A530E1" w:rsidTr="000F3F22">
        <w:tc>
          <w:tcPr>
            <w:tcW w:w="4816" w:type="dxa"/>
            <w:shd w:val="clear" w:color="auto" w:fill="auto"/>
          </w:tcPr>
          <w:p w:rsidR="00C015BD" w:rsidRPr="00A530E1" w:rsidRDefault="00C015BD" w:rsidP="00F063C5">
            <w:pPr>
              <w:spacing w:before="40" w:after="120"/>
              <w:ind w:right="113"/>
            </w:pPr>
            <w:r w:rsidRPr="00A530E1">
              <w:t>Measures taken to ensure access by persons with disabilities, in particular women and girls and older persons with disabilities, to social protection programmes and poverty reduction programmes</w:t>
            </w:r>
          </w:p>
        </w:tc>
        <w:tc>
          <w:tcPr>
            <w:tcW w:w="4823" w:type="dxa"/>
            <w:shd w:val="clear" w:color="auto" w:fill="auto"/>
          </w:tcPr>
          <w:p w:rsidR="00C015BD" w:rsidRPr="00A530E1" w:rsidRDefault="00C015BD" w:rsidP="00466501">
            <w:pPr>
              <w:pStyle w:val="Bullet1G"/>
              <w:tabs>
                <w:tab w:val="clear" w:pos="1701"/>
              </w:tabs>
              <w:ind w:left="170" w:right="284"/>
              <w:jc w:val="left"/>
            </w:pPr>
            <w:r w:rsidRPr="00A530E1">
              <w:t>Ministerial Decision No. 161-2009-VIVIENDA to approve the operating regulations on eligibility for the family housing subsidy for construction on self-owned property and home improvements. The decision also defines “disability”, extends the definition of a household to include partners’ children and grandchildren and provides for the allocation of bonus points under the points-based system to single heads of household with disabilities.</w:t>
            </w:r>
          </w:p>
          <w:p w:rsidR="00C015BD" w:rsidRPr="00A530E1" w:rsidRDefault="00C015BD" w:rsidP="00032B27">
            <w:pPr>
              <w:pStyle w:val="Bullet1G"/>
              <w:tabs>
                <w:tab w:val="clear" w:pos="1701"/>
              </w:tabs>
              <w:ind w:left="170" w:right="284"/>
              <w:jc w:val="left"/>
            </w:pPr>
            <w:r w:rsidRPr="00A530E1">
              <w:t>Ministerial Decision No. 320-2009-VIVIENDA to approve the operating regulations on eligibility for the family housing subsidy in rural areas for construction on self-owned property and home improvements. This decision contains the same definition of “disability” as Ministerial Decision No. 733-2008-VIVIENDA.</w:t>
            </w:r>
          </w:p>
          <w:p w:rsidR="00C015BD" w:rsidRPr="00A530E1" w:rsidRDefault="00C015BD" w:rsidP="00032B27">
            <w:pPr>
              <w:pStyle w:val="Bullet1G"/>
              <w:tabs>
                <w:tab w:val="clear" w:pos="1701"/>
              </w:tabs>
              <w:ind w:left="170" w:right="284"/>
              <w:jc w:val="left"/>
            </w:pPr>
            <w:r w:rsidRPr="00A530E1">
              <w:t>Some 200 persons with disabilities will work in sales kiosks to be set up at Ministry of Health facilities under a special employment programme. Through this initiative, the State will provide disadvantaged groups with opportunities for improving their situation; the persons selected for the programme will work in clinics, mother and child health centres, hospitals and specialized health institutes</w:t>
            </w:r>
          </w:p>
        </w:tc>
      </w:tr>
      <w:tr w:rsidR="00C015BD" w:rsidRPr="00A530E1" w:rsidTr="000F3F22">
        <w:tc>
          <w:tcPr>
            <w:tcW w:w="4816" w:type="dxa"/>
            <w:shd w:val="clear" w:color="auto" w:fill="auto"/>
          </w:tcPr>
          <w:p w:rsidR="00C015BD" w:rsidRPr="00A530E1" w:rsidRDefault="00C015BD" w:rsidP="00F063C5">
            <w:pPr>
              <w:spacing w:before="40" w:after="120"/>
              <w:ind w:right="113"/>
            </w:pPr>
            <w:r w:rsidRPr="00A530E1">
              <w:t>Measures towards public housing programmes and retirement benefits and programmes for persons with disabilities</w:t>
            </w:r>
          </w:p>
        </w:tc>
        <w:tc>
          <w:tcPr>
            <w:tcW w:w="4823" w:type="dxa"/>
            <w:shd w:val="clear" w:color="auto" w:fill="auto"/>
          </w:tcPr>
          <w:p w:rsidR="00C015BD" w:rsidRPr="00A530E1" w:rsidRDefault="00C015BD" w:rsidP="00F063C5">
            <w:pPr>
              <w:spacing w:before="40" w:after="120"/>
              <w:ind w:right="113"/>
            </w:pPr>
            <w:r w:rsidRPr="00A530E1">
              <w:t>Act No. 29231 on debt restructuring arrangements for Banco de Materiales borrowers and its implementing regulations, which were adopted by Supreme Decree No. 005-2009-VIVIENDA, authorize the Banco de Materiales to write off the entire sum outstanding on housing loans held by borrowers meeting any of a number of criteria, which include the presence of physical or mental disability.</w:t>
            </w:r>
          </w:p>
        </w:tc>
      </w:tr>
      <w:tr w:rsidR="00C015BD" w:rsidRPr="00A530E1" w:rsidTr="000F3F22">
        <w:tc>
          <w:tcPr>
            <w:tcW w:w="4816" w:type="dxa"/>
            <w:tcBorders>
              <w:bottom w:val="single" w:sz="12" w:space="0" w:color="auto"/>
            </w:tcBorders>
            <w:shd w:val="clear" w:color="auto" w:fill="auto"/>
          </w:tcPr>
          <w:p w:rsidR="00C015BD" w:rsidRPr="00A530E1" w:rsidRDefault="00C015BD" w:rsidP="00F063C5">
            <w:pPr>
              <w:spacing w:before="40" w:after="120"/>
              <w:ind w:right="113"/>
            </w:pPr>
            <w:r w:rsidRPr="00A530E1">
              <w:t>Measures taken to recognize the connection between poverty and disability</w:t>
            </w:r>
          </w:p>
        </w:tc>
        <w:tc>
          <w:tcPr>
            <w:tcW w:w="4823" w:type="dxa"/>
            <w:tcBorders>
              <w:bottom w:val="single" w:sz="12" w:space="0" w:color="auto"/>
            </w:tcBorders>
            <w:shd w:val="clear" w:color="auto" w:fill="auto"/>
          </w:tcPr>
          <w:p w:rsidR="00C015BD" w:rsidRPr="00A530E1" w:rsidRDefault="00C015BD" w:rsidP="00F063C5">
            <w:pPr>
              <w:spacing w:before="40" w:after="120"/>
              <w:ind w:right="113"/>
            </w:pPr>
            <w:r w:rsidRPr="00A530E1">
              <w:t>Congressional bill No. 03113/2008-CR proposes the addition of a twenty-third provision to Legislative Decree No. 816 (the Tax Code) and amendments to articles 37 and 46 of Legislative Decree No. 774 (the Income Tax Act) and articles 17, 19, 28 and 37 of Legislative Decree No. 776 (the Municipal Taxation Act), which regulates the payment of taxes by persons with disabilities.</w:t>
            </w:r>
          </w:p>
        </w:tc>
      </w:tr>
    </w:tbl>
    <w:p w:rsidR="007421F2" w:rsidRPr="00A530E1" w:rsidRDefault="007421F2" w:rsidP="007421F2">
      <w:pPr>
        <w:pStyle w:val="H23G"/>
      </w:pPr>
      <w:r w:rsidRPr="00A530E1">
        <w:tab/>
      </w:r>
      <w:r w:rsidR="009443E5" w:rsidRPr="00A530E1">
        <w:t>23.</w:t>
      </w:r>
      <w:r w:rsidR="009443E5" w:rsidRPr="00A530E1">
        <w:tab/>
        <w:t xml:space="preserve">Article </w:t>
      </w:r>
      <w:r w:rsidRPr="00A530E1">
        <w:t>29: Participation in political and public life</w:t>
      </w:r>
    </w:p>
    <w:p w:rsidR="007421F2" w:rsidRPr="00A530E1" w:rsidRDefault="007421F2" w:rsidP="007421F2">
      <w:pPr>
        <w:pStyle w:val="SingleTxtG"/>
      </w:pPr>
      <w:r w:rsidRPr="00A530E1">
        <w:t>81.</w:t>
      </w:r>
      <w:r w:rsidRPr="00A530E1">
        <w:tab/>
        <w:t>This article guarantees political rights to persons with disabilities.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819"/>
        <w:gridCol w:w="4820"/>
      </w:tblGrid>
      <w:tr w:rsidR="007421F2" w:rsidRPr="00A530E1" w:rsidTr="0014612F">
        <w:trPr>
          <w:tblHeader/>
        </w:trPr>
        <w:tc>
          <w:tcPr>
            <w:tcW w:w="4819" w:type="dxa"/>
            <w:tcBorders>
              <w:top w:val="single" w:sz="4" w:space="0" w:color="auto"/>
              <w:bottom w:val="single" w:sz="12" w:space="0" w:color="auto"/>
            </w:tcBorders>
            <w:shd w:val="clear" w:color="auto" w:fill="auto"/>
            <w:vAlign w:val="bottom"/>
          </w:tcPr>
          <w:p w:rsidR="007421F2" w:rsidRPr="00A530E1" w:rsidRDefault="007421F2" w:rsidP="00F063C5">
            <w:pPr>
              <w:spacing w:before="80" w:after="80" w:line="200" w:lineRule="exact"/>
              <w:ind w:right="113"/>
              <w:rPr>
                <w:i/>
                <w:sz w:val="16"/>
              </w:rPr>
            </w:pPr>
            <w:r w:rsidRPr="00A530E1">
              <w:rPr>
                <w:i/>
                <w:sz w:val="16"/>
              </w:rPr>
              <w:t>Report on</w:t>
            </w:r>
          </w:p>
        </w:tc>
        <w:tc>
          <w:tcPr>
            <w:tcW w:w="4820" w:type="dxa"/>
            <w:tcBorders>
              <w:top w:val="single" w:sz="4" w:space="0" w:color="auto"/>
              <w:bottom w:val="single" w:sz="12" w:space="0" w:color="auto"/>
            </w:tcBorders>
            <w:shd w:val="clear" w:color="auto" w:fill="auto"/>
            <w:vAlign w:val="bottom"/>
          </w:tcPr>
          <w:p w:rsidR="007421F2" w:rsidRPr="00A530E1" w:rsidRDefault="007421F2" w:rsidP="00F063C5">
            <w:pPr>
              <w:spacing w:before="80" w:after="80" w:line="200" w:lineRule="exact"/>
              <w:ind w:right="113"/>
              <w:rPr>
                <w:i/>
                <w:sz w:val="16"/>
              </w:rPr>
            </w:pPr>
            <w:r w:rsidRPr="00A530E1">
              <w:rPr>
                <w:i/>
                <w:sz w:val="16"/>
              </w:rPr>
              <w:t>Progress</w:t>
            </w:r>
          </w:p>
        </w:tc>
      </w:tr>
      <w:tr w:rsidR="007421F2" w:rsidRPr="00A530E1" w:rsidTr="0014612F">
        <w:trPr>
          <w:trHeight w:hRule="exact" w:val="113"/>
          <w:tblHeader/>
        </w:trPr>
        <w:tc>
          <w:tcPr>
            <w:tcW w:w="4819" w:type="dxa"/>
            <w:tcBorders>
              <w:top w:val="single" w:sz="12" w:space="0" w:color="auto"/>
            </w:tcBorders>
            <w:shd w:val="clear" w:color="auto" w:fill="auto"/>
          </w:tcPr>
          <w:p w:rsidR="007421F2" w:rsidRPr="00A530E1" w:rsidRDefault="007421F2" w:rsidP="00F063C5">
            <w:pPr>
              <w:spacing w:before="40" w:after="120"/>
              <w:ind w:right="113"/>
            </w:pPr>
          </w:p>
        </w:tc>
        <w:tc>
          <w:tcPr>
            <w:tcW w:w="4820" w:type="dxa"/>
            <w:tcBorders>
              <w:top w:val="single" w:sz="12" w:space="0" w:color="auto"/>
            </w:tcBorders>
            <w:shd w:val="clear" w:color="auto" w:fill="auto"/>
          </w:tcPr>
          <w:p w:rsidR="007421F2" w:rsidRPr="00A530E1" w:rsidRDefault="007421F2" w:rsidP="00F063C5">
            <w:pPr>
              <w:spacing w:before="40" w:after="120"/>
              <w:ind w:right="113"/>
            </w:pPr>
          </w:p>
        </w:tc>
      </w:tr>
      <w:tr w:rsidR="007421F2" w:rsidRPr="00A530E1" w:rsidTr="00F063C5">
        <w:tc>
          <w:tcPr>
            <w:tcW w:w="4819" w:type="dxa"/>
            <w:shd w:val="clear" w:color="auto" w:fill="auto"/>
          </w:tcPr>
          <w:p w:rsidR="007421F2" w:rsidRPr="00A530E1" w:rsidRDefault="007421F2" w:rsidP="00F063C5">
            <w:pPr>
              <w:spacing w:before="40" w:after="120"/>
              <w:ind w:right="113"/>
            </w:pPr>
            <w:r w:rsidRPr="00A530E1">
              <w:t>Legislation and measures to guarantee to persons with disabilities, in particular persons with mental or intellectual disability, political rights, including, if it is the case, existing limitations and actions taken to overcome them</w:t>
            </w:r>
          </w:p>
        </w:tc>
        <w:tc>
          <w:tcPr>
            <w:tcW w:w="4820" w:type="dxa"/>
            <w:shd w:val="clear" w:color="auto" w:fill="auto"/>
          </w:tcPr>
          <w:p w:rsidR="007421F2" w:rsidRPr="00A530E1" w:rsidRDefault="007421F2" w:rsidP="00F063C5">
            <w:pPr>
              <w:spacing w:before="40" w:after="120"/>
              <w:ind w:right="113"/>
            </w:pPr>
            <w:r w:rsidRPr="00A530E1">
              <w:t>Since the adoption of Act No. 29478 by Congress in December 2009, the National Election Procedures Office has had the necessary legal framework to facilitate voting by persons with disabilities.</w:t>
            </w:r>
          </w:p>
        </w:tc>
      </w:tr>
      <w:tr w:rsidR="007421F2" w:rsidRPr="00A530E1" w:rsidTr="003D2E1B">
        <w:tc>
          <w:tcPr>
            <w:tcW w:w="4819" w:type="dxa"/>
            <w:shd w:val="clear" w:color="auto" w:fill="auto"/>
          </w:tcPr>
          <w:p w:rsidR="007421F2" w:rsidRPr="00A530E1" w:rsidRDefault="007421F2" w:rsidP="00F063C5">
            <w:pPr>
              <w:spacing w:before="40" w:after="120"/>
              <w:ind w:right="113"/>
            </w:pPr>
            <w:r w:rsidRPr="00A530E1">
              <w:t>Measures taken to ensure the right to vote of all persons with disabilities, on their own or to be assisted by a person of their choice</w:t>
            </w:r>
          </w:p>
        </w:tc>
        <w:tc>
          <w:tcPr>
            <w:tcW w:w="4820" w:type="dxa"/>
            <w:shd w:val="clear" w:color="auto" w:fill="auto"/>
          </w:tcPr>
          <w:p w:rsidR="007421F2" w:rsidRPr="00A530E1" w:rsidRDefault="007421F2" w:rsidP="00F063C5">
            <w:pPr>
              <w:spacing w:before="40" w:after="120"/>
              <w:ind w:right="113"/>
            </w:pPr>
            <w:r w:rsidRPr="00A530E1">
              <w:t>The national identity card also serves as the one and only type of voter registration card. Its use is compulsory for all citizens, and the National Identity and Civil Status Registry has issued an administrative decision under which national identity cards are to be issued free of charge to persons with disabilities, following verification of eligibility.</w:t>
            </w:r>
          </w:p>
        </w:tc>
      </w:tr>
      <w:tr w:rsidR="007421F2" w:rsidRPr="00A530E1" w:rsidTr="007632BD">
        <w:tc>
          <w:tcPr>
            <w:tcW w:w="4819" w:type="dxa"/>
            <w:shd w:val="clear" w:color="auto" w:fill="auto"/>
          </w:tcPr>
          <w:p w:rsidR="007421F2" w:rsidRPr="00A530E1" w:rsidRDefault="007421F2" w:rsidP="007632BD">
            <w:pPr>
              <w:spacing w:before="40" w:after="120"/>
              <w:ind w:right="113"/>
            </w:pPr>
            <w:r w:rsidRPr="00A530E1">
              <w:t>Measures taken to ensure the full accessibility of the voting procedures, facilities and materials</w:t>
            </w:r>
          </w:p>
        </w:tc>
        <w:tc>
          <w:tcPr>
            <w:tcW w:w="4820" w:type="dxa"/>
            <w:shd w:val="clear" w:color="auto" w:fill="auto"/>
          </w:tcPr>
          <w:p w:rsidR="007421F2" w:rsidRPr="00A530E1" w:rsidRDefault="007421F2" w:rsidP="007632BD">
            <w:pPr>
              <w:spacing w:before="40" w:after="120"/>
              <w:ind w:right="113"/>
            </w:pPr>
            <w:r w:rsidRPr="00A530E1">
              <w:t>Under Act No. 29478, the National Election Procedures Office maintains a register of citizens with disabilities in order to facilitate their access to the ballot box by: (a) preparing ballot papers in Braille (Braille templates) for citizens with visual disabilities; (b) setting up voting booths at ground-floor level in polling stations; (c) temporarily moving voting booths from upper floors in polling stations to ensure that persons with disabilities do not have to climb stairs; (d) putting up signs in polling stations to guide citizens with disabilities and publicizing the measures taken to facilitate their access to voting booths. The register can be consulted on the Office’s website.</w:t>
            </w:r>
          </w:p>
        </w:tc>
      </w:tr>
      <w:tr w:rsidR="007632BD" w:rsidRPr="00A530E1" w:rsidTr="007632BD">
        <w:tc>
          <w:tcPr>
            <w:tcW w:w="4819" w:type="dxa"/>
            <w:shd w:val="clear" w:color="auto" w:fill="auto"/>
          </w:tcPr>
          <w:p w:rsidR="007632BD" w:rsidRPr="008F28C9" w:rsidRDefault="007632BD" w:rsidP="007632BD">
            <w:pPr>
              <w:spacing w:before="40" w:after="120"/>
              <w:ind w:right="113"/>
            </w:pPr>
            <w:r w:rsidRPr="00427D57">
              <w:t>Indicators measuring the full enjoyment of the right to participate in political and public life of persons with disabilities</w:t>
            </w:r>
          </w:p>
        </w:tc>
        <w:tc>
          <w:tcPr>
            <w:tcW w:w="4820" w:type="dxa"/>
            <w:shd w:val="clear" w:color="auto" w:fill="auto"/>
          </w:tcPr>
          <w:p w:rsidR="007632BD" w:rsidRPr="00427D57" w:rsidRDefault="007632BD" w:rsidP="007632BD">
            <w:pPr>
              <w:spacing w:before="40" w:after="120"/>
              <w:ind w:right="113"/>
            </w:pPr>
            <w:r>
              <w:t>In 2004–</w:t>
            </w:r>
            <w:r w:rsidRPr="00427D57">
              <w:t>2007, 10,758 persons with disabilities exercised their right to vote.</w:t>
            </w:r>
          </w:p>
          <w:p w:rsidR="007632BD" w:rsidRPr="008F28C9" w:rsidRDefault="007632BD" w:rsidP="0014612F">
            <w:pPr>
              <w:pStyle w:val="Bullet1G"/>
              <w:tabs>
                <w:tab w:val="clear" w:pos="1701"/>
              </w:tabs>
              <w:ind w:left="170" w:right="113"/>
              <w:jc w:val="left"/>
            </w:pPr>
            <w:r w:rsidRPr="00427D57">
              <w:t xml:space="preserve">Nationally, the total </w:t>
            </w:r>
            <w:r w:rsidRPr="00955F32">
              <w:t>number</w:t>
            </w:r>
            <w:r w:rsidRPr="00427D57">
              <w:t xml:space="preserve"> of identity cards issued free of </w:t>
            </w:r>
            <w:r w:rsidRPr="00587649">
              <w:t>charge</w:t>
            </w:r>
            <w:r w:rsidRPr="00427D57">
              <w:t xml:space="preserve"> to persons with disabilities between 2003 and 5 March 2010 was 67,729, of which 38,805 were issued to adults and 28,924 to minors</w:t>
            </w:r>
          </w:p>
        </w:tc>
      </w:tr>
      <w:tr w:rsidR="007632BD" w:rsidRPr="00A530E1" w:rsidTr="003D2E1B">
        <w:tc>
          <w:tcPr>
            <w:tcW w:w="4819" w:type="dxa"/>
            <w:tcBorders>
              <w:bottom w:val="single" w:sz="12" w:space="0" w:color="auto"/>
            </w:tcBorders>
            <w:shd w:val="clear" w:color="auto" w:fill="auto"/>
          </w:tcPr>
          <w:p w:rsidR="007632BD" w:rsidRPr="00427D57" w:rsidRDefault="007632BD" w:rsidP="00652182">
            <w:pPr>
              <w:spacing w:before="40" w:after="120"/>
              <w:ind w:right="113"/>
            </w:pPr>
            <w:r w:rsidRPr="00427D57">
              <w:t>Support provided, if any, to persons with disabilities for the establishment and maintenance of organizations to represent their rights and interests at local, regional and national level</w:t>
            </w:r>
          </w:p>
        </w:tc>
        <w:tc>
          <w:tcPr>
            <w:tcW w:w="4820" w:type="dxa"/>
            <w:tcBorders>
              <w:bottom w:val="single" w:sz="12" w:space="0" w:color="auto"/>
            </w:tcBorders>
            <w:shd w:val="clear" w:color="auto" w:fill="auto"/>
          </w:tcPr>
          <w:p w:rsidR="007632BD" w:rsidRPr="00427D57" w:rsidRDefault="007632BD" w:rsidP="00652182">
            <w:pPr>
              <w:spacing w:before="40" w:after="120"/>
              <w:ind w:right="113"/>
            </w:pPr>
            <w:r w:rsidRPr="00427D57">
              <w:t>Since 2001, CONADIS has maintained a register of associations, NGOs and other organizations that work to benefit persons with disabilities and to address the problems they face; in a number of those organizations, parents and relatives of persons with disabilities sit on the board of directors. Currently, 310 institutions have been entered on the roster maintained by the National Registry; this authorizes them to enter into cooperative arrangements, gives them access to international cooperation funding and enables them to promote the soci</w:t>
            </w:r>
            <w:r>
              <w:t>al integration of their members.</w:t>
            </w:r>
          </w:p>
        </w:tc>
      </w:tr>
    </w:tbl>
    <w:p w:rsidR="007421F2" w:rsidRPr="00A530E1" w:rsidRDefault="007421F2" w:rsidP="007421F2">
      <w:pPr>
        <w:pStyle w:val="H23G"/>
      </w:pPr>
      <w:r w:rsidRPr="00A530E1">
        <w:tab/>
        <w:t>24.</w:t>
      </w:r>
      <w:r w:rsidRPr="00A530E1">
        <w:tab/>
        <w:t>Article 30: Participation in cultural life, recreation, leisure and sport</w:t>
      </w:r>
    </w:p>
    <w:p w:rsidR="007421F2" w:rsidRPr="00A530E1" w:rsidRDefault="007421F2" w:rsidP="007421F2">
      <w:pPr>
        <w:pStyle w:val="SingleTxtG"/>
      </w:pPr>
      <w:r w:rsidRPr="00A530E1">
        <w:t>82.</w:t>
      </w:r>
      <w:r w:rsidRPr="00A530E1">
        <w:tab/>
        <w:t>This article recognizes the right of persons with disabilities to take part in cultural life, develop and utilize their creative, artistic and intellectual potential, to receive recognition and support for their specific cultural and linguistic identity, and to participate in recreational, leisure and sports activities on an equal basis with others.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819"/>
        <w:gridCol w:w="4820"/>
      </w:tblGrid>
      <w:tr w:rsidR="007421F2" w:rsidRPr="00A530E1" w:rsidTr="00F063C5">
        <w:trPr>
          <w:tblHeader/>
        </w:trPr>
        <w:tc>
          <w:tcPr>
            <w:tcW w:w="4819" w:type="dxa"/>
            <w:tcBorders>
              <w:top w:val="single" w:sz="4" w:space="0" w:color="auto"/>
              <w:bottom w:val="single" w:sz="12" w:space="0" w:color="auto"/>
            </w:tcBorders>
            <w:shd w:val="clear" w:color="auto" w:fill="auto"/>
            <w:vAlign w:val="bottom"/>
          </w:tcPr>
          <w:p w:rsidR="007421F2" w:rsidRPr="00A530E1" w:rsidRDefault="007421F2" w:rsidP="00F063C5">
            <w:pPr>
              <w:spacing w:before="80" w:after="80" w:line="200" w:lineRule="exact"/>
              <w:ind w:right="113"/>
              <w:rPr>
                <w:i/>
                <w:sz w:val="16"/>
              </w:rPr>
            </w:pPr>
            <w:r w:rsidRPr="00A530E1">
              <w:rPr>
                <w:i/>
                <w:sz w:val="16"/>
              </w:rPr>
              <w:t>Report on</w:t>
            </w:r>
          </w:p>
        </w:tc>
        <w:tc>
          <w:tcPr>
            <w:tcW w:w="4820" w:type="dxa"/>
            <w:tcBorders>
              <w:top w:val="single" w:sz="4" w:space="0" w:color="auto"/>
              <w:bottom w:val="single" w:sz="12" w:space="0" w:color="auto"/>
            </w:tcBorders>
            <w:shd w:val="clear" w:color="auto" w:fill="auto"/>
            <w:vAlign w:val="bottom"/>
          </w:tcPr>
          <w:p w:rsidR="007421F2" w:rsidRPr="00A530E1" w:rsidRDefault="007421F2" w:rsidP="00F063C5">
            <w:pPr>
              <w:spacing w:before="80" w:after="80" w:line="200" w:lineRule="exact"/>
              <w:ind w:right="113"/>
              <w:rPr>
                <w:i/>
                <w:sz w:val="16"/>
              </w:rPr>
            </w:pPr>
            <w:r w:rsidRPr="00A530E1">
              <w:rPr>
                <w:i/>
                <w:sz w:val="16"/>
              </w:rPr>
              <w:t>Progress</w:t>
            </w:r>
          </w:p>
        </w:tc>
      </w:tr>
      <w:tr w:rsidR="007421F2" w:rsidRPr="00A530E1" w:rsidTr="00F063C5">
        <w:trPr>
          <w:trHeight w:hRule="exact" w:val="113"/>
          <w:tblHeader/>
        </w:trPr>
        <w:tc>
          <w:tcPr>
            <w:tcW w:w="4819" w:type="dxa"/>
            <w:tcBorders>
              <w:top w:val="single" w:sz="12" w:space="0" w:color="auto"/>
            </w:tcBorders>
            <w:shd w:val="clear" w:color="auto" w:fill="auto"/>
          </w:tcPr>
          <w:p w:rsidR="007421F2" w:rsidRPr="00A530E1" w:rsidRDefault="007421F2" w:rsidP="00F063C5">
            <w:pPr>
              <w:spacing w:before="40" w:after="120"/>
              <w:ind w:right="113"/>
            </w:pPr>
          </w:p>
        </w:tc>
        <w:tc>
          <w:tcPr>
            <w:tcW w:w="4820" w:type="dxa"/>
            <w:tcBorders>
              <w:top w:val="single" w:sz="12" w:space="0" w:color="auto"/>
            </w:tcBorders>
            <w:shd w:val="clear" w:color="auto" w:fill="auto"/>
          </w:tcPr>
          <w:p w:rsidR="007421F2" w:rsidRPr="00A530E1" w:rsidRDefault="007421F2" w:rsidP="00F063C5">
            <w:pPr>
              <w:spacing w:before="40" w:after="120"/>
              <w:ind w:right="113"/>
            </w:pPr>
          </w:p>
        </w:tc>
      </w:tr>
      <w:tr w:rsidR="007421F2" w:rsidRPr="00A530E1" w:rsidTr="00F063C5">
        <w:tc>
          <w:tcPr>
            <w:tcW w:w="4819" w:type="dxa"/>
            <w:shd w:val="clear" w:color="auto" w:fill="auto"/>
          </w:tcPr>
          <w:p w:rsidR="007421F2" w:rsidRPr="00A530E1" w:rsidRDefault="007421F2" w:rsidP="001806D8">
            <w:pPr>
              <w:spacing w:before="40"/>
              <w:ind w:right="113"/>
            </w:pPr>
            <w:r w:rsidRPr="00A530E1">
              <w:t>Measures taken to recognize and promote the right of persons with disabilities to take part on an equal basis with others in cultural life, including opportunities to develop and utilize their creative, artistic and intellectual potential</w:t>
            </w:r>
          </w:p>
        </w:tc>
        <w:tc>
          <w:tcPr>
            <w:tcW w:w="4820" w:type="dxa"/>
            <w:shd w:val="clear" w:color="auto" w:fill="auto"/>
          </w:tcPr>
          <w:p w:rsidR="007421F2" w:rsidRPr="00A530E1" w:rsidRDefault="007421F2" w:rsidP="00F063C5">
            <w:pPr>
              <w:spacing w:before="40" w:after="120"/>
            </w:pPr>
            <w:r w:rsidRPr="00A530E1">
              <w:t>A sociocultural, recreational and sports programme is in place which includes:</w:t>
            </w:r>
          </w:p>
          <w:p w:rsidR="007421F2" w:rsidRPr="00A530E1" w:rsidRDefault="007421F2" w:rsidP="00BE62C9">
            <w:pPr>
              <w:pStyle w:val="Bullet1G"/>
              <w:tabs>
                <w:tab w:val="clear" w:pos="1701"/>
                <w:tab w:val="num" w:pos="0"/>
              </w:tabs>
              <w:ind w:left="170" w:right="113"/>
              <w:jc w:val="left"/>
            </w:pPr>
            <w:r w:rsidRPr="00A530E1">
              <w:t>A singing workshop entitled “Developing Talents” for children and young people with special needs from the following Special Basic Education Centres: San Bartolomé, los Cipreses, las Palomitas and Santa Lucia</w:t>
            </w:r>
          </w:p>
          <w:p w:rsidR="007421F2" w:rsidRPr="00A530E1" w:rsidRDefault="007421F2" w:rsidP="007B6335">
            <w:pPr>
              <w:pStyle w:val="Bullet1G"/>
              <w:tabs>
                <w:tab w:val="clear" w:pos="1701"/>
                <w:tab w:val="num" w:pos="0"/>
              </w:tabs>
              <w:ind w:left="170" w:right="113"/>
              <w:jc w:val="left"/>
            </w:pPr>
            <w:r w:rsidRPr="00A530E1">
              <w:t>A Marinera dance show which differently-abled adolescents and young people from Lima’s Special Basic Education Centres perform in the Pasaje Santa Rosa in the historic quarter of Lima</w:t>
            </w:r>
          </w:p>
          <w:p w:rsidR="007421F2" w:rsidRPr="00A530E1" w:rsidRDefault="007421F2" w:rsidP="007B6335">
            <w:pPr>
              <w:pStyle w:val="Bullet1G"/>
              <w:tabs>
                <w:tab w:val="clear" w:pos="1701"/>
                <w:tab w:val="num" w:pos="0"/>
              </w:tabs>
              <w:ind w:left="170" w:right="113"/>
              <w:jc w:val="left"/>
            </w:pPr>
            <w:r w:rsidRPr="00A530E1">
              <w:t>A performing arts workshop for persons with disabilities which is designed to facilitate their participation in the cultural development of our city</w:t>
            </w:r>
          </w:p>
          <w:p w:rsidR="007421F2" w:rsidRPr="00A530E1" w:rsidRDefault="007421F2" w:rsidP="007B6335">
            <w:pPr>
              <w:pStyle w:val="Bullet1G"/>
              <w:tabs>
                <w:tab w:val="clear" w:pos="1701"/>
                <w:tab w:val="num" w:pos="0"/>
              </w:tabs>
              <w:ind w:left="170" w:right="113"/>
              <w:jc w:val="left"/>
            </w:pPr>
            <w:r w:rsidRPr="00A530E1">
              <w:t xml:space="preserve">Activities in special educational institutions that impart educational messages through art, educational theatre and educational puppet shows </w:t>
            </w:r>
          </w:p>
          <w:p w:rsidR="007421F2" w:rsidRPr="00A530E1" w:rsidRDefault="007421F2" w:rsidP="007B6335">
            <w:pPr>
              <w:pStyle w:val="Bullet1G"/>
              <w:tabs>
                <w:tab w:val="clear" w:pos="1701"/>
                <w:tab w:val="num" w:pos="0"/>
              </w:tabs>
              <w:ind w:left="170" w:right="113"/>
              <w:jc w:val="left"/>
            </w:pPr>
            <w:r w:rsidRPr="00A530E1">
              <w:t>The first edition of a contest entitled “Children with Special Talent”, which aims to recognize, encourage and develop the creative and acting potential of children and young people with special needs in order to facilitate their comprehensive development and to promote the dissemination of inclusive education</w:t>
            </w:r>
          </w:p>
        </w:tc>
      </w:tr>
      <w:tr w:rsidR="007421F2" w:rsidRPr="00A530E1" w:rsidTr="00F063C5">
        <w:tc>
          <w:tcPr>
            <w:tcW w:w="4819" w:type="dxa"/>
            <w:shd w:val="clear" w:color="auto" w:fill="auto"/>
          </w:tcPr>
          <w:p w:rsidR="007421F2" w:rsidRPr="00A530E1" w:rsidRDefault="007421F2" w:rsidP="00F063C5">
            <w:pPr>
              <w:spacing w:before="40" w:after="120"/>
              <w:ind w:right="113"/>
            </w:pPr>
            <w:r w:rsidRPr="00A530E1">
              <w:t>Measures taken to ensure that cultural, leisure, tourism and sporting facilities are accessible to persons with disabilities, taking into account children with disabilities, including through the conditional use of public procurement and public funding</w:t>
            </w:r>
          </w:p>
        </w:tc>
        <w:tc>
          <w:tcPr>
            <w:tcW w:w="4820" w:type="dxa"/>
            <w:shd w:val="clear" w:color="auto" w:fill="auto"/>
          </w:tcPr>
          <w:p w:rsidR="007421F2" w:rsidRPr="00A530E1" w:rsidRDefault="007421F2" w:rsidP="00F063C5">
            <w:pPr>
              <w:spacing w:before="40" w:after="120"/>
            </w:pPr>
            <w:r w:rsidRPr="00A530E1">
              <w:t>Tourism Act No. 29408, published on 18 September 2009, establishes, in article 46, that the Ministry of Foreign Trade and Tourism is responsible for working with other public and private organizations to design and implement the Social Tourism Programme; this programme seeks to facilitate and create opportunities for different groups within the population, including persons with disabilities, to enjoy the right to participate in tourism activities.</w:t>
            </w:r>
          </w:p>
          <w:p w:rsidR="007421F2" w:rsidRPr="00A530E1" w:rsidRDefault="007421F2" w:rsidP="007F32AD">
            <w:pPr>
              <w:spacing w:before="40" w:after="120"/>
              <w:ind w:right="113"/>
            </w:pPr>
            <w:r w:rsidRPr="00A530E1">
              <w:t>Accordingly, the Office of the Deputy Ministry for Tourism, through the National Directorate of Tourism, has been developing the Social Tourism Programme, which, pursuant to Act No. 29408, is to include measures to enable persons with disabilities to engage in tourism activities; this means that facilities providing tourism services are to be accessible to persons with disabilities.</w:t>
            </w:r>
          </w:p>
        </w:tc>
      </w:tr>
      <w:tr w:rsidR="007421F2" w:rsidRPr="00A530E1" w:rsidTr="00F063C5">
        <w:tc>
          <w:tcPr>
            <w:tcW w:w="4819" w:type="dxa"/>
            <w:shd w:val="clear" w:color="auto" w:fill="auto"/>
          </w:tcPr>
          <w:p w:rsidR="007421F2" w:rsidRPr="00A530E1" w:rsidRDefault="007421F2" w:rsidP="00F063C5">
            <w:pPr>
              <w:spacing w:before="40" w:after="120"/>
              <w:ind w:right="113"/>
            </w:pPr>
            <w:r w:rsidRPr="00A530E1">
              <w:br w:type="page"/>
              <w:t>Measures taken to ensure that intellectual property laws do not become a barrier for persons with disabilities in accessing cultural materials, including participation in relevant international efforts</w:t>
            </w:r>
          </w:p>
        </w:tc>
        <w:tc>
          <w:tcPr>
            <w:tcW w:w="4820" w:type="dxa"/>
            <w:shd w:val="clear" w:color="auto" w:fill="auto"/>
          </w:tcPr>
          <w:p w:rsidR="007421F2" w:rsidRPr="00A530E1" w:rsidRDefault="007421F2" w:rsidP="00F063C5">
            <w:pPr>
              <w:spacing w:before="40" w:after="120"/>
              <w:ind w:right="113"/>
            </w:pPr>
            <w:r w:rsidRPr="00A530E1">
              <w:t>The Metropolitan Municipality of Lima has reported on the implementation of a pilot scheme, in partnership with the National Institute of Culture, entitled “Promoting Tourism: Special Guides”, to provide training to six young persons with intellectual disabilities.</w:t>
            </w:r>
          </w:p>
          <w:p w:rsidR="007421F2" w:rsidRPr="00A530E1" w:rsidRDefault="007421F2" w:rsidP="00F063C5">
            <w:pPr>
              <w:spacing w:before="40" w:after="120"/>
              <w:ind w:right="113"/>
            </w:pPr>
            <w:r w:rsidRPr="00A530E1">
              <w:t>Eight young persons with intellectual disabilities are being trained as special guides to promote tourism in cooperation with the Parque de las Leyendas Foundation.</w:t>
            </w:r>
          </w:p>
        </w:tc>
      </w:tr>
      <w:tr w:rsidR="007421F2" w:rsidRPr="00A530E1" w:rsidTr="00F063C5">
        <w:tc>
          <w:tcPr>
            <w:tcW w:w="4819" w:type="dxa"/>
            <w:shd w:val="clear" w:color="auto" w:fill="auto"/>
          </w:tcPr>
          <w:p w:rsidR="007421F2" w:rsidRPr="00A530E1" w:rsidRDefault="007421F2" w:rsidP="00F063C5">
            <w:pPr>
              <w:spacing w:before="40" w:after="120"/>
              <w:ind w:right="113"/>
            </w:pPr>
            <w:r w:rsidRPr="00A530E1">
              <w:t>Measures taken to promote deaf culture</w:t>
            </w:r>
          </w:p>
        </w:tc>
        <w:tc>
          <w:tcPr>
            <w:tcW w:w="4820" w:type="dxa"/>
            <w:shd w:val="clear" w:color="auto" w:fill="auto"/>
          </w:tcPr>
          <w:p w:rsidR="007421F2" w:rsidRPr="00A530E1" w:rsidRDefault="007421F2" w:rsidP="00750291">
            <w:pPr>
              <w:pStyle w:val="Bullet1G"/>
              <w:tabs>
                <w:tab w:val="clear" w:pos="1701"/>
                <w:tab w:val="num" w:pos="0"/>
              </w:tabs>
              <w:ind w:left="170" w:right="113"/>
              <w:jc w:val="left"/>
            </w:pPr>
            <w:r w:rsidRPr="00A530E1">
              <w:t>The Health Commission has approved bill No. 02752/2008-CR, which proposes that Peruvian Sign Language be officially recognized as a means of communication for persons with hearing disabilities throughout the country.</w:t>
            </w:r>
          </w:p>
          <w:p w:rsidR="007421F2" w:rsidRPr="00A530E1" w:rsidRDefault="007421F2" w:rsidP="00750291">
            <w:pPr>
              <w:pStyle w:val="Bullet1G"/>
              <w:tabs>
                <w:tab w:val="clear" w:pos="1701"/>
                <w:tab w:val="num" w:pos="0"/>
              </w:tabs>
              <w:ind w:left="170" w:right="113"/>
              <w:jc w:val="left"/>
            </w:pPr>
            <w:r w:rsidRPr="00A530E1">
              <w:t>It has been established by an act of Congress that deafblindness is to be considered to be a single disability in accordance with the provisions of article 2 of the Constitution regarding equality among persons.</w:t>
            </w:r>
          </w:p>
        </w:tc>
      </w:tr>
      <w:tr w:rsidR="007421F2" w:rsidRPr="00A530E1" w:rsidTr="00F063C5">
        <w:tc>
          <w:tcPr>
            <w:tcW w:w="4819" w:type="dxa"/>
            <w:shd w:val="clear" w:color="auto" w:fill="auto"/>
          </w:tcPr>
          <w:p w:rsidR="007421F2" w:rsidRPr="00A530E1" w:rsidRDefault="007421F2" w:rsidP="00F063C5">
            <w:pPr>
              <w:spacing w:before="40" w:after="120"/>
              <w:ind w:right="113"/>
            </w:pPr>
            <w:r w:rsidRPr="00A530E1">
              <w:t>Measures taken to support the participation of persons with disabilities in sports, including elimination of discriminatory and differentiated treatment of persons with disabilities in the awarding of prizes and medals</w:t>
            </w:r>
          </w:p>
        </w:tc>
        <w:tc>
          <w:tcPr>
            <w:tcW w:w="4820" w:type="dxa"/>
            <w:shd w:val="clear" w:color="auto" w:fill="auto"/>
          </w:tcPr>
          <w:p w:rsidR="007421F2" w:rsidRPr="00A530E1" w:rsidRDefault="007421F2" w:rsidP="00F063C5">
            <w:pPr>
              <w:spacing w:before="40" w:after="120"/>
              <w:ind w:right="113"/>
            </w:pPr>
            <w:r w:rsidRPr="00A530E1">
              <w:t>Under the Act on Offences and Penalties, any failure by the Peruvian Sports Institute or the Peruvian Olympic Committee to accord the same recognition to athletes with disabilities who win Olympic or world titles in their respective events as it does to victorious able-bodied athletes is defined as a very serious offence.</w:t>
            </w:r>
          </w:p>
        </w:tc>
      </w:tr>
      <w:tr w:rsidR="007421F2" w:rsidRPr="00A530E1" w:rsidTr="00F063C5">
        <w:tc>
          <w:tcPr>
            <w:tcW w:w="4819" w:type="dxa"/>
            <w:tcBorders>
              <w:bottom w:val="single" w:sz="12" w:space="0" w:color="auto"/>
            </w:tcBorders>
            <w:shd w:val="clear" w:color="auto" w:fill="auto"/>
          </w:tcPr>
          <w:p w:rsidR="007421F2" w:rsidRPr="00A530E1" w:rsidRDefault="007421F2" w:rsidP="00F063C5">
            <w:pPr>
              <w:spacing w:before="40" w:after="120"/>
              <w:ind w:right="113"/>
            </w:pPr>
            <w:r w:rsidRPr="00A530E1">
              <w:t>Measures taken to ensure that children with disabilities have access on an equal basis with all other children to participation in play, recreation, leisure and sporting facilities, including those made within the school system</w:t>
            </w:r>
          </w:p>
        </w:tc>
        <w:tc>
          <w:tcPr>
            <w:tcW w:w="4820" w:type="dxa"/>
            <w:tcBorders>
              <w:bottom w:val="single" w:sz="12" w:space="0" w:color="auto"/>
            </w:tcBorders>
            <w:shd w:val="clear" w:color="auto" w:fill="auto"/>
          </w:tcPr>
          <w:p w:rsidR="007421F2" w:rsidRPr="00A530E1" w:rsidRDefault="007421F2" w:rsidP="00F063C5">
            <w:pPr>
              <w:spacing w:before="40" w:after="120"/>
              <w:ind w:right="113"/>
            </w:pPr>
            <w:r w:rsidRPr="00A530E1">
              <w:t>The Ministry of Women and Social Development administers the national Wawa Wasi and National Family Welfare Institute programmes, whose direct beneficiaries include children under the age of 4 years who require supervision and protection because their parents are working or seeking work and lack the assistance of an adult who would be able to look after the children and ensure that they are properly cared for.</w:t>
            </w:r>
          </w:p>
        </w:tc>
      </w:tr>
    </w:tbl>
    <w:p w:rsidR="007421F2" w:rsidRPr="00A530E1" w:rsidRDefault="007421F2" w:rsidP="007421F2">
      <w:pPr>
        <w:pStyle w:val="H1G"/>
      </w:pPr>
      <w:r w:rsidRPr="00A530E1">
        <w:tab/>
        <w:t>D.</w:t>
      </w:r>
      <w:r w:rsidRPr="00A530E1">
        <w:tab/>
        <w:t xml:space="preserve">The specific situation of boys, girls and women with disabilities </w:t>
      </w:r>
    </w:p>
    <w:p w:rsidR="007421F2" w:rsidRPr="00A530E1" w:rsidRDefault="007421F2" w:rsidP="007421F2">
      <w:pPr>
        <w:pStyle w:val="H23G"/>
      </w:pPr>
      <w:r w:rsidRPr="00A530E1">
        <w:tab/>
        <w:t>1.</w:t>
      </w:r>
      <w:r w:rsidRPr="00A530E1">
        <w:tab/>
        <w:t>Article 6: Women with disabilities</w:t>
      </w:r>
    </w:p>
    <w:p w:rsidR="007421F2" w:rsidRPr="00A530E1" w:rsidRDefault="007421F2" w:rsidP="007421F2">
      <w:pPr>
        <w:pStyle w:val="SingleTxtG"/>
      </w:pPr>
      <w:r w:rsidRPr="00A530E1">
        <w:t>83.</w:t>
      </w:r>
      <w:r w:rsidRPr="00A530E1">
        <w:tab/>
        <w:t>Although gender aspects should be mainstreamed in each of the articles, where applicable, under this specific article the report should include information regarding measures taken by the State party to ensure the full development, advancement and empowerment of women for the purpose of guaranteeing them the exercise and enjoyment of the Convention rights and fundamental freedoms and the elimination of all forms of discrimination.</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819"/>
        <w:gridCol w:w="4820"/>
      </w:tblGrid>
      <w:tr w:rsidR="007421F2" w:rsidRPr="00A530E1" w:rsidTr="00F063C5">
        <w:trPr>
          <w:tblHeader/>
        </w:trPr>
        <w:tc>
          <w:tcPr>
            <w:tcW w:w="4819" w:type="dxa"/>
            <w:tcBorders>
              <w:top w:val="single" w:sz="4" w:space="0" w:color="auto"/>
              <w:bottom w:val="single" w:sz="12" w:space="0" w:color="auto"/>
            </w:tcBorders>
            <w:shd w:val="clear" w:color="auto" w:fill="auto"/>
            <w:vAlign w:val="bottom"/>
          </w:tcPr>
          <w:p w:rsidR="007421F2" w:rsidRPr="00A530E1" w:rsidRDefault="007421F2" w:rsidP="00F063C5">
            <w:pPr>
              <w:spacing w:before="80" w:after="80" w:line="200" w:lineRule="exact"/>
              <w:ind w:right="113"/>
              <w:rPr>
                <w:i/>
                <w:sz w:val="16"/>
              </w:rPr>
            </w:pPr>
            <w:r w:rsidRPr="00A530E1">
              <w:rPr>
                <w:i/>
                <w:sz w:val="16"/>
              </w:rPr>
              <w:t>Report on</w:t>
            </w:r>
          </w:p>
        </w:tc>
        <w:tc>
          <w:tcPr>
            <w:tcW w:w="4820" w:type="dxa"/>
            <w:tcBorders>
              <w:top w:val="single" w:sz="4" w:space="0" w:color="auto"/>
              <w:bottom w:val="single" w:sz="12" w:space="0" w:color="auto"/>
            </w:tcBorders>
            <w:shd w:val="clear" w:color="auto" w:fill="auto"/>
            <w:vAlign w:val="bottom"/>
          </w:tcPr>
          <w:p w:rsidR="007421F2" w:rsidRPr="00A530E1" w:rsidRDefault="007421F2" w:rsidP="00F063C5">
            <w:pPr>
              <w:spacing w:before="80" w:after="80" w:line="200" w:lineRule="exact"/>
              <w:ind w:right="113"/>
              <w:rPr>
                <w:i/>
                <w:sz w:val="16"/>
              </w:rPr>
            </w:pPr>
            <w:r w:rsidRPr="00A530E1">
              <w:rPr>
                <w:i/>
                <w:sz w:val="16"/>
              </w:rPr>
              <w:t>Progress</w:t>
            </w:r>
          </w:p>
        </w:tc>
      </w:tr>
      <w:tr w:rsidR="007421F2" w:rsidRPr="00A530E1" w:rsidTr="00F063C5">
        <w:trPr>
          <w:trHeight w:hRule="exact" w:val="113"/>
          <w:tblHeader/>
        </w:trPr>
        <w:tc>
          <w:tcPr>
            <w:tcW w:w="4819" w:type="dxa"/>
            <w:tcBorders>
              <w:top w:val="single" w:sz="12" w:space="0" w:color="auto"/>
            </w:tcBorders>
            <w:shd w:val="clear" w:color="auto" w:fill="auto"/>
          </w:tcPr>
          <w:p w:rsidR="007421F2" w:rsidRPr="00A530E1" w:rsidRDefault="007421F2" w:rsidP="00F063C5">
            <w:pPr>
              <w:spacing w:before="40" w:after="120"/>
              <w:ind w:right="113"/>
            </w:pPr>
          </w:p>
        </w:tc>
        <w:tc>
          <w:tcPr>
            <w:tcW w:w="4820" w:type="dxa"/>
            <w:tcBorders>
              <w:top w:val="single" w:sz="12" w:space="0" w:color="auto"/>
            </w:tcBorders>
            <w:shd w:val="clear" w:color="auto" w:fill="auto"/>
          </w:tcPr>
          <w:p w:rsidR="007421F2" w:rsidRPr="00A530E1" w:rsidRDefault="007421F2" w:rsidP="00F063C5">
            <w:pPr>
              <w:spacing w:before="40" w:after="120"/>
              <w:ind w:right="113"/>
            </w:pPr>
          </w:p>
        </w:tc>
      </w:tr>
      <w:tr w:rsidR="007421F2" w:rsidRPr="00A530E1" w:rsidTr="00F063C5">
        <w:tc>
          <w:tcPr>
            <w:tcW w:w="4819" w:type="dxa"/>
            <w:shd w:val="clear" w:color="auto" w:fill="auto"/>
          </w:tcPr>
          <w:p w:rsidR="007421F2" w:rsidRPr="00A530E1" w:rsidRDefault="007421F2" w:rsidP="00F063C5">
            <w:pPr>
              <w:spacing w:before="40" w:after="120"/>
              <w:ind w:right="113"/>
            </w:pPr>
            <w:r w:rsidRPr="00A530E1">
              <w:t>Whether gender inequality of women and girls with disabilities is recognized at legislative and policy levels, as well as within programme development</w:t>
            </w:r>
          </w:p>
        </w:tc>
        <w:tc>
          <w:tcPr>
            <w:tcW w:w="4820" w:type="dxa"/>
            <w:shd w:val="clear" w:color="auto" w:fill="auto"/>
          </w:tcPr>
          <w:p w:rsidR="007421F2" w:rsidRPr="00A530E1" w:rsidRDefault="007421F2" w:rsidP="00F063C5">
            <w:pPr>
              <w:spacing w:before="40" w:after="120"/>
              <w:ind w:right="113"/>
            </w:pPr>
            <w:r w:rsidRPr="00A530E1">
              <w:t>The Government of Peru hopes to see progress in this area reflected in the inclusion of the issue of disability in the strategic budgetary programming of the Ministry of Economic Affairs and Finance and in the establishment of a cluster of indicators that will ensure improved monitoring of commitments in each sector.</w:t>
            </w:r>
          </w:p>
          <w:p w:rsidR="007421F2" w:rsidRPr="00A530E1" w:rsidRDefault="007421F2" w:rsidP="00F063C5">
            <w:r w:rsidRPr="00A530E1">
              <w:t>In 2010, at the initiative of the multisectoral commission responsible for recommending measures to implement the Convention, work started on the development of a strategic programme on disability which will allow system-wide, verifiable computerized monitoring (integrated financial management system) of public policies relating to persons with disabilities.</w:t>
            </w:r>
          </w:p>
          <w:p w:rsidR="007421F2" w:rsidRPr="00A530E1" w:rsidRDefault="007421F2" w:rsidP="00F063C5">
            <w:pPr>
              <w:spacing w:before="40" w:after="120"/>
              <w:ind w:right="113"/>
            </w:pPr>
            <w:r w:rsidRPr="00A530E1">
              <w:t>The aim is to improve upon what is as yet a piecemeal approach to the issue in all areas, including its legal framework.</w:t>
            </w:r>
          </w:p>
        </w:tc>
      </w:tr>
      <w:tr w:rsidR="007421F2" w:rsidRPr="00A530E1" w:rsidTr="00502E6A">
        <w:tc>
          <w:tcPr>
            <w:tcW w:w="4819" w:type="dxa"/>
            <w:shd w:val="clear" w:color="auto" w:fill="auto"/>
          </w:tcPr>
          <w:p w:rsidR="007421F2" w:rsidRPr="00A530E1" w:rsidRDefault="007421F2" w:rsidP="00F063C5">
            <w:pPr>
              <w:spacing w:before="40" w:after="120"/>
              <w:ind w:right="113"/>
            </w:pPr>
            <w:r w:rsidRPr="00A530E1">
              <w:t>Whether girls and women with disabilities enjoy all human rights and fundamental freedoms on an equal basis with boys and men with disabilities</w:t>
            </w:r>
          </w:p>
        </w:tc>
        <w:tc>
          <w:tcPr>
            <w:tcW w:w="4820" w:type="dxa"/>
            <w:shd w:val="clear" w:color="auto" w:fill="auto"/>
          </w:tcPr>
          <w:p w:rsidR="007421F2" w:rsidRPr="00A530E1" w:rsidRDefault="007421F2" w:rsidP="00F063C5">
            <w:pPr>
              <w:spacing w:before="40" w:after="120"/>
            </w:pPr>
            <w:r w:rsidRPr="00A530E1">
              <w:t>Although the law provides for equal rights, this is not always sufficient. Peru therefore also promotes agreements and fosters the work of non-governmental organizations; its Code of Ethics for Public Servants contains provisions aimed at eliminating all forms of discrimination against persons with disabilities, irrespective of gender.</w:t>
            </w:r>
          </w:p>
        </w:tc>
      </w:tr>
      <w:tr w:rsidR="007421F2" w:rsidRPr="00A530E1" w:rsidTr="00502E6A">
        <w:tc>
          <w:tcPr>
            <w:tcW w:w="4819" w:type="dxa"/>
            <w:tcBorders>
              <w:bottom w:val="single" w:sz="12" w:space="0" w:color="auto"/>
            </w:tcBorders>
            <w:shd w:val="clear" w:color="auto" w:fill="auto"/>
          </w:tcPr>
          <w:p w:rsidR="007421F2" w:rsidRPr="00A530E1" w:rsidRDefault="007421F2" w:rsidP="00F063C5">
            <w:pPr>
              <w:spacing w:before="40" w:after="120"/>
              <w:ind w:right="113"/>
            </w:pPr>
            <w:r w:rsidRPr="00A530E1">
              <w:t>Whether girls and women with disabilities enjoy all human rights and fundamental freedoms on an equal basis with other girls and women without disabilities</w:t>
            </w:r>
          </w:p>
        </w:tc>
        <w:tc>
          <w:tcPr>
            <w:tcW w:w="4820" w:type="dxa"/>
            <w:tcBorders>
              <w:bottom w:val="single" w:sz="12" w:space="0" w:color="auto"/>
            </w:tcBorders>
            <w:shd w:val="clear" w:color="auto" w:fill="auto"/>
          </w:tcPr>
          <w:p w:rsidR="007421F2" w:rsidRPr="00A530E1" w:rsidRDefault="007421F2" w:rsidP="00F063C5">
            <w:pPr>
              <w:spacing w:before="40" w:after="120"/>
              <w:ind w:right="113"/>
            </w:pPr>
            <w:r w:rsidRPr="00A530E1">
              <w:t>Both the recently approved Universal Insurance Act and the promotion of inclusive education through the National Education Council, which includes representatives from civil society, are examples of initiatives that will enhance opportunities for the social and economic inclusion of women with disabilities.</w:t>
            </w:r>
          </w:p>
        </w:tc>
      </w:tr>
    </w:tbl>
    <w:p w:rsidR="007421F2" w:rsidRPr="00A530E1" w:rsidRDefault="007421F2" w:rsidP="007421F2">
      <w:pPr>
        <w:pStyle w:val="H23G"/>
      </w:pPr>
      <w:r w:rsidRPr="00A530E1">
        <w:tab/>
        <w:t>2.</w:t>
      </w:r>
      <w:r w:rsidRPr="00A530E1">
        <w:tab/>
        <w:t>Article 7: Children with disabilities</w:t>
      </w:r>
    </w:p>
    <w:p w:rsidR="007421F2" w:rsidRPr="00A530E1" w:rsidRDefault="007421F2" w:rsidP="007421F2">
      <w:pPr>
        <w:pStyle w:val="SingleTxtG"/>
      </w:pPr>
      <w:r w:rsidRPr="00A530E1">
        <w:t>84.</w:t>
      </w:r>
      <w:r w:rsidRPr="00A530E1">
        <w:tab/>
        <w:t xml:space="preserve">The report should include supplementary information where applicable, regarding measures taken by the </w:t>
      </w:r>
      <w:r w:rsidR="00973E76">
        <w:t>State party</w:t>
      </w:r>
      <w:r w:rsidRPr="00A530E1">
        <w:t xml:space="preserve"> to ensure the full enjoyment by children with disabilities of all Convention rights and fundamental freedoms, in particular to ensure that all actions concerning children with disabilities are in the best interests of the child.</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819"/>
        <w:gridCol w:w="4820"/>
      </w:tblGrid>
      <w:tr w:rsidR="007421F2" w:rsidRPr="00A530E1" w:rsidTr="00F063C5">
        <w:trPr>
          <w:tblHeader/>
        </w:trPr>
        <w:tc>
          <w:tcPr>
            <w:tcW w:w="4819" w:type="dxa"/>
            <w:tcBorders>
              <w:top w:val="single" w:sz="4" w:space="0" w:color="auto"/>
              <w:bottom w:val="single" w:sz="12" w:space="0" w:color="auto"/>
            </w:tcBorders>
            <w:shd w:val="clear" w:color="auto" w:fill="auto"/>
            <w:vAlign w:val="bottom"/>
          </w:tcPr>
          <w:p w:rsidR="007421F2" w:rsidRPr="00A530E1" w:rsidRDefault="007421F2" w:rsidP="00F063C5">
            <w:pPr>
              <w:spacing w:before="80" w:after="80" w:line="200" w:lineRule="exact"/>
              <w:ind w:right="113"/>
              <w:rPr>
                <w:i/>
                <w:sz w:val="16"/>
              </w:rPr>
            </w:pPr>
            <w:r w:rsidRPr="00A530E1">
              <w:rPr>
                <w:i/>
                <w:sz w:val="16"/>
              </w:rPr>
              <w:t>Report on</w:t>
            </w:r>
          </w:p>
        </w:tc>
        <w:tc>
          <w:tcPr>
            <w:tcW w:w="4820" w:type="dxa"/>
            <w:tcBorders>
              <w:top w:val="single" w:sz="4" w:space="0" w:color="auto"/>
              <w:bottom w:val="single" w:sz="12" w:space="0" w:color="auto"/>
            </w:tcBorders>
            <w:shd w:val="clear" w:color="auto" w:fill="auto"/>
            <w:vAlign w:val="bottom"/>
          </w:tcPr>
          <w:p w:rsidR="007421F2" w:rsidRPr="00A530E1" w:rsidRDefault="007421F2" w:rsidP="00F063C5">
            <w:pPr>
              <w:spacing w:before="80" w:after="80" w:line="200" w:lineRule="exact"/>
              <w:ind w:right="113"/>
              <w:rPr>
                <w:i/>
                <w:sz w:val="16"/>
              </w:rPr>
            </w:pPr>
            <w:r w:rsidRPr="00A530E1">
              <w:rPr>
                <w:i/>
                <w:sz w:val="16"/>
              </w:rPr>
              <w:t>Progress</w:t>
            </w:r>
          </w:p>
        </w:tc>
      </w:tr>
      <w:tr w:rsidR="007421F2" w:rsidRPr="00A530E1" w:rsidTr="00F063C5">
        <w:trPr>
          <w:trHeight w:hRule="exact" w:val="113"/>
          <w:tblHeader/>
        </w:trPr>
        <w:tc>
          <w:tcPr>
            <w:tcW w:w="4819" w:type="dxa"/>
            <w:tcBorders>
              <w:top w:val="single" w:sz="12" w:space="0" w:color="auto"/>
            </w:tcBorders>
            <w:shd w:val="clear" w:color="auto" w:fill="auto"/>
          </w:tcPr>
          <w:p w:rsidR="007421F2" w:rsidRPr="00A530E1" w:rsidRDefault="007421F2" w:rsidP="00F063C5">
            <w:pPr>
              <w:spacing w:before="40" w:after="120"/>
              <w:ind w:right="113"/>
            </w:pPr>
          </w:p>
        </w:tc>
        <w:tc>
          <w:tcPr>
            <w:tcW w:w="4820" w:type="dxa"/>
            <w:tcBorders>
              <w:top w:val="single" w:sz="12" w:space="0" w:color="auto"/>
            </w:tcBorders>
            <w:shd w:val="clear" w:color="auto" w:fill="auto"/>
          </w:tcPr>
          <w:p w:rsidR="007421F2" w:rsidRPr="00A530E1" w:rsidRDefault="007421F2" w:rsidP="00F063C5">
            <w:pPr>
              <w:spacing w:before="40" w:after="120"/>
              <w:ind w:right="113"/>
            </w:pPr>
          </w:p>
        </w:tc>
      </w:tr>
      <w:tr w:rsidR="007421F2" w:rsidRPr="00A530E1" w:rsidTr="00F063C5">
        <w:tc>
          <w:tcPr>
            <w:tcW w:w="4819" w:type="dxa"/>
            <w:shd w:val="clear" w:color="auto" w:fill="auto"/>
          </w:tcPr>
          <w:p w:rsidR="007421F2" w:rsidRPr="00A530E1" w:rsidRDefault="007421F2" w:rsidP="00F063C5">
            <w:pPr>
              <w:spacing w:before="40" w:after="120"/>
              <w:ind w:right="113"/>
            </w:pPr>
            <w:r w:rsidRPr="00A530E1">
              <w:t>The principles that underpin decision-making in relation to boys and girls with disabilities</w:t>
            </w:r>
          </w:p>
        </w:tc>
        <w:tc>
          <w:tcPr>
            <w:tcW w:w="4820" w:type="dxa"/>
            <w:shd w:val="clear" w:color="auto" w:fill="auto"/>
          </w:tcPr>
          <w:p w:rsidR="007421F2" w:rsidRPr="00A530E1" w:rsidRDefault="007421F2" w:rsidP="00F063C5">
            <w:pPr>
              <w:spacing w:before="40" w:after="120"/>
              <w:ind w:right="113"/>
            </w:pPr>
            <w:r w:rsidRPr="00A530E1">
              <w:t>All public policy decisions are taken on the basis of such principles as non-discrimination and absolute respect for the dignity of the human person.</w:t>
            </w:r>
          </w:p>
        </w:tc>
      </w:tr>
      <w:tr w:rsidR="007421F2" w:rsidRPr="00A530E1" w:rsidTr="00F063C5">
        <w:tc>
          <w:tcPr>
            <w:tcW w:w="4819" w:type="dxa"/>
            <w:shd w:val="clear" w:color="auto" w:fill="auto"/>
          </w:tcPr>
          <w:p w:rsidR="007421F2" w:rsidRPr="00A530E1" w:rsidRDefault="007421F2" w:rsidP="00F063C5">
            <w:pPr>
              <w:spacing w:before="40" w:after="120"/>
              <w:ind w:right="113"/>
            </w:pPr>
            <w:r w:rsidRPr="00A530E1">
              <w:t>Whether boys and girls with disabilities are able to express their views on all matters that affect them freely, and receive appropriate assistance according to their disability and age to practise this right</w:t>
            </w:r>
          </w:p>
        </w:tc>
        <w:tc>
          <w:tcPr>
            <w:tcW w:w="4820" w:type="dxa"/>
            <w:shd w:val="clear" w:color="auto" w:fill="auto"/>
          </w:tcPr>
          <w:p w:rsidR="007421F2" w:rsidRPr="00A530E1" w:rsidRDefault="007421F2" w:rsidP="000F38ED">
            <w:pPr>
              <w:spacing w:before="40"/>
              <w:ind w:right="113"/>
            </w:pPr>
            <w:r w:rsidRPr="00A530E1">
              <w:t>Freedom of expression is exercised at all levels of society. State assistance to children with disabilities is primarily provided by the Ministry of Health and the Ministry of Education. While the goal of total coverage has not yet been achieved, the pattern of targeted public spending that is in place is focused on reducing and eliminating child undernutrition as a basic building block for economic development. The Ministry of Economic Affairs and Finance administers strategic programmes relating to children as regards nutrition, reading and writing, and neonatal and post-natal care.</w:t>
            </w:r>
          </w:p>
        </w:tc>
      </w:tr>
      <w:tr w:rsidR="007421F2" w:rsidRPr="00A530E1" w:rsidTr="00F063C5">
        <w:tc>
          <w:tcPr>
            <w:tcW w:w="4819" w:type="dxa"/>
            <w:shd w:val="clear" w:color="auto" w:fill="auto"/>
          </w:tcPr>
          <w:p w:rsidR="007421F2" w:rsidRPr="00A530E1" w:rsidRDefault="007421F2" w:rsidP="00F063C5">
            <w:pPr>
              <w:spacing w:before="40" w:after="120"/>
              <w:ind w:right="113"/>
            </w:pPr>
            <w:r w:rsidRPr="00A530E1">
              <w:t>Relevant differences in the situations among boys and girls with disabilities</w:t>
            </w:r>
          </w:p>
        </w:tc>
        <w:tc>
          <w:tcPr>
            <w:tcW w:w="4820" w:type="dxa"/>
            <w:shd w:val="clear" w:color="auto" w:fill="auto"/>
          </w:tcPr>
          <w:p w:rsidR="007421F2" w:rsidRPr="00A530E1" w:rsidRDefault="007421F2" w:rsidP="00F063C5">
            <w:pPr>
              <w:spacing w:before="40" w:after="120"/>
              <w:ind w:right="113"/>
            </w:pPr>
            <w:r w:rsidRPr="00A530E1">
              <w:t>The promotion of gender equity and the monitoring of the situation in this respect are cross-cutting features that apply to all age groups. The Ministry of Women and Social Development is responsible for a national action plan for children and adolescents (2002–2010), and one of the modifications that has been proposed in this connection is the establishment of a specific strategic objective for children with disabilities. This approach to mainstreaming is to be gradually incorporated into each area of social policy in Peru; hence the importance of linking the situation of vulnerable populations to the budgeting-for-results approach.</w:t>
            </w:r>
          </w:p>
        </w:tc>
      </w:tr>
      <w:tr w:rsidR="00096945" w:rsidRPr="00A530E1" w:rsidTr="00F063C5">
        <w:tc>
          <w:tcPr>
            <w:tcW w:w="4819" w:type="dxa"/>
            <w:shd w:val="clear" w:color="auto" w:fill="auto"/>
          </w:tcPr>
          <w:p w:rsidR="00096945" w:rsidRPr="00A530E1" w:rsidRDefault="00096945" w:rsidP="00096945">
            <w:pPr>
              <w:spacing w:before="40"/>
              <w:ind w:right="113"/>
            </w:pPr>
          </w:p>
        </w:tc>
        <w:tc>
          <w:tcPr>
            <w:tcW w:w="4820" w:type="dxa"/>
            <w:shd w:val="clear" w:color="auto" w:fill="auto"/>
          </w:tcPr>
          <w:p w:rsidR="00096945" w:rsidRPr="00A530E1" w:rsidRDefault="00096945" w:rsidP="00096945">
            <w:pPr>
              <w:spacing w:before="40"/>
              <w:ind w:right="113"/>
            </w:pPr>
          </w:p>
        </w:tc>
      </w:tr>
      <w:tr w:rsidR="007421F2" w:rsidRPr="00A530E1" w:rsidTr="00F063C5">
        <w:tc>
          <w:tcPr>
            <w:tcW w:w="4819" w:type="dxa"/>
            <w:tcBorders>
              <w:bottom w:val="single" w:sz="12" w:space="0" w:color="auto"/>
            </w:tcBorders>
            <w:shd w:val="clear" w:color="auto" w:fill="auto"/>
          </w:tcPr>
          <w:p w:rsidR="007421F2" w:rsidRPr="00A530E1" w:rsidRDefault="007421F2" w:rsidP="00F063C5">
            <w:pPr>
              <w:spacing w:before="40" w:after="120"/>
              <w:ind w:right="113"/>
            </w:pPr>
            <w:r w:rsidRPr="00A530E1">
              <w:t>Whether children with disabilities are viewed as right-bearers on an equivalent basis to other children</w:t>
            </w:r>
          </w:p>
        </w:tc>
        <w:tc>
          <w:tcPr>
            <w:tcW w:w="4820" w:type="dxa"/>
            <w:tcBorders>
              <w:bottom w:val="single" w:sz="12" w:space="0" w:color="auto"/>
            </w:tcBorders>
            <w:shd w:val="clear" w:color="auto" w:fill="auto"/>
          </w:tcPr>
          <w:p w:rsidR="007421F2" w:rsidRPr="00A530E1" w:rsidRDefault="007421F2" w:rsidP="00F063C5">
            <w:pPr>
              <w:spacing w:before="40" w:after="120"/>
              <w:ind w:right="113"/>
            </w:pPr>
            <w:r w:rsidRPr="00A530E1">
              <w:t>A list of categories of jobs and activities that are deemed to be dangerous or harmful to the general health and moral well-being of adolescents was approved by Supreme Decree No. 003-2010-MIMDES</w:t>
            </w:r>
          </w:p>
        </w:tc>
      </w:tr>
    </w:tbl>
    <w:p w:rsidR="007421F2" w:rsidRPr="00A530E1" w:rsidRDefault="007421F2" w:rsidP="007421F2">
      <w:pPr>
        <w:pStyle w:val="H1G"/>
      </w:pPr>
      <w:r w:rsidRPr="00A530E1">
        <w:tab/>
        <w:t>E.</w:t>
      </w:r>
      <w:r w:rsidRPr="00A530E1">
        <w:tab/>
        <w:t>Specific obligations</w:t>
      </w:r>
    </w:p>
    <w:p w:rsidR="007421F2" w:rsidRPr="00A530E1" w:rsidRDefault="007421F2" w:rsidP="007421F2">
      <w:pPr>
        <w:pStyle w:val="H23G"/>
      </w:pPr>
      <w:r w:rsidRPr="00A530E1">
        <w:tab/>
        <w:t>1.</w:t>
      </w:r>
      <w:r w:rsidRPr="00A530E1">
        <w:tab/>
        <w:t>Article 31: Statistics and data collection</w:t>
      </w:r>
    </w:p>
    <w:p w:rsidR="007421F2" w:rsidRPr="00A530E1" w:rsidRDefault="007421F2" w:rsidP="007421F2">
      <w:pPr>
        <w:pStyle w:val="SingleTxtG"/>
      </w:pPr>
      <w:r w:rsidRPr="00A530E1">
        <w:t>85.</w:t>
      </w:r>
      <w:r w:rsidRPr="00A530E1">
        <w:tab/>
        <w:t>This article regulates the process of collection of data by the State party.</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819"/>
        <w:gridCol w:w="4820"/>
      </w:tblGrid>
      <w:tr w:rsidR="007421F2" w:rsidRPr="00A530E1" w:rsidTr="008F1953">
        <w:trPr>
          <w:tblHeader/>
        </w:trPr>
        <w:tc>
          <w:tcPr>
            <w:tcW w:w="4819" w:type="dxa"/>
            <w:tcBorders>
              <w:top w:val="single" w:sz="4" w:space="0" w:color="auto"/>
              <w:bottom w:val="single" w:sz="12" w:space="0" w:color="auto"/>
            </w:tcBorders>
            <w:shd w:val="clear" w:color="auto" w:fill="auto"/>
            <w:vAlign w:val="bottom"/>
          </w:tcPr>
          <w:p w:rsidR="007421F2" w:rsidRPr="00A530E1" w:rsidRDefault="007421F2" w:rsidP="00F063C5">
            <w:pPr>
              <w:spacing w:before="80" w:after="80" w:line="200" w:lineRule="exact"/>
              <w:ind w:right="113"/>
              <w:rPr>
                <w:i/>
                <w:sz w:val="16"/>
              </w:rPr>
            </w:pPr>
            <w:r w:rsidRPr="00A530E1">
              <w:rPr>
                <w:i/>
                <w:sz w:val="16"/>
              </w:rPr>
              <w:t>Report on</w:t>
            </w:r>
          </w:p>
        </w:tc>
        <w:tc>
          <w:tcPr>
            <w:tcW w:w="4820" w:type="dxa"/>
            <w:tcBorders>
              <w:top w:val="single" w:sz="4" w:space="0" w:color="auto"/>
              <w:bottom w:val="single" w:sz="12" w:space="0" w:color="auto"/>
            </w:tcBorders>
            <w:shd w:val="clear" w:color="auto" w:fill="auto"/>
            <w:vAlign w:val="bottom"/>
          </w:tcPr>
          <w:p w:rsidR="007421F2" w:rsidRPr="00A530E1" w:rsidRDefault="007421F2" w:rsidP="00F063C5">
            <w:pPr>
              <w:spacing w:before="80" w:after="80" w:line="200" w:lineRule="exact"/>
              <w:ind w:right="113"/>
              <w:rPr>
                <w:i/>
                <w:sz w:val="16"/>
              </w:rPr>
            </w:pPr>
            <w:r w:rsidRPr="00A530E1">
              <w:rPr>
                <w:i/>
                <w:sz w:val="16"/>
              </w:rPr>
              <w:t>Progress</w:t>
            </w:r>
          </w:p>
        </w:tc>
      </w:tr>
      <w:tr w:rsidR="007421F2" w:rsidRPr="00A530E1" w:rsidTr="008F1953">
        <w:trPr>
          <w:trHeight w:hRule="exact" w:val="113"/>
          <w:tblHeader/>
        </w:trPr>
        <w:tc>
          <w:tcPr>
            <w:tcW w:w="4819" w:type="dxa"/>
            <w:tcBorders>
              <w:top w:val="single" w:sz="12" w:space="0" w:color="auto"/>
            </w:tcBorders>
            <w:shd w:val="clear" w:color="auto" w:fill="auto"/>
          </w:tcPr>
          <w:p w:rsidR="007421F2" w:rsidRPr="00A530E1" w:rsidRDefault="007421F2" w:rsidP="00F063C5">
            <w:pPr>
              <w:spacing w:before="40" w:after="120"/>
              <w:ind w:right="113"/>
            </w:pPr>
          </w:p>
        </w:tc>
        <w:tc>
          <w:tcPr>
            <w:tcW w:w="4820" w:type="dxa"/>
            <w:tcBorders>
              <w:top w:val="single" w:sz="12" w:space="0" w:color="auto"/>
            </w:tcBorders>
            <w:shd w:val="clear" w:color="auto" w:fill="auto"/>
          </w:tcPr>
          <w:p w:rsidR="007421F2" w:rsidRPr="00A530E1" w:rsidRDefault="007421F2" w:rsidP="00F063C5">
            <w:pPr>
              <w:spacing w:before="40" w:after="120"/>
              <w:ind w:right="113"/>
            </w:pPr>
          </w:p>
        </w:tc>
      </w:tr>
      <w:tr w:rsidR="007421F2" w:rsidRPr="00A530E1" w:rsidTr="00F063C5">
        <w:tc>
          <w:tcPr>
            <w:tcW w:w="4819" w:type="dxa"/>
            <w:shd w:val="clear" w:color="auto" w:fill="auto"/>
          </w:tcPr>
          <w:p w:rsidR="007421F2" w:rsidRPr="00A530E1" w:rsidRDefault="007421F2" w:rsidP="00F063C5">
            <w:pPr>
              <w:spacing w:before="40" w:after="120"/>
              <w:ind w:right="113"/>
            </w:pPr>
            <w:r w:rsidRPr="00A530E1">
              <w:t>Measures taken to collect disaggregated appropriate information, including statistical and research data, to enable them to formulate and implement policies to give effect to the Convention respecting human rights and fundamental freedoms, ethics, legal safeguards, data protection, confidentiality and privacy</w:t>
            </w:r>
          </w:p>
        </w:tc>
        <w:tc>
          <w:tcPr>
            <w:tcW w:w="4820" w:type="dxa"/>
            <w:shd w:val="clear" w:color="auto" w:fill="auto"/>
          </w:tcPr>
          <w:p w:rsidR="007421F2" w:rsidRPr="00A530E1" w:rsidRDefault="007421F2" w:rsidP="00F063C5">
            <w:pPr>
              <w:spacing w:before="40" w:after="120"/>
              <w:ind w:right="113"/>
            </w:pPr>
            <w:r w:rsidRPr="00A530E1">
              <w:t>The 2009 report on the level of human development in Peru stated that, if a substantial improvement can be made in the collection, organization and processing of information by the national statistics system, it would be advisable for future studies on the scope of State services to delve more deeply into the areas that the 2009 report had only begun to explore. However, it should be pointed out that the procedures used in conducting Peru’s national censuses are approved by the lead agency, the National Institute of Statistics, and are in accordance with the Convention.</w:t>
            </w:r>
          </w:p>
        </w:tc>
      </w:tr>
      <w:tr w:rsidR="007421F2" w:rsidRPr="00A530E1" w:rsidTr="009E6A76">
        <w:tc>
          <w:tcPr>
            <w:tcW w:w="4819" w:type="dxa"/>
            <w:shd w:val="clear" w:color="auto" w:fill="auto"/>
          </w:tcPr>
          <w:p w:rsidR="007421F2" w:rsidRPr="00A530E1" w:rsidRDefault="007421F2" w:rsidP="00F063C5">
            <w:pPr>
              <w:spacing w:before="40" w:after="120"/>
              <w:ind w:right="113"/>
            </w:pPr>
            <w:r w:rsidRPr="00A530E1">
              <w:t>The dissemination of these statistics and measures to ensure their accessibility by persons with disabilities</w:t>
            </w:r>
          </w:p>
        </w:tc>
        <w:tc>
          <w:tcPr>
            <w:tcW w:w="4820" w:type="dxa"/>
            <w:shd w:val="clear" w:color="auto" w:fill="auto"/>
          </w:tcPr>
          <w:p w:rsidR="007421F2" w:rsidRPr="00A530E1" w:rsidRDefault="007421F2" w:rsidP="00F063C5">
            <w:pPr>
              <w:spacing w:before="40" w:after="120"/>
              <w:ind w:right="113"/>
            </w:pPr>
            <w:r w:rsidRPr="00A530E1">
              <w:t>In 2009, by Supreme Decree No. 013-2009-MIMDES, the implementing regulations for Act No. 28530 on the Promotion of Internet Access for Persons with Disabilities and Adaptation of Public Internet Booths were approved; under this law, the use of inclusive software in Internet businesses and on institutions’ web portals is mandatory.</w:t>
            </w:r>
          </w:p>
          <w:p w:rsidR="007421F2" w:rsidRPr="00A530E1" w:rsidRDefault="007421F2" w:rsidP="00F063C5">
            <w:pPr>
              <w:spacing w:before="40" w:after="120"/>
              <w:ind w:right="113"/>
            </w:pPr>
            <w:r w:rsidRPr="00A530E1">
              <w:t>In the interest of transparency and access to public information, public bodies are also under an obligation to disclose all their management reports, as well as the statistical sources within their purview.</w:t>
            </w:r>
          </w:p>
        </w:tc>
      </w:tr>
      <w:tr w:rsidR="007421F2" w:rsidRPr="00A530E1" w:rsidTr="00A96FD4">
        <w:tc>
          <w:tcPr>
            <w:tcW w:w="4819" w:type="dxa"/>
            <w:shd w:val="clear" w:color="auto" w:fill="auto"/>
          </w:tcPr>
          <w:p w:rsidR="007421F2" w:rsidRPr="00A530E1" w:rsidRDefault="007421F2" w:rsidP="00F063C5">
            <w:pPr>
              <w:spacing w:before="40" w:after="120"/>
              <w:ind w:right="113"/>
            </w:pPr>
            <w:r w:rsidRPr="00A530E1">
              <w:t>Measures taken to ensure the full participation of persons with disabilities in the process of data collection and research</w:t>
            </w:r>
          </w:p>
        </w:tc>
        <w:tc>
          <w:tcPr>
            <w:tcW w:w="4820" w:type="dxa"/>
            <w:shd w:val="clear" w:color="auto" w:fill="auto"/>
          </w:tcPr>
          <w:p w:rsidR="007421F2" w:rsidRPr="00A530E1" w:rsidRDefault="007421F2" w:rsidP="00331895">
            <w:pPr>
              <w:spacing w:before="40" w:after="120"/>
              <w:ind w:right="113"/>
            </w:pPr>
            <w:r w:rsidRPr="00A530E1">
              <w:t xml:space="preserve">Associations, NGOs, and organizations of persons with disabilities and their family members coordinate with the National Registry administered by CONADIS to ensure the submission of information by their members in </w:t>
            </w:r>
            <w:r w:rsidR="009E6A76" w:rsidRPr="00A530E1">
              <w:t>compliance with registration procedures for job applications that require proof of disability and for applications for tax and duty waivers. There are 310 legal entities registered nationally.</w:t>
            </w:r>
          </w:p>
        </w:tc>
      </w:tr>
      <w:tr w:rsidR="00A96FD4" w:rsidRPr="00A530E1" w:rsidTr="00A96FD4">
        <w:tc>
          <w:tcPr>
            <w:tcW w:w="4819" w:type="dxa"/>
            <w:shd w:val="clear" w:color="auto" w:fill="auto"/>
          </w:tcPr>
          <w:p w:rsidR="00A96FD4" w:rsidRPr="00A530E1" w:rsidRDefault="00A96FD4" w:rsidP="00F063C5">
            <w:pPr>
              <w:spacing w:before="40" w:after="120"/>
              <w:ind w:right="113"/>
            </w:pPr>
          </w:p>
        </w:tc>
        <w:tc>
          <w:tcPr>
            <w:tcW w:w="4820" w:type="dxa"/>
            <w:shd w:val="clear" w:color="auto" w:fill="auto"/>
          </w:tcPr>
          <w:p w:rsidR="00A96FD4" w:rsidRPr="00A530E1" w:rsidRDefault="00A96FD4" w:rsidP="00331895">
            <w:pPr>
              <w:spacing w:before="40" w:after="120"/>
              <w:ind w:right="113"/>
            </w:pPr>
          </w:p>
        </w:tc>
      </w:tr>
      <w:tr w:rsidR="00A96FD4" w:rsidRPr="00A530E1" w:rsidTr="00A96FD4">
        <w:tc>
          <w:tcPr>
            <w:tcW w:w="4819" w:type="dxa"/>
            <w:shd w:val="clear" w:color="auto" w:fill="auto"/>
          </w:tcPr>
          <w:p w:rsidR="00A96FD4" w:rsidRPr="00A530E1" w:rsidRDefault="00A96FD4" w:rsidP="00F063C5">
            <w:pPr>
              <w:spacing w:before="40" w:after="120"/>
              <w:ind w:right="113"/>
            </w:pPr>
          </w:p>
        </w:tc>
        <w:tc>
          <w:tcPr>
            <w:tcW w:w="4820" w:type="dxa"/>
            <w:shd w:val="clear" w:color="auto" w:fill="auto"/>
          </w:tcPr>
          <w:p w:rsidR="00A96FD4" w:rsidRPr="00A530E1" w:rsidRDefault="00A96FD4" w:rsidP="00331895">
            <w:pPr>
              <w:spacing w:before="40" w:after="120"/>
              <w:ind w:right="113"/>
            </w:pPr>
          </w:p>
        </w:tc>
      </w:tr>
      <w:tr w:rsidR="00A96FD4" w:rsidRPr="00A530E1" w:rsidTr="00A96FD4">
        <w:tc>
          <w:tcPr>
            <w:tcW w:w="4819" w:type="dxa"/>
            <w:shd w:val="clear" w:color="auto" w:fill="auto"/>
          </w:tcPr>
          <w:p w:rsidR="00A96FD4" w:rsidRPr="00A530E1" w:rsidRDefault="00A96FD4" w:rsidP="00F063C5">
            <w:pPr>
              <w:spacing w:before="40" w:after="120"/>
              <w:ind w:right="113"/>
            </w:pPr>
          </w:p>
        </w:tc>
        <w:tc>
          <w:tcPr>
            <w:tcW w:w="4820" w:type="dxa"/>
            <w:shd w:val="clear" w:color="auto" w:fill="auto"/>
          </w:tcPr>
          <w:p w:rsidR="00A96FD4" w:rsidRPr="00A530E1" w:rsidRDefault="00A96FD4" w:rsidP="00331895">
            <w:pPr>
              <w:spacing w:before="40" w:after="120"/>
              <w:ind w:right="113"/>
            </w:pPr>
          </w:p>
        </w:tc>
      </w:tr>
      <w:tr w:rsidR="00A96FD4" w:rsidRPr="00A530E1" w:rsidTr="009E6A76">
        <w:tc>
          <w:tcPr>
            <w:tcW w:w="4819" w:type="dxa"/>
            <w:tcBorders>
              <w:bottom w:val="single" w:sz="12" w:space="0" w:color="auto"/>
            </w:tcBorders>
            <w:shd w:val="clear" w:color="auto" w:fill="auto"/>
          </w:tcPr>
          <w:p w:rsidR="00A96FD4" w:rsidRPr="00A530E1" w:rsidRDefault="00A96FD4" w:rsidP="00F063C5">
            <w:pPr>
              <w:spacing w:before="40" w:after="120"/>
              <w:ind w:right="113"/>
            </w:pPr>
          </w:p>
        </w:tc>
        <w:tc>
          <w:tcPr>
            <w:tcW w:w="4820" w:type="dxa"/>
            <w:tcBorders>
              <w:bottom w:val="single" w:sz="12" w:space="0" w:color="auto"/>
            </w:tcBorders>
            <w:shd w:val="clear" w:color="auto" w:fill="auto"/>
          </w:tcPr>
          <w:p w:rsidR="00A96FD4" w:rsidRPr="00A530E1" w:rsidRDefault="00A96FD4" w:rsidP="00331895">
            <w:pPr>
              <w:spacing w:before="40" w:after="120"/>
              <w:ind w:right="113"/>
            </w:pPr>
            <w:r w:rsidRPr="00A530E1">
              <w:t>In order to recognize the work of persons and institutions that contribute to social inclusion and the implementation of activities for persons with disabilities, the Ministry of Women and Social Development will award the Order of Merit for the Social Inclusion of Persons with Disabilities to further encourage efforts to benefit this vulnerable group. This initiative has been approved by Ministerial Decision No. 498-2009-MIMDES.</w:t>
            </w:r>
          </w:p>
        </w:tc>
      </w:tr>
    </w:tbl>
    <w:p w:rsidR="007421F2" w:rsidRPr="00A530E1" w:rsidRDefault="007421F2" w:rsidP="007421F2">
      <w:pPr>
        <w:pStyle w:val="H23G"/>
      </w:pPr>
      <w:r w:rsidRPr="00A530E1">
        <w:tab/>
        <w:t>2.</w:t>
      </w:r>
      <w:r w:rsidRPr="00A530E1">
        <w:tab/>
        <w:t>Article 32: International cooperation</w:t>
      </w:r>
    </w:p>
    <w:p w:rsidR="007421F2" w:rsidRPr="00A530E1" w:rsidRDefault="007421F2" w:rsidP="004A4523">
      <w:pPr>
        <w:pStyle w:val="SingleTxtG"/>
        <w:spacing w:after="240"/>
      </w:pPr>
      <w:r w:rsidRPr="00A530E1">
        <w:t>86.</w:t>
      </w:r>
      <w:r w:rsidRPr="00A530E1">
        <w:tab/>
        <w:t>This article recognizes the importance of the State’s international cooperation in support of national efforts towards the realization of the purpose and objectives of the Convention.</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819"/>
        <w:gridCol w:w="4820"/>
      </w:tblGrid>
      <w:tr w:rsidR="007421F2" w:rsidRPr="00A530E1" w:rsidTr="008F1953">
        <w:trPr>
          <w:tblHeader/>
        </w:trPr>
        <w:tc>
          <w:tcPr>
            <w:tcW w:w="4819" w:type="dxa"/>
            <w:tcBorders>
              <w:top w:val="single" w:sz="4" w:space="0" w:color="auto"/>
              <w:bottom w:val="single" w:sz="12" w:space="0" w:color="auto"/>
            </w:tcBorders>
            <w:shd w:val="clear" w:color="auto" w:fill="auto"/>
            <w:vAlign w:val="bottom"/>
          </w:tcPr>
          <w:p w:rsidR="007421F2" w:rsidRPr="00A530E1" w:rsidRDefault="007421F2" w:rsidP="00F063C5">
            <w:pPr>
              <w:spacing w:before="80" w:after="80" w:line="200" w:lineRule="exact"/>
              <w:ind w:right="113"/>
              <w:rPr>
                <w:i/>
                <w:sz w:val="16"/>
              </w:rPr>
            </w:pPr>
            <w:r w:rsidRPr="00A530E1">
              <w:rPr>
                <w:i/>
                <w:sz w:val="16"/>
              </w:rPr>
              <w:t>Report on</w:t>
            </w:r>
          </w:p>
        </w:tc>
        <w:tc>
          <w:tcPr>
            <w:tcW w:w="4820" w:type="dxa"/>
            <w:tcBorders>
              <w:top w:val="single" w:sz="4" w:space="0" w:color="auto"/>
              <w:bottom w:val="single" w:sz="12" w:space="0" w:color="auto"/>
            </w:tcBorders>
            <w:shd w:val="clear" w:color="auto" w:fill="auto"/>
            <w:vAlign w:val="bottom"/>
          </w:tcPr>
          <w:p w:rsidR="007421F2" w:rsidRPr="00A530E1" w:rsidRDefault="007421F2" w:rsidP="00F063C5">
            <w:pPr>
              <w:spacing w:before="80" w:after="80" w:line="200" w:lineRule="exact"/>
              <w:ind w:right="113"/>
              <w:rPr>
                <w:i/>
                <w:sz w:val="16"/>
              </w:rPr>
            </w:pPr>
            <w:r w:rsidRPr="00A530E1">
              <w:rPr>
                <w:i/>
                <w:sz w:val="16"/>
              </w:rPr>
              <w:t>Progress</w:t>
            </w:r>
          </w:p>
        </w:tc>
      </w:tr>
      <w:tr w:rsidR="007421F2" w:rsidRPr="00A530E1" w:rsidTr="008F1953">
        <w:trPr>
          <w:trHeight w:hRule="exact" w:val="113"/>
          <w:tblHeader/>
        </w:trPr>
        <w:tc>
          <w:tcPr>
            <w:tcW w:w="4819" w:type="dxa"/>
            <w:tcBorders>
              <w:top w:val="single" w:sz="12" w:space="0" w:color="auto"/>
            </w:tcBorders>
            <w:shd w:val="clear" w:color="auto" w:fill="auto"/>
          </w:tcPr>
          <w:p w:rsidR="007421F2" w:rsidRPr="00A530E1" w:rsidRDefault="007421F2" w:rsidP="00F063C5">
            <w:pPr>
              <w:spacing w:before="40" w:after="120"/>
              <w:ind w:right="113"/>
            </w:pPr>
          </w:p>
        </w:tc>
        <w:tc>
          <w:tcPr>
            <w:tcW w:w="4820" w:type="dxa"/>
            <w:tcBorders>
              <w:top w:val="single" w:sz="12" w:space="0" w:color="auto"/>
            </w:tcBorders>
            <w:shd w:val="clear" w:color="auto" w:fill="auto"/>
          </w:tcPr>
          <w:p w:rsidR="007421F2" w:rsidRPr="00A530E1" w:rsidRDefault="007421F2" w:rsidP="00F063C5">
            <w:pPr>
              <w:spacing w:before="40" w:after="120"/>
              <w:ind w:right="113"/>
            </w:pPr>
          </w:p>
        </w:tc>
      </w:tr>
      <w:tr w:rsidR="007421F2" w:rsidRPr="00A530E1" w:rsidTr="00F063C5">
        <w:tc>
          <w:tcPr>
            <w:tcW w:w="4819" w:type="dxa"/>
            <w:shd w:val="clear" w:color="auto" w:fill="auto"/>
          </w:tcPr>
          <w:p w:rsidR="007421F2" w:rsidRPr="00A530E1" w:rsidRDefault="007421F2" w:rsidP="00F063C5">
            <w:pPr>
              <w:spacing w:before="40" w:after="120"/>
              <w:ind w:right="113"/>
            </w:pPr>
            <w:r w:rsidRPr="00A530E1">
              <w:t>Measures taken to guarantee that international cooperation be inclusive and accessible by persons with disabilities</w:t>
            </w:r>
          </w:p>
        </w:tc>
        <w:tc>
          <w:tcPr>
            <w:tcW w:w="4820" w:type="dxa"/>
            <w:shd w:val="clear" w:color="auto" w:fill="auto"/>
          </w:tcPr>
          <w:p w:rsidR="007421F2" w:rsidRPr="00A530E1" w:rsidRDefault="007421F2" w:rsidP="00F063C5">
            <w:pPr>
              <w:spacing w:before="40" w:after="120"/>
              <w:ind w:right="113"/>
            </w:pPr>
            <w:r w:rsidRPr="00A530E1">
              <w:t>Since 2004, the Ministry of Foreign Affairs has been promoting a solidarity programme aimed at ensuring equal opportunities for persons with disabilities to exercise their rights and facilitating their access to the resources they need to participate in society. To this end, efforts are made to secure international technical and economic cooperation. The number of biomechanical aids donated under this programme comes to 2,531.</w:t>
            </w:r>
          </w:p>
        </w:tc>
      </w:tr>
      <w:tr w:rsidR="007421F2" w:rsidRPr="00A530E1" w:rsidTr="00F063C5">
        <w:tc>
          <w:tcPr>
            <w:tcW w:w="4819" w:type="dxa"/>
            <w:shd w:val="clear" w:color="auto" w:fill="auto"/>
          </w:tcPr>
          <w:p w:rsidR="007421F2" w:rsidRPr="00A530E1" w:rsidRDefault="007421F2" w:rsidP="00F063C5">
            <w:pPr>
              <w:spacing w:before="40" w:after="120"/>
              <w:ind w:right="113"/>
            </w:pPr>
            <w:r w:rsidRPr="00A530E1">
              <w:t>Measures taken to guarantee that donor funds are properly used by recipient States (including by providing examples, numbers and percentages of successful targeted funding)</w:t>
            </w:r>
          </w:p>
        </w:tc>
        <w:tc>
          <w:tcPr>
            <w:tcW w:w="4820" w:type="dxa"/>
            <w:shd w:val="clear" w:color="auto" w:fill="auto"/>
          </w:tcPr>
          <w:p w:rsidR="007421F2" w:rsidRPr="00A530E1" w:rsidRDefault="007421F2" w:rsidP="00F063C5">
            <w:pPr>
              <w:spacing w:before="40" w:after="120"/>
              <w:ind w:right="113"/>
            </w:pPr>
            <w:r w:rsidRPr="00A530E1">
              <w:t>Peruvian law provides for the monitoring of compliance with the requirements relating to access to international cooperation; the agency responsible for this is the Peruvian Agency for International Cooperation.</w:t>
            </w:r>
          </w:p>
          <w:p w:rsidR="007421F2" w:rsidRPr="00A530E1" w:rsidRDefault="007421F2" w:rsidP="00F063C5">
            <w:pPr>
              <w:spacing w:before="40" w:after="120"/>
              <w:ind w:right="113"/>
            </w:pPr>
            <w:r w:rsidRPr="00A530E1">
              <w:t>The public-sector apparatus for the evaluation and monitoring of social investment projects is overseen by the National Public Investment System, which, in turn, has, as of this year, mandated the Ministry of Economic Affairs and Finance to formulate a multi-year programme to coordinate the implementation of projects and the use made of all funding sources.</w:t>
            </w:r>
          </w:p>
        </w:tc>
      </w:tr>
      <w:tr w:rsidR="007421F2" w:rsidRPr="00A530E1" w:rsidTr="00F063C5">
        <w:tc>
          <w:tcPr>
            <w:tcW w:w="4819" w:type="dxa"/>
            <w:shd w:val="clear" w:color="auto" w:fill="auto"/>
          </w:tcPr>
          <w:p w:rsidR="007421F2" w:rsidRPr="00A530E1" w:rsidRDefault="007421F2" w:rsidP="00F063C5">
            <w:pPr>
              <w:spacing w:before="40" w:after="120"/>
              <w:ind w:right="113"/>
            </w:pPr>
            <w:r w:rsidRPr="00A530E1">
              <w:t>Programmes and projects which specifically target persons with disabilities and the percentage of the total budget allocated to them</w:t>
            </w:r>
          </w:p>
        </w:tc>
        <w:tc>
          <w:tcPr>
            <w:tcW w:w="4820" w:type="dxa"/>
            <w:shd w:val="clear" w:color="auto" w:fill="auto"/>
          </w:tcPr>
          <w:p w:rsidR="007421F2" w:rsidRPr="00A530E1" w:rsidRDefault="007421F2" w:rsidP="006214FF">
            <w:pPr>
              <w:spacing w:before="40" w:after="120"/>
            </w:pPr>
            <w:r w:rsidRPr="00A530E1">
              <w:t xml:space="preserve">Until a public spending tracking system is in place that is capable of classifying, quantifying and helping to monitor the specific services provided by the State to persons with disabilities, there will be a degree of dispersion in such spending that prevents progress in the area from being evaluated in budgetary terms. </w:t>
            </w:r>
          </w:p>
          <w:p w:rsidR="007421F2" w:rsidRPr="00A530E1" w:rsidRDefault="007421F2" w:rsidP="00F063C5">
            <w:pPr>
              <w:spacing w:before="40" w:after="120"/>
            </w:pPr>
            <w:r w:rsidRPr="00A530E1">
              <w:t xml:space="preserve">A strategic programme on disability is being developed to address this issue. </w:t>
            </w:r>
          </w:p>
          <w:p w:rsidR="007421F2" w:rsidRPr="00A530E1" w:rsidRDefault="007421F2" w:rsidP="00F063C5">
            <w:pPr>
              <w:spacing w:before="40" w:after="120"/>
              <w:ind w:right="113"/>
            </w:pPr>
            <w:r w:rsidRPr="00A530E1">
              <w:t>One precise figure that is available, however, is the budget allocated to CONADIS, as the lead agency, which totals 5,450,000 nuevos soles (approximately US$ 1,800,000).</w:t>
            </w:r>
          </w:p>
        </w:tc>
      </w:tr>
      <w:tr w:rsidR="007421F2" w:rsidRPr="00A530E1" w:rsidTr="00F063C5">
        <w:tc>
          <w:tcPr>
            <w:tcW w:w="4819" w:type="dxa"/>
            <w:shd w:val="clear" w:color="auto" w:fill="auto"/>
          </w:tcPr>
          <w:p w:rsidR="007421F2" w:rsidRPr="00A530E1" w:rsidRDefault="007421F2" w:rsidP="00F063C5">
            <w:pPr>
              <w:spacing w:before="40" w:after="120"/>
              <w:ind w:right="113"/>
            </w:pPr>
            <w:r w:rsidRPr="00A530E1">
              <w:t>Affirmative-action measures taken towards the inclusion of the most vulnerable groups among persons with disability, such as women, children, etc.</w:t>
            </w:r>
          </w:p>
        </w:tc>
        <w:tc>
          <w:tcPr>
            <w:tcW w:w="4820" w:type="dxa"/>
            <w:shd w:val="clear" w:color="auto" w:fill="auto"/>
          </w:tcPr>
          <w:p w:rsidR="007421F2" w:rsidRPr="00A530E1" w:rsidRDefault="007421F2" w:rsidP="00F063C5">
            <w:pPr>
              <w:spacing w:before="40" w:after="120"/>
              <w:ind w:right="113"/>
            </w:pPr>
            <w:r w:rsidRPr="00A530E1">
              <w:t>In December 2009, within the framework of the Convention, the multisectoral commission responsible for monitoring its implementation organized the first International Meeting on Inclusive Projects through CONADIS. The main outcome of this meeting was the conclusion of an agreement by cooperation agencies operating in Peru to, inter alia, raise the profile of projects dealing with disability issues; in March 2010, the First International Congress on Women and Disability was organized along the same lines. An Ibero-American meeting aimed at establishing a baseline for successful inclusive projects and strengthening strategic alliances is to be held in December 2010 in Lima.</w:t>
            </w:r>
          </w:p>
        </w:tc>
      </w:tr>
      <w:tr w:rsidR="007421F2" w:rsidRPr="00A530E1" w:rsidTr="00F063C5">
        <w:tc>
          <w:tcPr>
            <w:tcW w:w="4819" w:type="dxa"/>
            <w:shd w:val="clear" w:color="auto" w:fill="auto"/>
          </w:tcPr>
          <w:p w:rsidR="007421F2" w:rsidRPr="00A530E1" w:rsidRDefault="007421F2" w:rsidP="00F063C5">
            <w:pPr>
              <w:spacing w:before="40" w:after="120"/>
              <w:ind w:right="113"/>
            </w:pPr>
            <w:r w:rsidRPr="00A530E1">
              <w:t>Degree of participation of persons with disabilities in the design, development and evaluation of programmes and projects</w:t>
            </w:r>
          </w:p>
        </w:tc>
        <w:tc>
          <w:tcPr>
            <w:tcW w:w="4820" w:type="dxa"/>
            <w:shd w:val="clear" w:color="auto" w:fill="auto"/>
          </w:tcPr>
          <w:p w:rsidR="007421F2" w:rsidRPr="00A530E1" w:rsidRDefault="007421F2" w:rsidP="00F063C5">
            <w:pPr>
              <w:spacing w:before="40" w:after="120"/>
            </w:pPr>
            <w:r w:rsidRPr="00A530E1">
              <w:t xml:space="preserve">The National </w:t>
            </w:r>
            <w:bookmarkStart w:id="9" w:name="hit1"/>
            <w:bookmarkEnd w:id="9"/>
            <w:r w:rsidRPr="00A530E1">
              <w:t xml:space="preserve">Wawa </w:t>
            </w:r>
            <w:bookmarkStart w:id="10" w:name="hit2"/>
            <w:bookmarkEnd w:id="10"/>
            <w:r w:rsidRPr="00A530E1">
              <w:t xml:space="preserve">Wasi (children’s homes) Programme cares for children aged between 6 and 47 months; depending on the nature of the children’s disability, field coordinators assess their need to continue in the programme on a non-discriminatory basis. </w:t>
            </w:r>
          </w:p>
          <w:p w:rsidR="007421F2" w:rsidRPr="00A530E1" w:rsidRDefault="007421F2" w:rsidP="00F063C5">
            <w:pPr>
              <w:spacing w:before="40" w:after="120"/>
            </w:pPr>
            <w:r w:rsidRPr="00A530E1">
              <w:t xml:space="preserve">Since October 2009, the Programme has been using the Household Targeting System (SISFOH) form, which provides a space for indicating whether the members of the target population (children, fathers, mothers, community stakeholders) have some form of disability. </w:t>
            </w:r>
          </w:p>
          <w:p w:rsidR="007421F2" w:rsidRPr="00A530E1" w:rsidRDefault="007421F2" w:rsidP="00F063C5">
            <w:pPr>
              <w:spacing w:before="40" w:after="120"/>
              <w:ind w:right="113"/>
            </w:pPr>
            <w:r w:rsidRPr="00A530E1">
              <w:t>The minimum level of employment of persons with disabilities by each public institution has been set at 3 per cent of total staff; the Act on Offences and Penalties requires compliance with this quota as from this year.</w:t>
            </w:r>
          </w:p>
        </w:tc>
      </w:tr>
      <w:tr w:rsidR="007421F2" w:rsidRPr="00A530E1" w:rsidTr="00F063C5">
        <w:tc>
          <w:tcPr>
            <w:tcW w:w="4819" w:type="dxa"/>
            <w:shd w:val="clear" w:color="auto" w:fill="auto"/>
          </w:tcPr>
          <w:p w:rsidR="007421F2" w:rsidRPr="00A530E1" w:rsidRDefault="007421F2" w:rsidP="00F063C5">
            <w:pPr>
              <w:spacing w:before="40" w:after="120"/>
              <w:ind w:right="113"/>
            </w:pPr>
            <w:r w:rsidRPr="00A530E1">
              <w:t>Degree of mainstreamed action towards persons with disabilities in the general programmes and projects developed</w:t>
            </w:r>
          </w:p>
        </w:tc>
        <w:tc>
          <w:tcPr>
            <w:tcW w:w="4820" w:type="dxa"/>
            <w:shd w:val="clear" w:color="auto" w:fill="auto"/>
          </w:tcPr>
          <w:p w:rsidR="007421F2" w:rsidRPr="00A530E1" w:rsidRDefault="007421F2" w:rsidP="00F063C5">
            <w:pPr>
              <w:spacing w:before="40" w:after="120"/>
              <w:ind w:right="113"/>
            </w:pPr>
            <w:r w:rsidRPr="00A530E1">
              <w:t>Training materials prepared by the National Cooperation for Development Fund for each module (citizenship and leadership, healthy lifestyles and entrepreneurial vision) incorporate a cross-cutting approach to the social inclusion of such vulnerable groups as children, older adults, women and persons with disabilities.</w:t>
            </w:r>
          </w:p>
        </w:tc>
      </w:tr>
      <w:tr w:rsidR="007421F2" w:rsidRPr="00A530E1" w:rsidTr="00F063C5">
        <w:tc>
          <w:tcPr>
            <w:tcW w:w="4819" w:type="dxa"/>
            <w:shd w:val="clear" w:color="auto" w:fill="auto"/>
          </w:tcPr>
          <w:p w:rsidR="007421F2" w:rsidRPr="00A530E1" w:rsidRDefault="007421F2" w:rsidP="00F063C5">
            <w:pPr>
              <w:spacing w:before="40" w:after="120"/>
              <w:ind w:right="113"/>
            </w:pPr>
            <w:r w:rsidRPr="00A530E1">
              <w:t>Actions toward facilitating and supporting capacity-building, including through the exchange and sharing of information, experiences, training programmes and best practices</w:t>
            </w:r>
          </w:p>
        </w:tc>
        <w:tc>
          <w:tcPr>
            <w:tcW w:w="4820" w:type="dxa"/>
            <w:shd w:val="clear" w:color="auto" w:fill="auto"/>
          </w:tcPr>
          <w:p w:rsidR="007421F2" w:rsidRPr="00A530E1" w:rsidRDefault="007421F2" w:rsidP="007F32AD">
            <w:pPr>
              <w:spacing w:before="40" w:after="120"/>
            </w:pPr>
            <w:r w:rsidRPr="00A530E1">
              <w:t xml:space="preserve">Meetings have been held with technical teams from Ecuador in order to develop a common agenda on disability within the framework of the Binational Good Neighbour Agreement. It has been proposed that a census should be carried out in the border region of Tumbes, Peru, in order to help develop a disability baseline; this pilot project could then be replicated in other regions of the country. </w:t>
            </w:r>
          </w:p>
          <w:p w:rsidR="007421F2" w:rsidRPr="00A530E1" w:rsidRDefault="007421F2" w:rsidP="00F063C5">
            <w:pPr>
              <w:spacing w:before="40" w:after="120"/>
              <w:ind w:right="113"/>
            </w:pPr>
            <w:r w:rsidRPr="00A530E1">
              <w:t>A draft agreement is being prepared with a view to replicating the Ecuadorian “Manuela Espejo” technical and scientific mission in Peru.</w:t>
            </w:r>
          </w:p>
        </w:tc>
      </w:tr>
      <w:tr w:rsidR="00346185" w:rsidRPr="00A530E1" w:rsidTr="00F063C5">
        <w:tc>
          <w:tcPr>
            <w:tcW w:w="4819" w:type="dxa"/>
            <w:shd w:val="clear" w:color="auto" w:fill="auto"/>
          </w:tcPr>
          <w:p w:rsidR="00346185" w:rsidRPr="00A530E1" w:rsidRDefault="00346185" w:rsidP="00F063C5">
            <w:pPr>
              <w:spacing w:before="40" w:after="120"/>
              <w:ind w:right="113"/>
            </w:pPr>
          </w:p>
        </w:tc>
        <w:tc>
          <w:tcPr>
            <w:tcW w:w="4820" w:type="dxa"/>
            <w:shd w:val="clear" w:color="auto" w:fill="auto"/>
          </w:tcPr>
          <w:p w:rsidR="00346185" w:rsidRPr="00A530E1" w:rsidRDefault="00346185" w:rsidP="007F32AD">
            <w:pPr>
              <w:spacing w:before="40" w:after="120"/>
            </w:pPr>
          </w:p>
        </w:tc>
      </w:tr>
      <w:tr w:rsidR="00346185" w:rsidRPr="00A530E1" w:rsidTr="00F063C5">
        <w:tc>
          <w:tcPr>
            <w:tcW w:w="4819" w:type="dxa"/>
            <w:shd w:val="clear" w:color="auto" w:fill="auto"/>
          </w:tcPr>
          <w:p w:rsidR="00346185" w:rsidRPr="00A530E1" w:rsidRDefault="00346185" w:rsidP="00F063C5">
            <w:pPr>
              <w:spacing w:before="40" w:after="120"/>
              <w:ind w:right="113"/>
            </w:pPr>
          </w:p>
        </w:tc>
        <w:tc>
          <w:tcPr>
            <w:tcW w:w="4820" w:type="dxa"/>
            <w:shd w:val="clear" w:color="auto" w:fill="auto"/>
          </w:tcPr>
          <w:p w:rsidR="00346185" w:rsidRPr="00A530E1" w:rsidRDefault="00346185" w:rsidP="007F32AD">
            <w:pPr>
              <w:spacing w:before="40" w:after="120"/>
            </w:pPr>
          </w:p>
        </w:tc>
      </w:tr>
      <w:tr w:rsidR="007421F2" w:rsidRPr="00A530E1" w:rsidTr="00F063C5">
        <w:tc>
          <w:tcPr>
            <w:tcW w:w="4819" w:type="dxa"/>
            <w:shd w:val="clear" w:color="auto" w:fill="auto"/>
          </w:tcPr>
          <w:p w:rsidR="007421F2" w:rsidRPr="00A530E1" w:rsidRDefault="007421F2" w:rsidP="00F063C5">
            <w:pPr>
              <w:spacing w:before="40" w:after="120"/>
              <w:ind w:right="113"/>
            </w:pPr>
            <w:r w:rsidRPr="00A530E1">
              <w:t>Whether policies and programmes targeting the Millennium Development Goals (MDGs) take into account the rights of persons with disabilities</w:t>
            </w:r>
          </w:p>
        </w:tc>
        <w:tc>
          <w:tcPr>
            <w:tcW w:w="4820" w:type="dxa"/>
            <w:shd w:val="clear" w:color="auto" w:fill="auto"/>
          </w:tcPr>
          <w:p w:rsidR="007421F2" w:rsidRPr="00A530E1" w:rsidRDefault="007421F2" w:rsidP="00F063C5">
            <w:pPr>
              <w:spacing w:before="40" w:after="120"/>
            </w:pPr>
            <w:r w:rsidRPr="00A530E1">
              <w:t>Peru has been aligning its public budgets with the requirements of the Millennium Development Goals. In 2010, it was established that national, regional and local government bodies should give priority to achieving the following results: (a) a reduction in chronic child malnutrition; (b) a reduction in maternal and neonatal mortality; (c) an improvement in the levels of reading comprehension and mathematics; (d) an increase in the availability of identity documents; (e) a reduction in waiting times for access to social service (health and education) centres and markets; (f) an increase in access to safe drinking water and sewage disposal services in rural areas; (g) an increase in the coverage and use of telephone and Internet service in rural areas; and (h) an increase in operational power coverage in rural homes. All these items have been included in the strategic budgetary programming of the Ministry of Economic Affairs and Finance, which, as reported earlier, accounted for 14 per cent of the total public budget for 2010.</w:t>
            </w:r>
          </w:p>
          <w:p w:rsidR="007421F2" w:rsidRPr="00A530E1" w:rsidRDefault="007421F2" w:rsidP="00F063C5">
            <w:pPr>
              <w:spacing w:before="40" w:after="120"/>
            </w:pPr>
            <w:r w:rsidRPr="00A530E1">
              <w:t>This trend has been in evidence since 2007; given the cross-cutting nature of disability, it is considered to be an integral component of budgetary expenditure, and work has begun on the development of a strategic programme on disability.</w:t>
            </w:r>
          </w:p>
        </w:tc>
      </w:tr>
      <w:tr w:rsidR="007421F2" w:rsidRPr="00A530E1" w:rsidTr="00F063C5">
        <w:tc>
          <w:tcPr>
            <w:tcW w:w="4819" w:type="dxa"/>
            <w:tcBorders>
              <w:bottom w:val="single" w:sz="12" w:space="0" w:color="auto"/>
            </w:tcBorders>
            <w:shd w:val="clear" w:color="auto" w:fill="auto"/>
          </w:tcPr>
          <w:p w:rsidR="007421F2" w:rsidRPr="00A530E1" w:rsidRDefault="007421F2" w:rsidP="00F063C5">
            <w:pPr>
              <w:spacing w:before="40" w:after="120"/>
              <w:ind w:right="113"/>
            </w:pPr>
            <w:r w:rsidRPr="00A530E1">
              <w:t>The development, progress, and effectiveness of programmes for the exchange of technical know-how and expertise for the assistance of persons with disabilities</w:t>
            </w:r>
          </w:p>
        </w:tc>
        <w:tc>
          <w:tcPr>
            <w:tcW w:w="4820" w:type="dxa"/>
            <w:tcBorders>
              <w:bottom w:val="single" w:sz="12" w:space="0" w:color="auto"/>
            </w:tcBorders>
            <w:shd w:val="clear" w:color="auto" w:fill="auto"/>
          </w:tcPr>
          <w:p w:rsidR="007421F2" w:rsidRPr="00A530E1" w:rsidRDefault="007421F2" w:rsidP="00F063C5">
            <w:pPr>
              <w:spacing w:before="40" w:after="120"/>
            </w:pPr>
            <w:r w:rsidRPr="00A530E1">
              <w:t>The Municipal and Regional Advisory Offices for Persons with Disabilities are called upon to play a key role in building capacities and strengthening the active participation of disability organizations. To this end, in their execution of the 2010 public budget, regional and local governments are authorized to use up to one UIT to finance the operating costs of legally mandated plans, programmes and services for persons with disabilities within their jurisdictions.</w:t>
            </w:r>
          </w:p>
          <w:p w:rsidR="007421F2" w:rsidRPr="00A530E1" w:rsidRDefault="007421F2" w:rsidP="00F063C5">
            <w:pPr>
              <w:spacing w:before="40" w:after="120"/>
            </w:pPr>
            <w:r w:rsidRPr="00A530E1">
              <w:t>In fulfilment of its role as the lead agency in this area, CONADIS provides technical assistance and prepares manuals on implementation of the Convention. One such manual takes the form of basic guidelines for incorporating disability issues into public planning.</w:t>
            </w:r>
            <w:r w:rsidRPr="00A530E1">
              <w:rPr>
                <w:rStyle w:val="FootnoteReference"/>
              </w:rPr>
              <w:footnoteReference w:id="13"/>
            </w:r>
          </w:p>
        </w:tc>
      </w:tr>
    </w:tbl>
    <w:p w:rsidR="00ED6075" w:rsidRDefault="00ED6075" w:rsidP="007421F2">
      <w:pPr>
        <w:pStyle w:val="H23G"/>
      </w:pPr>
    </w:p>
    <w:p w:rsidR="007421F2" w:rsidRPr="00A530E1" w:rsidRDefault="00ED6075" w:rsidP="007421F2">
      <w:pPr>
        <w:pStyle w:val="H23G"/>
      </w:pPr>
      <w:r>
        <w:br w:type="page"/>
      </w:r>
      <w:r w:rsidR="007421F2" w:rsidRPr="00A530E1">
        <w:tab/>
        <w:t>3.</w:t>
      </w:r>
      <w:r w:rsidR="007421F2" w:rsidRPr="00A530E1">
        <w:tab/>
        <w:t>Article 33: National implementation and monitoring</w:t>
      </w:r>
    </w:p>
    <w:p w:rsidR="007421F2" w:rsidRPr="00A530E1" w:rsidRDefault="007421F2" w:rsidP="007421F2">
      <w:pPr>
        <w:pStyle w:val="SingleTxtG"/>
      </w:pPr>
      <w:r w:rsidRPr="00A530E1">
        <w:t>87.</w:t>
      </w:r>
      <w:r w:rsidRPr="00A530E1">
        <w:tab/>
        <w:t>This article regulates national application and follow-up of the Convention.</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819"/>
        <w:gridCol w:w="4820"/>
      </w:tblGrid>
      <w:tr w:rsidR="007421F2" w:rsidRPr="00A530E1" w:rsidTr="006B47E3">
        <w:trPr>
          <w:tblHeader/>
        </w:trPr>
        <w:tc>
          <w:tcPr>
            <w:tcW w:w="4819" w:type="dxa"/>
            <w:tcBorders>
              <w:top w:val="single" w:sz="4" w:space="0" w:color="auto"/>
              <w:bottom w:val="single" w:sz="12" w:space="0" w:color="auto"/>
            </w:tcBorders>
            <w:shd w:val="clear" w:color="auto" w:fill="auto"/>
            <w:vAlign w:val="bottom"/>
          </w:tcPr>
          <w:p w:rsidR="007421F2" w:rsidRPr="00A530E1" w:rsidRDefault="007421F2" w:rsidP="00F063C5">
            <w:pPr>
              <w:spacing w:before="80" w:after="80" w:line="200" w:lineRule="exact"/>
              <w:ind w:right="113"/>
              <w:rPr>
                <w:i/>
                <w:sz w:val="16"/>
              </w:rPr>
            </w:pPr>
            <w:r w:rsidRPr="00A530E1">
              <w:rPr>
                <w:i/>
                <w:sz w:val="16"/>
              </w:rPr>
              <w:t>Report on</w:t>
            </w:r>
          </w:p>
        </w:tc>
        <w:tc>
          <w:tcPr>
            <w:tcW w:w="4820" w:type="dxa"/>
            <w:tcBorders>
              <w:top w:val="single" w:sz="4" w:space="0" w:color="auto"/>
              <w:bottom w:val="single" w:sz="12" w:space="0" w:color="auto"/>
            </w:tcBorders>
            <w:shd w:val="clear" w:color="auto" w:fill="auto"/>
            <w:vAlign w:val="bottom"/>
          </w:tcPr>
          <w:p w:rsidR="007421F2" w:rsidRPr="00A530E1" w:rsidRDefault="007421F2" w:rsidP="00F063C5">
            <w:pPr>
              <w:spacing w:before="80" w:after="80" w:line="200" w:lineRule="exact"/>
              <w:ind w:right="113"/>
              <w:rPr>
                <w:i/>
                <w:sz w:val="16"/>
              </w:rPr>
            </w:pPr>
            <w:r w:rsidRPr="00A530E1">
              <w:rPr>
                <w:i/>
                <w:sz w:val="16"/>
              </w:rPr>
              <w:t>Progress</w:t>
            </w:r>
          </w:p>
        </w:tc>
      </w:tr>
      <w:tr w:rsidR="007421F2" w:rsidRPr="00A530E1" w:rsidTr="00F063C5">
        <w:trPr>
          <w:trHeight w:hRule="exact" w:val="113"/>
        </w:trPr>
        <w:tc>
          <w:tcPr>
            <w:tcW w:w="4819" w:type="dxa"/>
            <w:tcBorders>
              <w:top w:val="single" w:sz="12" w:space="0" w:color="auto"/>
            </w:tcBorders>
            <w:shd w:val="clear" w:color="auto" w:fill="auto"/>
          </w:tcPr>
          <w:p w:rsidR="007421F2" w:rsidRPr="00A530E1" w:rsidRDefault="007421F2" w:rsidP="00F063C5">
            <w:pPr>
              <w:spacing w:before="40" w:after="120"/>
              <w:ind w:right="113"/>
            </w:pPr>
          </w:p>
        </w:tc>
        <w:tc>
          <w:tcPr>
            <w:tcW w:w="4820" w:type="dxa"/>
            <w:tcBorders>
              <w:top w:val="single" w:sz="12" w:space="0" w:color="auto"/>
            </w:tcBorders>
            <w:shd w:val="clear" w:color="auto" w:fill="auto"/>
          </w:tcPr>
          <w:p w:rsidR="007421F2" w:rsidRPr="00A530E1" w:rsidRDefault="007421F2" w:rsidP="00F063C5">
            <w:pPr>
              <w:spacing w:before="40" w:after="120"/>
              <w:ind w:right="113"/>
            </w:pPr>
          </w:p>
        </w:tc>
      </w:tr>
      <w:tr w:rsidR="007421F2" w:rsidRPr="00A530E1" w:rsidTr="00F063C5">
        <w:tc>
          <w:tcPr>
            <w:tcW w:w="4819" w:type="dxa"/>
            <w:shd w:val="clear" w:color="auto" w:fill="auto"/>
          </w:tcPr>
          <w:p w:rsidR="007421F2" w:rsidRPr="00A530E1" w:rsidRDefault="007421F2" w:rsidP="007A67D5">
            <w:pPr>
              <w:spacing w:before="40" w:after="120"/>
              <w:ind w:right="113"/>
            </w:pPr>
            <w:r w:rsidRPr="00A530E1">
              <w:t>Measures taken to designate one or more focal points within the Government for matters relating to the implementation of the Convention, giving due consideration to the establishment or designation of a coordination mechanism within the Government to facilitate related action in different sectors and at different levels</w:t>
            </w:r>
          </w:p>
        </w:tc>
        <w:tc>
          <w:tcPr>
            <w:tcW w:w="4820" w:type="dxa"/>
            <w:shd w:val="clear" w:color="auto" w:fill="auto"/>
          </w:tcPr>
          <w:p w:rsidR="007421F2" w:rsidRPr="00A530E1" w:rsidRDefault="007421F2" w:rsidP="007A67D5">
            <w:pPr>
              <w:spacing w:before="40" w:after="120"/>
              <w:ind w:right="113"/>
            </w:pPr>
            <w:r w:rsidRPr="00A530E1">
              <w:t>The multisectoral commission responsible for follow-up and for the proposal of measures for implementing the Convention on the Rights of Persons with Disabilities was established by Supreme Decree No. 080-2008-PCM.</w:t>
            </w:r>
          </w:p>
          <w:p w:rsidR="007421F2" w:rsidRPr="00A530E1" w:rsidRDefault="007421F2" w:rsidP="007A67D5">
            <w:pPr>
              <w:spacing w:before="40" w:after="120"/>
              <w:ind w:right="113"/>
            </w:pPr>
            <w:r w:rsidRPr="00A530E1">
              <w:t>The multisectoral commission responsible for monitoring and follow-up of the 2009–2018 Equal Opportunities Plan for Persons with Disabilities was established by Supreme Decree No. 007-2008-MIMDES.</w:t>
            </w:r>
          </w:p>
          <w:p w:rsidR="007421F2" w:rsidRPr="00A530E1" w:rsidRDefault="007421F2" w:rsidP="007A67D5">
            <w:pPr>
              <w:spacing w:before="40" w:after="120"/>
              <w:ind w:right="113"/>
            </w:pPr>
            <w:r w:rsidRPr="00A530E1">
              <w:t>Bill No. 03173/2008-CR proposes that Supreme Decree No. 007-2008-MIMDES, by which the 2009–2018 Equal Opportunities Plan for Persons with Disabilities was approved, should be given the rank of a law.</w:t>
            </w:r>
          </w:p>
        </w:tc>
      </w:tr>
      <w:tr w:rsidR="007421F2" w:rsidRPr="00A530E1" w:rsidTr="00F063C5">
        <w:tc>
          <w:tcPr>
            <w:tcW w:w="4819" w:type="dxa"/>
            <w:shd w:val="clear" w:color="auto" w:fill="auto"/>
          </w:tcPr>
          <w:p w:rsidR="007421F2" w:rsidRPr="00A530E1" w:rsidRDefault="007421F2" w:rsidP="007A67D5">
            <w:pPr>
              <w:spacing w:before="40" w:after="120"/>
              <w:ind w:right="113"/>
            </w:pPr>
            <w:r w:rsidRPr="00A530E1">
              <w:t>The establishment of a framework, including one or more independent mechanisms, as appropriate and measures taken to promote, protect and monitor implementation of the Convention, taking into account the principles relating to the status and function of national institutions for the protection and promotion of human rights</w:t>
            </w:r>
          </w:p>
        </w:tc>
        <w:tc>
          <w:tcPr>
            <w:tcW w:w="4820" w:type="dxa"/>
            <w:shd w:val="clear" w:color="auto" w:fill="auto"/>
          </w:tcPr>
          <w:p w:rsidR="007421F2" w:rsidRPr="00A530E1" w:rsidRDefault="007421F2" w:rsidP="007A67D5">
            <w:pPr>
              <w:spacing w:before="40" w:after="120"/>
              <w:ind w:right="113"/>
            </w:pPr>
            <w:r w:rsidRPr="00A530E1">
              <w:t>The multisectoral commission which monitors implementation of the Convention is planning to include representatives of each type of disability; the procedure for the election of those representatives has been approved.</w:t>
            </w:r>
          </w:p>
        </w:tc>
      </w:tr>
      <w:tr w:rsidR="007421F2" w:rsidRPr="00A530E1" w:rsidTr="00F063C5">
        <w:tc>
          <w:tcPr>
            <w:tcW w:w="4819" w:type="dxa"/>
            <w:shd w:val="clear" w:color="auto" w:fill="auto"/>
          </w:tcPr>
          <w:p w:rsidR="007421F2" w:rsidRPr="00A530E1" w:rsidRDefault="007421F2" w:rsidP="007A67D5">
            <w:pPr>
              <w:spacing w:before="40" w:after="120"/>
              <w:ind w:right="113"/>
            </w:pPr>
            <w:r w:rsidRPr="00A530E1">
              <w:t>Measures taken to involve civil society, in particular persons with disabilities and their representative organizations, including gender perspectives, in the monitoring process and the preparation of the report</w:t>
            </w:r>
          </w:p>
        </w:tc>
        <w:tc>
          <w:tcPr>
            <w:tcW w:w="4820" w:type="dxa"/>
            <w:shd w:val="clear" w:color="auto" w:fill="auto"/>
          </w:tcPr>
          <w:p w:rsidR="007421F2" w:rsidRPr="00A530E1" w:rsidRDefault="007421F2" w:rsidP="007A67D5">
            <w:pPr>
              <w:spacing w:before="40" w:after="120"/>
              <w:ind w:right="113"/>
            </w:pPr>
            <w:r w:rsidRPr="00A530E1">
              <w:t>The Act on Offences and Penalties establishes that civil organizations and private individuals may submit complaints to CONADIS when they consider that an institution is violating the rights of persons with disabilities.</w:t>
            </w:r>
          </w:p>
        </w:tc>
      </w:tr>
      <w:tr w:rsidR="007421F2" w:rsidRPr="00A530E1" w:rsidTr="00F063C5">
        <w:tc>
          <w:tcPr>
            <w:tcW w:w="4819" w:type="dxa"/>
            <w:shd w:val="clear" w:color="auto" w:fill="auto"/>
          </w:tcPr>
          <w:p w:rsidR="007421F2" w:rsidRPr="00A530E1" w:rsidRDefault="007421F2" w:rsidP="007A67D5">
            <w:pPr>
              <w:spacing w:before="40" w:after="120"/>
              <w:ind w:right="113"/>
            </w:pPr>
            <w:r w:rsidRPr="00A530E1">
              <w:t>The integration of disability issues on the agenda of all governmental agencies to assure that various departments are equally aware of disability rights and can work towards their promotion</w:t>
            </w:r>
          </w:p>
        </w:tc>
        <w:tc>
          <w:tcPr>
            <w:tcW w:w="4820" w:type="dxa"/>
            <w:shd w:val="clear" w:color="auto" w:fill="auto"/>
          </w:tcPr>
          <w:p w:rsidR="007421F2" w:rsidRPr="00A530E1" w:rsidRDefault="007421F2" w:rsidP="007A67D5">
            <w:pPr>
              <w:spacing w:before="40" w:after="120"/>
              <w:ind w:right="113"/>
            </w:pPr>
            <w:r w:rsidRPr="00A530E1">
              <w:t>According to information provided to the multisectoral commission responsible for compiling the national report, two regional governments have indicated that they have approved their regional equal opportunity plans for persons with disabilities (Ancash and Amazonas); Puno is currently preparing its plan. This is a significant point of departure, since such initiatives promote greater participation by civil society and encourage the authorities to find funding for the plans.</w:t>
            </w:r>
          </w:p>
        </w:tc>
      </w:tr>
      <w:tr w:rsidR="007421F2" w:rsidRPr="00A530E1" w:rsidTr="00F063C5">
        <w:tc>
          <w:tcPr>
            <w:tcW w:w="4819" w:type="dxa"/>
            <w:shd w:val="clear" w:color="auto" w:fill="auto"/>
          </w:tcPr>
          <w:p w:rsidR="007421F2" w:rsidRPr="00A530E1" w:rsidRDefault="007421F2" w:rsidP="007A67D5">
            <w:pPr>
              <w:spacing w:before="40" w:after="120"/>
              <w:ind w:right="113"/>
            </w:pPr>
            <w:r w:rsidRPr="00A530E1">
              <w:t>The operations of government departments and their programmes and functions relating to persons with disabilities</w:t>
            </w:r>
          </w:p>
        </w:tc>
        <w:tc>
          <w:tcPr>
            <w:tcW w:w="4820" w:type="dxa"/>
            <w:shd w:val="clear" w:color="auto" w:fill="auto"/>
          </w:tcPr>
          <w:p w:rsidR="007421F2" w:rsidRPr="00A530E1" w:rsidRDefault="007421F2" w:rsidP="007A67D5">
            <w:pPr>
              <w:spacing w:before="40" w:after="120"/>
              <w:ind w:right="113"/>
            </w:pPr>
            <w:r w:rsidRPr="00A530E1">
              <w:t>The Office of the President of the Council of Ministers has approved the instructions concerning the implementation of legislation on the social inclusion of persons with disabilities in this sector.</w:t>
            </w:r>
          </w:p>
        </w:tc>
      </w:tr>
      <w:tr w:rsidR="00ED6075" w:rsidRPr="00A530E1" w:rsidTr="00F063C5">
        <w:tc>
          <w:tcPr>
            <w:tcW w:w="4819" w:type="dxa"/>
            <w:shd w:val="clear" w:color="auto" w:fill="auto"/>
          </w:tcPr>
          <w:p w:rsidR="00ED6075" w:rsidRPr="00A530E1" w:rsidRDefault="00ED6075" w:rsidP="007A67D5">
            <w:pPr>
              <w:spacing w:before="40" w:after="120"/>
              <w:ind w:right="113"/>
            </w:pPr>
          </w:p>
        </w:tc>
        <w:tc>
          <w:tcPr>
            <w:tcW w:w="4820" w:type="dxa"/>
            <w:shd w:val="clear" w:color="auto" w:fill="auto"/>
          </w:tcPr>
          <w:p w:rsidR="00ED6075" w:rsidRPr="00A530E1" w:rsidRDefault="00ED6075" w:rsidP="007A67D5">
            <w:pPr>
              <w:spacing w:before="40" w:after="120"/>
              <w:ind w:right="113"/>
            </w:pPr>
          </w:p>
        </w:tc>
      </w:tr>
      <w:tr w:rsidR="00ED6075" w:rsidRPr="00A530E1" w:rsidTr="00F063C5">
        <w:tc>
          <w:tcPr>
            <w:tcW w:w="4819" w:type="dxa"/>
            <w:shd w:val="clear" w:color="auto" w:fill="auto"/>
          </w:tcPr>
          <w:p w:rsidR="00ED6075" w:rsidRPr="00A530E1" w:rsidRDefault="00ED6075" w:rsidP="007A67D5">
            <w:pPr>
              <w:spacing w:before="40" w:after="120"/>
              <w:ind w:right="113"/>
            </w:pPr>
          </w:p>
        </w:tc>
        <w:tc>
          <w:tcPr>
            <w:tcW w:w="4820" w:type="dxa"/>
            <w:shd w:val="clear" w:color="auto" w:fill="auto"/>
          </w:tcPr>
          <w:p w:rsidR="00ED6075" w:rsidRPr="00A530E1" w:rsidRDefault="00ED6075" w:rsidP="007A67D5">
            <w:pPr>
              <w:spacing w:before="40" w:after="120"/>
              <w:ind w:right="113"/>
            </w:pPr>
          </w:p>
        </w:tc>
      </w:tr>
      <w:tr w:rsidR="00ED6075" w:rsidRPr="00A530E1" w:rsidTr="00F063C5">
        <w:tc>
          <w:tcPr>
            <w:tcW w:w="4819" w:type="dxa"/>
            <w:shd w:val="clear" w:color="auto" w:fill="auto"/>
          </w:tcPr>
          <w:p w:rsidR="00ED6075" w:rsidRPr="00A530E1" w:rsidRDefault="00ED6075" w:rsidP="007A67D5">
            <w:pPr>
              <w:spacing w:before="40" w:after="120"/>
              <w:ind w:right="113"/>
            </w:pPr>
          </w:p>
        </w:tc>
        <w:tc>
          <w:tcPr>
            <w:tcW w:w="4820" w:type="dxa"/>
            <w:shd w:val="clear" w:color="auto" w:fill="auto"/>
          </w:tcPr>
          <w:p w:rsidR="00ED6075" w:rsidRPr="00A530E1" w:rsidRDefault="00ED6075" w:rsidP="007A67D5">
            <w:pPr>
              <w:spacing w:before="40" w:after="120"/>
              <w:ind w:right="113"/>
            </w:pPr>
          </w:p>
        </w:tc>
      </w:tr>
      <w:tr w:rsidR="00ED6075" w:rsidRPr="00A530E1" w:rsidTr="00F063C5">
        <w:tc>
          <w:tcPr>
            <w:tcW w:w="4819" w:type="dxa"/>
            <w:shd w:val="clear" w:color="auto" w:fill="auto"/>
          </w:tcPr>
          <w:p w:rsidR="00ED6075" w:rsidRPr="00A530E1" w:rsidRDefault="00ED6075" w:rsidP="007A67D5">
            <w:pPr>
              <w:spacing w:before="40" w:after="120"/>
              <w:ind w:right="113"/>
            </w:pPr>
          </w:p>
        </w:tc>
        <w:tc>
          <w:tcPr>
            <w:tcW w:w="4820" w:type="dxa"/>
            <w:shd w:val="clear" w:color="auto" w:fill="auto"/>
          </w:tcPr>
          <w:p w:rsidR="00ED6075" w:rsidRPr="00A530E1" w:rsidRDefault="00ED6075" w:rsidP="007A67D5">
            <w:pPr>
              <w:spacing w:before="40" w:after="120"/>
              <w:ind w:right="113"/>
            </w:pPr>
          </w:p>
        </w:tc>
      </w:tr>
      <w:tr w:rsidR="007421F2" w:rsidRPr="00A530E1" w:rsidTr="00F063C5">
        <w:tc>
          <w:tcPr>
            <w:tcW w:w="4819" w:type="dxa"/>
            <w:tcBorders>
              <w:bottom w:val="single" w:sz="12" w:space="0" w:color="auto"/>
            </w:tcBorders>
            <w:shd w:val="clear" w:color="auto" w:fill="auto"/>
          </w:tcPr>
          <w:p w:rsidR="007421F2" w:rsidRPr="00A530E1" w:rsidRDefault="007421F2" w:rsidP="007A67D5">
            <w:pPr>
              <w:spacing w:before="40" w:after="120"/>
              <w:ind w:right="113"/>
            </w:pPr>
            <w:r w:rsidRPr="00A530E1">
              <w:t>Budget allocations for the purpose of national implementation and monitoring</w:t>
            </w:r>
          </w:p>
        </w:tc>
        <w:tc>
          <w:tcPr>
            <w:tcW w:w="4820" w:type="dxa"/>
            <w:tcBorders>
              <w:bottom w:val="single" w:sz="12" w:space="0" w:color="auto"/>
            </w:tcBorders>
            <w:shd w:val="clear" w:color="auto" w:fill="auto"/>
          </w:tcPr>
          <w:p w:rsidR="007421F2" w:rsidRPr="00A530E1" w:rsidRDefault="007421F2" w:rsidP="007A67D5">
            <w:pPr>
              <w:spacing w:before="40" w:after="120"/>
              <w:ind w:right="113"/>
            </w:pPr>
            <w:r w:rsidRPr="00A530E1">
              <w:t>The Ministry of Economic Affairs and Finance has authorized the expenditure chain for the functional programme classification system, thereby enabling public bodies to allocate budgetary funds for the implementation of disability-related activities, projects and programmes; monitoring is one of the activities for which such agencies may make allocations. This expenditure chain is the same one that is used by CONADIS to execute its budget, which in 2010 has a specific item for the dissemination and monitoring of the implementation of the Convention (approximately US$ 17,000).</w:t>
            </w:r>
          </w:p>
        </w:tc>
      </w:tr>
    </w:tbl>
    <w:p w:rsidR="007421F2" w:rsidRPr="00A530E1" w:rsidRDefault="007421F2" w:rsidP="007A67D5">
      <w:pPr>
        <w:spacing w:before="240"/>
        <w:jc w:val="center"/>
        <w:rPr>
          <w:u w:val="single"/>
        </w:rPr>
      </w:pPr>
      <w:r w:rsidRPr="00A530E1">
        <w:rPr>
          <w:u w:val="single"/>
        </w:rPr>
        <w:tab/>
      </w:r>
      <w:r w:rsidRPr="00A530E1">
        <w:rPr>
          <w:u w:val="single"/>
        </w:rPr>
        <w:tab/>
      </w:r>
      <w:r w:rsidRPr="00A530E1">
        <w:rPr>
          <w:u w:val="single"/>
        </w:rPr>
        <w:tab/>
      </w:r>
    </w:p>
    <w:sectPr w:rsidR="007421F2" w:rsidRPr="00A530E1" w:rsidSect="0069167A">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6D2" w:rsidRDefault="00F916D2"/>
  </w:endnote>
  <w:endnote w:type="continuationSeparator" w:id="0">
    <w:p w:rsidR="00F916D2" w:rsidRDefault="00F916D2"/>
  </w:endnote>
  <w:endnote w:type="continuationNotice" w:id="1">
    <w:p w:rsidR="00F916D2" w:rsidRDefault="00F916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D6A" w:rsidRPr="0069167A" w:rsidRDefault="00824D6A" w:rsidP="0069167A">
    <w:pPr>
      <w:pStyle w:val="Footer"/>
      <w:tabs>
        <w:tab w:val="right" w:pos="9598"/>
      </w:tabs>
    </w:pPr>
    <w:r w:rsidRPr="0069167A">
      <w:rPr>
        <w:b/>
        <w:sz w:val="18"/>
      </w:rPr>
      <w:fldChar w:fldCharType="begin"/>
    </w:r>
    <w:r w:rsidRPr="0069167A">
      <w:rPr>
        <w:b/>
        <w:sz w:val="18"/>
      </w:rPr>
      <w:instrText xml:space="preserve"> PAGE  \* MERGEFORMAT </w:instrText>
    </w:r>
    <w:r w:rsidRPr="0069167A">
      <w:rPr>
        <w:b/>
        <w:sz w:val="18"/>
      </w:rPr>
      <w:fldChar w:fldCharType="separate"/>
    </w:r>
    <w:r w:rsidR="00FD22D1">
      <w:rPr>
        <w:b/>
        <w:noProof/>
        <w:sz w:val="18"/>
      </w:rPr>
      <w:t>2</w:t>
    </w:r>
    <w:r w:rsidRPr="0069167A">
      <w:rPr>
        <w:b/>
        <w:sz w:val="18"/>
      </w:rPr>
      <w:fldChar w:fldCharType="end"/>
    </w:r>
    <w:r>
      <w:rPr>
        <w:sz w:val="18"/>
      </w:rPr>
      <w:tab/>
    </w:r>
    <w:r>
      <w:t>GE.11-40136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D6A" w:rsidRPr="0069167A" w:rsidRDefault="00824D6A" w:rsidP="0069167A">
    <w:pPr>
      <w:pStyle w:val="Footer"/>
      <w:tabs>
        <w:tab w:val="right" w:pos="9598"/>
      </w:tabs>
      <w:rPr>
        <w:b/>
        <w:sz w:val="18"/>
      </w:rPr>
    </w:pPr>
    <w:r>
      <w:t>GE.11-40136</w:t>
    </w:r>
    <w:r>
      <w:tab/>
    </w:r>
    <w:r w:rsidRPr="0069167A">
      <w:rPr>
        <w:b/>
        <w:sz w:val="18"/>
      </w:rPr>
      <w:fldChar w:fldCharType="begin"/>
    </w:r>
    <w:r w:rsidRPr="0069167A">
      <w:rPr>
        <w:b/>
        <w:sz w:val="18"/>
      </w:rPr>
      <w:instrText xml:space="preserve"> PAGE  \* MERGEFORMAT </w:instrText>
    </w:r>
    <w:r w:rsidRPr="0069167A">
      <w:rPr>
        <w:b/>
        <w:sz w:val="18"/>
      </w:rPr>
      <w:fldChar w:fldCharType="separate"/>
    </w:r>
    <w:r w:rsidR="00D63C5F">
      <w:rPr>
        <w:b/>
        <w:noProof/>
        <w:sz w:val="18"/>
      </w:rPr>
      <w:t>49</w:t>
    </w:r>
    <w:r w:rsidRPr="0069167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D6A" w:rsidRDefault="00824D6A">
    <w:pPr>
      <w:pStyle w:val="Footer"/>
    </w:pPr>
    <w:r>
      <w:rPr>
        <w:sz w:val="20"/>
      </w:rPr>
      <w:t>GE.11-40136</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220311    280311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6D2" w:rsidRPr="000B175B" w:rsidRDefault="00F916D2" w:rsidP="000B175B">
      <w:pPr>
        <w:tabs>
          <w:tab w:val="right" w:pos="2155"/>
        </w:tabs>
        <w:spacing w:after="80"/>
        <w:ind w:left="680"/>
        <w:rPr>
          <w:u w:val="single"/>
        </w:rPr>
      </w:pPr>
      <w:r>
        <w:rPr>
          <w:u w:val="single"/>
        </w:rPr>
        <w:tab/>
      </w:r>
    </w:p>
  </w:footnote>
  <w:footnote w:type="continuationSeparator" w:id="0">
    <w:p w:rsidR="00F916D2" w:rsidRPr="00FC68B7" w:rsidRDefault="00F916D2" w:rsidP="00FC68B7">
      <w:pPr>
        <w:tabs>
          <w:tab w:val="left" w:pos="2155"/>
        </w:tabs>
        <w:spacing w:after="80"/>
        <w:ind w:left="680"/>
        <w:rPr>
          <w:u w:val="single"/>
        </w:rPr>
      </w:pPr>
      <w:r>
        <w:rPr>
          <w:u w:val="single"/>
        </w:rPr>
        <w:tab/>
      </w:r>
    </w:p>
  </w:footnote>
  <w:footnote w:type="continuationNotice" w:id="1">
    <w:p w:rsidR="00F916D2" w:rsidRDefault="00F916D2"/>
  </w:footnote>
  <w:footnote w:id="2">
    <w:p w:rsidR="00824D6A" w:rsidRPr="00AB5CD9" w:rsidRDefault="00824D6A">
      <w:pPr>
        <w:pStyle w:val="FootnoteText"/>
      </w:pPr>
      <w:r>
        <w:tab/>
      </w:r>
      <w:r w:rsidRPr="00AB5CD9">
        <w:rPr>
          <w:rStyle w:val="FootnoteReference"/>
          <w:sz w:val="20"/>
          <w:vertAlign w:val="baseline"/>
        </w:rPr>
        <w:t>*</w:t>
      </w:r>
      <w:r>
        <w:rPr>
          <w:sz w:val="20"/>
        </w:rPr>
        <w:tab/>
      </w:r>
      <w:r>
        <w:t>In accordance with the information transmitted to States parties regarding the processing of their reports, the present document was not edited before being sent to the United Nations translation services.</w:t>
      </w:r>
    </w:p>
  </w:footnote>
  <w:footnote w:id="3">
    <w:p w:rsidR="00824D6A" w:rsidRDefault="00824D6A" w:rsidP="005765AD">
      <w:pPr>
        <w:pStyle w:val="FootnoteText"/>
        <w:widowControl w:val="0"/>
        <w:tabs>
          <w:tab w:val="clear" w:pos="1021"/>
          <w:tab w:val="right" w:pos="1020"/>
        </w:tabs>
      </w:pPr>
      <w:r>
        <w:tab/>
      </w:r>
      <w:r>
        <w:rPr>
          <w:rStyle w:val="FootnoteReference"/>
        </w:rPr>
        <w:footnoteRef/>
      </w:r>
      <w:r>
        <w:tab/>
      </w:r>
      <w:r w:rsidRPr="00054C10">
        <w:rPr>
          <w:lang w:val="en-US"/>
        </w:rPr>
        <w:t>See www.conadisperu.gob.pe/web/principal.php.</w:t>
      </w:r>
    </w:p>
  </w:footnote>
  <w:footnote w:id="4">
    <w:p w:rsidR="00824D6A" w:rsidRDefault="00824D6A" w:rsidP="00180B44">
      <w:pPr>
        <w:pStyle w:val="FootnoteText"/>
      </w:pPr>
      <w:r>
        <w:tab/>
      </w:r>
      <w:r>
        <w:rPr>
          <w:rStyle w:val="FootnoteReference"/>
        </w:rPr>
        <w:footnoteRef/>
      </w:r>
      <w:r>
        <w:tab/>
        <w:t xml:space="preserve">See </w:t>
      </w:r>
      <w:hyperlink r:id="rId1" w:history="1">
        <w:r w:rsidRPr="00121A7D">
          <w:rPr>
            <w:rStyle w:val="Bullet2G"/>
          </w:rPr>
          <w:t>www.pnud.org.pe/data/publicacio</w:t>
        </w:r>
        <w:r w:rsidRPr="00121A7D">
          <w:rPr>
            <w:rStyle w:val="Bullet2G"/>
          </w:rPr>
          <w:t>n</w:t>
        </w:r>
        <w:r w:rsidRPr="00121A7D">
          <w:rPr>
            <w:rStyle w:val="Bullet2G"/>
          </w:rPr>
          <w:t>/idh2009vol1.pdf</w:t>
        </w:r>
      </w:hyperlink>
      <w:r>
        <w:t>.</w:t>
      </w:r>
    </w:p>
  </w:footnote>
  <w:footnote w:id="5">
    <w:p w:rsidR="00824D6A" w:rsidRPr="001F41C2" w:rsidRDefault="00824D6A" w:rsidP="00180B44">
      <w:pPr>
        <w:pStyle w:val="FootnoteText"/>
      </w:pPr>
      <w:r>
        <w:tab/>
      </w:r>
      <w:r w:rsidRPr="0015157A">
        <w:rPr>
          <w:rStyle w:val="FootnoteReference"/>
        </w:rPr>
        <w:footnoteRef/>
      </w:r>
      <w:r>
        <w:tab/>
        <w:t xml:space="preserve">See www1.inei.gob.pe/biblioineipub/bancopub/Est/Lib0734/Libro.pdf: Statistical research was carried out on the basis of a sample of 382,000 private households at the national level in urban and rural areas in the country’s 24 departments and the </w:t>
      </w:r>
      <w:r w:rsidRPr="001F41C2">
        <w:t>Constitutional Province of Callao</w:t>
      </w:r>
      <w:r>
        <w:t>.</w:t>
      </w:r>
    </w:p>
  </w:footnote>
  <w:footnote w:id="6">
    <w:p w:rsidR="00824D6A" w:rsidRPr="00EF673A" w:rsidRDefault="00824D6A" w:rsidP="00180B44">
      <w:pPr>
        <w:pStyle w:val="FootnoteText"/>
        <w:rPr>
          <w:lang w:val="en-US"/>
        </w:rPr>
      </w:pPr>
      <w:r>
        <w:rPr>
          <w:lang w:val="en-US"/>
        </w:rPr>
        <w:tab/>
      </w:r>
      <w:r w:rsidRPr="00FC04AD">
        <w:rPr>
          <w:rStyle w:val="FootnoteReference"/>
        </w:rPr>
        <w:footnoteRef/>
      </w:r>
      <w:r>
        <w:rPr>
          <w:lang w:val="en-US"/>
        </w:rPr>
        <w:tab/>
      </w:r>
      <w:r w:rsidRPr="00FC04AD">
        <w:rPr>
          <w:i/>
        </w:rPr>
        <w:t>Estudio de Línea de Base: Demanda Laboral de Trabajadores con Discapacidad en las Empresas del Perú</w:t>
      </w:r>
      <w:r w:rsidRPr="00FC04AD">
        <w:t xml:space="preserve"> [Baseline study: Demand for workers with disabilities in companies in Peru], Japan International Cooperation Agency and CONADIS, 2009, p. 38.</w:t>
      </w:r>
    </w:p>
  </w:footnote>
  <w:footnote w:id="7">
    <w:p w:rsidR="00824D6A" w:rsidRDefault="00824D6A" w:rsidP="007349CA">
      <w:pPr>
        <w:pStyle w:val="FootnoteText"/>
        <w:widowControl w:val="0"/>
        <w:tabs>
          <w:tab w:val="clear" w:pos="1021"/>
          <w:tab w:val="right" w:pos="1020"/>
        </w:tabs>
      </w:pPr>
      <w:r>
        <w:tab/>
      </w:r>
      <w:r>
        <w:rPr>
          <w:rStyle w:val="FootnoteReference"/>
        </w:rPr>
        <w:footnoteRef/>
      </w:r>
      <w:r>
        <w:tab/>
        <w:t xml:space="preserve">Ibid. </w:t>
      </w:r>
    </w:p>
  </w:footnote>
  <w:footnote w:id="8">
    <w:p w:rsidR="00824D6A" w:rsidRDefault="00824D6A" w:rsidP="007349CA">
      <w:pPr>
        <w:pStyle w:val="FootnoteText"/>
        <w:widowControl w:val="0"/>
        <w:tabs>
          <w:tab w:val="clear" w:pos="1021"/>
          <w:tab w:val="right" w:pos="1020"/>
        </w:tabs>
      </w:pPr>
      <w:r>
        <w:tab/>
      </w:r>
      <w:r>
        <w:rPr>
          <w:rStyle w:val="FootnoteReference"/>
        </w:rPr>
        <w:footnoteRef/>
      </w:r>
      <w:r>
        <w:tab/>
      </w:r>
      <w:r w:rsidRPr="00557714">
        <w:t>Available at www.conadisperu</w:t>
      </w:r>
      <w:r>
        <w:t>.gob.pe/web/publicaciones/2.pdf</w:t>
      </w:r>
      <w:r w:rsidRPr="00557714">
        <w:t>.</w:t>
      </w:r>
      <w:r>
        <w:t xml:space="preserve"> </w:t>
      </w:r>
    </w:p>
  </w:footnote>
  <w:footnote w:id="9">
    <w:p w:rsidR="00824D6A" w:rsidRDefault="00824D6A" w:rsidP="007349CA">
      <w:pPr>
        <w:pStyle w:val="FootnoteText"/>
        <w:widowControl w:val="0"/>
        <w:tabs>
          <w:tab w:val="clear" w:pos="1021"/>
          <w:tab w:val="right" w:pos="1020"/>
        </w:tabs>
      </w:pPr>
      <w:r>
        <w:tab/>
      </w:r>
      <w:r>
        <w:rPr>
          <w:rStyle w:val="FootnoteReference"/>
        </w:rPr>
        <w:footnoteRef/>
      </w:r>
      <w:r>
        <w:tab/>
      </w:r>
      <w:r w:rsidRPr="00897261">
        <w:t>The CONADIS annual report for 2009 is posted on the institution’s web portal.</w:t>
      </w:r>
      <w:r>
        <w:t xml:space="preserve"> </w:t>
      </w:r>
    </w:p>
  </w:footnote>
  <w:footnote w:id="10">
    <w:p w:rsidR="00824D6A" w:rsidRDefault="00824D6A" w:rsidP="00396CCE">
      <w:pPr>
        <w:pStyle w:val="FootnoteText"/>
        <w:widowControl w:val="0"/>
        <w:tabs>
          <w:tab w:val="clear" w:pos="1021"/>
          <w:tab w:val="right" w:pos="1020"/>
        </w:tabs>
      </w:pPr>
      <w:r>
        <w:tab/>
      </w:r>
      <w:r>
        <w:rPr>
          <w:rStyle w:val="FootnoteReference"/>
        </w:rPr>
        <w:footnoteRef/>
      </w:r>
      <w:r>
        <w:tab/>
        <w:t xml:space="preserve"> </w:t>
      </w:r>
      <w:r w:rsidRPr="001C5085">
        <w:t>The regulations governing the National Register of Minors</w:t>
      </w:r>
      <w:r>
        <w:t>’</w:t>
      </w:r>
      <w:r w:rsidRPr="001C5085">
        <w:t xml:space="preserve"> Travel Authorizations and Prohibitions are aligned with the</w:t>
      </w:r>
      <w:r>
        <w:t xml:space="preserve"> </w:t>
      </w:r>
      <w:r w:rsidRPr="001C5085">
        <w:t>Children and Adolescents Code (Act No. 27337).</w:t>
      </w:r>
    </w:p>
  </w:footnote>
  <w:footnote w:id="11">
    <w:p w:rsidR="00824D6A" w:rsidRPr="00396CCE" w:rsidRDefault="00824D6A" w:rsidP="00396CCE">
      <w:pPr>
        <w:pStyle w:val="FootnoteText"/>
        <w:widowControl w:val="0"/>
        <w:tabs>
          <w:tab w:val="clear" w:pos="1021"/>
          <w:tab w:val="right" w:pos="1020"/>
        </w:tabs>
        <w:rPr>
          <w:lang w:val="es-ES_tradnl"/>
        </w:rPr>
      </w:pPr>
      <w:r>
        <w:tab/>
      </w:r>
      <w:r>
        <w:rPr>
          <w:rStyle w:val="FootnoteReference"/>
        </w:rPr>
        <w:footnoteRef/>
      </w:r>
      <w:r w:rsidRPr="00396CCE">
        <w:rPr>
          <w:lang w:val="es-ES_tradnl"/>
        </w:rPr>
        <w:tab/>
      </w:r>
      <w:r w:rsidRPr="00396CCE">
        <w:rPr>
          <w:i/>
          <w:lang w:val="es-ES_tradnl"/>
        </w:rPr>
        <w:t>Informe sobre Desarrollo Humano Perú 2009: Por una densidad del Estado al servicio de la gente</w:t>
      </w:r>
      <w:r w:rsidRPr="00396CCE">
        <w:rPr>
          <w:lang w:val="es-ES_tradnl"/>
        </w:rPr>
        <w:t>, part I, UNDP, Peru.</w:t>
      </w:r>
    </w:p>
  </w:footnote>
  <w:footnote w:id="12">
    <w:p w:rsidR="00824D6A" w:rsidRDefault="00824D6A" w:rsidP="00C015BD">
      <w:pPr>
        <w:pStyle w:val="FootnoteText"/>
        <w:widowControl w:val="0"/>
        <w:tabs>
          <w:tab w:val="clear" w:pos="1021"/>
          <w:tab w:val="right" w:pos="1020"/>
        </w:tabs>
      </w:pPr>
      <w:r w:rsidRPr="00396CCE">
        <w:rPr>
          <w:lang w:val="es-ES_tradnl"/>
        </w:rPr>
        <w:tab/>
      </w:r>
      <w:r>
        <w:rPr>
          <w:rStyle w:val="FootnoteReference"/>
        </w:rPr>
        <w:footnoteRef/>
      </w:r>
      <w:r>
        <w:tab/>
      </w:r>
      <w:r w:rsidRPr="005C0A3E">
        <w:t>www.onu.org.pe/Publico/odm/odm_peru.aspx</w:t>
      </w:r>
      <w:r>
        <w:t>.</w:t>
      </w:r>
    </w:p>
  </w:footnote>
  <w:footnote w:id="13">
    <w:p w:rsidR="00824D6A" w:rsidRDefault="00824D6A" w:rsidP="007421F2">
      <w:pPr>
        <w:pStyle w:val="FootnoteText"/>
        <w:widowControl w:val="0"/>
        <w:tabs>
          <w:tab w:val="clear" w:pos="1021"/>
          <w:tab w:val="right" w:pos="1020"/>
        </w:tabs>
      </w:pPr>
      <w:r>
        <w:tab/>
      </w:r>
      <w:r>
        <w:rPr>
          <w:rStyle w:val="FootnoteReference"/>
        </w:rPr>
        <w:footnoteRef/>
      </w:r>
      <w:r>
        <w:tab/>
        <w:t xml:space="preserve">www.conadisperu.gob.pe/web/principal.php.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D6A" w:rsidRPr="0069167A" w:rsidRDefault="00824D6A" w:rsidP="0069167A">
    <w:pPr>
      <w:pStyle w:val="Header"/>
    </w:pPr>
    <w:r w:rsidRPr="0069167A">
      <w:t>CRPD/C/PER/1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D6A" w:rsidRPr="0069167A" w:rsidRDefault="00824D6A" w:rsidP="0069167A">
    <w:pPr>
      <w:pStyle w:val="Header"/>
      <w:jc w:val="right"/>
    </w:pPr>
    <w:r w:rsidRPr="0069167A">
      <w:t>CRPD/C/PER/1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0590"/>
    <w:rsid w:val="000066A2"/>
    <w:rsid w:val="00010A8A"/>
    <w:rsid w:val="00011DC2"/>
    <w:rsid w:val="00021661"/>
    <w:rsid w:val="00031F2F"/>
    <w:rsid w:val="00032B27"/>
    <w:rsid w:val="00032FF2"/>
    <w:rsid w:val="0004313A"/>
    <w:rsid w:val="00050F6B"/>
    <w:rsid w:val="00054C10"/>
    <w:rsid w:val="00072C8C"/>
    <w:rsid w:val="000733B5"/>
    <w:rsid w:val="00077485"/>
    <w:rsid w:val="00083DF5"/>
    <w:rsid w:val="00087C04"/>
    <w:rsid w:val="000931C0"/>
    <w:rsid w:val="00096945"/>
    <w:rsid w:val="00096FBB"/>
    <w:rsid w:val="000A187B"/>
    <w:rsid w:val="000A5D3B"/>
    <w:rsid w:val="000B175B"/>
    <w:rsid w:val="000B3A0F"/>
    <w:rsid w:val="000B4EF7"/>
    <w:rsid w:val="000B59B5"/>
    <w:rsid w:val="000C1462"/>
    <w:rsid w:val="000C2D2E"/>
    <w:rsid w:val="000D1811"/>
    <w:rsid w:val="000E03EB"/>
    <w:rsid w:val="000E0415"/>
    <w:rsid w:val="000E2E23"/>
    <w:rsid w:val="000E3B70"/>
    <w:rsid w:val="000F21F7"/>
    <w:rsid w:val="000F38ED"/>
    <w:rsid w:val="000F3F22"/>
    <w:rsid w:val="00100EA4"/>
    <w:rsid w:val="001019E5"/>
    <w:rsid w:val="001103AA"/>
    <w:rsid w:val="00125492"/>
    <w:rsid w:val="001268F5"/>
    <w:rsid w:val="001441EB"/>
    <w:rsid w:val="0014612F"/>
    <w:rsid w:val="00146AC0"/>
    <w:rsid w:val="00150590"/>
    <w:rsid w:val="00155467"/>
    <w:rsid w:val="00167126"/>
    <w:rsid w:val="00167501"/>
    <w:rsid w:val="001806D8"/>
    <w:rsid w:val="00180B44"/>
    <w:rsid w:val="00180D95"/>
    <w:rsid w:val="001833B8"/>
    <w:rsid w:val="0018404A"/>
    <w:rsid w:val="0018711F"/>
    <w:rsid w:val="00190E01"/>
    <w:rsid w:val="001910E7"/>
    <w:rsid w:val="00192A24"/>
    <w:rsid w:val="001B4B04"/>
    <w:rsid w:val="001C3181"/>
    <w:rsid w:val="001C6663"/>
    <w:rsid w:val="001C669A"/>
    <w:rsid w:val="001C7895"/>
    <w:rsid w:val="001D0DCC"/>
    <w:rsid w:val="001D26DF"/>
    <w:rsid w:val="001D28F4"/>
    <w:rsid w:val="001D5EB1"/>
    <w:rsid w:val="001E5AA0"/>
    <w:rsid w:val="001F223A"/>
    <w:rsid w:val="001F33A7"/>
    <w:rsid w:val="001F7C09"/>
    <w:rsid w:val="002018C7"/>
    <w:rsid w:val="0020284A"/>
    <w:rsid w:val="00202DA8"/>
    <w:rsid w:val="00211E0B"/>
    <w:rsid w:val="00214C69"/>
    <w:rsid w:val="00220E07"/>
    <w:rsid w:val="00222F37"/>
    <w:rsid w:val="002263AF"/>
    <w:rsid w:val="00234E98"/>
    <w:rsid w:val="00235233"/>
    <w:rsid w:val="00242B8F"/>
    <w:rsid w:val="002449F6"/>
    <w:rsid w:val="0025756B"/>
    <w:rsid w:val="00261F5B"/>
    <w:rsid w:val="0028032E"/>
    <w:rsid w:val="00286D68"/>
    <w:rsid w:val="002914D0"/>
    <w:rsid w:val="00291CCA"/>
    <w:rsid w:val="002B6A78"/>
    <w:rsid w:val="002C7C7F"/>
    <w:rsid w:val="002F0725"/>
    <w:rsid w:val="002F175C"/>
    <w:rsid w:val="002F43EC"/>
    <w:rsid w:val="00304BDB"/>
    <w:rsid w:val="003229D8"/>
    <w:rsid w:val="0032359A"/>
    <w:rsid w:val="00323AE6"/>
    <w:rsid w:val="00324F05"/>
    <w:rsid w:val="0032566E"/>
    <w:rsid w:val="00327CF7"/>
    <w:rsid w:val="00331895"/>
    <w:rsid w:val="00346185"/>
    <w:rsid w:val="003462DA"/>
    <w:rsid w:val="00352709"/>
    <w:rsid w:val="00355159"/>
    <w:rsid w:val="003560A4"/>
    <w:rsid w:val="00361AA2"/>
    <w:rsid w:val="003658CB"/>
    <w:rsid w:val="0036689B"/>
    <w:rsid w:val="00371178"/>
    <w:rsid w:val="00380C68"/>
    <w:rsid w:val="003838CC"/>
    <w:rsid w:val="00393DBF"/>
    <w:rsid w:val="00396CCE"/>
    <w:rsid w:val="003A4810"/>
    <w:rsid w:val="003A570F"/>
    <w:rsid w:val="003A6810"/>
    <w:rsid w:val="003B2B56"/>
    <w:rsid w:val="003C2CC4"/>
    <w:rsid w:val="003D2E1B"/>
    <w:rsid w:val="003D4B23"/>
    <w:rsid w:val="003E4016"/>
    <w:rsid w:val="003E664B"/>
    <w:rsid w:val="003F0F01"/>
    <w:rsid w:val="003F63EE"/>
    <w:rsid w:val="00405DDC"/>
    <w:rsid w:val="00410C69"/>
    <w:rsid w:val="00410C89"/>
    <w:rsid w:val="00422E0A"/>
    <w:rsid w:val="00427B37"/>
    <w:rsid w:val="0043050F"/>
    <w:rsid w:val="00430EEA"/>
    <w:rsid w:val="004325CB"/>
    <w:rsid w:val="00440B9D"/>
    <w:rsid w:val="00452371"/>
    <w:rsid w:val="0045495B"/>
    <w:rsid w:val="00455B5D"/>
    <w:rsid w:val="00466501"/>
    <w:rsid w:val="004727C8"/>
    <w:rsid w:val="00486F1D"/>
    <w:rsid w:val="004A4523"/>
    <w:rsid w:val="004A49BA"/>
    <w:rsid w:val="004A7390"/>
    <w:rsid w:val="004B717F"/>
    <w:rsid w:val="004D25E4"/>
    <w:rsid w:val="004F406E"/>
    <w:rsid w:val="004F4BD0"/>
    <w:rsid w:val="004F67AE"/>
    <w:rsid w:val="00502E6A"/>
    <w:rsid w:val="00503979"/>
    <w:rsid w:val="005137C1"/>
    <w:rsid w:val="00513B04"/>
    <w:rsid w:val="00517B36"/>
    <w:rsid w:val="00527DE1"/>
    <w:rsid w:val="00530B91"/>
    <w:rsid w:val="005420F2"/>
    <w:rsid w:val="00547199"/>
    <w:rsid w:val="00550189"/>
    <w:rsid w:val="00573935"/>
    <w:rsid w:val="005765AD"/>
    <w:rsid w:val="005814C4"/>
    <w:rsid w:val="00582A43"/>
    <w:rsid w:val="00587649"/>
    <w:rsid w:val="005965FD"/>
    <w:rsid w:val="005A0BA0"/>
    <w:rsid w:val="005B3DB3"/>
    <w:rsid w:val="005C6A79"/>
    <w:rsid w:val="005D0145"/>
    <w:rsid w:val="005E444F"/>
    <w:rsid w:val="005E4497"/>
    <w:rsid w:val="005E78C0"/>
    <w:rsid w:val="005F02D6"/>
    <w:rsid w:val="005F16C5"/>
    <w:rsid w:val="006001EE"/>
    <w:rsid w:val="00601587"/>
    <w:rsid w:val="00602D83"/>
    <w:rsid w:val="00605CB8"/>
    <w:rsid w:val="00611220"/>
    <w:rsid w:val="00611FC4"/>
    <w:rsid w:val="006176FB"/>
    <w:rsid w:val="006214FF"/>
    <w:rsid w:val="006227C9"/>
    <w:rsid w:val="00634BE8"/>
    <w:rsid w:val="00640B26"/>
    <w:rsid w:val="00641155"/>
    <w:rsid w:val="00643C46"/>
    <w:rsid w:val="00644265"/>
    <w:rsid w:val="00646687"/>
    <w:rsid w:val="00650099"/>
    <w:rsid w:val="00652182"/>
    <w:rsid w:val="00665392"/>
    <w:rsid w:val="00667387"/>
    <w:rsid w:val="0067597D"/>
    <w:rsid w:val="0069167A"/>
    <w:rsid w:val="006A4EB3"/>
    <w:rsid w:val="006B3661"/>
    <w:rsid w:val="006B47E3"/>
    <w:rsid w:val="006B70C8"/>
    <w:rsid w:val="006C078B"/>
    <w:rsid w:val="006C2894"/>
    <w:rsid w:val="006C3C82"/>
    <w:rsid w:val="006C5F51"/>
    <w:rsid w:val="006D2C75"/>
    <w:rsid w:val="006D5F3F"/>
    <w:rsid w:val="006E4242"/>
    <w:rsid w:val="006E564B"/>
    <w:rsid w:val="006F3DD8"/>
    <w:rsid w:val="006F4BFA"/>
    <w:rsid w:val="006F7B79"/>
    <w:rsid w:val="006F7FC3"/>
    <w:rsid w:val="007052E5"/>
    <w:rsid w:val="00715734"/>
    <w:rsid w:val="0072632A"/>
    <w:rsid w:val="0073392D"/>
    <w:rsid w:val="007349CA"/>
    <w:rsid w:val="0073734A"/>
    <w:rsid w:val="007421F2"/>
    <w:rsid w:val="00747C37"/>
    <w:rsid w:val="00750291"/>
    <w:rsid w:val="00750794"/>
    <w:rsid w:val="00754B3F"/>
    <w:rsid w:val="00757820"/>
    <w:rsid w:val="00763228"/>
    <w:rsid w:val="007632BD"/>
    <w:rsid w:val="007A483C"/>
    <w:rsid w:val="007A67D5"/>
    <w:rsid w:val="007B2C52"/>
    <w:rsid w:val="007B2E26"/>
    <w:rsid w:val="007B62C3"/>
    <w:rsid w:val="007B6335"/>
    <w:rsid w:val="007B6BA5"/>
    <w:rsid w:val="007C1D33"/>
    <w:rsid w:val="007C3390"/>
    <w:rsid w:val="007C4F4B"/>
    <w:rsid w:val="007D0163"/>
    <w:rsid w:val="007D1852"/>
    <w:rsid w:val="007D7B1D"/>
    <w:rsid w:val="007F2E6F"/>
    <w:rsid w:val="007F32AD"/>
    <w:rsid w:val="007F6611"/>
    <w:rsid w:val="00801483"/>
    <w:rsid w:val="00802D18"/>
    <w:rsid w:val="00813149"/>
    <w:rsid w:val="00821B21"/>
    <w:rsid w:val="008242D7"/>
    <w:rsid w:val="00824D6A"/>
    <w:rsid w:val="00830258"/>
    <w:rsid w:val="0083715E"/>
    <w:rsid w:val="00840D97"/>
    <w:rsid w:val="0084313C"/>
    <w:rsid w:val="008453E4"/>
    <w:rsid w:val="0085226B"/>
    <w:rsid w:val="0085533F"/>
    <w:rsid w:val="00856FF6"/>
    <w:rsid w:val="008604C9"/>
    <w:rsid w:val="00865467"/>
    <w:rsid w:val="008747E3"/>
    <w:rsid w:val="00881D82"/>
    <w:rsid w:val="008926C2"/>
    <w:rsid w:val="00895393"/>
    <w:rsid w:val="008979B1"/>
    <w:rsid w:val="008A6A84"/>
    <w:rsid w:val="008A6B25"/>
    <w:rsid w:val="008A6C4F"/>
    <w:rsid w:val="008B2335"/>
    <w:rsid w:val="008B6199"/>
    <w:rsid w:val="008C1135"/>
    <w:rsid w:val="008C4480"/>
    <w:rsid w:val="008D1014"/>
    <w:rsid w:val="008D404D"/>
    <w:rsid w:val="008E0EE0"/>
    <w:rsid w:val="008E44A1"/>
    <w:rsid w:val="008F1953"/>
    <w:rsid w:val="008F55A0"/>
    <w:rsid w:val="00901378"/>
    <w:rsid w:val="00910B47"/>
    <w:rsid w:val="0091313F"/>
    <w:rsid w:val="00917DD0"/>
    <w:rsid w:val="009223CA"/>
    <w:rsid w:val="00940F93"/>
    <w:rsid w:val="00942860"/>
    <w:rsid w:val="009443E5"/>
    <w:rsid w:val="00955F32"/>
    <w:rsid w:val="009566D2"/>
    <w:rsid w:val="00957984"/>
    <w:rsid w:val="00970EBE"/>
    <w:rsid w:val="00973E76"/>
    <w:rsid w:val="009B0F0E"/>
    <w:rsid w:val="009B2AB0"/>
    <w:rsid w:val="009C14AA"/>
    <w:rsid w:val="009C4438"/>
    <w:rsid w:val="009C7493"/>
    <w:rsid w:val="009D2512"/>
    <w:rsid w:val="009D54C9"/>
    <w:rsid w:val="009E6A76"/>
    <w:rsid w:val="009F7711"/>
    <w:rsid w:val="009F7C5D"/>
    <w:rsid w:val="00A01489"/>
    <w:rsid w:val="00A17600"/>
    <w:rsid w:val="00A25729"/>
    <w:rsid w:val="00A325A9"/>
    <w:rsid w:val="00A530E1"/>
    <w:rsid w:val="00A612EE"/>
    <w:rsid w:val="00A63097"/>
    <w:rsid w:val="00A72F22"/>
    <w:rsid w:val="00A7352F"/>
    <w:rsid w:val="00A748A6"/>
    <w:rsid w:val="00A776B4"/>
    <w:rsid w:val="00A8461C"/>
    <w:rsid w:val="00A94361"/>
    <w:rsid w:val="00A96FD4"/>
    <w:rsid w:val="00AB5CD9"/>
    <w:rsid w:val="00AB7025"/>
    <w:rsid w:val="00AB71B6"/>
    <w:rsid w:val="00AC6911"/>
    <w:rsid w:val="00AC7E7D"/>
    <w:rsid w:val="00AD221A"/>
    <w:rsid w:val="00AF645F"/>
    <w:rsid w:val="00B06775"/>
    <w:rsid w:val="00B30179"/>
    <w:rsid w:val="00B55EB7"/>
    <w:rsid w:val="00B56E9C"/>
    <w:rsid w:val="00B6140B"/>
    <w:rsid w:val="00B64B1F"/>
    <w:rsid w:val="00B6553F"/>
    <w:rsid w:val="00B81E12"/>
    <w:rsid w:val="00B83B96"/>
    <w:rsid w:val="00B83E27"/>
    <w:rsid w:val="00BA0168"/>
    <w:rsid w:val="00BA1EA1"/>
    <w:rsid w:val="00BA2DCB"/>
    <w:rsid w:val="00BA2FEB"/>
    <w:rsid w:val="00BB1412"/>
    <w:rsid w:val="00BB2D6E"/>
    <w:rsid w:val="00BC241B"/>
    <w:rsid w:val="00BC4CF2"/>
    <w:rsid w:val="00BC74E9"/>
    <w:rsid w:val="00BE1B8E"/>
    <w:rsid w:val="00BE37B8"/>
    <w:rsid w:val="00BE62C9"/>
    <w:rsid w:val="00BF68A8"/>
    <w:rsid w:val="00C015BD"/>
    <w:rsid w:val="00C25AD6"/>
    <w:rsid w:val="00C3206E"/>
    <w:rsid w:val="00C35BFA"/>
    <w:rsid w:val="00C37DE6"/>
    <w:rsid w:val="00C463DD"/>
    <w:rsid w:val="00C4724C"/>
    <w:rsid w:val="00C629A0"/>
    <w:rsid w:val="00C65FF0"/>
    <w:rsid w:val="00C73DDE"/>
    <w:rsid w:val="00C745C3"/>
    <w:rsid w:val="00C75FB9"/>
    <w:rsid w:val="00CA1E13"/>
    <w:rsid w:val="00CA284F"/>
    <w:rsid w:val="00CA68A4"/>
    <w:rsid w:val="00CB5A70"/>
    <w:rsid w:val="00CC00AC"/>
    <w:rsid w:val="00CC7FE0"/>
    <w:rsid w:val="00CD3AEF"/>
    <w:rsid w:val="00CD4607"/>
    <w:rsid w:val="00CD7061"/>
    <w:rsid w:val="00CD7AC0"/>
    <w:rsid w:val="00CE4A8F"/>
    <w:rsid w:val="00CF5F69"/>
    <w:rsid w:val="00D008C8"/>
    <w:rsid w:val="00D00BB8"/>
    <w:rsid w:val="00D06158"/>
    <w:rsid w:val="00D06987"/>
    <w:rsid w:val="00D104A0"/>
    <w:rsid w:val="00D1115A"/>
    <w:rsid w:val="00D12E1C"/>
    <w:rsid w:val="00D2031B"/>
    <w:rsid w:val="00D20F74"/>
    <w:rsid w:val="00D218CB"/>
    <w:rsid w:val="00D25FE2"/>
    <w:rsid w:val="00D2639A"/>
    <w:rsid w:val="00D42F73"/>
    <w:rsid w:val="00D43252"/>
    <w:rsid w:val="00D51E7F"/>
    <w:rsid w:val="00D538EC"/>
    <w:rsid w:val="00D56BEB"/>
    <w:rsid w:val="00D62D91"/>
    <w:rsid w:val="00D63C5F"/>
    <w:rsid w:val="00D65D81"/>
    <w:rsid w:val="00D66044"/>
    <w:rsid w:val="00D6676C"/>
    <w:rsid w:val="00D84B53"/>
    <w:rsid w:val="00D87FEC"/>
    <w:rsid w:val="00D91E6D"/>
    <w:rsid w:val="00D95BFB"/>
    <w:rsid w:val="00D978C6"/>
    <w:rsid w:val="00DA2769"/>
    <w:rsid w:val="00DA3C1C"/>
    <w:rsid w:val="00DB520F"/>
    <w:rsid w:val="00DC5315"/>
    <w:rsid w:val="00DC5696"/>
    <w:rsid w:val="00DC7DF5"/>
    <w:rsid w:val="00DD1AF0"/>
    <w:rsid w:val="00DD2DDD"/>
    <w:rsid w:val="00DE2B07"/>
    <w:rsid w:val="00E52981"/>
    <w:rsid w:val="00E71BC8"/>
    <w:rsid w:val="00E7260F"/>
    <w:rsid w:val="00E902FF"/>
    <w:rsid w:val="00E96630"/>
    <w:rsid w:val="00E978F3"/>
    <w:rsid w:val="00EB0F53"/>
    <w:rsid w:val="00ED2451"/>
    <w:rsid w:val="00ED32A3"/>
    <w:rsid w:val="00ED6075"/>
    <w:rsid w:val="00ED7A2A"/>
    <w:rsid w:val="00EE41F9"/>
    <w:rsid w:val="00EE62BC"/>
    <w:rsid w:val="00EF1D7F"/>
    <w:rsid w:val="00F05C36"/>
    <w:rsid w:val="00F063C5"/>
    <w:rsid w:val="00F12839"/>
    <w:rsid w:val="00F16087"/>
    <w:rsid w:val="00F211BD"/>
    <w:rsid w:val="00F26741"/>
    <w:rsid w:val="00F34583"/>
    <w:rsid w:val="00F36F80"/>
    <w:rsid w:val="00F40911"/>
    <w:rsid w:val="00F423D7"/>
    <w:rsid w:val="00F504DF"/>
    <w:rsid w:val="00F5228C"/>
    <w:rsid w:val="00F81534"/>
    <w:rsid w:val="00F916D2"/>
    <w:rsid w:val="00F91C6C"/>
    <w:rsid w:val="00F95190"/>
    <w:rsid w:val="00FA271C"/>
    <w:rsid w:val="00FA343E"/>
    <w:rsid w:val="00FC1FF7"/>
    <w:rsid w:val="00FC68B7"/>
    <w:rsid w:val="00FD22D1"/>
    <w:rsid w:val="00FE0869"/>
    <w:rsid w:val="00FE190C"/>
    <w:rsid w:val="00FE7109"/>
    <w:rsid w:val="00FF3333"/>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ar"/>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4GCar">
    <w:name w:val="_ H_4_G Car"/>
    <w:link w:val="H4G"/>
    <w:rsid w:val="00180B44"/>
    <w:rPr>
      <w:i/>
      <w:lang w:val="en-GB" w:eastAsia="en-US" w:bidi="ar-SA"/>
    </w:rPr>
  </w:style>
  <w:style w:type="character" w:customStyle="1" w:styleId="H23GChar">
    <w:name w:val="_ H_2/3_G Char"/>
    <w:link w:val="H23G"/>
    <w:rsid w:val="00396CCE"/>
    <w:rPr>
      <w:b/>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pnud.org.pe/data/publicacion/idh2009vol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Template>
  <TotalTime>0</TotalTime>
  <Pages>3</Pages>
  <Words>24925</Words>
  <Characters>142075</Characters>
  <Application>Microsoft Office Word</Application>
  <DocSecurity>4</DocSecurity>
  <Lines>1183</Lines>
  <Paragraphs>333</Paragraphs>
  <ScaleCrop>false</ScaleCrop>
  <HeadingPairs>
    <vt:vector size="2" baseType="variant">
      <vt:variant>
        <vt:lpstr>Title</vt:lpstr>
      </vt:variant>
      <vt:variant>
        <vt:i4>1</vt:i4>
      </vt:variant>
    </vt:vector>
  </HeadingPairs>
  <TitlesOfParts>
    <vt:vector size="1" baseType="lpstr">
      <vt:lpstr>1140136</vt:lpstr>
    </vt:vector>
  </TitlesOfParts>
  <Company>CSD</Company>
  <LinksUpToDate>false</LinksUpToDate>
  <CharactersWithSpaces>166667</CharactersWithSpaces>
  <SharedDoc>false</SharedDoc>
  <HLinks>
    <vt:vector size="6" baseType="variant">
      <vt:variant>
        <vt:i4>6881334</vt:i4>
      </vt:variant>
      <vt:variant>
        <vt:i4>0</vt:i4>
      </vt:variant>
      <vt:variant>
        <vt:i4>0</vt:i4>
      </vt:variant>
      <vt:variant>
        <vt:i4>5</vt:i4>
      </vt:variant>
      <vt:variant>
        <vt:lpwstr>http://www.pnud.org.pe/data/publicacion/idh2009vol1.pdf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1140136</dc:title>
  <dc:subject/>
  <dc:creator>pae</dc:creator>
  <cp:keywords>CRPD/C/PER/1</cp:keywords>
  <dc:description>Final</dc:description>
  <cp:lastModifiedBy>Admieng</cp:lastModifiedBy>
  <cp:revision>2</cp:revision>
  <cp:lastPrinted>2011-03-28T15:09:00Z</cp:lastPrinted>
  <dcterms:created xsi:type="dcterms:W3CDTF">2011-03-28T15:26:00Z</dcterms:created>
  <dcterms:modified xsi:type="dcterms:W3CDTF">2011-03-28T15:26:00Z</dcterms:modified>
</cp:coreProperties>
</file>