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lang w:val="en-US"/>
              </w:rPr>
              <w:fldChar w:fldCharType="begin"/>
            </w:r>
            <w:r w:rsidRPr="004E6131">
              <w:rPr>
                <w:sz w:val="20"/>
                <w:lang w:val="en-US"/>
              </w:rPr>
              <w:instrText xml:space="preserve"> FILLIN  "Введите часть символа после CAT/"  \* MERGEFORMAT </w:instrText>
            </w:r>
            <w:r w:rsidRPr="004E6131">
              <w:rPr>
                <w:lang w:val="en-US"/>
              </w:rPr>
              <w:fldChar w:fldCharType="separate"/>
            </w:r>
            <w:r w:rsidR="00A90419">
              <w:rPr>
                <w:sz w:val="20"/>
                <w:lang w:val="en-US"/>
              </w:rPr>
              <w:t>С/53/D/520/2012</w:t>
            </w:r>
            <w:r w:rsidRPr="004E6131">
              <w:rPr>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D4540D" w:rsidP="00A325A9">
            <w:pPr>
              <w:spacing w:before="120"/>
              <w:jc w:val="center"/>
            </w:pPr>
            <w:r>
              <w:rPr>
                <w:noProof/>
                <w:lang w:eastAsia="ru-RU"/>
              </w:rPr>
              <w:drawing>
                <wp:inline distT="0" distB="0" distL="0" distR="0" wp14:anchorId="03153255" wp14:editId="5F388C1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00536B26">
              <w:rPr>
                <w:lang w:val="en-US"/>
              </w:rPr>
            </w:r>
            <w:r w:rsidR="00536B26">
              <w:rPr>
                <w:lang w:val="en-US"/>
              </w:rPr>
              <w:fldChar w:fldCharType="separate"/>
            </w:r>
            <w:r w:rsidRPr="004E6131">
              <w:rPr>
                <w:lang w:val="en-US"/>
              </w:rPr>
              <w:fldChar w:fldCharType="end"/>
            </w:r>
            <w:bookmarkEnd w:id="0"/>
          </w:p>
          <w:p w:rsidR="00F90607" w:rsidRPr="004E6131" w:rsidRDefault="00F90607" w:rsidP="00A325A9">
            <w:pPr>
              <w:spacing w:before="0" w:after="0"/>
              <w:rPr>
                <w:sz w:val="20"/>
              </w:rPr>
            </w:pPr>
            <w:r w:rsidRPr="004E6131">
              <w:rPr>
                <w:lang w:val="en-US"/>
              </w:rPr>
              <w:fldChar w:fldCharType="begin"/>
            </w:r>
            <w:r w:rsidRPr="004E6131">
              <w:rPr>
                <w:sz w:val="20"/>
              </w:rPr>
              <w:instrText xml:space="preserve"> </w:instrText>
            </w:r>
            <w:r w:rsidRPr="004E6131">
              <w:rPr>
                <w:sz w:val="20"/>
                <w:lang w:val="en-US"/>
              </w:rPr>
              <w:instrText>FILLIN</w:instrText>
            </w:r>
            <w:r w:rsidRPr="004E6131">
              <w:rPr>
                <w:sz w:val="20"/>
              </w:rPr>
              <w:instrText xml:space="preserve">  "Введите дату документа" \* </w:instrText>
            </w:r>
            <w:r w:rsidRPr="004E6131">
              <w:rPr>
                <w:sz w:val="20"/>
                <w:lang w:val="en-US"/>
              </w:rPr>
              <w:instrText>MERGEFORMAT</w:instrText>
            </w:r>
            <w:r w:rsidRPr="004E6131">
              <w:rPr>
                <w:sz w:val="20"/>
              </w:rPr>
              <w:instrText xml:space="preserve"> </w:instrText>
            </w:r>
            <w:r w:rsidRPr="004E6131">
              <w:rPr>
                <w:lang w:val="en-US"/>
              </w:rPr>
              <w:fldChar w:fldCharType="separate"/>
            </w:r>
            <w:r w:rsidR="00A90419">
              <w:rPr>
                <w:sz w:val="20"/>
                <w:lang w:val="en-US"/>
              </w:rPr>
              <w:t>20 January 2015</w:t>
            </w:r>
            <w:r w:rsidRPr="004E6131">
              <w:rPr>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00536B26">
              <w:rPr>
                <w:lang w:val="en-US"/>
              </w:rPr>
            </w:r>
            <w:r w:rsidR="00536B26">
              <w:rPr>
                <w:lang w:val="en-US"/>
              </w:rPr>
              <w:fldChar w:fldCharType="separate"/>
            </w:r>
            <w:r w:rsidRPr="004E6131">
              <w:rPr>
                <w:lang w:val="en-US"/>
              </w:rPr>
              <w:fldChar w:fldCharType="end"/>
            </w:r>
            <w:bookmarkEnd w:id="1"/>
          </w:p>
          <w:p w:rsidR="00F90607" w:rsidRPr="00767C58" w:rsidRDefault="00F90607" w:rsidP="00A325A9"/>
        </w:tc>
      </w:tr>
    </w:tbl>
    <w:p w:rsidR="00A90419" w:rsidRPr="00847637" w:rsidRDefault="00A90419" w:rsidP="00A90419">
      <w:pPr>
        <w:spacing w:before="120"/>
        <w:rPr>
          <w:b/>
          <w:sz w:val="24"/>
          <w:szCs w:val="24"/>
        </w:rPr>
      </w:pPr>
      <w:r w:rsidRPr="00847637">
        <w:rPr>
          <w:b/>
          <w:sz w:val="24"/>
          <w:szCs w:val="24"/>
        </w:rPr>
        <w:t>Комитет против пыток</w:t>
      </w:r>
    </w:p>
    <w:p w:rsidR="00A90419" w:rsidRPr="007E7DD5" w:rsidRDefault="00A90419" w:rsidP="00A90419">
      <w:pPr>
        <w:pStyle w:val="HChGR"/>
      </w:pPr>
      <w:r w:rsidRPr="007E7DD5">
        <w:tab/>
      </w:r>
      <w:r w:rsidRPr="007E7DD5">
        <w:tab/>
        <w:t xml:space="preserve">Сообщение № 520/2012 </w:t>
      </w:r>
    </w:p>
    <w:p w:rsidR="00A90419" w:rsidRPr="00A90419" w:rsidRDefault="00A90419" w:rsidP="00A90419">
      <w:pPr>
        <w:pStyle w:val="H1GR"/>
      </w:pPr>
      <w:r w:rsidRPr="007E7DD5">
        <w:tab/>
      </w:r>
      <w:r w:rsidRPr="007E7DD5">
        <w:tab/>
        <w:t xml:space="preserve">Решение, принятое Комитетом на </w:t>
      </w:r>
      <w:r w:rsidR="004156D8">
        <w:t>его пятьдесят третьей сессии (3</w:t>
      </w:r>
      <w:r w:rsidR="004156D8" w:rsidRPr="004156D8">
        <w:t>−</w:t>
      </w:r>
      <w:r w:rsidRPr="007E7DD5">
        <w:t xml:space="preserve">28 ноября 2014 года) </w:t>
      </w:r>
    </w:p>
    <w:tbl>
      <w:tblPr>
        <w:tblW w:w="6805" w:type="dxa"/>
        <w:tblInd w:w="1701" w:type="dxa"/>
        <w:tblLayout w:type="fixed"/>
        <w:tblCellMar>
          <w:left w:w="0" w:type="dxa"/>
          <w:right w:w="0" w:type="dxa"/>
        </w:tblCellMar>
        <w:tblLook w:val="01E0" w:firstRow="1" w:lastRow="1" w:firstColumn="1" w:lastColumn="1" w:noHBand="0" w:noVBand="0"/>
      </w:tblPr>
      <w:tblGrid>
        <w:gridCol w:w="3073"/>
        <w:gridCol w:w="3732"/>
      </w:tblGrid>
      <w:tr w:rsidR="00A90419" w:rsidRPr="00847637"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Представлено:</w:t>
            </w:r>
          </w:p>
        </w:tc>
        <w:tc>
          <w:tcPr>
            <w:tcW w:w="3732" w:type="dxa"/>
            <w:shd w:val="clear" w:color="auto" w:fill="auto"/>
          </w:tcPr>
          <w:p w:rsidR="00A90419" w:rsidRPr="00081C33" w:rsidRDefault="00A90419" w:rsidP="004F36B8">
            <w:pPr>
              <w:suppressAutoHyphens/>
              <w:kinsoku w:val="0"/>
              <w:overflowPunct w:val="0"/>
              <w:autoSpaceDE w:val="0"/>
              <w:autoSpaceDN w:val="0"/>
              <w:adjustRightInd w:val="0"/>
              <w:snapToGrid w:val="0"/>
              <w:spacing w:after="120"/>
              <w:ind w:left="57"/>
              <w:rPr>
                <w:spacing w:val="0"/>
                <w:kern w:val="0"/>
              </w:rPr>
            </w:pPr>
            <w:r w:rsidRPr="00081C33">
              <w:rPr>
                <w:spacing w:val="0"/>
                <w:kern w:val="0"/>
              </w:rPr>
              <w:t>В.Г.Д. (адвокатом не представлена)</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Предполагаемая жертва:</w:t>
            </w:r>
          </w:p>
        </w:tc>
        <w:tc>
          <w:tcPr>
            <w:tcW w:w="3732" w:type="dxa"/>
            <w:shd w:val="clear" w:color="auto" w:fill="auto"/>
          </w:tcPr>
          <w:p w:rsidR="00A90419" w:rsidRPr="002A4112" w:rsidRDefault="00A90419" w:rsidP="004F36B8">
            <w:pPr>
              <w:suppressAutoHyphens/>
              <w:kinsoku w:val="0"/>
              <w:overflowPunct w:val="0"/>
              <w:autoSpaceDE w:val="0"/>
              <w:autoSpaceDN w:val="0"/>
              <w:adjustRightInd w:val="0"/>
              <w:snapToGrid w:val="0"/>
              <w:spacing w:after="120"/>
              <w:ind w:left="57"/>
              <w:rPr>
                <w:spacing w:val="0"/>
                <w:kern w:val="0"/>
              </w:rPr>
            </w:pPr>
            <w:r w:rsidRPr="002A4112">
              <w:rPr>
                <w:spacing w:val="0"/>
                <w:kern w:val="0"/>
              </w:rPr>
              <w:t>заявительница</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Государство-участник:</w:t>
            </w:r>
          </w:p>
        </w:tc>
        <w:tc>
          <w:tcPr>
            <w:tcW w:w="3732" w:type="dxa"/>
            <w:shd w:val="clear" w:color="auto" w:fill="auto"/>
          </w:tcPr>
          <w:p w:rsidR="00A90419" w:rsidRPr="002A4112" w:rsidRDefault="00A90419" w:rsidP="004F36B8">
            <w:pPr>
              <w:suppressAutoHyphens/>
              <w:kinsoku w:val="0"/>
              <w:overflowPunct w:val="0"/>
              <w:autoSpaceDE w:val="0"/>
              <w:autoSpaceDN w:val="0"/>
              <w:adjustRightInd w:val="0"/>
              <w:snapToGrid w:val="0"/>
              <w:spacing w:after="120"/>
              <w:ind w:left="57"/>
              <w:rPr>
                <w:spacing w:val="0"/>
                <w:kern w:val="0"/>
              </w:rPr>
            </w:pPr>
            <w:r w:rsidRPr="002A4112">
              <w:rPr>
                <w:spacing w:val="0"/>
                <w:kern w:val="0"/>
              </w:rPr>
              <w:t>Канада</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Дата жалобы:</w:t>
            </w:r>
          </w:p>
        </w:tc>
        <w:tc>
          <w:tcPr>
            <w:tcW w:w="3732" w:type="dxa"/>
            <w:shd w:val="clear" w:color="auto" w:fill="auto"/>
          </w:tcPr>
          <w:p w:rsidR="00A90419" w:rsidRPr="002A4112" w:rsidRDefault="00A90419" w:rsidP="004F36B8">
            <w:pPr>
              <w:suppressAutoHyphens/>
              <w:kinsoku w:val="0"/>
              <w:overflowPunct w:val="0"/>
              <w:autoSpaceDE w:val="0"/>
              <w:autoSpaceDN w:val="0"/>
              <w:adjustRightInd w:val="0"/>
              <w:snapToGrid w:val="0"/>
              <w:spacing w:after="120"/>
              <w:ind w:left="57"/>
              <w:rPr>
                <w:spacing w:val="0"/>
                <w:kern w:val="0"/>
              </w:rPr>
            </w:pPr>
            <w:r w:rsidRPr="002A4112">
              <w:rPr>
                <w:spacing w:val="0"/>
                <w:kern w:val="0"/>
              </w:rPr>
              <w:t>17 августа 2012 года (первоначальное представление)</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Дата настоящего решения:</w:t>
            </w:r>
          </w:p>
        </w:tc>
        <w:tc>
          <w:tcPr>
            <w:tcW w:w="3732" w:type="dxa"/>
            <w:shd w:val="clear" w:color="auto" w:fill="auto"/>
          </w:tcPr>
          <w:p w:rsidR="00A90419" w:rsidRPr="002A4112" w:rsidRDefault="00A90419" w:rsidP="004F36B8">
            <w:pPr>
              <w:suppressAutoHyphens/>
              <w:kinsoku w:val="0"/>
              <w:overflowPunct w:val="0"/>
              <w:autoSpaceDE w:val="0"/>
              <w:autoSpaceDN w:val="0"/>
              <w:adjustRightInd w:val="0"/>
              <w:snapToGrid w:val="0"/>
              <w:spacing w:after="120"/>
              <w:ind w:left="57"/>
              <w:rPr>
                <w:spacing w:val="0"/>
                <w:kern w:val="0"/>
              </w:rPr>
            </w:pPr>
            <w:r w:rsidRPr="002A4112">
              <w:rPr>
                <w:spacing w:val="0"/>
                <w:kern w:val="0"/>
              </w:rPr>
              <w:t>26 ноября 2014 года</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Тема сообщения:</w:t>
            </w:r>
            <w:r w:rsidRPr="00AA4A22">
              <w:rPr>
                <w:i/>
                <w:spacing w:val="4"/>
                <w:w w:val="103"/>
              </w:rPr>
              <w:tab/>
            </w:r>
          </w:p>
        </w:tc>
        <w:tc>
          <w:tcPr>
            <w:tcW w:w="3732" w:type="dxa"/>
            <w:shd w:val="clear" w:color="auto" w:fill="auto"/>
          </w:tcPr>
          <w:p w:rsidR="00A90419" w:rsidRPr="002A4112" w:rsidRDefault="00A90419" w:rsidP="004F36B8">
            <w:pPr>
              <w:suppressAutoHyphens/>
              <w:kinsoku w:val="0"/>
              <w:overflowPunct w:val="0"/>
              <w:autoSpaceDE w:val="0"/>
              <w:autoSpaceDN w:val="0"/>
              <w:adjustRightInd w:val="0"/>
              <w:snapToGrid w:val="0"/>
              <w:spacing w:after="120"/>
              <w:ind w:left="57"/>
              <w:rPr>
                <w:spacing w:val="0"/>
                <w:kern w:val="0"/>
              </w:rPr>
            </w:pPr>
            <w:r w:rsidRPr="002A4112">
              <w:rPr>
                <w:spacing w:val="0"/>
                <w:kern w:val="0"/>
              </w:rPr>
              <w:t>высылка в Эфиопию</w:t>
            </w:r>
          </w:p>
        </w:tc>
      </w:tr>
      <w:tr w:rsidR="00A90419" w:rsidRPr="00847637"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Процедурные вопросы:</w:t>
            </w:r>
          </w:p>
        </w:tc>
        <w:tc>
          <w:tcPr>
            <w:tcW w:w="3732" w:type="dxa"/>
            <w:shd w:val="clear" w:color="auto" w:fill="auto"/>
          </w:tcPr>
          <w:p w:rsidR="00A90419" w:rsidRPr="00A90419" w:rsidRDefault="00A90419" w:rsidP="003F27FE">
            <w:pPr>
              <w:suppressAutoHyphens/>
              <w:kinsoku w:val="0"/>
              <w:overflowPunct w:val="0"/>
              <w:autoSpaceDE w:val="0"/>
              <w:autoSpaceDN w:val="0"/>
              <w:adjustRightInd w:val="0"/>
              <w:snapToGrid w:val="0"/>
              <w:spacing w:after="120"/>
              <w:ind w:left="57"/>
              <w:rPr>
                <w:spacing w:val="0"/>
                <w:kern w:val="0"/>
              </w:rPr>
            </w:pPr>
            <w:r w:rsidRPr="00A90419">
              <w:rPr>
                <w:spacing w:val="0"/>
                <w:kern w:val="0"/>
              </w:rPr>
              <w:t>исчерпание внутренних средств правовой защиты</w:t>
            </w:r>
            <w:r w:rsidR="003F27FE">
              <w:rPr>
                <w:spacing w:val="0"/>
                <w:kern w:val="0"/>
              </w:rPr>
              <w:t>,</w:t>
            </w:r>
            <w:r w:rsidRPr="00A90419">
              <w:rPr>
                <w:spacing w:val="0"/>
                <w:kern w:val="0"/>
              </w:rPr>
              <w:t xml:space="preserve"> недостаточная обоснованность жалобы; требование явно не обосновано</w:t>
            </w:r>
          </w:p>
        </w:tc>
      </w:tr>
      <w:tr w:rsidR="00A90419" w:rsidRPr="00847637"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Вопросы существа:</w:t>
            </w:r>
          </w:p>
        </w:tc>
        <w:tc>
          <w:tcPr>
            <w:tcW w:w="3732" w:type="dxa"/>
            <w:shd w:val="clear" w:color="auto" w:fill="auto"/>
          </w:tcPr>
          <w:p w:rsidR="00A90419" w:rsidRPr="00A90419" w:rsidRDefault="00A90419" w:rsidP="002A4112">
            <w:pPr>
              <w:suppressAutoHyphens/>
              <w:kinsoku w:val="0"/>
              <w:overflowPunct w:val="0"/>
              <w:autoSpaceDE w:val="0"/>
              <w:autoSpaceDN w:val="0"/>
              <w:adjustRightInd w:val="0"/>
              <w:snapToGrid w:val="0"/>
              <w:spacing w:after="120"/>
              <w:ind w:left="57"/>
              <w:rPr>
                <w:spacing w:val="0"/>
                <w:kern w:val="0"/>
              </w:rPr>
            </w:pPr>
            <w:r w:rsidRPr="00A90419">
              <w:rPr>
                <w:spacing w:val="0"/>
                <w:kern w:val="0"/>
              </w:rPr>
              <w:t>угроза применения пыток после возвращения в страну происхождения</w:t>
            </w:r>
          </w:p>
        </w:tc>
      </w:tr>
      <w:tr w:rsidR="00A90419" w:rsidTr="00EA5D62">
        <w:tc>
          <w:tcPr>
            <w:tcW w:w="3073"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Статьи Конвенции:</w:t>
            </w:r>
          </w:p>
        </w:tc>
        <w:tc>
          <w:tcPr>
            <w:tcW w:w="3732" w:type="dxa"/>
            <w:shd w:val="clear" w:color="auto" w:fill="auto"/>
          </w:tcPr>
          <w:p w:rsidR="00A90419" w:rsidRPr="004156D8" w:rsidRDefault="00A90419" w:rsidP="004F36B8">
            <w:pPr>
              <w:suppressAutoHyphens/>
              <w:kinsoku w:val="0"/>
              <w:overflowPunct w:val="0"/>
              <w:autoSpaceDE w:val="0"/>
              <w:autoSpaceDN w:val="0"/>
              <w:adjustRightInd w:val="0"/>
              <w:snapToGrid w:val="0"/>
              <w:spacing w:after="120"/>
              <w:ind w:left="57"/>
              <w:rPr>
                <w:spacing w:val="0"/>
                <w:kern w:val="0"/>
              </w:rPr>
            </w:pPr>
            <w:r w:rsidRPr="004156D8">
              <w:rPr>
                <w:spacing w:val="0"/>
                <w:kern w:val="0"/>
              </w:rPr>
              <w:t>3</w:t>
            </w:r>
          </w:p>
        </w:tc>
      </w:tr>
    </w:tbl>
    <w:p w:rsidR="00A90419" w:rsidRPr="007E7DD5" w:rsidRDefault="00A90419" w:rsidP="00A90419">
      <w:pPr>
        <w:pStyle w:val="HChGR"/>
      </w:pPr>
      <w:r>
        <w:br w:type="page"/>
      </w:r>
      <w:r w:rsidRPr="007E7DD5">
        <w:lastRenderedPageBreak/>
        <w:t>Приложение</w:t>
      </w:r>
    </w:p>
    <w:p w:rsidR="00A90419" w:rsidRPr="007E7DD5" w:rsidRDefault="00A90419" w:rsidP="00A90419">
      <w:pPr>
        <w:pStyle w:val="HChGR"/>
      </w:pPr>
      <w:r w:rsidRPr="007E7DD5">
        <w:tab/>
      </w:r>
      <w:r w:rsidRPr="007E7DD5">
        <w:tab/>
        <w:t>Решение Комитета</w:t>
      </w:r>
      <w:r w:rsidR="002752EE">
        <w:t xml:space="preserve"> против пыток в соответствии со</w:t>
      </w:r>
      <w:r w:rsidR="002752EE">
        <w:rPr>
          <w:lang w:val="en-US"/>
        </w:rPr>
        <w:t> </w:t>
      </w:r>
      <w:r w:rsidRPr="007E7DD5">
        <w:t xml:space="preserve">статьей 22 Конвенции против пыток и других жестоких, бесчеловечных или унижающих достоинство видов обращения и наказания </w:t>
      </w:r>
      <w:r w:rsidR="002752EE" w:rsidRPr="002752EE">
        <w:br/>
      </w:r>
      <w:r w:rsidRPr="007E7DD5">
        <w:t xml:space="preserve">(пятьдесят третья сессия) </w:t>
      </w:r>
    </w:p>
    <w:p w:rsidR="00A90419" w:rsidRPr="007E7DD5" w:rsidRDefault="00A90419" w:rsidP="00A90419">
      <w:pPr>
        <w:pStyle w:val="SingleTxtGR"/>
      </w:pPr>
      <w:r w:rsidRPr="007E7DD5">
        <w:t>относительно</w:t>
      </w:r>
    </w:p>
    <w:p w:rsidR="00A90419" w:rsidRDefault="00A90419" w:rsidP="00A90419">
      <w:pPr>
        <w:pStyle w:val="H1GR"/>
      </w:pPr>
      <w:r w:rsidRPr="007E7DD5">
        <w:tab/>
      </w:r>
      <w:r w:rsidRPr="007E7DD5">
        <w:tab/>
        <w:t xml:space="preserve">Cообщения № 520/2012 </w:t>
      </w:r>
    </w:p>
    <w:tbl>
      <w:tblPr>
        <w:tblW w:w="6805" w:type="dxa"/>
        <w:tblInd w:w="1701" w:type="dxa"/>
        <w:tblLayout w:type="fixed"/>
        <w:tblCellMar>
          <w:left w:w="0" w:type="dxa"/>
          <w:right w:w="0" w:type="dxa"/>
        </w:tblCellMar>
        <w:tblLook w:val="01E0" w:firstRow="1" w:lastRow="1" w:firstColumn="1" w:lastColumn="1" w:noHBand="0" w:noVBand="0"/>
      </w:tblPr>
      <w:tblGrid>
        <w:gridCol w:w="3017"/>
        <w:gridCol w:w="3788"/>
      </w:tblGrid>
      <w:tr w:rsidR="00A90419" w:rsidRPr="00081C33" w:rsidTr="00EA5D62">
        <w:tc>
          <w:tcPr>
            <w:tcW w:w="3017"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Представлено:</w:t>
            </w:r>
          </w:p>
        </w:tc>
        <w:tc>
          <w:tcPr>
            <w:tcW w:w="3788" w:type="dxa"/>
            <w:shd w:val="clear" w:color="auto" w:fill="auto"/>
          </w:tcPr>
          <w:p w:rsidR="00A90419" w:rsidRPr="00081C33" w:rsidRDefault="00A90419" w:rsidP="004F36B8">
            <w:pPr>
              <w:suppressAutoHyphens/>
              <w:kinsoku w:val="0"/>
              <w:overflowPunct w:val="0"/>
              <w:autoSpaceDE w:val="0"/>
              <w:autoSpaceDN w:val="0"/>
              <w:adjustRightInd w:val="0"/>
              <w:snapToGrid w:val="0"/>
              <w:spacing w:after="120"/>
              <w:ind w:left="57"/>
              <w:rPr>
                <w:spacing w:val="0"/>
                <w:kern w:val="0"/>
              </w:rPr>
            </w:pPr>
            <w:r w:rsidRPr="007E7DD5">
              <w:t>В.Г.Д. (адвокатом не представлена)</w:t>
            </w:r>
          </w:p>
        </w:tc>
      </w:tr>
      <w:tr w:rsidR="00A90419" w:rsidRPr="00081C33" w:rsidTr="00EA5D62">
        <w:tc>
          <w:tcPr>
            <w:tcW w:w="3017"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Предполагаемая жертва:</w:t>
            </w:r>
          </w:p>
        </w:tc>
        <w:tc>
          <w:tcPr>
            <w:tcW w:w="3788" w:type="dxa"/>
            <w:shd w:val="clear" w:color="auto" w:fill="auto"/>
          </w:tcPr>
          <w:p w:rsidR="00A90419" w:rsidRPr="00081C33" w:rsidRDefault="00A90419" w:rsidP="004F36B8">
            <w:pPr>
              <w:suppressAutoHyphens/>
              <w:kinsoku w:val="0"/>
              <w:overflowPunct w:val="0"/>
              <w:autoSpaceDE w:val="0"/>
              <w:autoSpaceDN w:val="0"/>
              <w:adjustRightInd w:val="0"/>
              <w:snapToGrid w:val="0"/>
              <w:spacing w:after="120"/>
              <w:ind w:left="57"/>
              <w:rPr>
                <w:spacing w:val="0"/>
                <w:kern w:val="0"/>
              </w:rPr>
            </w:pPr>
            <w:r w:rsidRPr="007E7DD5">
              <w:t>заявительница</w:t>
            </w:r>
          </w:p>
        </w:tc>
      </w:tr>
      <w:tr w:rsidR="00A90419" w:rsidRPr="00081C33" w:rsidTr="00EA5D62">
        <w:tc>
          <w:tcPr>
            <w:tcW w:w="3017"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Государство-участник:</w:t>
            </w:r>
          </w:p>
        </w:tc>
        <w:tc>
          <w:tcPr>
            <w:tcW w:w="3788" w:type="dxa"/>
            <w:shd w:val="clear" w:color="auto" w:fill="auto"/>
          </w:tcPr>
          <w:p w:rsidR="00A90419" w:rsidRPr="00081C33" w:rsidRDefault="00A90419" w:rsidP="004F36B8">
            <w:pPr>
              <w:suppressAutoHyphens/>
              <w:kinsoku w:val="0"/>
              <w:overflowPunct w:val="0"/>
              <w:autoSpaceDE w:val="0"/>
              <w:autoSpaceDN w:val="0"/>
              <w:adjustRightInd w:val="0"/>
              <w:snapToGrid w:val="0"/>
              <w:spacing w:after="120"/>
              <w:ind w:left="57"/>
              <w:rPr>
                <w:spacing w:val="0"/>
                <w:kern w:val="0"/>
              </w:rPr>
            </w:pPr>
            <w:r w:rsidRPr="007E7DD5">
              <w:t>Канада</w:t>
            </w:r>
          </w:p>
        </w:tc>
      </w:tr>
      <w:tr w:rsidR="00A90419" w:rsidRPr="00081C33" w:rsidTr="00EA5D62">
        <w:tc>
          <w:tcPr>
            <w:tcW w:w="3017" w:type="dxa"/>
            <w:shd w:val="clear" w:color="auto" w:fill="auto"/>
          </w:tcPr>
          <w:p w:rsidR="00A90419" w:rsidRPr="00AA4A22" w:rsidRDefault="00A90419" w:rsidP="004F36B8">
            <w:pPr>
              <w:pStyle w:val="SingleTxtG"/>
              <w:ind w:left="57" w:right="0"/>
              <w:jc w:val="left"/>
              <w:rPr>
                <w:i/>
                <w:spacing w:val="4"/>
                <w:w w:val="103"/>
              </w:rPr>
            </w:pPr>
            <w:r w:rsidRPr="00AA4A22">
              <w:rPr>
                <w:i/>
                <w:spacing w:val="4"/>
                <w:w w:val="103"/>
              </w:rPr>
              <w:t>Дата жалобы:</w:t>
            </w:r>
          </w:p>
        </w:tc>
        <w:tc>
          <w:tcPr>
            <w:tcW w:w="3788" w:type="dxa"/>
            <w:shd w:val="clear" w:color="auto" w:fill="auto"/>
          </w:tcPr>
          <w:p w:rsidR="00A90419" w:rsidRPr="00081C33" w:rsidRDefault="00A90419" w:rsidP="004F36B8">
            <w:pPr>
              <w:suppressAutoHyphens/>
              <w:kinsoku w:val="0"/>
              <w:overflowPunct w:val="0"/>
              <w:autoSpaceDE w:val="0"/>
              <w:autoSpaceDN w:val="0"/>
              <w:adjustRightInd w:val="0"/>
              <w:snapToGrid w:val="0"/>
              <w:spacing w:after="120"/>
              <w:ind w:left="57"/>
              <w:rPr>
                <w:spacing w:val="0"/>
                <w:kern w:val="0"/>
              </w:rPr>
            </w:pPr>
            <w:r w:rsidRPr="007E7DD5">
              <w:t>17 августа 2012 года (первоначальное представление)</w:t>
            </w:r>
          </w:p>
        </w:tc>
      </w:tr>
    </w:tbl>
    <w:p w:rsidR="00A90419" w:rsidRPr="007E7DD5" w:rsidRDefault="00A90419" w:rsidP="00B81A96">
      <w:pPr>
        <w:pStyle w:val="SingleTxtGR"/>
        <w:tabs>
          <w:tab w:val="left" w:pos="142"/>
        </w:tabs>
        <w:spacing w:before="120"/>
      </w:pPr>
      <w:r w:rsidRPr="007E7DD5">
        <w:tab/>
      </w:r>
      <w:r w:rsidRPr="00AA4A22">
        <w:rPr>
          <w:i/>
        </w:rPr>
        <w:t>Комитет против пыток</w:t>
      </w:r>
      <w:r w:rsidRPr="007E7DD5">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A90419" w:rsidRPr="007E7DD5" w:rsidRDefault="00A90419" w:rsidP="00A90419">
      <w:pPr>
        <w:pStyle w:val="SingleTxtGR"/>
      </w:pPr>
      <w:r w:rsidRPr="007E7DD5">
        <w:tab/>
      </w:r>
      <w:r w:rsidRPr="00AA4A22">
        <w:rPr>
          <w:i/>
        </w:rPr>
        <w:t>на своем заседании</w:t>
      </w:r>
      <w:r w:rsidRPr="007E7DD5">
        <w:t xml:space="preserve"> 26 ноября 2014 года,</w:t>
      </w:r>
    </w:p>
    <w:p w:rsidR="00A90419" w:rsidRPr="007E7DD5" w:rsidRDefault="00A90419" w:rsidP="00A90419">
      <w:pPr>
        <w:pStyle w:val="SingleTxtGR"/>
      </w:pPr>
      <w:r w:rsidRPr="007E7DD5">
        <w:tab/>
      </w:r>
      <w:r w:rsidRPr="00AA4A22">
        <w:rPr>
          <w:i/>
        </w:rPr>
        <w:t>завершив</w:t>
      </w:r>
      <w:r w:rsidRPr="007E7DD5">
        <w:t xml:space="preserve"> </w:t>
      </w:r>
      <w:r w:rsidRPr="00AA4A22">
        <w:rPr>
          <w:i/>
        </w:rPr>
        <w:t>рассмотрение</w:t>
      </w:r>
      <w:r w:rsidRPr="007E7DD5">
        <w:t xml:space="preserve"> сообщения № 520/2012, представленного Ком</w:t>
      </w:r>
      <w:r w:rsidRPr="007E7DD5">
        <w:t>и</w:t>
      </w:r>
      <w:r w:rsidRPr="007E7DD5">
        <w:t>тету против пыток г-жой В.Г.Д. в соответствии со статьей 22 Конвенции против пыток и других жестоких, бесчеловечных или унижающих достоинство видов обращения и наказания,</w:t>
      </w:r>
    </w:p>
    <w:p w:rsidR="00A90419" w:rsidRPr="007E7DD5" w:rsidRDefault="00A90419" w:rsidP="00A90419">
      <w:pPr>
        <w:pStyle w:val="SingleTxtGR"/>
      </w:pPr>
      <w:r w:rsidRPr="007E7DD5">
        <w:tab/>
      </w:r>
      <w:r w:rsidRPr="00AA4A22">
        <w:rPr>
          <w:i/>
        </w:rPr>
        <w:t>приняв во внимание</w:t>
      </w:r>
      <w:r w:rsidRPr="007E7DD5">
        <w:t xml:space="preserve"> всю информацию, представленную ему заявительн</w:t>
      </w:r>
      <w:r w:rsidRPr="007E7DD5">
        <w:t>и</w:t>
      </w:r>
      <w:r w:rsidRPr="007E7DD5">
        <w:t>цей, ее адвокатом и государством-участником,</w:t>
      </w:r>
    </w:p>
    <w:p w:rsidR="00A90419" w:rsidRPr="007E7DD5" w:rsidRDefault="00A90419" w:rsidP="00A90419">
      <w:pPr>
        <w:pStyle w:val="SingleTxtGR"/>
      </w:pPr>
      <w:r w:rsidRPr="007E7DD5">
        <w:tab/>
      </w:r>
      <w:r w:rsidRPr="00AA4A22">
        <w:rPr>
          <w:i/>
        </w:rPr>
        <w:t>принимает</w:t>
      </w:r>
      <w:r w:rsidRPr="007E7DD5">
        <w:t xml:space="preserve"> следующее: </w:t>
      </w:r>
    </w:p>
    <w:p w:rsidR="00A90419" w:rsidRPr="007E7DD5" w:rsidRDefault="00A90419" w:rsidP="00A90419">
      <w:pPr>
        <w:pStyle w:val="H1GR"/>
      </w:pPr>
      <w:r w:rsidRPr="007E7DD5">
        <w:tab/>
      </w:r>
      <w:r w:rsidRPr="007E7DD5">
        <w:tab/>
        <w:t xml:space="preserve">Решение в соответствии с пунктом 7 статьи 22 Конвенции против пыток </w:t>
      </w:r>
    </w:p>
    <w:p w:rsidR="00A90419" w:rsidRPr="007E7DD5" w:rsidRDefault="00A90419" w:rsidP="00A90419">
      <w:pPr>
        <w:pStyle w:val="SingleTxtGR"/>
      </w:pPr>
      <w:r w:rsidRPr="007E7DD5">
        <w:t>1.1</w:t>
      </w:r>
      <w:r w:rsidRPr="007E7DD5">
        <w:tab/>
        <w:t>Заявительницей является г-жа В.Г.Д., гражданка Эфиопии, ро</w:t>
      </w:r>
      <w:r w:rsidR="003F27FE">
        <w:t>дившаяся 5 </w:t>
      </w:r>
      <w:r w:rsidRPr="007E7DD5">
        <w:t>сентября 1955 года. Она утверждает, что ее высылка в Эфиопию станет нар</w:t>
      </w:r>
      <w:r w:rsidRPr="007E7DD5">
        <w:t>у</w:t>
      </w:r>
      <w:r w:rsidRPr="007E7DD5">
        <w:t>шением Канадой статьи 3 Конвенции против пыток и других жестоких, бесч</w:t>
      </w:r>
      <w:r w:rsidRPr="007E7DD5">
        <w:t>е</w:t>
      </w:r>
      <w:r w:rsidRPr="007E7DD5">
        <w:t>ловечных или унижающих достоинство видов обращения и наказания. Она не представлена адвокатом.</w:t>
      </w:r>
    </w:p>
    <w:p w:rsidR="00A90419" w:rsidRPr="007E7DD5" w:rsidRDefault="003F27FE" w:rsidP="00A90419">
      <w:pPr>
        <w:pStyle w:val="SingleTxtGR"/>
      </w:pPr>
      <w:r>
        <w:t>1.2</w:t>
      </w:r>
      <w:r>
        <w:tab/>
      </w:r>
      <w:r w:rsidR="00A90419" w:rsidRPr="007E7DD5">
        <w:t>Согласно пункту 1 правила 114 своих правил процедуры Комитет 14 се</w:t>
      </w:r>
      <w:r w:rsidR="00A90419" w:rsidRPr="007E7DD5">
        <w:t>н</w:t>
      </w:r>
      <w:r w:rsidR="00A90419" w:rsidRPr="007E7DD5">
        <w:t>тября 2012 года обратился к государству-участнику с просьбой не высылать з</w:t>
      </w:r>
      <w:r w:rsidR="00A90419" w:rsidRPr="007E7DD5">
        <w:t>а</w:t>
      </w:r>
      <w:r w:rsidR="00A90419" w:rsidRPr="007E7DD5">
        <w:t xml:space="preserve">явительницу в Эфиопию, пока ее жалоба будет находиться на рассмотрении </w:t>
      </w:r>
      <w:r w:rsidR="00CB5692">
        <w:t>в </w:t>
      </w:r>
      <w:r w:rsidR="00A90419" w:rsidRPr="007E7DD5">
        <w:t>Комитет</w:t>
      </w:r>
      <w:r>
        <w:t>е</w:t>
      </w:r>
      <w:r w:rsidR="00A90419" w:rsidRPr="007E7DD5">
        <w:t>. Государство-участник согласилось временно воздерж</w:t>
      </w:r>
      <w:r>
        <w:t>а</w:t>
      </w:r>
      <w:r w:rsidR="00A90419" w:rsidRPr="007E7DD5">
        <w:t>ться от д</w:t>
      </w:r>
      <w:r w:rsidR="00A90419" w:rsidRPr="007E7DD5">
        <w:t>е</w:t>
      </w:r>
      <w:r w:rsidR="00A90419" w:rsidRPr="007E7DD5">
        <w:t>портации заявительницы. 30 мая 2013 года Комитет отклонил просьбу госуда</w:t>
      </w:r>
      <w:r w:rsidR="00A90419" w:rsidRPr="007E7DD5">
        <w:t>р</w:t>
      </w:r>
      <w:r w:rsidR="00A90419" w:rsidRPr="007E7DD5">
        <w:t>ства-участника снять просьбу о принятии временных мер защиты.</w:t>
      </w:r>
    </w:p>
    <w:p w:rsidR="00A90419" w:rsidRPr="007E7DD5" w:rsidRDefault="00A90419" w:rsidP="00A90419">
      <w:pPr>
        <w:pStyle w:val="H23GR"/>
      </w:pPr>
      <w:r w:rsidRPr="007E7DD5">
        <w:lastRenderedPageBreak/>
        <w:tab/>
      </w:r>
      <w:r w:rsidRPr="007E7DD5">
        <w:tab/>
        <w:t>Обстоятельства дела</w:t>
      </w:r>
    </w:p>
    <w:p w:rsidR="00A90419" w:rsidRPr="007E7DD5" w:rsidRDefault="00A90419" w:rsidP="00A90419">
      <w:pPr>
        <w:pStyle w:val="SingleTxtGR"/>
      </w:pPr>
      <w:r w:rsidRPr="007E7DD5">
        <w:t>2.1</w:t>
      </w:r>
      <w:r w:rsidRPr="007E7DD5">
        <w:tab/>
        <w:t>Заявительница приехала в Канаду 16 марта 2008 года и 2 июня 2009 года подала ходатайство о предоставлении ей статуса беженца. Ее ходатайство</w:t>
      </w:r>
      <w:r w:rsidR="003F27FE">
        <w:t xml:space="preserve"> о предоставлении</w:t>
      </w:r>
      <w:r w:rsidRPr="007E7DD5">
        <w:t xml:space="preserve"> статуса беженца было отклонено 25 января 2011 года, а ее п</w:t>
      </w:r>
      <w:r w:rsidRPr="007E7DD5">
        <w:t>о</w:t>
      </w:r>
      <w:r w:rsidRPr="007E7DD5">
        <w:t xml:space="preserve">следующая апелляция в Федеральный суд также </w:t>
      </w:r>
      <w:r w:rsidR="003F27FE">
        <w:t>была оставлена без удовлетв</w:t>
      </w:r>
      <w:r w:rsidR="003F27FE">
        <w:t>о</w:t>
      </w:r>
      <w:r w:rsidR="003F27FE">
        <w:t>рения</w:t>
      </w:r>
      <w:r w:rsidRPr="007E7DD5">
        <w:t xml:space="preserve"> 1 июня 2011 года. Она подала ходатайство об оценке рисков до высылки (ОРДВ) 30 сентября 2011 года, однако ее ходатайство об ОРДВ было отклонено 1 июня 2012 года. Заявительница не могла позволить себе подать ходатайство о предоставлении разрешения на подачу просьбы о судебном пересмотре, а также утверждает, что в любом случае такое ходатайство не прекратило бы ее депо</w:t>
      </w:r>
      <w:r w:rsidRPr="007E7DD5">
        <w:t>р</w:t>
      </w:r>
      <w:r w:rsidRPr="007E7DD5">
        <w:t>тации. Она отмечает</w:t>
      </w:r>
      <w:r w:rsidR="003F27FE" w:rsidRPr="003F27FE">
        <w:t xml:space="preserve"> </w:t>
      </w:r>
      <w:r w:rsidR="003F27FE" w:rsidRPr="007E7DD5">
        <w:t>также</w:t>
      </w:r>
      <w:r w:rsidRPr="007E7DD5">
        <w:t>, что более 80</w:t>
      </w:r>
      <w:r w:rsidR="007251A1">
        <w:t>%</w:t>
      </w:r>
      <w:r w:rsidRPr="007E7DD5">
        <w:t xml:space="preserve"> всех ходатайств о предоставлении разрешения даже не слушаются в Федеральном суде и отклоняются без пров</w:t>
      </w:r>
      <w:r w:rsidRPr="007E7DD5">
        <w:t>е</w:t>
      </w:r>
      <w:r w:rsidRPr="007E7DD5">
        <w:t xml:space="preserve">дения слушания. 13 августа 2012 года заявительница была </w:t>
      </w:r>
      <w:r w:rsidR="003F27FE">
        <w:t>уведомлена</w:t>
      </w:r>
      <w:r w:rsidRPr="007E7DD5">
        <w:t xml:space="preserve"> сотру</w:t>
      </w:r>
      <w:r w:rsidRPr="007E7DD5">
        <w:t>д</w:t>
      </w:r>
      <w:r w:rsidRPr="007E7DD5">
        <w:t xml:space="preserve">ником </w:t>
      </w:r>
      <w:r w:rsidR="003F27FE" w:rsidRPr="007E7DD5">
        <w:t>А</w:t>
      </w:r>
      <w:r w:rsidRPr="007E7DD5">
        <w:t>гентства пограничной службы Канады о том, что она будет депортир</w:t>
      </w:r>
      <w:r w:rsidRPr="007E7DD5">
        <w:t>о</w:t>
      </w:r>
      <w:r w:rsidRPr="007E7DD5">
        <w:t>вана в Эфиопию в течение следующих 90 дней.</w:t>
      </w:r>
    </w:p>
    <w:p w:rsidR="00A90419" w:rsidRPr="007E7DD5" w:rsidRDefault="00A90419" w:rsidP="00A90419">
      <w:pPr>
        <w:pStyle w:val="SingleTxtGR"/>
      </w:pPr>
      <w:r w:rsidRPr="007E7DD5">
        <w:t>2.2</w:t>
      </w:r>
      <w:r w:rsidRPr="007E7DD5">
        <w:tab/>
        <w:t>Заявительница принадлежит к этнической группе оромо и все свою взрослую жизнь была домохозяйкой без какой-либо политической принадле</w:t>
      </w:r>
      <w:r w:rsidRPr="007E7DD5">
        <w:t>ж</w:t>
      </w:r>
      <w:r w:rsidRPr="007E7DD5">
        <w:t>ности. Она заявляет о том, что исторически народ оромо подвергался угнет</w:t>
      </w:r>
      <w:r w:rsidRPr="007E7DD5">
        <w:t>е</w:t>
      </w:r>
      <w:r w:rsidRPr="007E7DD5">
        <w:t>нию и дискриминации со стороны правительства Эфиопии. Когда правител</w:t>
      </w:r>
      <w:r w:rsidRPr="007E7DD5">
        <w:t>ь</w:t>
      </w:r>
      <w:r w:rsidRPr="007E7DD5">
        <w:t xml:space="preserve">ство объявило о том, что в 2005 году будут проведены </w:t>
      </w:r>
      <w:r w:rsidR="00C46127">
        <w:t>обще</w:t>
      </w:r>
      <w:r w:rsidRPr="007E7DD5">
        <w:t>национальные в</w:t>
      </w:r>
      <w:r w:rsidRPr="007E7DD5">
        <w:t>ы</w:t>
      </w:r>
      <w:r w:rsidRPr="007E7DD5">
        <w:t>боры, муж заявительницы стал активистом оппозиционной партии Объедине</w:t>
      </w:r>
      <w:r w:rsidRPr="007E7DD5">
        <w:t>н</w:t>
      </w:r>
      <w:r w:rsidRPr="007E7DD5">
        <w:t>ный фронт. Он призывал население голосовать, а также открыто и мирно в</w:t>
      </w:r>
      <w:r w:rsidRPr="007E7DD5">
        <w:t>ы</w:t>
      </w:r>
      <w:r w:rsidRPr="007E7DD5">
        <w:t>ступал в поддержку кандидата от оппозиционной партии в своем избирател</w:t>
      </w:r>
      <w:r w:rsidRPr="007E7DD5">
        <w:t>ь</w:t>
      </w:r>
      <w:r w:rsidRPr="007E7DD5">
        <w:t>ном округе. По мере постепенного опубликования результатов выборов 15 мая 2005 года стало ясно, что правящая партия Революционно-демократический фронт эфиопского народа (РДФЭН) проигрывала выборы. В связи с этим прав</w:t>
      </w:r>
      <w:r w:rsidRPr="007E7DD5">
        <w:t>и</w:t>
      </w:r>
      <w:r w:rsidRPr="007E7DD5">
        <w:t>тельство начало применять жесткие меры в отношении оппозиции, и многие из ее сторонников были арестованы. Многие этнические оромо, которые оказали поддержку оппозиции, были ложно обвинены в том, что они являются сторо</w:t>
      </w:r>
      <w:r w:rsidRPr="007E7DD5">
        <w:t>н</w:t>
      </w:r>
      <w:r w:rsidRPr="007E7DD5">
        <w:t>никами Фронта освобождения Оромо (ФОО), запрещенной организации.</w:t>
      </w:r>
    </w:p>
    <w:p w:rsidR="00A90419" w:rsidRPr="007E7DD5" w:rsidRDefault="00A90419" w:rsidP="00A90419">
      <w:pPr>
        <w:pStyle w:val="SingleTxtGR"/>
      </w:pPr>
      <w:r w:rsidRPr="007E7DD5">
        <w:t>2.3</w:t>
      </w:r>
      <w:r w:rsidRPr="007E7DD5">
        <w:tab/>
        <w:t>Муж заявительницы 8 июня 2005 года был арестован и помещен под стражу на один месяц. Их дом неоднократно подвергался обыскам, а когда з</w:t>
      </w:r>
      <w:r w:rsidRPr="007E7DD5">
        <w:t>а</w:t>
      </w:r>
      <w:r w:rsidRPr="007E7DD5">
        <w:t>явительница посещала своего мужа в местах содержания под стражей, она по</w:t>
      </w:r>
      <w:r w:rsidRPr="007E7DD5">
        <w:t>д</w:t>
      </w:r>
      <w:r w:rsidRPr="007E7DD5">
        <w:t>вергалась запугиванию. В 2006 году заявительница сдала принадлежащий ей дом, расположенный рядом с ее домом, двум молодым студентам. В неуказа</w:t>
      </w:r>
      <w:r w:rsidRPr="007E7DD5">
        <w:t>н</w:t>
      </w:r>
      <w:r w:rsidRPr="007E7DD5">
        <w:t xml:space="preserve">ный день они исчезли, а в дом заявительницы пришли полицейские и сообщили ей о том, что они (студенты) присоединились к ФОО. Полиция безопасности обвинила заявительницу и ее мужа в укрывательстве сторонников ФОО, и они были арестованы. Заявительница содержалась под стражей в течение семи дней и </w:t>
      </w:r>
      <w:r w:rsidR="00C46127">
        <w:t xml:space="preserve">была </w:t>
      </w:r>
      <w:r w:rsidRPr="007E7DD5">
        <w:t>освобождена в связи с плохим состоянием здоровья. Ее муж содержался под стражей в течение двух недель. На протяжении всего этого времени их н</w:t>
      </w:r>
      <w:r w:rsidRPr="007E7DD5">
        <w:t>е</w:t>
      </w:r>
      <w:r w:rsidRPr="007E7DD5">
        <w:t>сколько раз допрашивали.</w:t>
      </w:r>
    </w:p>
    <w:p w:rsidR="00A90419" w:rsidRPr="007E7DD5" w:rsidRDefault="00A90419" w:rsidP="00A90419">
      <w:pPr>
        <w:pStyle w:val="SingleTxtGR"/>
      </w:pPr>
      <w:r w:rsidRPr="007E7DD5">
        <w:t>2.4</w:t>
      </w:r>
      <w:r w:rsidRPr="007E7DD5">
        <w:tab/>
        <w:t>Заявительница была подавлена этими событиями и решила посетить свою дочь, которая проживала в Канаде. После длительного процесса рассмо</w:t>
      </w:r>
      <w:r w:rsidRPr="007E7DD5">
        <w:t>т</w:t>
      </w:r>
      <w:r w:rsidRPr="007E7DD5">
        <w:t>рения ее заявки ей было разрешено покинуть страну, и она прибыла в Канаду 16 марта 2008 года. После ее прибытия ее брат позвонил ей и сообщил, что ее мужа неоднократно вызывали в полицейский участок и спрашивали о ее мест</w:t>
      </w:r>
      <w:r w:rsidRPr="007E7DD5">
        <w:t>о</w:t>
      </w:r>
      <w:r w:rsidRPr="007E7DD5">
        <w:t xml:space="preserve">нахождении и о том, встречается ли она за границей со сторонниками ФОО. Ее брат сказал ей, что власти выразили сожаление по поводу того, что ей было позволено уехать, и </w:t>
      </w:r>
      <w:r w:rsidR="007941F7">
        <w:t>заявили</w:t>
      </w:r>
      <w:r w:rsidR="00C46127">
        <w:t xml:space="preserve">, </w:t>
      </w:r>
      <w:r w:rsidRPr="007E7DD5">
        <w:t>что</w:t>
      </w:r>
      <w:r w:rsidR="00C46127">
        <w:t>,</w:t>
      </w:r>
      <w:r w:rsidRPr="007E7DD5">
        <w:t xml:space="preserve"> если она ве</w:t>
      </w:r>
      <w:r w:rsidR="007251A1">
        <w:t>рнется, она будет арестована. В </w:t>
      </w:r>
      <w:r w:rsidRPr="007E7DD5">
        <w:t>неуказанный день она получила два письма Эфиопии от некоего В. и неко</w:t>
      </w:r>
      <w:r w:rsidRPr="007E7DD5">
        <w:t>е</w:t>
      </w:r>
      <w:r w:rsidRPr="007E7DD5">
        <w:lastRenderedPageBreak/>
        <w:t>го</w:t>
      </w:r>
      <w:r w:rsidR="007251A1">
        <w:t> </w:t>
      </w:r>
      <w:r w:rsidRPr="007E7DD5">
        <w:t>А. Из них она узнала, что ее муж был арестован и обвинен в том, что он я</w:t>
      </w:r>
      <w:r w:rsidRPr="007E7DD5">
        <w:t>в</w:t>
      </w:r>
      <w:r w:rsidRPr="007E7DD5">
        <w:t xml:space="preserve">ляется сторонником оппозиции </w:t>
      </w:r>
      <w:r w:rsidR="00C46127">
        <w:t>и</w:t>
      </w:r>
      <w:r w:rsidRPr="007E7DD5">
        <w:t xml:space="preserve"> что его увезли в неизвестном направлении вместе с другими арестованными. Заявительница не знает, где он находится и что с ним произошло.</w:t>
      </w:r>
    </w:p>
    <w:p w:rsidR="00A90419" w:rsidRPr="007E7DD5" w:rsidRDefault="00A90419" w:rsidP="00A90419">
      <w:pPr>
        <w:pStyle w:val="H23GR"/>
      </w:pPr>
      <w:r>
        <w:tab/>
      </w:r>
      <w:r>
        <w:tab/>
      </w:r>
      <w:r w:rsidRPr="007E7DD5">
        <w:t>Жалоба</w:t>
      </w:r>
    </w:p>
    <w:p w:rsidR="00A90419" w:rsidRPr="007E7DD5" w:rsidRDefault="00A90419" w:rsidP="00A90419">
      <w:pPr>
        <w:pStyle w:val="SingleTxtGR"/>
      </w:pPr>
      <w:r w:rsidRPr="007E7DD5">
        <w:t>3.</w:t>
      </w:r>
      <w:r w:rsidRPr="007E7DD5">
        <w:tab/>
        <w:t>Заявительница утверждает, что она подвергн</w:t>
      </w:r>
      <w:r w:rsidR="00C46127">
        <w:t>ется</w:t>
      </w:r>
      <w:r w:rsidRPr="007E7DD5">
        <w:t xml:space="preserve"> пыткам и </w:t>
      </w:r>
      <w:r w:rsidR="00C46127" w:rsidRPr="007E7DD5">
        <w:t xml:space="preserve">будет </w:t>
      </w:r>
      <w:r w:rsidR="00CB5692">
        <w:t>убита в </w:t>
      </w:r>
      <w:r w:rsidRPr="007E7DD5">
        <w:t>случае возвращения в Эфиопию из-за своего этнического происхождения, а также предполагаемо</w:t>
      </w:r>
      <w:r w:rsidR="00C46127">
        <w:t>й</w:t>
      </w:r>
      <w:r w:rsidRPr="007E7DD5">
        <w:t xml:space="preserve"> </w:t>
      </w:r>
      <w:r w:rsidR="00C46127">
        <w:t>причастности к</w:t>
      </w:r>
      <w:r w:rsidRPr="007E7DD5">
        <w:t xml:space="preserve"> ФОО. Основываясь на факте своего ар</w:t>
      </w:r>
      <w:r w:rsidRPr="007E7DD5">
        <w:t>е</w:t>
      </w:r>
      <w:r w:rsidRPr="007E7DD5">
        <w:t>ста в прошлом, постоянном интересе полиции безопасности к ее местонахо</w:t>
      </w:r>
      <w:r w:rsidRPr="007E7DD5">
        <w:t>ж</w:t>
      </w:r>
      <w:r w:rsidRPr="007E7DD5">
        <w:t>дению, а также насильственном исчезновении ее мужа, она считает, что ей угрожает опасность подвергнуться пресле</w:t>
      </w:r>
      <w:r w:rsidR="00CB5692">
        <w:t>дованиям в случае возвращения в </w:t>
      </w:r>
      <w:r w:rsidRPr="007E7DD5">
        <w:t xml:space="preserve">Эфиопию. </w:t>
      </w:r>
    </w:p>
    <w:p w:rsidR="00A90419" w:rsidRPr="007E7DD5" w:rsidRDefault="00A90419" w:rsidP="00A90419">
      <w:pPr>
        <w:pStyle w:val="H23GR"/>
      </w:pPr>
      <w:r w:rsidRPr="007E7DD5">
        <w:tab/>
      </w:r>
      <w:r w:rsidRPr="007E7DD5">
        <w:tab/>
        <w:t>Замечания государства-участника относительно приемлемости и существа сообщения</w:t>
      </w:r>
    </w:p>
    <w:p w:rsidR="00A90419" w:rsidRPr="007E7DD5" w:rsidRDefault="00A90419" w:rsidP="00A90419">
      <w:pPr>
        <w:pStyle w:val="SingleTxtGR"/>
      </w:pPr>
      <w:r w:rsidRPr="007E7DD5">
        <w:t>4.1</w:t>
      </w:r>
      <w:r w:rsidRPr="007E7DD5">
        <w:tab/>
        <w:t>Вербальной нотой от 7 марта 2013 года государство-участник представ</w:t>
      </w:r>
      <w:r w:rsidRPr="007E7DD5">
        <w:t>и</w:t>
      </w:r>
      <w:r w:rsidRPr="007E7DD5">
        <w:t>ло свои замечания относительно приемлемости и существа сообщения. Гос</w:t>
      </w:r>
      <w:r w:rsidRPr="007E7DD5">
        <w:t>у</w:t>
      </w:r>
      <w:r w:rsidRPr="007E7DD5">
        <w:t>дарство-участник отмечает, что заявительниц</w:t>
      </w:r>
      <w:r w:rsidR="007251A1">
        <w:t>а прибыла в Канаду в марте 2008 </w:t>
      </w:r>
      <w:r w:rsidRPr="007E7DD5">
        <w:t>года, а в июне 2009 года ходатайствова</w:t>
      </w:r>
      <w:r w:rsidR="00CB5692">
        <w:t>ла о предоставлении ей защиты в </w:t>
      </w:r>
      <w:r w:rsidRPr="007E7DD5">
        <w:t>качестве беженца. Согласно ее ходатайству о предоставлении защиты в кач</w:t>
      </w:r>
      <w:r w:rsidRPr="007E7DD5">
        <w:t>е</w:t>
      </w:r>
      <w:r w:rsidRPr="007E7DD5">
        <w:t>стве беженца, а также приложенному к нему личному информационному бланку (ЛИБ), заявительница просила защиты в качестве беженца на основании вполне обоснованных опасений стать жертвой преследований по признаку расы, пр</w:t>
      </w:r>
      <w:r w:rsidRPr="007E7DD5">
        <w:t>и</w:t>
      </w:r>
      <w:r w:rsidRPr="007E7DD5">
        <w:t xml:space="preserve">надлежности к определенной социальной группе и политических убеждений. Она просила </w:t>
      </w:r>
      <w:r w:rsidR="00285FF5" w:rsidRPr="007E7DD5">
        <w:t xml:space="preserve">также </w:t>
      </w:r>
      <w:r w:rsidRPr="007E7DD5">
        <w:t>о предоставлении защиты в связи с тем, что она столкн</w:t>
      </w:r>
      <w:r w:rsidRPr="007E7DD5">
        <w:t>у</w:t>
      </w:r>
      <w:r w:rsidRPr="007E7DD5">
        <w:t>лась с угрозой ее жизни или угрозой жестокого и необычного обращения или наказания. Государство-участник отмечает, что она явно не обращалась за з</w:t>
      </w:r>
      <w:r w:rsidRPr="007E7DD5">
        <w:t>а</w:t>
      </w:r>
      <w:r w:rsidRPr="007E7DD5">
        <w:t>щитой на основании наличия угрозы пыток, как это определено в статье 1 Ко</w:t>
      </w:r>
      <w:r w:rsidRPr="007E7DD5">
        <w:t>н</w:t>
      </w:r>
      <w:r w:rsidRPr="007E7DD5">
        <w:t>венции. Государство-участник утверждает, что</w:t>
      </w:r>
      <w:r w:rsidR="00CB5692">
        <w:t>, согласно "изложению фактов" в </w:t>
      </w:r>
      <w:proofErr w:type="spellStart"/>
      <w:r w:rsidRPr="007E7DD5">
        <w:t>ЛИБ</w:t>
      </w:r>
      <w:proofErr w:type="spellEnd"/>
      <w:r w:rsidRPr="007E7DD5">
        <w:t>, заявительница решила обратиться за защитой в качестве беженца на о</w:t>
      </w:r>
      <w:r w:rsidRPr="007E7DD5">
        <w:t>с</w:t>
      </w:r>
      <w:r w:rsidRPr="007E7DD5">
        <w:t>нове информации, полученной от своего брата</w:t>
      </w:r>
      <w:r w:rsidRPr="00AA4A22">
        <w:rPr>
          <w:sz w:val="18"/>
          <w:szCs w:val="18"/>
          <w:vertAlign w:val="superscript"/>
        </w:rPr>
        <w:footnoteReference w:id="1"/>
      </w:r>
      <w:r w:rsidRPr="007E7DD5">
        <w:t>. В поддержку своих утвержд</w:t>
      </w:r>
      <w:r w:rsidRPr="007E7DD5">
        <w:t>е</w:t>
      </w:r>
      <w:r w:rsidRPr="007E7DD5">
        <w:t>ний она указала</w:t>
      </w:r>
      <w:r w:rsidR="00285FF5" w:rsidRPr="00285FF5">
        <w:t xml:space="preserve"> </w:t>
      </w:r>
      <w:r w:rsidR="00285FF5" w:rsidRPr="007E7DD5">
        <w:t>также</w:t>
      </w:r>
      <w:r w:rsidRPr="007E7DD5">
        <w:t>, что она и ее внуки в Канаде привязались друг к другу</w:t>
      </w:r>
      <w:r w:rsidR="00285FF5">
        <w:t>,</w:t>
      </w:r>
      <w:r w:rsidRPr="007E7DD5">
        <w:t xml:space="preserve"> и просила разрешения остаться в Канаде "на гуманитарной основе".</w:t>
      </w:r>
    </w:p>
    <w:p w:rsidR="00A90419" w:rsidRPr="007E7DD5" w:rsidRDefault="00A90419" w:rsidP="00A90419">
      <w:pPr>
        <w:pStyle w:val="SingleTxtGR"/>
      </w:pPr>
      <w:r w:rsidRPr="007E7DD5">
        <w:t>4.2</w:t>
      </w:r>
      <w:r w:rsidRPr="007E7DD5">
        <w:tab/>
        <w:t>Отдел защиты беженцев (ОЗБ) Совета по делам иммиграции и беженцев Канады 20 января 2011 года заслушал заявления автора. Она была представлена адвокатом. Она имела возможность разъяснить любые двусмысленности и</w:t>
      </w:r>
      <w:r w:rsidR="00285FF5">
        <w:t>ли</w:t>
      </w:r>
      <w:r w:rsidRPr="007E7DD5">
        <w:t xml:space="preserve"> несоответствия, а также ответить на любые в</w:t>
      </w:r>
      <w:r w:rsidR="00CB5692">
        <w:t xml:space="preserve">опросы, которые имелись у </w:t>
      </w:r>
      <w:proofErr w:type="spellStart"/>
      <w:r w:rsidR="00CB5692">
        <w:t>ОЗБ</w:t>
      </w:r>
      <w:proofErr w:type="spellEnd"/>
      <w:r w:rsidR="00CB5692">
        <w:t xml:space="preserve"> в </w:t>
      </w:r>
      <w:r w:rsidRPr="007E7DD5">
        <w:t>связи с ее утверждениями. 24 января 2011 года ОЗБ вынес свое решение, с</w:t>
      </w:r>
      <w:r w:rsidRPr="007E7DD5">
        <w:t>о</w:t>
      </w:r>
      <w:r w:rsidRPr="007E7DD5">
        <w:t>гласно которому заявительница не явля</w:t>
      </w:r>
      <w:r w:rsidR="00285FF5">
        <w:t>ется</w:t>
      </w:r>
      <w:r w:rsidRPr="007E7DD5">
        <w:t xml:space="preserve"> "беженцем по смыслу Конвенции" и лицом, нуждавш</w:t>
      </w:r>
      <w:r w:rsidR="00285FF5">
        <w:t>и</w:t>
      </w:r>
      <w:r w:rsidRPr="007E7DD5">
        <w:t>мся в защите. В частности, ОЗБ признал, что заявительница является простым человеком, почти не получившим формального образования, но заключил, что это не объясняет различные противоречия в ее утверждениях. Кроме того, государство-участник приводит несколько примеров несоотве</w:t>
      </w:r>
      <w:r w:rsidRPr="007E7DD5">
        <w:t>т</w:t>
      </w:r>
      <w:r w:rsidRPr="007E7DD5">
        <w:t>ствий, выявленных ОЗБ. В частности, в своем ЛИБ заявительница указала, что ее муж был арестован 8 июня 2005 года и что она подвергалась запугиваниям со стороны полиции, когда навещала его, в то время как в своих устных показан</w:t>
      </w:r>
      <w:r w:rsidRPr="007E7DD5">
        <w:t>и</w:t>
      </w:r>
      <w:r w:rsidRPr="007E7DD5">
        <w:t>ях ОЗБ она заявила, что ее муж был арестован на рабочем месте и что затем п</w:t>
      </w:r>
      <w:r w:rsidRPr="007E7DD5">
        <w:t>о</w:t>
      </w:r>
      <w:r w:rsidRPr="007E7DD5">
        <w:t xml:space="preserve">лиция пришла в ее дом и арестовала ее. </w:t>
      </w:r>
      <w:r w:rsidR="00285FF5">
        <w:t>Ч</w:t>
      </w:r>
      <w:r w:rsidRPr="007E7DD5">
        <w:t xml:space="preserve">то касается ее ареста в 2006 году, </w:t>
      </w:r>
      <w:r w:rsidR="009470C9">
        <w:t xml:space="preserve">то </w:t>
      </w:r>
      <w:r w:rsidRPr="007E7DD5">
        <w:lastRenderedPageBreak/>
        <w:t>в</w:t>
      </w:r>
      <w:r w:rsidR="00CB5692">
        <w:t> </w:t>
      </w:r>
      <w:r w:rsidRPr="007E7DD5">
        <w:t xml:space="preserve">своем </w:t>
      </w:r>
      <w:proofErr w:type="spellStart"/>
      <w:r w:rsidRPr="007E7DD5">
        <w:t>ЛИБ</w:t>
      </w:r>
      <w:proofErr w:type="spellEnd"/>
      <w:r w:rsidRPr="007E7DD5">
        <w:t xml:space="preserve"> заявительница указала, что она </w:t>
      </w:r>
      <w:r w:rsidR="00CB5692">
        <w:t>и ее муж были арестованы в </w:t>
      </w:r>
      <w:r w:rsidR="007251A1">
        <w:t>2006 </w:t>
      </w:r>
      <w:r w:rsidRPr="007E7DD5">
        <w:t>году после того, как она сдала дом двум студентам, в то время как в св</w:t>
      </w:r>
      <w:r w:rsidRPr="007E7DD5">
        <w:t>о</w:t>
      </w:r>
      <w:r w:rsidRPr="007E7DD5">
        <w:t>их устных показаниях ОЗБ она заявила о том, что примерно через два месяца после своего ареста в 2005 году она посетила столицу, чтобы пожить со своим братом до момента отъезда в Канаду, и больше никогда не видела своего мужа. ОЗБ отметил, что в момент подачи ЛИБ заявительница была представлена опытным адвокатом и что этот адвокат должен был знать, что информация, представленная в ЛИБ, включая письменное изложение фактов, будет на сл</w:t>
      </w:r>
      <w:r w:rsidRPr="007E7DD5">
        <w:t>у</w:t>
      </w:r>
      <w:r w:rsidRPr="007E7DD5">
        <w:t>шаниях в ОЗБ рассматриваться как показания под присягой. Государство-участник отмечает, что в любом случае вывод ОЗБ о том, что утверждения з</w:t>
      </w:r>
      <w:r w:rsidRPr="007E7DD5">
        <w:t>а</w:t>
      </w:r>
      <w:r w:rsidRPr="007E7DD5">
        <w:t>явительницы не являются достоверными, необязательно является определя</w:t>
      </w:r>
      <w:r w:rsidRPr="007E7DD5">
        <w:t>ю</w:t>
      </w:r>
      <w:r w:rsidRPr="007E7DD5">
        <w:t>щим фактором в решении по ее ходатайству о предоставлении защиты. ОЗБ сделал вывод о том, что в доказательствах, представленных заявительницей, не содержится никаких оснований для определения того, что ей грозит реальная и личная опасность в случае ее возвращения.</w:t>
      </w:r>
    </w:p>
    <w:p w:rsidR="00A90419" w:rsidRPr="007E7DD5" w:rsidRDefault="00A90419" w:rsidP="00A90419">
      <w:pPr>
        <w:pStyle w:val="SingleTxtGR"/>
      </w:pPr>
      <w:r w:rsidRPr="007E7DD5">
        <w:t>4.3</w:t>
      </w:r>
      <w:r w:rsidRPr="007E7DD5">
        <w:tab/>
        <w:t>Государство-участник отмечает</w:t>
      </w:r>
      <w:r w:rsidR="009470C9" w:rsidRPr="009470C9">
        <w:t xml:space="preserve"> </w:t>
      </w:r>
      <w:r w:rsidR="009470C9" w:rsidRPr="007E7DD5">
        <w:t>далее</w:t>
      </w:r>
      <w:r w:rsidRPr="007E7DD5">
        <w:t>,</w:t>
      </w:r>
      <w:r w:rsidR="00CB5692">
        <w:t xml:space="preserve"> что заявительница обратилась с </w:t>
      </w:r>
      <w:r w:rsidRPr="007E7DD5">
        <w:t xml:space="preserve">ходатайством о проведении оценки риска до </w:t>
      </w:r>
      <w:r w:rsidR="007251A1">
        <w:t>высылки (ОРДВ) 30 сентября 2011 </w:t>
      </w:r>
      <w:r w:rsidRPr="007E7DD5">
        <w:t>года. В своем ходатайстве заявительница повторила ту же версию соб</w:t>
      </w:r>
      <w:r w:rsidRPr="007E7DD5">
        <w:t>ы</w:t>
      </w:r>
      <w:r w:rsidRPr="007E7DD5">
        <w:t>тий, что и в ее ЛИБ. Несмотря на то, что в своих показаниях ОЗБ заявительница утверждала, что в ЛИБ присутствуют значительные ошибки, ни она, ни ее адв</w:t>
      </w:r>
      <w:r w:rsidRPr="007E7DD5">
        <w:t>о</w:t>
      </w:r>
      <w:r w:rsidRPr="007E7DD5">
        <w:t>кат не пытались представить "правильную" версию событий в ходатайстве о проведении ОРДВ. В своем ходатайстве заявительница частично основывалась на двух письмах от лиц в Эфиопии, в которых сообщалось, что ее муж</w:t>
      </w:r>
      <w:r w:rsidR="009470C9">
        <w:t xml:space="preserve"> вновь </w:t>
      </w:r>
      <w:r w:rsidRPr="007E7DD5">
        <w:t>был арестован по причине его принадлежности к оппозиции</w:t>
      </w:r>
      <w:r w:rsidRPr="00AA4A22">
        <w:rPr>
          <w:sz w:val="18"/>
          <w:szCs w:val="18"/>
          <w:vertAlign w:val="superscript"/>
        </w:rPr>
        <w:footnoteReference w:id="2"/>
      </w:r>
      <w:r w:rsidRPr="007E7DD5">
        <w:t xml:space="preserve">, а также на ряде докладов правозащитных организаций и статей </w:t>
      </w:r>
      <w:r w:rsidR="009470C9">
        <w:t>в</w:t>
      </w:r>
      <w:r w:rsidRPr="007E7DD5">
        <w:t xml:space="preserve"> СМИ, в которых содержится подробная информация о текущих политических репрессиях в отношении о</w:t>
      </w:r>
      <w:r w:rsidRPr="007E7DD5">
        <w:t>п</w:t>
      </w:r>
      <w:r w:rsidRPr="007E7DD5">
        <w:t>позиции со стороны правящей партии в Эфиопии. Заявительница утверждала, что в ее отношении существует угроза преследования, применения пыток или риска для жизни или жестокого и необычного обращения или наказания всле</w:t>
      </w:r>
      <w:r w:rsidRPr="007E7DD5">
        <w:t>д</w:t>
      </w:r>
      <w:r w:rsidRPr="007E7DD5">
        <w:t>ствие ее предполагаемых связей с лицами, кот</w:t>
      </w:r>
      <w:r w:rsidR="00CB5692">
        <w:t>орые находятся в оппозиции к </w:t>
      </w:r>
      <w:r w:rsidRPr="007E7DD5">
        <w:t>правительству, а также вследствие участия ее мужа для в политической де</w:t>
      </w:r>
      <w:r w:rsidRPr="007E7DD5">
        <w:t>я</w:t>
      </w:r>
      <w:r w:rsidRPr="007E7DD5">
        <w:t>тельности и того факта, что она принадлежит к этнической группе оромо.</w:t>
      </w:r>
    </w:p>
    <w:p w:rsidR="00A90419" w:rsidRPr="007E7DD5" w:rsidRDefault="00A90419" w:rsidP="00A90419">
      <w:pPr>
        <w:pStyle w:val="SingleTxtGR"/>
      </w:pPr>
      <w:r w:rsidRPr="007E7DD5">
        <w:t>4.4</w:t>
      </w:r>
      <w:r w:rsidRPr="007E7DD5">
        <w:tab/>
        <w:t>По результатам процедуры ОРДВ 1 июня 2012 года был сделан вывод о том, что заявительнице не угрожает опасность преследований или пыток в сл</w:t>
      </w:r>
      <w:r w:rsidRPr="007E7DD5">
        <w:t>у</w:t>
      </w:r>
      <w:r w:rsidRPr="007E7DD5">
        <w:t>чае ее возвращения в Эфиопию. Уполномоченный по ОРДВ, во-первых, отм</w:t>
      </w:r>
      <w:r w:rsidRPr="007E7DD5">
        <w:t>е</w:t>
      </w:r>
      <w:r w:rsidRPr="007E7DD5">
        <w:t xml:space="preserve">тил, что некоторые из доказательств, в том числе два письма </w:t>
      </w:r>
      <w:r w:rsidR="009470C9">
        <w:t xml:space="preserve">из </w:t>
      </w:r>
      <w:r w:rsidRPr="007E7DD5">
        <w:t>Эфиопии, не являются новыми доказательствами, а уже были ранее представлены ОЗБ. В с</w:t>
      </w:r>
      <w:r w:rsidRPr="007E7DD5">
        <w:t>о</w:t>
      </w:r>
      <w:r w:rsidRPr="007E7DD5">
        <w:t>ответствии с разделом 113 а) Закона об иммиграции и защите беженцев под</w:t>
      </w:r>
      <w:r w:rsidRPr="007E7DD5">
        <w:t>а</w:t>
      </w:r>
      <w:r w:rsidRPr="007E7DD5">
        <w:t xml:space="preserve">тель ходатайства о проведении ОРДВ, чье </w:t>
      </w:r>
      <w:r w:rsidR="009470C9">
        <w:t>заявление</w:t>
      </w:r>
      <w:r w:rsidRPr="007E7DD5">
        <w:t xml:space="preserve"> о предоставлении защиты в качестве беженца было отклонено ОЗБ, может представить только новые д</w:t>
      </w:r>
      <w:r w:rsidRPr="007E7DD5">
        <w:t>о</w:t>
      </w:r>
      <w:r w:rsidRPr="007E7DD5">
        <w:t xml:space="preserve">казательства, появившиеся после даты такого отклонения или не являвшиеся разумно доступными на момент отклонения. Уполномоченный по ОРДВ принял к сведению представленные доклады правозащитных организаций и статьи </w:t>
      </w:r>
      <w:r w:rsidR="00CB5692">
        <w:t>в </w:t>
      </w:r>
      <w:r w:rsidRPr="007E7DD5">
        <w:t>СМИ, но сделал вывод о том, что информация в статьях носи</w:t>
      </w:r>
      <w:r w:rsidR="009470C9">
        <w:t>т</w:t>
      </w:r>
      <w:r w:rsidRPr="007E7DD5">
        <w:t xml:space="preserve"> общий хара</w:t>
      </w:r>
      <w:r w:rsidRPr="007E7DD5">
        <w:t>к</w:t>
      </w:r>
      <w:r w:rsidRPr="007E7DD5">
        <w:t xml:space="preserve">тер. Таким образом, ходатайство заявительницы было отклонено. </w:t>
      </w:r>
    </w:p>
    <w:p w:rsidR="00A90419" w:rsidRPr="007E7DD5" w:rsidRDefault="00A90419" w:rsidP="00CB5692">
      <w:pPr>
        <w:pStyle w:val="SingleTxtGR"/>
      </w:pPr>
      <w:r w:rsidRPr="007E7DD5">
        <w:t>4.5</w:t>
      </w:r>
      <w:r w:rsidRPr="007E7DD5">
        <w:tab/>
        <w:t xml:space="preserve">Государство-участник утверждает, что </w:t>
      </w:r>
      <w:r w:rsidR="00CB5692">
        <w:t>заявительница могла бы подать в </w:t>
      </w:r>
      <w:r w:rsidRPr="007E7DD5">
        <w:t>Федеральный суд просьбу о разрешении подать ходатайство о судебном пер</w:t>
      </w:r>
      <w:r w:rsidRPr="007E7DD5">
        <w:t>е</w:t>
      </w:r>
      <w:r w:rsidRPr="007E7DD5">
        <w:t xml:space="preserve">смотре решения уполномоченного по ОРДВ. Она могла </w:t>
      </w:r>
      <w:r w:rsidR="009470C9">
        <w:t xml:space="preserve">бы </w:t>
      </w:r>
      <w:r w:rsidRPr="007E7DD5">
        <w:t>также подать ход</w:t>
      </w:r>
      <w:r w:rsidRPr="007E7DD5">
        <w:t>а</w:t>
      </w:r>
      <w:r w:rsidRPr="007E7DD5">
        <w:t xml:space="preserve">тайство о судебной отсрочке высылки до вынесения окончательного решения </w:t>
      </w:r>
      <w:r w:rsidRPr="007E7DD5">
        <w:lastRenderedPageBreak/>
        <w:t>Суда. Государство-участник отмечает, что судебный пересмотр последовательно признается Комитетом в качестве процедуры, которая должна быть завершена для целей приемлемости</w:t>
      </w:r>
      <w:r w:rsidRPr="00424F4B">
        <w:rPr>
          <w:sz w:val="18"/>
          <w:szCs w:val="18"/>
          <w:vertAlign w:val="superscript"/>
        </w:rPr>
        <w:footnoteReference w:id="3"/>
      </w:r>
      <w:r w:rsidRPr="007E7DD5">
        <w:t xml:space="preserve">. В частности, в своем решении по делу </w:t>
      </w:r>
      <w:r w:rsidRPr="00B22BB4">
        <w:rPr>
          <w:i/>
        </w:rPr>
        <w:t>Яссин против Канады</w:t>
      </w:r>
      <w:r w:rsidRPr="007E7DD5">
        <w:t xml:space="preserve"> Комитет заявил, что судебный пересмотр отрицательного решения по процедуре ОРДВ был эффективным средством правовой защиты, и заключил, что сообщение явля</w:t>
      </w:r>
      <w:r w:rsidR="00B32D3D">
        <w:t>ется</w:t>
      </w:r>
      <w:r w:rsidRPr="007E7DD5">
        <w:t xml:space="preserve"> неприемлемым по причине неисчерпания внутренних средств правовой защиты</w:t>
      </w:r>
      <w:r w:rsidRPr="00424F4B">
        <w:rPr>
          <w:sz w:val="18"/>
          <w:szCs w:val="18"/>
          <w:vertAlign w:val="superscript"/>
        </w:rPr>
        <w:footnoteReference w:id="4"/>
      </w:r>
      <w:r w:rsidRPr="007E7DD5">
        <w:t>. В ряде других сообщений, касающихся Канады, К</w:t>
      </w:r>
      <w:r w:rsidRPr="007E7DD5">
        <w:t>о</w:t>
      </w:r>
      <w:r w:rsidRPr="007E7DD5">
        <w:t>митет отмечал, что "</w:t>
      </w:r>
      <w:r w:rsidR="00B32D3D">
        <w:t>ходатайства о выдаче</w:t>
      </w:r>
      <w:r w:rsidRPr="007E7DD5">
        <w:t xml:space="preserve"> разрешени</w:t>
      </w:r>
      <w:r w:rsidR="00B32D3D">
        <w:t>я</w:t>
      </w:r>
      <w:r w:rsidRPr="007E7DD5">
        <w:t xml:space="preserve"> на судебн</w:t>
      </w:r>
      <w:r w:rsidR="00B32D3D">
        <w:t>ый</w:t>
      </w:r>
      <w:r w:rsidRPr="007E7DD5">
        <w:t xml:space="preserve"> пересмотр </w:t>
      </w:r>
      <w:r w:rsidR="00CB5692">
        <w:t>в </w:t>
      </w:r>
      <w:r w:rsidR="00B32D3D">
        <w:t xml:space="preserve">порядке надзора не </w:t>
      </w:r>
      <w:r w:rsidRPr="007E7DD5">
        <w:t>явля</w:t>
      </w:r>
      <w:r w:rsidR="00B32D3D">
        <w:t>ю</w:t>
      </w:r>
      <w:r w:rsidRPr="007E7DD5">
        <w:t>тся прост</w:t>
      </w:r>
      <w:r w:rsidR="00B32D3D">
        <w:t>ой</w:t>
      </w:r>
      <w:r w:rsidRPr="007E7DD5">
        <w:t xml:space="preserve"> формальност</w:t>
      </w:r>
      <w:r w:rsidR="00B32D3D">
        <w:t>ью и</w:t>
      </w:r>
      <w:r w:rsidRPr="007E7DD5">
        <w:t xml:space="preserve"> что Федеральный суд может в </w:t>
      </w:r>
      <w:r w:rsidR="00B32D3D">
        <w:t>соответствующих</w:t>
      </w:r>
      <w:r w:rsidRPr="007E7DD5">
        <w:t xml:space="preserve"> случаях</w:t>
      </w:r>
      <w:r w:rsidR="00B32D3D">
        <w:t xml:space="preserve"> рассматривать</w:t>
      </w:r>
      <w:r w:rsidRPr="007E7DD5">
        <w:t xml:space="preserve"> существо дела"</w:t>
      </w:r>
      <w:r w:rsidRPr="00424F4B">
        <w:rPr>
          <w:sz w:val="18"/>
          <w:szCs w:val="18"/>
          <w:vertAlign w:val="superscript"/>
        </w:rPr>
        <w:footnoteReference w:id="5"/>
      </w:r>
      <w:r w:rsidRPr="007E7DD5">
        <w:t>.</w:t>
      </w:r>
    </w:p>
    <w:p w:rsidR="00A90419" w:rsidRPr="007E7DD5" w:rsidRDefault="00A90419" w:rsidP="00CB5692">
      <w:pPr>
        <w:pStyle w:val="SingleTxtGR"/>
        <w:spacing w:line="220" w:lineRule="atLeast"/>
      </w:pPr>
      <w:r w:rsidRPr="007E7DD5">
        <w:t>4.6</w:t>
      </w:r>
      <w:r w:rsidRPr="007E7DD5">
        <w:tab/>
        <w:t xml:space="preserve">Государство-участник ссылается на недавнее решение Комитета по делу </w:t>
      </w:r>
      <w:r w:rsidRPr="00B81A96">
        <w:rPr>
          <w:i/>
        </w:rPr>
        <w:t>Нирмал Сингх против Канады</w:t>
      </w:r>
      <w:r w:rsidRPr="00424F4B">
        <w:rPr>
          <w:sz w:val="18"/>
          <w:szCs w:val="18"/>
          <w:vertAlign w:val="superscript"/>
        </w:rPr>
        <w:footnoteReference w:id="6"/>
      </w:r>
      <w:r w:rsidRPr="007E7DD5">
        <w:t>. В этом сообщении Комитет принял довод з</w:t>
      </w:r>
      <w:r w:rsidRPr="007E7DD5">
        <w:t>а</w:t>
      </w:r>
      <w:r w:rsidRPr="007E7DD5">
        <w:t xml:space="preserve">явителя о том, что судебный пересмотр отрицательных решений по процедуре </w:t>
      </w:r>
      <w:r w:rsidR="00B22BB4" w:rsidRPr="007E7DD5">
        <w:t xml:space="preserve">ОЗБ </w:t>
      </w:r>
      <w:r w:rsidR="00B22BB4">
        <w:t xml:space="preserve">и </w:t>
      </w:r>
      <w:r w:rsidRPr="007E7DD5">
        <w:t>ОРДВ не обеспечил ему эффективных средств правовой защиты. Гос</w:t>
      </w:r>
      <w:r w:rsidRPr="007E7DD5">
        <w:t>у</w:t>
      </w:r>
      <w:r w:rsidRPr="007E7DD5">
        <w:t xml:space="preserve">дарство-участник утверждает, что решение Комитета по делу </w:t>
      </w:r>
      <w:r w:rsidRPr="00B22BB4">
        <w:rPr>
          <w:i/>
        </w:rPr>
        <w:t>Нирмала Сингха</w:t>
      </w:r>
      <w:r w:rsidRPr="007E7DD5">
        <w:t xml:space="preserve"> ограничено конкретными фактами этого конкретного дела </w:t>
      </w:r>
      <w:r w:rsidR="00D923C6">
        <w:t>и</w:t>
      </w:r>
      <w:r w:rsidRPr="007E7DD5">
        <w:t xml:space="preserve"> не является общим отрицанием эффективности судебного пересмотра в качестве одного из средств правовой защиты. Государство-участник отмечает</w:t>
      </w:r>
      <w:r w:rsidR="00D923C6" w:rsidRPr="00D923C6">
        <w:t xml:space="preserve"> </w:t>
      </w:r>
      <w:r w:rsidR="00D923C6" w:rsidRPr="007E7DD5">
        <w:t>далее</w:t>
      </w:r>
      <w:r w:rsidRPr="007E7DD5">
        <w:t>, что в нынешней с</w:t>
      </w:r>
      <w:r w:rsidRPr="007E7DD5">
        <w:t>и</w:t>
      </w:r>
      <w:r w:rsidRPr="007E7DD5">
        <w:t>стеме судебного пересмотра Федеральным судом предусматривается "судебное рассмотрение дела по существу". Оно поясняет, что в ходе судебного пересмо</w:t>
      </w:r>
      <w:r w:rsidRPr="007E7DD5">
        <w:t>т</w:t>
      </w:r>
      <w:r w:rsidRPr="007E7DD5">
        <w:t xml:space="preserve">ра независимо от того, рассматривается ли </w:t>
      </w:r>
      <w:r w:rsidR="00D923C6" w:rsidRPr="007E7DD5">
        <w:t xml:space="preserve">решение ОЗБ </w:t>
      </w:r>
      <w:r w:rsidR="00D923C6">
        <w:t>или решение по ОРДВ</w:t>
      </w:r>
      <w:r w:rsidRPr="007E7DD5">
        <w:t>, Федеральный суд проводит обзор фактических ошибок и ошибок, связанных как фактами, так и с правовыми вопросами, как правило, на основе "стандарта разумности". При этом Суд может также рассмотреть правовые вопросы на о</w:t>
      </w:r>
      <w:r w:rsidRPr="007E7DD5">
        <w:t>с</w:t>
      </w:r>
      <w:r w:rsidRPr="007E7DD5">
        <w:t>нове "стандарта правильности". Кроме того, в ходе судебного пересмотра в с</w:t>
      </w:r>
      <w:r w:rsidRPr="007E7DD5">
        <w:t>о</w:t>
      </w:r>
      <w:r w:rsidRPr="007E7DD5">
        <w:t xml:space="preserve">ответствии с пунктом 4 статьи 18.1 </w:t>
      </w:r>
      <w:r w:rsidR="004F36B8" w:rsidRPr="007E7DD5">
        <w:t>Федеральн</w:t>
      </w:r>
      <w:r w:rsidR="004F36B8">
        <w:t>ого з</w:t>
      </w:r>
      <w:r w:rsidRPr="007E7DD5">
        <w:t>акона о судах Федеральный суд может принять решение о применении соответствующего средства прав</w:t>
      </w:r>
      <w:r w:rsidRPr="007E7DD5">
        <w:t>о</w:t>
      </w:r>
      <w:r w:rsidRPr="007E7DD5">
        <w:t xml:space="preserve">вой защиты в том случае, если он определит, что какой-либо </w:t>
      </w:r>
      <w:r w:rsidR="004F36B8">
        <w:t>суд</w:t>
      </w:r>
      <w:r w:rsidRPr="007E7DD5">
        <w:t xml:space="preserve"> a) действовал некомпетентно, превысил свои полномочия ил</w:t>
      </w:r>
      <w:r w:rsidR="007251A1">
        <w:t>и отказался их осуществлять; b) </w:t>
      </w:r>
      <w:r w:rsidRPr="007E7DD5">
        <w:t>не обеспечил соблюдение принципа естественного правосудия</w:t>
      </w:r>
      <w:r w:rsidR="004F36B8">
        <w:t>,</w:t>
      </w:r>
      <w:r w:rsidRPr="007E7DD5">
        <w:t xml:space="preserve"> проце</w:t>
      </w:r>
      <w:r w:rsidR="004F36B8">
        <w:t>ссуал</w:t>
      </w:r>
      <w:r w:rsidR="004F36B8">
        <w:t>ь</w:t>
      </w:r>
      <w:r w:rsidR="004F36B8">
        <w:lastRenderedPageBreak/>
        <w:t>ной справедливости</w:t>
      </w:r>
      <w:r w:rsidRPr="007E7DD5">
        <w:t xml:space="preserve"> или люб</w:t>
      </w:r>
      <w:r w:rsidR="004F36B8">
        <w:t>ой</w:t>
      </w:r>
      <w:r w:rsidRPr="007E7DD5">
        <w:t xml:space="preserve"> друг</w:t>
      </w:r>
      <w:r w:rsidR="004F36B8">
        <w:t>ой</w:t>
      </w:r>
      <w:r w:rsidRPr="007E7DD5">
        <w:t xml:space="preserve"> процедур</w:t>
      </w:r>
      <w:r w:rsidR="004F36B8">
        <w:t>ы</w:t>
      </w:r>
      <w:r w:rsidRPr="007E7DD5">
        <w:t>, которую он по закону был обязан соблюдать; с) принял решение или постановление, содержащее какую-либо правовую ошибку, вне зависимости от обс</w:t>
      </w:r>
      <w:r w:rsidR="007251A1">
        <w:t>тоятельств конкретного дела; d) </w:t>
      </w:r>
      <w:r w:rsidRPr="007E7DD5">
        <w:t>принял решение или постановление, основанное на ошибочной оценке фа</w:t>
      </w:r>
      <w:r w:rsidRPr="007E7DD5">
        <w:t>к</w:t>
      </w:r>
      <w:r w:rsidRPr="007E7DD5">
        <w:t>тов, произведенной в нарушение закона или произвольно, или без учета име</w:t>
      </w:r>
      <w:r w:rsidRPr="007E7DD5">
        <w:t>ю</w:t>
      </w:r>
      <w:r w:rsidRPr="007E7DD5">
        <w:t>щихся в его распоряжении фактических элементов; e) действовал или безде</w:t>
      </w:r>
      <w:r w:rsidRPr="007E7DD5">
        <w:t>й</w:t>
      </w:r>
      <w:r w:rsidRPr="007E7DD5">
        <w:t>ствовал в нарушение закона или на основе лжесвидетельств; или f) действовал каким-либо иным противозаконным образом.</w:t>
      </w:r>
    </w:p>
    <w:p w:rsidR="00A90419" w:rsidRPr="007E7DD5" w:rsidRDefault="00A90419" w:rsidP="00CB5692">
      <w:pPr>
        <w:pStyle w:val="SingleTxtGR"/>
        <w:spacing w:line="220" w:lineRule="atLeast"/>
      </w:pPr>
      <w:r w:rsidRPr="007E7DD5">
        <w:t>4.7</w:t>
      </w:r>
      <w:r w:rsidRPr="007E7DD5">
        <w:tab/>
        <w:t>Таким образом, государство-участник утверждает, что</w:t>
      </w:r>
      <w:r w:rsidR="004F36B8">
        <w:t>,</w:t>
      </w:r>
      <w:r w:rsidRPr="007E7DD5">
        <w:t xml:space="preserve"> если бы заяв</w:t>
      </w:r>
      <w:r w:rsidRPr="007E7DD5">
        <w:t>и</w:t>
      </w:r>
      <w:r w:rsidRPr="007E7DD5">
        <w:t>тельница обратилась с просьбой о разрешении на подачу ходатайства о суде</w:t>
      </w:r>
      <w:r w:rsidRPr="007E7DD5">
        <w:t>б</w:t>
      </w:r>
      <w:r w:rsidRPr="007E7DD5">
        <w:t>ном пересмотре, а также если бы в решении по процедуре ОРДВ имела место ошибка правового характера или необоснованные выводы о фактах, Федерал</w:t>
      </w:r>
      <w:r w:rsidRPr="007E7DD5">
        <w:t>ь</w:t>
      </w:r>
      <w:r w:rsidRPr="007E7DD5">
        <w:t>ный суд мог бы дать разрешение на подачу ходатайства о судебном пересмотре этого решения, приостановить исполнение этого решения или направить это з</w:t>
      </w:r>
      <w:r w:rsidRPr="007E7DD5">
        <w:t>а</w:t>
      </w:r>
      <w:r w:rsidRPr="007E7DD5">
        <w:t>явление на повторное рассмотрение другому уполномоченному по ОРДВ. Гос</w:t>
      </w:r>
      <w:r w:rsidRPr="007E7DD5">
        <w:t>у</w:t>
      </w:r>
      <w:r w:rsidRPr="007E7DD5">
        <w:t>дарство-участник приводит целый ряд примеров случаев, когда хода</w:t>
      </w:r>
      <w:r w:rsidR="004F36B8">
        <w:t>тайства</w:t>
      </w:r>
      <w:r w:rsidRPr="007E7DD5">
        <w:t xml:space="preserve"> б</w:t>
      </w:r>
      <w:r w:rsidRPr="007E7DD5">
        <w:t>ы</w:t>
      </w:r>
      <w:r w:rsidRPr="007E7DD5">
        <w:t>л</w:t>
      </w:r>
      <w:r w:rsidR="004F36B8">
        <w:t>и</w:t>
      </w:r>
      <w:r w:rsidRPr="007E7DD5">
        <w:t xml:space="preserve"> направлен</w:t>
      </w:r>
      <w:r w:rsidR="004F36B8">
        <w:t>ы</w:t>
      </w:r>
      <w:r w:rsidRPr="007E7DD5">
        <w:t xml:space="preserve"> Судом на повторное рассмотрение</w:t>
      </w:r>
      <w:r w:rsidRPr="00424F4B">
        <w:rPr>
          <w:sz w:val="18"/>
          <w:szCs w:val="18"/>
          <w:vertAlign w:val="superscript"/>
        </w:rPr>
        <w:footnoteReference w:id="7"/>
      </w:r>
      <w:r w:rsidRPr="007E7DD5">
        <w:t>. Кроме того, в</w:t>
      </w:r>
      <w:r w:rsidR="00CB5692">
        <w:t xml:space="preserve"> связи с </w:t>
      </w:r>
      <w:r w:rsidRPr="007E7DD5">
        <w:t>утверждени</w:t>
      </w:r>
      <w:r w:rsidR="004F36B8">
        <w:t>ем</w:t>
      </w:r>
      <w:r w:rsidRPr="007E7DD5">
        <w:t xml:space="preserve"> заявительницы о том, что судебный пересмотр решения </w:t>
      </w:r>
      <w:r w:rsidR="004F36B8">
        <w:t>по процедуре</w:t>
      </w:r>
      <w:r w:rsidRPr="007E7DD5">
        <w:t xml:space="preserve"> ОРДВ не остановил бы ее высылку, государство-участник утвержд</w:t>
      </w:r>
      <w:r w:rsidRPr="007E7DD5">
        <w:t>а</w:t>
      </w:r>
      <w:r w:rsidRPr="007E7DD5">
        <w:t>ет, что</w:t>
      </w:r>
      <w:r w:rsidR="007941F7">
        <w:t>,</w:t>
      </w:r>
      <w:r w:rsidRPr="007E7DD5">
        <w:t xml:space="preserve"> хотя автоматическое приостановление высылки </w:t>
      </w:r>
      <w:r w:rsidR="006D2A33">
        <w:t xml:space="preserve">действительно </w:t>
      </w:r>
      <w:r w:rsidRPr="007E7DD5">
        <w:t>не предусмотрено, приостановление высылки по решению суда возможно в случае подачи соотве</w:t>
      </w:r>
      <w:r w:rsidRPr="007E7DD5">
        <w:t>т</w:t>
      </w:r>
      <w:r w:rsidRPr="007E7DD5">
        <w:t>ствующего ходатайства в Федеральный суд. Государство-участник отмечает, что отсрочка высылки до принятия решения по ходатайству о проведении ОРДВ предоставляется Федеральным судом на регулярной осн</w:t>
      </w:r>
      <w:r w:rsidRPr="007E7DD5">
        <w:t>о</w:t>
      </w:r>
      <w:r w:rsidRPr="007E7DD5">
        <w:t>ве.</w:t>
      </w:r>
    </w:p>
    <w:p w:rsidR="008D5A4F" w:rsidRPr="00677C46" w:rsidRDefault="00A90419" w:rsidP="00CB5692">
      <w:pPr>
        <w:pStyle w:val="SingleTxtGR"/>
        <w:spacing w:line="220" w:lineRule="atLeast"/>
      </w:pPr>
      <w:r w:rsidRPr="007E7DD5">
        <w:t>4.8</w:t>
      </w:r>
      <w:r w:rsidRPr="007E7DD5">
        <w:tab/>
      </w:r>
      <w:r w:rsidR="006D2A33">
        <w:t>Ч</w:t>
      </w:r>
      <w:r w:rsidRPr="007E7DD5">
        <w:t>то касается статистических данных, касающихся ходатайств о разреш</w:t>
      </w:r>
      <w:r w:rsidRPr="007E7DD5">
        <w:t>е</w:t>
      </w:r>
      <w:r w:rsidRPr="007E7DD5">
        <w:t xml:space="preserve">нии на подачу заявления о судебном пересмотре, </w:t>
      </w:r>
      <w:r w:rsidR="006D2A33">
        <w:t xml:space="preserve">то </w:t>
      </w:r>
      <w:r w:rsidRPr="007E7DD5">
        <w:t>государство-участник отм</w:t>
      </w:r>
      <w:r w:rsidRPr="007E7DD5">
        <w:t>е</w:t>
      </w:r>
      <w:r w:rsidRPr="007E7DD5">
        <w:t>чает, что судьи Федерального суда рассматривают каждое такое ходатайство на основе письменных представлений сторон без проведения устных слушаний. Слушание необязательно должно быть устным, чтобы быть справедливым и с</w:t>
      </w:r>
      <w:r w:rsidRPr="007E7DD5">
        <w:t>о</w:t>
      </w:r>
      <w:r w:rsidRPr="007E7DD5">
        <w:t>ответствовать правилам отправления правосудия. Если разрешение предоста</w:t>
      </w:r>
      <w:r w:rsidRPr="007E7DD5">
        <w:t>в</w:t>
      </w:r>
      <w:r w:rsidRPr="007E7DD5">
        <w:t>ляется, дело передается другому судье для проведения устных слушаний по существу ходатайства о судебном пересмотре. Например, в 2011 году из 6</w:t>
      </w:r>
      <w:r w:rsidR="004F36B8">
        <w:t> </w:t>
      </w:r>
      <w:r w:rsidR="007251A1">
        <w:t>273 </w:t>
      </w:r>
      <w:r w:rsidRPr="007E7DD5">
        <w:t>просьб о разрешении на подачу ходатайств о судебном пересмотре в ко</w:t>
      </w:r>
      <w:r w:rsidRPr="007E7DD5">
        <w:t>н</w:t>
      </w:r>
      <w:r w:rsidRPr="007E7DD5">
        <w:t>тексте проблемы беженцев 894 ходатайства (14</w:t>
      </w:r>
      <w:r>
        <w:t>%</w:t>
      </w:r>
      <w:r w:rsidRPr="007E7DD5">
        <w:t>) были удовлетворены. Гос</w:t>
      </w:r>
      <w:r w:rsidRPr="007E7DD5">
        <w:t>у</w:t>
      </w:r>
      <w:r w:rsidRPr="007E7DD5">
        <w:t xml:space="preserve">дарство-участник заявляет о том, что доля положительных решений по таким ходатайствам не является низкой, учитывая качество решений, принятых </w:t>
      </w:r>
      <w:r w:rsidR="006D2A33">
        <w:t xml:space="preserve">в </w:t>
      </w:r>
      <w:r w:rsidRPr="007E7DD5">
        <w:t>пе</w:t>
      </w:r>
      <w:r w:rsidRPr="007E7DD5">
        <w:t>р</w:t>
      </w:r>
      <w:r w:rsidRPr="007E7DD5">
        <w:t>вой инстанци</w:t>
      </w:r>
      <w:r w:rsidR="006D2A33">
        <w:t>и</w:t>
      </w:r>
      <w:r w:rsidRPr="007E7DD5">
        <w:t>.</w:t>
      </w:r>
    </w:p>
    <w:p w:rsidR="00677C46" w:rsidRDefault="00677C46" w:rsidP="00677C46">
      <w:pPr>
        <w:pStyle w:val="SingleTxtGR"/>
      </w:pPr>
      <w:r>
        <w:lastRenderedPageBreak/>
        <w:t>4.9</w:t>
      </w:r>
      <w:r>
        <w:tab/>
        <w:t>Что касается расходов на подачу ходатайства о судебном пересмотре, то государство-участник отмечает, что размер сбора за подачу ходатайства в Фед</w:t>
      </w:r>
      <w:r>
        <w:t>е</w:t>
      </w:r>
      <w:r>
        <w:t>ральный суд составляет всего лишь 50 канадских долларов. Кроме того, для п</w:t>
      </w:r>
      <w:r>
        <w:t>о</w:t>
      </w:r>
      <w:r>
        <w:t>дачи просьбы о разрешении заявитель не обязательно должен быть представлен адвокатом, а ему может помогать консультант, друг или родственник. Госуда</w:t>
      </w:r>
      <w:r>
        <w:t>р</w:t>
      </w:r>
      <w:r>
        <w:t>ство-участник отмечает, что на протяжении всех юридических процедур в К</w:t>
      </w:r>
      <w:r>
        <w:t>а</w:t>
      </w:r>
      <w:r>
        <w:t>наде заявительница была представлена адвокатом. Кроме того, правовая п</w:t>
      </w:r>
      <w:r>
        <w:t>о</w:t>
      </w:r>
      <w:r>
        <w:t>мощь, как правило, доступна на всей территории Канады, а заявительница не доказала, что она обращалась за юридической помощью, но ее просьба была отклонена. В этой связи ее утверждение о том, что она не может позволить себе подать просьбу о разрешении, является недостаточным, чтобы доказать нево</w:t>
      </w:r>
      <w:r>
        <w:t>з</w:t>
      </w:r>
      <w:r>
        <w:t>можность для нее исчерпать внутренние средства правовой защиты.</w:t>
      </w:r>
    </w:p>
    <w:p w:rsidR="00677C46" w:rsidRDefault="00677C46" w:rsidP="00677C46">
      <w:pPr>
        <w:pStyle w:val="SingleTxtGR"/>
      </w:pPr>
      <w:r>
        <w:t>4.10</w:t>
      </w:r>
      <w:r>
        <w:tab/>
        <w:t>Кроме того, государство-участник утверждает, что заявительница могла бы также подать ходатайство о разрешении подать просьбу о предоставлении ей статуса постоянного жителя Канады на основе соображений гуманности и с</w:t>
      </w:r>
      <w:r>
        <w:t>о</w:t>
      </w:r>
      <w:r>
        <w:t>страдания (ходатайство СГС). Государство-участник заявляет о том, что ход</w:t>
      </w:r>
      <w:r>
        <w:t>а</w:t>
      </w:r>
      <w:r>
        <w:t>тайство СГС является средством правовой защиты, которое больше всего по</w:t>
      </w:r>
      <w:r>
        <w:t>д</w:t>
      </w:r>
      <w:r>
        <w:t>ходит в случае тех гуманитарных соображений, о которых заявительница соо</w:t>
      </w:r>
      <w:r>
        <w:t>б</w:t>
      </w:r>
      <w:r>
        <w:t>щала в своем ходатайстве о предоставлении ей защиты в качестве беженца, где она заявила о своих близких отношениях с канадскими внуками. Положител</w:t>
      </w:r>
      <w:r>
        <w:t>ь</w:t>
      </w:r>
      <w:r>
        <w:t>ное решение по ее ходатайству СГС позволило бы ей остаться в Канаде с п</w:t>
      </w:r>
      <w:r>
        <w:t>о</w:t>
      </w:r>
      <w:r>
        <w:t xml:space="preserve">стоянным видом на жительство. Государство-участник выражает сожаление по поводу недавних решений Комитета по таким делам, как </w:t>
      </w:r>
      <w:r w:rsidRPr="00133092">
        <w:rPr>
          <w:i/>
        </w:rPr>
        <w:t>Калонзо против Кан</w:t>
      </w:r>
      <w:r w:rsidRPr="00133092">
        <w:rPr>
          <w:i/>
        </w:rPr>
        <w:t>а</w:t>
      </w:r>
      <w:r w:rsidRPr="00133092">
        <w:rPr>
          <w:i/>
        </w:rPr>
        <w:t>ды</w:t>
      </w:r>
      <w:r>
        <w:rPr>
          <w:rStyle w:val="ab"/>
        </w:rPr>
        <w:footnoteReference w:id="8"/>
      </w:r>
      <w:r>
        <w:t xml:space="preserve"> и </w:t>
      </w:r>
      <w:r w:rsidRPr="00133092">
        <w:rPr>
          <w:i/>
        </w:rPr>
        <w:t>Т.И. против Канады</w:t>
      </w:r>
      <w:r>
        <w:rPr>
          <w:rStyle w:val="ab"/>
        </w:rPr>
        <w:footnoteReference w:id="9"/>
      </w:r>
      <w:r>
        <w:t>, в которых Комитет пришел к выводу о том, что х</w:t>
      </w:r>
      <w:r>
        <w:t>о</w:t>
      </w:r>
      <w:r>
        <w:t>датайства СГС не являются средствами правовой защиты, которые должны быть исчерпаны для целей приемлемости. В частности, в данном случае ход</w:t>
      </w:r>
      <w:r>
        <w:t>а</w:t>
      </w:r>
      <w:r>
        <w:t>тайство СГС является средством правовой защиты, которое самым непосре</w:t>
      </w:r>
      <w:r>
        <w:t>д</w:t>
      </w:r>
      <w:r>
        <w:t>ственным образом применимо в отношении характера требования заявительн</w:t>
      </w:r>
      <w:r>
        <w:t>и</w:t>
      </w:r>
      <w:r>
        <w:t>цы и является потенциально наиболее эффективным. Исходя из этого, госуда</w:t>
      </w:r>
      <w:r>
        <w:t>р</w:t>
      </w:r>
      <w:r>
        <w:t>ство-участник утверждает, что в данных обстоятельствах неподача заявител</w:t>
      </w:r>
      <w:r>
        <w:t>ь</w:t>
      </w:r>
      <w:r>
        <w:t>ницей ходатайства СГС делает ее сообщение неприемлемым по причине неи</w:t>
      </w:r>
      <w:r>
        <w:t>с</w:t>
      </w:r>
      <w:r>
        <w:t>черпания внутренних средств правовой защиты.</w:t>
      </w:r>
    </w:p>
    <w:p w:rsidR="00677C46" w:rsidRDefault="00677C46" w:rsidP="00677C46">
      <w:pPr>
        <w:pStyle w:val="SingleTxtGR"/>
      </w:pPr>
      <w:r>
        <w:t>4.11</w:t>
      </w:r>
      <w:r>
        <w:tab/>
        <w:t>С другой стороны, государство-участник заявляет, что утверждения з</w:t>
      </w:r>
      <w:r>
        <w:t>а</w:t>
      </w:r>
      <w:r>
        <w:t>явительницы о том, что она подвергнется пыткам и будет убита в том случае, если вернется в Эфиопию, явно необоснованы, поскольку она до сих пор не обосновала свои утверждения даже на основе prima facie. Государство-участник заявляет о том, что Комитет может рассматривать только те сообщения, в кот</w:t>
      </w:r>
      <w:r>
        <w:t>о</w:t>
      </w:r>
      <w:r>
        <w:t>рых обоснованно утверждается о нарушениях прав, защищаемых Конвенцией</w:t>
      </w:r>
      <w:r>
        <w:rPr>
          <w:rStyle w:val="ab"/>
        </w:rPr>
        <w:footnoteReference w:id="10"/>
      </w:r>
      <w:r>
        <w:t>.</w:t>
      </w:r>
    </w:p>
    <w:p w:rsidR="00677C46" w:rsidRDefault="00677C46" w:rsidP="00CB5692">
      <w:pPr>
        <w:pStyle w:val="SingleTxtGR"/>
      </w:pPr>
      <w:r>
        <w:t>4.12</w:t>
      </w:r>
      <w:r>
        <w:tab/>
        <w:t>Государство-участник отмечает, что статья 3 Конвенции запрещает во</w:t>
      </w:r>
      <w:r>
        <w:t>з</w:t>
      </w:r>
      <w:r>
        <w:t>вращать "какое-либо лицо другому государству, если существуют серьезные о</w:t>
      </w:r>
      <w:r>
        <w:t>с</w:t>
      </w:r>
      <w:r>
        <w:t>нования полагать, что ему может угрожать там применение пыток". В замеч</w:t>
      </w:r>
      <w:r>
        <w:t>а</w:t>
      </w:r>
      <w:r>
        <w:t xml:space="preserve">нии общего порядка Комитета по статье 3 Конвенции и в его последовательных решениях по отдельным сообщениям указывается, что опасность применения пыток необходимо оценивать на основаниях, выходящих за пределы чистой теории или подозрений. Хотя эта опасность необязательно должна отвечать критерию высокой вероятности, бремя доказывания возлагается на заявителя, </w:t>
      </w:r>
      <w:r>
        <w:lastRenderedPageBreak/>
        <w:t>которому надлежит аргументированно изложить обстоятельства дела и док</w:t>
      </w:r>
      <w:r>
        <w:t>а</w:t>
      </w:r>
      <w:r>
        <w:t>зать, что грозящая ему опасность является "предсказуемой, реальной и ли</w:t>
      </w:r>
      <w:r>
        <w:t>ч</w:t>
      </w:r>
      <w:r>
        <w:t>ной"</w:t>
      </w:r>
      <w:r>
        <w:rPr>
          <w:rStyle w:val="ab"/>
        </w:rPr>
        <w:footnoteReference w:id="11"/>
      </w:r>
      <w:r>
        <w:t>. Государство-участник заявляет о том, что рассмотрение этих факторов приводит к выводу о том, что отсутствуют какие-либо серьезные основания п</w:t>
      </w:r>
      <w:r>
        <w:t>о</w:t>
      </w:r>
      <w:r>
        <w:t>лагать, что заявительнице будет угрожать опасность подвергнуться пыткам. В частности, ее утверждения являются непоследовательными, и она не подве</w:t>
      </w:r>
      <w:r>
        <w:t>р</w:t>
      </w:r>
      <w:r>
        <w:t xml:space="preserve">галась пыткам в прошлом. Кроме того, даже </w:t>
      </w:r>
      <w:r w:rsidR="00040560">
        <w:t>несмотря на то, что положение в </w:t>
      </w:r>
      <w:r>
        <w:t>области прав человека в Эфиопии является проблематичным, общее полож</w:t>
      </w:r>
      <w:r>
        <w:t>е</w:t>
      </w:r>
      <w:r>
        <w:t>ние в области прав человека в той или иной стране само по себе не является д</w:t>
      </w:r>
      <w:r>
        <w:t>о</w:t>
      </w:r>
      <w:r>
        <w:t>статочным основанием для установления того, что заявителю будет угрожать "предсказуемая, реальная и личная" угроза применения пыток в случае возвр</w:t>
      </w:r>
      <w:r>
        <w:t>а</w:t>
      </w:r>
      <w:r>
        <w:t>щения в такую страну.</w:t>
      </w:r>
    </w:p>
    <w:p w:rsidR="00677C46" w:rsidRDefault="00677C46" w:rsidP="00677C46">
      <w:pPr>
        <w:pStyle w:val="SingleTxtGR"/>
      </w:pPr>
      <w:r>
        <w:t>4.13</w:t>
      </w:r>
      <w:r>
        <w:tab/>
        <w:t>Государство-участник отмечает</w:t>
      </w:r>
      <w:r w:rsidRPr="00CA4868">
        <w:t xml:space="preserve"> </w:t>
      </w:r>
      <w:r>
        <w:t>далее, что</w:t>
      </w:r>
      <w:r w:rsidR="00040560">
        <w:t xml:space="preserve"> речь не идет о роли Комитета в </w:t>
      </w:r>
      <w:r>
        <w:t>отношении оценки доказательств или повторной оценки выводов по фактам, сделанных национальными судами и трибуналами</w:t>
      </w:r>
      <w:r>
        <w:rPr>
          <w:rStyle w:val="ab"/>
        </w:rPr>
        <w:footnoteReference w:id="12"/>
      </w:r>
      <w:r>
        <w:t>. Утверждения заявительн</w:t>
      </w:r>
      <w:r>
        <w:t>и</w:t>
      </w:r>
      <w:r>
        <w:t>цы и подтверждающие их доказательства в настоящем сообщении являются всего лишь копиями материалов, представленных компетентным внутренним судам, которые определили, что эти материалы не подтверждают угрозы пр</w:t>
      </w:r>
      <w:r>
        <w:t>и</w:t>
      </w:r>
      <w:r>
        <w:t>менения пыток в Эфиопии. Кроме того, государство-участник утверждает, что анализ доказательств и выводов, сделанных ОЗБ и уполномоченным по ОРДВ, который оценил риск, которому она может подвергнуться в случае возвращения в Эфиопию, является приемлемым и вполне обоснованным. Государство-участник ссылается на выводы, сделанные ОЗБ, который заслушал устные п</w:t>
      </w:r>
      <w:r>
        <w:t>о</w:t>
      </w:r>
      <w:r>
        <w:t>казания заявительницы и который поставил под сомнение ее утверждения вследствие наличия в них несоответствий, в результате чего важные аспекты ее утверждений были признаны маловероятными или не заслуживающими дов</w:t>
      </w:r>
      <w:r>
        <w:t>е</w:t>
      </w:r>
      <w:r>
        <w:t>рия. Государство-участник ссылается на соображения Комитета о том, что он не может рассматривать выводы о достоверности "за исключением тех случаев, к</w:t>
      </w:r>
      <w:r>
        <w:t>о</w:t>
      </w:r>
      <w:r>
        <w:t>гда совершенно очевидно, что оценка была произвольной или равнозначной о</w:t>
      </w:r>
      <w:r>
        <w:t>т</w:t>
      </w:r>
      <w:r>
        <w:t>казу в правосудии". Государство-участник отмечает, что заявительница не дел</w:t>
      </w:r>
      <w:r>
        <w:t>а</w:t>
      </w:r>
      <w:r>
        <w:t>ла никаких таких заявлений и что представленные материалы не подтверждают вывод о том, что в решениях ОЗБ имели место такие недостатки</w:t>
      </w:r>
      <w:r>
        <w:rPr>
          <w:rStyle w:val="ab"/>
        </w:rPr>
        <w:footnoteReference w:id="13"/>
      </w:r>
      <w:r>
        <w:t>.</w:t>
      </w:r>
    </w:p>
    <w:p w:rsidR="00677C46" w:rsidRDefault="00677C46" w:rsidP="00677C46">
      <w:pPr>
        <w:pStyle w:val="SingleTxtGR"/>
      </w:pPr>
      <w:r>
        <w:lastRenderedPageBreak/>
        <w:t>4.14</w:t>
      </w:r>
      <w:r>
        <w:tab/>
        <w:t>Тем не менее если Комитет склоняется к тому, чтобы пересмотреть факты и достоверность утверждений заявительницы, то тщательное рассмотрение н</w:t>
      </w:r>
      <w:r>
        <w:t>е</w:t>
      </w:r>
      <w:r>
        <w:t>которых наиболее важных вопросов явно подтверждает, что она не обосновала свои утверждения даже на основе prima facie. Государство-участник утвержд</w:t>
      </w:r>
      <w:r>
        <w:t>а</w:t>
      </w:r>
      <w:r>
        <w:t>ет, что ни одно из главных оснований, которые заявительница приводит в обо</w:t>
      </w:r>
      <w:r>
        <w:t>с</w:t>
      </w:r>
      <w:r>
        <w:t>нование предполагаемого риска подвергнуться пыткам, не было установлено на требуемом уровне доказывания или обоснования вывода о том, что ей лично будет угрожать опасность применения пыток в случае возвращения в Эфиопию. В частности, государство-участник заявляет, что рассказ заявительницы о ее аресте и содержании под стражей в 2005 году и в 2006 году не является дост</w:t>
      </w:r>
      <w:r>
        <w:t>о</w:t>
      </w:r>
      <w:r>
        <w:t>верным, поскольку налицо значительные расхождения между информацией, с</w:t>
      </w:r>
      <w:r>
        <w:t>о</w:t>
      </w:r>
      <w:r>
        <w:t>держащейся в ее ходатайстве о предоставлении защиты в качестве беженца, и ее устными показаниями в ОЗБ</w:t>
      </w:r>
      <w:r>
        <w:rPr>
          <w:rStyle w:val="ab"/>
        </w:rPr>
        <w:footnoteReference w:id="14"/>
      </w:r>
      <w:r>
        <w:t>. Государство-участник отмечает</w:t>
      </w:r>
      <w:r w:rsidRPr="00CA4868">
        <w:t xml:space="preserve"> </w:t>
      </w:r>
      <w:r>
        <w:t>далее, что не было представлено никаких объективных доказательств в поддержку утвержд</w:t>
      </w:r>
      <w:r>
        <w:t>е</w:t>
      </w:r>
      <w:r>
        <w:t>ний о предположительно имевших место арес</w:t>
      </w:r>
      <w:r w:rsidR="00040560">
        <w:t>тах. Несмотря на прозвучавшие в </w:t>
      </w:r>
      <w:r>
        <w:t xml:space="preserve">ходе слушаний в </w:t>
      </w:r>
      <w:proofErr w:type="spellStart"/>
      <w:r>
        <w:t>ОЗБ</w:t>
      </w:r>
      <w:proofErr w:type="spellEnd"/>
      <w:r>
        <w:t xml:space="preserve"> утверждения о том, что в своем письменном предста</w:t>
      </w:r>
      <w:r>
        <w:t>в</w:t>
      </w:r>
      <w:r>
        <w:t>лении она допустила ошибки, заявительница повторила точно такую же ист</w:t>
      </w:r>
      <w:r>
        <w:t>о</w:t>
      </w:r>
      <w:r>
        <w:t>рию, которая была признана ошибочной, в своем последующем ходатайстве о пров</w:t>
      </w:r>
      <w:r>
        <w:t>е</w:t>
      </w:r>
      <w:r>
        <w:t>дении ОРДВ.</w:t>
      </w:r>
    </w:p>
    <w:p w:rsidR="00677C46" w:rsidRDefault="00677C46" w:rsidP="00677C46">
      <w:pPr>
        <w:pStyle w:val="SingleTxtGR"/>
      </w:pPr>
      <w:r>
        <w:t>4.15</w:t>
      </w:r>
      <w:r>
        <w:tab/>
        <w:t>Государство-участник утверждает, что, даже если истолковывать име</w:t>
      </w:r>
      <w:r>
        <w:t>ю</w:t>
      </w:r>
      <w:r>
        <w:t>щиеся сомнения в пользу заявительницы и допустить, что она ранее содерж</w:t>
      </w:r>
      <w:r>
        <w:t>а</w:t>
      </w:r>
      <w:r>
        <w:t>лась под стражей, это ни в коей мере не поддерживает вывод о том, что она б</w:t>
      </w:r>
      <w:r>
        <w:t>у</w:t>
      </w:r>
      <w:r>
        <w:t>дет содержаться под стражей в будущем, и, в частности, не дает оснований для вывода о том, что она подвергнется пыткам и будет убита в том случае, если снова будет помещена под стражу. Государство-участник отмечает</w:t>
      </w:r>
      <w:r w:rsidRPr="00C11BC3">
        <w:t xml:space="preserve"> </w:t>
      </w:r>
      <w:r>
        <w:t>далее, что и в ЛИБ, и в ходатайстве о проведении ОРДВ заявительница признала, что она получила выездную визу от властей Эфиопии, чтобы иметь возможность уехать из Эфиопии в Канаду. Она утверждает, что намеревалась вернуться в Эфиопию, пока не узнала от своего брата, что ее мужа допрашивали о ней, что эфиопские власти выразили сожаление по поводу того, что позволили ей поехать за гран</w:t>
      </w:r>
      <w:r>
        <w:t>и</w:t>
      </w:r>
      <w:r>
        <w:t>цу, и что власти намеревались арестовать ее по возвращении. Государство-участник утверждает, что не представляется вероятным, что эфиопские власти будут проявлять больший интерес к заявителю в настоящее время, чем когда она еще находилась в Эфиопии. Если эфиопские власти испытывали озабоче</w:t>
      </w:r>
      <w:r>
        <w:t>н</w:t>
      </w:r>
      <w:r>
        <w:t>ность по поводу заявительницы в связи с ее предполагаемыми политическими убеждениями, они не выпустили бы ее после всего нескольких дней содержания под стражей и не дали бы ей разрешения на выезд из Эфиопии. Кроме того, з</w:t>
      </w:r>
      <w:r>
        <w:t>а</w:t>
      </w:r>
      <w:r>
        <w:t xml:space="preserve">явительница не утверждала, что, находясь в </w:t>
      </w:r>
      <w:r w:rsidR="00040560">
        <w:t>Канаде, она принимала участие в </w:t>
      </w:r>
      <w:r>
        <w:t>какой-либо политической деятельности, о которой могли узнать власти Эфи</w:t>
      </w:r>
      <w:r>
        <w:t>о</w:t>
      </w:r>
      <w:r>
        <w:t>пии.</w:t>
      </w:r>
    </w:p>
    <w:p w:rsidR="00677C46" w:rsidRDefault="00677C46" w:rsidP="00677C46">
      <w:pPr>
        <w:pStyle w:val="SingleTxtGR"/>
      </w:pPr>
      <w:r>
        <w:t>4.16</w:t>
      </w:r>
      <w:r>
        <w:tab/>
        <w:t>Кроме того, государство-участник отмечает утверждение заявительницы о том, что, согласно информации, содержавшейся в двух письмах, которые она получила из Эфиопии, ее муж был вновь аре</w:t>
      </w:r>
      <w:r w:rsidR="00040560">
        <w:t>стован и насильственно увезен в </w:t>
      </w:r>
      <w:r>
        <w:t>неизвестном направлении. Государство-участник отмечает, что арест ее мужа предположительно имел место в 2010 году, поскольку именно тогда эти письма были впервые представлены властям государства-участника. При этом, однако, в сообщении не было представлено никакой информации о нынешнем полож</w:t>
      </w:r>
      <w:r>
        <w:t>е</w:t>
      </w:r>
      <w:r>
        <w:lastRenderedPageBreak/>
        <w:t>нии ее мужа или о попытках каких-либо родственников или друзей в Эфиопии установить, находится ли он до сих пор под стражей в известном или неизвес</w:t>
      </w:r>
      <w:r>
        <w:t>т</w:t>
      </w:r>
      <w:r>
        <w:t>ном месте. Учитывая, что, согласно словам заявительницы, ее муж ранее пом</w:t>
      </w:r>
      <w:r>
        <w:t>е</w:t>
      </w:r>
      <w:r>
        <w:t>щался под стражу и освобождался несколько раз, государство-участник заявл</w:t>
      </w:r>
      <w:r>
        <w:t>я</w:t>
      </w:r>
      <w:r>
        <w:t>ет о том, что должны были быть предприняты некоторые попытки представить Комитету обновленную информацию. Государство-участник заявляет, что утверждение заявительницы о том, что ее муж был по</w:t>
      </w:r>
      <w:r w:rsidR="00040560">
        <w:t>мещен под стражу в </w:t>
      </w:r>
      <w:r>
        <w:t>2010 году, не подтверждается никакими проверяемыми доказательствами и никоим образом не обосновывает ее утверждения о том, что она сама может быть помещена под стражу, подвергнута пыткам и убита в случае ее возвращ</w:t>
      </w:r>
      <w:r>
        <w:t>е</w:t>
      </w:r>
      <w:r>
        <w:t>ния в Эфиопию.</w:t>
      </w:r>
    </w:p>
    <w:p w:rsidR="00677C46" w:rsidRDefault="00677C46" w:rsidP="00677C46">
      <w:pPr>
        <w:pStyle w:val="SingleTxtGR"/>
      </w:pPr>
      <w:r>
        <w:t>4.17</w:t>
      </w:r>
      <w:r>
        <w:tab/>
        <w:t>В отношении довода заявительницы о том, что ее принадлежность к э</w:t>
      </w:r>
      <w:r>
        <w:t>т</w:t>
      </w:r>
      <w:r>
        <w:t>нической группе оромо является одной из причин, по которым она может быть подвергнута притеснениям со стороны эфиопских властей, государство-участник отмечает, что на национальном уровне она заявляла, что ранее она не подвергалась притеснениям из-за своей этнической принадлежности. Госуда</w:t>
      </w:r>
      <w:r>
        <w:t>р</w:t>
      </w:r>
      <w:r>
        <w:t>ство-участник утверждает, что в этих обстоятельствах принадлежность заяв</w:t>
      </w:r>
      <w:r>
        <w:t>и</w:t>
      </w:r>
      <w:r>
        <w:t>тельницы к этнической группе оромо сама по себе не ставит ее под угрозу предсказуемой, реальной и личной опасности подвергнуться пыткам. Госуда</w:t>
      </w:r>
      <w:r>
        <w:t>р</w:t>
      </w:r>
      <w:r>
        <w:t>ство-участник принимает к сведению несколько докладов по вопросу о полож</w:t>
      </w:r>
      <w:r>
        <w:t>е</w:t>
      </w:r>
      <w:r>
        <w:t>нии в области прав человека в Эфиопии, в том числе недавние заключительные замечания Комитета по вопросу о положении в области прав человека в Эфи</w:t>
      </w:r>
      <w:r>
        <w:t>о</w:t>
      </w:r>
      <w:r>
        <w:t>пии</w:t>
      </w:r>
      <w:r>
        <w:rPr>
          <w:rStyle w:val="ab"/>
        </w:rPr>
        <w:footnoteReference w:id="15"/>
      </w:r>
      <w:r>
        <w:t>. Тем не менее, несмотря на то, что поло</w:t>
      </w:r>
      <w:r w:rsidR="00040560">
        <w:t>жение в области прав человека в </w:t>
      </w:r>
      <w:r>
        <w:t>Эфиопии является проблематичным, государство-участник утверждает, что это само по себе не является достаточным основанием для того, чтобы обесп</w:t>
      </w:r>
      <w:r>
        <w:t>е</w:t>
      </w:r>
      <w:r>
        <w:t>чить доверие к утверждениям заявительницы</w:t>
      </w:r>
      <w:r>
        <w:rPr>
          <w:rStyle w:val="ab"/>
        </w:rPr>
        <w:footnoteReference w:id="16"/>
      </w:r>
      <w:r>
        <w:t>.</w:t>
      </w:r>
    </w:p>
    <w:p w:rsidR="00677C46" w:rsidRDefault="00677C46" w:rsidP="00677C46">
      <w:pPr>
        <w:pStyle w:val="SingleTxtGR"/>
      </w:pPr>
      <w:r>
        <w:t>4.18</w:t>
      </w:r>
      <w:r>
        <w:tab/>
        <w:t>В свете вышеизложенного государство-участник утверждает, что заяв</w:t>
      </w:r>
      <w:r>
        <w:t>и</w:t>
      </w:r>
      <w:r>
        <w:t>тельница в настоящем сообщении не смогла</w:t>
      </w:r>
      <w:r w:rsidR="00040560">
        <w:t xml:space="preserve"> доказать, что она столкнется с </w:t>
      </w:r>
      <w:r>
        <w:t>предсказуемой, реальной и личной опасностью подвергнуться пыткам в сл</w:t>
      </w:r>
      <w:r>
        <w:t>у</w:t>
      </w:r>
      <w:r>
        <w:t>чае возвращения в Эфиопию. В связи с этим настоящее сообщение является я</w:t>
      </w:r>
      <w:r>
        <w:t>в</w:t>
      </w:r>
      <w:r>
        <w:t>но необоснованным и неприемлемым.</w:t>
      </w:r>
    </w:p>
    <w:p w:rsidR="00677C46" w:rsidRDefault="00677C46" w:rsidP="00677C46">
      <w:pPr>
        <w:pStyle w:val="SingleTxtGR"/>
      </w:pPr>
      <w:r>
        <w:t>4.19</w:t>
      </w:r>
      <w:r>
        <w:tab/>
        <w:t>С другой стороны, если сообщение будет признано приемлемым, гос</w:t>
      </w:r>
      <w:r>
        <w:t>у</w:t>
      </w:r>
      <w:r>
        <w:t>дарство-участник просит Комитет сделать вывод о том, что, исходя из пре</w:t>
      </w:r>
      <w:r>
        <w:t>д</w:t>
      </w:r>
      <w:r>
        <w:t>ставленной информации, настоящее сообщение не приемлемо по существу. З</w:t>
      </w:r>
      <w:r>
        <w:t>а</w:t>
      </w:r>
      <w:r>
        <w:t>явительница не смогла доказать, что ей угрожает предсказуемая, реальная и личная опасность подвергнуться пыткам в случае возвращения в Эфиопию.</w:t>
      </w:r>
    </w:p>
    <w:p w:rsidR="00677C46" w:rsidRDefault="00677C46" w:rsidP="00677C46">
      <w:pPr>
        <w:pStyle w:val="H23GR"/>
      </w:pPr>
      <w:r>
        <w:lastRenderedPageBreak/>
        <w:tab/>
      </w:r>
      <w:r>
        <w:tab/>
        <w:t>Комментарии заявителя к замечаниям государства-участника по вопросу о приемлемости и по существу сообщения</w:t>
      </w:r>
    </w:p>
    <w:p w:rsidR="00677C46" w:rsidRDefault="00677C46" w:rsidP="00677C46">
      <w:pPr>
        <w:pStyle w:val="SingleTxtGR"/>
      </w:pPr>
      <w:r>
        <w:t>5.1</w:t>
      </w:r>
      <w:r>
        <w:tab/>
        <w:t>В ответ на замечания государства-участника заявительница 30 апреля 2013 года указала, что ни одно из упомянутых государством-участником</w:t>
      </w:r>
      <w:r w:rsidRPr="00747DBD">
        <w:t xml:space="preserve"> </w:t>
      </w:r>
      <w:r>
        <w:t>средств правовой защиты, которое она якобы должна была исчерпать, не явл</w:t>
      </w:r>
      <w:r>
        <w:t>я</w:t>
      </w:r>
      <w:r>
        <w:t>ется эффективным средством правовой защиты. В связи с этим она отмечает, что в 2011 году она пыталась подать ходатайство о судебном пересмотре отр</w:t>
      </w:r>
      <w:r>
        <w:t>и</w:t>
      </w:r>
      <w:r>
        <w:t>цательного решения ОЗБ от 24 января 2011 года; тем не менее оно было откл</w:t>
      </w:r>
      <w:r>
        <w:t>о</w:t>
      </w:r>
      <w:r>
        <w:t>нено Федеральным судом 1 июня 2011 года даже без проведения слушаний. Она отмечает далее, что от 80% до 85% "апелляций по иммиграционным делам (х</w:t>
      </w:r>
      <w:r>
        <w:t>о</w:t>
      </w:r>
      <w:r>
        <w:t>датайств о судебном пересмотре)", поданных в</w:t>
      </w:r>
      <w:r w:rsidR="00040560">
        <w:t xml:space="preserve"> Федеральный суд, не приводят к </w:t>
      </w:r>
      <w:r>
        <w:t>получению разрешений на подачу апелляций, что подтверждает неэффекти</w:t>
      </w:r>
      <w:r>
        <w:t>в</w:t>
      </w:r>
      <w:r>
        <w:t>ность этого средства правовой защиты. Она отмечает</w:t>
      </w:r>
      <w:r w:rsidRPr="00747DBD">
        <w:t xml:space="preserve"> </w:t>
      </w:r>
      <w:r>
        <w:t>также, что государство-участник в своих замечаниях признало, что л</w:t>
      </w:r>
      <w:r w:rsidR="00040560">
        <w:t>ишь 14% дел "были рассмотрены в </w:t>
      </w:r>
      <w:r>
        <w:t>ходе слушаний в Федеральном суде". Заявительница отмечает выводы Ком</w:t>
      </w:r>
      <w:r>
        <w:t>и</w:t>
      </w:r>
      <w:r>
        <w:t xml:space="preserve">тета по делу </w:t>
      </w:r>
      <w:r w:rsidRPr="00747DBD">
        <w:rPr>
          <w:i/>
        </w:rPr>
        <w:t>Нирмал Сингх против Канады</w:t>
      </w:r>
      <w:r>
        <w:t xml:space="preserve"> о том, что судебный пересмотр о</w:t>
      </w:r>
      <w:r>
        <w:t>т</w:t>
      </w:r>
      <w:r>
        <w:t>рицательного решения по ходатайству о предоставлении защиты в качестве б</w:t>
      </w:r>
      <w:r>
        <w:t>е</w:t>
      </w:r>
      <w:r>
        <w:t>женца или решения по процедуре оценки риска до высылки не представляет собой эффективного средства правовой защиты</w:t>
      </w:r>
      <w:r>
        <w:rPr>
          <w:rStyle w:val="ab"/>
        </w:rPr>
        <w:footnoteReference w:id="17"/>
      </w:r>
      <w:r>
        <w:t>.</w:t>
      </w:r>
    </w:p>
    <w:p w:rsidR="00677C46" w:rsidRDefault="00677C46" w:rsidP="00677C46">
      <w:pPr>
        <w:pStyle w:val="SingleTxtGR"/>
      </w:pPr>
      <w:r>
        <w:t>5.2</w:t>
      </w:r>
      <w:r>
        <w:tab/>
        <w:t>Что касается утверждений государства-участника о том, что процедура подачи ходатайства СГС является эффективным средством правовой защиты, то заявительница отмечает, что адвокат сообщил ей, что для рассмотрения таких ходатайств требуется 24−28 месяцев и что рассмотрение ходатайства СГС не прекратит ее депортации. Адвокат также сообщил ей, что ее шансы на успех невелики, поскольку ее представления об опасности и возможных преследов</w:t>
      </w:r>
      <w:r>
        <w:t>а</w:t>
      </w:r>
      <w:r>
        <w:t>ниях в Эфиопии не являются разрешенным основанием в рамках процедуры ходатайства СГС. Кроме того, адвокат отметил, что связи заявительницы с ее дочерью и внуками в Канаде будут всего лишь одним из многих факторов при рассмотрении ходатайства СГС и что они не "обеспечат рассмотрение ходата</w:t>
      </w:r>
      <w:r>
        <w:t>й</w:t>
      </w:r>
      <w:r>
        <w:t>ства" в ее пользу. Кроме того, заявительница утверждает, что она не может по</w:t>
      </w:r>
      <w:r>
        <w:t>з</w:t>
      </w:r>
      <w:r>
        <w:t>волить себе оплатить сбор за начало процедуры подачи ходатайства, а также не может позволить себе нанять адвоката.</w:t>
      </w:r>
    </w:p>
    <w:p w:rsidR="00677C46" w:rsidRDefault="00677C46" w:rsidP="00677C46">
      <w:pPr>
        <w:pStyle w:val="SingleTxtGR"/>
      </w:pPr>
      <w:r>
        <w:t>5.3</w:t>
      </w:r>
      <w:r>
        <w:tab/>
        <w:t>Заявительница отмечает</w:t>
      </w:r>
      <w:r w:rsidRPr="00323DAC">
        <w:t xml:space="preserve"> </w:t>
      </w:r>
      <w:r>
        <w:t>далее, что ходатайство об отсрочке высылки не является эффективным механизмом, поскольку в большинстве случаев оно не останавливает и не задерживает депортацию, и что государство-участник не может гарантировать, что подача такого ходатайства остановит ее депортацию.</w:t>
      </w:r>
    </w:p>
    <w:p w:rsidR="00677C46" w:rsidRDefault="00677C46" w:rsidP="00677C46">
      <w:pPr>
        <w:pStyle w:val="H23GR"/>
      </w:pPr>
      <w:r>
        <w:tab/>
      </w:r>
      <w:r>
        <w:tab/>
        <w:t>Последующие замечания государства-участника</w:t>
      </w:r>
    </w:p>
    <w:p w:rsidR="00677C46" w:rsidRPr="000450D1" w:rsidRDefault="00677C46" w:rsidP="00677C46">
      <w:pPr>
        <w:pStyle w:val="SingleTxtGR"/>
      </w:pPr>
      <w:r>
        <w:t>6.1</w:t>
      </w:r>
      <w:r>
        <w:tab/>
        <w:t>В вербальной ноте от 24 сентября 2013 года государство-участник пре</w:t>
      </w:r>
      <w:r>
        <w:t>д</w:t>
      </w:r>
      <w:r>
        <w:t>ставило свои последующие замечания. Оно вновь повторяет свои предыдущие замечания относительно того, что заявительница не исчерпала внутренние средства правовой защиты, поскольку она не подала ходатайство о судебном пересмотре решения об ОРДВ и не подала ходатайство СГС. Кроме того, оно вновь заявляет, что ходатайство о судебном пересмотре отрицательного реш</w:t>
      </w:r>
      <w:r>
        <w:t>е</w:t>
      </w:r>
      <w:r>
        <w:t>ния по процедуре ОРДВ можно подавать параллельно с ходатайством о вынес</w:t>
      </w:r>
      <w:r>
        <w:t>е</w:t>
      </w:r>
      <w:r>
        <w:t>нии судебного решения об отсрочке высылки.</w:t>
      </w:r>
    </w:p>
    <w:p w:rsidR="003F00A6" w:rsidRPr="005B0D83" w:rsidRDefault="003F00A6" w:rsidP="00040560">
      <w:pPr>
        <w:pStyle w:val="SingleTxtGR"/>
        <w:pageBreakBefore/>
      </w:pPr>
      <w:r w:rsidRPr="005B0D83">
        <w:lastRenderedPageBreak/>
        <w:t>6.2</w:t>
      </w:r>
      <w:r w:rsidRPr="005B0D83">
        <w:tab/>
      </w:r>
      <w:r>
        <w:t>Ч</w:t>
      </w:r>
      <w:r w:rsidRPr="005B0D83">
        <w:t xml:space="preserve">то касается мнения адвоката касательно </w:t>
      </w:r>
      <w:r>
        <w:t xml:space="preserve">ее </w:t>
      </w:r>
      <w:r w:rsidRPr="005B0D83">
        <w:t xml:space="preserve">шансов на успех при подаче ходатайства СГС, </w:t>
      </w:r>
      <w:r>
        <w:t xml:space="preserve">то </w:t>
      </w:r>
      <w:r w:rsidRPr="005B0D83">
        <w:t>государство-участник заявляет, что утверждения или мн</w:t>
      </w:r>
      <w:r w:rsidRPr="005B0D83">
        <w:t>е</w:t>
      </w:r>
      <w:r>
        <w:t>ния</w:t>
      </w:r>
      <w:r w:rsidRPr="005B0D83">
        <w:t xml:space="preserve"> адвоката заявительницы не являются доказательствами и не могут сами по себе подтвердить мнение о том, что процедура СГС не представляет собой э</w:t>
      </w:r>
      <w:r w:rsidRPr="005B0D83">
        <w:t>ф</w:t>
      </w:r>
      <w:r w:rsidRPr="005B0D83">
        <w:t>фективного средства правовой защиты</w:t>
      </w:r>
      <w:r w:rsidRPr="005B0D83">
        <w:rPr>
          <w:rStyle w:val="ab"/>
          <w:spacing w:val="5"/>
          <w:w w:val="104"/>
          <w:lang w:eastAsia="ru-RU"/>
        </w:rPr>
        <w:footnoteReference w:id="18"/>
      </w:r>
      <w:r w:rsidRPr="005B0D83">
        <w:t>.</w:t>
      </w:r>
    </w:p>
    <w:p w:rsidR="003F00A6" w:rsidRPr="005B0D83" w:rsidRDefault="003F00A6" w:rsidP="003F00A6">
      <w:pPr>
        <w:pStyle w:val="SingleTxtGR"/>
      </w:pPr>
      <w:r w:rsidRPr="005B0D83">
        <w:t>6.3</w:t>
      </w:r>
      <w:r w:rsidRPr="005B0D83">
        <w:tab/>
        <w:t>В свете вышеизложенного государство-участник вновь повторяет свою просьбу о том, чтобы сообщение заявительницы было признано Комитетом н</w:t>
      </w:r>
      <w:r w:rsidRPr="005B0D83">
        <w:t>е</w:t>
      </w:r>
      <w:r w:rsidRPr="005B0D83">
        <w:t>приемлемым в силу неисчерпания внутренних средств правовой защиты.</w:t>
      </w:r>
    </w:p>
    <w:p w:rsidR="003F00A6" w:rsidRPr="005B0D83" w:rsidRDefault="003F00A6" w:rsidP="003F00A6">
      <w:pPr>
        <w:pStyle w:val="SingleTxtGR"/>
      </w:pPr>
      <w:r w:rsidRPr="005B0D83">
        <w:t>6.4</w:t>
      </w:r>
      <w:r w:rsidRPr="005B0D83">
        <w:tab/>
        <w:t>Госуд</w:t>
      </w:r>
      <w:r>
        <w:t>арство-участник утверждает, что</w:t>
      </w:r>
      <w:r w:rsidRPr="005B0D83">
        <w:t xml:space="preserve"> в той степени, в которой указыв</w:t>
      </w:r>
      <w:r w:rsidRPr="005B0D83">
        <w:t>а</w:t>
      </w:r>
      <w:r w:rsidRPr="005B0D83">
        <w:t>емые заявительницей недостатки в системе судебного пересмотра могли оказ</w:t>
      </w:r>
      <w:r w:rsidRPr="005B0D83">
        <w:t>ы</w:t>
      </w:r>
      <w:r w:rsidRPr="005B0D83">
        <w:t>вать непосредственное влияние на оценку е</w:t>
      </w:r>
      <w:r>
        <w:t>е</w:t>
      </w:r>
      <w:r w:rsidRPr="005B0D83">
        <w:t xml:space="preserve"> ходатайства о предоставлении з</w:t>
      </w:r>
      <w:r w:rsidRPr="005B0D83">
        <w:t>а</w:t>
      </w:r>
      <w:r w:rsidRPr="005B0D83">
        <w:t xml:space="preserve">щиты, эти утверждения могли и должны были </w:t>
      </w:r>
      <w:r>
        <w:t xml:space="preserve">быть </w:t>
      </w:r>
      <w:r w:rsidRPr="005B0D83">
        <w:t>представлены в первую очередь в Федеральном суде, а затем в апелляции в адрес Верховного суда К</w:t>
      </w:r>
      <w:r w:rsidRPr="005B0D83">
        <w:t>а</w:t>
      </w:r>
      <w:r w:rsidRPr="005B0D83">
        <w:t>нады</w:t>
      </w:r>
      <w:r w:rsidRPr="005B0D83">
        <w:rPr>
          <w:rStyle w:val="ab"/>
          <w:spacing w:val="5"/>
          <w:w w:val="104"/>
          <w:lang w:eastAsia="ru-RU"/>
        </w:rPr>
        <w:footnoteReference w:id="19"/>
      </w:r>
      <w:r w:rsidRPr="005B0D83">
        <w:t xml:space="preserve">. </w:t>
      </w:r>
      <w:r>
        <w:t>Постановка в Комитете</w:t>
      </w:r>
      <w:r w:rsidRPr="005B0D83">
        <w:t xml:space="preserve"> новых вопросов, будь то общего или конкретн</w:t>
      </w:r>
      <w:r w:rsidRPr="005B0D83">
        <w:t>о</w:t>
      </w:r>
      <w:r w:rsidRPr="005B0D83">
        <w:t>го характера, является одним из самых очевидных примеров того, что внутре</w:t>
      </w:r>
      <w:r w:rsidRPr="005B0D83">
        <w:t>н</w:t>
      </w:r>
      <w:r w:rsidRPr="005B0D83">
        <w:t>ние средства правовой защиты исчерпаны не были, поскольку органам власти государства-участника на национальном уровне не была предоставлена во</w:t>
      </w:r>
      <w:r w:rsidRPr="005B0D83">
        <w:t>з</w:t>
      </w:r>
      <w:r w:rsidRPr="005B0D83">
        <w:t>можность рассмотреть утверждения о конкретных или систематических нед</w:t>
      </w:r>
      <w:r w:rsidRPr="005B0D83">
        <w:t>о</w:t>
      </w:r>
      <w:r w:rsidRPr="005B0D83">
        <w:t>статках и исправить их, если, как выяснится, они действительно имели место.</w:t>
      </w:r>
    </w:p>
    <w:p w:rsidR="003F00A6" w:rsidRPr="005B0D83" w:rsidRDefault="003F00A6" w:rsidP="003F00A6">
      <w:pPr>
        <w:pStyle w:val="SingleTxtGR"/>
      </w:pPr>
      <w:r w:rsidRPr="005B0D83">
        <w:t>6.5</w:t>
      </w:r>
      <w:r w:rsidRPr="005B0D83">
        <w:tab/>
        <w:t xml:space="preserve">Далее государство-участник вновь заявляет о том, </w:t>
      </w:r>
      <w:r>
        <w:t xml:space="preserve">что </w:t>
      </w:r>
      <w:r w:rsidRPr="005B0D83">
        <w:t>неспособность з</w:t>
      </w:r>
      <w:r w:rsidRPr="005B0D83">
        <w:t>а</w:t>
      </w:r>
      <w:r w:rsidRPr="005B0D83">
        <w:t xml:space="preserve">явительницы устранить все сомнения по поводу ее истории </w:t>
      </w:r>
      <w:r>
        <w:t>явно</w:t>
      </w:r>
      <w:r w:rsidRPr="005B0D83">
        <w:t xml:space="preserve"> поддерживает вывод о том, что это сообщение является недостаточно обоснованным.</w:t>
      </w:r>
    </w:p>
    <w:p w:rsidR="003F00A6" w:rsidRPr="005B0D83" w:rsidRDefault="003F00A6" w:rsidP="003F00A6">
      <w:pPr>
        <w:pStyle w:val="SingleTxtGR"/>
      </w:pPr>
      <w:r w:rsidRPr="005B0D83">
        <w:t>6.6</w:t>
      </w:r>
      <w:r w:rsidRPr="005B0D83">
        <w:tab/>
        <w:t>Наконец, государство-участник вновь заявляет о том, что</w:t>
      </w:r>
      <w:r>
        <w:t>,</w:t>
      </w:r>
      <w:r w:rsidRPr="005B0D83">
        <w:t xml:space="preserve"> даже если и</w:t>
      </w:r>
      <w:r w:rsidRPr="005B0D83">
        <w:t>с</w:t>
      </w:r>
      <w:r w:rsidRPr="005B0D83">
        <w:t>толковывать сомнения в отношении предполагаемого содержания заявительн</w:t>
      </w:r>
      <w:r w:rsidRPr="005B0D83">
        <w:t>и</w:t>
      </w:r>
      <w:r w:rsidRPr="005B0D83">
        <w:t>цы под стражей в ее пользу, ни в какой момент времени она не заявляла о том, что она подверг</w:t>
      </w:r>
      <w:r>
        <w:t>а</w:t>
      </w:r>
      <w:r w:rsidRPr="005B0D83">
        <w:t>лась пыткам или иному ненадлежащему обращению во время содержания под стражей. Таким образом, даже если допустить, что заявител</w:t>
      </w:r>
      <w:r w:rsidRPr="005B0D83">
        <w:t>ь</w:t>
      </w:r>
      <w:r w:rsidRPr="005B0D83">
        <w:t>ница ранее содержалась под стражей, это ни в коей мере не под</w:t>
      </w:r>
      <w:r>
        <w:t>тверждает</w:t>
      </w:r>
      <w:r w:rsidRPr="005B0D83">
        <w:t xml:space="preserve"> вывод о том, что она подвергн</w:t>
      </w:r>
      <w:r>
        <w:t>ется</w:t>
      </w:r>
      <w:r w:rsidRPr="005B0D83">
        <w:t xml:space="preserve"> пыткам и будет убита, если она вновь будет пом</w:t>
      </w:r>
      <w:r w:rsidRPr="005B0D83">
        <w:t>е</w:t>
      </w:r>
      <w:r w:rsidRPr="005B0D83">
        <w:t>щена под стражу. Поэтому государство-участник утверждает, что заявительница не продемонстрировала, что она столкнется с предсказуемой, реальной и ли</w:t>
      </w:r>
      <w:r w:rsidRPr="005B0D83">
        <w:t>ч</w:t>
      </w:r>
      <w:r w:rsidRPr="005B0D83">
        <w:t>ной угрозой применения пыток в случае возвращения в Эфиопию.</w:t>
      </w:r>
    </w:p>
    <w:p w:rsidR="003F00A6" w:rsidRPr="005B0D83" w:rsidRDefault="003F00A6" w:rsidP="003F00A6">
      <w:pPr>
        <w:pStyle w:val="SingleTxtGR"/>
      </w:pPr>
      <w:r w:rsidRPr="005B0D83">
        <w:t>6.7</w:t>
      </w:r>
      <w:r w:rsidRPr="005B0D83">
        <w:tab/>
        <w:t xml:space="preserve">С учетом вышеизложенного государство-участник просит Комитет </w:t>
      </w:r>
      <w:r>
        <w:t>пр</w:t>
      </w:r>
      <w:r>
        <w:t>и</w:t>
      </w:r>
      <w:r>
        <w:t xml:space="preserve">знать </w:t>
      </w:r>
      <w:r w:rsidRPr="005B0D83">
        <w:t>настоящее сообщение неприемлемым по причине неисчерпания внутре</w:t>
      </w:r>
      <w:r w:rsidRPr="005B0D83">
        <w:t>н</w:t>
      </w:r>
      <w:r w:rsidRPr="005B0D83">
        <w:t xml:space="preserve">них средств правовой защиты. С другой стороны, сообщение заявительницы является неприемлемым по причине его необоснованности. В том случае если Комитет </w:t>
      </w:r>
      <w:r>
        <w:t>сочтет</w:t>
      </w:r>
      <w:r w:rsidRPr="005B0D83">
        <w:t>, что сообщение является приемлемым, государство-участник просит Комитет признать сообщение не имеющим существа.</w:t>
      </w:r>
    </w:p>
    <w:p w:rsidR="003F00A6" w:rsidRPr="005B0D83" w:rsidRDefault="003F00A6" w:rsidP="003F00A6">
      <w:pPr>
        <w:pStyle w:val="H23GR"/>
      </w:pPr>
      <w:r w:rsidRPr="005B0D83">
        <w:lastRenderedPageBreak/>
        <w:tab/>
      </w:r>
      <w:r w:rsidRPr="005B0D83">
        <w:tab/>
        <w:t>Вопросы и процедура их рассмотрения в Комитете</w:t>
      </w:r>
    </w:p>
    <w:p w:rsidR="003F00A6" w:rsidRPr="005B0D83" w:rsidRDefault="003F00A6" w:rsidP="003F00A6">
      <w:pPr>
        <w:pStyle w:val="H4GR"/>
      </w:pPr>
      <w:r w:rsidRPr="005B0D83">
        <w:tab/>
      </w:r>
      <w:r w:rsidRPr="005B0D83">
        <w:tab/>
        <w:t>Рассмотрение вопроса о приемлемости</w:t>
      </w:r>
    </w:p>
    <w:p w:rsidR="003F00A6" w:rsidRPr="005B0D83" w:rsidRDefault="003F00A6" w:rsidP="00B34647">
      <w:pPr>
        <w:pStyle w:val="SingleTxtGR"/>
        <w:spacing w:line="250" w:lineRule="atLeast"/>
        <w:rPr>
          <w:bCs/>
        </w:rPr>
      </w:pPr>
      <w:r w:rsidRPr="005B0D83">
        <w:rPr>
          <w:bCs/>
        </w:rPr>
        <w:t>7.1</w:t>
      </w:r>
      <w:r w:rsidRPr="005B0D83">
        <w:rPr>
          <w:bCs/>
        </w:rPr>
        <w:tab/>
        <w:t xml:space="preserve">Перед рассмотрением любых утверждений, изложенных в сообщении, Комитет должен определить, является ли оно приемлемым согласно статье 22 Конвенции. Как это предусмотрено в пункте 5 </w:t>
      </w:r>
      <w:r w:rsidRPr="005B0D83">
        <w:rPr>
          <w:bCs/>
          <w:lang w:val="x-none"/>
        </w:rPr>
        <w:t>a</w:t>
      </w:r>
      <w:r w:rsidRPr="005B0D83">
        <w:rPr>
          <w:bCs/>
        </w:rPr>
        <w:t>)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w:t>
      </w:r>
      <w:r w:rsidRPr="005B0D83">
        <w:rPr>
          <w:bCs/>
        </w:rPr>
        <w:t>а</w:t>
      </w:r>
      <w:r w:rsidRPr="005B0D83">
        <w:rPr>
          <w:bCs/>
        </w:rPr>
        <w:t>ния.</w:t>
      </w:r>
    </w:p>
    <w:p w:rsidR="003F00A6" w:rsidRPr="005B0D83" w:rsidRDefault="003F00A6" w:rsidP="00B34647">
      <w:pPr>
        <w:pStyle w:val="SingleTxtGR"/>
        <w:spacing w:line="250" w:lineRule="atLeast"/>
        <w:rPr>
          <w:bCs/>
        </w:rPr>
      </w:pPr>
      <w:r w:rsidRPr="005B0D83">
        <w:rPr>
          <w:bCs/>
        </w:rPr>
        <w:t>7.2</w:t>
      </w:r>
      <w:r w:rsidRPr="005B0D83">
        <w:rPr>
          <w:bCs/>
        </w:rPr>
        <w:tab/>
        <w:t>Комитет принимает к сведению утверждение государства-участника о том, что данное сообщение следует признат</w:t>
      </w:r>
      <w:r>
        <w:rPr>
          <w:bCs/>
        </w:rPr>
        <w:t>ь неприемлемым в соответствии с </w:t>
      </w:r>
      <w:r w:rsidRPr="005B0D83">
        <w:rPr>
          <w:bCs/>
        </w:rPr>
        <w:t xml:space="preserve">пунктом 5 </w:t>
      </w:r>
      <w:r w:rsidRPr="005B0D83">
        <w:rPr>
          <w:bCs/>
          <w:lang w:val="x-none"/>
        </w:rPr>
        <w:t>b</w:t>
      </w:r>
      <w:r w:rsidRPr="005B0D83">
        <w:rPr>
          <w:bCs/>
        </w:rPr>
        <w:t>) статьи 22 Конвенции, поскольку заяв</w:t>
      </w:r>
      <w:r w:rsidR="00040560">
        <w:rPr>
          <w:bCs/>
        </w:rPr>
        <w:t>ительница не подавала в </w:t>
      </w:r>
      <w:r w:rsidRPr="005B0D83">
        <w:rPr>
          <w:bCs/>
        </w:rPr>
        <w:t>Федеральный суд просьбы о получении разрешения на подачу ходатайства о судебном пересмотре решения по процедуре ОРДВ от 1 июня 2012 года и не подавала ходатайство о получении вида на жительство в Канаде по соображ</w:t>
      </w:r>
      <w:r w:rsidRPr="005B0D83">
        <w:rPr>
          <w:bCs/>
        </w:rPr>
        <w:t>е</w:t>
      </w:r>
      <w:r w:rsidRPr="005B0D83">
        <w:rPr>
          <w:bCs/>
        </w:rPr>
        <w:t>ниям гуманности и сострадания. Комитет принимает к сведению также довод заявительницы о том, что упомянутые средства правовой защиты в ее случае не я</w:t>
      </w:r>
      <w:r w:rsidRPr="005B0D83">
        <w:rPr>
          <w:bCs/>
        </w:rPr>
        <w:t>в</w:t>
      </w:r>
      <w:r w:rsidRPr="005B0D83">
        <w:rPr>
          <w:bCs/>
        </w:rPr>
        <w:t>ляются эффективными средствами правовой защиты.</w:t>
      </w:r>
    </w:p>
    <w:p w:rsidR="003F00A6" w:rsidRPr="005B0D83" w:rsidRDefault="003F00A6" w:rsidP="00B34647">
      <w:pPr>
        <w:pStyle w:val="SingleTxtGR"/>
        <w:spacing w:line="250" w:lineRule="atLeast"/>
        <w:rPr>
          <w:bCs/>
        </w:rPr>
      </w:pPr>
      <w:r w:rsidRPr="005B0D83">
        <w:rPr>
          <w:bCs/>
        </w:rPr>
        <w:t>7.3</w:t>
      </w:r>
      <w:r w:rsidRPr="005B0D83">
        <w:rPr>
          <w:bCs/>
        </w:rPr>
        <w:tab/>
        <w:t xml:space="preserve">Комитет отмечает, что в соответствии с пунктом 4 статьи 18.1 Канадского федерального закона о судах Федеральный суд может отменить отрицательное решение по ОРДВ в том случае, если он убедится в том, что какой-либо </w:t>
      </w:r>
      <w:r>
        <w:rPr>
          <w:bCs/>
        </w:rPr>
        <w:t>суд</w:t>
      </w:r>
      <w:r w:rsidRPr="005B0D83">
        <w:rPr>
          <w:bCs/>
        </w:rPr>
        <w:t xml:space="preserve"> </w:t>
      </w:r>
      <w:r w:rsidRPr="005B0D83">
        <w:t>действовал некомпетентно; не обеспечил соблюдение принципа естественного правосудия или проце</w:t>
      </w:r>
      <w:r>
        <w:t>ссуальной справедливости</w:t>
      </w:r>
      <w:r w:rsidRPr="005B0D83">
        <w:t>; принял решение, содержащее какую-либо правовую ошибку; принял решение, основанное на ошибочной оценке фактов; действовал или бездействовал в нарушение закона или на осн</w:t>
      </w:r>
      <w:r w:rsidRPr="005B0D83">
        <w:t>о</w:t>
      </w:r>
      <w:r w:rsidRPr="005B0D83">
        <w:t>ве лжесвидетельств; или действовал каким-либо иным противозаконным обр</w:t>
      </w:r>
      <w:r w:rsidRPr="005B0D83">
        <w:t>а</w:t>
      </w:r>
      <w:r w:rsidRPr="005B0D83">
        <w:t>зом</w:t>
      </w:r>
      <w:r w:rsidRPr="005B0D83">
        <w:rPr>
          <w:rStyle w:val="ab"/>
          <w:spacing w:val="5"/>
          <w:w w:val="104"/>
          <w:lang w:eastAsia="ru-RU"/>
        </w:rPr>
        <w:footnoteReference w:id="20"/>
      </w:r>
      <w:r w:rsidRPr="005B0D83">
        <w:t xml:space="preserve">. </w:t>
      </w:r>
      <w:r w:rsidRPr="005B0D83">
        <w:rPr>
          <w:bCs/>
        </w:rPr>
        <w:t xml:space="preserve">Комитет отмечает, что ни одно из оснований, перечисленных выше, не включает в себя рассмотрения по существу утверждений заявительницы о том, что она подвергнется </w:t>
      </w:r>
      <w:r>
        <w:rPr>
          <w:bCs/>
        </w:rPr>
        <w:t>неправомерному</w:t>
      </w:r>
      <w:r w:rsidRPr="005B0D83">
        <w:rPr>
          <w:bCs/>
        </w:rPr>
        <w:t xml:space="preserve"> о</w:t>
      </w:r>
      <w:r>
        <w:rPr>
          <w:bCs/>
        </w:rPr>
        <w:t>бращению в случае возвращения в </w:t>
      </w:r>
      <w:r w:rsidRPr="005B0D83">
        <w:rPr>
          <w:bCs/>
        </w:rPr>
        <w:t>Эфиопию</w:t>
      </w:r>
      <w:r w:rsidRPr="005B0D83">
        <w:rPr>
          <w:rStyle w:val="ab"/>
          <w:spacing w:val="5"/>
          <w:w w:val="104"/>
          <w:lang w:eastAsia="ru-RU"/>
        </w:rPr>
        <w:footnoteReference w:id="21"/>
      </w:r>
      <w:r w:rsidRPr="005B0D83">
        <w:rPr>
          <w:bCs/>
        </w:rPr>
        <w:t>.</w:t>
      </w:r>
    </w:p>
    <w:p w:rsidR="003F00A6" w:rsidRPr="005B0D83" w:rsidRDefault="003F00A6" w:rsidP="00B34647">
      <w:pPr>
        <w:pStyle w:val="SingleTxtGR"/>
        <w:spacing w:line="250" w:lineRule="atLeast"/>
      </w:pPr>
      <w:r w:rsidRPr="005B0D83">
        <w:rPr>
          <w:bCs/>
        </w:rPr>
        <w:t>7.4</w:t>
      </w:r>
      <w:r w:rsidRPr="005B0D83">
        <w:rPr>
          <w:bCs/>
        </w:rPr>
        <w:tab/>
        <w:t>Кроме того, в связи с вопросом о неподаче заявительницей ходатайства о предоставлении ей вида на жительство по соображениям гуманности и состр</w:t>
      </w:r>
      <w:r w:rsidRPr="005B0D83">
        <w:rPr>
          <w:bCs/>
        </w:rPr>
        <w:t>а</w:t>
      </w:r>
      <w:r w:rsidRPr="005B0D83">
        <w:rPr>
          <w:bCs/>
        </w:rPr>
        <w:t>дания Комитет напоминает о том, что на своей двадцать пятой сессии в закл</w:t>
      </w:r>
      <w:r w:rsidRPr="005B0D83">
        <w:rPr>
          <w:bCs/>
        </w:rPr>
        <w:t>ю</w:t>
      </w:r>
      <w:r w:rsidRPr="005B0D83">
        <w:rPr>
          <w:bCs/>
        </w:rPr>
        <w:t>чительных замечаниях, касающихся рассмотрения третьего периодического д</w:t>
      </w:r>
      <w:r w:rsidRPr="005B0D83">
        <w:rPr>
          <w:bCs/>
        </w:rPr>
        <w:t>о</w:t>
      </w:r>
      <w:r w:rsidRPr="005B0D83">
        <w:rPr>
          <w:bCs/>
        </w:rPr>
        <w:t>клада государства-участника, Комитет рассмотрел вопрос о просьбах к мин</w:t>
      </w:r>
      <w:r w:rsidRPr="005B0D83">
        <w:rPr>
          <w:bCs/>
        </w:rPr>
        <w:t>и</w:t>
      </w:r>
      <w:r>
        <w:rPr>
          <w:bCs/>
        </w:rPr>
        <w:t>стру сделать исключения</w:t>
      </w:r>
      <w:r w:rsidRPr="005B0D83">
        <w:rPr>
          <w:bCs/>
        </w:rPr>
        <w:t xml:space="preserve"> по гуманитарным соображениям. Он отметил явное отсутствие независимости государственных служащих в принятии решений по такому средству правовой защиты, а также возможность того, что то или иное лицо может быть выслано в </w:t>
      </w:r>
      <w:r>
        <w:rPr>
          <w:bCs/>
        </w:rPr>
        <w:t xml:space="preserve">тот </w:t>
      </w:r>
      <w:r w:rsidRPr="005B0D83">
        <w:rPr>
          <w:bCs/>
        </w:rPr>
        <w:t>период, когда такое ходатайство находит</w:t>
      </w:r>
      <w:r>
        <w:rPr>
          <w:bCs/>
        </w:rPr>
        <w:t>ся в </w:t>
      </w:r>
      <w:r w:rsidRPr="005B0D83">
        <w:rPr>
          <w:bCs/>
        </w:rPr>
        <w:t>стадии рассмотрения. Он отметил, что эти обстоятельства могут подорвать эффективную защиту прав, закрепленных в пункте 1 статьи 3 Конвенции. К</w:t>
      </w:r>
      <w:r w:rsidRPr="005B0D83">
        <w:rPr>
          <w:bCs/>
        </w:rPr>
        <w:t>о</w:t>
      </w:r>
      <w:r w:rsidRPr="005B0D83">
        <w:rPr>
          <w:bCs/>
        </w:rPr>
        <w:t>митет заключил, что, хотя право на получение помощи по гуманитарным соо</w:t>
      </w:r>
      <w:r w:rsidRPr="005B0D83">
        <w:rPr>
          <w:bCs/>
        </w:rPr>
        <w:t>б</w:t>
      </w:r>
      <w:r w:rsidRPr="005B0D83">
        <w:rPr>
          <w:bCs/>
        </w:rPr>
        <w:t>ражениям может являться средством правовой защиты, предусмотренным зак</w:t>
      </w:r>
      <w:r w:rsidRPr="005B0D83">
        <w:rPr>
          <w:bCs/>
        </w:rPr>
        <w:t>о</w:t>
      </w:r>
      <w:r w:rsidRPr="005B0D83">
        <w:rPr>
          <w:bCs/>
        </w:rPr>
        <w:t xml:space="preserve">ном, </w:t>
      </w:r>
      <w:r>
        <w:rPr>
          <w:bCs/>
        </w:rPr>
        <w:t xml:space="preserve">такая </w:t>
      </w:r>
      <w:r w:rsidRPr="005B0D83">
        <w:rPr>
          <w:bCs/>
        </w:rPr>
        <w:t>помощь предоставляется министром на основе исключительно гум</w:t>
      </w:r>
      <w:r w:rsidRPr="005B0D83">
        <w:rPr>
          <w:bCs/>
        </w:rPr>
        <w:t>а</w:t>
      </w:r>
      <w:r w:rsidRPr="005B0D83">
        <w:rPr>
          <w:bCs/>
        </w:rPr>
        <w:t>нитарных критериев, а не на правовой основе, и поэтому представляет собой скорее проявление благосклонности. С учетом этих соображений Комитет дел</w:t>
      </w:r>
      <w:r w:rsidRPr="005B0D83">
        <w:rPr>
          <w:bCs/>
        </w:rPr>
        <w:t>а</w:t>
      </w:r>
      <w:r w:rsidRPr="005B0D83">
        <w:rPr>
          <w:bCs/>
        </w:rPr>
        <w:lastRenderedPageBreak/>
        <w:t>ет вывод о том, что в данном случае неисчерпание заявительницей средств пр</w:t>
      </w:r>
      <w:r w:rsidRPr="005B0D83">
        <w:rPr>
          <w:bCs/>
        </w:rPr>
        <w:t>а</w:t>
      </w:r>
      <w:r w:rsidRPr="005B0D83">
        <w:rPr>
          <w:bCs/>
        </w:rPr>
        <w:t xml:space="preserve">вовой защиты не является препятствием для </w:t>
      </w:r>
      <w:r>
        <w:rPr>
          <w:bCs/>
        </w:rPr>
        <w:t xml:space="preserve">признания </w:t>
      </w:r>
      <w:r w:rsidRPr="005B0D83">
        <w:rPr>
          <w:bCs/>
        </w:rPr>
        <w:t>приемлемости сообщ</w:t>
      </w:r>
      <w:r w:rsidRPr="005B0D83">
        <w:rPr>
          <w:bCs/>
        </w:rPr>
        <w:t>е</w:t>
      </w:r>
      <w:r w:rsidRPr="005B0D83">
        <w:rPr>
          <w:bCs/>
        </w:rPr>
        <w:t>ния</w:t>
      </w:r>
      <w:r w:rsidRPr="005B0D83">
        <w:rPr>
          <w:rStyle w:val="ab"/>
          <w:spacing w:val="5"/>
          <w:w w:val="104"/>
          <w:lang w:eastAsia="ru-RU"/>
        </w:rPr>
        <w:footnoteReference w:id="22"/>
      </w:r>
      <w:r w:rsidRPr="005B0D83">
        <w:rPr>
          <w:bCs/>
        </w:rPr>
        <w:t>.</w:t>
      </w:r>
    </w:p>
    <w:p w:rsidR="003F00A6" w:rsidRPr="005B0D83" w:rsidRDefault="003F00A6" w:rsidP="003F00A6">
      <w:pPr>
        <w:pStyle w:val="SingleTxtGR"/>
      </w:pPr>
      <w:r w:rsidRPr="005B0D83">
        <w:t>7.5</w:t>
      </w:r>
      <w:r w:rsidRPr="005B0D83">
        <w:tab/>
        <w:t xml:space="preserve">Комитет считает, что для целей установления приемлемости сообщения </w:t>
      </w:r>
      <w:r>
        <w:t>заявление</w:t>
      </w:r>
      <w:r w:rsidRPr="005B0D83">
        <w:t xml:space="preserve"> </w:t>
      </w:r>
      <w:r>
        <w:t>автора, поднимающе</w:t>
      </w:r>
      <w:r w:rsidRPr="005B0D83">
        <w:t>е вопросы в связи со статьей 3 Пакта, явля</w:t>
      </w:r>
      <w:r>
        <w:t>ется в </w:t>
      </w:r>
      <w:r w:rsidRPr="005B0D83">
        <w:t>доста</w:t>
      </w:r>
      <w:r>
        <w:t>точной степени обоснованным</w:t>
      </w:r>
      <w:r w:rsidRPr="005B0D83">
        <w:t xml:space="preserve">, объявляет </w:t>
      </w:r>
      <w:r>
        <w:t>его приемлемым</w:t>
      </w:r>
      <w:r w:rsidRPr="005B0D83">
        <w:t xml:space="preserve"> и переходит к </w:t>
      </w:r>
      <w:r>
        <w:t>его</w:t>
      </w:r>
      <w:r w:rsidRPr="005B0D83">
        <w:t xml:space="preserve"> рассмотрению по существу.</w:t>
      </w:r>
    </w:p>
    <w:p w:rsidR="003F00A6" w:rsidRPr="005B0D83" w:rsidRDefault="003F00A6" w:rsidP="003F00A6">
      <w:pPr>
        <w:pStyle w:val="H4GR"/>
      </w:pPr>
      <w:r w:rsidRPr="005B0D83">
        <w:tab/>
      </w:r>
      <w:r w:rsidRPr="005B0D83">
        <w:tab/>
        <w:t>Рассмотрение по существу</w:t>
      </w:r>
    </w:p>
    <w:p w:rsidR="003F00A6" w:rsidRPr="005B0D83" w:rsidRDefault="003F00A6" w:rsidP="003F00A6">
      <w:pPr>
        <w:pStyle w:val="SingleTxtGR"/>
      </w:pPr>
      <w:r w:rsidRPr="005B0D83">
        <w:t>8.1</w:t>
      </w:r>
      <w:r w:rsidRPr="005B0D83">
        <w:tab/>
        <w:t xml:space="preserve">В соответствии с пунктом </w:t>
      </w:r>
      <w:r>
        <w:t>4</w:t>
      </w:r>
      <w:r w:rsidRPr="005B0D83">
        <w:t xml:space="preserve"> статьи </w:t>
      </w:r>
      <w:r>
        <w:t>22</w:t>
      </w:r>
      <w:r w:rsidRPr="005B0D83">
        <w:t xml:space="preserve"> Конвенции Комитет рассмотрел настоящее сообщение в свете всей информации, представленной ему заинтер</w:t>
      </w:r>
      <w:r w:rsidRPr="005B0D83">
        <w:t>е</w:t>
      </w:r>
      <w:r w:rsidRPr="005B0D83">
        <w:t>сованными сторонами.</w:t>
      </w:r>
    </w:p>
    <w:p w:rsidR="003F00A6" w:rsidRPr="005B0D83" w:rsidRDefault="003F00A6" w:rsidP="003F00A6">
      <w:pPr>
        <w:pStyle w:val="SingleTxtGR"/>
      </w:pPr>
      <w:r w:rsidRPr="005B0D83">
        <w:t>8.2</w:t>
      </w:r>
      <w:r w:rsidRPr="005B0D83">
        <w:tab/>
      </w:r>
      <w:r>
        <w:t xml:space="preserve">В данном деле </w:t>
      </w:r>
      <w:r w:rsidRPr="005B0D83">
        <w:t>Комитету надлежит определить, нарушит ли государство-участник в слу</w:t>
      </w:r>
      <w:r>
        <w:t>чае высылки заявительницы</w:t>
      </w:r>
      <w:r w:rsidRPr="005B0D83">
        <w:t xml:space="preserve"> в </w:t>
      </w:r>
      <w:r>
        <w:t>Эфиопию возложенное на него в </w:t>
      </w:r>
      <w:r w:rsidRPr="005B0D83">
        <w:t>соответствии со статьей 3 Конвенции обязательство не высылать или не во</w:t>
      </w:r>
      <w:r w:rsidRPr="005B0D83">
        <w:t>з</w:t>
      </w:r>
      <w:r w:rsidRPr="005B0D83">
        <w:t>вращать ("</w:t>
      </w:r>
      <w:r w:rsidRPr="005B0D83">
        <w:rPr>
          <w:lang w:val="x-none"/>
        </w:rPr>
        <w:t>refouler</w:t>
      </w:r>
      <w:r w:rsidRPr="005B0D83">
        <w:t>") какое-либо лицо другому государству, если существуют с</w:t>
      </w:r>
      <w:r w:rsidRPr="005B0D83">
        <w:t>е</w:t>
      </w:r>
      <w:r w:rsidRPr="005B0D83">
        <w:t>рьезные основания полагать, что ему или ей может угрожать там применение пыток.</w:t>
      </w:r>
    </w:p>
    <w:p w:rsidR="003F00A6" w:rsidRPr="005B0D83" w:rsidRDefault="003F00A6" w:rsidP="003F00A6">
      <w:pPr>
        <w:pStyle w:val="SingleTxtGR"/>
        <w:rPr>
          <w:bCs/>
        </w:rPr>
      </w:pPr>
      <w:r w:rsidRPr="005B0D83">
        <w:rPr>
          <w:bCs/>
        </w:rPr>
        <w:t>8.3</w:t>
      </w:r>
      <w:r w:rsidRPr="005B0D83">
        <w:rPr>
          <w:bCs/>
        </w:rPr>
        <w:tab/>
        <w:t>Комитет должен оценить, имеются ли серьезные основания полагать, что после возвращения заявителя в страну происхождения ему будет лично угр</w:t>
      </w:r>
      <w:r w:rsidRPr="005B0D83">
        <w:rPr>
          <w:bCs/>
        </w:rPr>
        <w:t>о</w:t>
      </w:r>
      <w:r w:rsidRPr="005B0D83">
        <w:rPr>
          <w:bCs/>
        </w:rPr>
        <w:t>жать опасность применения пыток. При оценке такого риска Комитет должен принимать во внимание все соответствующ</w:t>
      </w:r>
      <w:r>
        <w:rPr>
          <w:bCs/>
        </w:rPr>
        <w:t>ие соображения в соответствии с </w:t>
      </w:r>
      <w:r w:rsidRPr="005B0D83">
        <w:rPr>
          <w:bCs/>
        </w:rPr>
        <w:t>пунктом 2 статьи 3 Конвенции, включая существование практики грубых, в</w:t>
      </w:r>
      <w:r w:rsidRPr="005B0D83">
        <w:rPr>
          <w:bCs/>
        </w:rPr>
        <w:t>о</w:t>
      </w:r>
      <w:r w:rsidRPr="005B0D83">
        <w:rPr>
          <w:bCs/>
        </w:rPr>
        <w:t>пиющих или массовых нарушений прав человека. Вместе с тем Комитет нап</w:t>
      </w:r>
      <w:r w:rsidRPr="005B0D83">
        <w:rPr>
          <w:bCs/>
        </w:rPr>
        <w:t>о</w:t>
      </w:r>
      <w:r w:rsidRPr="005B0D83">
        <w:rPr>
          <w:bCs/>
        </w:rPr>
        <w:t>минает, что целью такой оценки является определение того, будет ли лично данному лицу угрожать предсказуемая и реальная опасность применения пыток в стране, в которую оно подлежит возвращению. Однако практика вопиющих грубых или массовых нарушений прав человека в стране сама по себе не явл</w:t>
      </w:r>
      <w:r w:rsidRPr="005B0D83">
        <w:rPr>
          <w:bCs/>
        </w:rPr>
        <w:t>я</w:t>
      </w:r>
      <w:r w:rsidRPr="005B0D83">
        <w:rPr>
          <w:bCs/>
        </w:rPr>
        <w:t>ется достаточной причиной для определения того, что тому или иному конкре</w:t>
      </w:r>
      <w:r w:rsidRPr="005B0D83">
        <w:rPr>
          <w:bCs/>
        </w:rPr>
        <w:t>т</w:t>
      </w:r>
      <w:r w:rsidRPr="005B0D83">
        <w:rPr>
          <w:bCs/>
        </w:rPr>
        <w:t>ному лицу будет угрожать опасность подвергнуться пыткам в случае его во</w:t>
      </w:r>
      <w:r w:rsidRPr="005B0D83">
        <w:rPr>
          <w:bCs/>
        </w:rPr>
        <w:t>з</w:t>
      </w:r>
      <w:r w:rsidRPr="005B0D83">
        <w:rPr>
          <w:bCs/>
        </w:rPr>
        <w:t xml:space="preserve">вращения в страну; </w:t>
      </w:r>
      <w:r w:rsidRPr="005B0D83">
        <w:t>для доказательства того, что данное конкретное лицо будет лично подвергаться такой опасности, необходимо выдвинуть дополнительные аргументы</w:t>
      </w:r>
      <w:r w:rsidRPr="005B0D83">
        <w:rPr>
          <w:bCs/>
        </w:rPr>
        <w:t>. Напротив, отсутствие постоянной практики грубых нарушений прав человека не означает, что какое-либо отдельное лицо не может подвергнут</w:t>
      </w:r>
      <w:r>
        <w:rPr>
          <w:bCs/>
        </w:rPr>
        <w:t>ься</w:t>
      </w:r>
      <w:r w:rsidRPr="005B0D83">
        <w:rPr>
          <w:bCs/>
        </w:rPr>
        <w:t xml:space="preserve"> пыткам в конкретных обстоятельствах его положения.</w:t>
      </w:r>
    </w:p>
    <w:p w:rsidR="003F00A6" w:rsidRPr="005B0D83" w:rsidRDefault="003F00A6" w:rsidP="003F00A6">
      <w:pPr>
        <w:pStyle w:val="SingleTxtGR"/>
      </w:pPr>
      <w:r w:rsidRPr="005B0D83">
        <w:t>8.4</w:t>
      </w:r>
      <w:r w:rsidRPr="005B0D83">
        <w:tab/>
        <w:t>Комитет ссылается на свое замечание общего порядка № 1 относительно осуществления статьи 3, в соответствии с которым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вероятности"</w:t>
      </w:r>
      <w:r w:rsidRPr="005B0D83">
        <w:rPr>
          <w:rStyle w:val="ab"/>
          <w:spacing w:val="5"/>
          <w:w w:val="104"/>
          <w:lang w:eastAsia="ru-RU"/>
        </w:rPr>
        <w:footnoteReference w:id="23"/>
      </w:r>
      <w:r w:rsidRPr="005B0D83">
        <w:t>, К</w:t>
      </w:r>
      <w:r w:rsidRPr="005B0D83">
        <w:t>о</w:t>
      </w:r>
      <w:r w:rsidRPr="005B0D83">
        <w:t>митет напоминает, что бремя доказывания обычно лежит на заявителе, который должен аргументирован</w:t>
      </w:r>
      <w:r w:rsidR="00315C59">
        <w:t>н</w:t>
      </w:r>
      <w:r w:rsidRPr="005B0D83">
        <w:t>о изложить, что ему угрожает "предсказуемая, реал</w:t>
      </w:r>
      <w:r w:rsidRPr="005B0D83">
        <w:t>ь</w:t>
      </w:r>
      <w:r w:rsidRPr="005B0D83">
        <w:t>ная и личная" опасность</w:t>
      </w:r>
      <w:r w:rsidRPr="005B0D83">
        <w:rPr>
          <w:rStyle w:val="ab"/>
          <w:spacing w:val="5"/>
          <w:w w:val="104"/>
          <w:lang w:eastAsia="ru-RU"/>
        </w:rPr>
        <w:footnoteReference w:id="24"/>
      </w:r>
      <w:r w:rsidRPr="005B0D83">
        <w:t>. Комитет также напоминает о том, что согласно п</w:t>
      </w:r>
      <w:r w:rsidRPr="005B0D83">
        <w:t>о</w:t>
      </w:r>
      <w:r w:rsidRPr="005B0D83">
        <w:t>ложениям своего замечания общего порядка № 1 он в значительной степени опирается на заявления по фактической стороне дела, подготовленные орган</w:t>
      </w:r>
      <w:r w:rsidRPr="005B0D83">
        <w:t>а</w:t>
      </w:r>
      <w:r w:rsidRPr="005B0D83">
        <w:lastRenderedPageBreak/>
        <w:t>ми соответствующего государства-участника, но при этом не считает себя св</w:t>
      </w:r>
      <w:r w:rsidRPr="005B0D83">
        <w:t>я</w:t>
      </w:r>
      <w:r w:rsidRPr="005B0D83">
        <w:t>занным такими заключениями и исходит из того, что в соответствии с пунктом 4 с</w:t>
      </w:r>
      <w:r>
        <w:t>татьи </w:t>
      </w:r>
      <w:r w:rsidRPr="005B0D83">
        <w:t>22 Конвенции он правомочен свободно оценивать факты с учетом всех обстоятельств по каждому конкретному делу</w:t>
      </w:r>
      <w:r w:rsidRPr="005B0D83">
        <w:rPr>
          <w:rStyle w:val="ab"/>
          <w:spacing w:val="5"/>
          <w:w w:val="104"/>
          <w:lang w:eastAsia="ru-RU"/>
        </w:rPr>
        <w:footnoteReference w:id="25"/>
      </w:r>
      <w:r w:rsidRPr="005B0D83">
        <w:t>.</w:t>
      </w:r>
    </w:p>
    <w:p w:rsidR="003F00A6" w:rsidRPr="005B0D83" w:rsidRDefault="003F00A6" w:rsidP="003F00A6">
      <w:pPr>
        <w:pStyle w:val="SingleTxtGR"/>
      </w:pPr>
      <w:r w:rsidRPr="005B0D83">
        <w:t>8.5</w:t>
      </w:r>
      <w:r w:rsidRPr="005B0D83">
        <w:tab/>
        <w:t>Заявительница утверждает, что в Эфиопии она может подвергнут</w:t>
      </w:r>
      <w:r>
        <w:t>ься</w:t>
      </w:r>
      <w:r w:rsidRPr="005B0D83">
        <w:t xml:space="preserve"> пы</w:t>
      </w:r>
      <w:r w:rsidRPr="005B0D83">
        <w:t>т</w:t>
      </w:r>
      <w:r w:rsidRPr="005B0D83">
        <w:t>кам и быть убита из-за своего этнического происхождения, а также ее предп</w:t>
      </w:r>
      <w:r w:rsidRPr="005B0D83">
        <w:t>о</w:t>
      </w:r>
      <w:r w:rsidRPr="005B0D83">
        <w:t>лагаемо</w:t>
      </w:r>
      <w:r>
        <w:t>й</w:t>
      </w:r>
      <w:r w:rsidRPr="005B0D83">
        <w:t xml:space="preserve"> </w:t>
      </w:r>
      <w:r>
        <w:t>причастности к</w:t>
      </w:r>
      <w:r w:rsidRPr="005B0D83">
        <w:t xml:space="preserve"> ФОО; ее ареста в прошлом; </w:t>
      </w:r>
      <w:r>
        <w:t>сохраняющегося</w:t>
      </w:r>
      <w:r w:rsidRPr="005B0D83">
        <w:t xml:space="preserve"> интереса полиции безопасности к ее местонахождению; а также насильственного исче</w:t>
      </w:r>
      <w:r w:rsidRPr="005B0D83">
        <w:t>з</w:t>
      </w:r>
      <w:r w:rsidRPr="005B0D83">
        <w:t>новения ее мужа.</w:t>
      </w:r>
    </w:p>
    <w:p w:rsidR="003F00A6" w:rsidRPr="005B0D83" w:rsidRDefault="003F00A6" w:rsidP="003F00A6">
      <w:pPr>
        <w:pStyle w:val="SingleTxtGR"/>
        <w:rPr>
          <w:bCs/>
        </w:rPr>
      </w:pPr>
      <w:r w:rsidRPr="005B0D83">
        <w:t>8.6</w:t>
      </w:r>
      <w:r w:rsidRPr="005B0D83">
        <w:tab/>
        <w:t>Комитет отмечает, что заявительница не представила каких-либо объе</w:t>
      </w:r>
      <w:r w:rsidRPr="005B0D83">
        <w:t>к</w:t>
      </w:r>
      <w:r w:rsidRPr="005B0D83">
        <w:t>тивных доказательств, подтверждающих, что ей будет угрожать опасность по</w:t>
      </w:r>
      <w:r w:rsidRPr="005B0D83">
        <w:t>д</w:t>
      </w:r>
      <w:r w:rsidRPr="005B0D83">
        <w:t>вергнуться пыткам со стороны властей в случае возвращения в Эфиопию. К</w:t>
      </w:r>
      <w:r w:rsidRPr="005B0D83">
        <w:t>о</w:t>
      </w:r>
      <w:r w:rsidRPr="005B0D83">
        <w:t xml:space="preserve">митет отмечает, в </w:t>
      </w:r>
      <w:r>
        <w:t>частности, утверждение заявительницы</w:t>
      </w:r>
      <w:r w:rsidRPr="005B0D83">
        <w:t xml:space="preserve"> о том, что всю свою жизнь она была лицом без какой бы то ни было политической принадлежности. Кроме того, он принимает к сведению замечание государства-участника о том, что заявительница не предпринимала никаких попыток, чтобы разъяснить внутренним органам власти противоречия в своих утверждениях в отношении ее предполагаемого ареста и содержания под </w:t>
      </w:r>
      <w:r>
        <w:t>стражей в Эфиопии в 2005 и 2006 </w:t>
      </w:r>
      <w:r w:rsidRPr="005B0D83">
        <w:t xml:space="preserve">годах, предполагаемого </w:t>
      </w:r>
      <w:r>
        <w:t>сохраняющегося</w:t>
      </w:r>
      <w:r w:rsidRPr="005B0D83">
        <w:t xml:space="preserve"> интереса эфиопских властей к ее местонахождению и деятельности, а также ареста ее мужа, его нынешнего п</w:t>
      </w:r>
      <w:r w:rsidRPr="005B0D83">
        <w:t>о</w:t>
      </w:r>
      <w:r w:rsidRPr="005B0D83">
        <w:t>ложения и местонахождения. Эти противоречия не были также прояснены з</w:t>
      </w:r>
      <w:r w:rsidRPr="005B0D83">
        <w:t>а</w:t>
      </w:r>
      <w:r w:rsidRPr="005B0D83">
        <w:t>явительницей в ее сообщении в адрес Комитета. Комитет отмечает, что заяв</w:t>
      </w:r>
      <w:r w:rsidRPr="005B0D83">
        <w:t>и</w:t>
      </w:r>
      <w:r w:rsidRPr="005B0D83">
        <w:t>тельница имела широкие возможности для того, чтобы обосновать и прояснить свои утверждения на национальном уровне в ОЗБ и в рамках процедуры ОРДВ, а также в контексте настоящего сообщения. Кроме того, заявительница не пре</w:t>
      </w:r>
      <w:r w:rsidRPr="005B0D83">
        <w:t>д</w:t>
      </w:r>
      <w:r w:rsidRPr="005B0D83">
        <w:t>ставила Комитету каких-либо объективных документальных доказательств, т</w:t>
      </w:r>
      <w:r w:rsidRPr="005B0D83">
        <w:t>а</w:t>
      </w:r>
      <w:r w:rsidRPr="005B0D83">
        <w:t>ких как копии повесток или ордера на арест, в поддержку своей версии событий и своих утверждений.</w:t>
      </w:r>
    </w:p>
    <w:p w:rsidR="003F00A6" w:rsidRPr="005B0D83" w:rsidRDefault="003F00A6" w:rsidP="003F00A6">
      <w:pPr>
        <w:pStyle w:val="SingleTxtGR"/>
      </w:pPr>
      <w:r w:rsidRPr="005B0D83">
        <w:rPr>
          <w:bCs/>
        </w:rPr>
        <w:t>8.7</w:t>
      </w:r>
      <w:r w:rsidRPr="005B0D83">
        <w:rPr>
          <w:bCs/>
        </w:rPr>
        <w:tab/>
        <w:t>Кроме того, Комитет напоминает, что одни только случаи нарушения прав человека в стране происхождения заявительницы не являются достаточным о</w:t>
      </w:r>
      <w:r w:rsidRPr="005B0D83">
        <w:rPr>
          <w:bCs/>
        </w:rPr>
        <w:t>с</w:t>
      </w:r>
      <w:r w:rsidRPr="005B0D83">
        <w:rPr>
          <w:bCs/>
        </w:rPr>
        <w:t>нованием для того, чтобы он пришел к выводу о том, что заявительнице лично угрожает опасность</w:t>
      </w:r>
      <w:r>
        <w:rPr>
          <w:bCs/>
        </w:rPr>
        <w:t xml:space="preserve"> применения</w:t>
      </w:r>
      <w:r w:rsidRPr="005B0D83">
        <w:rPr>
          <w:bCs/>
        </w:rPr>
        <w:t xml:space="preserve"> пыток. Комитет отмечает, что заявительница не утверждает, что ей лично когда-либо угрожало применение пыток, а также какого бы то ни было </w:t>
      </w:r>
      <w:r>
        <w:rPr>
          <w:bCs/>
        </w:rPr>
        <w:t>неправомерного обращения и наказания</w:t>
      </w:r>
      <w:r w:rsidRPr="005B0D83">
        <w:rPr>
          <w:bCs/>
        </w:rPr>
        <w:t xml:space="preserve"> в Эфиопии до ее выезда в Канаду, за исключением ее утверждения, касающегося предполож</w:t>
      </w:r>
      <w:r w:rsidRPr="005B0D83">
        <w:rPr>
          <w:bCs/>
        </w:rPr>
        <w:t>и</w:t>
      </w:r>
      <w:r w:rsidRPr="005B0D83">
        <w:rPr>
          <w:bCs/>
        </w:rPr>
        <w:t>тельного насильственного исчезновения ее мужа. Кроме того, Комитет отмечает также, что она не представила какой-либо информации или аргументов, по</w:t>
      </w:r>
      <w:r w:rsidRPr="005B0D83">
        <w:rPr>
          <w:bCs/>
        </w:rPr>
        <w:t>д</w:t>
      </w:r>
      <w:r w:rsidRPr="005B0D83">
        <w:rPr>
          <w:bCs/>
        </w:rPr>
        <w:t>тверждающих, что ей лично будет угрожа</w:t>
      </w:r>
      <w:r>
        <w:rPr>
          <w:bCs/>
        </w:rPr>
        <w:t>ть опасность применения пыток в </w:t>
      </w:r>
      <w:r w:rsidRPr="005B0D83">
        <w:rPr>
          <w:bCs/>
        </w:rPr>
        <w:t>случае ее возвращения в Эфиопию</w:t>
      </w:r>
      <w:r w:rsidRPr="005B0D83">
        <w:rPr>
          <w:rStyle w:val="ab"/>
          <w:spacing w:val="5"/>
          <w:w w:val="104"/>
          <w:lang w:eastAsia="ru-RU"/>
        </w:rPr>
        <w:footnoteReference w:id="26"/>
      </w:r>
      <w:r w:rsidRPr="005B0D83">
        <w:rPr>
          <w:bCs/>
        </w:rPr>
        <w:t>.</w:t>
      </w:r>
    </w:p>
    <w:p w:rsidR="003F00A6" w:rsidRPr="005B0D83" w:rsidRDefault="003F00A6" w:rsidP="003F00A6">
      <w:pPr>
        <w:pStyle w:val="SingleTxtGR"/>
      </w:pPr>
      <w:r>
        <w:t>9.</w:t>
      </w:r>
      <w:r w:rsidRPr="005B0D83">
        <w:tab/>
        <w:t>В данных обстоятельствах и при отсутствии любой другой соответств</w:t>
      </w:r>
      <w:r w:rsidRPr="005B0D83">
        <w:t>у</w:t>
      </w:r>
      <w:r w:rsidRPr="005B0D83">
        <w:t>ющей информации в материалах дела Комитет считает, что заявительница не представила достаточных доказательств того, что в случае ее</w:t>
      </w:r>
      <w:r>
        <w:t xml:space="preserve"> принудительного</w:t>
      </w:r>
      <w:r w:rsidRPr="005B0D83">
        <w:t xml:space="preserve"> возвращения в страну происхождения ей будет угрожать предсказуемая, реал</w:t>
      </w:r>
      <w:r w:rsidRPr="005B0D83">
        <w:t>ь</w:t>
      </w:r>
      <w:r w:rsidRPr="005B0D83">
        <w:t xml:space="preserve">ная и личная опасность </w:t>
      </w:r>
      <w:r>
        <w:t>подвергнуться пыткам</w:t>
      </w:r>
      <w:r w:rsidRPr="005B0D83">
        <w:t>.</w:t>
      </w:r>
    </w:p>
    <w:p w:rsidR="003F00A6" w:rsidRPr="005B0D83" w:rsidRDefault="003F00A6" w:rsidP="00B34647">
      <w:pPr>
        <w:pStyle w:val="SingleTxtGR"/>
        <w:pageBreakBefore/>
      </w:pPr>
      <w:r>
        <w:lastRenderedPageBreak/>
        <w:t>10.</w:t>
      </w:r>
      <w:r w:rsidRPr="005B0D83">
        <w:tab/>
      </w:r>
      <w:r>
        <w:t>Исходя из этого,</w:t>
      </w:r>
      <w:r w:rsidRPr="005B0D83">
        <w:t xml:space="preserve"> Комитет против пыток, действуя в соответствии с пун</w:t>
      </w:r>
      <w:r w:rsidRPr="005B0D83">
        <w:t>к</w:t>
      </w:r>
      <w:r w:rsidRPr="005B0D83">
        <w:t xml:space="preserve">том 7 статьи 22 Конвенции против пыток и других жестоких, бесчеловечных или унижающих достоинство видов обращения и наказания, </w:t>
      </w:r>
      <w:r>
        <w:t>заключает</w:t>
      </w:r>
      <w:r w:rsidRPr="005B0D83">
        <w:t xml:space="preserve">, что </w:t>
      </w:r>
      <w:r>
        <w:t>возвращение</w:t>
      </w:r>
      <w:r w:rsidRPr="005B0D83">
        <w:t xml:space="preserve"> за</w:t>
      </w:r>
      <w:r>
        <w:t>явительницы</w:t>
      </w:r>
      <w:r w:rsidRPr="005B0D83">
        <w:t xml:space="preserve"> в Эфиопию не будет представлять собой наруш</w:t>
      </w:r>
      <w:r w:rsidRPr="005B0D83">
        <w:t>е</w:t>
      </w:r>
      <w:r w:rsidRPr="005B0D83">
        <w:t>ние статьи 3 Конвенции</w:t>
      </w:r>
      <w:r w:rsidRPr="004A7566">
        <w:t xml:space="preserve"> </w:t>
      </w:r>
      <w:r w:rsidRPr="005B0D83">
        <w:t>государством-участником.</w:t>
      </w:r>
    </w:p>
    <w:p w:rsidR="003F00A6" w:rsidRPr="005B0D83" w:rsidRDefault="003F00A6" w:rsidP="003F00A6">
      <w:pPr>
        <w:spacing w:before="240"/>
        <w:jc w:val="center"/>
        <w:rPr>
          <w:u w:val="single"/>
        </w:rPr>
      </w:pPr>
      <w:r w:rsidRPr="005B0D83">
        <w:rPr>
          <w:u w:val="single"/>
        </w:rPr>
        <w:tab/>
      </w:r>
      <w:r w:rsidRPr="005B0D83">
        <w:rPr>
          <w:u w:val="single"/>
        </w:rPr>
        <w:tab/>
      </w:r>
      <w:r w:rsidRPr="005B0D83">
        <w:rPr>
          <w:u w:val="single"/>
        </w:rPr>
        <w:tab/>
      </w:r>
    </w:p>
    <w:p w:rsidR="00562BB7" w:rsidRPr="003F00A6" w:rsidRDefault="00562BB7" w:rsidP="00A90419">
      <w:pPr>
        <w:pStyle w:val="SingleTxtGR"/>
      </w:pPr>
    </w:p>
    <w:sectPr w:rsidR="00562BB7" w:rsidRPr="003F00A6" w:rsidSect="00F90607">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B8" w:rsidRDefault="004F36B8">
      <w:r>
        <w:rPr>
          <w:lang w:val="en-US"/>
        </w:rPr>
        <w:tab/>
      </w:r>
      <w:r>
        <w:separator/>
      </w:r>
    </w:p>
  </w:endnote>
  <w:endnote w:type="continuationSeparator" w:id="0">
    <w:p w:rsidR="004F36B8" w:rsidRDefault="004F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8" w:rsidRPr="00B74BE2" w:rsidRDefault="004F36B8">
    <w:pPr>
      <w:pStyle w:val="ac"/>
      <w:rPr>
        <w:szCs w:val="16"/>
        <w:lang w:val="en-US"/>
      </w:rPr>
    </w:pPr>
    <w:r>
      <w:rPr>
        <w:rStyle w:val="ad"/>
      </w:rPr>
      <w:fldChar w:fldCharType="begin"/>
    </w:r>
    <w:r>
      <w:rPr>
        <w:rStyle w:val="ad"/>
      </w:rPr>
      <w:instrText xml:space="preserve"> PAGE </w:instrText>
    </w:r>
    <w:r>
      <w:rPr>
        <w:rStyle w:val="ad"/>
      </w:rPr>
      <w:fldChar w:fldCharType="separate"/>
    </w:r>
    <w:r w:rsidR="00536B26">
      <w:rPr>
        <w:rStyle w:val="ad"/>
        <w:noProof/>
      </w:rPr>
      <w:t>14</w:t>
    </w:r>
    <w:r>
      <w:rPr>
        <w:rStyle w:val="ad"/>
      </w:rPr>
      <w:fldChar w:fldCharType="end"/>
    </w:r>
    <w:r>
      <w:rPr>
        <w:rStyle w:val="ad"/>
        <w:lang w:val="en-US"/>
      </w:rPr>
      <w:tab/>
    </w:r>
    <w:r w:rsidR="00315C59" w:rsidRPr="00315C59">
      <w:rPr>
        <w:szCs w:val="16"/>
        <w:lang w:val="en-US"/>
      </w:rPr>
      <w:t>GE.15-0071</w:t>
    </w:r>
    <w:r w:rsidR="00315C59" w:rsidRPr="00315C59">
      <w:rPr>
        <w:szCs w:val="16"/>
        <w:lang w:val="ru-RU"/>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8" w:rsidRPr="00B74BE2" w:rsidRDefault="00315C59">
    <w:pPr>
      <w:pStyle w:val="ac"/>
      <w:rPr>
        <w:b/>
        <w:sz w:val="18"/>
        <w:szCs w:val="18"/>
        <w:lang w:val="en-US"/>
      </w:rPr>
    </w:pPr>
    <w:r w:rsidRPr="00315C59">
      <w:rPr>
        <w:lang w:val="en-US"/>
      </w:rPr>
      <w:t>GE.15-0071</w:t>
    </w:r>
    <w:r w:rsidRPr="00315C59">
      <w:rPr>
        <w:lang w:val="ru-RU"/>
      </w:rPr>
      <w:t>8</w:t>
    </w:r>
    <w:r w:rsidR="004F36B8">
      <w:rPr>
        <w:lang w:val="en-US"/>
      </w:rPr>
      <w:tab/>
    </w:r>
    <w:r w:rsidR="004F36B8">
      <w:rPr>
        <w:rStyle w:val="ad"/>
      </w:rPr>
      <w:fldChar w:fldCharType="begin"/>
    </w:r>
    <w:r w:rsidR="004F36B8">
      <w:rPr>
        <w:rStyle w:val="ad"/>
      </w:rPr>
      <w:instrText xml:space="preserve"> PAGE </w:instrText>
    </w:r>
    <w:r w:rsidR="004F36B8">
      <w:rPr>
        <w:rStyle w:val="ad"/>
      </w:rPr>
      <w:fldChar w:fldCharType="separate"/>
    </w:r>
    <w:r w:rsidR="00536B26">
      <w:rPr>
        <w:rStyle w:val="ad"/>
        <w:noProof/>
      </w:rPr>
      <w:t>15</w:t>
    </w:r>
    <w:r w:rsidR="004F36B8">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bottom w:val="none" w:sz="0" w:space="0" w:color="auto"/>
      </w:tblBorders>
      <w:tblLook w:val="01E0" w:firstRow="1" w:lastRow="1" w:firstColumn="1" w:lastColumn="1" w:noHBand="0" w:noVBand="0"/>
    </w:tblPr>
    <w:tblGrid>
      <w:gridCol w:w="3935"/>
      <w:gridCol w:w="4652"/>
      <w:gridCol w:w="1268"/>
    </w:tblGrid>
    <w:tr w:rsidR="004F36B8" w:rsidTr="00A87460">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4F36B8" w:rsidRPr="00315C59" w:rsidRDefault="004F36B8" w:rsidP="00A90419">
          <w:pPr>
            <w:rPr>
              <w:sz w:val="20"/>
            </w:rPr>
          </w:pPr>
          <w:r w:rsidRPr="002B682F">
            <w:rPr>
              <w:sz w:val="20"/>
              <w:lang w:val="en-US"/>
            </w:rPr>
            <w:t>GE</w:t>
          </w:r>
          <w:r>
            <w:rPr>
              <w:sz w:val="20"/>
              <w:lang w:val="en-US"/>
            </w:rPr>
            <w:t>.15</w:t>
          </w:r>
          <w:r w:rsidRPr="002B682F">
            <w:rPr>
              <w:sz w:val="20"/>
              <w:lang w:val="en-US"/>
            </w:rPr>
            <w:t>-</w:t>
          </w:r>
          <w:r w:rsidR="00315C59">
            <w:rPr>
              <w:sz w:val="20"/>
              <w:lang w:val="en-US"/>
            </w:rPr>
            <w:t>0071</w:t>
          </w:r>
          <w:r w:rsidR="00315C59">
            <w:rPr>
              <w:sz w:val="20"/>
            </w:rPr>
            <w:t>8</w:t>
          </w:r>
          <w:r w:rsidRPr="002B682F">
            <w:rPr>
              <w:sz w:val="20"/>
              <w:lang w:val="en-US"/>
            </w:rPr>
            <w:t xml:space="preserve">  (R)</w:t>
          </w:r>
          <w:r w:rsidR="00315C59">
            <w:rPr>
              <w:sz w:val="20"/>
            </w:rPr>
            <w:t xml:space="preserve">  140415  150415</w:t>
          </w:r>
        </w:p>
      </w:tc>
      <w:tc>
        <w:tcPr>
          <w:tcW w:w="4663" w:type="dxa"/>
          <w:vMerge w:val="restart"/>
          <w:vAlign w:val="bottom"/>
        </w:tcPr>
        <w:p w:rsidR="004F36B8" w:rsidRDefault="004F36B8" w:rsidP="00A87460">
          <w:pPr>
            <w:spacing w:after="120"/>
            <w:jc w:val="right"/>
          </w:pPr>
          <w:r>
            <w:rPr>
              <w:b/>
              <w:noProof/>
              <w:lang w:eastAsia="ru-RU"/>
            </w:rPr>
            <w:drawing>
              <wp:inline distT="0" distB="0" distL="0" distR="0" wp14:anchorId="4C54B512" wp14:editId="68B35624">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4F36B8" w:rsidRDefault="00315C59" w:rsidP="00A87460">
          <w:pPr>
            <w:jc w:val="right"/>
          </w:pPr>
          <w:r>
            <w:rPr>
              <w:noProof/>
              <w:lang w:eastAsia="ru-RU"/>
            </w:rPr>
            <w:drawing>
              <wp:inline distT="0" distB="0" distL="0" distR="0">
                <wp:extent cx="668216" cy="668216"/>
                <wp:effectExtent l="0" t="0" r="0" b="0"/>
                <wp:docPr id="3" name="Рисунок 3" descr="http://undocs.org/m2/QRCode2.ashx?DS=CAT/C/53/D/520/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3/D/520/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990" cy="667990"/>
                        </a:xfrm>
                        <a:prstGeom prst="rect">
                          <a:avLst/>
                        </a:prstGeom>
                        <a:noFill/>
                        <a:ln>
                          <a:noFill/>
                        </a:ln>
                      </pic:spPr>
                    </pic:pic>
                  </a:graphicData>
                </a:graphic>
              </wp:inline>
            </w:drawing>
          </w:r>
        </w:p>
      </w:tc>
    </w:tr>
    <w:tr w:rsidR="004F36B8" w:rsidRPr="00797A78" w:rsidTr="00A87460">
      <w:tc>
        <w:tcPr>
          <w:tcW w:w="4068" w:type="dxa"/>
          <w:vAlign w:val="bottom"/>
        </w:tcPr>
        <w:p w:rsidR="004F36B8" w:rsidRPr="00315C59" w:rsidRDefault="00315C59" w:rsidP="00A87460">
          <w:pPr>
            <w:rPr>
              <w:rFonts w:ascii="C39T30Lfz" w:hAnsi="C39T30Lfz"/>
              <w:spacing w:val="0"/>
              <w:w w:val="100"/>
              <w:kern w:val="0"/>
              <w:sz w:val="56"/>
              <w:szCs w:val="56"/>
              <w:lang w:val="en-US" w:eastAsia="ru-RU"/>
            </w:rPr>
          </w:pP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r w:rsidRPr="00315C59">
            <w:rPr>
              <w:rFonts w:ascii="C39T30Lfz" w:hAnsi="C39T30Lfz"/>
              <w:spacing w:val="0"/>
              <w:w w:val="100"/>
              <w:kern w:val="0"/>
              <w:sz w:val="56"/>
              <w:szCs w:val="56"/>
              <w:lang w:val="en-US" w:eastAsia="ru-RU"/>
            </w:rPr>
            <w:t></w:t>
          </w:r>
        </w:p>
      </w:tc>
      <w:tc>
        <w:tcPr>
          <w:tcW w:w="4663" w:type="dxa"/>
          <w:vMerge/>
        </w:tcPr>
        <w:p w:rsidR="004F36B8" w:rsidRDefault="004F36B8" w:rsidP="00A87460"/>
      </w:tc>
      <w:tc>
        <w:tcPr>
          <w:tcW w:w="1124" w:type="dxa"/>
          <w:vMerge/>
        </w:tcPr>
        <w:p w:rsidR="004F36B8" w:rsidRDefault="004F36B8" w:rsidP="00A87460"/>
      </w:tc>
    </w:tr>
  </w:tbl>
  <w:p w:rsidR="004F36B8" w:rsidRDefault="004F36B8" w:rsidP="002B682F">
    <w:pPr>
      <w:spacing w:line="240" w:lineRule="auto"/>
      <w:rPr>
        <w:sz w:val="2"/>
        <w:szCs w:val="2"/>
        <w:lang w:val="en-US"/>
      </w:rPr>
    </w:pPr>
  </w:p>
  <w:p w:rsidR="004F36B8" w:rsidRDefault="004F36B8" w:rsidP="001256F0">
    <w:pPr>
      <w:pStyle w:val="ac"/>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B8" w:rsidRPr="00F71F63" w:rsidRDefault="004F36B8"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F36B8" w:rsidRPr="00F71F63" w:rsidRDefault="004F36B8" w:rsidP="00635E86">
      <w:pPr>
        <w:tabs>
          <w:tab w:val="right" w:pos="2155"/>
        </w:tabs>
        <w:spacing w:after="80" w:line="240" w:lineRule="auto"/>
        <w:rPr>
          <w:u w:val="single"/>
          <w:lang w:val="en-US"/>
        </w:rPr>
      </w:pPr>
      <w:r w:rsidRPr="00F71F63">
        <w:rPr>
          <w:u w:val="single"/>
          <w:lang w:val="en-US"/>
        </w:rPr>
        <w:tab/>
      </w:r>
    </w:p>
    <w:p w:rsidR="004F36B8" w:rsidRPr="00635E86" w:rsidRDefault="004F36B8" w:rsidP="00635E86">
      <w:pPr>
        <w:pStyle w:val="ac"/>
      </w:pPr>
    </w:p>
  </w:footnote>
  <w:footnote w:id="1">
    <w:p w:rsidR="004F36B8" w:rsidRPr="002C24DA" w:rsidRDefault="004F36B8" w:rsidP="00CB5692">
      <w:pPr>
        <w:pStyle w:val="af"/>
        <w:rPr>
          <w:lang w:val="ru-RU"/>
        </w:rPr>
      </w:pPr>
      <w:r w:rsidRPr="00290E30">
        <w:rPr>
          <w:lang w:val="ru-RU"/>
        </w:rPr>
        <w:tab/>
      </w:r>
      <w:r w:rsidRPr="004F3E95">
        <w:rPr>
          <w:rStyle w:val="ab"/>
          <w:lang w:val="ru-RU"/>
        </w:rPr>
        <w:footnoteRef/>
      </w:r>
      <w:r w:rsidRPr="004F3E95">
        <w:rPr>
          <w:lang w:val="ru-RU"/>
        </w:rPr>
        <w:tab/>
        <w:t xml:space="preserve">См. пункт 2.4 выше. </w:t>
      </w:r>
    </w:p>
  </w:footnote>
  <w:footnote w:id="2">
    <w:p w:rsidR="004F36B8" w:rsidRPr="002C24DA" w:rsidRDefault="004F36B8" w:rsidP="00CB5692">
      <w:pPr>
        <w:pStyle w:val="af"/>
        <w:rPr>
          <w:lang w:val="ru-RU"/>
        </w:rPr>
      </w:pPr>
      <w:r w:rsidRPr="004F3E95">
        <w:rPr>
          <w:lang w:val="ru-RU"/>
        </w:rPr>
        <w:tab/>
      </w:r>
      <w:r w:rsidRPr="004F3E95">
        <w:rPr>
          <w:rStyle w:val="ab"/>
          <w:lang w:val="ru-RU"/>
        </w:rPr>
        <w:footnoteRef/>
      </w:r>
      <w:r w:rsidRPr="004F3E95">
        <w:rPr>
          <w:lang w:val="ru-RU"/>
        </w:rPr>
        <w:tab/>
        <w:t xml:space="preserve">Там же. </w:t>
      </w:r>
    </w:p>
  </w:footnote>
  <w:footnote w:id="3">
    <w:p w:rsidR="004F36B8" w:rsidRPr="002C24DA" w:rsidRDefault="004F36B8" w:rsidP="00A90419">
      <w:pPr>
        <w:pStyle w:val="af"/>
        <w:rPr>
          <w:lang w:val="ru-RU"/>
        </w:rPr>
      </w:pPr>
      <w:r w:rsidRPr="004F3E95">
        <w:rPr>
          <w:lang w:val="ru-RU"/>
        </w:rPr>
        <w:tab/>
      </w:r>
      <w:r w:rsidRPr="004F3E95">
        <w:rPr>
          <w:rStyle w:val="ab"/>
          <w:lang w:val="ru-RU"/>
        </w:rPr>
        <w:footnoteRef/>
      </w:r>
      <w:r w:rsidRPr="004F3E95">
        <w:rPr>
          <w:lang w:val="ru-RU"/>
        </w:rPr>
        <w:tab/>
        <w:t xml:space="preserve">См., например сообщения Комитета против пыток № 307/2006, </w:t>
      </w:r>
      <w:r w:rsidRPr="00D37C8B">
        <w:rPr>
          <w:i/>
          <w:lang w:val="ru-RU"/>
        </w:rPr>
        <w:t>Яссин против Канады</w:t>
      </w:r>
      <w:r w:rsidRPr="004F3E95">
        <w:rPr>
          <w:lang w:val="ru-RU"/>
        </w:rPr>
        <w:t>, решение, принятое 4 ноября 2009 года, пункты 9.3</w:t>
      </w:r>
      <w:r w:rsidR="007941F7">
        <w:rPr>
          <w:lang w:val="ru-RU"/>
        </w:rPr>
        <w:t>−</w:t>
      </w:r>
      <w:r w:rsidRPr="004F3E95">
        <w:rPr>
          <w:lang w:val="ru-RU"/>
        </w:rPr>
        <w:t xml:space="preserve">9.4; № 304/2006, </w:t>
      </w:r>
      <w:r w:rsidRPr="00D37C8B">
        <w:rPr>
          <w:i/>
          <w:lang w:val="ru-RU"/>
        </w:rPr>
        <w:t>Л.З.Б. против Канады</w:t>
      </w:r>
      <w:r w:rsidRPr="004F3E95">
        <w:rPr>
          <w:lang w:val="ru-RU"/>
        </w:rPr>
        <w:t xml:space="preserve">, решение, принятое 8 ноября 2007 года, пункт 6.6; решение Европейского суда по правам человека от 30 октября 1991 года по делу </w:t>
      </w:r>
      <w:r w:rsidRPr="00D37C8B">
        <w:rPr>
          <w:i/>
          <w:lang w:val="ru-RU"/>
        </w:rPr>
        <w:t>Вилвараджах и др. против Соединенного Королевства</w:t>
      </w:r>
      <w:r w:rsidRPr="004F3E95">
        <w:rPr>
          <w:lang w:val="ru-RU"/>
        </w:rPr>
        <w:t>, ходатайства №</w:t>
      </w:r>
      <w:r w:rsidR="007941F7">
        <w:rPr>
          <w:lang w:val="ru-RU"/>
        </w:rPr>
        <w:t xml:space="preserve"> </w:t>
      </w:r>
      <w:r w:rsidRPr="004F3E95">
        <w:rPr>
          <w:lang w:val="ru-RU"/>
        </w:rPr>
        <w:t>13163/87; 13164/87; 13165/87; 13447/87; 13448/</w:t>
      </w:r>
      <w:r w:rsidR="007941F7">
        <w:rPr>
          <w:lang w:val="ru-RU"/>
        </w:rPr>
        <w:t>87</w:t>
      </w:r>
      <w:r w:rsidRPr="004F3E95">
        <w:rPr>
          <w:lang w:val="ru-RU"/>
        </w:rPr>
        <w:t xml:space="preserve">, решение от 30 октября 1991 года, пункт 126; сообщения Комитета против пыток № 66/1997, </w:t>
      </w:r>
      <w:r w:rsidRPr="00D37C8B">
        <w:rPr>
          <w:i/>
          <w:lang w:val="ru-RU"/>
        </w:rPr>
        <w:t>П.С.С. против Канады</w:t>
      </w:r>
      <w:r w:rsidRPr="004F3E95">
        <w:rPr>
          <w:lang w:val="ru-RU"/>
        </w:rPr>
        <w:t>, решени</w:t>
      </w:r>
      <w:r w:rsidR="00B81A96">
        <w:rPr>
          <w:lang w:val="ru-RU"/>
        </w:rPr>
        <w:t>е о неприемлемости, принятое 13 </w:t>
      </w:r>
      <w:r w:rsidRPr="004F3E95">
        <w:rPr>
          <w:lang w:val="ru-RU"/>
        </w:rPr>
        <w:t xml:space="preserve">ноября 1998 года, пункт 6.2; № 86/1997, </w:t>
      </w:r>
      <w:r w:rsidRPr="00D37C8B">
        <w:rPr>
          <w:i/>
          <w:lang w:val="ru-RU"/>
        </w:rPr>
        <w:t>П.С. против Канады</w:t>
      </w:r>
      <w:r w:rsidR="00B81A96">
        <w:rPr>
          <w:lang w:val="ru-RU"/>
        </w:rPr>
        <w:t>, решение о </w:t>
      </w:r>
      <w:r w:rsidRPr="004F3E95">
        <w:rPr>
          <w:lang w:val="ru-RU"/>
        </w:rPr>
        <w:t>неприемлемости, принятое 18 ноября 1999 года, пункт 6.2; №</w:t>
      </w:r>
      <w:r>
        <w:rPr>
          <w:lang w:val="ru-RU"/>
        </w:rPr>
        <w:t> </w:t>
      </w:r>
      <w:r w:rsidRPr="004F3E95">
        <w:rPr>
          <w:lang w:val="ru-RU"/>
        </w:rPr>
        <w:t xml:space="preserve">42/1996, </w:t>
      </w:r>
      <w:r w:rsidRPr="00F47D61">
        <w:rPr>
          <w:i/>
          <w:lang w:val="ru-RU"/>
        </w:rPr>
        <w:t>Р.К. против Канады</w:t>
      </w:r>
      <w:r w:rsidRPr="004F3E95">
        <w:rPr>
          <w:lang w:val="ru-RU"/>
        </w:rPr>
        <w:t xml:space="preserve">, решение о неприемлемости, принятое 20 </w:t>
      </w:r>
      <w:r w:rsidR="00B81A96">
        <w:rPr>
          <w:lang w:val="ru-RU"/>
        </w:rPr>
        <w:t>ноября 1997 года, пункт 7.2; № </w:t>
      </w:r>
      <w:r w:rsidRPr="004F3E95">
        <w:rPr>
          <w:lang w:val="ru-RU"/>
        </w:rPr>
        <w:t xml:space="preserve">95/1997, </w:t>
      </w:r>
      <w:r w:rsidRPr="00F47D61">
        <w:rPr>
          <w:i/>
          <w:lang w:val="ru-RU"/>
        </w:rPr>
        <w:t>Л.О. против Канады</w:t>
      </w:r>
      <w:r w:rsidRPr="004F3E95">
        <w:rPr>
          <w:lang w:val="ru-RU"/>
        </w:rPr>
        <w:t>, решение о непри</w:t>
      </w:r>
      <w:r w:rsidR="00B81A96">
        <w:rPr>
          <w:lang w:val="ru-RU"/>
        </w:rPr>
        <w:t>емлемости, принятое 19 мая 2000 </w:t>
      </w:r>
      <w:r w:rsidRPr="004F3E95">
        <w:rPr>
          <w:lang w:val="ru-RU"/>
        </w:rPr>
        <w:t xml:space="preserve">года, пункт 6.5; № 22/1995, </w:t>
      </w:r>
      <w:r w:rsidRPr="00F47D61">
        <w:rPr>
          <w:i/>
          <w:lang w:val="ru-RU"/>
        </w:rPr>
        <w:t>M. A. против Канады</w:t>
      </w:r>
      <w:r w:rsidRPr="004F3E95">
        <w:rPr>
          <w:lang w:val="ru-RU"/>
        </w:rPr>
        <w:t xml:space="preserve">, решение о неприемлемости, </w:t>
      </w:r>
      <w:r w:rsidR="007941F7">
        <w:rPr>
          <w:lang w:val="ru-RU"/>
        </w:rPr>
        <w:t>принятое 3 мая 1995 года, пункт</w:t>
      </w:r>
      <w:r w:rsidRPr="004F3E95">
        <w:rPr>
          <w:lang w:val="ru-RU"/>
        </w:rPr>
        <w:t xml:space="preserve"> 3; № 183/2001, </w:t>
      </w:r>
      <w:r w:rsidRPr="00F47D61">
        <w:rPr>
          <w:i/>
          <w:lang w:val="ru-RU"/>
        </w:rPr>
        <w:t>Б.С.С. против Канады</w:t>
      </w:r>
      <w:r w:rsidR="00B81A96">
        <w:rPr>
          <w:lang w:val="ru-RU"/>
        </w:rPr>
        <w:t>, решение о </w:t>
      </w:r>
      <w:r w:rsidRPr="004F3E95">
        <w:rPr>
          <w:lang w:val="ru-RU"/>
        </w:rPr>
        <w:t>приемлемости, п</w:t>
      </w:r>
      <w:r w:rsidR="007941F7">
        <w:rPr>
          <w:lang w:val="ru-RU"/>
        </w:rPr>
        <w:t>ринятое 12 мая 2004 года, пункт</w:t>
      </w:r>
      <w:r w:rsidRPr="004F3E95">
        <w:rPr>
          <w:lang w:val="ru-RU"/>
        </w:rPr>
        <w:t xml:space="preserve"> 11.6; № 273/2005, </w:t>
      </w:r>
      <w:r w:rsidRPr="00F47D61">
        <w:rPr>
          <w:i/>
          <w:lang w:val="ru-RU"/>
        </w:rPr>
        <w:t>T. A. против Канады</w:t>
      </w:r>
      <w:r w:rsidRPr="004F3E95">
        <w:rPr>
          <w:lang w:val="ru-RU"/>
        </w:rPr>
        <w:t xml:space="preserve">, решение о неприемлемости, принятое 15 мая 2006 года, пункт 6.3. </w:t>
      </w:r>
    </w:p>
  </w:footnote>
  <w:footnote w:id="4">
    <w:p w:rsidR="004F36B8" w:rsidRPr="00A90419" w:rsidRDefault="004F36B8" w:rsidP="00A90419">
      <w:pPr>
        <w:pStyle w:val="af"/>
        <w:rPr>
          <w:lang w:val="ru-RU"/>
        </w:rPr>
      </w:pPr>
      <w:r w:rsidRPr="00A90419">
        <w:rPr>
          <w:lang w:val="ru-RU"/>
        </w:rPr>
        <w:tab/>
      </w:r>
      <w:r w:rsidRPr="004F3E95">
        <w:rPr>
          <w:rStyle w:val="ab"/>
          <w:lang w:val="ru-RU"/>
        </w:rPr>
        <w:footnoteRef/>
      </w:r>
      <w:r w:rsidRPr="00A90419">
        <w:rPr>
          <w:lang w:val="ru-RU"/>
        </w:rPr>
        <w:tab/>
        <w:t xml:space="preserve">Сообщение № 307/2006, </w:t>
      </w:r>
      <w:r w:rsidRPr="00A90419">
        <w:rPr>
          <w:i/>
          <w:lang w:val="ru-RU"/>
        </w:rPr>
        <w:t>Яссин против Канады</w:t>
      </w:r>
      <w:r w:rsidRPr="00A90419">
        <w:rPr>
          <w:lang w:val="ru-RU"/>
        </w:rPr>
        <w:t xml:space="preserve"> (см. сноску 3), пункты 9.3–9.5. Следует отметить, что г-н Яссин не подавал ходатайства о судебном пересмотре ни в отношении отрицательного решения по ОРДВ, ни в отношении отрицательного по его ходатайству о получении постоянного вида на жительство по соображениям гуманности и сострадания. </w:t>
      </w:r>
    </w:p>
  </w:footnote>
  <w:footnote w:id="5">
    <w:p w:rsidR="004F36B8" w:rsidRPr="00A90419" w:rsidRDefault="004F36B8" w:rsidP="00A90419">
      <w:pPr>
        <w:pStyle w:val="af"/>
        <w:rPr>
          <w:lang w:val="ru-RU"/>
        </w:rPr>
      </w:pPr>
      <w:r w:rsidRPr="00A90419">
        <w:rPr>
          <w:lang w:val="ru-RU"/>
        </w:rPr>
        <w:tab/>
      </w:r>
      <w:r w:rsidRPr="004F3E95">
        <w:rPr>
          <w:rStyle w:val="ab"/>
          <w:lang w:val="ru-RU"/>
        </w:rPr>
        <w:footnoteRef/>
      </w:r>
      <w:r w:rsidRPr="00A90419">
        <w:rPr>
          <w:lang w:val="ru-RU"/>
        </w:rPr>
        <w:tab/>
        <w:t xml:space="preserve">Сообщение № 273/2005, </w:t>
      </w:r>
      <w:r w:rsidRPr="00F47D61">
        <w:rPr>
          <w:i/>
        </w:rPr>
        <w:t>T</w:t>
      </w:r>
      <w:r w:rsidRPr="00A90419">
        <w:rPr>
          <w:i/>
          <w:lang w:val="ru-RU"/>
        </w:rPr>
        <w:t xml:space="preserve">. </w:t>
      </w:r>
      <w:r w:rsidRPr="00F47D61">
        <w:rPr>
          <w:i/>
        </w:rPr>
        <w:t>A</w:t>
      </w:r>
      <w:r w:rsidRPr="00A90419">
        <w:rPr>
          <w:i/>
          <w:lang w:val="ru-RU"/>
        </w:rPr>
        <w:t>. против Канады</w:t>
      </w:r>
      <w:r w:rsidRPr="00A90419">
        <w:rPr>
          <w:lang w:val="ru-RU"/>
        </w:rPr>
        <w:t xml:space="preserve"> (см. сноску 3), пункт 6.3; № 304/2006, </w:t>
      </w:r>
      <w:r w:rsidRPr="00A90419">
        <w:rPr>
          <w:i/>
          <w:lang w:val="ru-RU"/>
        </w:rPr>
        <w:t>Л.З.Б. против Канады</w:t>
      </w:r>
      <w:r w:rsidRPr="00A90419">
        <w:rPr>
          <w:lang w:val="ru-RU"/>
        </w:rPr>
        <w:t xml:space="preserve"> (см. сноску 3), пункт 6.6.</w:t>
      </w:r>
    </w:p>
  </w:footnote>
  <w:footnote w:id="6">
    <w:p w:rsidR="004F36B8" w:rsidRPr="00A90419" w:rsidRDefault="004F36B8" w:rsidP="00A90419">
      <w:pPr>
        <w:pStyle w:val="af"/>
        <w:rPr>
          <w:lang w:val="ru-RU"/>
        </w:rPr>
      </w:pPr>
      <w:r w:rsidRPr="00A90419">
        <w:rPr>
          <w:lang w:val="ru-RU"/>
        </w:rPr>
        <w:tab/>
      </w:r>
      <w:r w:rsidRPr="004F3E95">
        <w:rPr>
          <w:rStyle w:val="ab"/>
          <w:lang w:val="ru-RU"/>
        </w:rPr>
        <w:footnoteRef/>
      </w:r>
      <w:r w:rsidRPr="00A90419">
        <w:rPr>
          <w:lang w:val="ru-RU"/>
        </w:rPr>
        <w:tab/>
        <w:t xml:space="preserve">Сообщение № 319/2007, </w:t>
      </w:r>
      <w:r w:rsidRPr="00A90419">
        <w:rPr>
          <w:i/>
          <w:lang w:val="ru-RU"/>
        </w:rPr>
        <w:t>Нирмал Сингх против Канады</w:t>
      </w:r>
      <w:r w:rsidRPr="00A90419">
        <w:rPr>
          <w:lang w:val="ru-RU"/>
        </w:rPr>
        <w:t xml:space="preserve">, решение, принятое 30 мая 2011 года. </w:t>
      </w:r>
    </w:p>
  </w:footnote>
  <w:footnote w:id="7">
    <w:p w:rsidR="004F36B8" w:rsidRPr="002C24DA" w:rsidRDefault="004F36B8" w:rsidP="00A90419">
      <w:pPr>
        <w:pStyle w:val="af"/>
        <w:rPr>
          <w:lang w:val="ru-RU"/>
        </w:rPr>
      </w:pPr>
      <w:r w:rsidRPr="004F3E95">
        <w:rPr>
          <w:lang w:val="ru-RU"/>
        </w:rPr>
        <w:tab/>
      </w:r>
      <w:r w:rsidRPr="004F3E95">
        <w:rPr>
          <w:rStyle w:val="ab"/>
          <w:lang w:val="ru-RU"/>
        </w:rPr>
        <w:footnoteRef/>
      </w:r>
      <w:r w:rsidRPr="004F3E95">
        <w:rPr>
          <w:lang w:val="ru-RU"/>
        </w:rPr>
        <w:tab/>
        <w:t xml:space="preserve">Государство-участник ссылается </w:t>
      </w:r>
      <w:r w:rsidR="006D2A33" w:rsidRPr="004F3E95">
        <w:rPr>
          <w:lang w:val="ru-RU"/>
        </w:rPr>
        <w:t xml:space="preserve">также </w:t>
      </w:r>
      <w:r w:rsidRPr="004F3E95">
        <w:rPr>
          <w:lang w:val="ru-RU"/>
        </w:rPr>
        <w:t>на правовую практику Комитета по правам человека по вопросу о том, что судебный пересмотр Федеральным судом является эффективным средством правовой защиты для целей приемлемости. См.</w:t>
      </w:r>
      <w:r w:rsidR="007941F7">
        <w:rPr>
          <w:lang w:val="ru-RU"/>
        </w:rPr>
        <w:t>,</w:t>
      </w:r>
      <w:r w:rsidRPr="004F3E95">
        <w:rPr>
          <w:lang w:val="ru-RU"/>
        </w:rPr>
        <w:t xml:space="preserve"> например, сообщения Комитета по правам человека № 1872/2009</w:t>
      </w:r>
      <w:r w:rsidRPr="00F47D61">
        <w:rPr>
          <w:i/>
          <w:lang w:val="ru-RU"/>
        </w:rPr>
        <w:t>, Д.Дж.Д.Г</w:t>
      </w:r>
      <w:r w:rsidR="007941F7">
        <w:rPr>
          <w:i/>
          <w:lang w:val="ru-RU"/>
        </w:rPr>
        <w:t>.</w:t>
      </w:r>
      <w:r w:rsidRPr="00F47D61">
        <w:rPr>
          <w:i/>
          <w:lang w:val="ru-RU"/>
        </w:rPr>
        <w:t xml:space="preserve"> против Канады</w:t>
      </w:r>
      <w:r w:rsidRPr="004F3E95">
        <w:rPr>
          <w:lang w:val="ru-RU"/>
        </w:rPr>
        <w:t>, решение о неприемлемости, пр</w:t>
      </w:r>
      <w:r w:rsidR="007941F7">
        <w:rPr>
          <w:lang w:val="ru-RU"/>
        </w:rPr>
        <w:t>инятое 26 июля 2010 года, пункт</w:t>
      </w:r>
      <w:r w:rsidRPr="004F3E95">
        <w:rPr>
          <w:lang w:val="ru-RU"/>
        </w:rPr>
        <w:t xml:space="preserve"> 7.4; № 1580/2007, </w:t>
      </w:r>
      <w:r w:rsidRPr="00F47D61">
        <w:rPr>
          <w:i/>
          <w:lang w:val="ru-RU"/>
        </w:rPr>
        <w:t>Ф.М. против Канады</w:t>
      </w:r>
      <w:r w:rsidRPr="004F3E95">
        <w:rPr>
          <w:lang w:val="ru-RU"/>
        </w:rPr>
        <w:t>, решение о неприемлемости, приня</w:t>
      </w:r>
      <w:r w:rsidR="007941F7">
        <w:rPr>
          <w:lang w:val="ru-RU"/>
        </w:rPr>
        <w:t>тое 30 октября 2008 года, пункт</w:t>
      </w:r>
      <w:r w:rsidRPr="004F3E95">
        <w:rPr>
          <w:lang w:val="ru-RU"/>
        </w:rPr>
        <w:t xml:space="preserve"> 6.3; № 1578/2007, </w:t>
      </w:r>
      <w:r w:rsidRPr="00F47D61">
        <w:rPr>
          <w:i/>
          <w:lang w:val="ru-RU"/>
        </w:rPr>
        <w:t>Дастгир против Канады</w:t>
      </w:r>
      <w:r w:rsidRPr="004F3E95">
        <w:rPr>
          <w:lang w:val="ru-RU"/>
        </w:rPr>
        <w:t>, решение о неприемлемости, принятое 30 октября 2008 года, пункт 6.2; № 939/2000</w:t>
      </w:r>
      <w:r w:rsidRPr="00F47D61">
        <w:rPr>
          <w:i/>
          <w:lang w:val="ru-RU"/>
        </w:rPr>
        <w:t>, Дюп</w:t>
      </w:r>
      <w:r w:rsidR="006D2A33">
        <w:rPr>
          <w:i/>
          <w:lang w:val="ru-RU"/>
        </w:rPr>
        <w:t>ю</w:t>
      </w:r>
      <w:r w:rsidRPr="00F47D61">
        <w:rPr>
          <w:i/>
          <w:lang w:val="ru-RU"/>
        </w:rPr>
        <w:t>и против Канады</w:t>
      </w:r>
      <w:r w:rsidRPr="004F3E95">
        <w:rPr>
          <w:lang w:val="ru-RU"/>
        </w:rPr>
        <w:t xml:space="preserve">, решение о неприемлемости, принятое 18 марта 2005 года, пункт 7.3. См. также сообщения Комитета по правам человека № 654/1995, </w:t>
      </w:r>
      <w:r w:rsidRPr="00F47D61">
        <w:rPr>
          <w:i/>
          <w:lang w:val="ru-RU"/>
        </w:rPr>
        <w:t>Аду против Канады</w:t>
      </w:r>
      <w:r w:rsidR="006D2A33">
        <w:rPr>
          <w:lang w:val="ru-RU"/>
        </w:rPr>
        <w:t>, решение о </w:t>
      </w:r>
      <w:r w:rsidRPr="004F3E95">
        <w:rPr>
          <w:lang w:val="ru-RU"/>
        </w:rPr>
        <w:t xml:space="preserve">неприемлемости, принятое 18 июля 1997 года, пункт 6.2; № 603/1994, </w:t>
      </w:r>
      <w:r w:rsidRPr="00F47D61">
        <w:rPr>
          <w:i/>
          <w:lang w:val="ru-RU"/>
        </w:rPr>
        <w:t>Баду против Канады</w:t>
      </w:r>
      <w:r w:rsidRPr="004F3E95">
        <w:rPr>
          <w:lang w:val="ru-RU"/>
        </w:rPr>
        <w:t xml:space="preserve">, решение о неприемлемости, принятое </w:t>
      </w:r>
      <w:r w:rsidR="006D2A33">
        <w:rPr>
          <w:lang w:val="ru-RU"/>
        </w:rPr>
        <w:t>18 июля 1997 года, пункт 6.2; № </w:t>
      </w:r>
      <w:r w:rsidRPr="004F3E95">
        <w:rPr>
          <w:lang w:val="ru-RU"/>
        </w:rPr>
        <w:t xml:space="preserve">604/1994, </w:t>
      </w:r>
      <w:r w:rsidRPr="00F47D61">
        <w:rPr>
          <w:i/>
          <w:lang w:val="ru-RU"/>
        </w:rPr>
        <w:t>Нарти против Канады</w:t>
      </w:r>
      <w:r w:rsidRPr="004F3E95">
        <w:rPr>
          <w:lang w:val="ru-RU"/>
        </w:rPr>
        <w:t>, решение о неприе</w:t>
      </w:r>
      <w:r w:rsidR="006D2A33">
        <w:rPr>
          <w:lang w:val="ru-RU"/>
        </w:rPr>
        <w:t>млемости, принятое 18 июля 1997 </w:t>
      </w:r>
      <w:r w:rsidRPr="004F3E95">
        <w:rPr>
          <w:lang w:val="ru-RU"/>
        </w:rPr>
        <w:t xml:space="preserve">года, пункт 6.2; см. также решение ЕСПЧ по делу </w:t>
      </w:r>
      <w:r w:rsidRPr="00F47D61">
        <w:rPr>
          <w:i/>
          <w:lang w:val="ru-RU"/>
        </w:rPr>
        <w:t>Вилвараджах и др. против Соединенного Королевства</w:t>
      </w:r>
      <w:r w:rsidRPr="004F3E95">
        <w:rPr>
          <w:lang w:val="ru-RU"/>
        </w:rPr>
        <w:t xml:space="preserve"> (см. сноску</w:t>
      </w:r>
      <w:r w:rsidR="002C30A4">
        <w:rPr>
          <w:lang w:val="ru-RU"/>
        </w:rPr>
        <w:t xml:space="preserve"> </w:t>
      </w:r>
      <w:r w:rsidRPr="004F3E95">
        <w:rPr>
          <w:lang w:val="ru-RU"/>
        </w:rPr>
        <w:t xml:space="preserve">3), пункт 126. </w:t>
      </w:r>
    </w:p>
  </w:footnote>
  <w:footnote w:id="8">
    <w:p w:rsidR="00677C46" w:rsidRPr="00133092" w:rsidRDefault="00677C46" w:rsidP="00677C46">
      <w:pPr>
        <w:pStyle w:val="af"/>
        <w:rPr>
          <w:lang w:val="ru-RU"/>
        </w:rPr>
      </w:pPr>
      <w:r w:rsidRPr="00661B4E">
        <w:rPr>
          <w:lang w:val="ru-RU"/>
        </w:rPr>
        <w:tab/>
      </w:r>
      <w:r>
        <w:rPr>
          <w:rStyle w:val="ab"/>
        </w:rPr>
        <w:footnoteRef/>
      </w:r>
      <w:r w:rsidRPr="00133092">
        <w:rPr>
          <w:lang w:val="ru-RU"/>
        </w:rPr>
        <w:tab/>
        <w:t xml:space="preserve">Сообщение № 343/2008, </w:t>
      </w:r>
      <w:r>
        <w:rPr>
          <w:i/>
          <w:lang w:val="ru-RU"/>
        </w:rPr>
        <w:t>Калонзо</w:t>
      </w:r>
      <w:r w:rsidRPr="00133092">
        <w:rPr>
          <w:i/>
          <w:lang w:val="ru-RU"/>
        </w:rPr>
        <w:t xml:space="preserve"> против Канады</w:t>
      </w:r>
      <w:r>
        <w:rPr>
          <w:lang w:val="ru-RU"/>
        </w:rPr>
        <w:t>, решение, принятое 18 мая 2012 </w:t>
      </w:r>
      <w:r w:rsidRPr="00133092">
        <w:rPr>
          <w:lang w:val="ru-RU"/>
        </w:rPr>
        <w:t>года.</w:t>
      </w:r>
    </w:p>
  </w:footnote>
  <w:footnote w:id="9">
    <w:p w:rsidR="00677C46" w:rsidRPr="00133092" w:rsidRDefault="00677C46" w:rsidP="00677C46">
      <w:pPr>
        <w:pStyle w:val="af"/>
        <w:rPr>
          <w:lang w:val="ru-RU"/>
        </w:rPr>
      </w:pPr>
      <w:r w:rsidRPr="00416AB6">
        <w:rPr>
          <w:lang w:val="ru-RU"/>
        </w:rPr>
        <w:tab/>
      </w:r>
      <w:r>
        <w:rPr>
          <w:rStyle w:val="ab"/>
        </w:rPr>
        <w:footnoteRef/>
      </w:r>
      <w:r w:rsidRPr="00133092">
        <w:rPr>
          <w:lang w:val="ru-RU"/>
        </w:rPr>
        <w:tab/>
      </w:r>
      <w:r>
        <w:rPr>
          <w:lang w:val="ru-RU"/>
        </w:rPr>
        <w:t xml:space="preserve">Сообщение № 333/2007, </w:t>
      </w:r>
      <w:r w:rsidRPr="00F47D61">
        <w:rPr>
          <w:i/>
          <w:lang w:val="ru-RU"/>
        </w:rPr>
        <w:t>Т.И.</w:t>
      </w:r>
      <w:r>
        <w:rPr>
          <w:i/>
          <w:lang w:val="ru-RU"/>
        </w:rPr>
        <w:t xml:space="preserve"> </w:t>
      </w:r>
      <w:r w:rsidRPr="00F47D61">
        <w:rPr>
          <w:i/>
          <w:lang w:val="ru-RU"/>
        </w:rPr>
        <w:t>против Канады</w:t>
      </w:r>
      <w:r w:rsidRPr="004F3E95">
        <w:rPr>
          <w:lang w:val="ru-RU"/>
        </w:rPr>
        <w:t>, решение, принятое 15 ноября 2010 года.</w:t>
      </w:r>
    </w:p>
  </w:footnote>
  <w:footnote w:id="10">
    <w:p w:rsidR="00677C46" w:rsidRPr="00416AB6" w:rsidRDefault="00677C46" w:rsidP="00677C46">
      <w:pPr>
        <w:pStyle w:val="af"/>
        <w:rPr>
          <w:lang w:val="ru-RU"/>
        </w:rPr>
      </w:pPr>
      <w:r w:rsidRPr="00B734FA">
        <w:rPr>
          <w:lang w:val="ru-RU"/>
        </w:rPr>
        <w:tab/>
      </w:r>
      <w:r>
        <w:rPr>
          <w:rStyle w:val="ab"/>
        </w:rPr>
        <w:footnoteRef/>
      </w:r>
      <w:r w:rsidRPr="00416AB6">
        <w:rPr>
          <w:lang w:val="ru-RU"/>
        </w:rPr>
        <w:tab/>
      </w:r>
      <w:r w:rsidRPr="004F3E95">
        <w:rPr>
          <w:lang w:val="ru-RU"/>
        </w:rPr>
        <w:t>Сообщени</w:t>
      </w:r>
      <w:r>
        <w:rPr>
          <w:lang w:val="ru-RU"/>
        </w:rPr>
        <w:t>я</w:t>
      </w:r>
      <w:r w:rsidRPr="004F3E95">
        <w:rPr>
          <w:lang w:val="ru-RU"/>
        </w:rPr>
        <w:t xml:space="preserve"> № 36/1995, </w:t>
      </w:r>
      <w:r w:rsidRPr="00F47D61">
        <w:rPr>
          <w:i/>
          <w:lang w:val="ru-RU"/>
        </w:rPr>
        <w:t>Х. против Нидерландов</w:t>
      </w:r>
      <w:r w:rsidRPr="004F3E95">
        <w:rPr>
          <w:lang w:val="ru-RU"/>
        </w:rPr>
        <w:t xml:space="preserve">, </w:t>
      </w:r>
      <w:r>
        <w:rPr>
          <w:lang w:val="ru-RU"/>
        </w:rPr>
        <w:t>мнения, принятые 8 мая 1996 года; и </w:t>
      </w:r>
      <w:r w:rsidRPr="004F3E95">
        <w:rPr>
          <w:lang w:val="ru-RU"/>
        </w:rPr>
        <w:t xml:space="preserve">№ 18/1994, </w:t>
      </w:r>
      <w:r w:rsidRPr="00F47D61">
        <w:rPr>
          <w:i/>
          <w:lang w:val="ru-RU"/>
        </w:rPr>
        <w:t>И. против Швейцарии</w:t>
      </w:r>
      <w:r w:rsidRPr="004F3E95">
        <w:rPr>
          <w:lang w:val="ru-RU"/>
        </w:rPr>
        <w:t>, р</w:t>
      </w:r>
      <w:r>
        <w:rPr>
          <w:lang w:val="ru-RU"/>
        </w:rPr>
        <w:t>ешение, принятое 17 ноября 1994 </w:t>
      </w:r>
      <w:r w:rsidRPr="004F3E95">
        <w:rPr>
          <w:lang w:val="ru-RU"/>
        </w:rPr>
        <w:t>года.</w:t>
      </w:r>
    </w:p>
  </w:footnote>
  <w:footnote w:id="11">
    <w:p w:rsidR="00677C46" w:rsidRPr="00416AB6" w:rsidRDefault="00677C46" w:rsidP="00677C46">
      <w:pPr>
        <w:pStyle w:val="af"/>
        <w:rPr>
          <w:lang w:val="ru-RU"/>
        </w:rPr>
      </w:pPr>
      <w:r w:rsidRPr="00CA4868">
        <w:rPr>
          <w:lang w:val="ru-RU"/>
        </w:rPr>
        <w:tab/>
      </w:r>
      <w:r>
        <w:rPr>
          <w:rStyle w:val="ab"/>
        </w:rPr>
        <w:footnoteRef/>
      </w:r>
      <w:r w:rsidRPr="00416AB6">
        <w:rPr>
          <w:lang w:val="ru-RU"/>
        </w:rPr>
        <w:tab/>
      </w:r>
      <w:r w:rsidRPr="004F3E95">
        <w:rPr>
          <w:lang w:val="ru-RU"/>
        </w:rPr>
        <w:t xml:space="preserve">Комитет против пыток, замечание общего порядка № 1 </w:t>
      </w:r>
      <w:r w:rsidRPr="004F3E95">
        <w:rPr>
          <w:rStyle w:val="grame"/>
          <w:lang w:val="ru-RU"/>
        </w:rPr>
        <w:t>по вопросу об осуществлении статьи 3 в контексте статьи 22 Конвенции</w:t>
      </w:r>
      <w:r w:rsidRPr="004F3E95">
        <w:rPr>
          <w:lang w:val="ru-RU"/>
        </w:rPr>
        <w:t xml:space="preserve"> против пыток, пункты 6</w:t>
      </w:r>
      <w:r>
        <w:rPr>
          <w:lang w:val="ru-RU"/>
        </w:rPr>
        <w:t>−</w:t>
      </w:r>
      <w:r w:rsidRPr="004F3E95">
        <w:rPr>
          <w:lang w:val="ru-RU"/>
        </w:rPr>
        <w:t xml:space="preserve">7. Последние </w:t>
      </w:r>
      <w:r>
        <w:rPr>
          <w:lang w:val="ru-RU"/>
        </w:rPr>
        <w:t>мнения</w:t>
      </w:r>
      <w:r w:rsidRPr="004F3E95">
        <w:rPr>
          <w:lang w:val="ru-RU"/>
        </w:rPr>
        <w:t xml:space="preserve">, повторяющие эти принципы, включают </w:t>
      </w:r>
      <w:r>
        <w:rPr>
          <w:lang w:val="ru-RU"/>
        </w:rPr>
        <w:t xml:space="preserve">в себя </w:t>
      </w:r>
      <w:r w:rsidRPr="004F3E95">
        <w:rPr>
          <w:lang w:val="ru-RU"/>
        </w:rPr>
        <w:t xml:space="preserve">сообщения № 343/2008, </w:t>
      </w:r>
      <w:r w:rsidRPr="00F47D61">
        <w:rPr>
          <w:i/>
          <w:lang w:val="ru-RU"/>
        </w:rPr>
        <w:t>Калонзо против Канады</w:t>
      </w:r>
      <w:r>
        <w:rPr>
          <w:lang w:val="ru-RU"/>
        </w:rPr>
        <w:t xml:space="preserve"> (см. сноску 8), пункт</w:t>
      </w:r>
      <w:r w:rsidRPr="004F3E95">
        <w:rPr>
          <w:lang w:val="ru-RU"/>
        </w:rPr>
        <w:t xml:space="preserve"> 9.3; № 370/2009, </w:t>
      </w:r>
      <w:r w:rsidRPr="003F58B7">
        <w:rPr>
          <w:i/>
          <w:lang w:val="ru-RU"/>
        </w:rPr>
        <w:t>Е.Л. против Канады</w:t>
      </w:r>
      <w:r w:rsidRPr="004F3E95">
        <w:rPr>
          <w:lang w:val="ru-RU"/>
        </w:rPr>
        <w:t>, решение, п</w:t>
      </w:r>
      <w:r>
        <w:rPr>
          <w:lang w:val="ru-RU"/>
        </w:rPr>
        <w:t>ринятое 21 мая 2012 года, пункт</w:t>
      </w:r>
      <w:r w:rsidRPr="004F3E95">
        <w:rPr>
          <w:lang w:val="ru-RU"/>
        </w:rPr>
        <w:t xml:space="preserve"> 8.5; № 414/2010, </w:t>
      </w:r>
      <w:r w:rsidRPr="00CA4868">
        <w:rPr>
          <w:i/>
          <w:lang w:val="ru-RU"/>
        </w:rPr>
        <w:t>Н.</w:t>
      </w:r>
      <w:r w:rsidRPr="003F58B7">
        <w:rPr>
          <w:i/>
          <w:lang w:val="ru-RU"/>
        </w:rPr>
        <w:t>Т.В. против Швейцарии</w:t>
      </w:r>
      <w:r w:rsidRPr="004F3E95">
        <w:rPr>
          <w:lang w:val="ru-RU"/>
        </w:rPr>
        <w:t xml:space="preserve">, решение, принятое 16 мая 2012 года, пункт 7.3; № 393/2009, </w:t>
      </w:r>
      <w:r w:rsidRPr="003F58B7">
        <w:rPr>
          <w:i/>
          <w:lang w:val="ru-RU"/>
        </w:rPr>
        <w:t>Е.Т. против Швейцарии</w:t>
      </w:r>
      <w:r w:rsidRPr="004F3E95">
        <w:rPr>
          <w:lang w:val="ru-RU"/>
        </w:rPr>
        <w:t>, решение, принятое 23 мая 2012 года, пункт 7.3.</w:t>
      </w:r>
    </w:p>
  </w:footnote>
  <w:footnote w:id="12">
    <w:p w:rsidR="00677C46" w:rsidRPr="00CA4868" w:rsidRDefault="00677C46" w:rsidP="00677C46">
      <w:pPr>
        <w:pStyle w:val="af"/>
        <w:rPr>
          <w:lang w:val="ru-RU"/>
        </w:rPr>
      </w:pPr>
      <w:r w:rsidRPr="00B734FA">
        <w:rPr>
          <w:lang w:val="ru-RU"/>
        </w:rPr>
        <w:tab/>
      </w:r>
      <w:r>
        <w:rPr>
          <w:rStyle w:val="ab"/>
        </w:rPr>
        <w:footnoteRef/>
      </w:r>
      <w:r w:rsidRPr="00CA4868">
        <w:rPr>
          <w:lang w:val="ru-RU"/>
        </w:rPr>
        <w:tab/>
      </w:r>
      <w:r w:rsidRPr="004F3E95">
        <w:rPr>
          <w:lang w:val="ru-RU"/>
        </w:rPr>
        <w:t xml:space="preserve">Сообщение № 148/1999, </w:t>
      </w:r>
      <w:r w:rsidRPr="003F58B7">
        <w:rPr>
          <w:i/>
          <w:lang w:val="ru-RU"/>
        </w:rPr>
        <w:t>А.K. против Австралии</w:t>
      </w:r>
      <w:r>
        <w:rPr>
          <w:lang w:val="ru-RU"/>
        </w:rPr>
        <w:t xml:space="preserve">, решение, принятое </w:t>
      </w:r>
      <w:r w:rsidRPr="004F3E95">
        <w:rPr>
          <w:lang w:val="ru-RU"/>
        </w:rPr>
        <w:t xml:space="preserve">5 мая 2004 года, пункт 6.4; сообщения Комитета по правам человека № 215/1986, </w:t>
      </w:r>
      <w:r w:rsidRPr="003F58B7">
        <w:rPr>
          <w:i/>
          <w:lang w:val="ru-RU"/>
        </w:rPr>
        <w:t>Г.A. ван Мьюрс против Нидерландов</w:t>
      </w:r>
      <w:r w:rsidRPr="004F3E95">
        <w:rPr>
          <w:lang w:val="ru-RU"/>
        </w:rPr>
        <w:t>, решение о приемлемости, пр</w:t>
      </w:r>
      <w:r>
        <w:rPr>
          <w:lang w:val="ru-RU"/>
        </w:rPr>
        <w:t>инятое 13 июля 1990 года, пункт 7.1; №</w:t>
      </w:r>
      <w:r w:rsidRPr="004F3E95">
        <w:rPr>
          <w:lang w:val="ru-RU"/>
        </w:rPr>
        <w:t xml:space="preserve"> 485/1991, </w:t>
      </w:r>
      <w:r w:rsidRPr="003F58B7">
        <w:rPr>
          <w:i/>
          <w:lang w:val="ru-RU"/>
        </w:rPr>
        <w:t>В.Б. против Тринидада и Тобаго</w:t>
      </w:r>
      <w:r w:rsidRPr="004F3E95">
        <w:rPr>
          <w:lang w:val="ru-RU"/>
        </w:rPr>
        <w:t>, решение о неприемлемости, принятое 26 июля 1993 года, пункт 5.2; №</w:t>
      </w:r>
      <w:r>
        <w:rPr>
          <w:lang w:val="ru-RU"/>
        </w:rPr>
        <w:t> </w:t>
      </w:r>
      <w:r w:rsidRPr="004F3E95">
        <w:rPr>
          <w:lang w:val="ru-RU"/>
        </w:rPr>
        <w:t xml:space="preserve">949/2000, </w:t>
      </w:r>
      <w:r w:rsidRPr="003F58B7">
        <w:rPr>
          <w:i/>
          <w:lang w:val="ru-RU"/>
        </w:rPr>
        <w:t>Кешавджи против Канады</w:t>
      </w:r>
      <w:r w:rsidRPr="004F3E95">
        <w:rPr>
          <w:lang w:val="ru-RU"/>
        </w:rPr>
        <w:t xml:space="preserve">, решение о неприемлемости, принятое 2 ноября 2000 года, пункт 4.3; № 934/2000, </w:t>
      </w:r>
      <w:r>
        <w:rPr>
          <w:i/>
          <w:lang w:val="ru-RU"/>
        </w:rPr>
        <w:t>Г. </w:t>
      </w:r>
      <w:r w:rsidRPr="003F58B7">
        <w:rPr>
          <w:i/>
          <w:lang w:val="ru-RU"/>
        </w:rPr>
        <w:t>против Канады</w:t>
      </w:r>
      <w:r w:rsidRPr="004F3E95">
        <w:rPr>
          <w:lang w:val="ru-RU"/>
        </w:rPr>
        <w:t>, решение о неприемлемости, принятое 8 авг</w:t>
      </w:r>
      <w:r>
        <w:rPr>
          <w:lang w:val="ru-RU"/>
        </w:rPr>
        <w:t>уста 2000 года, пункты </w:t>
      </w:r>
      <w:r w:rsidRPr="004F3E95">
        <w:rPr>
          <w:lang w:val="ru-RU"/>
        </w:rPr>
        <w:t>4.2</w:t>
      </w:r>
      <w:r>
        <w:rPr>
          <w:lang w:val="ru-RU"/>
        </w:rPr>
        <w:t>−</w:t>
      </w:r>
      <w:r w:rsidRPr="004F3E95">
        <w:rPr>
          <w:lang w:val="ru-RU"/>
        </w:rPr>
        <w:t xml:space="preserve">4.3; № 761/1997, </w:t>
      </w:r>
      <w:r w:rsidRPr="003F58B7">
        <w:rPr>
          <w:i/>
          <w:lang w:val="ru-RU"/>
        </w:rPr>
        <w:t>Сингх против Канады</w:t>
      </w:r>
      <w:r w:rsidRPr="004F3E95">
        <w:rPr>
          <w:lang w:val="ru-RU"/>
        </w:rPr>
        <w:t>, решение о неприемлемости, принятое 29 июля 1997 года, пункт 4.2.</w:t>
      </w:r>
    </w:p>
  </w:footnote>
  <w:footnote w:id="13">
    <w:p w:rsidR="00677C46" w:rsidRPr="00CA4868" w:rsidRDefault="00677C46" w:rsidP="00677C46">
      <w:pPr>
        <w:pStyle w:val="af"/>
        <w:rPr>
          <w:lang w:val="ru-RU"/>
        </w:rPr>
      </w:pPr>
      <w:r w:rsidRPr="00B734FA">
        <w:rPr>
          <w:lang w:val="ru-RU"/>
        </w:rPr>
        <w:tab/>
      </w:r>
      <w:r>
        <w:rPr>
          <w:rStyle w:val="ab"/>
        </w:rPr>
        <w:footnoteRef/>
      </w:r>
      <w:r w:rsidRPr="00CA4868">
        <w:rPr>
          <w:lang w:val="ru-RU"/>
        </w:rPr>
        <w:tab/>
      </w:r>
      <w:r w:rsidRPr="004F3E95">
        <w:rPr>
          <w:lang w:val="ru-RU"/>
        </w:rPr>
        <w:t>См.</w:t>
      </w:r>
      <w:r>
        <w:rPr>
          <w:lang w:val="ru-RU"/>
        </w:rPr>
        <w:t>,</w:t>
      </w:r>
      <w:r w:rsidRPr="004F3E95">
        <w:rPr>
          <w:lang w:val="ru-RU"/>
        </w:rPr>
        <w:t xml:space="preserve"> например, решения Комитета против пыток по сообщениям № 148/1999, </w:t>
      </w:r>
      <w:r>
        <w:rPr>
          <w:i/>
          <w:lang w:val="ru-RU"/>
        </w:rPr>
        <w:t>А.K. </w:t>
      </w:r>
      <w:r w:rsidRPr="003F58B7">
        <w:rPr>
          <w:i/>
          <w:lang w:val="ru-RU"/>
        </w:rPr>
        <w:t>против Австралии</w:t>
      </w:r>
      <w:r w:rsidRPr="004F3E95">
        <w:rPr>
          <w:lang w:val="ru-RU"/>
        </w:rPr>
        <w:t xml:space="preserve"> (см. сноску 12), пункт 6.4; № 135/1999, </w:t>
      </w:r>
      <w:r w:rsidRPr="003F58B7">
        <w:rPr>
          <w:i/>
          <w:lang w:val="ru-RU"/>
        </w:rPr>
        <w:t>С.Г. против Нидерландов</w:t>
      </w:r>
      <w:r w:rsidRPr="004F3E95">
        <w:rPr>
          <w:lang w:val="ru-RU"/>
        </w:rPr>
        <w:t xml:space="preserve">, решение, принятое 12 мая 2004 года, пункт 6.6; сообщения Комитета по правам человека № 891/1999, </w:t>
      </w:r>
      <w:r w:rsidRPr="003F58B7">
        <w:rPr>
          <w:i/>
          <w:lang w:val="ru-RU"/>
        </w:rPr>
        <w:t>Тамихере против Новой Зеландии</w:t>
      </w:r>
      <w:r w:rsidRPr="004F3E95">
        <w:rPr>
          <w:lang w:val="ru-RU"/>
        </w:rPr>
        <w:t>, решение, принятое 1</w:t>
      </w:r>
      <w:r>
        <w:rPr>
          <w:lang w:val="ru-RU"/>
        </w:rPr>
        <w:t>8 апреля 2000 года, пункт 4; № </w:t>
      </w:r>
      <w:r w:rsidRPr="004F3E95">
        <w:rPr>
          <w:lang w:val="ru-RU"/>
        </w:rPr>
        <w:t xml:space="preserve">728/1996, </w:t>
      </w:r>
      <w:r w:rsidRPr="003F58B7">
        <w:rPr>
          <w:i/>
          <w:lang w:val="ru-RU"/>
        </w:rPr>
        <w:t>Пол против Гайаны</w:t>
      </w:r>
      <w:r w:rsidRPr="004F3E95">
        <w:rPr>
          <w:lang w:val="ru-RU"/>
        </w:rPr>
        <w:t xml:space="preserve">, </w:t>
      </w:r>
      <w:r>
        <w:rPr>
          <w:lang w:val="ru-RU"/>
        </w:rPr>
        <w:t>мнения</w:t>
      </w:r>
      <w:r w:rsidRPr="004F3E95">
        <w:rPr>
          <w:lang w:val="ru-RU"/>
        </w:rPr>
        <w:t>,</w:t>
      </w:r>
      <w:r>
        <w:rPr>
          <w:lang w:val="ru-RU"/>
        </w:rPr>
        <w:t xml:space="preserve"> принятые 1 </w:t>
      </w:r>
      <w:r w:rsidRPr="004F3E95">
        <w:rPr>
          <w:lang w:val="ru-RU"/>
        </w:rPr>
        <w:t>ноября 2001 года, пункт 9.3.</w:t>
      </w:r>
    </w:p>
  </w:footnote>
  <w:footnote w:id="14">
    <w:p w:rsidR="00677C46" w:rsidRPr="00CA4868" w:rsidRDefault="00677C46" w:rsidP="00677C46">
      <w:pPr>
        <w:pStyle w:val="af"/>
        <w:rPr>
          <w:lang w:val="ru-RU"/>
        </w:rPr>
      </w:pPr>
      <w:r w:rsidRPr="00B734FA">
        <w:rPr>
          <w:lang w:val="ru-RU"/>
        </w:rPr>
        <w:tab/>
      </w:r>
      <w:r>
        <w:rPr>
          <w:rStyle w:val="ab"/>
        </w:rPr>
        <w:footnoteRef/>
      </w:r>
      <w:r w:rsidRPr="00B734FA">
        <w:rPr>
          <w:lang w:val="ru-RU"/>
        </w:rPr>
        <w:tab/>
      </w:r>
      <w:r w:rsidRPr="004F3E95">
        <w:rPr>
          <w:lang w:val="ru-RU"/>
        </w:rPr>
        <w:t>См. пункт 4.2 выше.</w:t>
      </w:r>
    </w:p>
  </w:footnote>
  <w:footnote w:id="15">
    <w:p w:rsidR="00677C46" w:rsidRPr="00C11BC3" w:rsidRDefault="00677C46" w:rsidP="00677C46">
      <w:pPr>
        <w:pStyle w:val="af"/>
        <w:rPr>
          <w:lang w:val="ru-RU"/>
        </w:rPr>
      </w:pPr>
      <w:r w:rsidRPr="00B734FA">
        <w:rPr>
          <w:lang w:val="ru-RU"/>
        </w:rPr>
        <w:tab/>
      </w:r>
      <w:r>
        <w:rPr>
          <w:rStyle w:val="ab"/>
        </w:rPr>
        <w:footnoteRef/>
      </w:r>
      <w:r w:rsidRPr="00B734FA">
        <w:rPr>
          <w:lang w:val="ru-RU"/>
        </w:rPr>
        <w:tab/>
      </w:r>
      <w:r w:rsidRPr="004F3E95">
        <w:rPr>
          <w:lang w:val="en-US"/>
        </w:rPr>
        <w:t>CAT</w:t>
      </w:r>
      <w:r w:rsidRPr="004F3E95">
        <w:rPr>
          <w:lang w:val="ru-RU"/>
        </w:rPr>
        <w:t>/</w:t>
      </w:r>
      <w:r w:rsidRPr="004F3E95">
        <w:rPr>
          <w:lang w:val="en-US"/>
        </w:rPr>
        <w:t>C</w:t>
      </w:r>
      <w:r w:rsidRPr="004F3E95">
        <w:rPr>
          <w:lang w:val="ru-RU"/>
        </w:rPr>
        <w:t>/</w:t>
      </w:r>
      <w:r w:rsidRPr="004F3E95">
        <w:rPr>
          <w:lang w:val="en-US"/>
        </w:rPr>
        <w:t>ETH</w:t>
      </w:r>
      <w:r w:rsidRPr="004F3E95">
        <w:rPr>
          <w:lang w:val="ru-RU"/>
        </w:rPr>
        <w:t>/</w:t>
      </w:r>
      <w:r w:rsidRPr="004F3E95">
        <w:rPr>
          <w:lang w:val="en-US"/>
        </w:rPr>
        <w:t>CO</w:t>
      </w:r>
      <w:r w:rsidRPr="004F3E95">
        <w:rPr>
          <w:lang w:val="ru-RU"/>
        </w:rPr>
        <w:t>/1.</w:t>
      </w:r>
    </w:p>
  </w:footnote>
  <w:footnote w:id="16">
    <w:p w:rsidR="00677C46" w:rsidRPr="00C11BC3" w:rsidRDefault="00677C46" w:rsidP="00677C46">
      <w:pPr>
        <w:pStyle w:val="af"/>
        <w:rPr>
          <w:lang w:val="ru-RU"/>
        </w:rPr>
      </w:pPr>
      <w:r w:rsidRPr="00B734FA">
        <w:rPr>
          <w:lang w:val="ru-RU"/>
        </w:rPr>
        <w:tab/>
      </w:r>
      <w:r>
        <w:rPr>
          <w:rStyle w:val="ab"/>
        </w:rPr>
        <w:footnoteRef/>
      </w:r>
      <w:r w:rsidRPr="00C11BC3">
        <w:rPr>
          <w:lang w:val="ru-RU"/>
        </w:rPr>
        <w:tab/>
      </w:r>
      <w:r w:rsidRPr="004F3E95">
        <w:rPr>
          <w:lang w:val="ru-RU"/>
        </w:rPr>
        <w:t xml:space="preserve">Государство-участник ссылается, в частности, на </w:t>
      </w:r>
      <w:r>
        <w:rPr>
          <w:lang w:val="ru-RU"/>
        </w:rPr>
        <w:t>решение Комитета по сообщению № </w:t>
      </w:r>
      <w:r w:rsidRPr="004F3E95">
        <w:rPr>
          <w:lang w:val="ru-RU"/>
        </w:rPr>
        <w:t xml:space="preserve">393/2009, </w:t>
      </w:r>
      <w:r>
        <w:rPr>
          <w:i/>
          <w:lang w:val="ru-RU"/>
        </w:rPr>
        <w:t>Е.</w:t>
      </w:r>
      <w:r w:rsidRPr="00AF6A37">
        <w:rPr>
          <w:i/>
          <w:lang w:val="ru-RU"/>
        </w:rPr>
        <w:t>T. против Швейцарии</w:t>
      </w:r>
      <w:r w:rsidRPr="004F3E95">
        <w:rPr>
          <w:lang w:val="ru-RU"/>
        </w:rPr>
        <w:t xml:space="preserve"> (см. сноску 11), пункт 7.5, в котором Комитет заявляет, что </w:t>
      </w:r>
      <w:r w:rsidRPr="00C11BC3">
        <w:rPr>
          <w:lang w:val="ru-RU"/>
        </w:rPr>
        <w:t>"</w:t>
      </w:r>
      <w:r w:rsidRPr="004F3E95">
        <w:rPr>
          <w:lang w:val="ru-RU"/>
        </w:rPr>
        <w:t xml:space="preserve">хотя </w:t>
      </w:r>
      <w:r>
        <w:rPr>
          <w:lang w:val="ru-RU"/>
        </w:rPr>
        <w:t>[</w:t>
      </w:r>
      <w:r w:rsidRPr="004F3E95">
        <w:rPr>
          <w:lang w:val="ru-RU"/>
        </w:rPr>
        <w:t>его</w:t>
      </w:r>
      <w:r>
        <w:rPr>
          <w:lang w:val="ru-RU"/>
        </w:rPr>
        <w:t>]</w:t>
      </w:r>
      <w:r w:rsidRPr="004F3E95">
        <w:rPr>
          <w:lang w:val="ru-RU"/>
        </w:rPr>
        <w:t xml:space="preserve"> и беспокоят многочисленные сообщения о нарушениях прав человека, в том числе о применении пыток, в Эфиопии, он напоминает, что для целей статьи 3 Конвенции угроза пыток, которым может подвергнуться соответствующее лицо в случае возвращения, должна быть предсказуемой, реальной и личной</w:t>
      </w:r>
      <w:r w:rsidRPr="00C11BC3">
        <w:rPr>
          <w:lang w:val="ru-RU"/>
        </w:rPr>
        <w:t>"</w:t>
      </w:r>
      <w:r w:rsidRPr="004F3E95">
        <w:rPr>
          <w:lang w:val="ru-RU"/>
        </w:rPr>
        <w:t>. Поскольку заявитель</w:t>
      </w:r>
      <w:r>
        <w:rPr>
          <w:lang w:val="ru-RU"/>
        </w:rPr>
        <w:t>ница</w:t>
      </w:r>
      <w:r w:rsidRPr="004F3E95">
        <w:rPr>
          <w:lang w:val="ru-RU"/>
        </w:rPr>
        <w:t xml:space="preserve"> по тому делу не доказал</w:t>
      </w:r>
      <w:r>
        <w:rPr>
          <w:lang w:val="ru-RU"/>
        </w:rPr>
        <w:t>а</w:t>
      </w:r>
      <w:r w:rsidRPr="004F3E95">
        <w:rPr>
          <w:lang w:val="ru-RU"/>
        </w:rPr>
        <w:t xml:space="preserve"> наличия предсказуемой, реальной и личной опасности подвергнуться пыткам, Комитет пришел к выводу о том, что ее возвращение в Эфиопию не будет представлять собой нарушение статьи 3 Конвенции. Та же обеспокоенность была выражена и те же выводы были сделаны в связи с сообщением № 414/2010, </w:t>
      </w:r>
      <w:r w:rsidRPr="00AF6A37">
        <w:rPr>
          <w:i/>
          <w:lang w:val="ru-RU"/>
        </w:rPr>
        <w:t>Н.Т.В. против Швейцарии</w:t>
      </w:r>
      <w:r w:rsidRPr="004F3E95">
        <w:rPr>
          <w:lang w:val="ru-RU"/>
        </w:rPr>
        <w:t xml:space="preserve"> (см. сноску 11), пункт 7.5.</w:t>
      </w:r>
    </w:p>
  </w:footnote>
  <w:footnote w:id="17">
    <w:p w:rsidR="00677C46" w:rsidRPr="00747DBD" w:rsidRDefault="00677C46" w:rsidP="00677C46">
      <w:pPr>
        <w:pStyle w:val="af"/>
        <w:rPr>
          <w:lang w:val="ru-RU"/>
        </w:rPr>
      </w:pPr>
      <w:r w:rsidRPr="00B734FA">
        <w:rPr>
          <w:lang w:val="ru-RU"/>
        </w:rPr>
        <w:tab/>
      </w:r>
      <w:r>
        <w:rPr>
          <w:rStyle w:val="ab"/>
        </w:rPr>
        <w:footnoteRef/>
      </w:r>
      <w:r w:rsidRPr="00661B4E">
        <w:rPr>
          <w:lang w:val="ru-RU"/>
        </w:rPr>
        <w:tab/>
      </w:r>
      <w:r w:rsidRPr="004F3E95">
        <w:rPr>
          <w:lang w:val="ru-RU"/>
        </w:rPr>
        <w:t>См. пункт 4.6 выше.</w:t>
      </w:r>
    </w:p>
  </w:footnote>
  <w:footnote w:id="18">
    <w:p w:rsidR="003F00A6" w:rsidRPr="002C24DA" w:rsidRDefault="003F00A6" w:rsidP="003F00A6">
      <w:pPr>
        <w:pStyle w:val="af"/>
        <w:rPr>
          <w:lang w:val="ru-RU"/>
        </w:rPr>
      </w:pPr>
      <w:r w:rsidRPr="004F3E95">
        <w:rPr>
          <w:lang w:val="ru-RU"/>
        </w:rPr>
        <w:tab/>
      </w:r>
      <w:r w:rsidRPr="004A205F">
        <w:rPr>
          <w:rStyle w:val="ab"/>
          <w:lang w:val="ru-RU"/>
        </w:rPr>
        <w:footnoteRef/>
      </w:r>
      <w:r w:rsidRPr="004A205F">
        <w:rPr>
          <w:lang w:val="ru-RU"/>
        </w:rPr>
        <w:tab/>
        <w:t xml:space="preserve">Государство-участник ссылается на соображения Комитета по правам человека </w:t>
      </w:r>
      <w:r>
        <w:rPr>
          <w:lang w:val="ru-RU"/>
        </w:rPr>
        <w:t>по сообщению</w:t>
      </w:r>
      <w:r w:rsidRPr="004A205F">
        <w:rPr>
          <w:lang w:val="ru-RU"/>
        </w:rPr>
        <w:t xml:space="preserve"> № 1959/2010, </w:t>
      </w:r>
      <w:r w:rsidRPr="004A205F">
        <w:rPr>
          <w:i/>
          <w:lang w:val="ru-RU"/>
        </w:rPr>
        <w:t>Уорсейм против Канады</w:t>
      </w:r>
      <w:r w:rsidRPr="004A205F">
        <w:rPr>
          <w:lang w:val="ru-RU"/>
        </w:rPr>
        <w:t xml:space="preserve">, соображения, принятые 21 июля 2011 года, пункт 7.6, гласящие, что "сомнения в эффективности внутренних средств правовой защиты не освобождают </w:t>
      </w:r>
      <w:r>
        <w:rPr>
          <w:lang w:val="ru-RU"/>
        </w:rPr>
        <w:t>авторов</w:t>
      </w:r>
      <w:r w:rsidRPr="004A205F">
        <w:rPr>
          <w:lang w:val="ru-RU"/>
        </w:rPr>
        <w:t xml:space="preserve"> от их исчерпа</w:t>
      </w:r>
      <w:r>
        <w:rPr>
          <w:lang w:val="ru-RU"/>
        </w:rPr>
        <w:t>ния</w:t>
      </w:r>
      <w:r w:rsidRPr="004A205F">
        <w:rPr>
          <w:lang w:val="ru-RU"/>
        </w:rPr>
        <w:t>".</w:t>
      </w:r>
      <w:r w:rsidRPr="004F3E95">
        <w:rPr>
          <w:lang w:val="ru-RU"/>
        </w:rPr>
        <w:t xml:space="preserve"> </w:t>
      </w:r>
    </w:p>
  </w:footnote>
  <w:footnote w:id="19">
    <w:p w:rsidR="003F00A6" w:rsidRPr="002C24DA" w:rsidRDefault="003F00A6" w:rsidP="003F00A6">
      <w:pPr>
        <w:pStyle w:val="af"/>
        <w:rPr>
          <w:lang w:val="ru-RU"/>
        </w:rPr>
      </w:pPr>
      <w:r w:rsidRPr="004F3E95">
        <w:rPr>
          <w:lang w:val="ru-RU"/>
        </w:rPr>
        <w:tab/>
      </w:r>
      <w:r w:rsidRPr="004F3E95">
        <w:rPr>
          <w:rStyle w:val="ab"/>
          <w:lang w:val="ru-RU"/>
        </w:rPr>
        <w:footnoteRef/>
      </w:r>
      <w:r w:rsidRPr="004F3E95">
        <w:rPr>
          <w:lang w:val="ru-RU"/>
        </w:rPr>
        <w:tab/>
        <w:t>Государство-участник ссылается на соображения Комите</w:t>
      </w:r>
      <w:r>
        <w:rPr>
          <w:lang w:val="ru-RU"/>
        </w:rPr>
        <w:t>та по правам человека, например</w:t>
      </w:r>
      <w:r w:rsidRPr="004F3E95">
        <w:rPr>
          <w:lang w:val="ru-RU"/>
        </w:rPr>
        <w:t xml:space="preserve"> </w:t>
      </w:r>
      <w:r>
        <w:rPr>
          <w:lang w:val="ru-RU"/>
        </w:rPr>
        <w:t>по</w:t>
      </w:r>
      <w:r w:rsidRPr="004F3E95">
        <w:rPr>
          <w:lang w:val="ru-RU"/>
        </w:rPr>
        <w:t xml:space="preserve"> сообщени</w:t>
      </w:r>
      <w:r>
        <w:rPr>
          <w:lang w:val="ru-RU"/>
        </w:rPr>
        <w:t>ю</w:t>
      </w:r>
      <w:r w:rsidRPr="004F3E95">
        <w:rPr>
          <w:lang w:val="ru-RU"/>
        </w:rPr>
        <w:t xml:space="preserve"> № 1494/2006, </w:t>
      </w:r>
      <w:r>
        <w:rPr>
          <w:i/>
          <w:lang w:val="ru-RU"/>
        </w:rPr>
        <w:t>Хаджиян</w:t>
      </w:r>
      <w:r w:rsidRPr="00AF6A37">
        <w:rPr>
          <w:i/>
          <w:lang w:val="ru-RU"/>
        </w:rPr>
        <w:t xml:space="preserve"> против Нидерландов</w:t>
      </w:r>
      <w:r w:rsidRPr="004F3E95">
        <w:rPr>
          <w:lang w:val="ru-RU"/>
        </w:rPr>
        <w:t xml:space="preserve">, решение, принятое 22 июля 2008 года, пункт 8.3. </w:t>
      </w:r>
    </w:p>
  </w:footnote>
  <w:footnote w:id="20">
    <w:p w:rsidR="003F00A6" w:rsidRPr="002C24DA" w:rsidRDefault="003F00A6" w:rsidP="003F00A6">
      <w:pPr>
        <w:pStyle w:val="af"/>
        <w:rPr>
          <w:lang w:val="ru-RU"/>
        </w:rPr>
      </w:pPr>
      <w:r w:rsidRPr="004F3E95">
        <w:rPr>
          <w:sz w:val="16"/>
          <w:szCs w:val="18"/>
          <w:lang w:val="ru-RU"/>
        </w:rPr>
        <w:tab/>
      </w:r>
      <w:r w:rsidRPr="00084481">
        <w:rPr>
          <w:rStyle w:val="ab"/>
          <w:szCs w:val="18"/>
          <w:lang w:val="ru-RU"/>
        </w:rPr>
        <w:footnoteRef/>
      </w:r>
      <w:r w:rsidRPr="004F3E95">
        <w:rPr>
          <w:sz w:val="16"/>
          <w:szCs w:val="18"/>
          <w:lang w:val="ru-RU"/>
        </w:rPr>
        <w:tab/>
      </w:r>
      <w:r w:rsidRPr="004F3E95">
        <w:rPr>
          <w:lang w:val="ru-RU"/>
        </w:rPr>
        <w:t>См. пун</w:t>
      </w:r>
      <w:bookmarkStart w:id="2" w:name="_GoBack"/>
      <w:bookmarkEnd w:id="2"/>
      <w:r w:rsidRPr="004F3E95">
        <w:rPr>
          <w:lang w:val="ru-RU"/>
        </w:rPr>
        <w:t>кт 4</w:t>
      </w:r>
      <w:r>
        <w:rPr>
          <w:lang w:val="ru-RU"/>
        </w:rPr>
        <w:t>.</w:t>
      </w:r>
      <w:r w:rsidRPr="004F3E95">
        <w:rPr>
          <w:lang w:val="ru-RU"/>
        </w:rPr>
        <w:t>6 выше.</w:t>
      </w:r>
    </w:p>
  </w:footnote>
  <w:footnote w:id="21">
    <w:p w:rsidR="003F00A6" w:rsidRPr="002C24DA" w:rsidRDefault="003F00A6" w:rsidP="003F00A6">
      <w:pPr>
        <w:pStyle w:val="af"/>
        <w:rPr>
          <w:lang w:val="ru-RU"/>
        </w:rPr>
      </w:pPr>
      <w:r w:rsidRPr="004F3E95">
        <w:rPr>
          <w:lang w:val="ru-RU"/>
        </w:rPr>
        <w:tab/>
      </w:r>
      <w:r w:rsidRPr="004F3E95">
        <w:rPr>
          <w:rStyle w:val="ab"/>
          <w:lang w:val="ru-RU"/>
        </w:rPr>
        <w:footnoteRef/>
      </w:r>
      <w:r w:rsidRPr="004F3E95">
        <w:rPr>
          <w:lang w:val="ru-RU"/>
        </w:rPr>
        <w:tab/>
        <w:t xml:space="preserve">См. например, сообщение № 319/2007, </w:t>
      </w:r>
      <w:r w:rsidRPr="00AF6A37">
        <w:rPr>
          <w:i/>
          <w:lang w:val="ru-RU"/>
        </w:rPr>
        <w:t>Нирмал Сингх против Канады</w:t>
      </w:r>
      <w:r w:rsidRPr="004F3E95">
        <w:rPr>
          <w:lang w:val="ru-RU"/>
        </w:rPr>
        <w:t xml:space="preserve"> (см. сноску 6), пункт 8.8. </w:t>
      </w:r>
    </w:p>
  </w:footnote>
  <w:footnote w:id="22">
    <w:p w:rsidR="003F00A6" w:rsidRPr="002C24DA" w:rsidRDefault="003F00A6" w:rsidP="003F00A6">
      <w:pPr>
        <w:pStyle w:val="af"/>
        <w:rPr>
          <w:lang w:val="ru-RU"/>
        </w:rPr>
      </w:pPr>
      <w:r w:rsidRPr="004F3E95">
        <w:rPr>
          <w:lang w:val="ru-RU"/>
        </w:rPr>
        <w:tab/>
      </w:r>
      <w:r w:rsidRPr="004F3E95">
        <w:rPr>
          <w:rStyle w:val="ab"/>
          <w:lang w:val="ru-RU"/>
        </w:rPr>
        <w:footnoteRef/>
      </w:r>
      <w:r w:rsidRPr="004F3E95">
        <w:rPr>
          <w:lang w:val="ru-RU"/>
        </w:rPr>
        <w:tab/>
        <w:t xml:space="preserve">См. например, сообщение № 343/2008, </w:t>
      </w:r>
      <w:r w:rsidRPr="00AF6A37">
        <w:rPr>
          <w:i/>
          <w:lang w:val="ru-RU"/>
        </w:rPr>
        <w:t>Калонзо против Канады</w:t>
      </w:r>
      <w:r>
        <w:rPr>
          <w:lang w:val="ru-RU"/>
        </w:rPr>
        <w:t xml:space="preserve"> (см. сноску 11), пункт </w:t>
      </w:r>
      <w:r w:rsidRPr="004F3E95">
        <w:rPr>
          <w:lang w:val="ru-RU"/>
        </w:rPr>
        <w:t xml:space="preserve">8.3. </w:t>
      </w:r>
    </w:p>
  </w:footnote>
  <w:footnote w:id="23">
    <w:p w:rsidR="003F00A6" w:rsidRPr="002C24DA" w:rsidRDefault="003F00A6" w:rsidP="003F00A6">
      <w:pPr>
        <w:pStyle w:val="af"/>
        <w:widowControl w:val="0"/>
        <w:tabs>
          <w:tab w:val="clear" w:pos="1021"/>
          <w:tab w:val="right" w:pos="1020"/>
        </w:tabs>
        <w:rPr>
          <w:lang w:val="ru-RU"/>
        </w:rPr>
      </w:pPr>
      <w:r w:rsidRPr="004F3E95">
        <w:rPr>
          <w:lang w:val="ru-RU"/>
        </w:rPr>
        <w:tab/>
      </w:r>
      <w:r w:rsidRPr="004F3E95">
        <w:rPr>
          <w:rStyle w:val="ab"/>
          <w:lang w:val="ru-RU"/>
        </w:rPr>
        <w:footnoteRef/>
      </w:r>
      <w:r w:rsidRPr="004F3E95">
        <w:rPr>
          <w:lang w:val="ru-RU"/>
        </w:rPr>
        <w:tab/>
      </w:r>
      <w:r w:rsidRPr="004F3E95">
        <w:rPr>
          <w:iCs/>
          <w:szCs w:val="18"/>
          <w:lang w:val="ru-RU"/>
        </w:rPr>
        <w:t>См. сноску 11.</w:t>
      </w:r>
    </w:p>
  </w:footnote>
  <w:footnote w:id="24">
    <w:p w:rsidR="003F00A6" w:rsidRPr="002C24DA" w:rsidRDefault="003F00A6" w:rsidP="003F00A6">
      <w:pPr>
        <w:pStyle w:val="af"/>
        <w:widowControl w:val="0"/>
        <w:tabs>
          <w:tab w:val="clear" w:pos="1021"/>
          <w:tab w:val="right" w:pos="1020"/>
        </w:tabs>
        <w:rPr>
          <w:lang w:val="ru-RU"/>
        </w:rPr>
      </w:pPr>
      <w:r w:rsidRPr="004F3E95">
        <w:rPr>
          <w:lang w:val="ru-RU"/>
        </w:rPr>
        <w:tab/>
      </w:r>
      <w:r w:rsidRPr="004F3E95">
        <w:rPr>
          <w:rStyle w:val="ab"/>
          <w:lang w:val="ru-RU"/>
        </w:rPr>
        <w:footnoteRef/>
      </w:r>
      <w:r w:rsidRPr="004F3E95">
        <w:rPr>
          <w:lang w:val="ru-RU"/>
        </w:rPr>
        <w:tab/>
        <w:t xml:space="preserve">Там же. См. также сообщение № 203/2002, </w:t>
      </w:r>
      <w:r w:rsidRPr="00D550A1">
        <w:rPr>
          <w:i/>
          <w:lang w:val="ru-RU"/>
        </w:rPr>
        <w:t>А.Р. против Нидерландов</w:t>
      </w:r>
      <w:r w:rsidRPr="004F3E95">
        <w:rPr>
          <w:lang w:val="ru-RU"/>
        </w:rPr>
        <w:t xml:space="preserve">, решение, принятое 14 ноября 2003 года, пункт 7.3. </w:t>
      </w:r>
    </w:p>
  </w:footnote>
  <w:footnote w:id="25">
    <w:p w:rsidR="003F00A6" w:rsidRPr="00A85CB1" w:rsidRDefault="003F00A6" w:rsidP="003F00A6">
      <w:pPr>
        <w:pStyle w:val="af"/>
        <w:widowControl w:val="0"/>
        <w:tabs>
          <w:tab w:val="clear" w:pos="1021"/>
          <w:tab w:val="right" w:pos="1020"/>
        </w:tabs>
        <w:rPr>
          <w:lang w:val="ru-RU"/>
        </w:rPr>
      </w:pPr>
      <w:r w:rsidRPr="004F3E95">
        <w:rPr>
          <w:lang w:val="ru-RU"/>
        </w:rPr>
        <w:tab/>
      </w:r>
      <w:r w:rsidRPr="004F3E95">
        <w:rPr>
          <w:rStyle w:val="ab"/>
          <w:lang w:val="ru-RU"/>
        </w:rPr>
        <w:footnoteRef/>
      </w:r>
      <w:r w:rsidRPr="004F3E95">
        <w:rPr>
          <w:lang w:val="ru-RU"/>
        </w:rPr>
        <w:tab/>
      </w:r>
      <w:r w:rsidRPr="00A85CB1">
        <w:rPr>
          <w:lang w:val="ru-RU"/>
        </w:rPr>
        <w:t xml:space="preserve">См., в частности, сообщение № 466/2011, </w:t>
      </w:r>
      <w:r w:rsidRPr="00315C59">
        <w:rPr>
          <w:i/>
          <w:lang w:val="ru-RU"/>
        </w:rPr>
        <w:t>Альп против Дании</w:t>
      </w:r>
      <w:r w:rsidRPr="00A85CB1">
        <w:rPr>
          <w:lang w:val="ru-RU"/>
        </w:rPr>
        <w:t>, решение от 14 мая 2014</w:t>
      </w:r>
      <w:r>
        <w:rPr>
          <w:lang w:val="ru-RU"/>
        </w:rPr>
        <w:t> </w:t>
      </w:r>
      <w:r w:rsidRPr="00A85CB1">
        <w:rPr>
          <w:lang w:val="ru-RU"/>
        </w:rPr>
        <w:t xml:space="preserve">года, пункт 8.3. </w:t>
      </w:r>
    </w:p>
  </w:footnote>
  <w:footnote w:id="26">
    <w:p w:rsidR="003F00A6" w:rsidRPr="002C24DA" w:rsidRDefault="003F00A6" w:rsidP="003F00A6">
      <w:pPr>
        <w:pStyle w:val="af"/>
        <w:rPr>
          <w:lang w:val="ru-RU"/>
        </w:rPr>
      </w:pPr>
      <w:r w:rsidRPr="004F3E95">
        <w:rPr>
          <w:lang w:val="ru-RU"/>
        </w:rPr>
        <w:tab/>
      </w:r>
      <w:r w:rsidRPr="004F3E95">
        <w:rPr>
          <w:rStyle w:val="ab"/>
          <w:lang w:val="ru-RU"/>
        </w:rPr>
        <w:footnoteRef/>
      </w:r>
      <w:r w:rsidRPr="004F3E95">
        <w:rPr>
          <w:lang w:val="ru-RU"/>
        </w:rPr>
        <w:tab/>
        <w:t xml:space="preserve">См., например, сообщение № 243/2004, </w:t>
      </w:r>
      <w:r w:rsidRPr="00D550A1">
        <w:rPr>
          <w:i/>
          <w:lang w:val="ru-RU"/>
        </w:rPr>
        <w:t>С.А. против Швеции</w:t>
      </w:r>
      <w:r w:rsidRPr="004F3E95">
        <w:rPr>
          <w:lang w:val="ru-RU"/>
        </w:rPr>
        <w:t>, решение о неприемлемости, принятое 6 мая 2004 года, пункт 4.2.</w:t>
      </w:r>
      <w:r w:rsidRPr="00D91F48">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8" w:rsidRPr="008C469F" w:rsidRDefault="004F36B8">
    <w:pPr>
      <w:pStyle w:val="a9"/>
      <w:rPr>
        <w:lang w:val="en-US"/>
      </w:rPr>
    </w:pPr>
    <w:r>
      <w:rPr>
        <w:lang w:val="en-US"/>
      </w:rPr>
      <w:t>CAT/C/53/D/520/2012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8" w:rsidRPr="00B74BE2" w:rsidRDefault="004F36B8">
    <w:pPr>
      <w:pStyle w:val="a9"/>
      <w:rPr>
        <w:lang w:val="en-US"/>
      </w:rPr>
    </w:pPr>
    <w:r>
      <w:rPr>
        <w:lang w:val="en-US"/>
      </w:rPr>
      <w:tab/>
      <w:t>CAT/C/53/D/520/2012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19"/>
    <w:rsid w:val="00002333"/>
    <w:rsid w:val="000033D8"/>
    <w:rsid w:val="00005C1C"/>
    <w:rsid w:val="00016553"/>
    <w:rsid w:val="000233B3"/>
    <w:rsid w:val="00023E9E"/>
    <w:rsid w:val="00026B0C"/>
    <w:rsid w:val="0003638E"/>
    <w:rsid w:val="00036FF2"/>
    <w:rsid w:val="0004010A"/>
    <w:rsid w:val="00040560"/>
    <w:rsid w:val="00043D88"/>
    <w:rsid w:val="00046E4D"/>
    <w:rsid w:val="0006401A"/>
    <w:rsid w:val="00072C27"/>
    <w:rsid w:val="00080A04"/>
    <w:rsid w:val="00084481"/>
    <w:rsid w:val="00086182"/>
    <w:rsid w:val="00090891"/>
    <w:rsid w:val="00092E62"/>
    <w:rsid w:val="00097975"/>
    <w:rsid w:val="000A3DDF"/>
    <w:rsid w:val="000A60A0"/>
    <w:rsid w:val="000C3688"/>
    <w:rsid w:val="000D3538"/>
    <w:rsid w:val="000D6863"/>
    <w:rsid w:val="00117AEE"/>
    <w:rsid w:val="001256F0"/>
    <w:rsid w:val="001463F7"/>
    <w:rsid w:val="0015769C"/>
    <w:rsid w:val="00180752"/>
    <w:rsid w:val="00185076"/>
    <w:rsid w:val="0018543C"/>
    <w:rsid w:val="00190231"/>
    <w:rsid w:val="00192ABD"/>
    <w:rsid w:val="001A75D5"/>
    <w:rsid w:val="001A7D40"/>
    <w:rsid w:val="001D07F7"/>
    <w:rsid w:val="001D384C"/>
    <w:rsid w:val="001D7B8F"/>
    <w:rsid w:val="001E48EE"/>
    <w:rsid w:val="001F2D04"/>
    <w:rsid w:val="0020059C"/>
    <w:rsid w:val="002019BD"/>
    <w:rsid w:val="00232D42"/>
    <w:rsid w:val="00237334"/>
    <w:rsid w:val="002444F4"/>
    <w:rsid w:val="002629A0"/>
    <w:rsid w:val="002752EE"/>
    <w:rsid w:val="0028492B"/>
    <w:rsid w:val="00285FF5"/>
    <w:rsid w:val="00291C8F"/>
    <w:rsid w:val="002A4112"/>
    <w:rsid w:val="002B682F"/>
    <w:rsid w:val="002C30A4"/>
    <w:rsid w:val="002C5036"/>
    <w:rsid w:val="002C6A71"/>
    <w:rsid w:val="002C6D5F"/>
    <w:rsid w:val="002D15EA"/>
    <w:rsid w:val="002D6C07"/>
    <w:rsid w:val="002E0CE6"/>
    <w:rsid w:val="002E1163"/>
    <w:rsid w:val="002E43F3"/>
    <w:rsid w:val="00315C59"/>
    <w:rsid w:val="003215F5"/>
    <w:rsid w:val="00332891"/>
    <w:rsid w:val="00352AB4"/>
    <w:rsid w:val="00356BB2"/>
    <w:rsid w:val="00360477"/>
    <w:rsid w:val="00367FC9"/>
    <w:rsid w:val="003711A1"/>
    <w:rsid w:val="00372123"/>
    <w:rsid w:val="00376CDC"/>
    <w:rsid w:val="00386581"/>
    <w:rsid w:val="00387100"/>
    <w:rsid w:val="003951D3"/>
    <w:rsid w:val="003978C6"/>
    <w:rsid w:val="003B40A9"/>
    <w:rsid w:val="003C016E"/>
    <w:rsid w:val="003D5EBD"/>
    <w:rsid w:val="003F00A6"/>
    <w:rsid w:val="003F27FE"/>
    <w:rsid w:val="003F770B"/>
    <w:rsid w:val="00401CE0"/>
    <w:rsid w:val="00403234"/>
    <w:rsid w:val="00407AC3"/>
    <w:rsid w:val="00414586"/>
    <w:rsid w:val="00415059"/>
    <w:rsid w:val="004156D8"/>
    <w:rsid w:val="00424FDD"/>
    <w:rsid w:val="0043033D"/>
    <w:rsid w:val="004313F0"/>
    <w:rsid w:val="00435FE4"/>
    <w:rsid w:val="00457634"/>
    <w:rsid w:val="00474F42"/>
    <w:rsid w:val="0048244D"/>
    <w:rsid w:val="004A0DE8"/>
    <w:rsid w:val="004A4CB7"/>
    <w:rsid w:val="004A57B5"/>
    <w:rsid w:val="004B19DA"/>
    <w:rsid w:val="004C2A53"/>
    <w:rsid w:val="004C3B35"/>
    <w:rsid w:val="004C43EC"/>
    <w:rsid w:val="004E6729"/>
    <w:rsid w:val="004F0E47"/>
    <w:rsid w:val="004F36B8"/>
    <w:rsid w:val="0051339C"/>
    <w:rsid w:val="0051412F"/>
    <w:rsid w:val="00522B6F"/>
    <w:rsid w:val="0052430E"/>
    <w:rsid w:val="005276AD"/>
    <w:rsid w:val="00536B26"/>
    <w:rsid w:val="00540A9A"/>
    <w:rsid w:val="00543522"/>
    <w:rsid w:val="00545680"/>
    <w:rsid w:val="005461F6"/>
    <w:rsid w:val="00562BB7"/>
    <w:rsid w:val="0056618E"/>
    <w:rsid w:val="00576F59"/>
    <w:rsid w:val="00577A34"/>
    <w:rsid w:val="00580AAD"/>
    <w:rsid w:val="005823C0"/>
    <w:rsid w:val="00593A04"/>
    <w:rsid w:val="005A6D5A"/>
    <w:rsid w:val="005B1B28"/>
    <w:rsid w:val="005B7D51"/>
    <w:rsid w:val="005B7F35"/>
    <w:rsid w:val="005C2081"/>
    <w:rsid w:val="005C678A"/>
    <w:rsid w:val="005D346D"/>
    <w:rsid w:val="005E74AB"/>
    <w:rsid w:val="0060566A"/>
    <w:rsid w:val="00606A3E"/>
    <w:rsid w:val="006115AA"/>
    <w:rsid w:val="006120AE"/>
    <w:rsid w:val="00635E86"/>
    <w:rsid w:val="00636A37"/>
    <w:rsid w:val="006501A5"/>
    <w:rsid w:val="006567B2"/>
    <w:rsid w:val="00661B4E"/>
    <w:rsid w:val="00662ADE"/>
    <w:rsid w:val="00664106"/>
    <w:rsid w:val="006756F1"/>
    <w:rsid w:val="00677773"/>
    <w:rsid w:val="00677C46"/>
    <w:rsid w:val="006805FC"/>
    <w:rsid w:val="006926C7"/>
    <w:rsid w:val="00694C37"/>
    <w:rsid w:val="006A1BEB"/>
    <w:rsid w:val="006A401C"/>
    <w:rsid w:val="006A7C6E"/>
    <w:rsid w:val="006B23D9"/>
    <w:rsid w:val="006C1814"/>
    <w:rsid w:val="006C2F45"/>
    <w:rsid w:val="006C361A"/>
    <w:rsid w:val="006C5657"/>
    <w:rsid w:val="006D2A33"/>
    <w:rsid w:val="006D5E4E"/>
    <w:rsid w:val="006E6860"/>
    <w:rsid w:val="006E7183"/>
    <w:rsid w:val="006F5FBF"/>
    <w:rsid w:val="0070327E"/>
    <w:rsid w:val="00707B5F"/>
    <w:rsid w:val="007251A1"/>
    <w:rsid w:val="00735602"/>
    <w:rsid w:val="0075279B"/>
    <w:rsid w:val="00753748"/>
    <w:rsid w:val="00762446"/>
    <w:rsid w:val="00781ACB"/>
    <w:rsid w:val="007941F7"/>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5A4F"/>
    <w:rsid w:val="008D6A7A"/>
    <w:rsid w:val="008E3E87"/>
    <w:rsid w:val="008E7F13"/>
    <w:rsid w:val="008F3185"/>
    <w:rsid w:val="00915B0A"/>
    <w:rsid w:val="00926904"/>
    <w:rsid w:val="009372F0"/>
    <w:rsid w:val="009470C9"/>
    <w:rsid w:val="00955022"/>
    <w:rsid w:val="00957B4D"/>
    <w:rsid w:val="00964EEA"/>
    <w:rsid w:val="00967E88"/>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1E2C"/>
    <w:rsid w:val="00A325A9"/>
    <w:rsid w:val="00A4025D"/>
    <w:rsid w:val="00A800D1"/>
    <w:rsid w:val="00A87460"/>
    <w:rsid w:val="00A90419"/>
    <w:rsid w:val="00A92699"/>
    <w:rsid w:val="00AB5BF0"/>
    <w:rsid w:val="00AC1C95"/>
    <w:rsid w:val="00AC2CCB"/>
    <w:rsid w:val="00AC443A"/>
    <w:rsid w:val="00AE60E2"/>
    <w:rsid w:val="00B0169F"/>
    <w:rsid w:val="00B05F21"/>
    <w:rsid w:val="00B14EA9"/>
    <w:rsid w:val="00B22BB4"/>
    <w:rsid w:val="00B30A3C"/>
    <w:rsid w:val="00B32D3D"/>
    <w:rsid w:val="00B34647"/>
    <w:rsid w:val="00B46A1E"/>
    <w:rsid w:val="00B81305"/>
    <w:rsid w:val="00B81A96"/>
    <w:rsid w:val="00BB17DC"/>
    <w:rsid w:val="00BB1AF9"/>
    <w:rsid w:val="00BB4C4A"/>
    <w:rsid w:val="00BD2A77"/>
    <w:rsid w:val="00BD3CAE"/>
    <w:rsid w:val="00BD5F3C"/>
    <w:rsid w:val="00C07C0F"/>
    <w:rsid w:val="00C145C4"/>
    <w:rsid w:val="00C20D2F"/>
    <w:rsid w:val="00C2131B"/>
    <w:rsid w:val="00C22BE2"/>
    <w:rsid w:val="00C37AF8"/>
    <w:rsid w:val="00C37C79"/>
    <w:rsid w:val="00C41BBC"/>
    <w:rsid w:val="00C46127"/>
    <w:rsid w:val="00C51419"/>
    <w:rsid w:val="00C54056"/>
    <w:rsid w:val="00C663A3"/>
    <w:rsid w:val="00C75CB2"/>
    <w:rsid w:val="00C90723"/>
    <w:rsid w:val="00C90D5C"/>
    <w:rsid w:val="00CA609E"/>
    <w:rsid w:val="00CA7DA4"/>
    <w:rsid w:val="00CB31FB"/>
    <w:rsid w:val="00CB5692"/>
    <w:rsid w:val="00CE3D6F"/>
    <w:rsid w:val="00CE79A5"/>
    <w:rsid w:val="00CF0042"/>
    <w:rsid w:val="00CF262F"/>
    <w:rsid w:val="00D025D5"/>
    <w:rsid w:val="00D06C17"/>
    <w:rsid w:val="00D26B13"/>
    <w:rsid w:val="00D26CC1"/>
    <w:rsid w:val="00D30662"/>
    <w:rsid w:val="00D32A0B"/>
    <w:rsid w:val="00D332E1"/>
    <w:rsid w:val="00D34CFC"/>
    <w:rsid w:val="00D4540D"/>
    <w:rsid w:val="00D56812"/>
    <w:rsid w:val="00D6236B"/>
    <w:rsid w:val="00D809D1"/>
    <w:rsid w:val="00D84ECF"/>
    <w:rsid w:val="00D923C6"/>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A5D62"/>
    <w:rsid w:val="00EC0044"/>
    <w:rsid w:val="00EC6B9F"/>
    <w:rsid w:val="00EE516D"/>
    <w:rsid w:val="00EF4D1B"/>
    <w:rsid w:val="00EF7295"/>
    <w:rsid w:val="00F069D1"/>
    <w:rsid w:val="00F1503D"/>
    <w:rsid w:val="00F22712"/>
    <w:rsid w:val="00F275F5"/>
    <w:rsid w:val="00F33188"/>
    <w:rsid w:val="00F35BDE"/>
    <w:rsid w:val="00F52A0E"/>
    <w:rsid w:val="00F71F63"/>
    <w:rsid w:val="00F73600"/>
    <w:rsid w:val="00F87446"/>
    <w:rsid w:val="00F87506"/>
    <w:rsid w:val="00F90607"/>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semiHidden/>
    <w:rsid w:val="00F9060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 number,Footnotes refss,Style 10,ftref"/>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8D5A4F"/>
    <w:pPr>
      <w:spacing w:line="240" w:lineRule="auto"/>
    </w:pPr>
    <w:rPr>
      <w:rFonts w:ascii="Tahoma" w:hAnsi="Tahoma" w:cs="Tahoma"/>
      <w:sz w:val="16"/>
      <w:szCs w:val="16"/>
    </w:rPr>
  </w:style>
  <w:style w:type="character" w:customStyle="1" w:styleId="affe">
    <w:name w:val="Текст выноски Знак"/>
    <w:basedOn w:val="a3"/>
    <w:link w:val="affd"/>
    <w:rsid w:val="008D5A4F"/>
    <w:rPr>
      <w:rFonts w:ascii="Tahoma" w:hAnsi="Tahoma" w:cs="Tahoma"/>
      <w:spacing w:val="4"/>
      <w:w w:val="103"/>
      <w:kern w:val="14"/>
      <w:sz w:val="16"/>
      <w:szCs w:val="16"/>
      <w:lang w:eastAsia="en-US"/>
    </w:rPr>
  </w:style>
  <w:style w:type="paragraph" w:customStyle="1" w:styleId="SingleTxtG">
    <w:name w:val="_ Single Txt_G"/>
    <w:basedOn w:val="a2"/>
    <w:link w:val="SingleTxtGChar"/>
    <w:qFormat/>
    <w:rsid w:val="00A90419"/>
    <w:pPr>
      <w:suppressAutoHyphens/>
      <w:spacing w:after="120"/>
      <w:ind w:left="1134" w:right="1134"/>
      <w:jc w:val="both"/>
    </w:pPr>
    <w:rPr>
      <w:spacing w:val="0"/>
      <w:w w:val="100"/>
      <w:kern w:val="0"/>
      <w:lang w:val="x-none"/>
    </w:rPr>
  </w:style>
  <w:style w:type="character" w:customStyle="1" w:styleId="af0">
    <w:name w:val="Текст сноски Знак"/>
    <w:aliases w:val="5_GR Знак,5_G Знак"/>
    <w:basedOn w:val="a3"/>
    <w:link w:val="af"/>
    <w:locked/>
    <w:rsid w:val="00A90419"/>
    <w:rPr>
      <w:spacing w:val="5"/>
      <w:w w:val="104"/>
      <w:kern w:val="14"/>
      <w:sz w:val="18"/>
      <w:lang w:val="en-GB"/>
    </w:rPr>
  </w:style>
  <w:style w:type="character" w:customStyle="1" w:styleId="SingleTxtGChar">
    <w:name w:val="_ Single Txt_G Char"/>
    <w:link w:val="SingleTxtG"/>
    <w:locked/>
    <w:rsid w:val="00A90419"/>
    <w:rPr>
      <w:lang w:val="x-none" w:eastAsia="en-US"/>
    </w:rPr>
  </w:style>
  <w:style w:type="character" w:customStyle="1" w:styleId="grame">
    <w:name w:val="grame"/>
    <w:basedOn w:val="a3"/>
    <w:uiPriority w:val="99"/>
    <w:rsid w:val="00677C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semiHidden/>
    <w:rsid w:val="00F9060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 number,Footnotes refss,Style 10,ftref"/>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8D5A4F"/>
    <w:pPr>
      <w:spacing w:line="240" w:lineRule="auto"/>
    </w:pPr>
    <w:rPr>
      <w:rFonts w:ascii="Tahoma" w:hAnsi="Tahoma" w:cs="Tahoma"/>
      <w:sz w:val="16"/>
      <w:szCs w:val="16"/>
    </w:rPr>
  </w:style>
  <w:style w:type="character" w:customStyle="1" w:styleId="affe">
    <w:name w:val="Текст выноски Знак"/>
    <w:basedOn w:val="a3"/>
    <w:link w:val="affd"/>
    <w:rsid w:val="008D5A4F"/>
    <w:rPr>
      <w:rFonts w:ascii="Tahoma" w:hAnsi="Tahoma" w:cs="Tahoma"/>
      <w:spacing w:val="4"/>
      <w:w w:val="103"/>
      <w:kern w:val="14"/>
      <w:sz w:val="16"/>
      <w:szCs w:val="16"/>
      <w:lang w:eastAsia="en-US"/>
    </w:rPr>
  </w:style>
  <w:style w:type="paragraph" w:customStyle="1" w:styleId="SingleTxtG">
    <w:name w:val="_ Single Txt_G"/>
    <w:basedOn w:val="a2"/>
    <w:link w:val="SingleTxtGChar"/>
    <w:qFormat/>
    <w:rsid w:val="00A90419"/>
    <w:pPr>
      <w:suppressAutoHyphens/>
      <w:spacing w:after="120"/>
      <w:ind w:left="1134" w:right="1134"/>
      <w:jc w:val="both"/>
    </w:pPr>
    <w:rPr>
      <w:spacing w:val="0"/>
      <w:w w:val="100"/>
      <w:kern w:val="0"/>
      <w:lang w:val="x-none"/>
    </w:rPr>
  </w:style>
  <w:style w:type="character" w:customStyle="1" w:styleId="af0">
    <w:name w:val="Текст сноски Знак"/>
    <w:aliases w:val="5_GR Знак,5_G Знак"/>
    <w:basedOn w:val="a3"/>
    <w:link w:val="af"/>
    <w:locked/>
    <w:rsid w:val="00A90419"/>
    <w:rPr>
      <w:spacing w:val="5"/>
      <w:w w:val="104"/>
      <w:kern w:val="14"/>
      <w:sz w:val="18"/>
      <w:lang w:val="en-GB"/>
    </w:rPr>
  </w:style>
  <w:style w:type="character" w:customStyle="1" w:styleId="SingleTxtGChar">
    <w:name w:val="_ Single Txt_G Char"/>
    <w:link w:val="SingleTxtG"/>
    <w:locked/>
    <w:rsid w:val="00A90419"/>
    <w:rPr>
      <w:lang w:val="x-none" w:eastAsia="en-US"/>
    </w:rPr>
  </w:style>
  <w:style w:type="character" w:customStyle="1" w:styleId="grame">
    <w:name w:val="grame"/>
    <w:basedOn w:val="a3"/>
    <w:uiPriority w:val="99"/>
    <w:rsid w:val="00677C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7BF2-3E3B-4119-BBCE-D6F6E5C0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17</Pages>
  <Words>5994</Words>
  <Characters>38174</Characters>
  <Application>Microsoft Office Word</Application>
  <DocSecurity>0</DocSecurity>
  <Lines>679</Lines>
  <Paragraphs>104</Paragraphs>
  <ScaleCrop>false</ScaleCrop>
  <HeadingPairs>
    <vt:vector size="2" baseType="variant">
      <vt:variant>
        <vt:lpstr>Название</vt:lpstr>
      </vt:variant>
      <vt:variant>
        <vt:i4>1</vt:i4>
      </vt:variant>
    </vt:vector>
  </HeadingPairs>
  <TitlesOfParts>
    <vt:vector size="1" baseType="lpstr">
      <vt:lpstr>1500718</vt:lpstr>
    </vt:vector>
  </TitlesOfParts>
  <Manager>Драчов</Manager>
  <Company>CSD</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1500718</dc:title>
  <dc:subject>CAT/C/53/D/520/2012</dc:subject>
  <dc:creator>Antipova Uliana </dc:creator>
  <dc:description>Final</dc:description>
  <cp:lastModifiedBy>Antipova Uliana</cp:lastModifiedBy>
  <cp:revision>3</cp:revision>
  <cp:lastPrinted>2015-04-15T07:08:00Z</cp:lastPrinted>
  <dcterms:created xsi:type="dcterms:W3CDTF">2015-04-15T07:08:00Z</dcterms:created>
  <dcterms:modified xsi:type="dcterms:W3CDTF">2015-04-15T07:09:00Z</dcterms:modified>
</cp:coreProperties>
</file>