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lang w:val="es-ES_tradnl"/>
        </w:rPr>
      </w:pPr>
      <w:r>
        <w:rPr>
          <w:noProof/>
          <w:sz w:val="20"/>
        </w:rPr>
        <w:pict>
          <v:line id="_x0000_s1031" style="position:absolute;z-index:6;mso-wrap-edited:f;mso-position-horizontal-relative:page;mso-position-vertical-relative:page" from="85.05pt,249.5pt" to="552.75pt,249.5pt" strokeweight="4.5pt">
            <w10:wrap anchorx="page" anchory="page"/>
            <w10:anchorlock/>
          </v:lin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6.05pt;margin-top:119.05pt;width:164.4pt;height:65.45pt;z-index:5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6"/>
                      <w:sz w:val="32"/>
                      <w:lang w:val="es-ES_tradnl"/>
                    </w:rPr>
                    <w:t>Pacto Internacional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de Derechos Civiles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lang w:val="es-ES_tradnl"/>
                    </w:rPr>
                    <w:br/>
                    <w:t>y Políticos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7.9pt;margin-top:112pt;width:68.05pt;height:63.9pt;z-index:4;visibility:visible;mso-wrap-edited:f;mso-position-horizontal-relative:page;mso-position-vertical-relative:page">
            <v:imagedata r:id="rId6" o:title=""/>
            <w10:wrap anchorx="page" anchory="page"/>
            <w10:anchorlock/>
          </v:shape>
          <o:OLEObject Type="Embed" ProgID="Word.Picture.8" ShapeID="_x0000_s1029" DrawAspect="Content" ObjectID="_1393230367" r:id="rId7"/>
        </w:pict>
      </w:r>
      <w:r>
        <w:rPr>
          <w:noProof/>
          <w:sz w:val="20"/>
        </w:rPr>
        <w:pict>
          <v:line id="_x0000_s1028" style="position:absolute;z-index:3;mso-wrap-edited:f;mso-position-horizontal-relative:page;mso-position-vertical-relative:page" from="85.05pt,104.9pt" to="552.75pt,104.9pt" wrapcoords="-35 0 -35 0 21635 0 21635 0 -35 0">
            <w10:wrap anchorx="page" anchory="page"/>
            <w10:anchorlock/>
          </v:line>
        </w:pict>
      </w:r>
      <w:r>
        <w:rPr>
          <w:noProof/>
          <w:sz w:val="20"/>
        </w:rPr>
        <w:pict>
          <v:shape id="_x0000_s1027" type="#_x0000_t202" style="position:absolute;margin-left:445.05pt;margin-top:51.05pt;width:107.75pt;height:45.35pt;z-index:2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lang w:val="es-ES_tradnl"/>
                    </w:rPr>
                    <w:t>CCPR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z w:val="20"/>
        </w:rPr>
        <w:pict>
          <v:shape id="_x0000_s1026" type="#_x0000_t202" style="position:absolute;margin-left:85.05pt;margin-top:56.7pt;width:96.4pt;height:36.85pt;z-index:1;mso-wrap-edited:f;mso-position-horizontal-relative:page;mso-position-vertical-relative:page" wrapcoords="-167 0 -167 21600 21767 21600 21767 0 -167 0" filled="f" stroked="f">
            <v:textbox inset="0,0,0,0">
              <w:txbxContent>
                <w:p w:rsidR="00000000" w:rsidRDefault="00000000">
                  <w:pP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lang w:val="es-ES_tradnl"/>
                    </w:rPr>
                    <w:t>NACIONES UNIDAS</w:t>
                  </w:r>
                </w:p>
              </w:txbxContent>
            </v:textbox>
            <w10:wrap anchorx="page" anchory="page"/>
            <w10:anchorlock/>
          </v:shape>
        </w:pict>
      </w:r>
    </w:p>
    <w:p w:rsidR="00000000" w:rsidRDefault="00000000">
      <w:pPr>
        <w:rPr>
          <w:lang w:val="es-ES_tradnl"/>
        </w:rPr>
      </w:pPr>
    </w:p>
    <w:p w:rsidR="00000000" w:rsidRDefault="00000000">
      <w:pPr>
        <w:rPr>
          <w:lang w:val="es-ES_tradnl"/>
        </w:rPr>
      </w:pPr>
    </w:p>
    <w:p w:rsidR="00000000" w:rsidRDefault="00000000">
      <w:pPr>
        <w:ind w:left="6861"/>
      </w:pPr>
      <w:r>
        <w:t>Distr.</w:t>
      </w:r>
    </w:p>
    <w:p w:rsidR="00000000" w:rsidRDefault="00000000">
      <w:pPr>
        <w:spacing w:after="240"/>
        <w:ind w:left="6859"/>
        <w:rPr>
          <w:lang w:val="es-ES_tradnl"/>
        </w:rPr>
      </w:pPr>
      <w:r>
        <w:t>GENERAL</w:t>
      </w:r>
    </w:p>
    <w:p w:rsidR="00000000" w:rsidRDefault="00000000">
      <w:pPr>
        <w:spacing w:after="240"/>
        <w:ind w:left="6859"/>
      </w:pPr>
      <w:r>
        <w:t>CCPR/C/BIH/Q/1</w:t>
      </w:r>
      <w:r>
        <w:br/>
        <w:t>27 de septiembre de 2006</w:t>
      </w:r>
    </w:p>
    <w:p w:rsidR="00000000" w:rsidRDefault="00000000">
      <w:pPr>
        <w:spacing w:after="560"/>
        <w:ind w:left="6861"/>
      </w:pPr>
      <w:r>
        <w:t>ESPAÑOL</w:t>
      </w:r>
      <w:r>
        <w:br/>
        <w:t>Original:  INGLÉS</w:t>
      </w:r>
    </w:p>
    <w:p w:rsidR="00000000" w:rsidRDefault="00000000">
      <w:pPr>
        <w:autoSpaceDE w:val="0"/>
        <w:autoSpaceDN w:val="0"/>
        <w:adjustRightInd w:val="0"/>
        <w:spacing w:after="600"/>
      </w:pPr>
      <w:r>
        <w:t>COMITÉ DE DERECHOS HUMANOS</w:t>
      </w:r>
      <w:r>
        <w:br/>
        <w:t>87º período de sesiones</w:t>
      </w:r>
      <w:r>
        <w:br/>
        <w:t>10 a 28 de julio de 2006</w:t>
      </w:r>
    </w:p>
    <w:p w:rsidR="00000000" w:rsidRDefault="00000000">
      <w:pPr>
        <w:autoSpaceDE w:val="0"/>
        <w:autoSpaceDN w:val="0"/>
        <w:adjustRightInd w:val="0"/>
        <w:spacing w:after="360"/>
        <w:jc w:val="center"/>
        <w:rPr>
          <w:b/>
          <w:bCs/>
          <w:szCs w:val="23"/>
        </w:rPr>
      </w:pPr>
      <w:r>
        <w:rPr>
          <w:b/>
          <w:bCs/>
        </w:rPr>
        <w:t>LISTA DE TEMAS QUE DEBEN ABORDARSE AL EXAMINAR</w:t>
      </w:r>
      <w:r>
        <w:rPr>
          <w:b/>
          <w:bCs/>
        </w:rPr>
        <w:br/>
        <w:t xml:space="preserve">EL INFORME INICIAL DE BOSNIA Y HERZEGOVINA </w:t>
      </w:r>
      <w:r>
        <w:rPr>
          <w:b/>
          <w:bCs/>
        </w:rPr>
        <w:br/>
        <w:t>(CCPR/C/BIH/1)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szCs w:val="23"/>
        </w:rPr>
      </w:pPr>
      <w:r>
        <w:rPr>
          <w:b/>
          <w:bCs/>
          <w:szCs w:val="23"/>
        </w:rPr>
        <w:t>Marco constitucional y jurídico en el que se aplica el Pacto (artículos 2 y 4)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1.</w:t>
      </w:r>
      <w:r>
        <w:rPr>
          <w:szCs w:val="23"/>
        </w:rPr>
        <w:tab/>
        <w:t>¿Cuál es la situación del Pacto en la legislación interna en las instancias estatales, de las entidades, cantonales y municipales?</w:t>
      </w:r>
      <w:r>
        <w:t xml:space="preserve">  </w:t>
      </w:r>
      <w:r>
        <w:rPr>
          <w:szCs w:val="23"/>
        </w:rPr>
        <w:t>¿Puede invocarse directamente ante los tribunales?  ¿Es aplicado por los tribunales?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2.</w:t>
      </w:r>
      <w:r>
        <w:rPr>
          <w:szCs w:val="23"/>
        </w:rPr>
        <w:tab/>
        <w:t xml:space="preserve">Sírvase proporcionar información sobre el proyecto de ley sobre el </w:t>
      </w:r>
      <w:r>
        <w:rPr>
          <w:i/>
          <w:iCs/>
          <w:szCs w:val="23"/>
        </w:rPr>
        <w:t>Ombudsman</w:t>
      </w:r>
      <w:r>
        <w:rPr>
          <w:szCs w:val="23"/>
        </w:rPr>
        <w:t xml:space="preserve"> de los Derechos Humanos de Bosnia y Herzegovina (párrafo 180 del informe).  Sírvase indicar en qué medida son las propuestas compatibles con los Principios de París relativos a la condición jurídica y el funcionamiento de las instituciones nacionales de protección y promoción de los derechos humanos (resolución A/48/134 de la Asamblea General, de 20 de diciembre de 1993).</w:t>
      </w:r>
    </w:p>
    <w:p w:rsidR="00000000" w:rsidRDefault="00000000">
      <w:pPr>
        <w:autoSpaceDE w:val="0"/>
        <w:autoSpaceDN w:val="0"/>
        <w:adjustRightInd w:val="0"/>
        <w:spacing w:after="360"/>
        <w:jc w:val="center"/>
        <w:rPr>
          <w:b/>
          <w:bCs/>
          <w:szCs w:val="23"/>
        </w:rPr>
      </w:pPr>
      <w:r>
        <w:rPr>
          <w:b/>
          <w:bCs/>
          <w:szCs w:val="23"/>
        </w:rPr>
        <w:t>Discriminación contra la mujer y violencia doméstica</w:t>
      </w:r>
      <w:r>
        <w:rPr>
          <w:b/>
          <w:bCs/>
          <w:szCs w:val="23"/>
        </w:rPr>
        <w:br/>
        <w:t>(párrafo 1 del artículo 2 y artículos 3, 7 y 26)</w:t>
      </w:r>
    </w:p>
    <w:p w:rsidR="00000000" w:rsidRDefault="00000000">
      <w:pPr>
        <w:autoSpaceDE w:val="0"/>
        <w:autoSpaceDN w:val="0"/>
        <w:adjustRightInd w:val="0"/>
        <w:spacing w:after="360"/>
        <w:ind w:left="567" w:hanging="567"/>
        <w:rPr>
          <w:szCs w:val="23"/>
        </w:rPr>
      </w:pPr>
      <w:r>
        <w:rPr>
          <w:szCs w:val="23"/>
        </w:rPr>
        <w:t>3.</w:t>
      </w:r>
      <w:r>
        <w:rPr>
          <w:szCs w:val="23"/>
        </w:rPr>
        <w:tab/>
        <w:t xml:space="preserve">¿Puede la Ley sobre la igualdad entre los géneros hacer frente a la discriminación endémica fundada en el sexo que existe en la sociedad, como se refleja en el párrafo 39 del informe, o se centra simplemente en la </w:t>
      </w:r>
      <w:r>
        <w:t>denegación y limitación de los derechos en razón del género</w:t>
      </w:r>
      <w:r>
        <w:rPr>
          <w:szCs w:val="23"/>
        </w:rPr>
        <w:t xml:space="preserve"> por parte del Estado?  </w:t>
      </w:r>
      <w:r>
        <w:t xml:space="preserve">Sírvase aclarar si en la Ley sobre la igualdad entre los géneros están previstas medidas especiales temporales para superar la discriminación </w:t>
      </w:r>
      <w:r>
        <w:rPr>
          <w:i/>
          <w:iCs/>
        </w:rPr>
        <w:t>de facto</w:t>
      </w:r>
      <w:r>
        <w:t xml:space="preserve"> de la mujer; ofrézcanse ejemplos de casos en los que dichas medidas se hayan aplicado con éxito</w:t>
      </w:r>
      <w:r>
        <w:rPr>
          <w:szCs w:val="23"/>
        </w:rPr>
        <w:t>.</w:t>
      </w:r>
    </w:p>
    <w:p w:rsidR="00000000" w:rsidRDefault="00000000">
      <w:pPr>
        <w:autoSpaceDE w:val="0"/>
        <w:autoSpaceDN w:val="0"/>
        <w:adjustRightInd w:val="0"/>
        <w:spacing w:after="240"/>
        <w:rPr>
          <w:szCs w:val="23"/>
        </w:rPr>
      </w:pPr>
      <w:r>
        <w:rPr>
          <w:szCs w:val="23"/>
        </w:rPr>
        <w:t>GE.06-44449  (S)    280906    290906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4.</w:t>
      </w:r>
      <w:r>
        <w:rPr>
          <w:szCs w:val="23"/>
        </w:rPr>
        <w:tab/>
      </w:r>
      <w:r>
        <w:t xml:space="preserve">Sírvase proporcionar información detallada sobre las medidas para combatir la violencia en el hogar previstas en la Ley de protección contra la violencia doméstica y en la nueva Ley de familia (párr. 28), así como sobre la naturaleza y efectividad de las medidas adoptadas para combatir la </w:t>
      </w:r>
      <w:r>
        <w:rPr>
          <w:szCs w:val="23"/>
        </w:rPr>
        <w:t>violencia</w:t>
      </w:r>
      <w:r>
        <w:t xml:space="preserve"> en el hogar, que, actualmente, según se informa, se da en una de cada cuatro familias en el Estado Parte (párrafo 40 del informe).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5.</w:t>
      </w:r>
      <w:r>
        <w:rPr>
          <w:szCs w:val="23"/>
        </w:rPr>
        <w:tab/>
      </w:r>
      <w:r>
        <w:t xml:space="preserve">Sírvase especificar qué medidas, aparte de la cuota obligatoria, está adoptando el Estado Parte para </w:t>
      </w:r>
      <w:r>
        <w:rPr>
          <w:szCs w:val="23"/>
        </w:rPr>
        <w:t>poner</w:t>
      </w:r>
      <w:r>
        <w:t xml:space="preserve"> remedio a la extremadamente reducida presencia de mujeres en todos los órganos legislativos, así como en altos cargos del ejecutivo y la judicatura (párrs. 34 a 38).</w:t>
      </w:r>
    </w:p>
    <w:p w:rsidR="00000000" w:rsidRDefault="00000000">
      <w:pPr>
        <w:autoSpaceDE w:val="0"/>
        <w:autoSpaceDN w:val="0"/>
        <w:adjustRightInd w:val="0"/>
        <w:spacing w:after="360"/>
        <w:jc w:val="center"/>
        <w:rPr>
          <w:b/>
          <w:bCs/>
          <w:szCs w:val="23"/>
        </w:rPr>
      </w:pPr>
      <w:r>
        <w:rPr>
          <w:b/>
          <w:bCs/>
          <w:szCs w:val="23"/>
        </w:rPr>
        <w:t>Responsabilidad, d</w:t>
      </w:r>
      <w:r>
        <w:rPr>
          <w:b/>
          <w:bCs/>
        </w:rPr>
        <w:t xml:space="preserve">erecho a la vida y prohibición de la tortura y los tratos </w:t>
      </w:r>
      <w:r>
        <w:rPr>
          <w:b/>
          <w:bCs/>
        </w:rPr>
        <w:br/>
        <w:t>crueles, inhumanos o degradantes (artículos 2, 6 y 7)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6.</w:t>
      </w:r>
      <w:r>
        <w:rPr>
          <w:szCs w:val="23"/>
        </w:rPr>
        <w:tab/>
        <w:t>¿</w:t>
      </w:r>
      <w:r>
        <w:t xml:space="preserve">Qué medidas se están adoptando para reforzar la cooperación del Estado Parte con el </w:t>
      </w:r>
      <w:r>
        <w:rPr>
          <w:szCs w:val="23"/>
        </w:rPr>
        <w:t xml:space="preserve">Tribunal Penal Internacional para la ex Yugoslavia con miras a facilitar la detención y/o puesta a </w:t>
      </w:r>
      <w:r>
        <w:t>disposición</w:t>
      </w:r>
      <w:r>
        <w:rPr>
          <w:szCs w:val="23"/>
        </w:rPr>
        <w:t xml:space="preserve"> del Tribunal de los inculpados, en particular Radovan Karadzic y Radtko Mladic?  Sírvase especificar asimismo las medidas adoptadas para asegurar la </w:t>
      </w:r>
      <w:r>
        <w:t xml:space="preserve">cooperación de la policía con los </w:t>
      </w:r>
      <w:r>
        <w:rPr>
          <w:szCs w:val="23"/>
        </w:rPr>
        <w:t>fiscales</w:t>
      </w:r>
      <w:r>
        <w:t xml:space="preserve"> sobre delitos de guerra y en relación con la investigación de todas las alegaciones de delitos de guerra, inclusive los cometidos por miembros de la mayoría étnica en una Entidad.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7.</w:t>
      </w:r>
      <w:r>
        <w:rPr>
          <w:szCs w:val="23"/>
        </w:rPr>
        <w:tab/>
        <w:t xml:space="preserve">Sírvase facilitar información adicional sobre las medidas adoptadas para hacer frente a </w:t>
      </w:r>
      <w:r>
        <w:t xml:space="preserve">la falta de recursos humanos y financiación que aqueja a la Sala de Crímenes de Guerra del Tribunal </w:t>
      </w:r>
      <w:r>
        <w:rPr>
          <w:szCs w:val="23"/>
        </w:rPr>
        <w:t>Estatal</w:t>
      </w:r>
      <w:r>
        <w:t xml:space="preserve"> de Bosnia y Herzegovina y a los tribunales de distrito y cantonales que juzgan casos de crímenes de guerra, así como las deficiencias en los sistemas de protección de testigos y de remuneración de abogados de oficio nombrados por los tribunales.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8.</w:t>
      </w:r>
      <w:r>
        <w:rPr>
          <w:szCs w:val="23"/>
        </w:rPr>
        <w:tab/>
      </w:r>
      <w:r>
        <w:t>Sírvase indicar si se ha dado a conocer a la Oficina del Alto Representante y al Fiscal del Estado la identidad de todos los sospechosos que figuran en el informe de la Comisión Independiente de Srebenica establecida en la República Srpska</w:t>
      </w:r>
      <w:r>
        <w:rPr>
          <w:szCs w:val="23"/>
        </w:rPr>
        <w:t xml:space="preserve"> y, de no ser así, explicar los motivos.  </w:t>
      </w:r>
      <w:r>
        <w:t>Sírvase especificar el número de procesos penales incoados y la naturaleza de los cargos presentados contra estos sospechosos</w:t>
      </w:r>
      <w:r>
        <w:rPr>
          <w:szCs w:val="23"/>
        </w:rPr>
        <w:t>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9.</w:t>
      </w:r>
      <w:r>
        <w:rPr>
          <w:szCs w:val="23"/>
        </w:rPr>
        <w:tab/>
      </w:r>
      <w:r>
        <w:t>Sírvase ofrecer información sobre cualesquiera iniciativas actuales y propuestas para promover la reconciliación y el restablecimiento de la confianza mutua entre los diferentes grupos étnicos (párrafo 178 del informe).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10.</w:t>
      </w:r>
      <w:r>
        <w:rPr>
          <w:szCs w:val="23"/>
        </w:rPr>
        <w:tab/>
      </w:r>
      <w:r>
        <w:t xml:space="preserve">Teniendo en cuenta el gran número de desapariciones durante el conflicto armado acaecido entre 1992 y 1995, sírvase ofrecer información sobre la aplicación de la Ley sobre los </w:t>
      </w:r>
      <w:r>
        <w:rPr>
          <w:szCs w:val="23"/>
        </w:rPr>
        <w:t>desaparecidos</w:t>
      </w:r>
      <w:r>
        <w:t xml:space="preserve"> (párrafo 46 del informe), así como sobre la creación y funcionamiento del Instituto de Personas Desaparecidas y del Fondo de Apoyo a las Familias de Personas Desparecidas.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11.</w:t>
      </w:r>
      <w:r>
        <w:rPr>
          <w:szCs w:val="23"/>
        </w:rPr>
        <w:tab/>
        <w:t xml:space="preserve">Sírvase informar al Comité sobre si las </w:t>
      </w:r>
      <w:r>
        <w:t>víctimas de torturas, en particular los supervivientes de campos y las víctimas de violencia sexual</w:t>
      </w:r>
      <w:r>
        <w:rPr>
          <w:szCs w:val="23"/>
        </w:rPr>
        <w:t xml:space="preserve">, se benefician del </w:t>
      </w:r>
      <w:r>
        <w:t>estatuto de víctima de guerra</w:t>
      </w:r>
      <w:r>
        <w:rPr>
          <w:szCs w:val="23"/>
        </w:rPr>
        <w:t xml:space="preserve"> y, si no es así, explique los motivos.  </w:t>
      </w:r>
      <w:r>
        <w:t>Sírvase también indicar si el Estado Parte, a nivel de las entidades, se propone flexibilizar los requisitos de procedimiento para la obtención del estatuto de víctima civil de guerra y si los niveles de las prestaciones recibidas por víctimas civiles de guerra se están armonizando gradualmente entre las entidades y cantones y equiparándose a las prestaciones recibidas por los veteranos de guerra.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12.</w:t>
      </w:r>
      <w:r>
        <w:rPr>
          <w:szCs w:val="23"/>
        </w:rPr>
        <w:tab/>
      </w:r>
      <w:r>
        <w:t xml:space="preserve">Sírvase proporcionar información sobre las medidas adoptadas para reforzar la protección </w:t>
      </w:r>
      <w:r>
        <w:rPr>
          <w:szCs w:val="23"/>
        </w:rPr>
        <w:t>contra</w:t>
      </w:r>
      <w:r>
        <w:t xml:space="preserve"> el abuso y el maltrato en el momento del arresto y durante la detención policial o el encarcelamiento, como criterios de selección y capacitación estrictos para los funcionarios de policía y de prisiones, acceso a abogados y médicos para los arrestados, las personas detenidas y encarceladas, y registro e investigación adecuados de las alegaciones de maltrato.</w:t>
      </w:r>
      <w:r>
        <w:rPr>
          <w:szCs w:val="23"/>
        </w:rPr>
        <w:t xml:space="preserve">  </w:t>
      </w:r>
      <w:r>
        <w:t>¿Cómo se garantiza la confidencialidad del acceso a los órganos autorizados para recibir reclamaciones sobre maltrato</w:t>
      </w:r>
      <w:r>
        <w:rPr>
          <w:szCs w:val="23"/>
        </w:rPr>
        <w:t>?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Eliminación de la esclavitud y la servidumbre </w:t>
      </w:r>
      <w:r>
        <w:rPr>
          <w:b/>
          <w:bCs/>
          <w:szCs w:val="23"/>
        </w:rPr>
        <w:t>(artículo 8)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13.</w:t>
      </w:r>
      <w:r>
        <w:rPr>
          <w:szCs w:val="23"/>
        </w:rPr>
        <w:tab/>
      </w:r>
      <w:r>
        <w:t xml:space="preserve">¿Qué medidas está adoptando el Estado Parte para coordinar y armonizar la legislación del </w:t>
      </w:r>
      <w:r>
        <w:rPr>
          <w:szCs w:val="23"/>
        </w:rPr>
        <w:t>Estado</w:t>
      </w:r>
      <w:r>
        <w:t xml:space="preserve"> y las entidades en materia de trata de personas, especialmente mujeres y niños, a fin de crear concienciación entre los funcionarios encargados de hacer cumplir la ley y la judicatura, así como entre el público en general, sobre la gravedad del delito de trata y sobre la necesidad de eliminar los estereotipos de género y de reforzar la asistencia, la protección y las medidas de compensación establecidas para las víctimas de trata, en particular los niños, así como para los testigos (párrafos 41 y 79 a 90 del informe)? </w:t>
      </w:r>
      <w:r>
        <w:rPr>
          <w:szCs w:val="23"/>
        </w:rPr>
        <w:t xml:space="preserve"> ¿Cuán efectivas son estas medidas?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Libertad y seguridad de las personas y trato a presos </w:t>
      </w:r>
      <w:r>
        <w:rPr>
          <w:b/>
          <w:bCs/>
          <w:szCs w:val="23"/>
        </w:rPr>
        <w:t>(artículos 9 y 10)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14.</w:t>
      </w:r>
      <w:r>
        <w:rPr>
          <w:szCs w:val="23"/>
        </w:rPr>
        <w:tab/>
      </w:r>
      <w:r>
        <w:t xml:space="preserve">Sírvase indicar el plazo autorizado entre el arresto o la detención de una persona bajo </w:t>
      </w:r>
      <w:r>
        <w:rPr>
          <w:szCs w:val="23"/>
        </w:rPr>
        <w:t>cargos</w:t>
      </w:r>
      <w:r>
        <w:t xml:space="preserve"> penales y su comparecencia ante un juez u otra autoridad judicial, y ofrézcase información detallada sobre los procedimientos judiciales mediante los cuales se revisa la legitimidad de las detenciones.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15.</w:t>
      </w:r>
      <w:r>
        <w:rPr>
          <w:szCs w:val="23"/>
        </w:rPr>
        <w:tab/>
      </w:r>
      <w:r>
        <w:t>Sírvase ofrecer información sobre las medidas adoptadas para mejorar las condiciones de detención en centros policiales y prisiones, especialmente en lo relativo a la dotación de personal, los niveles de ocupación, las condiciones higiénicas (párrafo 74 del informe), la calidad de la comida y las actividades en espacios comunes.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16.</w:t>
      </w:r>
      <w:r>
        <w:rPr>
          <w:szCs w:val="23"/>
        </w:rPr>
        <w:tab/>
      </w:r>
      <w:r>
        <w:t xml:space="preserve">¿Qué medidas está adoptando el Estado Parte para mejorar la protección frente al abuso, las condiciones materiales y la calidad del trato a pacientes en instituciones residenciales de </w:t>
      </w:r>
      <w:r>
        <w:rPr>
          <w:szCs w:val="23"/>
        </w:rPr>
        <w:t>salud</w:t>
      </w:r>
      <w:r>
        <w:t xml:space="preserve"> (párrafo 76 del informe)?</w:t>
      </w:r>
      <w:r>
        <w:rPr>
          <w:szCs w:val="23"/>
        </w:rPr>
        <w:t xml:space="preserve">  </w:t>
      </w:r>
      <w:r>
        <w:t>Sírvase indicar si ha entrado en vigor la Ley sobre salud mental de la República Srpska y expónganse las disposiciones de dicha ley</w:t>
      </w:r>
      <w:r>
        <w:rPr>
          <w:szCs w:val="23"/>
        </w:rPr>
        <w:t xml:space="preserve"> relativas a la protección de los derechos de los enfermos mentales.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Libertad de circulación y movimiento </w:t>
      </w:r>
      <w:r>
        <w:rPr>
          <w:b/>
          <w:bCs/>
          <w:szCs w:val="23"/>
        </w:rPr>
        <w:t>(artículo 12)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17.</w:t>
      </w:r>
      <w:r>
        <w:rPr>
          <w:szCs w:val="23"/>
        </w:rPr>
        <w:tab/>
      </w:r>
      <w:r>
        <w:t xml:space="preserve">Sírvase ofrecer información actualizada sobre los avances conseguidos en el proceso de retorno, en particular el retorno de minorías, y sobre las medidas adoptadas </w:t>
      </w:r>
      <w:r>
        <w:rPr>
          <w:szCs w:val="23"/>
        </w:rPr>
        <w:t>en las instancias estatales, de las entidades y municipales</w:t>
      </w:r>
      <w:r>
        <w:t xml:space="preserve"> para garantizar la sostenibilidad y seguridad de los retornos (párrafo 149 del informe), como las medidas de reintegración socioeconómica de los retornados, las actividades de desminado (párrafo 150 del informe), y la investigación y enjuiciamiento de todos los delitos y actos de violencia contra retornados y personas que permanecen desplazadas.</w:t>
      </w:r>
      <w:r>
        <w:rPr>
          <w:szCs w:val="23"/>
        </w:rPr>
        <w:t xml:space="preserve">  Sírvase facilitar datos estadísticos desglosados por entidad.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Derecho a un juicio con las debidas garantías </w:t>
      </w:r>
      <w:r>
        <w:rPr>
          <w:b/>
          <w:bCs/>
          <w:szCs w:val="23"/>
        </w:rPr>
        <w:t>(artículo 14)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18.</w:t>
      </w:r>
      <w:r>
        <w:rPr>
          <w:szCs w:val="23"/>
        </w:rPr>
        <w:tab/>
      </w:r>
      <w:r>
        <w:t>¿Qué medidas se están adoptando para hacer frente al importante cúmulo de casos judiciales atrasados (párrafos 178 y 184 del informe), para reducir los retrasos en los procesos judiciales (</w:t>
      </w:r>
      <w:r>
        <w:rPr>
          <w:szCs w:val="23"/>
        </w:rPr>
        <w:t>párrafo</w:t>
      </w:r>
      <w:r>
        <w:t xml:space="preserve"> 187 del informe)?</w:t>
      </w:r>
      <w:r>
        <w:rPr>
          <w:szCs w:val="23"/>
        </w:rPr>
        <w:t xml:space="preserve">  Sírvase informar sobre las denuncias de influencia ejercida por los partidos políticos sobre la judicatura en relación con casos políticamente delicados.</w:t>
      </w:r>
    </w:p>
    <w:p w:rsidR="00000000" w:rsidRDefault="00000000">
      <w:pPr>
        <w:autoSpaceDE w:val="0"/>
        <w:autoSpaceDN w:val="0"/>
        <w:adjustRightInd w:val="0"/>
        <w:spacing w:after="360"/>
        <w:jc w:val="center"/>
        <w:rPr>
          <w:b/>
          <w:bCs/>
          <w:szCs w:val="23"/>
        </w:rPr>
      </w:pPr>
      <w:r>
        <w:rPr>
          <w:b/>
          <w:bCs/>
          <w:spacing w:val="8"/>
        </w:rPr>
        <w:t xml:space="preserve">Derecho de todo ser humano, en todas partes, al reconocimiento de su </w:t>
      </w:r>
      <w:r>
        <w:rPr>
          <w:b/>
          <w:bCs/>
        </w:rPr>
        <w:br/>
        <w:t xml:space="preserve">personalidad jurídica y derecho del niño a ser registrado inmediatamente </w:t>
      </w:r>
      <w:r>
        <w:rPr>
          <w:b/>
          <w:bCs/>
        </w:rPr>
        <w:br/>
        <w:t xml:space="preserve">tras el nacimiento (artículo 16 y párrafo 2 del artículo </w:t>
      </w:r>
      <w:r>
        <w:rPr>
          <w:b/>
          <w:bCs/>
          <w:szCs w:val="23"/>
        </w:rPr>
        <w:t>24)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19.</w:t>
      </w:r>
      <w:r>
        <w:rPr>
          <w:szCs w:val="23"/>
        </w:rPr>
        <w:tab/>
      </w:r>
      <w:r>
        <w:t>Sírvase proporcionar información sobre las medidas adoptadas para garantizar que los miembros de minorías étnicas, en particular los romaníes, tengan acceso a documentos personales, como documentos de identidad personal, así como a documentos relativos a la provisión de seguro de salud y prestaciones sociales, que los residentes romaníes sean registrados independientemente de la consideración jurídica otorgada a los asentamientos romaníes, y que se emitan certificados de nacimiento a los niños romaníes, al margen de la capacidad de sus padres para hacer frente a las tasas médicas exigidas para obtener los registros médicos necesarios para la inscripción del recién nacido.</w:t>
      </w:r>
    </w:p>
    <w:p w:rsidR="00000000" w:rsidRDefault="00000000">
      <w:pPr>
        <w:keepNext/>
        <w:keepLines/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Libertad de religión </w:t>
      </w:r>
      <w:r>
        <w:rPr>
          <w:b/>
          <w:bCs/>
          <w:szCs w:val="23"/>
        </w:rPr>
        <w:t>(artículo 18)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20.</w:t>
      </w:r>
      <w:r>
        <w:rPr>
          <w:szCs w:val="23"/>
        </w:rPr>
        <w:tab/>
      </w:r>
      <w:r>
        <w:t>¿Qué medidas está adoptando el Estado Parte para combatir los actos de hostilidad religiosa, como la destrucción o profanación de sitios religiosos, y cuán efectivas son dichas medidas (párrafo 206 del informe)?  Sírvase facilitar datos estadísticos sobre las agresiones contra personas y bienes motivadas por razones religiosas</w:t>
      </w:r>
      <w:r>
        <w:rPr>
          <w:szCs w:val="23"/>
        </w:rPr>
        <w:t>, desglosados por entidad.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 xml:space="preserve">Libertad de opinión y expresión, incitación al odio racial </w:t>
      </w:r>
      <w:r>
        <w:rPr>
          <w:b/>
          <w:bCs/>
          <w:szCs w:val="23"/>
        </w:rPr>
        <w:t>(artículos 19 y 20)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21.</w:t>
      </w:r>
      <w:r>
        <w:rPr>
          <w:szCs w:val="23"/>
        </w:rPr>
        <w:tab/>
      </w:r>
      <w:r>
        <w:t xml:space="preserve">Sírvase ofrecer información detallada sobre el número y la naturaleza de los casos judiciales y las sanciones impuestas a políticos y periodistas locales que inciten a la </w:t>
      </w:r>
      <w:r>
        <w:rPr>
          <w:szCs w:val="23"/>
        </w:rPr>
        <w:t>discriminación</w:t>
      </w:r>
      <w:r>
        <w:t>, la hostilidad o la violencia étnicas.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>Derecho a tomar parte en la dirección de los asuntos públicos</w:t>
      </w:r>
      <w:r>
        <w:rPr>
          <w:b/>
          <w:bCs/>
          <w:szCs w:val="23"/>
        </w:rPr>
        <w:t xml:space="preserve"> (artículo 25)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22.</w:t>
      </w:r>
      <w:r>
        <w:rPr>
          <w:szCs w:val="23"/>
        </w:rPr>
        <w:tab/>
        <w:t xml:space="preserve">¿Qué medidas piensa adoptar el Estado Parte para garantizar el disfrute en condiciones de </w:t>
      </w:r>
      <w:r>
        <w:t>igualdad</w:t>
      </w:r>
      <w:r>
        <w:rPr>
          <w:szCs w:val="23"/>
        </w:rPr>
        <w:t xml:space="preserve"> de los derechos previstos en el artículo 25, en particular por los denominados "otros pueblos"?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23.</w:t>
      </w:r>
      <w:r>
        <w:rPr>
          <w:szCs w:val="23"/>
        </w:rPr>
        <w:tab/>
        <w:t xml:space="preserve">¿En </w:t>
      </w:r>
      <w:r>
        <w:t>qué</w:t>
      </w:r>
      <w:r>
        <w:rPr>
          <w:szCs w:val="23"/>
        </w:rPr>
        <w:t xml:space="preserve"> medida las disposiciones jurídicas adoptadas en ambas entidades, por las que se establece que debe readmitirse o indemnizarse al empleado despedido injustamente por una empresa pública o una administración local, se han aplicado en el contexto de la repatriación de las minorías y qué está haciendo el Estado Parte para hacer frente al bajo nivel de aplicación que, según se indica, tienen estas disposiciones?</w:t>
      </w:r>
    </w:p>
    <w:p w:rsidR="00000000" w:rsidRDefault="00000000">
      <w:pPr>
        <w:keepNext/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>Derecho</w:t>
      </w:r>
      <w:r>
        <w:t xml:space="preserve"> </w:t>
      </w:r>
      <w:r>
        <w:rPr>
          <w:b/>
          <w:bCs/>
        </w:rPr>
        <w:t xml:space="preserve">a la igualdad y la protección ante la ley </w:t>
      </w:r>
      <w:r>
        <w:rPr>
          <w:b/>
          <w:bCs/>
          <w:szCs w:val="23"/>
        </w:rPr>
        <w:t>(artículos 2 y 26)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24.</w:t>
      </w:r>
      <w:r>
        <w:rPr>
          <w:szCs w:val="23"/>
        </w:rPr>
        <w:tab/>
      </w:r>
      <w:r>
        <w:t xml:space="preserve">Sírvase explicar por qué la aplicación del principio de igualdad ante la ley se ha limitado a los ciudadanos en la subsección a) del proyecto de artículo II.1 de la enmienda constitucional y por qué un gran número de derechos civiles y políticos, en particular el derecho a contar con un recurso jurídico y a beneficiarse de un juicio con las debidas garantías, se conceden </w:t>
      </w:r>
      <w:r>
        <w:rPr>
          <w:szCs w:val="23"/>
        </w:rPr>
        <w:t>exclusivamente</w:t>
      </w:r>
      <w:r>
        <w:t xml:space="preserve"> a los ciudadanos del Estado Parte (véase el proyecto de artículo II.3 b) de la enmienda constitucional).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25.</w:t>
      </w:r>
      <w:r>
        <w:rPr>
          <w:szCs w:val="23"/>
        </w:rPr>
        <w:tab/>
        <w:t>¿Qué medidas está adoptando el Estado Parte para poner fin al uso provocador de símbolos nacionales y religiosos por parte de algunas autoridades locales, que contribuye a crear y mantener un entorno de hostilidad hacia las minorías?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  <w:rPr>
          <w:b/>
          <w:bCs/>
          <w:szCs w:val="23"/>
        </w:rPr>
      </w:pPr>
      <w:r>
        <w:rPr>
          <w:b/>
          <w:bCs/>
        </w:rPr>
        <w:t>Derechos de las personas pertenecientes a minorías</w:t>
      </w:r>
      <w:r>
        <w:rPr>
          <w:b/>
          <w:bCs/>
          <w:szCs w:val="23"/>
        </w:rPr>
        <w:t xml:space="preserve"> (artículo 27)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26.</w:t>
      </w:r>
      <w:r>
        <w:rPr>
          <w:szCs w:val="23"/>
        </w:rPr>
        <w:tab/>
      </w:r>
      <w:r>
        <w:t xml:space="preserve">¿Qué medidas se han adoptado para garantizar oportunidades adecuadas para que los </w:t>
      </w:r>
      <w:r>
        <w:rPr>
          <w:szCs w:val="23"/>
        </w:rPr>
        <w:t>miembros</w:t>
      </w:r>
      <w:r>
        <w:t xml:space="preserve"> de minorías nacionales, incluidos los romaníes, reciban formación en su idioma, según su religión y sobre su cultura (párrafo 293 del informe)?  Sírvase describir las disposiciones pertinentes de la Ley sobre la protección de los derechos de personas pertenecientes a minorías nacionales</w:t>
      </w:r>
      <w:r>
        <w:rPr>
          <w:szCs w:val="23"/>
        </w:rPr>
        <w:t>.</w:t>
      </w:r>
    </w:p>
    <w:p w:rsidR="00000000" w:rsidRDefault="00000000">
      <w:pPr>
        <w:autoSpaceDE w:val="0"/>
        <w:autoSpaceDN w:val="0"/>
        <w:adjustRightInd w:val="0"/>
        <w:spacing w:after="360"/>
        <w:jc w:val="center"/>
        <w:rPr>
          <w:b/>
          <w:bCs/>
          <w:szCs w:val="23"/>
        </w:rPr>
      </w:pPr>
      <w:r>
        <w:rPr>
          <w:b/>
          <w:bCs/>
        </w:rPr>
        <w:t>Difusión de información en relación con el Pacto y</w:t>
      </w:r>
      <w:r>
        <w:rPr>
          <w:b/>
          <w:bCs/>
        </w:rPr>
        <w:br/>
        <w:t>el Protocolo Facultativo (artículo</w:t>
      </w:r>
      <w:r>
        <w:rPr>
          <w:b/>
          <w:bCs/>
          <w:szCs w:val="23"/>
        </w:rPr>
        <w:t xml:space="preserve"> 2)</w:t>
      </w:r>
    </w:p>
    <w:p w:rsidR="00000000" w:rsidRDefault="00000000">
      <w:pPr>
        <w:autoSpaceDE w:val="0"/>
        <w:autoSpaceDN w:val="0"/>
        <w:adjustRightInd w:val="0"/>
        <w:spacing w:after="240"/>
        <w:ind w:left="567" w:hanging="567"/>
        <w:rPr>
          <w:szCs w:val="23"/>
        </w:rPr>
      </w:pPr>
      <w:r>
        <w:rPr>
          <w:szCs w:val="23"/>
        </w:rPr>
        <w:t>27.</w:t>
      </w:r>
      <w:r>
        <w:rPr>
          <w:szCs w:val="23"/>
        </w:rPr>
        <w:tab/>
      </w:r>
      <w:r>
        <w:t xml:space="preserve">Sírvase proporcionar información sobre las medidas adoptadas para difundir información sobre el Pacto y sobre la presentación de los correspondientes informes en todos los idiomas </w:t>
      </w:r>
      <w:r>
        <w:rPr>
          <w:szCs w:val="23"/>
        </w:rPr>
        <w:t>oficiales</w:t>
      </w:r>
      <w:r>
        <w:t xml:space="preserve">.  Sírvase también proporcionar información sobre la participación en el proceso preparatorio de representantes de todos los grupos étnicos y minoritarios, de las Oficinas del </w:t>
      </w:r>
      <w:r>
        <w:rPr>
          <w:i/>
          <w:iCs/>
        </w:rPr>
        <w:t>Omdudsman</w:t>
      </w:r>
      <w:r>
        <w:t xml:space="preserve"> del Estado y de las Entidades y de la sociedad civil (párrafos 5 y 18 del informe)</w:t>
      </w:r>
      <w:r>
        <w:rPr>
          <w:szCs w:val="23"/>
        </w:rPr>
        <w:t>.</w:t>
      </w:r>
    </w:p>
    <w:p w:rsidR="00000000" w:rsidRDefault="00000000">
      <w:pPr>
        <w:autoSpaceDE w:val="0"/>
        <w:autoSpaceDN w:val="0"/>
        <w:adjustRightInd w:val="0"/>
        <w:spacing w:after="240"/>
        <w:jc w:val="center"/>
      </w:pPr>
      <w:r>
        <w:t>-----</w:t>
      </w:r>
    </w:p>
    <w:p w:rsidR="00000000" w:rsidRDefault="00000000">
      <w:pPr>
        <w:autoSpaceDE w:val="0"/>
        <w:autoSpaceDN w:val="0"/>
        <w:adjustRightInd w:val="0"/>
        <w:spacing w:after="240"/>
      </w:pPr>
    </w:p>
    <w:sectPr w:rsidR="00000000">
      <w:headerReference w:type="even" r:id="rId8"/>
      <w:headerReference w:type="default" r:id="rId9"/>
      <w:pgSz w:w="11906" w:h="16838" w:code="9"/>
      <w:pgMar w:top="1701" w:right="850" w:bottom="1984" w:left="170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t>CCPR/C/BIH/Q/1</w:t>
    </w:r>
  </w:p>
  <w:p w:rsidR="00000000" w:rsidRDefault="00000000">
    <w:pPr>
      <w:pStyle w:val="Header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tabs>
        <w:tab w:val="left" w:pos="7560"/>
      </w:tabs>
    </w:pPr>
    <w:r>
      <w:tab/>
      <w:t>CCPR/C/BIH/Q/1</w:t>
    </w:r>
  </w:p>
  <w:p w:rsidR="00000000" w:rsidRDefault="00000000">
    <w:pPr>
      <w:tabs>
        <w:tab w:val="left" w:pos="7560"/>
      </w:tabs>
    </w:pPr>
    <w:r>
      <w:tab/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</w:tabs>
    </w:pPr>
  </w:style>
  <w:style w:type="character" w:styleId="EndnoteReference">
    <w:name w:val="endnote reference"/>
    <w:semiHidden/>
    <w:rPr>
      <w:rFonts w:ascii="Times New Roman" w:hAnsi="Times New Roman"/>
      <w:b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sz w:val="24"/>
      <w:vertAlign w:val="superscript"/>
    </w:rPr>
  </w:style>
  <w:style w:type="paragraph" w:styleId="EndnoteText">
    <w:name w:val="endnote text"/>
    <w:basedOn w:val="Normal"/>
    <w:semiHidden/>
    <w:pPr>
      <w:spacing w:after="240" w:line="840" w:lineRule="auto"/>
    </w:pPr>
    <w:rPr>
      <w:szCs w:val="20"/>
    </w:rPr>
  </w:style>
  <w:style w:type="paragraph" w:styleId="FootnoteText">
    <w:name w:val="footnote text"/>
    <w:basedOn w:val="Normal"/>
    <w:semiHidden/>
    <w:pPr>
      <w:spacing w:after="240" w:line="840" w:lineRule="auto"/>
    </w:pPr>
    <w:rPr>
      <w:szCs w:val="2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1860</Words>
  <Characters>10606</Characters>
  <Application>Microsoft Office Word</Application>
  <DocSecurity>4</DocSecurity>
  <Lines>88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CCPR/C/BIH/Q/1</vt:lpstr>
    </vt:vector>
  </TitlesOfParts>
  <Company>ONU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CCPR/C/BIH/Q/1</dc:title>
  <dc:subject>06-44449</dc:subject>
  <dc:creator>Ruth</dc:creator>
  <cp:keywords/>
  <dc:description/>
  <cp:lastModifiedBy>CSD</cp:lastModifiedBy>
  <cp:revision>2</cp:revision>
  <cp:lastPrinted>2006-09-29T14:34:00Z</cp:lastPrinted>
  <dcterms:created xsi:type="dcterms:W3CDTF">2006-09-29T15:14:00Z</dcterms:created>
  <dcterms:modified xsi:type="dcterms:W3CDTF">2006-09-29T15:14:00Z</dcterms:modified>
</cp:coreProperties>
</file>