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6B3E27" w:rsidRPr="00983870" w:rsidRDefault="006B3E27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DB7679" w:rsidRDefault="006B3E27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vAlign w:val="bottom"/>
          </w:tcPr>
          <w:p w:rsidR="006B3E27" w:rsidRPr="00243C8A" w:rsidRDefault="0022481F" w:rsidP="00C64F07">
            <w:pPr>
              <w:bidi w:val="0"/>
              <w:spacing w:after="20"/>
              <w:jc w:val="left"/>
              <w:rPr>
                <w:szCs w:val="20"/>
              </w:rPr>
            </w:pPr>
            <w:r w:rsidRPr="0022481F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/C/64/D/724/2016</w:t>
            </w:r>
          </w:p>
        </w:tc>
      </w:tr>
      <w:tr w:rsidR="00DC1D29" w:rsidRPr="00DB7679" w:rsidTr="005A3015">
        <w:trPr>
          <w:trHeight w:hRule="exact" w:val="45"/>
        </w:trPr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DC1D29" w:rsidRPr="00983870" w:rsidRDefault="00DC1D29" w:rsidP="005A3015">
            <w:pPr>
              <w:bidi w:val="0"/>
              <w:jc w:val="right"/>
            </w:pPr>
          </w:p>
        </w:tc>
        <w:tc>
          <w:tcPr>
            <w:tcW w:w="4767" w:type="dxa"/>
            <w:tcBorders>
              <w:top w:val="single" w:sz="4" w:space="0" w:color="auto"/>
              <w:bottom w:val="nil"/>
            </w:tcBorders>
            <w:vAlign w:val="bottom"/>
          </w:tcPr>
          <w:p w:rsidR="00DC1D29" w:rsidRPr="00DB7679" w:rsidRDefault="00DC1D29" w:rsidP="005A3015">
            <w:pPr>
              <w:spacing w:after="80" w:line="480" w:lineRule="exact"/>
              <w:jc w:val="left"/>
              <w:rPr>
                <w:szCs w:val="40"/>
                <w:rtl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nil"/>
            </w:tcBorders>
            <w:vAlign w:val="bottom"/>
          </w:tcPr>
          <w:p w:rsidR="00C64F07" w:rsidRPr="00243C8A" w:rsidRDefault="00C64F07" w:rsidP="00C64F07">
            <w:pPr>
              <w:bidi w:val="0"/>
              <w:jc w:val="left"/>
              <w:rPr>
                <w:szCs w:val="20"/>
              </w:rPr>
            </w:pPr>
          </w:p>
        </w:tc>
      </w:tr>
    </w:tbl>
    <w:p w:rsidR="00C64F07" w:rsidRPr="00C64F07" w:rsidRDefault="00C64F07" w:rsidP="00C64F07">
      <w:pPr>
        <w:spacing w:before="120" w:line="380" w:lineRule="exact"/>
        <w:textDirection w:val="tbRlV"/>
        <w:rPr>
          <w:rFonts w:hint="cs"/>
          <w:b/>
          <w:bCs/>
          <w:sz w:val="28"/>
          <w:szCs w:val="36"/>
          <w:rtl/>
          <w:lang w:eastAsia="zh-TW"/>
        </w:rPr>
      </w:pPr>
      <w:r w:rsidRPr="00C64F07">
        <w:rPr>
          <w:b/>
          <w:bCs/>
          <w:sz w:val="28"/>
          <w:szCs w:val="36"/>
          <w:rtl/>
          <w:lang w:eastAsia="zh-TW"/>
        </w:rPr>
        <w:t>لجنة مناهضة التعذيب</w:t>
      </w:r>
    </w:p>
    <w:p w:rsidR="00C64F07" w:rsidRPr="00035A16" w:rsidRDefault="00C64F07" w:rsidP="00C64F07">
      <w:pPr>
        <w:pStyle w:val="HChGA"/>
        <w:rPr>
          <w:rtl/>
          <w:lang w:eastAsia="zh-TW"/>
        </w:rPr>
      </w:pPr>
      <w:r>
        <w:rPr>
          <w:rtl/>
          <w:lang w:eastAsia="zh-TW"/>
        </w:rPr>
        <w:tab/>
      </w:r>
      <w:r>
        <w:rPr>
          <w:rtl/>
          <w:lang w:eastAsia="zh-TW"/>
        </w:rPr>
        <w:tab/>
      </w:r>
      <w:r w:rsidRPr="00035A16">
        <w:rPr>
          <w:rtl/>
          <w:lang w:eastAsia="zh-TW"/>
        </w:rPr>
        <w:t>قرار اعتمدته</w:t>
      </w:r>
      <w:bookmarkStart w:id="0" w:name="_GoBack"/>
      <w:bookmarkEnd w:id="0"/>
      <w:r w:rsidRPr="00035A16">
        <w:rPr>
          <w:rtl/>
          <w:lang w:eastAsia="zh-TW"/>
        </w:rPr>
        <w:t xml:space="preserve"> اللجنة بموجب المادة 22 من الاتفاقية، بشأن البلاغ رقم</w:t>
      </w:r>
      <w:r>
        <w:rPr>
          <w:rFonts w:hint="cs"/>
          <w:rtl/>
          <w:lang w:eastAsia="zh-TW"/>
        </w:rPr>
        <w:t> </w:t>
      </w:r>
      <w:r w:rsidRPr="00035A16">
        <w:rPr>
          <w:rtl/>
          <w:lang w:eastAsia="zh-TW"/>
        </w:rPr>
        <w:t>724/2016</w:t>
      </w:r>
      <w:r w:rsidRPr="00C64F07">
        <w:rPr>
          <w:rStyle w:val="FootnoteReference"/>
          <w:sz w:val="20"/>
          <w:vertAlign w:val="baseline"/>
          <w:rtl/>
          <w:lang w:eastAsia="zh-TW"/>
        </w:rPr>
        <w:footnoteReference w:customMarkFollows="1" w:id="1"/>
        <w:t>*</w:t>
      </w:r>
      <w:r>
        <w:rPr>
          <w:rFonts w:hint="cs"/>
          <w:rtl/>
          <w:lang w:eastAsia="zh-TW"/>
        </w:rPr>
        <w:t xml:space="preserve"> </w:t>
      </w:r>
      <w:r w:rsidRPr="00C64F07">
        <w:rPr>
          <w:rStyle w:val="FootnoteReference"/>
          <w:sz w:val="20"/>
          <w:vertAlign w:val="baseline"/>
          <w:rtl/>
          <w:lang w:eastAsia="zh-TW"/>
        </w:rPr>
        <w:footnoteReference w:customMarkFollows="1" w:id="2"/>
        <w:t>**</w:t>
      </w:r>
    </w:p>
    <w:p w:rsidR="00C64F07" w:rsidRPr="00035A16" w:rsidRDefault="00C64F07" w:rsidP="00C64F07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</w:tabs>
        <w:ind w:left="4543" w:hanging="2615"/>
        <w:rPr>
          <w:rtl/>
          <w:lang w:eastAsia="zh-TW"/>
        </w:rPr>
      </w:pPr>
      <w:r w:rsidRPr="00035A16">
        <w:rPr>
          <w:i/>
          <w:iCs/>
          <w:rtl/>
          <w:lang w:eastAsia="zh-TW"/>
        </w:rPr>
        <w:t>بلاغ مقدم من</w:t>
      </w:r>
      <w:r>
        <w:rPr>
          <w:i/>
          <w:iCs/>
          <w:rtl/>
          <w:lang w:eastAsia="zh-TW"/>
        </w:rPr>
        <w:t>:</w:t>
      </w:r>
      <w:r>
        <w:rPr>
          <w:i/>
          <w:iCs/>
          <w:rtl/>
          <w:lang w:eastAsia="zh-TW"/>
        </w:rPr>
        <w:tab/>
      </w:r>
      <w:r>
        <w:rPr>
          <w:rtl/>
          <w:lang w:eastAsia="zh-TW"/>
        </w:rPr>
        <w:t xml:space="preserve">ف. ك. </w:t>
      </w:r>
      <w:proofErr w:type="spellStart"/>
      <w:r>
        <w:rPr>
          <w:rtl/>
          <w:lang w:eastAsia="zh-TW"/>
        </w:rPr>
        <w:t>و</w:t>
      </w:r>
      <w:r w:rsidRPr="00035A16">
        <w:rPr>
          <w:rtl/>
          <w:lang w:eastAsia="zh-TW"/>
        </w:rPr>
        <w:t>س</w:t>
      </w:r>
      <w:proofErr w:type="spellEnd"/>
      <w:r w:rsidRPr="00035A16">
        <w:rPr>
          <w:rtl/>
          <w:lang w:eastAsia="zh-TW"/>
        </w:rPr>
        <w:t>. ك.</w:t>
      </w:r>
    </w:p>
    <w:p w:rsidR="00C64F07" w:rsidRPr="00035A16" w:rsidRDefault="00C64F07" w:rsidP="00C64F07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</w:tabs>
        <w:ind w:left="4543" w:hanging="2615"/>
        <w:rPr>
          <w:rtl/>
          <w:lang w:eastAsia="zh-TW"/>
        </w:rPr>
      </w:pPr>
      <w:r w:rsidRPr="00035A16">
        <w:rPr>
          <w:i/>
          <w:iCs/>
          <w:rtl/>
          <w:lang w:eastAsia="zh-TW"/>
        </w:rPr>
        <w:t>الشخص المدعى أنه ضحية</w:t>
      </w:r>
      <w:r w:rsidRPr="00C64F07">
        <w:rPr>
          <w:i/>
          <w:iCs/>
          <w:rtl/>
          <w:lang w:eastAsia="zh-TW"/>
        </w:rPr>
        <w:t>:</w:t>
      </w:r>
      <w:r>
        <w:rPr>
          <w:rtl/>
          <w:lang w:eastAsia="zh-TW"/>
        </w:rPr>
        <w:tab/>
      </w:r>
      <w:r w:rsidRPr="00035A16">
        <w:rPr>
          <w:rtl/>
          <w:lang w:eastAsia="zh-TW"/>
        </w:rPr>
        <w:t>صاحبا الشكوى</w:t>
      </w:r>
    </w:p>
    <w:p w:rsidR="00C64F07" w:rsidRPr="00035A16" w:rsidRDefault="00C64F07" w:rsidP="00C64F07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</w:tabs>
        <w:ind w:left="4543" w:hanging="2615"/>
        <w:rPr>
          <w:rtl/>
          <w:lang w:eastAsia="zh-TW"/>
        </w:rPr>
      </w:pPr>
      <w:r w:rsidRPr="00035A16">
        <w:rPr>
          <w:i/>
          <w:iCs/>
          <w:rtl/>
          <w:lang w:eastAsia="zh-TW"/>
        </w:rPr>
        <w:t>الدولة الطرف</w:t>
      </w:r>
      <w:r w:rsidRPr="00C64F07">
        <w:rPr>
          <w:i/>
          <w:iCs/>
          <w:rtl/>
          <w:lang w:eastAsia="zh-TW"/>
        </w:rPr>
        <w:t>:</w:t>
      </w:r>
      <w:r w:rsidRPr="00035A16">
        <w:rPr>
          <w:rtl/>
          <w:lang w:eastAsia="zh-TW"/>
        </w:rPr>
        <w:t xml:space="preserve"> </w:t>
      </w:r>
      <w:r>
        <w:rPr>
          <w:rtl/>
          <w:lang w:eastAsia="zh-TW"/>
        </w:rPr>
        <w:tab/>
      </w:r>
      <w:r w:rsidRPr="00035A16">
        <w:rPr>
          <w:rtl/>
          <w:lang w:eastAsia="zh-TW"/>
        </w:rPr>
        <w:t>سويسرا</w:t>
      </w:r>
    </w:p>
    <w:p w:rsidR="00C64F07" w:rsidRPr="00C64F07" w:rsidRDefault="00C64F07" w:rsidP="00C64F07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</w:tabs>
        <w:ind w:left="4543" w:hanging="2615"/>
        <w:rPr>
          <w:rtl/>
          <w:lang w:eastAsia="zh-TW"/>
        </w:rPr>
      </w:pPr>
      <w:r w:rsidRPr="00C64F07">
        <w:rPr>
          <w:i/>
          <w:iCs/>
          <w:rtl/>
          <w:lang w:eastAsia="zh-TW"/>
        </w:rPr>
        <w:t>تاريخ تقديم الشكوى:</w:t>
      </w:r>
      <w:r w:rsidRPr="00C64F07">
        <w:rPr>
          <w:rtl/>
          <w:lang w:eastAsia="zh-TW"/>
        </w:rPr>
        <w:t xml:space="preserve"> </w:t>
      </w:r>
      <w:r w:rsidRPr="00C64F07">
        <w:rPr>
          <w:rtl/>
          <w:lang w:eastAsia="zh-TW"/>
        </w:rPr>
        <w:tab/>
      </w:r>
      <w:r w:rsidRPr="00C64F07">
        <w:rPr>
          <w:rFonts w:hint="cs"/>
          <w:rtl/>
          <w:lang w:eastAsia="zh-TW"/>
        </w:rPr>
        <w:t>12</w:t>
      </w:r>
      <w:r w:rsidRPr="00C64F07">
        <w:rPr>
          <w:rtl/>
          <w:lang w:eastAsia="zh-TW"/>
        </w:rPr>
        <w:t xml:space="preserve"> كانون الأول/ديسمبر 2015 (تاريخ تقديم الرسالة</w:t>
      </w:r>
      <w:r w:rsidRPr="00C64F07">
        <w:rPr>
          <w:rFonts w:hint="cs"/>
          <w:rtl/>
          <w:lang w:eastAsia="zh-TW"/>
        </w:rPr>
        <w:t> </w:t>
      </w:r>
      <w:r w:rsidRPr="00C64F07">
        <w:rPr>
          <w:rtl/>
          <w:lang w:eastAsia="zh-TW"/>
        </w:rPr>
        <w:t>الأولى)</w:t>
      </w:r>
    </w:p>
    <w:p w:rsidR="00C64F07" w:rsidRPr="00C64F07" w:rsidRDefault="00C64F07" w:rsidP="00C64F07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</w:tabs>
        <w:ind w:left="4543" w:hanging="2615"/>
        <w:rPr>
          <w:spacing w:val="-4"/>
          <w:rtl/>
          <w:lang w:eastAsia="zh-TW"/>
        </w:rPr>
      </w:pPr>
      <w:r w:rsidRPr="00C64F07">
        <w:rPr>
          <w:i/>
          <w:iCs/>
          <w:spacing w:val="-4"/>
          <w:rtl/>
          <w:lang w:eastAsia="zh-TW"/>
        </w:rPr>
        <w:t>المسألة الموضوعية:</w:t>
      </w:r>
      <w:r w:rsidRPr="00C64F07">
        <w:rPr>
          <w:spacing w:val="-4"/>
          <w:rtl/>
          <w:lang w:eastAsia="zh-TW"/>
        </w:rPr>
        <w:t xml:space="preserve"> </w:t>
      </w:r>
      <w:r w:rsidRPr="00C64F07">
        <w:rPr>
          <w:spacing w:val="-4"/>
          <w:rtl/>
          <w:lang w:eastAsia="zh-TW"/>
        </w:rPr>
        <w:tab/>
        <w:t xml:space="preserve">خطر التعرّض للتعذيب لدى الترحيل إلى سري </w:t>
      </w:r>
      <w:proofErr w:type="spellStart"/>
      <w:r w:rsidRPr="00C64F07">
        <w:rPr>
          <w:spacing w:val="-4"/>
          <w:rtl/>
          <w:lang w:eastAsia="zh-TW"/>
        </w:rPr>
        <w:t>لانكا</w:t>
      </w:r>
      <w:proofErr w:type="spellEnd"/>
      <w:r w:rsidRPr="00C64F07">
        <w:rPr>
          <w:spacing w:val="-4"/>
          <w:rtl/>
          <w:lang w:eastAsia="zh-TW"/>
        </w:rPr>
        <w:t xml:space="preserve"> </w:t>
      </w:r>
    </w:p>
    <w:p w:rsidR="00C64F07" w:rsidRDefault="00C64F07" w:rsidP="00C64F07">
      <w:pPr>
        <w:pStyle w:val="SingleTxtGA"/>
        <w:rPr>
          <w:rFonts w:hint="cs"/>
        </w:rPr>
      </w:pPr>
      <w:r>
        <w:rPr>
          <w:rtl/>
          <w:lang w:eastAsia="zh-TW"/>
        </w:rPr>
        <w:tab/>
      </w:r>
      <w:r w:rsidRPr="00035A16">
        <w:rPr>
          <w:rtl/>
          <w:lang w:eastAsia="zh-TW"/>
        </w:rPr>
        <w:t>قررت اللجنة وقف النظر في البلاغ رقم ٧٢٤/٢٠١٦ أثناء جلستها المعقودة في ٣ آب/أغسطس ٢٠١٨ بعد أن تلقت معلومات من الأطراف تفيد بأن الدولة الطرف قد منحت مركز اللاجئ لصاحبي البلاغ بموجب قرار صدر في ١٤ نيسان/أبريل ٢٠١٨.</w:t>
      </w:r>
    </w:p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DB7679" w:rsidTr="005A3015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</w:tcPr>
          <w:p w:rsidR="006B3E27" w:rsidRPr="00DB7679" w:rsidRDefault="0059622A" w:rsidP="005A3015">
            <w:pPr>
              <w:jc w:val="center"/>
              <w:rPr>
                <w:rtl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1F1C1B28" wp14:editId="144A970A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62992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903" y="208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</w:tcPr>
          <w:p w:rsidR="00A67AF5" w:rsidRPr="00817373" w:rsidRDefault="00817373" w:rsidP="005A3015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</w:tcPr>
          <w:p w:rsidR="00C64F07" w:rsidRDefault="00C64F07" w:rsidP="00C64F07">
            <w:pPr>
              <w:bidi w:val="0"/>
              <w:spacing w:before="240" w:after="20"/>
              <w:jc w:val="left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:rsidR="00C64F07" w:rsidRDefault="00C64F07" w:rsidP="00C64F07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2 October 2018</w:t>
            </w:r>
          </w:p>
          <w:p w:rsidR="00C64F07" w:rsidRDefault="00C64F07" w:rsidP="00C64F07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6B3E27" w:rsidRPr="00C64F07" w:rsidRDefault="00C64F07" w:rsidP="00C64F07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:rsidR="00761849" w:rsidRPr="00C64F07" w:rsidRDefault="00C64F07" w:rsidP="00C64F07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761849" w:rsidRPr="00C64F07" w:rsidSect="0022481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9C" w:rsidRPr="002901D9" w:rsidRDefault="0057789C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57789C" w:rsidRDefault="0057789C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1F" w:rsidRPr="00C64F07" w:rsidRDefault="00C64F07" w:rsidP="00C64F07">
    <w:pPr>
      <w:pStyle w:val="Footer"/>
      <w:tabs>
        <w:tab w:val="right" w:pos="9598"/>
      </w:tabs>
      <w:rPr>
        <w:sz w:val="17"/>
      </w:rPr>
    </w:pPr>
    <w:r>
      <w:rPr>
        <w:sz w:val="17"/>
      </w:rPr>
      <w:t>GE</w:t>
    </w:r>
    <w:r>
      <w:rPr>
        <w:sz w:val="17"/>
        <w:rtl/>
      </w:rPr>
      <w:t>.18-16329</w:t>
    </w:r>
    <w:r>
      <w:rPr>
        <w:sz w:val="17"/>
        <w:rtl/>
      </w:rPr>
      <w:tab/>
    </w:r>
    <w:r w:rsidRPr="00C64F07">
      <w:rPr>
        <w:b/>
        <w:sz w:val="18"/>
      </w:rPr>
      <w:fldChar w:fldCharType="begin"/>
    </w:r>
    <w:r w:rsidRPr="00C64F07">
      <w:rPr>
        <w:b/>
        <w:sz w:val="18"/>
        <w:rtl/>
      </w:rPr>
      <w:instrText xml:space="preserve"> </w:instrText>
    </w:r>
    <w:r w:rsidRPr="00C64F07">
      <w:rPr>
        <w:b/>
        <w:sz w:val="18"/>
      </w:rPr>
      <w:instrText>PAGE</w:instrText>
    </w:r>
    <w:r w:rsidRPr="00C64F07">
      <w:rPr>
        <w:b/>
        <w:sz w:val="18"/>
        <w:rtl/>
      </w:rPr>
      <w:instrText xml:space="preserve">  \* </w:instrText>
    </w:r>
    <w:r w:rsidRPr="00C64F07">
      <w:rPr>
        <w:b/>
        <w:sz w:val="18"/>
      </w:rPr>
      <w:instrText>MERGEFORMAT</w:instrText>
    </w:r>
    <w:r w:rsidRPr="00C64F07">
      <w:rPr>
        <w:b/>
        <w:sz w:val="18"/>
        <w:rtl/>
      </w:rPr>
      <w:instrText xml:space="preserve"> </w:instrText>
    </w:r>
    <w:r w:rsidRPr="00C64F07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C64F0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0" w:rsidRPr="00C64F07" w:rsidRDefault="00C64F07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C64F07">
      <w:rPr>
        <w:b/>
        <w:sz w:val="18"/>
        <w:lang w:val="en-US"/>
      </w:rPr>
      <w:fldChar w:fldCharType="begin"/>
    </w:r>
    <w:r w:rsidRPr="00C64F07">
      <w:rPr>
        <w:b/>
        <w:sz w:val="18"/>
        <w:rtl/>
        <w:lang w:val="en-US"/>
      </w:rPr>
      <w:instrText xml:space="preserve"> </w:instrText>
    </w:r>
    <w:r w:rsidRPr="00C64F07">
      <w:rPr>
        <w:b/>
        <w:sz w:val="18"/>
        <w:lang w:val="en-US"/>
      </w:rPr>
      <w:instrText>PAGE</w:instrText>
    </w:r>
    <w:r w:rsidRPr="00C64F07">
      <w:rPr>
        <w:b/>
        <w:sz w:val="18"/>
        <w:rtl/>
        <w:lang w:val="en-US"/>
      </w:rPr>
      <w:instrText xml:space="preserve">  \* </w:instrText>
    </w:r>
    <w:r w:rsidRPr="00C64F07">
      <w:rPr>
        <w:b/>
        <w:sz w:val="18"/>
        <w:lang w:val="en-US"/>
      </w:rPr>
      <w:instrText>MERGEFORMAT</w:instrText>
    </w:r>
    <w:r w:rsidRPr="00C64F07">
      <w:rPr>
        <w:b/>
        <w:sz w:val="18"/>
        <w:rtl/>
        <w:lang w:val="en-US"/>
      </w:rPr>
      <w:instrText xml:space="preserve"> </w:instrText>
    </w:r>
    <w:r w:rsidRPr="00C64F07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C64F07">
      <w:rPr>
        <w:b/>
        <w:sz w:val="18"/>
        <w:lang w:val="en-US"/>
      </w:rPr>
      <w:fldChar w:fldCharType="end"/>
    </w:r>
    <w:r>
      <w:rPr>
        <w:b/>
        <w:sz w:val="18"/>
        <w:rtl/>
        <w:lang w:val="en-US"/>
      </w:rPr>
      <w:tab/>
    </w:r>
    <w:r>
      <w:rPr>
        <w:sz w:val="17"/>
        <w:lang w:val="en-US"/>
      </w:rPr>
      <w:t>GE</w:t>
    </w:r>
    <w:r>
      <w:rPr>
        <w:sz w:val="17"/>
        <w:rtl/>
        <w:lang w:val="en-US"/>
      </w:rPr>
      <w:t>.18-16329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A8" w:rsidRDefault="0022481F" w:rsidP="005A3015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GE.18-16329</w:t>
    </w:r>
    <w:r w:rsidR="00A34EA8">
      <w:rPr>
        <w:noProof/>
        <w:lang w:val="en-US" w:eastAsia="zh-CN"/>
      </w:rPr>
      <w:drawing>
        <wp:anchor distT="0" distB="0" distL="114300" distR="114300" simplePos="0" relativeHeight="251665408" behindDoc="1" locked="1" layoutInCell="0" allowOverlap="1" wp14:anchorId="6AEC69F8" wp14:editId="0AAA3945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EA8" w:rsidRPr="007A0286">
      <w:rPr>
        <w:sz w:val="20"/>
        <w:szCs w:val="20"/>
      </w:rPr>
      <w:t>(A)</w:t>
    </w:r>
  </w:p>
  <w:p w:rsidR="0022481F" w:rsidRPr="0022481F" w:rsidRDefault="0022481F" w:rsidP="0022481F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9C" w:rsidRPr="004956DC" w:rsidRDefault="0057789C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57789C" w:rsidRDefault="0057789C" w:rsidP="00656392">
      <w:pPr>
        <w:spacing w:line="240" w:lineRule="auto"/>
      </w:pPr>
      <w:r>
        <w:continuationSeparator/>
      </w:r>
    </w:p>
  </w:footnote>
  <w:footnote w:id="1">
    <w:p w:rsidR="00C64F07" w:rsidRPr="00C64F07" w:rsidRDefault="00C64F07" w:rsidP="00C64F07">
      <w:pPr>
        <w:pStyle w:val="FootnoteText1"/>
        <w:rPr>
          <w:rFonts w:hint="cs"/>
        </w:rPr>
      </w:pPr>
      <w:r w:rsidRPr="00C64F07">
        <w:rPr>
          <w:rtl/>
        </w:rPr>
        <w:t>*</w:t>
      </w:r>
      <w:r w:rsidRPr="00C64F07">
        <w:rPr>
          <w:rtl/>
        </w:rPr>
        <w:tab/>
      </w:r>
      <w:r w:rsidRPr="00C64F07">
        <w:rPr>
          <w:rtl/>
          <w:lang w:eastAsia="zh-TW"/>
        </w:rPr>
        <w:t>اعتمدته اللجنة في دورتها الرابعة والستين (٢٣ تموز/يوليه - ١٠ آب/أغسطس ٢٠١٨).</w:t>
      </w:r>
    </w:p>
  </w:footnote>
  <w:footnote w:id="2">
    <w:p w:rsidR="00C64F07" w:rsidRPr="00C64F07" w:rsidRDefault="00C64F07" w:rsidP="00C64F07">
      <w:pPr>
        <w:pStyle w:val="FootnoteText1"/>
        <w:rPr>
          <w:rFonts w:hint="cs"/>
        </w:rPr>
      </w:pPr>
      <w:r w:rsidRPr="00C64F07">
        <w:rPr>
          <w:rtl/>
        </w:rPr>
        <w:t>**</w:t>
      </w:r>
      <w:r w:rsidRPr="00C64F07">
        <w:rPr>
          <w:rtl/>
        </w:rPr>
        <w:tab/>
      </w:r>
      <w:r w:rsidRPr="00C64F07">
        <w:rPr>
          <w:rtl/>
          <w:lang w:eastAsia="zh-TW"/>
        </w:rPr>
        <w:t xml:space="preserve">شارك في دراسة هذا البلاغ أعضاء اللجنة التالية أسماؤهم: السعدية </w:t>
      </w:r>
      <w:proofErr w:type="spellStart"/>
      <w:r w:rsidRPr="00C64F07">
        <w:rPr>
          <w:rtl/>
          <w:lang w:eastAsia="zh-TW"/>
        </w:rPr>
        <w:t>بلمير</w:t>
      </w:r>
      <w:proofErr w:type="spellEnd"/>
      <w:r w:rsidRPr="00C64F07">
        <w:rPr>
          <w:rtl/>
          <w:lang w:eastAsia="zh-TW"/>
        </w:rPr>
        <w:t xml:space="preserve">، بَختيار </w:t>
      </w:r>
      <w:proofErr w:type="spellStart"/>
      <w:r w:rsidRPr="00C64F07">
        <w:rPr>
          <w:rtl/>
          <w:lang w:eastAsia="zh-TW"/>
        </w:rPr>
        <w:t>توزمحمدوف</w:t>
      </w:r>
      <w:proofErr w:type="spellEnd"/>
      <w:r w:rsidRPr="00C64F07">
        <w:rPr>
          <w:rtl/>
          <w:lang w:eastAsia="zh-TW"/>
        </w:rPr>
        <w:t xml:space="preserve">، </w:t>
      </w:r>
      <w:proofErr w:type="spellStart"/>
      <w:r w:rsidRPr="00C64F07">
        <w:rPr>
          <w:rtl/>
          <w:lang w:eastAsia="zh-TW"/>
        </w:rPr>
        <w:t>سباستيان</w:t>
      </w:r>
      <w:proofErr w:type="spellEnd"/>
      <w:r w:rsidRPr="00C64F07">
        <w:rPr>
          <w:rtl/>
          <w:lang w:eastAsia="zh-TW"/>
        </w:rPr>
        <w:t xml:space="preserve"> توزيه، أنا </w:t>
      </w:r>
      <w:proofErr w:type="spellStart"/>
      <w:r w:rsidRPr="00C64F07">
        <w:rPr>
          <w:rtl/>
          <w:lang w:eastAsia="zh-TW"/>
        </w:rPr>
        <w:t>راكو</w:t>
      </w:r>
      <w:proofErr w:type="spellEnd"/>
      <w:r w:rsidRPr="00C64F07">
        <w:rPr>
          <w:rtl/>
          <w:lang w:eastAsia="zh-TW"/>
        </w:rPr>
        <w:t xml:space="preserve">، دييغو </w:t>
      </w:r>
      <w:proofErr w:type="spellStart"/>
      <w:r w:rsidRPr="00C64F07">
        <w:rPr>
          <w:rtl/>
          <w:lang w:eastAsia="zh-TW"/>
        </w:rPr>
        <w:t>رودريغيث</w:t>
      </w:r>
      <w:proofErr w:type="spellEnd"/>
      <w:r w:rsidRPr="00C64F07">
        <w:rPr>
          <w:rtl/>
          <w:lang w:eastAsia="zh-TW"/>
        </w:rPr>
        <w:t xml:space="preserve"> - </w:t>
      </w:r>
      <w:proofErr w:type="spellStart"/>
      <w:r w:rsidRPr="00C64F07">
        <w:rPr>
          <w:rtl/>
          <w:lang w:eastAsia="zh-TW"/>
        </w:rPr>
        <w:t>بينزون</w:t>
      </w:r>
      <w:proofErr w:type="spellEnd"/>
      <w:r w:rsidRPr="00C64F07">
        <w:rPr>
          <w:rtl/>
          <w:lang w:eastAsia="zh-TW"/>
        </w:rPr>
        <w:t xml:space="preserve">، </w:t>
      </w:r>
      <w:proofErr w:type="spellStart"/>
      <w:r w:rsidRPr="00C64F07">
        <w:rPr>
          <w:rtl/>
          <w:lang w:eastAsia="zh-TW"/>
        </w:rPr>
        <w:t>هونغونغ</w:t>
      </w:r>
      <w:proofErr w:type="spellEnd"/>
      <w:r w:rsidRPr="00C64F07">
        <w:rPr>
          <w:rtl/>
          <w:lang w:eastAsia="zh-TW"/>
        </w:rPr>
        <w:t xml:space="preserve"> </w:t>
      </w:r>
      <w:proofErr w:type="spellStart"/>
      <w:r w:rsidRPr="00C64F07">
        <w:rPr>
          <w:rtl/>
          <w:lang w:eastAsia="zh-TW"/>
        </w:rPr>
        <w:t>زانغ</w:t>
      </w:r>
      <w:proofErr w:type="spellEnd"/>
      <w:r w:rsidRPr="00C64F07">
        <w:rPr>
          <w:rtl/>
          <w:lang w:eastAsia="zh-TW"/>
        </w:rPr>
        <w:t xml:space="preserve">، فيليس غاير، ينس </w:t>
      </w:r>
      <w:proofErr w:type="spellStart"/>
      <w:r w:rsidRPr="00C64F07">
        <w:rPr>
          <w:rtl/>
          <w:lang w:eastAsia="zh-TW"/>
        </w:rPr>
        <w:t>مودفيغ</w:t>
      </w:r>
      <w:proofErr w:type="spellEnd"/>
      <w:r w:rsidRPr="00C64F07">
        <w:rPr>
          <w:rtl/>
          <w:lang w:eastAsia="zh-TW"/>
        </w:rPr>
        <w:t xml:space="preserve">، عبد الوهاب هاني، كلود </w:t>
      </w:r>
      <w:proofErr w:type="spellStart"/>
      <w:r w:rsidRPr="00C64F07">
        <w:rPr>
          <w:rtl/>
          <w:lang w:eastAsia="zh-TW"/>
        </w:rPr>
        <w:t>هِلِر</w:t>
      </w:r>
      <w:proofErr w:type="spellEnd"/>
      <w:r w:rsidRPr="00C64F07">
        <w:rPr>
          <w:rtl/>
          <w:lang w:eastAsia="zh-TW"/>
        </w:rPr>
        <w:t xml:space="preserve"> </w:t>
      </w:r>
      <w:proofErr w:type="spellStart"/>
      <w:r w:rsidRPr="00C64F07">
        <w:rPr>
          <w:rtl/>
          <w:lang w:eastAsia="zh-TW"/>
        </w:rPr>
        <w:t>رواسان</w:t>
      </w:r>
      <w:proofErr w:type="spellEnd"/>
      <w:r w:rsidRPr="00C64F07">
        <w:rPr>
          <w:rtl/>
          <w:lang w:eastAsia="zh-T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1F" w:rsidRPr="00C64F07" w:rsidRDefault="00C64F07" w:rsidP="00C64F07">
    <w:pPr>
      <w:pStyle w:val="Header"/>
      <w:jc w:val="right"/>
    </w:pPr>
    <w:r w:rsidRPr="00C64F07">
      <w:t>CAT/C/64/D/724/2016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1F" w:rsidRPr="00C64F07" w:rsidRDefault="00C64F07" w:rsidP="00C64F07">
    <w:pPr>
      <w:pStyle w:val="Header"/>
      <w:jc w:val="left"/>
    </w:pPr>
    <w:r w:rsidRPr="00C64F07">
      <w:t>CAT/C/64/D/724/2016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789C"/>
    <w:rsid w:val="000076D5"/>
    <w:rsid w:val="00043663"/>
    <w:rsid w:val="000505CF"/>
    <w:rsid w:val="000A2113"/>
    <w:rsid w:val="000D701C"/>
    <w:rsid w:val="000E2A71"/>
    <w:rsid w:val="00160263"/>
    <w:rsid w:val="00167825"/>
    <w:rsid w:val="00181F96"/>
    <w:rsid w:val="001A1371"/>
    <w:rsid w:val="001B346A"/>
    <w:rsid w:val="001E1CAD"/>
    <w:rsid w:val="001E290D"/>
    <w:rsid w:val="002144FA"/>
    <w:rsid w:val="0022481F"/>
    <w:rsid w:val="0023469A"/>
    <w:rsid w:val="00243C8A"/>
    <w:rsid w:val="00267A0E"/>
    <w:rsid w:val="002901D9"/>
    <w:rsid w:val="002976C2"/>
    <w:rsid w:val="003260FF"/>
    <w:rsid w:val="00343D95"/>
    <w:rsid w:val="00374341"/>
    <w:rsid w:val="00384DA7"/>
    <w:rsid w:val="003D1062"/>
    <w:rsid w:val="00420D7B"/>
    <w:rsid w:val="00450B21"/>
    <w:rsid w:val="00453B63"/>
    <w:rsid w:val="00455780"/>
    <w:rsid w:val="004956DC"/>
    <w:rsid w:val="004B0A1C"/>
    <w:rsid w:val="004D298E"/>
    <w:rsid w:val="0054472E"/>
    <w:rsid w:val="005662A9"/>
    <w:rsid w:val="0057789C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46E9"/>
    <w:rsid w:val="0068781D"/>
    <w:rsid w:val="006959B0"/>
    <w:rsid w:val="006B3E27"/>
    <w:rsid w:val="006B6507"/>
    <w:rsid w:val="006C104C"/>
    <w:rsid w:val="00733704"/>
    <w:rsid w:val="00761849"/>
    <w:rsid w:val="0078071A"/>
    <w:rsid w:val="00817373"/>
    <w:rsid w:val="00852A9A"/>
    <w:rsid w:val="00893A8A"/>
    <w:rsid w:val="008F49E1"/>
    <w:rsid w:val="0090370F"/>
    <w:rsid w:val="009269D2"/>
    <w:rsid w:val="00942135"/>
    <w:rsid w:val="009521B0"/>
    <w:rsid w:val="00981C12"/>
    <w:rsid w:val="009A7E9F"/>
    <w:rsid w:val="009E5018"/>
    <w:rsid w:val="00A12B37"/>
    <w:rsid w:val="00A34EA8"/>
    <w:rsid w:val="00A67AF5"/>
    <w:rsid w:val="00A94CA3"/>
    <w:rsid w:val="00AB6758"/>
    <w:rsid w:val="00B13763"/>
    <w:rsid w:val="00B477A4"/>
    <w:rsid w:val="00B54045"/>
    <w:rsid w:val="00B733AB"/>
    <w:rsid w:val="00C438D7"/>
    <w:rsid w:val="00C64F07"/>
    <w:rsid w:val="00C81B50"/>
    <w:rsid w:val="00C87F1F"/>
    <w:rsid w:val="00CD1801"/>
    <w:rsid w:val="00D10EF1"/>
    <w:rsid w:val="00D42810"/>
    <w:rsid w:val="00D914A7"/>
    <w:rsid w:val="00DC1D29"/>
    <w:rsid w:val="00DD13C3"/>
    <w:rsid w:val="00DD596E"/>
    <w:rsid w:val="00DD621E"/>
    <w:rsid w:val="00DF0575"/>
    <w:rsid w:val="00E70E04"/>
    <w:rsid w:val="00E76499"/>
    <w:rsid w:val="00EC05A7"/>
    <w:rsid w:val="00EC4B6B"/>
    <w:rsid w:val="00EF1EE5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828E5"/>
  <w15:docId w15:val="{A5682957-D342-40D2-A6B2-4391749B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"/>
    <w:basedOn w:val="Normal"/>
    <w:link w:val="FootnoteTextChar"/>
    <w:unhideWhenUsed/>
    <w:qFormat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A1371"/>
    <w:rPr>
      <w:sz w:val="20"/>
      <w:szCs w:val="20"/>
    </w:rPr>
  </w:style>
  <w:style w:type="character" w:styleId="FootnoteReference">
    <w:name w:val="footnote reference"/>
    <w:aliases w:val="4_GA,4_G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rsid w:val="00C64F07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rFonts w:eastAsia="SimSun" w:hAnsiTheme="minorHAnsi" w:hint="cs"/>
      <w:b/>
      <w:sz w:val="28"/>
      <w:lang w:val="en-GB"/>
    </w:rPr>
  </w:style>
  <w:style w:type="paragraph" w:customStyle="1" w:styleId="H56G">
    <w:name w:val="_ H_5/6_G"/>
    <w:basedOn w:val="Normal"/>
    <w:next w:val="Normal"/>
    <w:rsid w:val="00C64F07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rFonts w:eastAsia="SimSun" w:hAnsiTheme="minorHAnsi" w:hint="cs"/>
      <w:lang w:val="en-GB"/>
    </w:rPr>
  </w:style>
  <w:style w:type="paragraph" w:customStyle="1" w:styleId="SingleTxtG">
    <w:name w:val="_ Single Txt_G"/>
    <w:basedOn w:val="Normal"/>
    <w:link w:val="SingleTxtGChar"/>
    <w:rsid w:val="00C64F07"/>
    <w:pPr>
      <w:suppressAutoHyphens/>
      <w:bidi w:val="0"/>
      <w:spacing w:after="120"/>
      <w:ind w:left="1134" w:right="1134"/>
      <w:jc w:val="both"/>
    </w:pPr>
    <w:rPr>
      <w:rFonts w:eastAsia="SimSun" w:hAnsiTheme="minorHAnsi"/>
      <w:lang w:val="en-GB" w:eastAsia="zh-CN"/>
    </w:rPr>
  </w:style>
  <w:style w:type="character" w:customStyle="1" w:styleId="SingleTxtGChar">
    <w:name w:val="_ Single Txt_G Char"/>
    <w:basedOn w:val="DefaultParagraphFont"/>
    <w:link w:val="SingleTxtG"/>
    <w:locked/>
    <w:rsid w:val="00C64F07"/>
    <w:rPr>
      <w:rFonts w:ascii="Times New Roman" w:eastAsia="SimSun" w:cs="Traditional Arabic"/>
      <w:sz w:val="20"/>
      <w:szCs w:val="3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6CBB-8285-4202-B44E-0AC8D3F6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2</TotalTime>
  <Pages>1</Pages>
  <Words>119</Words>
  <Characters>618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</vt:lpstr>
    </vt:vector>
  </TitlesOfParts>
  <Company>DCM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CAT/C/64/D/724/2016</dc:title>
  <dc:subject>GE. 1816329A</dc:subject>
  <dc:creator>Ibrahim BALAN - ES</dc:creator>
  <cp:keywords>ODS No. 1829321</cp:keywords>
  <dc:description>Distribution: General_x000d_
Original: English_x000d_
Date: 2 October 2018</dc:description>
  <cp:lastModifiedBy>Ibrahim Balan</cp:lastModifiedBy>
  <cp:revision>3</cp:revision>
  <cp:lastPrinted>2018-10-19T07:48:00Z</cp:lastPrinted>
  <dcterms:created xsi:type="dcterms:W3CDTF">2018-10-19T07:48:00Z</dcterms:created>
  <dcterms:modified xsi:type="dcterms:W3CDTF">2018-10-19T07:50:00Z</dcterms:modified>
  <cp:category>Final</cp:category>
</cp:coreProperties>
</file>